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018E4" w:rsidRDefault="001B7B85" w:rsidP="002018E4">
      <w:pPr>
        <w:pStyle w:val="Titre1"/>
        <w:numPr>
          <w:ilvl w:val="0"/>
          <w:numId w:val="0"/>
        </w:numPr>
        <w:ind w:left="432"/>
        <w:jc w:val="center"/>
        <w:rPr>
          <w:sz w:val="30"/>
          <w:szCs w:val="30"/>
        </w:rPr>
      </w:pPr>
      <w:bookmarkStart w:id="0" w:name="_Toc423422898"/>
      <w:bookmarkStart w:id="1" w:name="_GoBack"/>
      <w:bookmarkEnd w:id="1"/>
      <w:r w:rsidRPr="0036755B">
        <w:rPr>
          <w:sz w:val="30"/>
          <w:szCs w:val="30"/>
        </w:rPr>
        <w:t xml:space="preserve">Habitat </w:t>
      </w:r>
      <w:r w:rsidR="00701151" w:rsidRPr="0036755B">
        <w:rPr>
          <w:sz w:val="30"/>
          <w:szCs w:val="30"/>
        </w:rPr>
        <w:t>suitability</w:t>
      </w:r>
      <w:r w:rsidRPr="0036755B">
        <w:rPr>
          <w:sz w:val="30"/>
          <w:szCs w:val="30"/>
        </w:rPr>
        <w:t xml:space="preserve"> of the Atlantic bluefin tuna by size class: an ecological niche approach</w:t>
      </w:r>
      <w:bookmarkEnd w:id="0"/>
    </w:p>
    <w:p w:rsidR="002018E4" w:rsidRPr="002018E4" w:rsidRDefault="002018E4" w:rsidP="002018E4">
      <w:pPr>
        <w:pStyle w:val="Titre1"/>
        <w:numPr>
          <w:ilvl w:val="0"/>
          <w:numId w:val="0"/>
        </w:numPr>
        <w:ind w:left="432"/>
        <w:jc w:val="center"/>
        <w:rPr>
          <w:sz w:val="30"/>
          <w:szCs w:val="30"/>
        </w:rPr>
      </w:pPr>
      <w:r w:rsidRPr="002018E4">
        <w:t>Supplementary Information</w:t>
      </w:r>
    </w:p>
    <w:p w:rsidR="001A5685" w:rsidRPr="00755EDB" w:rsidRDefault="001A5685" w:rsidP="002018E4">
      <w:pPr>
        <w:pStyle w:val="Titre1"/>
      </w:pPr>
      <w:bookmarkStart w:id="2" w:name="h.3znysh7" w:colFirst="0" w:colLast="0"/>
      <w:bookmarkStart w:id="3" w:name="h.vx1227" w:colFirst="0" w:colLast="0"/>
      <w:bookmarkStart w:id="4" w:name="_Toc423422920"/>
      <w:bookmarkStart w:id="5" w:name="_Ref439769912"/>
      <w:bookmarkStart w:id="6" w:name="_Ref439769940"/>
      <w:bookmarkEnd w:id="2"/>
      <w:bookmarkEnd w:id="3"/>
      <w:r w:rsidRPr="00755EDB">
        <w:t>Presence data by size class</w:t>
      </w:r>
      <w:bookmarkEnd w:id="4"/>
      <w:bookmarkEnd w:id="5"/>
      <w:bookmarkEnd w:id="6"/>
    </w:p>
    <w:p w:rsidR="001A5685" w:rsidRDefault="001A5685" w:rsidP="001A5685">
      <w:pPr>
        <w:rPr>
          <w:rFonts w:ascii="EC Square Sans Pro" w:eastAsia="EC Square Sans Pro" w:hAnsi="EC Square Sans Pro" w:cs="EC Square Sans Pro"/>
        </w:rPr>
      </w:pPr>
      <w:r w:rsidRPr="00755EDB">
        <w:rPr>
          <w:rFonts w:ascii="EC Square Sans Pro" w:eastAsia="EC Square Sans Pro" w:hAnsi="EC Square Sans Pro" w:cs="EC Square Sans Pro"/>
        </w:rPr>
        <w:t>The presence data for small ABFT are mainly distributed across temperate latitudes in the north-east and north-west Atlantic Ocean and in the northern Mediterranean Sea (</w:t>
      </w:r>
      <w:r w:rsidR="003B76F1">
        <w:rPr>
          <w:rFonts w:ascii="EC Square Sans Pro" w:eastAsia="EC Square Sans Pro" w:hAnsi="EC Square Sans Pro" w:cs="EC Square Sans Pro"/>
        </w:rPr>
        <w:fldChar w:fldCharType="begin"/>
      </w:r>
      <w:r w:rsidR="00281AA5">
        <w:rPr>
          <w:rFonts w:ascii="EC Square Sans Pro" w:eastAsia="EC Square Sans Pro" w:hAnsi="EC Square Sans Pro" w:cs="EC Square Sans Pro"/>
        </w:rPr>
        <w:instrText xml:space="preserve"> REF _Ref435799640 \h </w:instrText>
      </w:r>
      <w:r w:rsidR="003B76F1">
        <w:rPr>
          <w:rFonts w:ascii="EC Square Sans Pro" w:eastAsia="EC Square Sans Pro" w:hAnsi="EC Square Sans Pro" w:cs="EC Square Sans Pro"/>
        </w:rPr>
      </w:r>
      <w:r w:rsidR="003B76F1">
        <w:rPr>
          <w:rFonts w:ascii="EC Square Sans Pro" w:eastAsia="EC Square Sans Pro" w:hAnsi="EC Square Sans Pro" w:cs="EC Square Sans Pro"/>
        </w:rPr>
        <w:fldChar w:fldCharType="separate"/>
      </w:r>
      <w:r w:rsidR="00B86506" w:rsidRPr="00D412F4">
        <w:t xml:space="preserve">Figure SI- </w:t>
      </w:r>
      <w:r w:rsidR="00B86506">
        <w:rPr>
          <w:noProof/>
        </w:rPr>
        <w:t>1</w:t>
      </w:r>
      <w:r w:rsidR="003B76F1">
        <w:rPr>
          <w:rFonts w:ascii="EC Square Sans Pro" w:eastAsia="EC Square Sans Pro" w:hAnsi="EC Square Sans Pro" w:cs="EC Square Sans Pro"/>
        </w:rPr>
        <w:fldChar w:fldCharType="end"/>
      </w:r>
      <w:r w:rsidRPr="00755EDB">
        <w:rPr>
          <w:rFonts w:ascii="EC Square Sans Pro" w:eastAsia="EC Square Sans Pro" w:hAnsi="EC Square Sans Pro" w:cs="EC Square Sans Pro"/>
        </w:rPr>
        <w:t>a). Large ABFT presence data are distributed across a much larger range of latitudes from the sub-tropical seas to the sub-Arctic ocean (</w:t>
      </w:r>
      <w:r w:rsidR="003B76F1">
        <w:rPr>
          <w:rFonts w:ascii="EC Square Sans Pro" w:eastAsia="EC Square Sans Pro" w:hAnsi="EC Square Sans Pro" w:cs="EC Square Sans Pro"/>
        </w:rPr>
        <w:fldChar w:fldCharType="begin"/>
      </w:r>
      <w:r w:rsidR="00281AA5">
        <w:rPr>
          <w:rFonts w:ascii="EC Square Sans Pro" w:eastAsia="EC Square Sans Pro" w:hAnsi="EC Square Sans Pro" w:cs="EC Square Sans Pro"/>
        </w:rPr>
        <w:instrText xml:space="preserve"> REF _Ref435799640 \h </w:instrText>
      </w:r>
      <w:r w:rsidR="003B76F1">
        <w:rPr>
          <w:rFonts w:ascii="EC Square Sans Pro" w:eastAsia="EC Square Sans Pro" w:hAnsi="EC Square Sans Pro" w:cs="EC Square Sans Pro"/>
        </w:rPr>
      </w:r>
      <w:r w:rsidR="003B76F1">
        <w:rPr>
          <w:rFonts w:ascii="EC Square Sans Pro" w:eastAsia="EC Square Sans Pro" w:hAnsi="EC Square Sans Pro" w:cs="EC Square Sans Pro"/>
        </w:rPr>
        <w:fldChar w:fldCharType="separate"/>
      </w:r>
      <w:r w:rsidR="00B86506" w:rsidRPr="00D412F4">
        <w:t xml:space="preserve">Figure SI- </w:t>
      </w:r>
      <w:r w:rsidR="00B86506">
        <w:rPr>
          <w:noProof/>
        </w:rPr>
        <w:t>1</w:t>
      </w:r>
      <w:r w:rsidR="003B76F1">
        <w:rPr>
          <w:rFonts w:ascii="EC Square Sans Pro" w:eastAsia="EC Square Sans Pro" w:hAnsi="EC Square Sans Pro" w:cs="EC Square Sans Pro"/>
        </w:rPr>
        <w:fldChar w:fldCharType="end"/>
      </w:r>
      <w:r w:rsidRPr="00755EDB">
        <w:rPr>
          <w:rFonts w:ascii="EC Square Sans Pro" w:eastAsia="EC Square Sans Pro" w:hAnsi="EC Square Sans Pro" w:cs="EC Square Sans Pro"/>
        </w:rPr>
        <w:t>b).</w:t>
      </w:r>
    </w:p>
    <w:p w:rsidR="00F02F8F" w:rsidRPr="00F02F8F" w:rsidRDefault="00F02F8F" w:rsidP="001A5685">
      <w:pPr>
        <w:rPr>
          <w:rFonts w:ascii="EC Square Sans Pro" w:eastAsia="EC Square Sans Pro" w:hAnsi="EC Square Sans Pro" w:cs="EC Square Sans Pro"/>
        </w:rPr>
      </w:pPr>
      <w:r>
        <w:rPr>
          <w:rFonts w:ascii="EC Square Sans Pro" w:eastAsia="EC Square Sans Pro" w:hAnsi="EC Square Sans Pro" w:cs="EC Square Sans Pro"/>
        </w:rPr>
        <w:br w:type="page"/>
      </w:r>
    </w:p>
    <w:p w:rsidR="001A5685" w:rsidRPr="00755EDB" w:rsidRDefault="001A5685" w:rsidP="001A5685">
      <w:r w:rsidRPr="00755EDB">
        <w:rPr>
          <w:rFonts w:ascii="EC Square Sans Pro" w:eastAsia="EC Square Sans Pro" w:hAnsi="EC Square Sans Pro" w:cs="EC Square Sans Pro"/>
        </w:rPr>
        <w:lastRenderedPageBreak/>
        <w:t>a</w:t>
      </w:r>
      <w:r w:rsidRPr="00755EDB">
        <w:rPr>
          <w:noProof/>
          <w:lang w:val="fr-FR" w:eastAsia="fr-FR"/>
        </w:rPr>
        <w:drawing>
          <wp:inline distT="0" distB="0" distL="0" distR="0">
            <wp:extent cx="5263764" cy="2258171"/>
            <wp:effectExtent l="0" t="0" r="0" b="8890"/>
            <wp:docPr id="3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rotWithShape="1">
                    <a:blip r:embed="rId8">
                      <a:extLst>
                        <a:ext uri="{28A0092B-C50C-407E-A947-70E740481C1C}">
                          <a14:useLocalDpi xmlns:a14="http://schemas.microsoft.com/office/drawing/2010/main" val="0"/>
                        </a:ext>
                      </a:extLst>
                    </a:blip>
                    <a:srcRect l="11913" t="12998" r="7039" b="18761"/>
                    <a:stretch/>
                  </pic:blipFill>
                  <pic:spPr bwMode="auto">
                    <a:xfrm>
                      <a:off x="0" y="0"/>
                      <a:ext cx="5262006" cy="2257417"/>
                    </a:xfrm>
                    <a:prstGeom prst="rect">
                      <a:avLst/>
                    </a:prstGeom>
                    <a:ln>
                      <a:noFill/>
                    </a:ln>
                    <a:extLst>
                      <a:ext uri="{53640926-AAD7-44D8-BBD7-CCE9431645EC}">
                        <a14:shadowObscured xmlns:a14="http://schemas.microsoft.com/office/drawing/2010/main"/>
                      </a:ext>
                    </a:extLst>
                  </pic:spPr>
                </pic:pic>
              </a:graphicData>
            </a:graphic>
          </wp:inline>
        </w:drawing>
      </w:r>
    </w:p>
    <w:p w:rsidR="001A5685" w:rsidRPr="00755EDB" w:rsidRDefault="001A5685" w:rsidP="001A5685">
      <w:r w:rsidRPr="00755EDB">
        <w:rPr>
          <w:rFonts w:ascii="EC Square Sans Pro" w:eastAsia="EC Square Sans Pro" w:hAnsi="EC Square Sans Pro" w:cs="EC Square Sans Pro"/>
        </w:rPr>
        <w:t>b</w:t>
      </w:r>
      <w:r w:rsidRPr="00755EDB">
        <w:rPr>
          <w:noProof/>
          <w:lang w:val="fr-FR" w:eastAsia="fr-FR"/>
        </w:rPr>
        <w:drawing>
          <wp:inline distT="0" distB="0" distL="0" distR="0">
            <wp:extent cx="5257109" cy="2732734"/>
            <wp:effectExtent l="0" t="0" r="0" b="0"/>
            <wp:docPr id="3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
                    <a:srcRect l="11249" t="4500" r="6764" b="10250"/>
                    <a:stretch>
                      <a:fillRect/>
                    </a:stretch>
                  </pic:blipFill>
                  <pic:spPr>
                    <a:xfrm>
                      <a:off x="0" y="0"/>
                      <a:ext cx="5257109" cy="2732734"/>
                    </a:xfrm>
                    <a:prstGeom prst="rect">
                      <a:avLst/>
                    </a:prstGeom>
                    <a:ln/>
                  </pic:spPr>
                </pic:pic>
              </a:graphicData>
            </a:graphic>
          </wp:inline>
        </w:drawing>
      </w:r>
    </w:p>
    <w:p w:rsidR="001A5685" w:rsidRPr="00755EDB" w:rsidRDefault="001A5685" w:rsidP="00F02F8F">
      <w:pPr>
        <w:jc w:val="center"/>
      </w:pPr>
      <w:r w:rsidRPr="00755EDB">
        <w:t>c</w:t>
      </w:r>
      <w:r w:rsidR="00F02F8F">
        <w:t xml:space="preserve"> </w:t>
      </w:r>
      <w:r w:rsidRPr="00755EDB">
        <w:rPr>
          <w:noProof/>
          <w:lang w:val="fr-FR" w:eastAsia="fr-FR"/>
        </w:rPr>
        <w:drawing>
          <wp:inline distT="0" distB="0" distL="0" distR="0">
            <wp:extent cx="3137338" cy="2364827"/>
            <wp:effectExtent l="0" t="0" r="6350" b="0"/>
            <wp:docPr id="39"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3134186" cy="2362451"/>
                    </a:xfrm>
                    <a:prstGeom prst="rect">
                      <a:avLst/>
                    </a:prstGeom>
                    <a:ln/>
                  </pic:spPr>
                </pic:pic>
              </a:graphicData>
            </a:graphic>
          </wp:inline>
        </w:drawing>
      </w:r>
    </w:p>
    <w:p w:rsidR="00721932" w:rsidRPr="00D412F4" w:rsidRDefault="00281AA5" w:rsidP="00281AA5">
      <w:pPr>
        <w:pStyle w:val="Lgende"/>
        <w:rPr>
          <w:rFonts w:ascii="EC Square Sans Pro" w:eastAsia="EC Square Sans Pro" w:hAnsi="EC Square Sans Pro" w:cs="EC Square Sans Pro"/>
          <w:i/>
          <w:sz w:val="22"/>
          <w:szCs w:val="22"/>
        </w:rPr>
      </w:pPr>
      <w:bookmarkStart w:id="7" w:name="_Ref435799640"/>
      <w:bookmarkStart w:id="8" w:name="_Ref435799059"/>
      <w:r w:rsidRPr="00D412F4">
        <w:rPr>
          <w:sz w:val="22"/>
          <w:szCs w:val="22"/>
        </w:rPr>
        <w:t xml:space="preserve">Figure SI- </w:t>
      </w:r>
      <w:r w:rsidR="003B76F1" w:rsidRPr="00D412F4">
        <w:rPr>
          <w:sz w:val="22"/>
          <w:szCs w:val="22"/>
        </w:rPr>
        <w:fldChar w:fldCharType="begin"/>
      </w:r>
      <w:r w:rsidRPr="00D412F4">
        <w:rPr>
          <w:sz w:val="22"/>
          <w:szCs w:val="22"/>
        </w:rPr>
        <w:instrText xml:space="preserve"> SEQ Figure_SI- \* ARABIC </w:instrText>
      </w:r>
      <w:r w:rsidR="003B76F1" w:rsidRPr="00D412F4">
        <w:rPr>
          <w:sz w:val="22"/>
          <w:szCs w:val="22"/>
        </w:rPr>
        <w:fldChar w:fldCharType="separate"/>
      </w:r>
      <w:r w:rsidR="00B86506">
        <w:rPr>
          <w:noProof/>
          <w:sz w:val="22"/>
          <w:szCs w:val="22"/>
        </w:rPr>
        <w:t>1</w:t>
      </w:r>
      <w:r w:rsidR="003B76F1" w:rsidRPr="00D412F4">
        <w:rPr>
          <w:sz w:val="22"/>
          <w:szCs w:val="22"/>
        </w:rPr>
        <w:fldChar w:fldCharType="end"/>
      </w:r>
      <w:bookmarkEnd w:id="7"/>
      <w:r w:rsidR="004B6748" w:rsidRPr="00D412F4">
        <w:rPr>
          <w:sz w:val="22"/>
          <w:szCs w:val="22"/>
        </w:rPr>
        <w:t xml:space="preserve"> </w:t>
      </w:r>
      <w:r w:rsidR="001A5685" w:rsidRPr="00D412F4">
        <w:rPr>
          <w:rFonts w:ascii="EC Square Sans Pro" w:eastAsia="EC Square Sans Pro" w:hAnsi="EC Square Sans Pro" w:cs="EC Square Sans Pro"/>
          <w:i/>
          <w:sz w:val="22"/>
          <w:szCs w:val="22"/>
        </w:rPr>
        <w:t>Geographical distribution of a) small and b) large ABFT presence data collected in the period from 1997 to 2014 (in number of observations by 0.5 degree grid cells) as well as c) monthly distribution including data without weight information (mean and standard deviation are shown).</w:t>
      </w:r>
      <w:bookmarkEnd w:id="8"/>
    </w:p>
    <w:p w:rsidR="00721932" w:rsidRPr="00755EDB" w:rsidRDefault="00721932" w:rsidP="002018E4">
      <w:pPr>
        <w:pStyle w:val="Titre1"/>
      </w:pPr>
      <w:bookmarkStart w:id="9" w:name="_Toc423422921"/>
      <w:r w:rsidRPr="00755EDB">
        <w:lastRenderedPageBreak/>
        <w:t xml:space="preserve">Distribution of </w:t>
      </w:r>
      <w:r w:rsidR="0038039D" w:rsidRPr="00755EDB">
        <w:t>the physical variables</w:t>
      </w:r>
      <w:bookmarkEnd w:id="9"/>
    </w:p>
    <w:p w:rsidR="0038039D" w:rsidRPr="00755EDB" w:rsidRDefault="0038039D" w:rsidP="0038039D">
      <w:pPr>
        <w:rPr>
          <w:rFonts w:ascii="EC Square Sans Pro" w:hAnsi="EC Square Sans Pro"/>
        </w:rPr>
      </w:pPr>
      <w:r w:rsidRPr="00755EDB">
        <w:rPr>
          <w:rFonts w:ascii="EC Square Sans Pro" w:hAnsi="EC Square Sans Pro"/>
        </w:rPr>
        <w:t>No substantial seasonal variability of SSHa occur in the North Atlantic while lower and mostly negative SSHa levels were observed only in winter and spring in the Gulf of Mexico. Note that ABFT was identified to prefer negative SSHa levels</w:t>
      </w:r>
      <w:r w:rsidR="002C66EB" w:rsidRPr="00755EDB">
        <w:rPr>
          <w:rFonts w:ascii="EC Square Sans Pro" w:hAnsi="EC Square Sans Pro"/>
        </w:rPr>
        <w:t>,</w:t>
      </w:r>
      <w:r w:rsidRPr="00755EDB">
        <w:rPr>
          <w:rFonts w:ascii="EC Square Sans Pro" w:hAnsi="EC Square Sans Pro"/>
        </w:rPr>
        <w:t xml:space="preserve"> which is permanently the case in the Mediterranean Sea</w:t>
      </w:r>
      <w:r w:rsidR="00CA6969" w:rsidRPr="00755EDB">
        <w:rPr>
          <w:rFonts w:ascii="EC Square Sans Pro" w:hAnsi="EC Square Sans Pro"/>
        </w:rPr>
        <w:t xml:space="preserve"> (not shown)</w:t>
      </w:r>
      <w:r w:rsidRPr="00755EDB">
        <w:rPr>
          <w:rFonts w:ascii="EC Square Sans Pro" w:hAnsi="EC Square Sans Pro"/>
        </w:rPr>
        <w:t>.</w:t>
      </w:r>
    </w:p>
    <w:p w:rsidR="00F02F8F" w:rsidRPr="00F02F8F" w:rsidRDefault="0038039D" w:rsidP="0038039D">
      <w:r w:rsidRPr="00755EDB">
        <w:rPr>
          <w:rFonts w:ascii="EC Square Sans Pro" w:eastAsia="EC Square Sans Pro" w:hAnsi="EC Square Sans Pro" w:cs="EC Square Sans Pro"/>
        </w:rPr>
        <w:t>The distribution of SST and ΔSST</w:t>
      </w:r>
      <w:r w:rsidRPr="00755EDB">
        <w:rPr>
          <w:rFonts w:ascii="EC Square Sans Pro" w:eastAsia="EC Square Sans Pro" w:hAnsi="EC Square Sans Pro" w:cs="EC Square Sans Pro"/>
          <w:vertAlign w:val="subscript"/>
        </w:rPr>
        <w:t>30days</w:t>
      </w:r>
      <w:r w:rsidRPr="00755EDB">
        <w:rPr>
          <w:rFonts w:ascii="EC Square Sans Pro" w:eastAsia="EC Square Sans Pro" w:hAnsi="EC Square Sans Pro" w:cs="EC Square Sans Pro"/>
        </w:rPr>
        <w:t xml:space="preserve"> during the spawning season </w:t>
      </w:r>
      <w:r w:rsidR="00CA6969" w:rsidRPr="00755EDB">
        <w:rPr>
          <w:rFonts w:ascii="EC Square Sans Pro" w:eastAsia="EC Square Sans Pro" w:hAnsi="EC Square Sans Pro" w:cs="EC Square Sans Pro"/>
        </w:rPr>
        <w:t>highlights</w:t>
      </w:r>
      <w:r w:rsidRPr="00755EDB">
        <w:rPr>
          <w:rFonts w:ascii="EC Square Sans Pro" w:eastAsia="EC Square Sans Pro" w:hAnsi="EC Square Sans Pro" w:cs="EC Square Sans Pro"/>
        </w:rPr>
        <w:t xml:space="preserve"> higher </w:t>
      </w:r>
      <w:r w:rsidR="00CA6969" w:rsidRPr="00755EDB">
        <w:rPr>
          <w:rFonts w:ascii="EC Square Sans Pro" w:eastAsia="EC Square Sans Pro" w:hAnsi="EC Square Sans Pro" w:cs="EC Square Sans Pro"/>
        </w:rPr>
        <w:t>levels</w:t>
      </w:r>
      <w:r w:rsidRPr="00755EDB">
        <w:rPr>
          <w:rFonts w:ascii="EC Square Sans Pro" w:eastAsia="EC Square Sans Pro" w:hAnsi="EC Square Sans Pro" w:cs="EC Square Sans Pro"/>
        </w:rPr>
        <w:t xml:space="preserve"> of ΔSST</w:t>
      </w:r>
      <w:r w:rsidRPr="00755EDB">
        <w:rPr>
          <w:rFonts w:ascii="EC Square Sans Pro" w:eastAsia="EC Square Sans Pro" w:hAnsi="EC Square Sans Pro" w:cs="EC Square Sans Pro"/>
          <w:vertAlign w:val="subscript"/>
        </w:rPr>
        <w:t>30days</w:t>
      </w:r>
      <w:r w:rsidR="00CA6969" w:rsidRPr="00755EDB">
        <w:rPr>
          <w:rFonts w:ascii="EC Square Sans Pro" w:eastAsia="EC Square Sans Pro" w:hAnsi="EC Square Sans Pro" w:cs="EC Square Sans Pro"/>
        </w:rPr>
        <w:t xml:space="preserve"> and lower SSTs </w:t>
      </w:r>
      <w:r w:rsidRPr="00755EDB">
        <w:rPr>
          <w:rFonts w:ascii="EC Square Sans Pro" w:eastAsia="EC Square Sans Pro" w:hAnsi="EC Square Sans Pro" w:cs="EC Square Sans Pro"/>
        </w:rPr>
        <w:t>in the Mediterranean Sea</w:t>
      </w:r>
      <w:r w:rsidR="00CD5165" w:rsidRPr="00755EDB">
        <w:rPr>
          <w:rFonts w:ascii="EC Square Sans Pro" w:eastAsia="EC Square Sans Pro" w:hAnsi="EC Square Sans Pro" w:cs="EC Square Sans Pro"/>
        </w:rPr>
        <w:t xml:space="preserve"> </w:t>
      </w:r>
      <w:r w:rsidR="00CA6969" w:rsidRPr="00755EDB">
        <w:rPr>
          <w:rFonts w:ascii="EC Square Sans Pro" w:eastAsia="EC Square Sans Pro" w:hAnsi="EC Square Sans Pro" w:cs="EC Square Sans Pro"/>
        </w:rPr>
        <w:t>than</w:t>
      </w:r>
      <w:r w:rsidR="00CD5165" w:rsidRPr="00755EDB">
        <w:rPr>
          <w:rFonts w:ascii="EC Square Sans Pro" w:eastAsia="EC Square Sans Pro" w:hAnsi="EC Square Sans Pro" w:cs="EC Square Sans Pro"/>
        </w:rPr>
        <w:t xml:space="preserve"> in the Gulf of</w:t>
      </w:r>
      <w:r w:rsidR="00EE6E62" w:rsidRPr="00755EDB">
        <w:rPr>
          <w:rFonts w:ascii="EC Square Sans Pro" w:eastAsia="EC Square Sans Pro" w:hAnsi="EC Square Sans Pro" w:cs="EC Square Sans Pro"/>
        </w:rPr>
        <w:t xml:space="preserve"> Mexico</w:t>
      </w:r>
      <w:r w:rsidR="00CD5165" w:rsidRPr="00755EDB">
        <w:rPr>
          <w:rFonts w:ascii="EC Square Sans Pro" w:eastAsia="EC Square Sans Pro" w:hAnsi="EC Square Sans Pro" w:cs="EC Square Sans Pro"/>
        </w:rPr>
        <w:t>.</w:t>
      </w:r>
      <w:r w:rsidR="00CA6969" w:rsidRPr="00755EDB">
        <w:rPr>
          <w:rFonts w:ascii="EC Square Sans Pro" w:eastAsia="EC Square Sans Pro" w:hAnsi="EC Square Sans Pro" w:cs="EC Square Sans Pro"/>
        </w:rPr>
        <w:t xml:space="preserve"> The retained thresholds (Table 3) are consistent with this geographical variability.</w:t>
      </w:r>
    </w:p>
    <w:tbl>
      <w:tblPr>
        <w:tblStyle w:val="Grilledutableau"/>
        <w:tblW w:w="0" w:type="auto"/>
        <w:tblInd w:w="-318" w:type="dxa"/>
        <w:tblLook w:val="04A0" w:firstRow="1" w:lastRow="0" w:firstColumn="1" w:lastColumn="0" w:noHBand="0" w:noVBand="1"/>
      </w:tblPr>
      <w:tblGrid>
        <w:gridCol w:w="9560"/>
      </w:tblGrid>
      <w:tr w:rsidR="00721932" w:rsidRPr="00755EDB" w:rsidTr="00803D99">
        <w:tc>
          <w:tcPr>
            <w:tcW w:w="9560" w:type="dxa"/>
          </w:tcPr>
          <w:p w:rsidR="00815E1F" w:rsidRPr="00755EDB" w:rsidRDefault="00815E1F" w:rsidP="00815E1F">
            <w:r w:rsidRPr="00755EDB">
              <w:t>a</w:t>
            </w:r>
            <w:r w:rsidRPr="00755EDB">
              <w:rPr>
                <w:noProof/>
                <w:lang w:val="fr-FR" w:eastAsia="fr-FR"/>
              </w:rPr>
              <w:drawing>
                <wp:inline distT="0" distB="0" distL="0" distR="0">
                  <wp:extent cx="5707118" cy="4398579"/>
                  <wp:effectExtent l="0" t="0" r="8255"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Ha_January-December_1998-2013.png"/>
                          <pic:cNvPicPr/>
                        </pic:nvPicPr>
                        <pic:blipFill rotWithShape="1">
                          <a:blip r:embed="rId11">
                            <a:extLst>
                              <a:ext uri="{28A0092B-C50C-407E-A947-70E740481C1C}">
                                <a14:useLocalDpi xmlns:a14="http://schemas.microsoft.com/office/drawing/2010/main" val="0"/>
                              </a:ext>
                            </a:extLst>
                          </a:blip>
                          <a:srcRect b="6047"/>
                          <a:stretch/>
                        </pic:blipFill>
                        <pic:spPr bwMode="auto">
                          <a:xfrm>
                            <a:off x="0" y="0"/>
                            <a:ext cx="5699772" cy="4392917"/>
                          </a:xfrm>
                          <a:prstGeom prst="rect">
                            <a:avLst/>
                          </a:prstGeom>
                          <a:ln>
                            <a:noFill/>
                          </a:ln>
                          <a:extLst>
                            <a:ext uri="{53640926-AAD7-44D8-BBD7-CCE9431645EC}">
                              <a14:shadowObscured xmlns:a14="http://schemas.microsoft.com/office/drawing/2010/main"/>
                            </a:ext>
                          </a:extLst>
                        </pic:spPr>
                      </pic:pic>
                    </a:graphicData>
                  </a:graphic>
                </wp:inline>
              </w:drawing>
            </w:r>
          </w:p>
          <w:p w:rsidR="00815E1F" w:rsidRPr="00755EDB" w:rsidRDefault="00815E1F" w:rsidP="00803D99">
            <w:r w:rsidRPr="00755EDB">
              <w:t>b</w:t>
            </w:r>
            <w:r w:rsidR="00721932" w:rsidRPr="00755EDB">
              <w:rPr>
                <w:noProof/>
                <w:lang w:val="fr-FR" w:eastAsia="fr-FR"/>
              </w:rPr>
              <w:drawing>
                <wp:inline distT="0" distB="0" distL="0" distR="0">
                  <wp:extent cx="2506964" cy="2081048"/>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Ha_January-May_1998-2013.png"/>
                          <pic:cNvPicPr/>
                        </pic:nvPicPr>
                        <pic:blipFill rotWithShape="1">
                          <a:blip r:embed="rId12">
                            <a:extLst>
                              <a:ext uri="{28A0092B-C50C-407E-A947-70E740481C1C}">
                                <a14:useLocalDpi xmlns:a14="http://schemas.microsoft.com/office/drawing/2010/main" val="0"/>
                              </a:ext>
                            </a:extLst>
                          </a:blip>
                          <a:srcRect b="6383"/>
                          <a:stretch/>
                        </pic:blipFill>
                        <pic:spPr bwMode="auto">
                          <a:xfrm>
                            <a:off x="0" y="0"/>
                            <a:ext cx="2509063" cy="2082790"/>
                          </a:xfrm>
                          <a:prstGeom prst="rect">
                            <a:avLst/>
                          </a:prstGeom>
                          <a:ln>
                            <a:noFill/>
                          </a:ln>
                          <a:extLst>
                            <a:ext uri="{53640926-AAD7-44D8-BBD7-CCE9431645EC}">
                              <a14:shadowObscured xmlns:a14="http://schemas.microsoft.com/office/drawing/2010/main"/>
                            </a:ext>
                          </a:extLst>
                        </pic:spPr>
                      </pic:pic>
                    </a:graphicData>
                  </a:graphic>
                </wp:inline>
              </w:drawing>
            </w:r>
            <w:r w:rsidRPr="00755EDB">
              <w:t>c</w:t>
            </w:r>
            <w:r w:rsidR="00721932" w:rsidRPr="00755EDB">
              <w:rPr>
                <w:noProof/>
                <w:lang w:val="fr-FR" w:eastAsia="fr-FR"/>
              </w:rPr>
              <w:drawing>
                <wp:inline distT="0" distB="0" distL="0" distR="0">
                  <wp:extent cx="2518914" cy="2070339"/>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Ha_June-December_1998-2013.png"/>
                          <pic:cNvPicPr/>
                        </pic:nvPicPr>
                        <pic:blipFill rotWithShape="1">
                          <a:blip r:embed="rId13">
                            <a:extLst>
                              <a:ext uri="{28A0092B-C50C-407E-A947-70E740481C1C}">
                                <a14:useLocalDpi xmlns:a14="http://schemas.microsoft.com/office/drawing/2010/main" val="0"/>
                              </a:ext>
                            </a:extLst>
                          </a:blip>
                          <a:srcRect b="7307"/>
                          <a:stretch/>
                        </pic:blipFill>
                        <pic:spPr bwMode="auto">
                          <a:xfrm>
                            <a:off x="0" y="0"/>
                            <a:ext cx="2517183" cy="2068916"/>
                          </a:xfrm>
                          <a:prstGeom prst="rect">
                            <a:avLst/>
                          </a:prstGeom>
                          <a:ln>
                            <a:noFill/>
                          </a:ln>
                          <a:extLst>
                            <a:ext uri="{53640926-AAD7-44D8-BBD7-CCE9431645EC}">
                              <a14:shadowObscured xmlns:a14="http://schemas.microsoft.com/office/drawing/2010/main"/>
                            </a:ext>
                          </a:extLst>
                        </pic:spPr>
                      </pic:pic>
                    </a:graphicData>
                  </a:graphic>
                </wp:inline>
              </w:drawing>
            </w:r>
          </w:p>
          <w:p w:rsidR="00815E1F" w:rsidRPr="00755EDB" w:rsidRDefault="00EE6E62" w:rsidP="00803D99">
            <w:r w:rsidRPr="00755EDB">
              <w:lastRenderedPageBreak/>
              <w:t>d</w:t>
            </w:r>
            <w:r w:rsidR="00815E1F" w:rsidRPr="00755EDB">
              <w:rPr>
                <w:noProof/>
                <w:lang w:val="fr-FR" w:eastAsia="fr-FR"/>
              </w:rPr>
              <w:drawing>
                <wp:inline distT="0" distB="0" distL="0" distR="0">
                  <wp:extent cx="2181600" cy="2239200"/>
                  <wp:effectExtent l="0" t="0" r="952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_April-May_1998-2013.png"/>
                          <pic:cNvPicPr/>
                        </pic:nvPicPr>
                        <pic:blipFill rotWithShape="1">
                          <a:blip r:embed="rId14">
                            <a:extLst>
                              <a:ext uri="{28A0092B-C50C-407E-A947-70E740481C1C}">
                                <a14:useLocalDpi xmlns:a14="http://schemas.microsoft.com/office/drawing/2010/main" val="0"/>
                              </a:ext>
                            </a:extLst>
                          </a:blip>
                          <a:srcRect l="6317" r="8980"/>
                          <a:stretch/>
                        </pic:blipFill>
                        <pic:spPr bwMode="auto">
                          <a:xfrm>
                            <a:off x="0" y="0"/>
                            <a:ext cx="2181600" cy="2239200"/>
                          </a:xfrm>
                          <a:prstGeom prst="rect">
                            <a:avLst/>
                          </a:prstGeom>
                          <a:ln>
                            <a:noFill/>
                          </a:ln>
                          <a:extLst>
                            <a:ext uri="{53640926-AAD7-44D8-BBD7-CCE9431645EC}">
                              <a14:shadowObscured xmlns:a14="http://schemas.microsoft.com/office/drawing/2010/main"/>
                            </a:ext>
                          </a:extLst>
                        </pic:spPr>
                      </pic:pic>
                    </a:graphicData>
                  </a:graphic>
                </wp:inline>
              </w:drawing>
            </w:r>
            <w:r w:rsidRPr="00755EDB">
              <w:t>e</w:t>
            </w:r>
            <w:r w:rsidR="00815E1F" w:rsidRPr="00755EDB">
              <w:rPr>
                <w:noProof/>
                <w:lang w:val="fr-FR" w:eastAsia="fr-FR"/>
              </w:rPr>
              <w:drawing>
                <wp:inline distT="0" distB="0" distL="0" distR="0">
                  <wp:extent cx="3333600" cy="22608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_May-July_1997-2012.png"/>
                          <pic:cNvPicPr/>
                        </pic:nvPicPr>
                        <pic:blipFill rotWithShape="1">
                          <a:blip r:embed="rId15">
                            <a:extLst>
                              <a:ext uri="{28A0092B-C50C-407E-A947-70E740481C1C}">
                                <a14:useLocalDpi xmlns:a14="http://schemas.microsoft.com/office/drawing/2010/main" val="0"/>
                              </a:ext>
                            </a:extLst>
                          </a:blip>
                          <a:srcRect l="14739" r="14263"/>
                          <a:stretch/>
                        </pic:blipFill>
                        <pic:spPr bwMode="auto">
                          <a:xfrm>
                            <a:off x="0" y="0"/>
                            <a:ext cx="3333600" cy="2260800"/>
                          </a:xfrm>
                          <a:prstGeom prst="rect">
                            <a:avLst/>
                          </a:prstGeom>
                          <a:ln>
                            <a:noFill/>
                          </a:ln>
                          <a:extLst>
                            <a:ext uri="{53640926-AAD7-44D8-BBD7-CCE9431645EC}">
                              <a14:shadowObscured xmlns:a14="http://schemas.microsoft.com/office/drawing/2010/main"/>
                            </a:ext>
                          </a:extLst>
                        </pic:spPr>
                      </pic:pic>
                    </a:graphicData>
                  </a:graphic>
                </wp:inline>
              </w:drawing>
            </w:r>
          </w:p>
          <w:p w:rsidR="000534AB" w:rsidRDefault="00EE6E62" w:rsidP="000534AB">
            <w:r w:rsidRPr="00755EDB">
              <w:t>f</w:t>
            </w:r>
            <w:r w:rsidR="000534AB">
              <w:rPr>
                <w:noProof/>
                <w:lang w:val="fr-FR" w:eastAsia="fr-FR"/>
              </w:rPr>
              <w:drawing>
                <wp:inline distT="0" distB="0" distL="0" distR="0">
                  <wp:extent cx="2181600" cy="2239200"/>
                  <wp:effectExtent l="0" t="0" r="952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_March-March_1998-2013.png"/>
                          <pic:cNvPicPr/>
                        </pic:nvPicPr>
                        <pic:blipFill rotWithShape="1">
                          <a:blip r:embed="rId16">
                            <a:extLst>
                              <a:ext uri="{28A0092B-C50C-407E-A947-70E740481C1C}">
                                <a14:useLocalDpi xmlns:a14="http://schemas.microsoft.com/office/drawing/2010/main" val="0"/>
                              </a:ext>
                            </a:extLst>
                          </a:blip>
                          <a:srcRect l="9206" r="11087"/>
                          <a:stretch/>
                        </pic:blipFill>
                        <pic:spPr bwMode="auto">
                          <a:xfrm>
                            <a:off x="0" y="0"/>
                            <a:ext cx="2181600" cy="2239200"/>
                          </a:xfrm>
                          <a:prstGeom prst="rect">
                            <a:avLst/>
                          </a:prstGeom>
                          <a:ln>
                            <a:noFill/>
                          </a:ln>
                          <a:extLst>
                            <a:ext uri="{53640926-AAD7-44D8-BBD7-CCE9431645EC}">
                              <a14:shadowObscured xmlns:a14="http://schemas.microsoft.com/office/drawing/2010/main"/>
                            </a:ext>
                          </a:extLst>
                        </pic:spPr>
                      </pic:pic>
                    </a:graphicData>
                  </a:graphic>
                </wp:inline>
              </w:drawing>
            </w:r>
            <w:r w:rsidR="000534AB">
              <w:t>g</w:t>
            </w:r>
            <w:r w:rsidR="00907EBA">
              <w:rPr>
                <w:noProof/>
                <w:lang w:val="fr-FR" w:eastAsia="fr-FR"/>
              </w:rPr>
              <w:drawing>
                <wp:inline distT="0" distB="0" distL="0" distR="0">
                  <wp:extent cx="3333600" cy="2260800"/>
                  <wp:effectExtent l="0" t="0" r="63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_April-April_1997-2012.png"/>
                          <pic:cNvPicPr/>
                        </pic:nvPicPr>
                        <pic:blipFill rotWithShape="1">
                          <a:blip r:embed="rId17">
                            <a:extLst>
                              <a:ext uri="{28A0092B-C50C-407E-A947-70E740481C1C}">
                                <a14:useLocalDpi xmlns:a14="http://schemas.microsoft.com/office/drawing/2010/main" val="0"/>
                              </a:ext>
                            </a:extLst>
                          </a:blip>
                          <a:srcRect l="14422" r="14104"/>
                          <a:stretch/>
                        </pic:blipFill>
                        <pic:spPr bwMode="auto">
                          <a:xfrm>
                            <a:off x="0" y="0"/>
                            <a:ext cx="3333600" cy="2260800"/>
                          </a:xfrm>
                          <a:prstGeom prst="rect">
                            <a:avLst/>
                          </a:prstGeom>
                          <a:ln>
                            <a:noFill/>
                          </a:ln>
                          <a:extLst>
                            <a:ext uri="{53640926-AAD7-44D8-BBD7-CCE9431645EC}">
                              <a14:shadowObscured xmlns:a14="http://schemas.microsoft.com/office/drawing/2010/main"/>
                            </a:ext>
                          </a:extLst>
                        </pic:spPr>
                      </pic:pic>
                    </a:graphicData>
                  </a:graphic>
                </wp:inline>
              </w:drawing>
            </w:r>
            <w:r w:rsidR="00CD5165" w:rsidRPr="00755EDB">
              <w:t xml:space="preserve"> </w:t>
            </w:r>
          </w:p>
          <w:p w:rsidR="00815E1F" w:rsidRPr="00755EDB" w:rsidRDefault="000534AB" w:rsidP="000534AB">
            <w:r>
              <w:t>h</w:t>
            </w:r>
            <w:r w:rsidR="00CD5165" w:rsidRPr="00755EDB">
              <w:rPr>
                <w:noProof/>
                <w:lang w:val="fr-FR" w:eastAsia="fr-FR"/>
              </w:rPr>
              <w:drawing>
                <wp:inline distT="0" distB="0" distL="0" distR="0">
                  <wp:extent cx="2181600" cy="2239200"/>
                  <wp:effectExtent l="0" t="0" r="952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_April-May_1998-2013.png"/>
                          <pic:cNvPicPr/>
                        </pic:nvPicPr>
                        <pic:blipFill rotWithShape="1">
                          <a:blip r:embed="rId18">
                            <a:extLst>
                              <a:ext uri="{28A0092B-C50C-407E-A947-70E740481C1C}">
                                <a14:useLocalDpi xmlns:a14="http://schemas.microsoft.com/office/drawing/2010/main" val="0"/>
                              </a:ext>
                            </a:extLst>
                          </a:blip>
                          <a:srcRect l="5631" r="7988"/>
                          <a:stretch/>
                        </pic:blipFill>
                        <pic:spPr bwMode="auto">
                          <a:xfrm>
                            <a:off x="0" y="0"/>
                            <a:ext cx="2181600" cy="2239200"/>
                          </a:xfrm>
                          <a:prstGeom prst="rect">
                            <a:avLst/>
                          </a:prstGeom>
                          <a:ln>
                            <a:noFill/>
                          </a:ln>
                          <a:extLst>
                            <a:ext uri="{53640926-AAD7-44D8-BBD7-CCE9431645EC}">
                              <a14:shadowObscured xmlns:a14="http://schemas.microsoft.com/office/drawing/2010/main"/>
                            </a:ext>
                          </a:extLst>
                        </pic:spPr>
                      </pic:pic>
                    </a:graphicData>
                  </a:graphic>
                </wp:inline>
              </w:drawing>
            </w:r>
            <w:r>
              <w:t>i</w:t>
            </w:r>
            <w:r w:rsidR="00815E1F" w:rsidRPr="00755EDB">
              <w:rPr>
                <w:noProof/>
                <w:lang w:val="fr-FR" w:eastAsia="fr-FR"/>
              </w:rPr>
              <w:drawing>
                <wp:inline distT="0" distB="0" distL="0" distR="0">
                  <wp:extent cx="3333600" cy="2260800"/>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_May-July_1997-2012.png"/>
                          <pic:cNvPicPr/>
                        </pic:nvPicPr>
                        <pic:blipFill rotWithShape="1">
                          <a:blip r:embed="rId19">
                            <a:extLst>
                              <a:ext uri="{28A0092B-C50C-407E-A947-70E740481C1C}">
                                <a14:useLocalDpi xmlns:a14="http://schemas.microsoft.com/office/drawing/2010/main" val="0"/>
                              </a:ext>
                            </a:extLst>
                          </a:blip>
                          <a:srcRect l="14580" r="13946"/>
                          <a:stretch/>
                        </pic:blipFill>
                        <pic:spPr bwMode="auto">
                          <a:xfrm>
                            <a:off x="0" y="0"/>
                            <a:ext cx="3333600" cy="2260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721932" w:rsidRPr="008F4233" w:rsidRDefault="004B6748" w:rsidP="004B6748">
      <w:pPr>
        <w:pStyle w:val="Lgende"/>
        <w:rPr>
          <w:sz w:val="22"/>
        </w:rPr>
      </w:pPr>
      <w:bookmarkStart w:id="10" w:name="_Ref421697957"/>
      <w:r w:rsidRPr="008F4233">
        <w:rPr>
          <w:sz w:val="22"/>
        </w:rPr>
        <w:lastRenderedPageBreak/>
        <w:t xml:space="preserve">Figure SI- </w:t>
      </w:r>
      <w:r w:rsidR="003B76F1">
        <w:rPr>
          <w:sz w:val="22"/>
        </w:rPr>
        <w:fldChar w:fldCharType="begin"/>
      </w:r>
      <w:r w:rsidR="00AE52A1">
        <w:rPr>
          <w:sz w:val="22"/>
        </w:rPr>
        <w:instrText xml:space="preserve"> SEQ Figure_SI- \* ARABIC </w:instrText>
      </w:r>
      <w:r w:rsidR="003B76F1">
        <w:rPr>
          <w:sz w:val="22"/>
        </w:rPr>
        <w:fldChar w:fldCharType="separate"/>
      </w:r>
      <w:r w:rsidR="00B86506">
        <w:rPr>
          <w:noProof/>
          <w:sz w:val="22"/>
        </w:rPr>
        <w:t>2</w:t>
      </w:r>
      <w:r w:rsidR="003B76F1">
        <w:rPr>
          <w:sz w:val="22"/>
        </w:rPr>
        <w:fldChar w:fldCharType="end"/>
      </w:r>
      <w:bookmarkEnd w:id="10"/>
      <w:r w:rsidRPr="008F4233">
        <w:rPr>
          <w:sz w:val="22"/>
        </w:rPr>
        <w:t xml:space="preserve"> </w:t>
      </w:r>
      <w:r w:rsidR="00721932" w:rsidRPr="008F4233">
        <w:rPr>
          <w:sz w:val="22"/>
        </w:rPr>
        <w:t>Mean distribution of</w:t>
      </w:r>
      <w:r w:rsidR="00E52504" w:rsidRPr="008F4233">
        <w:rPr>
          <w:sz w:val="22"/>
        </w:rPr>
        <w:t xml:space="preserve"> physical variables for relevant months of the spawning and feeding habitat</w:t>
      </w:r>
      <w:r w:rsidR="000534AB" w:rsidRPr="008F4233">
        <w:rPr>
          <w:sz w:val="22"/>
        </w:rPr>
        <w:t>s</w:t>
      </w:r>
      <w:r w:rsidR="00E52504" w:rsidRPr="008F4233">
        <w:rPr>
          <w:sz w:val="22"/>
        </w:rPr>
        <w:t xml:space="preserve"> (1997-2012 for the Mediterranean Sea and 1998-2013 for the Gulf of Mexico and North Atlantic): </w:t>
      </w:r>
      <w:r w:rsidR="00721932" w:rsidRPr="008F4233">
        <w:rPr>
          <w:sz w:val="22"/>
        </w:rPr>
        <w:t xml:space="preserve"> sea surface height anomaly </w:t>
      </w:r>
      <w:r w:rsidR="00E52504" w:rsidRPr="008F4233">
        <w:rPr>
          <w:sz w:val="22"/>
        </w:rPr>
        <w:t>in</w:t>
      </w:r>
      <w:r w:rsidR="00721932" w:rsidRPr="008F4233">
        <w:rPr>
          <w:sz w:val="22"/>
        </w:rPr>
        <w:t xml:space="preserve"> the </w:t>
      </w:r>
      <w:r w:rsidR="00E52504" w:rsidRPr="008F4233">
        <w:rPr>
          <w:sz w:val="22"/>
        </w:rPr>
        <w:t xml:space="preserve">North Atlantic (a- January-December) and </w:t>
      </w:r>
      <w:r w:rsidR="00721932" w:rsidRPr="008F4233">
        <w:rPr>
          <w:sz w:val="22"/>
        </w:rPr>
        <w:t xml:space="preserve">Gulf of Mexico </w:t>
      </w:r>
      <w:r w:rsidR="00922A71" w:rsidRPr="008F4233">
        <w:rPr>
          <w:sz w:val="22"/>
        </w:rPr>
        <w:t>(</w:t>
      </w:r>
      <w:r w:rsidR="00E52504" w:rsidRPr="008F4233">
        <w:rPr>
          <w:sz w:val="22"/>
        </w:rPr>
        <w:t xml:space="preserve">b- </w:t>
      </w:r>
      <w:r w:rsidR="00922A71" w:rsidRPr="008F4233">
        <w:rPr>
          <w:sz w:val="22"/>
        </w:rPr>
        <w:t>January-May and</w:t>
      </w:r>
      <w:r w:rsidR="00E52504" w:rsidRPr="008F4233">
        <w:rPr>
          <w:sz w:val="22"/>
        </w:rPr>
        <w:t xml:space="preserve"> c- June-</w:t>
      </w:r>
      <w:r w:rsidR="000D340C" w:rsidRPr="008F4233">
        <w:rPr>
          <w:sz w:val="22"/>
        </w:rPr>
        <w:t>Octo</w:t>
      </w:r>
      <w:r w:rsidR="00E52504" w:rsidRPr="008F4233">
        <w:rPr>
          <w:sz w:val="22"/>
        </w:rPr>
        <w:t>ber), sea surface temperature</w:t>
      </w:r>
      <w:r w:rsidR="00CD5165" w:rsidRPr="008F4233">
        <w:rPr>
          <w:sz w:val="22"/>
        </w:rPr>
        <w:t xml:space="preserve"> in d</w:t>
      </w:r>
      <w:r w:rsidR="00EE6E62" w:rsidRPr="008F4233">
        <w:rPr>
          <w:sz w:val="22"/>
        </w:rPr>
        <w:t xml:space="preserve"> </w:t>
      </w:r>
      <w:r w:rsidR="00CD5165" w:rsidRPr="008F4233">
        <w:rPr>
          <w:sz w:val="22"/>
        </w:rPr>
        <w:t xml:space="preserve">- </w:t>
      </w:r>
      <w:r w:rsidR="00E52504" w:rsidRPr="008F4233">
        <w:rPr>
          <w:sz w:val="22"/>
        </w:rPr>
        <w:t>Gulf of Mexico (April-May) and</w:t>
      </w:r>
      <w:r w:rsidR="00EE6E62" w:rsidRPr="008F4233">
        <w:rPr>
          <w:sz w:val="22"/>
        </w:rPr>
        <w:t xml:space="preserve"> e</w:t>
      </w:r>
      <w:r w:rsidR="00CD5165" w:rsidRPr="008F4233">
        <w:rPr>
          <w:sz w:val="22"/>
        </w:rPr>
        <w:t>- Mediterranean Sea (</w:t>
      </w:r>
      <w:r w:rsidR="00EE6E62" w:rsidRPr="008F4233">
        <w:rPr>
          <w:sz w:val="22"/>
        </w:rPr>
        <w:t>May-June</w:t>
      </w:r>
      <w:r w:rsidR="00E52504" w:rsidRPr="008F4233">
        <w:rPr>
          <w:sz w:val="22"/>
        </w:rPr>
        <w:t xml:space="preserve">) and monthly increase of SST in </w:t>
      </w:r>
      <w:r w:rsidR="00CD5165" w:rsidRPr="008F4233">
        <w:rPr>
          <w:sz w:val="22"/>
        </w:rPr>
        <w:t xml:space="preserve">the </w:t>
      </w:r>
      <w:r w:rsidR="00EE6E62" w:rsidRPr="008F4233">
        <w:rPr>
          <w:sz w:val="22"/>
        </w:rPr>
        <w:t>Gulf of Mexico (</w:t>
      </w:r>
      <w:r w:rsidR="000534AB" w:rsidRPr="008F4233">
        <w:rPr>
          <w:sz w:val="22"/>
        </w:rPr>
        <w:t xml:space="preserve">f- March and h- April-May) and </w:t>
      </w:r>
      <w:r w:rsidR="00E52504" w:rsidRPr="008F4233">
        <w:rPr>
          <w:sz w:val="22"/>
        </w:rPr>
        <w:t>the Mediterranean Sea (</w:t>
      </w:r>
      <w:r w:rsidR="00FD389D" w:rsidRPr="008F4233">
        <w:rPr>
          <w:sz w:val="22"/>
        </w:rPr>
        <w:t>g- April and i</w:t>
      </w:r>
      <w:r w:rsidR="000534AB" w:rsidRPr="008F4233">
        <w:rPr>
          <w:sz w:val="22"/>
        </w:rPr>
        <w:t xml:space="preserve">- </w:t>
      </w:r>
      <w:r w:rsidR="00EE6E62" w:rsidRPr="008F4233">
        <w:rPr>
          <w:sz w:val="22"/>
        </w:rPr>
        <w:t>May-June</w:t>
      </w:r>
      <w:r w:rsidR="00E52504" w:rsidRPr="008F4233">
        <w:rPr>
          <w:sz w:val="22"/>
        </w:rPr>
        <w:t>)</w:t>
      </w:r>
      <w:r w:rsidR="00721932" w:rsidRPr="008F4233">
        <w:rPr>
          <w:sz w:val="22"/>
        </w:rPr>
        <w:t xml:space="preserve">. </w:t>
      </w:r>
      <w:bookmarkStart w:id="11" w:name="h.3fwokq0" w:colFirst="0" w:colLast="0"/>
      <w:bookmarkEnd w:id="11"/>
      <w:r w:rsidR="00FD389D" w:rsidRPr="008F4233">
        <w:rPr>
          <w:sz w:val="22"/>
        </w:rPr>
        <w:t xml:space="preserve"> The  thick dash lines correspond to the</w:t>
      </w:r>
      <w:r w:rsidR="000A0A56" w:rsidRPr="008F4233">
        <w:rPr>
          <w:sz w:val="22"/>
        </w:rPr>
        <w:t xml:space="preserve"> contour of the</w:t>
      </w:r>
      <w:r w:rsidR="00FD389D" w:rsidRPr="008F4233">
        <w:rPr>
          <w:sz w:val="22"/>
        </w:rPr>
        <w:t xml:space="preserve"> selected model thresholds in magenta colour for </w:t>
      </w:r>
      <w:r w:rsidR="000A0A56" w:rsidRPr="008F4233">
        <w:rPr>
          <w:sz w:val="22"/>
        </w:rPr>
        <w:t xml:space="preserve">the </w:t>
      </w:r>
      <w:r w:rsidR="00FD389D" w:rsidRPr="008F4233">
        <w:rPr>
          <w:sz w:val="22"/>
        </w:rPr>
        <w:t xml:space="preserve">spawning </w:t>
      </w:r>
      <w:r w:rsidR="000A0A56" w:rsidRPr="008F4233">
        <w:rPr>
          <w:sz w:val="22"/>
        </w:rPr>
        <w:t xml:space="preserve">habitat </w:t>
      </w:r>
      <w:r w:rsidR="00FD389D" w:rsidRPr="008F4233">
        <w:rPr>
          <w:sz w:val="22"/>
        </w:rPr>
        <w:t xml:space="preserve">and green colour for </w:t>
      </w:r>
      <w:r w:rsidR="000A0A56" w:rsidRPr="008F4233">
        <w:rPr>
          <w:sz w:val="22"/>
        </w:rPr>
        <w:t xml:space="preserve">the </w:t>
      </w:r>
      <w:r w:rsidR="00FD389D" w:rsidRPr="008F4233">
        <w:rPr>
          <w:sz w:val="22"/>
        </w:rPr>
        <w:t>feeding habitat</w:t>
      </w:r>
      <w:r w:rsidR="000A0A56" w:rsidRPr="008F4233">
        <w:rPr>
          <w:sz w:val="22"/>
        </w:rPr>
        <w:t xml:space="preserve"> (see Table 3 for values), while the thin solid black line is the 200m-depth contour.</w:t>
      </w:r>
    </w:p>
    <w:p w:rsidR="00AE3DDE" w:rsidRPr="00755EDB" w:rsidRDefault="002A5DD4" w:rsidP="002018E4">
      <w:pPr>
        <w:pStyle w:val="Titre1"/>
      </w:pPr>
      <w:bookmarkStart w:id="12" w:name="_Toc423422922"/>
      <w:bookmarkStart w:id="13" w:name="_Ref439770003"/>
      <w:r w:rsidRPr="00755EDB">
        <w:lastRenderedPageBreak/>
        <w:t>Cluster analysis</w:t>
      </w:r>
      <w:r w:rsidR="004E45CE" w:rsidRPr="00755EDB">
        <w:t xml:space="preserve"> method and</w:t>
      </w:r>
      <w:r w:rsidR="00403725" w:rsidRPr="00755EDB">
        <w:t xml:space="preserve"> results by area</w:t>
      </w:r>
      <w:r w:rsidRPr="00755EDB">
        <w:t xml:space="preserve"> for </w:t>
      </w:r>
      <w:r w:rsidR="00DF4515" w:rsidRPr="00755EDB">
        <w:t xml:space="preserve">small and large </w:t>
      </w:r>
      <w:r w:rsidRPr="00755EDB">
        <w:t>ABFTs</w:t>
      </w:r>
      <w:bookmarkEnd w:id="12"/>
      <w:bookmarkEnd w:id="13"/>
    </w:p>
    <w:p w:rsidR="00F02F8F" w:rsidRDefault="004E45CE" w:rsidP="004E45CE">
      <w:pPr>
        <w:rPr>
          <w:rFonts w:ascii="EC Square Sans Pro" w:eastAsia="EC Square Sans Pro" w:hAnsi="EC Square Sans Pro" w:cs="EC Square Sans Pro"/>
        </w:rPr>
      </w:pPr>
      <w:r w:rsidRPr="00755EDB">
        <w:rPr>
          <w:rFonts w:ascii="EC Square Sans Pro" w:eastAsia="EC Square Sans Pro" w:hAnsi="EC Square Sans Pro" w:cs="EC Square Sans Pro"/>
        </w:rPr>
        <w:t xml:space="preserve">K-means clustering </w:t>
      </w:r>
      <w:r w:rsidR="003B76F1" w:rsidRPr="00755EDB">
        <w:rPr>
          <w:rFonts w:ascii="EC Square Sans Pro" w:eastAsia="EC Square Sans Pro" w:hAnsi="EC Square Sans Pro" w:cs="EC Square Sans Pro"/>
        </w:rPr>
        <w:fldChar w:fldCharType="begin"/>
      </w:r>
      <w:r w:rsidR="00003343" w:rsidRPr="00755EDB">
        <w:rPr>
          <w:rFonts w:ascii="EC Square Sans Pro" w:eastAsia="EC Square Sans Pro" w:hAnsi="EC Square Sans Pro" w:cs="EC Square Sans Pro"/>
        </w:rPr>
        <w:instrText xml:space="preserve"> ADDIN ZOTERO_ITEM CSL_CITATION {"citationID":"m0431k16i","properties":{"formattedCitation":"(MacQueen, 1967)","plainCitation":"(MacQueen, 1967)"},"citationItems":[{"id":2643,"uris":["http://zotero.org/users/678738/items/U87NCK5J"],"uri":["http://zotero.org/users/678738/items/U87NCK5J"],"itemData":{"id":2643,"type":"paper-conference","title":"Some methods for classification and analysis of multivariate observations","container-title":"Proceedings of the fifth Berkeley symposium on mathematical statistics and probability","page":"14","volume":"1","source":"Google Scholar","URL":"http://books.google.it/books?hl=it&amp;lr=&amp;id=IC4Ku_7dBFUC&amp;oi=fnd&amp;pg=PA281&amp;dq=Some+methods+for+classification+and+analysis+of+multivariate+observations.&amp;ots=nM_iHXHdsO&amp;sig=srK_0XmiEricJJGxTbCs5toYbTg","author":[{"family":"MacQueen","given":"James"}],"issued":{"date-parts":[["1967"]]},"accessed":{"date-parts":[["2013",12,20]]}}}],"schema":"https://github.com/citation-style-language/schema/raw/master/csl-citation.json"} </w:instrText>
      </w:r>
      <w:r w:rsidR="003B76F1" w:rsidRPr="00755EDB">
        <w:rPr>
          <w:rFonts w:ascii="EC Square Sans Pro" w:eastAsia="EC Square Sans Pro" w:hAnsi="EC Square Sans Pro" w:cs="EC Square Sans Pro"/>
        </w:rPr>
        <w:fldChar w:fldCharType="separate"/>
      </w:r>
      <w:r w:rsidR="00003343" w:rsidRPr="00755EDB">
        <w:rPr>
          <w:rFonts w:ascii="EC Square Sans Pro" w:hAnsi="EC Square Sans Pro"/>
        </w:rPr>
        <w:t>(MacQueen, 1967)</w:t>
      </w:r>
      <w:r w:rsidR="003B76F1" w:rsidRPr="00755EDB">
        <w:rPr>
          <w:rFonts w:ascii="EC Square Sans Pro" w:eastAsia="EC Square Sans Pro" w:hAnsi="EC Square Sans Pro" w:cs="EC Square Sans Pro"/>
        </w:rPr>
        <w:fldChar w:fldCharType="end"/>
      </w:r>
      <w:r w:rsidRPr="00755EDB">
        <w:rPr>
          <w:rFonts w:ascii="EC Square Sans Pro" w:eastAsia="EC Square Sans Pro" w:hAnsi="EC Square Sans Pro" w:cs="EC Square Sans Pro"/>
        </w:rPr>
        <w:t xml:space="preserve"> based on Euclidean distance was used to estimate the similarity of data points between clusters and minimize the within-cluster sum of square errors. In k-means clustering, the number of clusters k</w:t>
      </w:r>
      <w:r w:rsidR="002C66EB" w:rsidRPr="00755EDB">
        <w:rPr>
          <w:rFonts w:ascii="EC Square Sans Pro" w:eastAsia="EC Square Sans Pro" w:hAnsi="EC Square Sans Pro" w:cs="EC Square Sans Pro"/>
        </w:rPr>
        <w:t xml:space="preserve"> was </w:t>
      </w:r>
      <w:r w:rsidRPr="00755EDB">
        <w:rPr>
          <w:rFonts w:ascii="EC Square Sans Pro" w:eastAsia="EC Square Sans Pro" w:hAnsi="EC Square Sans Pro" w:cs="EC Square Sans Pro"/>
        </w:rPr>
        <w:t>first chosen and the cluster centres are initialised randomly. Each data point</w:t>
      </w:r>
      <w:r w:rsidR="002C66EB" w:rsidRPr="00755EDB">
        <w:rPr>
          <w:rFonts w:ascii="EC Square Sans Pro" w:eastAsia="EC Square Sans Pro" w:hAnsi="EC Square Sans Pro" w:cs="EC Square Sans Pro"/>
        </w:rPr>
        <w:t xml:space="preserve"> was </w:t>
      </w:r>
      <w:r w:rsidRPr="00755EDB">
        <w:rPr>
          <w:rFonts w:ascii="EC Square Sans Pro" w:eastAsia="EC Square Sans Pro" w:hAnsi="EC Square Sans Pro" w:cs="EC Square Sans Pro"/>
        </w:rPr>
        <w:t>then assigned to the closest cluster based on a selected distance measure (similarity) and updated cluster centre. At each iteration step, the new cluster centres are computed as the mean vectors of the assigned data points. These two steps, data point assignment and cluster centre update, are repeated until the cluster centres do not change any more or until a sufficient number of iterations are performed. Matlab’s k-means function was us</w:t>
      </w:r>
      <w:r w:rsidR="007C256E">
        <w:rPr>
          <w:rFonts w:ascii="EC Square Sans Pro" w:eastAsia="EC Square Sans Pro" w:hAnsi="EC Square Sans Pro" w:cs="EC Square Sans Pro"/>
        </w:rPr>
        <w:t>ed with 500 iterations/restarts</w:t>
      </w:r>
      <w:r w:rsidRPr="00755EDB">
        <w:rPr>
          <w:rFonts w:ascii="EC Square Sans Pro" w:eastAsia="EC Square Sans Pro" w:hAnsi="EC Square Sans Pro" w:cs="EC Square Sans Pro"/>
        </w:rPr>
        <w:t xml:space="preserve"> and the Euclidian distance setting. The z-score-transformation </w:t>
      </w:r>
      <w:r w:rsidR="003B76F1" w:rsidRPr="00755EDB">
        <w:rPr>
          <w:rFonts w:ascii="EC Square Sans Pro" w:eastAsia="EC Square Sans Pro" w:hAnsi="EC Square Sans Pro" w:cs="EC Square Sans Pro"/>
        </w:rPr>
        <w:fldChar w:fldCharType="begin"/>
      </w:r>
      <w:r w:rsidR="00003343" w:rsidRPr="00755EDB">
        <w:rPr>
          <w:rFonts w:ascii="EC Square Sans Pro" w:eastAsia="EC Square Sans Pro" w:hAnsi="EC Square Sans Pro" w:cs="EC Square Sans Pro"/>
        </w:rPr>
        <w:instrText xml:space="preserve"> ADDIN ZOTERO_ITEM CSL_CITATION {"citationID":"1r11sio04u","properties":{"formattedCitation":"(Berthold et al., 2010)","plainCitation":"(Berthold et al., 2010)"},"citationItems":[{"id":2814,"uris":["http://zotero.org/users/678738/items/W45TEAKE"],"uri":["http://zotero.org/users/678738/items/W45TEAKE"],"itemData":{"id":2814,"type":"book","title":"Guide to intelligent data analysis","publisher":"Springer, pp. 394","volume":"42","number-of-pages":"394","source":"Google Scholar","URL":"http://books.google.it/books?hl=it&amp;lr=&amp;id=EvGCsYeOFNwC&amp;oi=fnd&amp;pg=PR6&amp;dq=M.R.+Berthold,+C.+Borgelt,+F.+H%C3%B6ppner,+F.+Klawonn+(2010):+Guide+to+Intelligent+Data+Analysis:+How+to+Intelligently+Make+Sense+of+Real+Data&amp;ots=c44_ldfhMS&amp;sig=v2_7QNCyV3GAZLf7x1zeDuLX7Es","author":[{"family":"Berthold","given":"Michael"},{"family":"Borgelt","given":"Christian"},{"family":"Höppner","given":"Frank"}],"issued":{"date-parts":[["2010"]]},"accessed":{"date-parts":[["2013",12,20]]}}}],"schema":"https://github.com/citation-style-language/schema/raw/master/csl-citation.json"} </w:instrText>
      </w:r>
      <w:r w:rsidR="003B76F1" w:rsidRPr="00755EDB">
        <w:rPr>
          <w:rFonts w:ascii="EC Square Sans Pro" w:eastAsia="EC Square Sans Pro" w:hAnsi="EC Square Sans Pro" w:cs="EC Square Sans Pro"/>
        </w:rPr>
        <w:fldChar w:fldCharType="separate"/>
      </w:r>
      <w:r w:rsidR="00003343" w:rsidRPr="00755EDB">
        <w:rPr>
          <w:rFonts w:ascii="EC Square Sans Pro" w:hAnsi="EC Square Sans Pro"/>
        </w:rPr>
        <w:t>(Berthold et al., 2010)</w:t>
      </w:r>
      <w:r w:rsidR="003B76F1" w:rsidRPr="00755EDB">
        <w:rPr>
          <w:rFonts w:ascii="EC Square Sans Pro" w:eastAsia="EC Square Sans Pro" w:hAnsi="EC Square Sans Pro" w:cs="EC Square Sans Pro"/>
        </w:rPr>
        <w:fldChar w:fldCharType="end"/>
      </w:r>
      <w:r w:rsidRPr="00755EDB">
        <w:rPr>
          <w:rFonts w:ascii="EC Square Sans Pro" w:eastAsia="EC Square Sans Pro" w:hAnsi="EC Square Sans Pro" w:cs="EC Square Sans Pro"/>
        </w:rPr>
        <w:t xml:space="preserve"> was performed before clustering, where each data variable was normalised to zero mean and unit variance to guarantee that each selected variable has had equal influence on the minimization of the within-cluster sum</w:t>
      </w:r>
      <w:r w:rsidR="00A578E0" w:rsidRPr="00755EDB">
        <w:rPr>
          <w:rFonts w:ascii="EC Square Sans Pro" w:eastAsia="EC Square Sans Pro" w:hAnsi="EC Square Sans Pro" w:cs="EC Square Sans Pro"/>
        </w:rPr>
        <w:t xml:space="preserve"> of squares objective function </w:t>
      </w:r>
      <w:r w:rsidR="003B76F1" w:rsidRPr="00755EDB">
        <w:rPr>
          <w:rFonts w:ascii="EC Square Sans Pro" w:eastAsia="EC Square Sans Pro" w:hAnsi="EC Square Sans Pro" w:cs="EC Square Sans Pro"/>
        </w:rPr>
        <w:fldChar w:fldCharType="begin"/>
      </w:r>
      <w:r w:rsidR="00003343" w:rsidRPr="00755EDB">
        <w:rPr>
          <w:rFonts w:ascii="EC Square Sans Pro" w:eastAsia="EC Square Sans Pro" w:hAnsi="EC Square Sans Pro" w:cs="EC Square Sans Pro"/>
        </w:rPr>
        <w:instrText xml:space="preserve"> ADDIN ZOTERO_ITEM CSL_CITATION {"citationID":"PY1meEG3","properties":{"formattedCitation":"(Berthold et al., 2010)","plainCitation":"(Berthold et al., 2010)"},"citationItems":[{"id":2814,"uris":["http://zotero.org/users/678738/items/W45TEAKE"],"uri":["http://zotero.org/users/678738/items/W45TEAKE"],"itemData":{"id":2814,"type":"book","title":"Guide to intelligent data analysis","publisher":"Springer, pp. 394","volume":"42","number-of-pages":"394","source":"Google Scholar","URL":"http://books.google.it/books?hl=it&amp;lr=&amp;id=EvGCsYeOFNwC&amp;oi=fnd&amp;pg=PR6&amp;dq=M.R.+Berthold,+C.+Borgelt,+F.+H%C3%B6ppner,+F.+Klawonn+(2010):+Guide+to+Intelligent+Data+Analysis:+How+to+Intelligently+Make+Sense+of+Real+Data&amp;ots=c44_ldfhMS&amp;sig=v2_7QNCyV3GAZLf7x1zeDuLX7Es","author":[{"family":"Berthold","given":"Michael"},{"family":"Borgelt","given":"Christian"},{"family":"Höppner","given":"Frank"}],"issued":{"date-parts":[["2010"]]},"accessed":{"date-parts":[["2013",12,20]]}}}],"schema":"https://github.com/citation-style-language/schema/raw/master/csl-citation.json"} </w:instrText>
      </w:r>
      <w:r w:rsidR="003B76F1" w:rsidRPr="00755EDB">
        <w:rPr>
          <w:rFonts w:ascii="EC Square Sans Pro" w:eastAsia="EC Square Sans Pro" w:hAnsi="EC Square Sans Pro" w:cs="EC Square Sans Pro"/>
        </w:rPr>
        <w:fldChar w:fldCharType="separate"/>
      </w:r>
      <w:r w:rsidR="00003343" w:rsidRPr="00755EDB">
        <w:rPr>
          <w:rFonts w:ascii="EC Square Sans Pro" w:hAnsi="EC Square Sans Pro"/>
        </w:rPr>
        <w:t>(Berthold et al., 2010)</w:t>
      </w:r>
      <w:r w:rsidR="003B76F1" w:rsidRPr="00755EDB">
        <w:rPr>
          <w:rFonts w:ascii="EC Square Sans Pro" w:eastAsia="EC Square Sans Pro" w:hAnsi="EC Square Sans Pro" w:cs="EC Square Sans Pro"/>
        </w:rPr>
        <w:fldChar w:fldCharType="end"/>
      </w:r>
      <w:r w:rsidRPr="00755EDB">
        <w:rPr>
          <w:rFonts w:ascii="EC Square Sans Pro" w:eastAsia="EC Square Sans Pro" w:hAnsi="EC Square Sans Pro" w:cs="EC Square Sans Pro"/>
        </w:rPr>
        <w:t>.</w:t>
      </w:r>
    </w:p>
    <w:p w:rsidR="00AE3DDE" w:rsidRPr="00755EDB" w:rsidRDefault="00F02F8F" w:rsidP="004E45CE">
      <w:r>
        <w:br w:type="page"/>
      </w:r>
    </w:p>
    <w:tbl>
      <w:tblPr>
        <w:tblStyle w:val="a8"/>
        <w:tblW w:w="9242" w:type="dxa"/>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AE3DDE" w:rsidRPr="00755EDB">
        <w:tc>
          <w:tcPr>
            <w:tcW w:w="9242" w:type="dxa"/>
          </w:tcPr>
          <w:p w:rsidR="00AE3DDE" w:rsidRPr="00755EDB" w:rsidRDefault="002A5DD4">
            <w:pPr>
              <w:jc w:val="center"/>
            </w:pPr>
            <w:r w:rsidRPr="00367217">
              <w:rPr>
                <w:rFonts w:ascii="EC Square Sans Pro" w:eastAsia="EC Square Sans Pro" w:hAnsi="EC Square Sans Pro" w:cs="EC Square Sans Pro"/>
                <w:b/>
              </w:rPr>
              <w:lastRenderedPageBreak/>
              <w:t>a</w:t>
            </w:r>
            <w:r w:rsidRPr="00755EDB">
              <w:rPr>
                <w:noProof/>
                <w:lang w:val="fr-FR" w:eastAsia="fr-FR"/>
              </w:rPr>
              <w:drawing>
                <wp:inline distT="0" distB="0" distL="0" distR="0">
                  <wp:extent cx="5518150" cy="2908470"/>
                  <wp:effectExtent l="0" t="0" r="6350" b="6350"/>
                  <wp:docPr id="24"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0">
                            <a:extLst>
                              <a:ext uri="{28A0092B-C50C-407E-A947-70E740481C1C}">
                                <a14:useLocalDpi xmlns:a14="http://schemas.microsoft.com/office/drawing/2010/main" val="0"/>
                              </a:ext>
                            </a:extLst>
                          </a:blip>
                          <a:stretch>
                            <a:fillRect/>
                          </a:stretch>
                        </pic:blipFill>
                        <pic:spPr bwMode="auto">
                          <a:xfrm>
                            <a:off x="0" y="0"/>
                            <a:ext cx="5519965" cy="2909427"/>
                          </a:xfrm>
                          <a:prstGeom prst="rect">
                            <a:avLst/>
                          </a:prstGeom>
                          <a:ln>
                            <a:noFill/>
                          </a:ln>
                          <a:extLst>
                            <a:ext uri="{53640926-AAD7-44D8-BBD7-CCE9431645EC}">
                              <a14:shadowObscured xmlns:a14="http://schemas.microsoft.com/office/drawing/2010/main"/>
                            </a:ext>
                          </a:extLst>
                        </pic:spPr>
                      </pic:pic>
                    </a:graphicData>
                  </a:graphic>
                </wp:inline>
              </w:drawing>
            </w:r>
          </w:p>
          <w:p w:rsidR="00AE3DDE" w:rsidRPr="00755EDB" w:rsidRDefault="002A5DD4">
            <w:pPr>
              <w:jc w:val="center"/>
            </w:pPr>
            <w:r w:rsidRPr="00755EDB">
              <w:rPr>
                <w:noProof/>
                <w:lang w:val="fr-FR" w:eastAsia="fr-FR"/>
              </w:rPr>
              <w:drawing>
                <wp:inline distT="0" distB="0" distL="0" distR="0">
                  <wp:extent cx="4442400" cy="4557600"/>
                  <wp:effectExtent l="0" t="0" r="0" b="0"/>
                  <wp:docPr id="2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rotWithShape="1">
                          <a:blip r:embed="rId21">
                            <a:extLst>
                              <a:ext uri="{28A0092B-C50C-407E-A947-70E740481C1C}">
                                <a14:useLocalDpi xmlns:a14="http://schemas.microsoft.com/office/drawing/2010/main" val="0"/>
                              </a:ext>
                            </a:extLst>
                          </a:blip>
                          <a:srcRect t="6749" b="6709"/>
                          <a:stretch/>
                        </pic:blipFill>
                        <pic:spPr bwMode="auto">
                          <a:xfrm>
                            <a:off x="0" y="0"/>
                            <a:ext cx="4442400" cy="4557600"/>
                          </a:xfrm>
                          <a:prstGeom prst="rect">
                            <a:avLst/>
                          </a:prstGeom>
                          <a:ln>
                            <a:noFill/>
                          </a:ln>
                          <a:extLst>
                            <a:ext uri="{53640926-AAD7-44D8-BBD7-CCE9431645EC}">
                              <a14:shadowObscured xmlns:a14="http://schemas.microsoft.com/office/drawing/2010/main"/>
                            </a:ext>
                          </a:extLst>
                        </pic:spPr>
                      </pic:pic>
                    </a:graphicData>
                  </a:graphic>
                </wp:inline>
              </w:drawing>
            </w:r>
          </w:p>
        </w:tc>
      </w:tr>
      <w:tr w:rsidR="00AE3DDE" w:rsidRPr="00755EDB">
        <w:tc>
          <w:tcPr>
            <w:tcW w:w="9242" w:type="dxa"/>
          </w:tcPr>
          <w:p w:rsidR="00AE3DDE" w:rsidRPr="00755EDB" w:rsidRDefault="002A5DD4">
            <w:pPr>
              <w:jc w:val="center"/>
            </w:pPr>
            <w:r w:rsidRPr="00367217">
              <w:rPr>
                <w:rFonts w:ascii="EC Square Sans Pro" w:eastAsia="EC Square Sans Pro" w:hAnsi="EC Square Sans Pro" w:cs="EC Square Sans Pro"/>
                <w:b/>
              </w:rPr>
              <w:lastRenderedPageBreak/>
              <w:t>b</w:t>
            </w:r>
            <w:r w:rsidRPr="00755EDB">
              <w:rPr>
                <w:noProof/>
                <w:lang w:val="fr-FR" w:eastAsia="fr-FR"/>
              </w:rPr>
              <w:drawing>
                <wp:inline distT="0" distB="0" distL="0" distR="0">
                  <wp:extent cx="5200650" cy="2392394"/>
                  <wp:effectExtent l="0" t="0" r="0" b="8255"/>
                  <wp:docPr id="22"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rotWithShape="1">
                          <a:blip r:embed="rId22">
                            <a:extLst>
                              <a:ext uri="{28A0092B-C50C-407E-A947-70E740481C1C}">
                                <a14:useLocalDpi xmlns:a14="http://schemas.microsoft.com/office/drawing/2010/main" val="0"/>
                              </a:ext>
                            </a:extLst>
                          </a:blip>
                          <a:srcRect l="6563" t="12042" r="2595" b="24607"/>
                          <a:stretch/>
                        </pic:blipFill>
                        <pic:spPr bwMode="auto">
                          <a:xfrm>
                            <a:off x="0" y="0"/>
                            <a:ext cx="5205986" cy="2394849"/>
                          </a:xfrm>
                          <a:prstGeom prst="rect">
                            <a:avLst/>
                          </a:prstGeom>
                          <a:ln>
                            <a:noFill/>
                          </a:ln>
                          <a:extLst>
                            <a:ext uri="{53640926-AAD7-44D8-BBD7-CCE9431645EC}">
                              <a14:shadowObscured xmlns:a14="http://schemas.microsoft.com/office/drawing/2010/main"/>
                            </a:ext>
                          </a:extLst>
                        </pic:spPr>
                      </pic:pic>
                    </a:graphicData>
                  </a:graphic>
                </wp:inline>
              </w:drawing>
            </w:r>
          </w:p>
          <w:p w:rsidR="00AE3DDE" w:rsidRPr="00755EDB" w:rsidRDefault="002A5DD4">
            <w:pPr>
              <w:jc w:val="center"/>
            </w:pPr>
            <w:r w:rsidRPr="00755EDB">
              <w:rPr>
                <w:noProof/>
                <w:lang w:val="fr-FR" w:eastAsia="fr-FR"/>
              </w:rPr>
              <w:drawing>
                <wp:inline distT="0" distB="0" distL="0" distR="0">
                  <wp:extent cx="4442400" cy="4557600"/>
                  <wp:effectExtent l="0" t="0" r="0" b="0"/>
                  <wp:docPr id="2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rotWithShape="1">
                          <a:blip r:embed="rId23">
                            <a:extLst>
                              <a:ext uri="{28A0092B-C50C-407E-A947-70E740481C1C}">
                                <a14:useLocalDpi xmlns:a14="http://schemas.microsoft.com/office/drawing/2010/main" val="0"/>
                              </a:ext>
                            </a:extLst>
                          </a:blip>
                          <a:srcRect t="6473" b="6178"/>
                          <a:stretch/>
                        </pic:blipFill>
                        <pic:spPr bwMode="auto">
                          <a:xfrm>
                            <a:off x="0" y="0"/>
                            <a:ext cx="4442400" cy="4557600"/>
                          </a:xfrm>
                          <a:prstGeom prst="rect">
                            <a:avLst/>
                          </a:prstGeom>
                          <a:ln>
                            <a:noFill/>
                          </a:ln>
                          <a:extLst>
                            <a:ext uri="{53640926-AAD7-44D8-BBD7-CCE9431645EC}">
                              <a14:shadowObscured xmlns:a14="http://schemas.microsoft.com/office/drawing/2010/main"/>
                            </a:ext>
                          </a:extLst>
                        </pic:spPr>
                      </pic:pic>
                    </a:graphicData>
                  </a:graphic>
                </wp:inline>
              </w:drawing>
            </w:r>
          </w:p>
        </w:tc>
      </w:tr>
    </w:tbl>
    <w:p w:rsidR="00367217" w:rsidRDefault="004B6748" w:rsidP="004B6748">
      <w:pPr>
        <w:pStyle w:val="Lgende"/>
        <w:rPr>
          <w:rFonts w:ascii="EC Square Sans Pro" w:eastAsia="EC Square Sans Pro" w:hAnsi="EC Square Sans Pro" w:cs="EC Square Sans Pro"/>
          <w:i/>
          <w:sz w:val="22"/>
        </w:rPr>
      </w:pPr>
      <w:bookmarkStart w:id="14" w:name="h.1v1yuxt" w:colFirst="0" w:colLast="0"/>
      <w:bookmarkStart w:id="15" w:name="_Ref421697971"/>
      <w:bookmarkEnd w:id="14"/>
      <w:r w:rsidRPr="008F4233">
        <w:rPr>
          <w:sz w:val="22"/>
        </w:rPr>
        <w:t xml:space="preserve">Figure SI- </w:t>
      </w:r>
      <w:r w:rsidR="003B76F1">
        <w:rPr>
          <w:sz w:val="22"/>
        </w:rPr>
        <w:fldChar w:fldCharType="begin"/>
      </w:r>
      <w:r w:rsidR="00AE52A1">
        <w:rPr>
          <w:sz w:val="22"/>
        </w:rPr>
        <w:instrText xml:space="preserve"> SEQ Figure_SI- \* ARABIC </w:instrText>
      </w:r>
      <w:r w:rsidR="003B76F1">
        <w:rPr>
          <w:sz w:val="22"/>
        </w:rPr>
        <w:fldChar w:fldCharType="separate"/>
      </w:r>
      <w:r w:rsidR="00B86506">
        <w:rPr>
          <w:noProof/>
          <w:sz w:val="22"/>
        </w:rPr>
        <w:t>3</w:t>
      </w:r>
      <w:r w:rsidR="003B76F1">
        <w:rPr>
          <w:sz w:val="22"/>
        </w:rPr>
        <w:fldChar w:fldCharType="end"/>
      </w:r>
      <w:bookmarkEnd w:id="15"/>
      <w:r w:rsidRPr="008F4233">
        <w:rPr>
          <w:sz w:val="22"/>
        </w:rPr>
        <w:t xml:space="preserve"> </w:t>
      </w:r>
      <w:r w:rsidR="002A5DD4" w:rsidRPr="008F4233">
        <w:rPr>
          <w:rFonts w:ascii="EC Square Sans Pro" w:eastAsia="EC Square Sans Pro" w:hAnsi="EC Square Sans Pro" w:cs="EC Square Sans Pro"/>
          <w:i/>
          <w:sz w:val="22"/>
        </w:rPr>
        <w:t xml:space="preserve">Location and cumulative distribution of environmental conditions (CHL, gradCHL, SST, SSHa, month of observation, individual weight) for </w:t>
      </w:r>
      <w:r w:rsidR="00DF4515" w:rsidRPr="008F4233">
        <w:rPr>
          <w:rFonts w:ascii="EC Square Sans Pro" w:eastAsia="EC Square Sans Pro" w:hAnsi="EC Square Sans Pro" w:cs="EC Square Sans Pro"/>
          <w:i/>
          <w:sz w:val="22"/>
        </w:rPr>
        <w:t>small</w:t>
      </w:r>
      <w:r w:rsidR="002A5DD4" w:rsidRPr="008F4233">
        <w:rPr>
          <w:rFonts w:ascii="EC Square Sans Pro" w:eastAsia="EC Square Sans Pro" w:hAnsi="EC Square Sans Pro" w:cs="EC Square Sans Pro"/>
          <w:i/>
          <w:sz w:val="22"/>
        </w:rPr>
        <w:t xml:space="preserve"> ABFT observations as a result of the clustering analysis in a) the Mediterranean Sea and b) the North Atlantic. CH</w:t>
      </w:r>
      <w:r w:rsidR="0055122F" w:rsidRPr="008F4233">
        <w:rPr>
          <w:rFonts w:ascii="EC Square Sans Pro" w:eastAsia="EC Square Sans Pro" w:hAnsi="EC Square Sans Pro" w:cs="EC Square Sans Pro"/>
          <w:i/>
          <w:sz w:val="22"/>
        </w:rPr>
        <w:t>L and</w:t>
      </w:r>
      <w:r w:rsidR="002A5DD4" w:rsidRPr="008F4233">
        <w:rPr>
          <w:rFonts w:ascii="EC Square Sans Pro" w:eastAsia="EC Square Sans Pro" w:hAnsi="EC Square Sans Pro" w:cs="EC Square Sans Pro"/>
          <w:i/>
          <w:sz w:val="22"/>
        </w:rPr>
        <w:t xml:space="preserve"> </w:t>
      </w:r>
      <w:r w:rsidR="0055122F" w:rsidRPr="008F4233">
        <w:rPr>
          <w:rFonts w:ascii="EC Square Sans Pro" w:eastAsia="EC Square Sans Pro" w:hAnsi="EC Square Sans Pro" w:cs="EC Square Sans Pro"/>
          <w:i/>
          <w:sz w:val="22"/>
        </w:rPr>
        <w:t>grad</w:t>
      </w:r>
      <w:r w:rsidR="002A5DD4" w:rsidRPr="008F4233">
        <w:rPr>
          <w:rFonts w:ascii="EC Square Sans Pro" w:eastAsia="EC Square Sans Pro" w:hAnsi="EC Square Sans Pro" w:cs="EC Square Sans Pro"/>
          <w:i/>
          <w:sz w:val="22"/>
        </w:rPr>
        <w:t>CHL were processed using the logarithm form and are shown with two plots of different scales. Cluster 1 has always the largest number of observations.</w:t>
      </w:r>
    </w:p>
    <w:p w:rsidR="00367217" w:rsidRDefault="00367217" w:rsidP="00367217">
      <w:pPr>
        <w:rPr>
          <w:color w:val="4F81BD" w:themeColor="accent1"/>
          <w:szCs w:val="18"/>
        </w:rPr>
      </w:pPr>
      <w:r>
        <w:br w:type="page"/>
      </w:r>
    </w:p>
    <w:tbl>
      <w:tblPr>
        <w:tblStyle w:val="a9"/>
        <w:tblW w:w="9220" w:type="dxa"/>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20"/>
      </w:tblGrid>
      <w:tr w:rsidR="00AE3DDE" w:rsidRPr="00755EDB" w:rsidTr="00020663">
        <w:trPr>
          <w:trHeight w:val="11295"/>
        </w:trPr>
        <w:tc>
          <w:tcPr>
            <w:tcW w:w="9220" w:type="dxa"/>
          </w:tcPr>
          <w:p w:rsidR="00AE3DDE" w:rsidRPr="00755EDB" w:rsidRDefault="002A5DD4">
            <w:pPr>
              <w:jc w:val="center"/>
            </w:pPr>
            <w:r w:rsidRPr="00367217">
              <w:rPr>
                <w:rFonts w:ascii="EC Square Sans Pro" w:eastAsia="EC Square Sans Pro" w:hAnsi="EC Square Sans Pro" w:cs="EC Square Sans Pro"/>
                <w:b/>
              </w:rPr>
              <w:lastRenderedPageBreak/>
              <w:t>a</w:t>
            </w:r>
            <w:r w:rsidRPr="00755EDB">
              <w:rPr>
                <w:noProof/>
                <w:lang w:val="fr-FR" w:eastAsia="fr-FR"/>
              </w:rPr>
              <w:drawing>
                <wp:inline distT="0" distB="0" distL="0" distR="0">
                  <wp:extent cx="5444774" cy="2870200"/>
                  <wp:effectExtent l="0" t="0" r="3810" b="6350"/>
                  <wp:docPr id="2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4">
                            <a:extLst>
                              <a:ext uri="{28A0092B-C50C-407E-A947-70E740481C1C}">
                                <a14:useLocalDpi xmlns:a14="http://schemas.microsoft.com/office/drawing/2010/main" val="0"/>
                              </a:ext>
                            </a:extLst>
                          </a:blip>
                          <a:stretch>
                            <a:fillRect/>
                          </a:stretch>
                        </pic:blipFill>
                        <pic:spPr bwMode="auto">
                          <a:xfrm>
                            <a:off x="0" y="0"/>
                            <a:ext cx="5443995" cy="2869789"/>
                          </a:xfrm>
                          <a:prstGeom prst="rect">
                            <a:avLst/>
                          </a:prstGeom>
                          <a:ln>
                            <a:noFill/>
                          </a:ln>
                          <a:extLst>
                            <a:ext uri="{53640926-AAD7-44D8-BBD7-CCE9431645EC}">
                              <a14:shadowObscured xmlns:a14="http://schemas.microsoft.com/office/drawing/2010/main"/>
                            </a:ext>
                          </a:extLst>
                        </pic:spPr>
                      </pic:pic>
                    </a:graphicData>
                  </a:graphic>
                </wp:inline>
              </w:drawing>
            </w:r>
          </w:p>
          <w:p w:rsidR="00AE3DDE" w:rsidRPr="00755EDB" w:rsidRDefault="002A5DD4">
            <w:pPr>
              <w:jc w:val="center"/>
            </w:pPr>
            <w:r w:rsidRPr="00755EDB">
              <w:rPr>
                <w:noProof/>
                <w:lang w:val="fr-FR" w:eastAsia="fr-FR"/>
              </w:rPr>
              <w:drawing>
                <wp:inline distT="0" distB="0" distL="0" distR="0">
                  <wp:extent cx="4442400" cy="5691600"/>
                  <wp:effectExtent l="0" t="0" r="0" b="4445"/>
                  <wp:docPr id="1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25">
                            <a:extLst>
                              <a:ext uri="{28A0092B-C50C-407E-A947-70E740481C1C}">
                                <a14:useLocalDpi xmlns:a14="http://schemas.microsoft.com/office/drawing/2010/main" val="0"/>
                              </a:ext>
                            </a:extLst>
                          </a:blip>
                          <a:srcRect t="6969" b="7611"/>
                          <a:stretch/>
                        </pic:blipFill>
                        <pic:spPr bwMode="auto">
                          <a:xfrm>
                            <a:off x="0" y="0"/>
                            <a:ext cx="4442400" cy="5691600"/>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aa"/>
        <w:tblW w:w="9274" w:type="dxa"/>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74"/>
      </w:tblGrid>
      <w:tr w:rsidR="00AE3DDE" w:rsidRPr="00755EDB" w:rsidTr="00020663">
        <w:trPr>
          <w:trHeight w:val="12304"/>
        </w:trPr>
        <w:tc>
          <w:tcPr>
            <w:tcW w:w="9274" w:type="dxa"/>
          </w:tcPr>
          <w:p w:rsidR="00AE3DDE" w:rsidRPr="00755EDB" w:rsidRDefault="002A5DD4" w:rsidP="00D71E62">
            <w:pPr>
              <w:jc w:val="center"/>
            </w:pPr>
            <w:r w:rsidRPr="00367217">
              <w:rPr>
                <w:rFonts w:ascii="EC Square Sans Pro" w:eastAsia="EC Square Sans Pro" w:hAnsi="EC Square Sans Pro" w:cs="EC Square Sans Pro"/>
                <w:b/>
              </w:rPr>
              <w:lastRenderedPageBreak/>
              <w:t>b</w:t>
            </w:r>
            <w:r w:rsidRPr="00755EDB">
              <w:rPr>
                <w:noProof/>
                <w:lang w:val="fr-FR" w:eastAsia="fr-FR"/>
              </w:rPr>
              <w:drawing>
                <wp:inline distT="0" distB="0" distL="0" distR="0">
                  <wp:extent cx="4722451" cy="2921330"/>
                  <wp:effectExtent l="0" t="0" r="2540" b="0"/>
                  <wp:docPr id="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26">
                            <a:extLst>
                              <a:ext uri="{28A0092B-C50C-407E-A947-70E740481C1C}">
                                <a14:useLocalDpi xmlns:a14="http://schemas.microsoft.com/office/drawing/2010/main" val="0"/>
                              </a:ext>
                            </a:extLst>
                          </a:blip>
                          <a:srcRect b="6252"/>
                          <a:stretch/>
                        </pic:blipFill>
                        <pic:spPr bwMode="auto">
                          <a:xfrm>
                            <a:off x="0" y="0"/>
                            <a:ext cx="4735130" cy="2929173"/>
                          </a:xfrm>
                          <a:prstGeom prst="rect">
                            <a:avLst/>
                          </a:prstGeom>
                          <a:ln>
                            <a:noFill/>
                          </a:ln>
                          <a:extLst>
                            <a:ext uri="{53640926-AAD7-44D8-BBD7-CCE9431645EC}">
                              <a14:shadowObscured xmlns:a14="http://schemas.microsoft.com/office/drawing/2010/main"/>
                            </a:ext>
                          </a:extLst>
                        </pic:spPr>
                      </pic:pic>
                    </a:graphicData>
                  </a:graphic>
                </wp:inline>
              </w:drawing>
            </w:r>
          </w:p>
          <w:p w:rsidR="00AE3DDE" w:rsidRPr="00755EDB" w:rsidRDefault="002A5DD4">
            <w:pPr>
              <w:jc w:val="center"/>
            </w:pPr>
            <w:r w:rsidRPr="00755EDB">
              <w:rPr>
                <w:noProof/>
                <w:lang w:val="fr-FR" w:eastAsia="fr-FR"/>
              </w:rPr>
              <w:drawing>
                <wp:inline distT="0" distB="0" distL="0" distR="0">
                  <wp:extent cx="4442400" cy="5691600"/>
                  <wp:effectExtent l="0" t="0" r="0" b="4445"/>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27">
                            <a:extLst>
                              <a:ext uri="{28A0092B-C50C-407E-A947-70E740481C1C}">
                                <a14:useLocalDpi xmlns:a14="http://schemas.microsoft.com/office/drawing/2010/main" val="0"/>
                              </a:ext>
                            </a:extLst>
                          </a:blip>
                          <a:srcRect t="6688" b="7393"/>
                          <a:stretch/>
                        </pic:blipFill>
                        <pic:spPr bwMode="auto">
                          <a:xfrm>
                            <a:off x="0" y="0"/>
                            <a:ext cx="4442400" cy="5691600"/>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ab"/>
        <w:tblW w:w="9242" w:type="dxa"/>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AE3DDE" w:rsidRPr="00755EDB">
        <w:tc>
          <w:tcPr>
            <w:tcW w:w="9242" w:type="dxa"/>
          </w:tcPr>
          <w:p w:rsidR="00AE3DDE" w:rsidRPr="00755EDB" w:rsidRDefault="002A5DD4">
            <w:pPr>
              <w:jc w:val="center"/>
            </w:pPr>
            <w:r w:rsidRPr="00367217">
              <w:rPr>
                <w:rFonts w:ascii="EC Square Sans Pro" w:eastAsia="EC Square Sans Pro" w:hAnsi="EC Square Sans Pro" w:cs="EC Square Sans Pro"/>
                <w:b/>
              </w:rPr>
              <w:lastRenderedPageBreak/>
              <w:t>c</w:t>
            </w:r>
            <w:r w:rsidRPr="00755EDB">
              <w:rPr>
                <w:noProof/>
                <w:lang w:val="fr-FR" w:eastAsia="fr-FR"/>
              </w:rPr>
              <w:drawing>
                <wp:inline distT="0" distB="0" distL="0" distR="0">
                  <wp:extent cx="3977103" cy="2909455"/>
                  <wp:effectExtent l="0" t="0" r="4445" b="5715"/>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8">
                            <a:extLst>
                              <a:ext uri="{28A0092B-C50C-407E-A947-70E740481C1C}">
                                <a14:useLocalDpi xmlns:a14="http://schemas.microsoft.com/office/drawing/2010/main" val="0"/>
                              </a:ext>
                            </a:extLst>
                          </a:blip>
                          <a:srcRect b="6038"/>
                          <a:stretch/>
                        </pic:blipFill>
                        <pic:spPr bwMode="auto">
                          <a:xfrm>
                            <a:off x="0" y="0"/>
                            <a:ext cx="3977103" cy="2909455"/>
                          </a:xfrm>
                          <a:prstGeom prst="rect">
                            <a:avLst/>
                          </a:prstGeom>
                          <a:ln>
                            <a:noFill/>
                          </a:ln>
                          <a:extLst>
                            <a:ext uri="{53640926-AAD7-44D8-BBD7-CCE9431645EC}">
                              <a14:shadowObscured xmlns:a14="http://schemas.microsoft.com/office/drawing/2010/main"/>
                            </a:ext>
                          </a:extLst>
                        </pic:spPr>
                      </pic:pic>
                    </a:graphicData>
                  </a:graphic>
                </wp:inline>
              </w:drawing>
            </w:r>
          </w:p>
          <w:p w:rsidR="00AE3DDE" w:rsidRPr="00755EDB" w:rsidRDefault="002A5DD4">
            <w:pPr>
              <w:jc w:val="center"/>
            </w:pPr>
            <w:r w:rsidRPr="00755EDB">
              <w:rPr>
                <w:noProof/>
                <w:lang w:val="fr-FR" w:eastAsia="fr-FR"/>
              </w:rPr>
              <w:drawing>
                <wp:inline distT="0" distB="0" distL="0" distR="0">
                  <wp:extent cx="4442400" cy="5691600"/>
                  <wp:effectExtent l="0" t="0" r="0" b="4445"/>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29">
                            <a:extLst>
                              <a:ext uri="{28A0092B-C50C-407E-A947-70E740481C1C}">
                                <a14:useLocalDpi xmlns:a14="http://schemas.microsoft.com/office/drawing/2010/main" val="0"/>
                              </a:ext>
                            </a:extLst>
                          </a:blip>
                          <a:srcRect t="6943" b="7188"/>
                          <a:stretch/>
                        </pic:blipFill>
                        <pic:spPr bwMode="auto">
                          <a:xfrm>
                            <a:off x="0" y="0"/>
                            <a:ext cx="4442400" cy="5691600"/>
                          </a:xfrm>
                          <a:prstGeom prst="rect">
                            <a:avLst/>
                          </a:prstGeom>
                          <a:ln>
                            <a:noFill/>
                          </a:ln>
                          <a:extLst>
                            <a:ext uri="{53640926-AAD7-44D8-BBD7-CCE9431645EC}">
                              <a14:shadowObscured xmlns:a14="http://schemas.microsoft.com/office/drawing/2010/main"/>
                            </a:ext>
                          </a:extLst>
                        </pic:spPr>
                      </pic:pic>
                    </a:graphicData>
                  </a:graphic>
                </wp:inline>
              </w:drawing>
            </w:r>
          </w:p>
        </w:tc>
      </w:tr>
    </w:tbl>
    <w:p w:rsidR="00BA572D" w:rsidRDefault="004B6748" w:rsidP="004B6748">
      <w:pPr>
        <w:pStyle w:val="Lgende"/>
        <w:rPr>
          <w:rFonts w:ascii="EC Square Sans Pro" w:eastAsia="EC Square Sans Pro" w:hAnsi="EC Square Sans Pro" w:cs="EC Square Sans Pro"/>
          <w:i/>
          <w:sz w:val="22"/>
        </w:rPr>
      </w:pPr>
      <w:bookmarkStart w:id="16" w:name="h.4f1mdlm" w:colFirst="0" w:colLast="0"/>
      <w:bookmarkStart w:id="17" w:name="_Ref421698008"/>
      <w:bookmarkEnd w:id="16"/>
      <w:r w:rsidRPr="008F4233">
        <w:rPr>
          <w:sz w:val="22"/>
        </w:rPr>
        <w:lastRenderedPageBreak/>
        <w:t xml:space="preserve">Figure SI- </w:t>
      </w:r>
      <w:r w:rsidR="003B76F1">
        <w:rPr>
          <w:sz w:val="22"/>
        </w:rPr>
        <w:fldChar w:fldCharType="begin"/>
      </w:r>
      <w:r w:rsidR="00AE52A1">
        <w:rPr>
          <w:sz w:val="22"/>
        </w:rPr>
        <w:instrText xml:space="preserve"> SEQ Figure_SI- \* ARABIC </w:instrText>
      </w:r>
      <w:r w:rsidR="003B76F1">
        <w:rPr>
          <w:sz w:val="22"/>
        </w:rPr>
        <w:fldChar w:fldCharType="separate"/>
      </w:r>
      <w:r w:rsidR="00B86506">
        <w:rPr>
          <w:noProof/>
          <w:sz w:val="22"/>
        </w:rPr>
        <w:t>4</w:t>
      </w:r>
      <w:r w:rsidR="003B76F1">
        <w:rPr>
          <w:sz w:val="22"/>
        </w:rPr>
        <w:fldChar w:fldCharType="end"/>
      </w:r>
      <w:bookmarkEnd w:id="17"/>
      <w:r w:rsidRPr="008F4233">
        <w:rPr>
          <w:sz w:val="22"/>
        </w:rPr>
        <w:t xml:space="preserve"> </w:t>
      </w:r>
      <w:r w:rsidR="002A5DD4" w:rsidRPr="008F4233">
        <w:rPr>
          <w:rFonts w:ascii="EC Square Sans Pro" w:eastAsia="EC Square Sans Pro" w:hAnsi="EC Square Sans Pro" w:cs="EC Square Sans Pro"/>
          <w:i/>
          <w:sz w:val="22"/>
        </w:rPr>
        <w:t>Location and cumulative distribution of environmental conditions (CHL, gradCHL, SST, ΔSST</w:t>
      </w:r>
      <w:r w:rsidR="002A5DD4" w:rsidRPr="008F4233">
        <w:rPr>
          <w:rFonts w:ascii="EC Square Sans Pro" w:eastAsia="EC Square Sans Pro" w:hAnsi="EC Square Sans Pro" w:cs="EC Square Sans Pro"/>
          <w:i/>
          <w:sz w:val="22"/>
          <w:vertAlign w:val="subscript"/>
        </w:rPr>
        <w:t>30days</w:t>
      </w:r>
      <w:r w:rsidR="002A5DD4" w:rsidRPr="008F4233">
        <w:rPr>
          <w:rFonts w:ascii="EC Square Sans Pro" w:eastAsia="EC Square Sans Pro" w:hAnsi="EC Square Sans Pro" w:cs="EC Square Sans Pro"/>
          <w:i/>
          <w:sz w:val="22"/>
        </w:rPr>
        <w:t xml:space="preserve">, </w:t>
      </w:r>
      <w:r w:rsidR="001C5183" w:rsidRPr="008F4233">
        <w:rPr>
          <w:rFonts w:ascii="EC Square Sans Pro" w:eastAsia="EC Square Sans Pro" w:hAnsi="EC Square Sans Pro" w:cs="EC Square Sans Pro"/>
          <w:i/>
          <w:sz w:val="22"/>
        </w:rPr>
        <w:t>SSCV</w:t>
      </w:r>
      <w:r w:rsidR="002A5DD4" w:rsidRPr="008F4233">
        <w:rPr>
          <w:rFonts w:ascii="EC Square Sans Pro" w:eastAsia="EC Square Sans Pro" w:hAnsi="EC Square Sans Pro" w:cs="EC Square Sans Pro"/>
          <w:i/>
          <w:sz w:val="22"/>
        </w:rPr>
        <w:t xml:space="preserve">, SSHa, month, individual weight) for </w:t>
      </w:r>
      <w:r w:rsidR="00DF4515" w:rsidRPr="008F4233">
        <w:rPr>
          <w:rFonts w:ascii="EC Square Sans Pro" w:eastAsia="EC Square Sans Pro" w:hAnsi="EC Square Sans Pro" w:cs="EC Square Sans Pro"/>
          <w:i/>
          <w:sz w:val="22"/>
        </w:rPr>
        <w:t>large</w:t>
      </w:r>
      <w:r w:rsidR="002A5DD4" w:rsidRPr="008F4233">
        <w:rPr>
          <w:rFonts w:ascii="EC Square Sans Pro" w:eastAsia="EC Square Sans Pro" w:hAnsi="EC Square Sans Pro" w:cs="EC Square Sans Pro"/>
          <w:i/>
          <w:sz w:val="22"/>
        </w:rPr>
        <w:t xml:space="preserve"> ABFT observations as a result of the clustering analysis in a) the Mediterranean Sea, b) the North Atlantic and c) the Gulf of Mexico. CHL</w:t>
      </w:r>
      <w:r w:rsidR="0055122F" w:rsidRPr="008F4233">
        <w:rPr>
          <w:rFonts w:ascii="EC Square Sans Pro" w:eastAsia="EC Square Sans Pro" w:hAnsi="EC Square Sans Pro" w:cs="EC Square Sans Pro"/>
          <w:i/>
          <w:sz w:val="22"/>
        </w:rPr>
        <w:t xml:space="preserve"> and</w:t>
      </w:r>
      <w:r w:rsidR="002A5DD4" w:rsidRPr="008F4233">
        <w:rPr>
          <w:rFonts w:ascii="EC Square Sans Pro" w:eastAsia="EC Square Sans Pro" w:hAnsi="EC Square Sans Pro" w:cs="EC Square Sans Pro"/>
          <w:i/>
          <w:sz w:val="22"/>
        </w:rPr>
        <w:t xml:space="preserve"> </w:t>
      </w:r>
      <w:r w:rsidR="0055122F" w:rsidRPr="008F4233">
        <w:rPr>
          <w:rFonts w:ascii="EC Square Sans Pro" w:eastAsia="EC Square Sans Pro" w:hAnsi="EC Square Sans Pro" w:cs="EC Square Sans Pro"/>
          <w:i/>
          <w:sz w:val="22"/>
        </w:rPr>
        <w:t>gradCHL</w:t>
      </w:r>
      <w:r w:rsidR="002A5DD4" w:rsidRPr="008F4233">
        <w:rPr>
          <w:rFonts w:ascii="EC Square Sans Pro" w:eastAsia="EC Square Sans Pro" w:hAnsi="EC Square Sans Pro" w:cs="EC Square Sans Pro"/>
          <w:i/>
          <w:sz w:val="22"/>
        </w:rPr>
        <w:t xml:space="preserve"> were processed using the logarithm form and are shown with two plots of different scales. Cluster 1 has always the largest number of observations.</w:t>
      </w:r>
    </w:p>
    <w:p w:rsidR="00BA572D" w:rsidRDefault="00BA572D" w:rsidP="00BA572D">
      <w:pPr>
        <w:rPr>
          <w:color w:val="4F81BD" w:themeColor="accent1"/>
          <w:szCs w:val="18"/>
        </w:rPr>
      </w:pPr>
      <w:r>
        <w:br w:type="page"/>
      </w:r>
    </w:p>
    <w:p w:rsidR="00D42970" w:rsidRPr="00755EDB" w:rsidRDefault="00D42970" w:rsidP="002018E4">
      <w:pPr>
        <w:pStyle w:val="Titre1"/>
      </w:pPr>
      <w:bookmarkStart w:id="18" w:name="_Toc423422923"/>
      <w:bookmarkStart w:id="19" w:name="_Ref439678952"/>
      <w:bookmarkStart w:id="20" w:name="_Ref439769867"/>
      <w:r w:rsidRPr="00755EDB">
        <w:lastRenderedPageBreak/>
        <w:t>Levels of productive habitat and model equations</w:t>
      </w:r>
      <w:bookmarkEnd w:id="18"/>
      <w:bookmarkEnd w:id="19"/>
      <w:bookmarkEnd w:id="20"/>
    </w:p>
    <w:p w:rsidR="00D42970" w:rsidRPr="00755EDB" w:rsidRDefault="003B6B3A" w:rsidP="00D42970">
      <w:r>
        <w:rPr>
          <w:rFonts w:ascii="EC Square Sans Pro" w:eastAsia="EC Square Sans Pro" w:hAnsi="EC Square Sans Pro" w:cs="EC Square Sans Pro"/>
        </w:rPr>
        <w:t>Three levels of potential feeding habitats were introduced to account for the diversity of environments in which ABFT feed</w:t>
      </w:r>
      <w:r w:rsidR="002304C6">
        <w:rPr>
          <w:rFonts w:ascii="EC Square Sans Pro" w:eastAsia="EC Square Sans Pro" w:hAnsi="EC Square Sans Pro" w:cs="EC Square Sans Pro"/>
        </w:rPr>
        <w:t xml:space="preserve">. We link here the size of CHL front with the potential presence of preys stating that </w:t>
      </w:r>
      <w:r w:rsidR="00D962A7">
        <w:rPr>
          <w:rFonts w:ascii="EC Square Sans Pro" w:eastAsia="EC Square Sans Pro" w:hAnsi="EC Square Sans Pro" w:cs="EC Square Sans Pro"/>
        </w:rPr>
        <w:t>intermediate trophic levels require stable primary productivity</w:t>
      </w:r>
      <w:r w:rsidR="005706EF">
        <w:rPr>
          <w:rFonts w:ascii="EC Square Sans Pro" w:eastAsia="EC Square Sans Pro" w:hAnsi="EC Square Sans Pro" w:cs="EC Square Sans Pro"/>
        </w:rPr>
        <w:t xml:space="preserve">. </w:t>
      </w:r>
      <w:r w:rsidR="00D42970" w:rsidRPr="00755EDB">
        <w:rPr>
          <w:rFonts w:ascii="EC Square Sans Pro" w:eastAsia="EC Square Sans Pro" w:hAnsi="EC Square Sans Pro" w:cs="EC Square Sans Pro"/>
        </w:rPr>
        <w:t>The highly productive habitat</w:t>
      </w:r>
      <w:r w:rsidR="002C66EB" w:rsidRPr="00755EDB">
        <w:rPr>
          <w:rFonts w:ascii="EC Square Sans Pro" w:eastAsia="EC Square Sans Pro" w:hAnsi="EC Square Sans Pro" w:cs="EC Square Sans Pro"/>
        </w:rPr>
        <w:t xml:space="preserve"> was </w:t>
      </w:r>
      <w:r w:rsidR="00D42970" w:rsidRPr="00755EDB">
        <w:rPr>
          <w:rFonts w:ascii="EC Square Sans Pro" w:eastAsia="EC Square Sans Pro" w:hAnsi="EC Square Sans Pro" w:cs="EC Square Sans Pro"/>
        </w:rPr>
        <w:t xml:space="preserve">represented by the larger frontal systems which, by their size and persistence, contain productive water masses with potentially well-developed food webs </w:t>
      </w:r>
      <w:r w:rsidR="00D82BF3">
        <w:rPr>
          <w:rFonts w:ascii="EC Square Sans Pro" w:eastAsia="EC Square Sans Pro" w:hAnsi="EC Square Sans Pro" w:cs="EC Square Sans Pro"/>
        </w:rPr>
        <w:t xml:space="preserve">and </w:t>
      </w:r>
      <w:r w:rsidR="002304C6">
        <w:rPr>
          <w:rFonts w:ascii="EC Square Sans Pro" w:eastAsia="EC Square Sans Pro" w:hAnsi="EC Square Sans Pro" w:cs="EC Square Sans Pro"/>
        </w:rPr>
        <w:t xml:space="preserve">high number of </w:t>
      </w:r>
      <w:r w:rsidR="00D82BF3">
        <w:rPr>
          <w:rFonts w:ascii="EC Square Sans Pro" w:eastAsia="EC Square Sans Pro" w:hAnsi="EC Square Sans Pro" w:cs="EC Square Sans Pro"/>
        </w:rPr>
        <w:t xml:space="preserve">preys </w:t>
      </w:r>
      <w:r w:rsidR="00D42970" w:rsidRPr="00755EDB">
        <w:rPr>
          <w:rFonts w:ascii="EC Square Sans Pro" w:eastAsia="EC Square Sans Pro" w:hAnsi="EC Square Sans Pro" w:cs="EC Square Sans Pro"/>
        </w:rPr>
        <w:t>(e.g. in the North Atlantic). The moderately productive habitat refers to smaller – less productive – frontal systems which may still represent regional forage hot spots, e.g. summer feeding of small ABFT in parts of the Mediterranean Sea or winter feeding of large fish in parts of the Gulf of Mexico. We defined three threshold values for CHL and two for gradCHL that delimit the highly and moderately productive from the unfavourab</w:t>
      </w:r>
      <w:r w:rsidR="00721932" w:rsidRPr="00755EDB">
        <w:rPr>
          <w:rFonts w:ascii="EC Square Sans Pro" w:eastAsia="EC Square Sans Pro" w:hAnsi="EC Square Sans Pro" w:cs="EC Square Sans Pro"/>
        </w:rPr>
        <w:t>le feeding habitat (</w:t>
      </w:r>
      <w:r w:rsidR="00510BFB">
        <w:fldChar w:fldCharType="begin"/>
      </w:r>
      <w:r w:rsidR="00510BFB">
        <w:instrText xml:space="preserve"> REF _Ref421698535 \h  \* MERGEFORMAT </w:instrText>
      </w:r>
      <w:r w:rsidR="00510BFB">
        <w:fldChar w:fldCharType="separate"/>
      </w:r>
      <w:r w:rsidR="00B86506" w:rsidRPr="008F4233">
        <w:t xml:space="preserve">Figure SI- </w:t>
      </w:r>
      <w:r w:rsidR="00B86506">
        <w:t>5</w:t>
      </w:r>
      <w:r w:rsidR="00510BFB">
        <w:fldChar w:fldCharType="end"/>
      </w:r>
      <w:r w:rsidR="00D42970" w:rsidRPr="00755EDB">
        <w:rPr>
          <w:rFonts w:ascii="EC Square Sans Pro" w:eastAsia="EC Square Sans Pro" w:hAnsi="EC Square Sans Pro" w:cs="EC Square Sans Pro"/>
        </w:rPr>
        <w:t>). The daily values of the highly and moderately productive feeding habitat were set to 1 and 0.3 respectively. The value of 0.3 was chosen as an ad-hoc value for the moderately pro</w:t>
      </w:r>
      <w:r w:rsidR="002C66EB" w:rsidRPr="00755EDB">
        <w:rPr>
          <w:rFonts w:ascii="EC Square Sans Pro" w:eastAsia="EC Square Sans Pro" w:hAnsi="EC Square Sans Pro" w:cs="EC Square Sans Pro"/>
        </w:rPr>
        <w:t>ductive habitat as it represented</w:t>
      </w:r>
      <w:r w:rsidR="00D42970" w:rsidRPr="00755EDB">
        <w:rPr>
          <w:rFonts w:ascii="EC Square Sans Pro" w:eastAsia="EC Square Sans Pro" w:hAnsi="EC Square Sans Pro" w:cs="EC Square Sans Pro"/>
        </w:rPr>
        <w:t xml:space="preserve"> a substantially less favourable feeding habitat (about 3-fold) than the highly productive conditions (of value 1) and</w:t>
      </w:r>
      <w:r w:rsidR="002C66EB" w:rsidRPr="00755EDB">
        <w:rPr>
          <w:rFonts w:ascii="EC Square Sans Pro" w:eastAsia="EC Square Sans Pro" w:hAnsi="EC Square Sans Pro" w:cs="EC Square Sans Pro"/>
        </w:rPr>
        <w:t xml:space="preserve"> was</w:t>
      </w:r>
      <w:r w:rsidR="00D42970" w:rsidRPr="00755EDB">
        <w:rPr>
          <w:rFonts w:ascii="EC Square Sans Pro" w:eastAsia="EC Square Sans Pro" w:hAnsi="EC Square Sans Pro" w:cs="EC Square Sans Pro"/>
        </w:rPr>
        <w:t xml:space="preserve"> markedly above 0. The value of the productive habitat</w:t>
      </w:r>
      <w:r w:rsidR="002C66EB" w:rsidRPr="00755EDB">
        <w:rPr>
          <w:rFonts w:ascii="EC Square Sans Pro" w:eastAsia="EC Square Sans Pro" w:hAnsi="EC Square Sans Pro" w:cs="EC Square Sans Pro"/>
        </w:rPr>
        <w:t xml:space="preserve"> was </w:t>
      </w:r>
      <w:r w:rsidR="00D42970" w:rsidRPr="00755EDB">
        <w:rPr>
          <w:rFonts w:ascii="EC Square Sans Pro" w:eastAsia="EC Square Sans Pro" w:hAnsi="EC Square Sans Pro" w:cs="EC Square Sans Pro"/>
        </w:rPr>
        <w:t>then weighted by the abiotic limitations.</w:t>
      </w:r>
      <w:r w:rsidR="00D82BF3">
        <w:rPr>
          <w:rFonts w:ascii="EC Square Sans Pro" w:eastAsia="EC Square Sans Pro" w:hAnsi="EC Square Sans Pro" w:cs="EC Square Sans Pro"/>
        </w:rPr>
        <w:t xml:space="preserve"> A</w:t>
      </w:r>
      <w:r w:rsidR="00D82BF3" w:rsidRPr="00755EDB">
        <w:rPr>
          <w:rFonts w:ascii="EC Square Sans Pro" w:eastAsia="EC Square Sans Pro" w:hAnsi="EC Square Sans Pro" w:cs="EC Square Sans Pro"/>
        </w:rPr>
        <w:t xml:space="preserve"> similar approach was recently followed to model hake nurseries </w:t>
      </w:r>
      <w:r w:rsidR="00D82BF3">
        <w:rPr>
          <w:rFonts w:ascii="EC Square Sans Pro" w:eastAsia="EC Square Sans Pro" w:hAnsi="EC Square Sans Pro" w:cs="EC Square Sans Pro"/>
        </w:rPr>
        <w:t xml:space="preserve">in the Mediterranean Sea </w:t>
      </w:r>
      <w:r w:rsidR="003B76F1" w:rsidRPr="00755EDB">
        <w:rPr>
          <w:rFonts w:ascii="EC Square Sans Pro" w:eastAsia="EC Square Sans Pro" w:hAnsi="EC Square Sans Pro" w:cs="EC Square Sans Pro"/>
        </w:rPr>
        <w:fldChar w:fldCharType="begin"/>
      </w:r>
      <w:r w:rsidR="00D82BF3">
        <w:rPr>
          <w:rFonts w:ascii="EC Square Sans Pro" w:eastAsia="EC Square Sans Pro" w:hAnsi="EC Square Sans Pro" w:cs="EC Square Sans Pro"/>
        </w:rPr>
        <w:instrText xml:space="preserve"> ADDIN ZOTERO_ITEM CSL_CITATION {"citationID":"kaj7lk6o2","properties":{"formattedCitation":"(Druon et al., 2014)","plainCitation":"(Druon et al., 2014)"},"citationItems":[{"id":1560,"uris":["http://zotero.org/users/678738/items/HGPNGFNN"],"uri":["http://zotero.org/users/678738/items/HGPNGFNN"],"itemData":{"id":1560,"type":"article-journal","title":"Modelling of European hake nurseries in the Mediterranean Sea: an ecological niche approach","container-title":"Progress in Oceanography","page":"188-204","volume":"130","source":"Google Scholar","DOI":"10.1016/j.pocean.2014.11.005","shortTitle":"Modelling of European hake nurseries in the Mediterranean Sea","author":[{"family":"Druon","given":"Jean-Noël"},{"family":"Fiorentino","given":"Fabio"},{"family":"Murenu","given":"Matteo"},{"family":"Knittweis","given":"Leyla"},{"family":"Colloca","given":"Francesco"},{"family":"Osio","given":"Chato"},{"family":"Mérigot","given":"Bastien"},{"family":"Garofalo","given":"Germana"},{"family":"Mannini","given":"Alessandro"},{"family":"Jadaud","given":"Angélique"},{"literal":"others"}],"issued":{"date-parts":[["2014"]]}}}],"schema":"https://github.com/citation-style-language/schema/raw/master/csl-citation.json"} </w:instrText>
      </w:r>
      <w:r w:rsidR="003B76F1" w:rsidRPr="00755EDB">
        <w:rPr>
          <w:rFonts w:ascii="EC Square Sans Pro" w:eastAsia="EC Square Sans Pro" w:hAnsi="EC Square Sans Pro" w:cs="EC Square Sans Pro"/>
        </w:rPr>
        <w:fldChar w:fldCharType="separate"/>
      </w:r>
      <w:r w:rsidR="00D82BF3" w:rsidRPr="00755EDB">
        <w:rPr>
          <w:rFonts w:ascii="EC Square Sans Pro" w:hAnsi="EC Square Sans Pro"/>
        </w:rPr>
        <w:t>(Druon et al., 2014)</w:t>
      </w:r>
      <w:r w:rsidR="003B76F1" w:rsidRPr="00755EDB">
        <w:rPr>
          <w:rFonts w:ascii="EC Square Sans Pro" w:eastAsia="EC Square Sans Pro" w:hAnsi="EC Square Sans Pro" w:cs="EC Square Sans Pro"/>
        </w:rPr>
        <w:fldChar w:fldCharType="end"/>
      </w:r>
      <w:r w:rsidR="00D82BF3">
        <w:rPr>
          <w:rFonts w:ascii="EC Square Sans Pro" w:eastAsia="EC Square Sans Pro" w:hAnsi="EC Square Sans Pro" w:cs="EC Square Sans Pro"/>
        </w:rPr>
        <w:t>.</w:t>
      </w:r>
    </w:p>
    <w:p w:rsidR="00D42970" w:rsidRPr="00755EDB" w:rsidRDefault="00D42970" w:rsidP="00D42970">
      <w:pPr>
        <w:jc w:val="center"/>
      </w:pPr>
      <w:r w:rsidRPr="00755EDB">
        <w:rPr>
          <w:noProof/>
          <w:lang w:val="fr-FR" w:eastAsia="fr-FR"/>
        </w:rPr>
        <w:drawing>
          <wp:inline distT="0" distB="0" distL="0" distR="0">
            <wp:extent cx="4613537" cy="2685547"/>
            <wp:effectExtent l="0" t="0" r="0" b="0"/>
            <wp:docPr id="1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0"/>
                    <a:srcRect/>
                    <a:stretch>
                      <a:fillRect/>
                    </a:stretch>
                  </pic:blipFill>
                  <pic:spPr>
                    <a:xfrm>
                      <a:off x="0" y="0"/>
                      <a:ext cx="4613537" cy="2685547"/>
                    </a:xfrm>
                    <a:prstGeom prst="rect">
                      <a:avLst/>
                    </a:prstGeom>
                    <a:ln/>
                  </pic:spPr>
                </pic:pic>
              </a:graphicData>
            </a:graphic>
          </wp:inline>
        </w:drawing>
      </w:r>
    </w:p>
    <w:p w:rsidR="00D42970" w:rsidRPr="008F4233" w:rsidRDefault="004B6748" w:rsidP="004B6748">
      <w:pPr>
        <w:pStyle w:val="Lgende"/>
        <w:rPr>
          <w:sz w:val="22"/>
        </w:rPr>
      </w:pPr>
      <w:bookmarkStart w:id="21" w:name="h.3rdcrjn" w:colFirst="0" w:colLast="0"/>
      <w:bookmarkStart w:id="22" w:name="_Ref421698535"/>
      <w:bookmarkEnd w:id="21"/>
      <w:r w:rsidRPr="008F4233">
        <w:rPr>
          <w:sz w:val="22"/>
        </w:rPr>
        <w:t xml:space="preserve">Figure SI- </w:t>
      </w:r>
      <w:r w:rsidR="003B76F1">
        <w:rPr>
          <w:sz w:val="22"/>
        </w:rPr>
        <w:fldChar w:fldCharType="begin"/>
      </w:r>
      <w:r w:rsidR="00AE52A1">
        <w:rPr>
          <w:sz w:val="22"/>
        </w:rPr>
        <w:instrText xml:space="preserve"> SEQ Figure_SI- \* ARABIC </w:instrText>
      </w:r>
      <w:r w:rsidR="003B76F1">
        <w:rPr>
          <w:sz w:val="22"/>
        </w:rPr>
        <w:fldChar w:fldCharType="separate"/>
      </w:r>
      <w:r w:rsidR="00B86506">
        <w:rPr>
          <w:noProof/>
          <w:sz w:val="22"/>
        </w:rPr>
        <w:t>5</w:t>
      </w:r>
      <w:r w:rsidR="003B76F1">
        <w:rPr>
          <w:sz w:val="22"/>
        </w:rPr>
        <w:fldChar w:fldCharType="end"/>
      </w:r>
      <w:bookmarkEnd w:id="22"/>
      <w:r w:rsidR="00D42970" w:rsidRPr="008F4233">
        <w:rPr>
          <w:rFonts w:ascii="EC Square Sans Pro" w:eastAsia="EC Square Sans Pro" w:hAnsi="EC Square Sans Pro" w:cs="EC Square Sans Pro"/>
          <w:i/>
          <w:sz w:val="22"/>
        </w:rPr>
        <w:t xml:space="preserve"> Definition of the three productive habitats (unfavourable, moderate and high of value 0, 0.3 and 1 respectively in the model) based on levels of surface chlorophyll content (CHL) and horizontal chlorophyll gradient (gradCHL), thus referring to small and large productive fronts.</w:t>
      </w:r>
    </w:p>
    <w:p w:rsidR="00D42970" w:rsidRPr="00755EDB" w:rsidRDefault="00D42970" w:rsidP="00D42970">
      <w:r w:rsidRPr="00755EDB">
        <w:rPr>
          <w:rFonts w:ascii="EC Square Sans Pro" w:eastAsia="EC Square Sans Pro" w:hAnsi="EC Square Sans Pro" w:cs="EC Square Sans Pro"/>
        </w:rPr>
        <w:t xml:space="preserve">The </w:t>
      </w:r>
      <w:r w:rsidR="00635DF3">
        <w:rPr>
          <w:rFonts w:ascii="EC Square Sans Pro" w:eastAsia="EC Square Sans Pro" w:hAnsi="EC Square Sans Pro" w:cs="EC Square Sans Pro"/>
        </w:rPr>
        <w:t xml:space="preserve">productive habitat, as well as the </w:t>
      </w:r>
      <w:r w:rsidRPr="00755EDB">
        <w:rPr>
          <w:rFonts w:ascii="EC Square Sans Pro" w:eastAsia="EC Square Sans Pro" w:hAnsi="EC Square Sans Pro" w:cs="EC Square Sans Pro"/>
        </w:rPr>
        <w:t>feeding and spawning habitats</w:t>
      </w:r>
      <w:r w:rsidR="005C6591">
        <w:rPr>
          <w:rFonts w:ascii="EC Square Sans Pro" w:eastAsia="EC Square Sans Pro" w:hAnsi="EC Square Sans Pro" w:cs="EC Square Sans Pro"/>
        </w:rPr>
        <w:t>,</w:t>
      </w:r>
      <w:r w:rsidRPr="00755EDB">
        <w:rPr>
          <w:rFonts w:ascii="EC Square Sans Pro" w:eastAsia="EC Square Sans Pro" w:hAnsi="EC Square Sans Pro" w:cs="EC Square Sans Pro"/>
        </w:rPr>
        <w:t xml:space="preserve"> are thus defined by the model grid cells that daily satisfy the suitable environmental conditions </w:t>
      </w:r>
      <w:r w:rsidR="00763552">
        <w:rPr>
          <w:rFonts w:ascii="EC Square Sans Pro" w:eastAsia="EC Square Sans Pro" w:hAnsi="EC Square Sans Pro" w:cs="EC Square Sans Pro"/>
        </w:rPr>
        <w:t>as follows</w:t>
      </w:r>
      <w:r w:rsidR="00BF6080">
        <w:rPr>
          <w:rFonts w:ascii="EC Square Sans Pro" w:eastAsia="EC Square Sans Pro" w:hAnsi="EC Square Sans Pro" w:cs="EC Square Sans Pro"/>
        </w:rPr>
        <w:t xml:space="preserve"> (for instance the daily feeding habitat of a cell is set to 1 if </w:t>
      </w:r>
      <w:r w:rsidR="00BF6080" w:rsidRPr="00BF6080">
        <w:rPr>
          <w:rFonts w:ascii="EC Square Sans Pro" w:eastAsia="EC Square Sans Pro" w:hAnsi="EC Square Sans Pro" w:cs="EC Square Sans Pro"/>
          <w:i/>
        </w:rPr>
        <w:t>CHL</w:t>
      </w:r>
      <w:r w:rsidR="00BF6080" w:rsidRPr="00BF6080">
        <w:rPr>
          <w:rFonts w:ascii="EC Square Sans Pro" w:eastAsia="EC Square Sans Pro" w:hAnsi="EC Square Sans Pro" w:cs="EC Square Sans Pro"/>
          <w:i/>
          <w:vertAlign w:val="subscript"/>
        </w:rPr>
        <w:t>int</w:t>
      </w:r>
      <w:r w:rsidR="00763552">
        <w:rPr>
          <w:rFonts w:ascii="EC Square Sans Pro" w:eastAsia="EC Square Sans Pro" w:hAnsi="EC Square Sans Pro" w:cs="EC Square Sans Pro"/>
          <w:i/>
        </w:rPr>
        <w:t>&lt;CHL&lt;</w:t>
      </w:r>
      <w:r w:rsidR="00BF6080" w:rsidRPr="00BF6080">
        <w:rPr>
          <w:rFonts w:ascii="EC Square Sans Pro" w:eastAsia="EC Square Sans Pro" w:hAnsi="EC Square Sans Pro" w:cs="EC Square Sans Pro"/>
          <w:i/>
        </w:rPr>
        <w:t>CHL</w:t>
      </w:r>
      <w:r w:rsidR="00BF6080" w:rsidRPr="00BF6080">
        <w:rPr>
          <w:rFonts w:ascii="EC Square Sans Pro" w:eastAsia="EC Square Sans Pro" w:hAnsi="EC Square Sans Pro" w:cs="EC Square Sans Pro"/>
          <w:i/>
          <w:vertAlign w:val="subscript"/>
        </w:rPr>
        <w:t>max</w:t>
      </w:r>
      <w:r w:rsidR="00BF6080" w:rsidRPr="00BF6080">
        <w:rPr>
          <w:rFonts w:ascii="EC Square Sans Pro" w:eastAsia="EC Square Sans Pro" w:hAnsi="EC Square Sans Pro" w:cs="EC Square Sans Pro"/>
        </w:rPr>
        <w:t>,</w:t>
      </w:r>
      <w:r w:rsidR="00763552">
        <w:rPr>
          <w:rFonts w:ascii="EC Square Sans Pro" w:eastAsia="EC Square Sans Pro" w:hAnsi="EC Square Sans Pro" w:cs="EC Square Sans Pro"/>
          <w:i/>
        </w:rPr>
        <w:t xml:space="preserve"> gradCHL&gt;</w:t>
      </w:r>
      <w:r w:rsidR="00BF6080" w:rsidRPr="00BF6080">
        <w:rPr>
          <w:rFonts w:ascii="EC Square Sans Pro" w:eastAsia="EC Square Sans Pro" w:hAnsi="EC Square Sans Pro" w:cs="EC Square Sans Pro"/>
          <w:i/>
        </w:rPr>
        <w:t>gradCHL</w:t>
      </w:r>
      <w:r w:rsidR="00BF6080" w:rsidRPr="00BF6080">
        <w:rPr>
          <w:rFonts w:ascii="EC Square Sans Pro" w:eastAsia="EC Square Sans Pro" w:hAnsi="EC Square Sans Pro" w:cs="EC Square Sans Pro"/>
          <w:i/>
          <w:vertAlign w:val="subscript"/>
        </w:rPr>
        <w:t>int</w:t>
      </w:r>
      <w:r w:rsidR="00BF6080" w:rsidRPr="00BF6080">
        <w:rPr>
          <w:rFonts w:ascii="EC Square Sans Pro" w:eastAsia="EC Square Sans Pro" w:hAnsi="EC Square Sans Pro" w:cs="EC Square Sans Pro"/>
        </w:rPr>
        <w:t>,</w:t>
      </w:r>
      <w:r w:rsidR="00BF6080" w:rsidRPr="00BF6080">
        <w:rPr>
          <w:rFonts w:ascii="EC Square Sans Pro" w:eastAsia="EC Square Sans Pro" w:hAnsi="EC Square Sans Pro" w:cs="EC Square Sans Pro"/>
          <w:i/>
        </w:rPr>
        <w:t xml:space="preserve"> SST</w:t>
      </w:r>
      <w:r w:rsidR="00BF6080" w:rsidRPr="00BF6080">
        <w:rPr>
          <w:rFonts w:ascii="EC Square Sans Pro" w:eastAsia="EC Square Sans Pro" w:hAnsi="EC Square Sans Pro" w:cs="EC Square Sans Pro"/>
          <w:i/>
          <w:vertAlign w:val="subscript"/>
        </w:rPr>
        <w:t>min</w:t>
      </w:r>
      <w:r w:rsidR="00BF6080" w:rsidRPr="00BF6080">
        <w:rPr>
          <w:rFonts w:ascii="EC Square Sans Pro" w:eastAsia="EC Square Sans Pro" w:hAnsi="EC Square Sans Pro" w:cs="EC Square Sans Pro"/>
          <w:i/>
        </w:rPr>
        <w:t>&lt;SST</w:t>
      </w:r>
      <w:r w:rsidR="00763552">
        <w:rPr>
          <w:rFonts w:ascii="EC Square Sans Pro" w:eastAsia="EC Square Sans Pro" w:hAnsi="EC Square Sans Pro" w:cs="EC Square Sans Pro"/>
          <w:i/>
        </w:rPr>
        <w:t>&lt;</w:t>
      </w:r>
      <w:r w:rsidR="00BF6080" w:rsidRPr="00BF6080">
        <w:rPr>
          <w:rFonts w:ascii="EC Square Sans Pro" w:eastAsia="EC Square Sans Pro" w:hAnsi="EC Square Sans Pro" w:cs="EC Square Sans Pro"/>
          <w:i/>
        </w:rPr>
        <w:t>SST</w:t>
      </w:r>
      <w:r w:rsidR="00BF6080" w:rsidRPr="00BF6080">
        <w:rPr>
          <w:rFonts w:ascii="EC Square Sans Pro" w:eastAsia="EC Square Sans Pro" w:hAnsi="EC Square Sans Pro" w:cs="EC Square Sans Pro"/>
          <w:i/>
          <w:vertAlign w:val="subscript"/>
        </w:rPr>
        <w:t>max</w:t>
      </w:r>
      <w:r w:rsidR="00BF6080">
        <w:rPr>
          <w:rFonts w:ascii="EC Square Sans Pro" w:eastAsia="EC Square Sans Pro" w:hAnsi="EC Square Sans Pro" w:cs="EC Square Sans Pro"/>
        </w:rPr>
        <w:t xml:space="preserve"> and </w:t>
      </w:r>
      <w:r w:rsidR="00763552">
        <w:rPr>
          <w:rFonts w:ascii="EC Square Sans Pro" w:eastAsia="EC Square Sans Pro" w:hAnsi="EC Square Sans Pro" w:cs="EC Square Sans Pro"/>
          <w:i/>
        </w:rPr>
        <w:t>SSHa&lt;</w:t>
      </w:r>
      <w:r w:rsidR="00BF6080" w:rsidRPr="00BF6080">
        <w:rPr>
          <w:rFonts w:ascii="EC Square Sans Pro" w:eastAsia="EC Square Sans Pro" w:hAnsi="EC Square Sans Pro" w:cs="EC Square Sans Pro"/>
          <w:i/>
        </w:rPr>
        <w:t>SSHa</w:t>
      </w:r>
      <w:r w:rsidR="00BF6080" w:rsidRPr="00BF6080">
        <w:rPr>
          <w:rFonts w:ascii="EC Square Sans Pro" w:eastAsia="EC Square Sans Pro" w:hAnsi="EC Square Sans Pro" w:cs="EC Square Sans Pro"/>
          <w:i/>
          <w:vertAlign w:val="subscript"/>
        </w:rPr>
        <w:t>max</w:t>
      </w:r>
      <w:r w:rsidR="00BF6080">
        <w:rPr>
          <w:rFonts w:ascii="EC Square Sans Pro" w:eastAsia="EC Square Sans Pro" w:hAnsi="EC Square Sans Pro" w:cs="EC Square Sans Pro"/>
        </w:rPr>
        <w:t>)</w:t>
      </w:r>
      <w:r w:rsidRPr="00755EDB">
        <w:rPr>
          <w:rFonts w:ascii="EC Square Sans Pro" w:eastAsia="EC Square Sans Pro" w:hAnsi="EC Square Sans Pro" w:cs="EC Square Sans Pro"/>
        </w:rPr>
        <w:t>:</w:t>
      </w:r>
    </w:p>
    <w:p w:rsidR="00D42970" w:rsidRPr="00755EDB" w:rsidRDefault="00510BFB" w:rsidP="00D42970">
      <m:oMathPara>
        <m:oMathParaPr>
          <m:jc m:val="left"/>
        </m:oMathParaPr>
        <m:oMath>
          <m:sSub>
            <m:sSubPr>
              <m:ctrlPr>
                <w:rPr>
                  <w:rFonts w:ascii="Cambria Math" w:eastAsia="Cambria" w:hAnsi="Cambria Math" w:cs="Cambria"/>
                </w:rPr>
              </m:ctrlPr>
            </m:sSubPr>
            <m:e>
              <m:r>
                <w:rPr>
                  <w:rFonts w:ascii="Cambria Math" w:eastAsia="Cambria" w:hAnsi="Cambria Math" w:cs="Cambria"/>
                </w:rPr>
                <m:t>Productive Habitat</m:t>
              </m:r>
            </m:e>
            <m:sub>
              <m:r>
                <w:rPr>
                  <w:rFonts w:ascii="Cambria Math" w:eastAsia="Cambria" w:hAnsi="Cambria Math" w:cs="Cambria"/>
                </w:rPr>
                <m:t>0/0.3/1</m:t>
              </m:r>
            </m:sub>
          </m:sSub>
          <m:r>
            <w:rPr>
              <w:rFonts w:ascii="Cambria Math" w:eastAsia="Cambria" w:hAnsi="Cambria Math" w:cs="Cambria"/>
            </w:rPr>
            <m:t>=</m:t>
          </m:r>
          <m:sSub>
            <m:sSubPr>
              <m:ctrlPr>
                <w:rPr>
                  <w:rFonts w:ascii="Cambria Math" w:eastAsia="Cambria" w:hAnsi="Cambria Math" w:cs="Cambria"/>
                </w:rPr>
              </m:ctrlPr>
            </m:sSubPr>
            <m:e>
              <m:sSub>
                <m:sSubPr>
                  <m:ctrlPr>
                    <w:rPr>
                      <w:rFonts w:ascii="Cambria Math" w:eastAsia="Cambria" w:hAnsi="Cambria Math" w:cs="Cambria"/>
                    </w:rPr>
                  </m:ctrlPr>
                </m:sSubPr>
                <m:e>
                  <m:r>
                    <w:rPr>
                      <w:rFonts w:ascii="Cambria Math" w:eastAsia="Cambria" w:hAnsi="Cambria Math" w:cs="Cambria"/>
                    </w:rPr>
                    <m:t>CHL</m:t>
                  </m:r>
                </m:e>
                <m:sub>
                  <m:r>
                    <w:rPr>
                      <w:rFonts w:ascii="Cambria Math" w:eastAsia="Cambria" w:hAnsi="Cambria Math" w:cs="Cambria"/>
                    </w:rPr>
                    <m:t>min/int/max</m:t>
                  </m:r>
                </m:sub>
              </m:sSub>
            </m:e>
            <m:sub>
              <m:r>
                <w:rPr>
                  <w:rFonts w:ascii="Cambria Math" w:eastAsia="Cambria" w:hAnsi="Cambria Math" w:cs="Cambria"/>
                </w:rPr>
                <m:t>0/0.3/1</m:t>
              </m:r>
            </m:sub>
          </m:sSub>
          <m:r>
            <w:rPr>
              <w:rFonts w:ascii="Cambria Math" w:eastAsia="Cambria" w:hAnsi="Cambria Math" w:cs="Cambria"/>
            </w:rPr>
            <m:t>*</m:t>
          </m:r>
          <m:sSub>
            <m:sSubPr>
              <m:ctrlPr>
                <w:rPr>
                  <w:rFonts w:ascii="Cambria Math" w:eastAsia="Cambria" w:hAnsi="Cambria Math" w:cs="Cambria"/>
                </w:rPr>
              </m:ctrlPr>
            </m:sSubPr>
            <m:e>
              <m:sSub>
                <m:sSubPr>
                  <m:ctrlPr>
                    <w:rPr>
                      <w:rFonts w:ascii="Cambria Math" w:eastAsia="Cambria" w:hAnsi="Cambria Math" w:cs="Cambria"/>
                    </w:rPr>
                  </m:ctrlPr>
                </m:sSubPr>
                <m:e>
                  <m:r>
                    <w:rPr>
                      <w:rFonts w:ascii="Cambria Math" w:eastAsia="Cambria" w:hAnsi="Cambria Math" w:cs="Cambria"/>
                    </w:rPr>
                    <m:t>gradCHL</m:t>
                  </m:r>
                </m:e>
                <m:sub>
                  <m:r>
                    <w:rPr>
                      <w:rFonts w:ascii="Cambria Math" w:eastAsia="Cambria" w:hAnsi="Cambria Math" w:cs="Cambria"/>
                    </w:rPr>
                    <m:t>min/int</m:t>
                  </m:r>
                </m:sub>
              </m:sSub>
            </m:e>
            <m:sub>
              <m:r>
                <w:rPr>
                  <w:rFonts w:ascii="Cambria Math" w:eastAsia="Cambria" w:hAnsi="Cambria Math" w:cs="Cambria"/>
                </w:rPr>
                <m:t>0/1</m:t>
              </m:r>
            </m:sub>
          </m:sSub>
        </m:oMath>
      </m:oMathPara>
    </w:p>
    <w:p w:rsidR="00D42970" w:rsidRPr="00755EDB" w:rsidRDefault="00510BFB" w:rsidP="00D42970">
      <m:oMathPara>
        <m:oMathParaPr>
          <m:jc m:val="left"/>
        </m:oMathParaPr>
        <m:oMath>
          <m:sSub>
            <m:sSubPr>
              <m:ctrlPr>
                <w:rPr>
                  <w:rFonts w:ascii="Cambria Math" w:eastAsia="Cambria" w:hAnsi="Cambria Math" w:cs="Cambria"/>
                </w:rPr>
              </m:ctrlPr>
            </m:sSubPr>
            <m:e>
              <m:r>
                <w:rPr>
                  <w:rFonts w:ascii="Cambria Math" w:eastAsia="Cambria" w:hAnsi="Cambria Math" w:cs="Cambria"/>
                </w:rPr>
                <m:t>ABFT Feeding Habitat</m:t>
              </m:r>
            </m:e>
            <m:sub>
              <m:r>
                <w:rPr>
                  <w:rFonts w:ascii="Cambria Math" w:eastAsia="Cambria" w:hAnsi="Cambria Math" w:cs="Cambria"/>
                </w:rPr>
                <m:t>Day,Cell</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Productive Habitat</m:t>
              </m:r>
            </m:e>
            <m:sub>
              <m:r>
                <w:rPr>
                  <w:rFonts w:ascii="Cambria Math" w:eastAsia="Cambria" w:hAnsi="Cambria Math" w:cs="Cambria"/>
                </w:rPr>
                <m:t>0/0.3/1</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SS</m:t>
              </m:r>
              <m:sSub>
                <m:sSubPr>
                  <m:ctrlPr>
                    <w:rPr>
                      <w:rFonts w:ascii="Cambria Math" w:eastAsia="Cambria" w:hAnsi="Cambria Math" w:cs="Cambria"/>
                    </w:rPr>
                  </m:ctrlPr>
                </m:sSubPr>
                <m:e>
                  <m:r>
                    <w:rPr>
                      <w:rFonts w:ascii="Cambria Math" w:eastAsia="Cambria" w:hAnsi="Cambria Math" w:cs="Cambria"/>
                    </w:rPr>
                    <m:t>T</m:t>
                  </m:r>
                </m:e>
                <m:sub>
                  <m:r>
                    <w:rPr>
                      <w:rFonts w:ascii="Cambria Math" w:eastAsia="Cambria" w:hAnsi="Cambria Math" w:cs="Cambria"/>
                    </w:rPr>
                    <m:t>range</m:t>
                  </m:r>
                </m:sub>
              </m:sSub>
            </m:e>
            <m:sub>
              <m:r>
                <w:rPr>
                  <w:rFonts w:ascii="Cambria Math" w:eastAsia="Cambria" w:hAnsi="Cambria Math" w:cs="Cambria"/>
                </w:rPr>
                <m:t>0/1</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SS</m:t>
              </m:r>
              <m:sSub>
                <m:sSubPr>
                  <m:ctrlPr>
                    <w:rPr>
                      <w:rFonts w:ascii="Cambria Math" w:eastAsia="Cambria" w:hAnsi="Cambria Math" w:cs="Cambria"/>
                    </w:rPr>
                  </m:ctrlPr>
                </m:sSubPr>
                <m:e>
                  <m:r>
                    <w:rPr>
                      <w:rFonts w:ascii="Cambria Math" w:eastAsia="Cambria" w:hAnsi="Cambria Math" w:cs="Cambria"/>
                    </w:rPr>
                    <m:t>Ha</m:t>
                  </m:r>
                </m:e>
                <m:sub>
                  <m:r>
                    <w:rPr>
                      <w:rFonts w:ascii="Cambria Math" w:eastAsia="Cambria" w:hAnsi="Cambria Math" w:cs="Cambria"/>
                    </w:rPr>
                    <m:t>max</m:t>
                  </m:r>
                </m:sub>
              </m:sSub>
            </m:e>
            <m:sub>
              <m:r>
                <w:rPr>
                  <w:rFonts w:ascii="Cambria Math" w:eastAsia="Cambria" w:hAnsi="Cambria Math" w:cs="Cambria"/>
                </w:rPr>
                <m:t>0/1</m:t>
              </m:r>
            </m:sub>
          </m:sSub>
        </m:oMath>
      </m:oMathPara>
    </w:p>
    <w:p w:rsidR="00D42970" w:rsidRPr="00755EDB" w:rsidRDefault="00510BFB" w:rsidP="00D42970">
      <w:pPr>
        <w:spacing w:after="0" w:line="240" w:lineRule="auto"/>
      </w:pPr>
      <m:oMath>
        <m:sSub>
          <m:sSubPr>
            <m:ctrlPr>
              <w:rPr>
                <w:rFonts w:ascii="Cambria Math" w:eastAsia="Cambria" w:hAnsi="Cambria Math" w:cs="Cambria"/>
              </w:rPr>
            </m:ctrlPr>
          </m:sSubPr>
          <m:e>
            <m:r>
              <w:rPr>
                <w:rFonts w:ascii="Cambria Math" w:eastAsia="Cambria" w:hAnsi="Cambria Math" w:cs="Cambria"/>
              </w:rPr>
              <m:t>ABFT Spawning Habitat</m:t>
            </m:r>
          </m:e>
          <m:sub>
            <m:r>
              <w:rPr>
                <w:rFonts w:ascii="Cambria Math" w:eastAsia="Cambria" w:hAnsi="Cambria Math" w:cs="Cambria"/>
              </w:rPr>
              <m:t>Day,Cell</m:t>
            </m:r>
          </m:sub>
        </m:sSub>
        <m:r>
          <w:rPr>
            <w:rFonts w:ascii="Cambria Math" w:eastAsia="Cambria" w:hAnsi="Cambria Math" w:cs="Cambria"/>
          </w:rPr>
          <m:t>=</m:t>
        </m:r>
        <m:sSub>
          <m:sSubPr>
            <m:ctrlPr>
              <w:rPr>
                <w:rFonts w:ascii="Cambria Math" w:eastAsia="Cambria" w:hAnsi="Cambria Math" w:cs="Cambria"/>
              </w:rPr>
            </m:ctrlPr>
          </m:sSubPr>
          <m:e>
            <m:sSub>
              <m:sSubPr>
                <m:ctrlPr>
                  <w:rPr>
                    <w:rFonts w:ascii="Cambria Math" w:eastAsia="Cambria" w:hAnsi="Cambria Math" w:cs="Cambria"/>
                  </w:rPr>
                </m:ctrlPr>
              </m:sSubPr>
              <m:e>
                <m:r>
                  <w:rPr>
                    <w:rFonts w:ascii="Cambria Math" w:eastAsia="Cambria" w:hAnsi="Cambria Math" w:cs="Cambria"/>
                  </w:rPr>
                  <m:t>CHL</m:t>
                </m:r>
              </m:e>
              <m:sub>
                <m:r>
                  <w:rPr>
                    <w:rFonts w:ascii="Cambria Math" w:eastAsia="Cambria" w:hAnsi="Cambria Math" w:cs="Cambria"/>
                  </w:rPr>
                  <m:t>range</m:t>
                </m:r>
              </m:sub>
            </m:sSub>
          </m:e>
          <m:sub>
            <m:r>
              <w:rPr>
                <w:rFonts w:ascii="Cambria Math" w:eastAsia="Cambria" w:hAnsi="Cambria Math" w:cs="Cambria"/>
              </w:rPr>
              <m:t>0/1</m:t>
            </m:r>
          </m:sub>
        </m:sSub>
        <m:r>
          <w:rPr>
            <w:rFonts w:ascii="Cambria Math" w:eastAsia="Cambria" w:hAnsi="Cambria Math" w:cs="Cambria"/>
          </w:rPr>
          <m:t>*</m:t>
        </m:r>
        <m:sSub>
          <m:sSubPr>
            <m:ctrlPr>
              <w:rPr>
                <w:rFonts w:ascii="Cambria Math" w:eastAsia="Cambria" w:hAnsi="Cambria Math" w:cs="Cambria"/>
              </w:rPr>
            </m:ctrlPr>
          </m:sSubPr>
          <m:e>
            <m:sSub>
              <m:sSubPr>
                <m:ctrlPr>
                  <w:rPr>
                    <w:rFonts w:ascii="Cambria Math" w:eastAsia="Cambria" w:hAnsi="Cambria Math" w:cs="Cambria"/>
                  </w:rPr>
                </m:ctrlPr>
              </m:sSubPr>
              <m:e>
                <m:r>
                  <w:rPr>
                    <w:rFonts w:ascii="Cambria Math" w:eastAsia="Cambria" w:hAnsi="Cambria Math" w:cs="Cambria"/>
                  </w:rPr>
                  <m:t>ΔSST_30days</m:t>
                </m:r>
              </m:e>
              <m:sub>
                <m:r>
                  <w:rPr>
                    <w:rFonts w:ascii="Cambria Math" w:eastAsia="Cambria" w:hAnsi="Cambria Math" w:cs="Cambria"/>
                  </w:rPr>
                  <m:t>min</m:t>
                </m:r>
              </m:sub>
            </m:sSub>
          </m:e>
          <m:sub>
            <m:r>
              <w:rPr>
                <w:rFonts w:ascii="Cambria Math" w:eastAsia="Cambria" w:hAnsi="Cambria Math" w:cs="Cambria"/>
              </w:rPr>
              <m:t>0/1</m:t>
            </m:r>
          </m:sub>
        </m:sSub>
        <m:r>
          <w:rPr>
            <w:rFonts w:ascii="Cambria Math" w:eastAsia="Cambria" w:hAnsi="Cambria Math" w:cs="Cambria"/>
          </w:rPr>
          <m:t>*</m:t>
        </m:r>
        <m:sSub>
          <m:sSubPr>
            <m:ctrlPr>
              <w:rPr>
                <w:rFonts w:ascii="Cambria Math" w:eastAsia="Cambria" w:hAnsi="Cambria Math" w:cs="Cambria"/>
              </w:rPr>
            </m:ctrlPr>
          </m:sSubPr>
          <m:e>
            <m:sSub>
              <m:sSubPr>
                <m:ctrlPr>
                  <w:rPr>
                    <w:rFonts w:ascii="Cambria Math" w:eastAsia="Cambria" w:hAnsi="Cambria Math" w:cs="Cambria"/>
                  </w:rPr>
                </m:ctrlPr>
              </m:sSubPr>
              <m:e>
                <m:r>
                  <w:rPr>
                    <w:rFonts w:ascii="Cambria Math" w:eastAsia="Cambria" w:hAnsi="Cambria Math" w:cs="Cambria"/>
                  </w:rPr>
                  <m:t>SST</m:t>
                </m:r>
              </m:e>
              <m:sub>
                <m:r>
                  <w:rPr>
                    <w:rFonts w:ascii="Cambria Math" w:eastAsia="Cambria" w:hAnsi="Cambria Math" w:cs="Cambria"/>
                  </w:rPr>
                  <m:t>min</m:t>
                </m:r>
              </m:sub>
            </m:sSub>
          </m:e>
          <m:sub>
            <m:r>
              <w:rPr>
                <w:rFonts w:ascii="Cambria Math" w:eastAsia="Cambria" w:hAnsi="Cambria Math" w:cs="Cambria"/>
              </w:rPr>
              <m:t>0/1</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SS</m:t>
            </m:r>
            <m:sSub>
              <m:sSubPr>
                <m:ctrlPr>
                  <w:rPr>
                    <w:rFonts w:ascii="Cambria Math" w:eastAsia="Cambria" w:hAnsi="Cambria Math" w:cs="Cambria"/>
                  </w:rPr>
                </m:ctrlPr>
              </m:sSubPr>
              <m:e>
                <m:r>
                  <w:rPr>
                    <w:rFonts w:ascii="Cambria Math" w:eastAsia="Cambria" w:hAnsi="Cambria Math" w:cs="Cambria"/>
                  </w:rPr>
                  <m:t>C</m:t>
                </m:r>
              </m:e>
              <m:sub>
                <m:r>
                  <w:rPr>
                    <w:rFonts w:ascii="Cambria Math" w:eastAsia="Cambria" w:hAnsi="Cambria Math" w:cs="Cambria"/>
                  </w:rPr>
                  <m:t>range</m:t>
                </m:r>
              </m:sub>
            </m:sSub>
          </m:e>
          <m:sub>
            <m:r>
              <w:rPr>
                <w:rFonts w:ascii="Cambria Math" w:eastAsia="Cambria" w:hAnsi="Cambria Math" w:cs="Cambria"/>
              </w:rPr>
              <m:t>0/1</m:t>
            </m:r>
          </m:sub>
        </m:sSub>
      </m:oMath>
      <w:r w:rsidR="00D42970" w:rsidRPr="00755EDB">
        <w:rPr>
          <w:rFonts w:ascii="Verdana" w:eastAsia="Verdana" w:hAnsi="Verdana" w:cs="Verdana"/>
        </w:rPr>
        <w:t xml:space="preserve"> </w:t>
      </w:r>
      <m:oMath>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SS</m:t>
            </m:r>
            <m:sSub>
              <m:sSubPr>
                <m:ctrlPr>
                  <w:rPr>
                    <w:rFonts w:ascii="Cambria Math" w:eastAsia="Cambria" w:hAnsi="Cambria Math" w:cs="Cambria"/>
                  </w:rPr>
                </m:ctrlPr>
              </m:sSubPr>
              <m:e>
                <m:r>
                  <w:rPr>
                    <w:rFonts w:ascii="Cambria Math" w:eastAsia="Cambria" w:hAnsi="Cambria Math" w:cs="Cambria"/>
                  </w:rPr>
                  <m:t>Ha</m:t>
                </m:r>
              </m:e>
              <m:sub>
                <m:r>
                  <w:rPr>
                    <w:rFonts w:ascii="Cambria Math" w:eastAsia="Cambria" w:hAnsi="Cambria Math" w:cs="Cambria"/>
                  </w:rPr>
                  <m:t>range</m:t>
                </m:r>
              </m:sub>
            </m:sSub>
          </m:e>
          <m:sub>
            <m:r>
              <w:rPr>
                <w:rFonts w:ascii="Cambria Math" w:eastAsia="Cambria" w:hAnsi="Cambria Math" w:cs="Cambria"/>
              </w:rPr>
              <m:t>0/1</m:t>
            </m:r>
          </m:sub>
        </m:sSub>
      </m:oMath>
    </w:p>
    <w:p w:rsidR="00D42970" w:rsidRPr="00755EDB" w:rsidRDefault="00D42970" w:rsidP="00D42970"/>
    <w:p w:rsidR="00D42970" w:rsidRPr="00755EDB" w:rsidRDefault="00D42970" w:rsidP="00D42970">
      <w:pPr>
        <w:rPr>
          <w:rFonts w:ascii="EC Square Sans Pro" w:eastAsia="EC Square Sans Pro" w:hAnsi="EC Square Sans Pro" w:cs="EC Square Sans Pro"/>
        </w:rPr>
      </w:pPr>
      <w:r w:rsidRPr="00755EDB">
        <w:rPr>
          <w:rFonts w:ascii="EC Square Sans Pro" w:eastAsia="EC Square Sans Pro" w:hAnsi="EC Square Sans Pro" w:cs="EC Square Sans Pro"/>
        </w:rPr>
        <w:t>Each habitat type was attributed a daily value of 0 or 1 for spawning and 0 or 0.3 or 1 for feeding and the integration in time resulted in a habitat expressed in frequency of occurrence</w:t>
      </w:r>
      <w:r w:rsidR="004D18B6">
        <w:rPr>
          <w:rFonts w:ascii="EC Square Sans Pro" w:eastAsia="EC Square Sans Pro" w:hAnsi="EC Square Sans Pro" w:cs="EC Square Sans Pro"/>
        </w:rPr>
        <w:t xml:space="preserve"> (sum of daily habitat values over the number of days for which the habitat was effectively estimated)</w:t>
      </w:r>
      <w:r w:rsidRPr="00755EDB">
        <w:rPr>
          <w:rFonts w:ascii="EC Square Sans Pro" w:eastAsia="EC Square Sans Pro" w:hAnsi="EC Square Sans Pro" w:cs="EC Square Sans Pro"/>
        </w:rPr>
        <w:t>.</w:t>
      </w:r>
    </w:p>
    <w:p w:rsidR="0029578F" w:rsidRDefault="0029578F" w:rsidP="002018E4">
      <w:pPr>
        <w:pStyle w:val="Titre1"/>
      </w:pPr>
      <w:bookmarkStart w:id="23" w:name="_Ref439770102"/>
      <w:r w:rsidRPr="00755EDB">
        <w:t>Model evaluation</w:t>
      </w:r>
      <w:bookmarkEnd w:id="23"/>
    </w:p>
    <w:p w:rsidR="00B96EEC" w:rsidRPr="008C03B1" w:rsidRDefault="00011142" w:rsidP="00B96EEC">
      <w:pPr>
        <w:rPr>
          <w:rFonts w:ascii="EC Square Sans Pro" w:hAnsi="EC Square Sans Pro"/>
        </w:rPr>
      </w:pPr>
      <w:r w:rsidRPr="001452EC">
        <w:rPr>
          <w:rFonts w:ascii="EC Square Sans Pro" w:hAnsi="EC Square Sans Pro"/>
        </w:rPr>
        <w:t>The third quartile (75</w:t>
      </w:r>
      <w:r w:rsidRPr="001452EC">
        <w:rPr>
          <w:rFonts w:ascii="EC Square Sans Pro" w:hAnsi="EC Square Sans Pro"/>
          <w:vertAlign w:val="superscript"/>
        </w:rPr>
        <w:t>th</w:t>
      </w:r>
      <w:r w:rsidRPr="001452EC">
        <w:rPr>
          <w:rFonts w:ascii="EC Square Sans Pro" w:hAnsi="EC Square Sans Pro"/>
        </w:rPr>
        <w:t>) distance of presence data to the closest</w:t>
      </w:r>
      <w:r w:rsidR="005340C4" w:rsidRPr="001452EC">
        <w:rPr>
          <w:rFonts w:ascii="EC Square Sans Pro" w:hAnsi="EC Square Sans Pro"/>
        </w:rPr>
        <w:t xml:space="preserve"> habitat</w:t>
      </w:r>
      <w:r w:rsidRPr="001452EC">
        <w:rPr>
          <w:rFonts w:ascii="EC Square Sans Pro" w:hAnsi="EC Square Sans Pro"/>
        </w:rPr>
        <w:t xml:space="preserve"> was chosen to provide information on model performance </w:t>
      </w:r>
      <w:r w:rsidR="005340C4" w:rsidRPr="001452EC">
        <w:rPr>
          <w:rFonts w:ascii="EC Square Sans Pro" w:hAnsi="EC Square Sans Pro"/>
        </w:rPr>
        <w:t>as</w:t>
      </w:r>
      <w:r w:rsidRPr="001452EC">
        <w:rPr>
          <w:rFonts w:ascii="EC Square Sans Pro" w:hAnsi="EC Square Sans Pro"/>
        </w:rPr>
        <w:t xml:space="preserve"> </w:t>
      </w:r>
      <w:r w:rsidR="005340C4" w:rsidRPr="001452EC">
        <w:rPr>
          <w:rFonts w:ascii="EC Square Sans Pro" w:hAnsi="EC Square Sans Pro"/>
        </w:rPr>
        <w:t xml:space="preserve">migration between the feeding and spawning grounds is not simulated (see the </w:t>
      </w:r>
      <w:r w:rsidR="002F08AC" w:rsidRPr="001452EC">
        <w:rPr>
          <w:rFonts w:ascii="EC Square Sans Pro" w:hAnsi="EC Square Sans Pro"/>
        </w:rPr>
        <w:t xml:space="preserve">correspondence of the </w:t>
      </w:r>
      <w:r w:rsidR="005340C4" w:rsidRPr="001452EC">
        <w:rPr>
          <w:rFonts w:ascii="EC Square Sans Pro" w:hAnsi="EC Square Sans Pro"/>
        </w:rPr>
        <w:t>monthly highest values</w:t>
      </w:r>
      <w:r w:rsidR="002F08AC" w:rsidRPr="001452EC">
        <w:rPr>
          <w:rFonts w:ascii="EC Square Sans Pro" w:hAnsi="EC Square Sans Pro"/>
        </w:rPr>
        <w:t xml:space="preserve"> with known migration in each area</w:t>
      </w:r>
      <w:r w:rsidR="005340C4" w:rsidRPr="001452EC">
        <w:rPr>
          <w:rFonts w:ascii="EC Square Sans Pro" w:hAnsi="EC Square Sans Pro"/>
        </w:rPr>
        <w:t xml:space="preserve"> in Figure SI- 6). The 50</w:t>
      </w:r>
      <w:r w:rsidR="005340C4" w:rsidRPr="001452EC">
        <w:rPr>
          <w:rFonts w:ascii="EC Square Sans Pro" w:hAnsi="EC Square Sans Pro"/>
          <w:vertAlign w:val="superscript"/>
        </w:rPr>
        <w:t>th</w:t>
      </w:r>
      <w:r w:rsidR="005340C4" w:rsidRPr="001452EC">
        <w:rPr>
          <w:rFonts w:ascii="EC Square Sans Pro" w:hAnsi="EC Square Sans Pro"/>
        </w:rPr>
        <w:t xml:space="preserve"> and 90</w:t>
      </w:r>
      <w:r w:rsidR="005340C4" w:rsidRPr="001452EC">
        <w:rPr>
          <w:rFonts w:ascii="EC Square Sans Pro" w:hAnsi="EC Square Sans Pro"/>
          <w:vertAlign w:val="superscript"/>
        </w:rPr>
        <w:t>th</w:t>
      </w:r>
      <w:r w:rsidR="005340C4" w:rsidRPr="001452EC">
        <w:rPr>
          <w:rFonts w:ascii="EC Square Sans Pro" w:hAnsi="EC Square Sans Pro"/>
        </w:rPr>
        <w:t xml:space="preserve"> percentile values and number of presence data are shown by size class (Table SI- 1) and by month and area (Figure SI- 6) for a better description of the model evaluation.</w:t>
      </w:r>
      <w:r w:rsidR="002F08AC" w:rsidRPr="001452EC">
        <w:rPr>
          <w:rFonts w:ascii="EC Square Sans Pro" w:hAnsi="EC Square Sans Pro"/>
        </w:rPr>
        <w:t xml:space="preserve"> The distances </w:t>
      </w:r>
      <w:r w:rsidR="00F72E06" w:rsidRPr="001452EC">
        <w:rPr>
          <w:rFonts w:ascii="EC Square Sans Pro" w:hAnsi="EC Square Sans Pro"/>
        </w:rPr>
        <w:t>in</w:t>
      </w:r>
      <w:r w:rsidR="002F08AC" w:rsidRPr="001452EC">
        <w:rPr>
          <w:rFonts w:ascii="EC Square Sans Pro" w:hAnsi="EC Square Sans Pro"/>
        </w:rPr>
        <w:t xml:space="preserve"> the last row of Table SI- 1 include the independent presence data which was without </w:t>
      </w:r>
      <w:r w:rsidR="00507472" w:rsidRPr="001452EC">
        <w:rPr>
          <w:rFonts w:ascii="EC Square Sans Pro" w:hAnsi="EC Square Sans Pro"/>
        </w:rPr>
        <w:t xml:space="preserve">fish </w:t>
      </w:r>
      <w:r w:rsidR="002F08AC" w:rsidRPr="001452EC">
        <w:rPr>
          <w:rFonts w:ascii="EC Square Sans Pro" w:hAnsi="EC Square Sans Pro"/>
        </w:rPr>
        <w:t xml:space="preserve">weight </w:t>
      </w:r>
      <w:r w:rsidR="00F72E06" w:rsidRPr="001452EC">
        <w:rPr>
          <w:rFonts w:ascii="EC Square Sans Pro" w:hAnsi="EC Square Sans Pro"/>
        </w:rPr>
        <w:t>as</w:t>
      </w:r>
      <w:r w:rsidR="00507472" w:rsidRPr="001452EC">
        <w:rPr>
          <w:rFonts w:ascii="EC Square Sans Pro" w:hAnsi="EC Square Sans Pro"/>
        </w:rPr>
        <w:t xml:space="preserve"> compared to the</w:t>
      </w:r>
      <w:r w:rsidR="002F08AC" w:rsidRPr="001452EC">
        <w:rPr>
          <w:rFonts w:ascii="EC Square Sans Pro" w:hAnsi="EC Square Sans Pro"/>
        </w:rPr>
        <w:t xml:space="preserve"> broadest potential habitat of large ABFT.</w:t>
      </w:r>
      <w:r w:rsidR="002F0E82">
        <w:rPr>
          <w:rFonts w:ascii="EC Square Sans Pro" w:hAnsi="EC Square Sans Pro"/>
        </w:rPr>
        <w:t xml:space="preserve"> The distance of presence data to favourable habitat is to be related with the habitat size </w:t>
      </w:r>
      <w:r w:rsidR="00623101">
        <w:rPr>
          <w:rFonts w:ascii="EC Square Sans Pro" w:hAnsi="EC Square Sans Pro"/>
        </w:rPr>
        <w:t>as</w:t>
      </w:r>
      <w:r w:rsidR="002F0E82">
        <w:rPr>
          <w:rFonts w:ascii="EC Square Sans Pro" w:hAnsi="EC Square Sans Pro"/>
        </w:rPr>
        <w:t xml:space="preserve"> described in section </w:t>
      </w:r>
      <w:r w:rsidR="003B76F1">
        <w:rPr>
          <w:rFonts w:ascii="EC Square Sans Pro" w:hAnsi="EC Square Sans Pro"/>
        </w:rPr>
        <w:fldChar w:fldCharType="begin"/>
      </w:r>
      <w:r w:rsidR="002F0E82">
        <w:rPr>
          <w:rFonts w:ascii="EC Square Sans Pro" w:hAnsi="EC Square Sans Pro"/>
        </w:rPr>
        <w:instrText xml:space="preserve"> REF _Ref439769091 \r \h </w:instrText>
      </w:r>
      <w:r w:rsidR="003B76F1">
        <w:rPr>
          <w:rFonts w:ascii="EC Square Sans Pro" w:hAnsi="EC Square Sans Pro"/>
        </w:rPr>
      </w:r>
      <w:r w:rsidR="003B76F1">
        <w:rPr>
          <w:rFonts w:ascii="EC Square Sans Pro" w:hAnsi="EC Square Sans Pro"/>
        </w:rPr>
        <w:fldChar w:fldCharType="separate"/>
      </w:r>
      <w:r w:rsidR="00B86506">
        <w:rPr>
          <w:rFonts w:ascii="EC Square Sans Pro" w:hAnsi="EC Square Sans Pro"/>
        </w:rPr>
        <w:t>8.6</w:t>
      </w:r>
      <w:r w:rsidR="003B76F1">
        <w:rPr>
          <w:rFonts w:ascii="EC Square Sans Pro" w:hAnsi="EC Square Sans Pro"/>
        </w:rPr>
        <w:fldChar w:fldCharType="end"/>
      </w:r>
      <w:r w:rsidR="002F0E82">
        <w:rPr>
          <w:rFonts w:ascii="EC Square Sans Pro" w:hAnsi="EC Square Sans Pro"/>
        </w:rPr>
        <w:t xml:space="preserve"> (e.g. 90% of large ABFT are closer than 3</w:t>
      </w:r>
      <w:r w:rsidR="001D6DFE">
        <w:rPr>
          <w:rFonts w:ascii="EC Square Sans Pro" w:hAnsi="EC Square Sans Pro"/>
        </w:rPr>
        <w:t xml:space="preserve"> km of potential feeding </w:t>
      </w:r>
      <w:r w:rsidR="002F0E82">
        <w:rPr>
          <w:rFonts w:ascii="EC Square Sans Pro" w:hAnsi="EC Square Sans Pro"/>
        </w:rPr>
        <w:t>habitat in the North Atlantic, the latter representing from 1 to 6% of the ocean surface</w:t>
      </w:r>
      <w:r w:rsidR="001D6DFE">
        <w:rPr>
          <w:rFonts w:ascii="EC Square Sans Pro" w:hAnsi="EC Square Sans Pro"/>
        </w:rPr>
        <w:t>; or 75%</w:t>
      </w:r>
      <w:r w:rsidR="001D6DFE" w:rsidRPr="001D6DFE">
        <w:rPr>
          <w:rFonts w:ascii="EC Square Sans Pro" w:hAnsi="EC Square Sans Pro"/>
        </w:rPr>
        <w:t xml:space="preserve"> </w:t>
      </w:r>
      <w:r w:rsidR="001D6DFE">
        <w:rPr>
          <w:rFonts w:ascii="EC Square Sans Pro" w:hAnsi="EC Square Sans Pro"/>
        </w:rPr>
        <w:t xml:space="preserve">of large ABFT are closer than 23 km of potential </w:t>
      </w:r>
      <w:r w:rsidR="00F97166">
        <w:rPr>
          <w:rFonts w:ascii="EC Square Sans Pro" w:hAnsi="EC Square Sans Pro"/>
        </w:rPr>
        <w:t>spawning</w:t>
      </w:r>
      <w:r w:rsidR="001D6DFE">
        <w:rPr>
          <w:rFonts w:ascii="EC Square Sans Pro" w:hAnsi="EC Square Sans Pro"/>
        </w:rPr>
        <w:t xml:space="preserve"> habitat in the Gulf of Mexico, the latter representing 2 </w:t>
      </w:r>
      <w:r w:rsidR="001D6DFE">
        <w:rPr>
          <w:rFonts w:ascii="Times New Roman" w:hAnsi="Times New Roman" w:cs="Times New Roman"/>
        </w:rPr>
        <w:t>±</w:t>
      </w:r>
      <w:r w:rsidR="001D6DFE">
        <w:rPr>
          <w:rFonts w:ascii="EC Square Sans Pro" w:hAnsi="EC Square Sans Pro"/>
        </w:rPr>
        <w:t>1.5% of the ocean surface from March to May</w:t>
      </w:r>
      <w:r w:rsidR="002F0E82">
        <w:rPr>
          <w:rFonts w:ascii="EC Square Sans Pro" w:hAnsi="EC Square Sans Pro"/>
        </w:rPr>
        <w:t>).</w:t>
      </w:r>
    </w:p>
    <w:p w:rsidR="00024BB8" w:rsidRPr="00755EDB" w:rsidRDefault="00024BB8" w:rsidP="00024BB8">
      <w:pPr>
        <w:spacing w:line="240" w:lineRule="auto"/>
      </w:pPr>
      <w:r w:rsidRPr="00755EDB">
        <w:rPr>
          <w:rFonts w:ascii="EC Square Sans Pro" w:eastAsia="EC Square Sans Pro" w:hAnsi="EC Square Sans Pro" w:cs="EC Square Sans Pro"/>
          <w:i/>
        </w:rPr>
        <w:t>Table SI- 1. 75</w:t>
      </w:r>
      <w:r w:rsidRPr="00755EDB">
        <w:rPr>
          <w:rFonts w:ascii="EC Square Sans Pro" w:eastAsia="EC Square Sans Pro" w:hAnsi="EC Square Sans Pro" w:cs="EC Square Sans Pro"/>
          <w:i/>
          <w:vertAlign w:val="superscript"/>
        </w:rPr>
        <w:t>th</w:t>
      </w:r>
      <w:r w:rsidRPr="00755EDB">
        <w:rPr>
          <w:rFonts w:ascii="EC Square Sans Pro" w:eastAsia="EC Square Sans Pro" w:hAnsi="EC Square Sans Pro" w:cs="EC Square Sans Pro"/>
          <w:i/>
        </w:rPr>
        <w:t xml:space="preserve"> percentile distance between presence data (small and large fish and all data) and closest 3-day favourable habitat (km) by area and behaviour. The median distance is shown between parenthesis for high values while the 90</w:t>
      </w:r>
      <w:r w:rsidRPr="00755EDB">
        <w:rPr>
          <w:rFonts w:ascii="EC Square Sans Pro" w:eastAsia="EC Square Sans Pro" w:hAnsi="EC Square Sans Pro" w:cs="EC Square Sans Pro"/>
          <w:i/>
          <w:vertAlign w:val="superscript"/>
        </w:rPr>
        <w:t>th</w:t>
      </w:r>
      <w:r w:rsidRPr="00755EDB">
        <w:rPr>
          <w:rFonts w:ascii="EC Square Sans Pro" w:eastAsia="EC Square Sans Pro" w:hAnsi="EC Square Sans Pro" w:cs="EC Square Sans Pro"/>
          <w:i/>
        </w:rPr>
        <w:t xml:space="preserve"> percentile value is shown for low values.</w:t>
      </w:r>
    </w:p>
    <w:tbl>
      <w:tblPr>
        <w:tblStyle w:val="a1"/>
        <w:tblW w:w="7829" w:type="dxa"/>
        <w:jc w:val="center"/>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677"/>
        <w:gridCol w:w="1185"/>
        <w:gridCol w:w="450"/>
        <w:gridCol w:w="1101"/>
        <w:gridCol w:w="528"/>
        <w:gridCol w:w="1101"/>
        <w:gridCol w:w="686"/>
        <w:gridCol w:w="1101"/>
      </w:tblGrid>
      <w:tr w:rsidR="00024BB8" w:rsidRPr="00755EDB" w:rsidTr="00BE0960">
        <w:trPr>
          <w:jc w:val="center"/>
        </w:trPr>
        <w:tc>
          <w:tcPr>
            <w:tcW w:w="2862" w:type="dxa"/>
            <w:gridSpan w:val="2"/>
            <w:tcBorders>
              <w:top w:val="single" w:sz="4" w:space="0" w:color="000000"/>
              <w:left w:val="single" w:sz="4" w:space="0" w:color="000000"/>
              <w:bottom w:val="nil"/>
              <w:right w:val="single" w:sz="4" w:space="0" w:color="000000"/>
            </w:tcBorders>
            <w:vAlign w:val="center"/>
          </w:tcPr>
          <w:p w:rsidR="00024BB8" w:rsidRPr="00755EDB" w:rsidRDefault="00024BB8" w:rsidP="00BE0960">
            <w:pPr>
              <w:jc w:val="center"/>
            </w:pPr>
            <w:r w:rsidRPr="00755EDB">
              <w:rPr>
                <w:rFonts w:ascii="EC Square Sans Pro" w:eastAsia="EC Square Sans Pro" w:hAnsi="EC Square Sans Pro" w:cs="EC Square Sans Pro"/>
                <w:sz w:val="14"/>
              </w:rPr>
              <w:t>Distance to 3-day preferred habitat (km)</w:t>
            </w:r>
          </w:p>
        </w:tc>
        <w:tc>
          <w:tcPr>
            <w:tcW w:w="1551" w:type="dxa"/>
            <w:gridSpan w:val="2"/>
            <w:tcBorders>
              <w:left w:val="single" w:sz="4" w:space="0" w:color="000000"/>
              <w:bottom w:val="nil"/>
              <w:right w:val="nil"/>
            </w:tcBorders>
          </w:tcPr>
          <w:p w:rsidR="00024BB8" w:rsidRPr="00755EDB" w:rsidRDefault="00024BB8" w:rsidP="00BE0960">
            <w:pPr>
              <w:jc w:val="center"/>
            </w:pPr>
            <w:r w:rsidRPr="00755EDB">
              <w:rPr>
                <w:rFonts w:ascii="EC Square Sans Pro" w:eastAsia="EC Square Sans Pro" w:hAnsi="EC Square Sans Pro" w:cs="EC Square Sans Pro"/>
                <w:sz w:val="14"/>
              </w:rPr>
              <w:t>Gulf of Mexico</w:t>
            </w:r>
          </w:p>
        </w:tc>
        <w:tc>
          <w:tcPr>
            <w:tcW w:w="1629" w:type="dxa"/>
            <w:gridSpan w:val="2"/>
            <w:tcBorders>
              <w:left w:val="single" w:sz="4" w:space="0" w:color="000000"/>
              <w:bottom w:val="nil"/>
              <w:right w:val="single" w:sz="4" w:space="0" w:color="000000"/>
            </w:tcBorders>
          </w:tcPr>
          <w:p w:rsidR="00024BB8" w:rsidRPr="00755EDB" w:rsidRDefault="00024BB8" w:rsidP="00BE0960">
            <w:pPr>
              <w:jc w:val="center"/>
            </w:pPr>
            <w:r w:rsidRPr="00755EDB">
              <w:rPr>
                <w:rFonts w:ascii="EC Square Sans Pro" w:eastAsia="EC Square Sans Pro" w:hAnsi="EC Square Sans Pro" w:cs="EC Square Sans Pro"/>
                <w:sz w:val="14"/>
              </w:rPr>
              <w:t>North Atlantic</w:t>
            </w:r>
          </w:p>
        </w:tc>
        <w:tc>
          <w:tcPr>
            <w:tcW w:w="1787" w:type="dxa"/>
            <w:gridSpan w:val="2"/>
            <w:tcBorders>
              <w:left w:val="single" w:sz="4" w:space="0" w:color="000000"/>
              <w:bottom w:val="nil"/>
              <w:right w:val="single" w:sz="4" w:space="0" w:color="000000"/>
            </w:tcBorders>
          </w:tcPr>
          <w:p w:rsidR="00024BB8" w:rsidRPr="00755EDB" w:rsidRDefault="00024BB8" w:rsidP="00BE0960">
            <w:pPr>
              <w:jc w:val="center"/>
            </w:pPr>
            <w:r w:rsidRPr="00755EDB">
              <w:rPr>
                <w:rFonts w:ascii="EC Square Sans Pro" w:eastAsia="EC Square Sans Pro" w:hAnsi="EC Square Sans Pro" w:cs="EC Square Sans Pro"/>
                <w:sz w:val="14"/>
              </w:rPr>
              <w:t>Mediterranean</w:t>
            </w:r>
          </w:p>
        </w:tc>
      </w:tr>
      <w:tr w:rsidR="00024BB8" w:rsidRPr="00755EDB" w:rsidTr="00BE0960">
        <w:trPr>
          <w:jc w:val="center"/>
        </w:trPr>
        <w:tc>
          <w:tcPr>
            <w:tcW w:w="2862" w:type="dxa"/>
            <w:gridSpan w:val="2"/>
            <w:tcBorders>
              <w:top w:val="nil"/>
              <w:left w:val="single" w:sz="4" w:space="0" w:color="000000"/>
              <w:right w:val="single" w:sz="4" w:space="0" w:color="000000"/>
            </w:tcBorders>
          </w:tcPr>
          <w:p w:rsidR="00024BB8" w:rsidRPr="00755EDB" w:rsidRDefault="00024BB8" w:rsidP="00BE0960"/>
        </w:tc>
        <w:tc>
          <w:tcPr>
            <w:tcW w:w="450" w:type="dxa"/>
            <w:tcBorders>
              <w:top w:val="nil"/>
              <w:left w:val="single" w:sz="4" w:space="0" w:color="000000"/>
              <w:bottom w:val="single" w:sz="4" w:space="0" w:color="000000"/>
              <w:right w:val="nil"/>
            </w:tcBorders>
          </w:tcPr>
          <w:p w:rsidR="00024BB8" w:rsidRPr="00755EDB" w:rsidRDefault="00024BB8" w:rsidP="00BE0960">
            <w:pPr>
              <w:jc w:val="center"/>
            </w:pPr>
            <w:r w:rsidRPr="00755EDB">
              <w:rPr>
                <w:rFonts w:ascii="EC Square Sans Pro" w:eastAsia="EC Square Sans Pro" w:hAnsi="EC Square Sans Pro" w:cs="EC Square Sans Pro"/>
                <w:i/>
                <w:sz w:val="14"/>
              </w:rPr>
              <w:t>n</w:t>
            </w:r>
          </w:p>
        </w:tc>
        <w:tc>
          <w:tcPr>
            <w:tcW w:w="1101" w:type="dxa"/>
            <w:tcBorders>
              <w:top w:val="nil"/>
              <w:left w:val="nil"/>
              <w:bottom w:val="single" w:sz="4" w:space="0" w:color="000000"/>
              <w:right w:val="single" w:sz="4" w:space="0" w:color="000000"/>
            </w:tcBorders>
          </w:tcPr>
          <w:p w:rsidR="00024BB8" w:rsidRPr="00755EDB" w:rsidRDefault="00024BB8" w:rsidP="00BE0960">
            <w:pPr>
              <w:jc w:val="center"/>
            </w:pPr>
            <w:r w:rsidRPr="00755EDB">
              <w:rPr>
                <w:rFonts w:ascii="EC Square Sans Pro" w:eastAsia="EC Square Sans Pro" w:hAnsi="EC Square Sans Pro" w:cs="EC Square Sans Pro"/>
                <w:sz w:val="14"/>
              </w:rPr>
              <w:t>75</w:t>
            </w:r>
            <w:r w:rsidRPr="00755EDB">
              <w:rPr>
                <w:rFonts w:ascii="EC Square Sans Pro" w:eastAsia="EC Square Sans Pro" w:hAnsi="EC Square Sans Pro" w:cs="EC Square Sans Pro"/>
                <w:sz w:val="14"/>
                <w:vertAlign w:val="superscript"/>
              </w:rPr>
              <w:t>th</w:t>
            </w:r>
            <w:r w:rsidRPr="00755EDB">
              <w:rPr>
                <w:rFonts w:ascii="EC Square Sans Pro" w:eastAsia="EC Square Sans Pro" w:hAnsi="EC Square Sans Pro" w:cs="EC Square Sans Pro"/>
                <w:sz w:val="14"/>
              </w:rPr>
              <w:t xml:space="preserve"> distance</w:t>
            </w:r>
          </w:p>
          <w:p w:rsidR="00024BB8" w:rsidRPr="00755EDB" w:rsidRDefault="00024BB8" w:rsidP="00BE0960">
            <w:pPr>
              <w:jc w:val="center"/>
            </w:pPr>
            <w:r w:rsidRPr="00755EDB">
              <w:rPr>
                <w:rFonts w:ascii="EC Square Sans Pro" w:eastAsia="EC Square Sans Pro" w:hAnsi="EC Square Sans Pro" w:cs="EC Square Sans Pro"/>
                <w:sz w:val="14"/>
              </w:rPr>
              <w:t>(50</w:t>
            </w:r>
            <w:r w:rsidRPr="00755EDB">
              <w:rPr>
                <w:rFonts w:ascii="EC Square Sans Pro" w:eastAsia="EC Square Sans Pro" w:hAnsi="EC Square Sans Pro" w:cs="EC Square Sans Pro"/>
                <w:sz w:val="14"/>
                <w:vertAlign w:val="superscript"/>
              </w:rPr>
              <w:t>th</w:t>
            </w:r>
            <w:r w:rsidRPr="00755EDB">
              <w:rPr>
                <w:rFonts w:ascii="EC Square Sans Pro" w:eastAsia="EC Square Sans Pro" w:hAnsi="EC Square Sans Pro" w:cs="EC Square Sans Pro"/>
                <w:sz w:val="14"/>
              </w:rPr>
              <w:t xml:space="preserve"> distance)</w:t>
            </w:r>
          </w:p>
        </w:tc>
        <w:tc>
          <w:tcPr>
            <w:tcW w:w="528" w:type="dxa"/>
            <w:tcBorders>
              <w:top w:val="nil"/>
              <w:left w:val="single" w:sz="4" w:space="0" w:color="000000"/>
              <w:bottom w:val="single" w:sz="4" w:space="0" w:color="000000"/>
              <w:right w:val="nil"/>
            </w:tcBorders>
          </w:tcPr>
          <w:p w:rsidR="00024BB8" w:rsidRPr="00755EDB" w:rsidRDefault="00024BB8" w:rsidP="00BE0960">
            <w:pPr>
              <w:jc w:val="center"/>
            </w:pPr>
            <w:r w:rsidRPr="00755EDB">
              <w:rPr>
                <w:rFonts w:ascii="EC Square Sans Pro" w:eastAsia="EC Square Sans Pro" w:hAnsi="EC Square Sans Pro" w:cs="EC Square Sans Pro"/>
                <w:i/>
                <w:sz w:val="14"/>
              </w:rPr>
              <w:t>n</w:t>
            </w:r>
          </w:p>
        </w:tc>
        <w:tc>
          <w:tcPr>
            <w:tcW w:w="1101" w:type="dxa"/>
            <w:tcBorders>
              <w:top w:val="nil"/>
              <w:left w:val="nil"/>
              <w:bottom w:val="single" w:sz="4" w:space="0" w:color="000000"/>
              <w:right w:val="single" w:sz="4" w:space="0" w:color="000000"/>
            </w:tcBorders>
          </w:tcPr>
          <w:p w:rsidR="00024BB8" w:rsidRPr="00755EDB" w:rsidRDefault="00024BB8" w:rsidP="00BE0960">
            <w:pPr>
              <w:jc w:val="center"/>
            </w:pPr>
            <w:r w:rsidRPr="00755EDB">
              <w:rPr>
                <w:rFonts w:ascii="EC Square Sans Pro" w:eastAsia="EC Square Sans Pro" w:hAnsi="EC Square Sans Pro" w:cs="EC Square Sans Pro"/>
                <w:sz w:val="14"/>
              </w:rPr>
              <w:t>75</w:t>
            </w:r>
            <w:r w:rsidRPr="00755EDB">
              <w:rPr>
                <w:rFonts w:ascii="EC Square Sans Pro" w:eastAsia="EC Square Sans Pro" w:hAnsi="EC Square Sans Pro" w:cs="EC Square Sans Pro"/>
                <w:sz w:val="14"/>
                <w:vertAlign w:val="superscript"/>
              </w:rPr>
              <w:t>th</w:t>
            </w:r>
            <w:r w:rsidRPr="00755EDB">
              <w:rPr>
                <w:rFonts w:ascii="EC Square Sans Pro" w:eastAsia="EC Square Sans Pro" w:hAnsi="EC Square Sans Pro" w:cs="EC Square Sans Pro"/>
                <w:sz w:val="14"/>
              </w:rPr>
              <w:t xml:space="preserve"> distance</w:t>
            </w:r>
          </w:p>
          <w:p w:rsidR="00024BB8" w:rsidRPr="00755EDB" w:rsidRDefault="00024BB8" w:rsidP="00BE0960">
            <w:pPr>
              <w:jc w:val="center"/>
            </w:pPr>
            <w:r w:rsidRPr="00755EDB">
              <w:rPr>
                <w:rFonts w:ascii="EC Square Sans Pro" w:eastAsia="EC Square Sans Pro" w:hAnsi="EC Square Sans Pro" w:cs="EC Square Sans Pro"/>
                <w:sz w:val="14"/>
              </w:rPr>
              <w:t>(90</w:t>
            </w:r>
            <w:r w:rsidRPr="00755EDB">
              <w:rPr>
                <w:rFonts w:ascii="EC Square Sans Pro" w:eastAsia="EC Square Sans Pro" w:hAnsi="EC Square Sans Pro" w:cs="EC Square Sans Pro"/>
                <w:sz w:val="14"/>
                <w:vertAlign w:val="superscript"/>
              </w:rPr>
              <w:t>th</w:t>
            </w:r>
            <w:r w:rsidRPr="00755EDB">
              <w:rPr>
                <w:rFonts w:ascii="EC Square Sans Pro" w:eastAsia="EC Square Sans Pro" w:hAnsi="EC Square Sans Pro" w:cs="EC Square Sans Pro"/>
                <w:sz w:val="14"/>
              </w:rPr>
              <w:t xml:space="preserve"> distance)</w:t>
            </w:r>
          </w:p>
        </w:tc>
        <w:tc>
          <w:tcPr>
            <w:tcW w:w="686" w:type="dxa"/>
            <w:tcBorders>
              <w:top w:val="nil"/>
              <w:left w:val="single" w:sz="4" w:space="0" w:color="000000"/>
              <w:bottom w:val="single" w:sz="4" w:space="0" w:color="000000"/>
              <w:right w:val="nil"/>
            </w:tcBorders>
          </w:tcPr>
          <w:p w:rsidR="00024BB8" w:rsidRPr="00755EDB" w:rsidRDefault="00024BB8" w:rsidP="00BE0960">
            <w:pPr>
              <w:jc w:val="center"/>
            </w:pPr>
            <w:r w:rsidRPr="00755EDB">
              <w:rPr>
                <w:rFonts w:ascii="EC Square Sans Pro" w:eastAsia="EC Square Sans Pro" w:hAnsi="EC Square Sans Pro" w:cs="EC Square Sans Pro"/>
                <w:i/>
                <w:sz w:val="14"/>
              </w:rPr>
              <w:t>n</w:t>
            </w:r>
          </w:p>
        </w:tc>
        <w:tc>
          <w:tcPr>
            <w:tcW w:w="1101" w:type="dxa"/>
            <w:tcBorders>
              <w:top w:val="nil"/>
              <w:left w:val="nil"/>
              <w:bottom w:val="single" w:sz="4" w:space="0" w:color="000000"/>
              <w:right w:val="single" w:sz="4" w:space="0" w:color="000000"/>
            </w:tcBorders>
          </w:tcPr>
          <w:p w:rsidR="00024BB8" w:rsidRPr="00755EDB" w:rsidRDefault="00024BB8" w:rsidP="00BE0960">
            <w:pPr>
              <w:jc w:val="center"/>
            </w:pPr>
            <w:r w:rsidRPr="00755EDB">
              <w:rPr>
                <w:rFonts w:ascii="EC Square Sans Pro" w:eastAsia="EC Square Sans Pro" w:hAnsi="EC Square Sans Pro" w:cs="EC Square Sans Pro"/>
                <w:sz w:val="14"/>
              </w:rPr>
              <w:t>75</w:t>
            </w:r>
            <w:r w:rsidRPr="00755EDB">
              <w:rPr>
                <w:rFonts w:ascii="EC Square Sans Pro" w:eastAsia="EC Square Sans Pro" w:hAnsi="EC Square Sans Pro" w:cs="EC Square Sans Pro"/>
                <w:sz w:val="14"/>
                <w:vertAlign w:val="superscript"/>
              </w:rPr>
              <w:t>th</w:t>
            </w:r>
            <w:r w:rsidRPr="00755EDB">
              <w:rPr>
                <w:rFonts w:ascii="EC Square Sans Pro" w:eastAsia="EC Square Sans Pro" w:hAnsi="EC Square Sans Pro" w:cs="EC Square Sans Pro"/>
                <w:sz w:val="14"/>
              </w:rPr>
              <w:t xml:space="preserve"> distance</w:t>
            </w:r>
          </w:p>
          <w:p w:rsidR="00024BB8" w:rsidRPr="00755EDB" w:rsidRDefault="00024BB8" w:rsidP="00BE0960">
            <w:pPr>
              <w:jc w:val="center"/>
            </w:pPr>
            <w:r w:rsidRPr="00755EDB">
              <w:rPr>
                <w:rFonts w:ascii="EC Square Sans Pro" w:eastAsia="EC Square Sans Pro" w:hAnsi="EC Square Sans Pro" w:cs="EC Square Sans Pro"/>
                <w:sz w:val="14"/>
              </w:rPr>
              <w:t>(50</w:t>
            </w:r>
            <w:r w:rsidRPr="00755EDB">
              <w:rPr>
                <w:rFonts w:ascii="EC Square Sans Pro" w:eastAsia="EC Square Sans Pro" w:hAnsi="EC Square Sans Pro" w:cs="EC Square Sans Pro"/>
                <w:sz w:val="14"/>
                <w:vertAlign w:val="superscript"/>
              </w:rPr>
              <w:t>th</w:t>
            </w:r>
            <w:r w:rsidRPr="00755EDB">
              <w:rPr>
                <w:rFonts w:ascii="EC Square Sans Pro" w:eastAsia="EC Square Sans Pro" w:hAnsi="EC Square Sans Pro" w:cs="EC Square Sans Pro"/>
                <w:sz w:val="14"/>
              </w:rPr>
              <w:t xml:space="preserve"> distance)</w:t>
            </w:r>
          </w:p>
        </w:tc>
      </w:tr>
      <w:tr w:rsidR="00024BB8" w:rsidRPr="00755EDB" w:rsidTr="00BE0960">
        <w:trPr>
          <w:trHeight w:val="320"/>
          <w:jc w:val="center"/>
        </w:trPr>
        <w:tc>
          <w:tcPr>
            <w:tcW w:w="1677" w:type="dxa"/>
            <w:tcBorders>
              <w:left w:val="single" w:sz="4" w:space="0" w:color="000000"/>
              <w:right w:val="nil"/>
            </w:tcBorders>
            <w:vAlign w:val="center"/>
          </w:tcPr>
          <w:p w:rsidR="00024BB8" w:rsidRPr="00755EDB" w:rsidRDefault="00024BB8" w:rsidP="00BE0960">
            <w:pPr>
              <w:jc w:val="center"/>
            </w:pPr>
            <w:r w:rsidRPr="00755EDB">
              <w:rPr>
                <w:rFonts w:ascii="EC Square Sans Pro" w:eastAsia="EC Square Sans Pro" w:hAnsi="EC Square Sans Pro" w:cs="EC Square Sans Pro"/>
                <w:sz w:val="14"/>
              </w:rPr>
              <w:t>Small ABFT</w:t>
            </w:r>
          </w:p>
          <w:p w:rsidR="00024BB8" w:rsidRPr="00755EDB" w:rsidRDefault="00024BB8" w:rsidP="00BE0960">
            <w:pPr>
              <w:jc w:val="center"/>
            </w:pPr>
            <w:r w:rsidRPr="00755EDB">
              <w:rPr>
                <w:rFonts w:ascii="EC Square Sans Pro" w:eastAsia="EC Square Sans Pro" w:hAnsi="EC Square Sans Pro" w:cs="EC Square Sans Pro"/>
                <w:sz w:val="14"/>
              </w:rPr>
              <w:t>5-25kg</w:t>
            </w:r>
          </w:p>
        </w:tc>
        <w:tc>
          <w:tcPr>
            <w:tcW w:w="1185" w:type="dxa"/>
            <w:tcBorders>
              <w:left w:val="nil"/>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Feeding</w:t>
            </w:r>
          </w:p>
        </w:tc>
        <w:tc>
          <w:tcPr>
            <w:tcW w:w="1551" w:type="dxa"/>
            <w:gridSpan w:val="2"/>
            <w:tcBorders>
              <w:left w:val="single" w:sz="4" w:space="0" w:color="000000"/>
              <w:right w:val="single" w:sz="4" w:space="0" w:color="000000"/>
            </w:tcBorders>
            <w:shd w:val="clear" w:color="auto" w:fill="FFFFFF"/>
          </w:tcPr>
          <w:p w:rsidR="00024BB8" w:rsidRPr="00755EDB" w:rsidRDefault="00024BB8" w:rsidP="00BE0960"/>
        </w:tc>
        <w:tc>
          <w:tcPr>
            <w:tcW w:w="528" w:type="dxa"/>
            <w:tcBorders>
              <w:left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313</w:t>
            </w:r>
          </w:p>
        </w:tc>
        <w:tc>
          <w:tcPr>
            <w:tcW w:w="1101" w:type="dxa"/>
            <w:tcBorders>
              <w:left w:val="nil"/>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0 (61)</w:t>
            </w:r>
          </w:p>
        </w:tc>
        <w:tc>
          <w:tcPr>
            <w:tcW w:w="686" w:type="dxa"/>
            <w:tcBorders>
              <w:left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639</w:t>
            </w:r>
          </w:p>
        </w:tc>
        <w:tc>
          <w:tcPr>
            <w:tcW w:w="1101" w:type="dxa"/>
            <w:tcBorders>
              <w:left w:val="nil"/>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1</w:t>
            </w:r>
          </w:p>
        </w:tc>
      </w:tr>
      <w:tr w:rsidR="00024BB8" w:rsidRPr="00755EDB" w:rsidTr="00BE0960">
        <w:trPr>
          <w:trHeight w:val="320"/>
          <w:jc w:val="center"/>
        </w:trPr>
        <w:tc>
          <w:tcPr>
            <w:tcW w:w="1677" w:type="dxa"/>
            <w:vMerge w:val="restart"/>
            <w:tcBorders>
              <w:left w:val="single" w:sz="4" w:space="0" w:color="000000"/>
              <w:right w:val="nil"/>
            </w:tcBorders>
            <w:vAlign w:val="center"/>
          </w:tcPr>
          <w:p w:rsidR="00024BB8" w:rsidRPr="00755EDB" w:rsidRDefault="00024BB8" w:rsidP="00BE0960">
            <w:pPr>
              <w:jc w:val="center"/>
            </w:pPr>
            <w:r w:rsidRPr="00755EDB">
              <w:rPr>
                <w:rFonts w:ascii="EC Square Sans Pro" w:eastAsia="EC Square Sans Pro" w:hAnsi="EC Square Sans Pro" w:cs="EC Square Sans Pro"/>
                <w:sz w:val="14"/>
              </w:rPr>
              <w:t>Large ABFT</w:t>
            </w:r>
          </w:p>
          <w:p w:rsidR="00024BB8" w:rsidRPr="00755EDB" w:rsidRDefault="00024BB8" w:rsidP="00BE0960">
            <w:pPr>
              <w:jc w:val="center"/>
            </w:pPr>
            <w:r w:rsidRPr="00755EDB">
              <w:rPr>
                <w:rFonts w:ascii="EC Square Sans Pro" w:eastAsia="EC Square Sans Pro" w:hAnsi="EC Square Sans Pro" w:cs="EC Square Sans Pro"/>
                <w:sz w:val="14"/>
              </w:rPr>
              <w:t>&gt;25kg</w:t>
            </w:r>
          </w:p>
        </w:tc>
        <w:tc>
          <w:tcPr>
            <w:tcW w:w="1185" w:type="dxa"/>
            <w:tcBorders>
              <w:left w:val="nil"/>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Feeding</w:t>
            </w:r>
          </w:p>
        </w:tc>
        <w:tc>
          <w:tcPr>
            <w:tcW w:w="450" w:type="dxa"/>
            <w:tcBorders>
              <w:top w:val="single" w:sz="4" w:space="0" w:color="000000"/>
              <w:left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353</w:t>
            </w:r>
          </w:p>
        </w:tc>
        <w:tc>
          <w:tcPr>
            <w:tcW w:w="1101" w:type="dxa"/>
            <w:tcBorders>
              <w:top w:val="single" w:sz="4" w:space="0" w:color="000000"/>
              <w:left w:val="nil"/>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16 (0)</w:t>
            </w:r>
          </w:p>
        </w:tc>
        <w:tc>
          <w:tcPr>
            <w:tcW w:w="528" w:type="dxa"/>
            <w:tcBorders>
              <w:left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5608</w:t>
            </w:r>
          </w:p>
        </w:tc>
        <w:tc>
          <w:tcPr>
            <w:tcW w:w="1101" w:type="dxa"/>
            <w:tcBorders>
              <w:left w:val="nil"/>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0 (3)</w:t>
            </w:r>
          </w:p>
        </w:tc>
        <w:tc>
          <w:tcPr>
            <w:tcW w:w="686" w:type="dxa"/>
            <w:tcBorders>
              <w:left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309</w:t>
            </w:r>
          </w:p>
        </w:tc>
        <w:tc>
          <w:tcPr>
            <w:tcW w:w="1101" w:type="dxa"/>
            <w:tcBorders>
              <w:left w:val="nil"/>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133 (0)</w:t>
            </w:r>
          </w:p>
        </w:tc>
      </w:tr>
      <w:tr w:rsidR="00024BB8" w:rsidRPr="00755EDB" w:rsidTr="00BE0960">
        <w:trPr>
          <w:trHeight w:val="320"/>
          <w:jc w:val="center"/>
        </w:trPr>
        <w:tc>
          <w:tcPr>
            <w:tcW w:w="1677" w:type="dxa"/>
            <w:vMerge/>
            <w:tcBorders>
              <w:left w:val="single" w:sz="4" w:space="0" w:color="000000"/>
              <w:right w:val="nil"/>
            </w:tcBorders>
            <w:vAlign w:val="center"/>
          </w:tcPr>
          <w:p w:rsidR="00024BB8" w:rsidRPr="00755EDB" w:rsidRDefault="00024BB8" w:rsidP="00BE0960"/>
        </w:tc>
        <w:tc>
          <w:tcPr>
            <w:tcW w:w="1185" w:type="dxa"/>
            <w:tcBorders>
              <w:top w:val="single" w:sz="4" w:space="0" w:color="000000"/>
              <w:left w:val="nil"/>
              <w:bottom w:val="single" w:sz="4" w:space="0" w:color="000000"/>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Spawning</w:t>
            </w:r>
          </w:p>
        </w:tc>
        <w:tc>
          <w:tcPr>
            <w:tcW w:w="450" w:type="dxa"/>
            <w:tcBorders>
              <w:top w:val="single" w:sz="4" w:space="0" w:color="000000"/>
              <w:left w:val="single" w:sz="4" w:space="0" w:color="000000"/>
              <w:bottom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273</w:t>
            </w:r>
          </w:p>
        </w:tc>
        <w:tc>
          <w:tcPr>
            <w:tcW w:w="1101" w:type="dxa"/>
            <w:tcBorders>
              <w:top w:val="single" w:sz="4" w:space="0" w:color="000000"/>
              <w:left w:val="nil"/>
              <w:bottom w:val="single" w:sz="4" w:space="0" w:color="000000"/>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23 (1)</w:t>
            </w:r>
          </w:p>
        </w:tc>
        <w:tc>
          <w:tcPr>
            <w:tcW w:w="528" w:type="dxa"/>
            <w:tcBorders>
              <w:top w:val="single" w:sz="4" w:space="0" w:color="000000"/>
              <w:left w:val="single" w:sz="4" w:space="0" w:color="000000"/>
              <w:bottom w:val="single" w:sz="4" w:space="0" w:color="000000"/>
              <w:right w:val="nil"/>
            </w:tcBorders>
            <w:shd w:val="clear" w:color="auto" w:fill="FFFFFF"/>
            <w:vAlign w:val="center"/>
          </w:tcPr>
          <w:p w:rsidR="00024BB8" w:rsidRPr="00755EDB" w:rsidRDefault="00024BB8" w:rsidP="00BE0960">
            <w:pPr>
              <w:jc w:val="center"/>
            </w:pPr>
          </w:p>
        </w:tc>
        <w:tc>
          <w:tcPr>
            <w:tcW w:w="1101" w:type="dxa"/>
            <w:tcBorders>
              <w:top w:val="single" w:sz="4" w:space="0" w:color="000000"/>
              <w:left w:val="nil"/>
              <w:bottom w:val="single" w:sz="4" w:space="0" w:color="000000"/>
              <w:right w:val="single" w:sz="4" w:space="0" w:color="000000"/>
            </w:tcBorders>
            <w:shd w:val="clear" w:color="auto" w:fill="FFFFFF"/>
            <w:vAlign w:val="center"/>
          </w:tcPr>
          <w:p w:rsidR="00024BB8" w:rsidRPr="00755EDB" w:rsidRDefault="00024BB8" w:rsidP="00BE0960">
            <w:pPr>
              <w:jc w:val="center"/>
            </w:pPr>
          </w:p>
        </w:tc>
        <w:tc>
          <w:tcPr>
            <w:tcW w:w="686" w:type="dxa"/>
            <w:tcBorders>
              <w:top w:val="single" w:sz="4" w:space="0" w:color="000000"/>
              <w:left w:val="single" w:sz="4" w:space="0" w:color="000000"/>
              <w:bottom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309</w:t>
            </w:r>
          </w:p>
        </w:tc>
        <w:tc>
          <w:tcPr>
            <w:tcW w:w="1101" w:type="dxa"/>
            <w:tcBorders>
              <w:top w:val="single" w:sz="4" w:space="0" w:color="000000"/>
              <w:left w:val="nil"/>
              <w:bottom w:val="single" w:sz="4" w:space="0" w:color="000000"/>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6</w:t>
            </w:r>
          </w:p>
        </w:tc>
      </w:tr>
      <w:tr w:rsidR="00024BB8" w:rsidRPr="00755EDB" w:rsidTr="00BE0960">
        <w:trPr>
          <w:trHeight w:val="320"/>
          <w:jc w:val="center"/>
        </w:trPr>
        <w:tc>
          <w:tcPr>
            <w:tcW w:w="1677" w:type="dxa"/>
            <w:vMerge w:val="restart"/>
            <w:tcBorders>
              <w:left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All ABFT</w:t>
            </w:r>
          </w:p>
          <w:p w:rsidR="00024BB8" w:rsidRPr="00755EDB" w:rsidRDefault="00024BB8" w:rsidP="00BE0960">
            <w:pPr>
              <w:jc w:val="center"/>
            </w:pPr>
            <w:r w:rsidRPr="00755EDB">
              <w:rPr>
                <w:rFonts w:ascii="EC Square Sans Pro" w:eastAsia="EC Square Sans Pro" w:hAnsi="EC Square Sans Pro" w:cs="EC Square Sans Pro"/>
                <w:sz w:val="14"/>
              </w:rPr>
              <w:t>(including data</w:t>
            </w:r>
          </w:p>
          <w:p w:rsidR="00024BB8" w:rsidRPr="00755EDB" w:rsidRDefault="00024BB8" w:rsidP="00BE0960">
            <w:pPr>
              <w:jc w:val="center"/>
            </w:pPr>
            <w:r w:rsidRPr="00755EDB">
              <w:rPr>
                <w:rFonts w:ascii="EC Square Sans Pro" w:eastAsia="EC Square Sans Pro" w:hAnsi="EC Square Sans Pro" w:cs="EC Square Sans Pro"/>
                <w:sz w:val="14"/>
              </w:rPr>
              <w:t>without weight)</w:t>
            </w:r>
          </w:p>
        </w:tc>
        <w:tc>
          <w:tcPr>
            <w:tcW w:w="1185" w:type="dxa"/>
            <w:tcBorders>
              <w:top w:val="single" w:sz="4" w:space="0" w:color="000000"/>
              <w:left w:val="nil"/>
              <w:bottom w:val="single" w:sz="4" w:space="0" w:color="000000"/>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Feeding</w:t>
            </w:r>
          </w:p>
        </w:tc>
        <w:tc>
          <w:tcPr>
            <w:tcW w:w="450" w:type="dxa"/>
            <w:tcBorders>
              <w:top w:val="single" w:sz="4" w:space="0" w:color="000000"/>
              <w:left w:val="single" w:sz="4" w:space="0" w:color="000000"/>
              <w:bottom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353</w:t>
            </w:r>
          </w:p>
        </w:tc>
        <w:tc>
          <w:tcPr>
            <w:tcW w:w="1101" w:type="dxa"/>
            <w:tcBorders>
              <w:top w:val="single" w:sz="4" w:space="0" w:color="000000"/>
              <w:left w:val="nil"/>
              <w:bottom w:val="single" w:sz="4" w:space="0" w:color="000000"/>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16 (0)</w:t>
            </w:r>
          </w:p>
        </w:tc>
        <w:tc>
          <w:tcPr>
            <w:tcW w:w="528" w:type="dxa"/>
            <w:tcBorders>
              <w:top w:val="single" w:sz="4" w:space="0" w:color="000000"/>
              <w:left w:val="single" w:sz="4" w:space="0" w:color="000000"/>
              <w:bottom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7923</w:t>
            </w:r>
          </w:p>
        </w:tc>
        <w:tc>
          <w:tcPr>
            <w:tcW w:w="1101" w:type="dxa"/>
            <w:tcBorders>
              <w:top w:val="single" w:sz="4" w:space="0" w:color="000000"/>
              <w:left w:val="nil"/>
              <w:bottom w:val="single" w:sz="4" w:space="0" w:color="000000"/>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0 (3)</w:t>
            </w:r>
          </w:p>
        </w:tc>
        <w:tc>
          <w:tcPr>
            <w:tcW w:w="686" w:type="dxa"/>
            <w:tcBorders>
              <w:top w:val="single" w:sz="4" w:space="0" w:color="000000"/>
              <w:left w:val="single" w:sz="4" w:space="0" w:color="000000"/>
              <w:bottom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2278</w:t>
            </w:r>
          </w:p>
        </w:tc>
        <w:tc>
          <w:tcPr>
            <w:tcW w:w="1101" w:type="dxa"/>
            <w:tcBorders>
              <w:top w:val="single" w:sz="4" w:space="0" w:color="000000"/>
              <w:left w:val="nil"/>
              <w:bottom w:val="single" w:sz="4" w:space="0" w:color="000000"/>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4</w:t>
            </w:r>
          </w:p>
        </w:tc>
      </w:tr>
      <w:tr w:rsidR="00024BB8" w:rsidRPr="00755EDB" w:rsidTr="00BE0960">
        <w:trPr>
          <w:trHeight w:val="320"/>
          <w:jc w:val="center"/>
        </w:trPr>
        <w:tc>
          <w:tcPr>
            <w:tcW w:w="1677" w:type="dxa"/>
            <w:vMerge/>
            <w:tcBorders>
              <w:left w:val="single" w:sz="4" w:space="0" w:color="000000"/>
              <w:right w:val="nil"/>
            </w:tcBorders>
            <w:shd w:val="clear" w:color="auto" w:fill="FFFFFF"/>
            <w:vAlign w:val="center"/>
          </w:tcPr>
          <w:p w:rsidR="00024BB8" w:rsidRPr="00755EDB" w:rsidRDefault="00024BB8" w:rsidP="00BE0960"/>
        </w:tc>
        <w:tc>
          <w:tcPr>
            <w:tcW w:w="1185" w:type="dxa"/>
            <w:tcBorders>
              <w:top w:val="single" w:sz="4" w:space="0" w:color="000000"/>
              <w:left w:val="nil"/>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Spawning</w:t>
            </w:r>
          </w:p>
        </w:tc>
        <w:tc>
          <w:tcPr>
            <w:tcW w:w="450" w:type="dxa"/>
            <w:tcBorders>
              <w:top w:val="single" w:sz="4" w:space="0" w:color="000000"/>
              <w:left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273</w:t>
            </w:r>
          </w:p>
        </w:tc>
        <w:tc>
          <w:tcPr>
            <w:tcW w:w="1101" w:type="dxa"/>
            <w:tcBorders>
              <w:top w:val="single" w:sz="4" w:space="0" w:color="000000"/>
              <w:left w:val="nil"/>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23 (1)</w:t>
            </w:r>
          </w:p>
        </w:tc>
        <w:tc>
          <w:tcPr>
            <w:tcW w:w="528" w:type="dxa"/>
            <w:tcBorders>
              <w:top w:val="single" w:sz="4" w:space="0" w:color="000000"/>
              <w:left w:val="single" w:sz="4" w:space="0" w:color="000000"/>
              <w:right w:val="nil"/>
            </w:tcBorders>
            <w:shd w:val="clear" w:color="auto" w:fill="FFFFFF"/>
            <w:vAlign w:val="center"/>
          </w:tcPr>
          <w:p w:rsidR="00024BB8" w:rsidRPr="00755EDB" w:rsidRDefault="00024BB8" w:rsidP="00BE0960">
            <w:pPr>
              <w:jc w:val="center"/>
            </w:pPr>
          </w:p>
        </w:tc>
        <w:tc>
          <w:tcPr>
            <w:tcW w:w="1101" w:type="dxa"/>
            <w:tcBorders>
              <w:top w:val="single" w:sz="4" w:space="0" w:color="000000"/>
              <w:left w:val="nil"/>
              <w:right w:val="single" w:sz="4" w:space="0" w:color="000000"/>
            </w:tcBorders>
            <w:shd w:val="clear" w:color="auto" w:fill="FFFFFF"/>
            <w:vAlign w:val="center"/>
          </w:tcPr>
          <w:p w:rsidR="00024BB8" w:rsidRPr="00755EDB" w:rsidRDefault="00024BB8" w:rsidP="00BE0960">
            <w:pPr>
              <w:jc w:val="center"/>
            </w:pPr>
          </w:p>
        </w:tc>
        <w:tc>
          <w:tcPr>
            <w:tcW w:w="686" w:type="dxa"/>
            <w:tcBorders>
              <w:top w:val="single" w:sz="4" w:space="0" w:color="000000"/>
              <w:left w:val="single" w:sz="4" w:space="0" w:color="000000"/>
              <w:right w:val="nil"/>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i/>
                <w:sz w:val="14"/>
              </w:rPr>
              <w:t>485</w:t>
            </w:r>
          </w:p>
        </w:tc>
        <w:tc>
          <w:tcPr>
            <w:tcW w:w="1101" w:type="dxa"/>
            <w:tcBorders>
              <w:top w:val="single" w:sz="4" w:space="0" w:color="000000"/>
              <w:left w:val="nil"/>
              <w:right w:val="single" w:sz="4" w:space="0" w:color="000000"/>
            </w:tcBorders>
            <w:shd w:val="clear" w:color="auto" w:fill="FFFFFF"/>
            <w:vAlign w:val="center"/>
          </w:tcPr>
          <w:p w:rsidR="00024BB8" w:rsidRPr="00755EDB" w:rsidRDefault="00024BB8" w:rsidP="00BE0960">
            <w:pPr>
              <w:jc w:val="center"/>
            </w:pPr>
            <w:r w:rsidRPr="00755EDB">
              <w:rPr>
                <w:rFonts w:ascii="EC Square Sans Pro" w:eastAsia="EC Square Sans Pro" w:hAnsi="EC Square Sans Pro" w:cs="EC Square Sans Pro"/>
                <w:sz w:val="14"/>
              </w:rPr>
              <w:t>1</w:t>
            </w:r>
          </w:p>
        </w:tc>
      </w:tr>
    </w:tbl>
    <w:p w:rsidR="00F02F8F" w:rsidRDefault="00F02F8F" w:rsidP="00024BB8"/>
    <w:p w:rsidR="00024BB8" w:rsidRPr="00755EDB" w:rsidRDefault="00F02F8F" w:rsidP="00024BB8">
      <w:r>
        <w:br w:type="page"/>
      </w:r>
    </w:p>
    <w:tbl>
      <w:tblPr>
        <w:tblStyle w:val="a2"/>
        <w:tblW w:w="9673" w:type="dxa"/>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3"/>
      </w:tblGrid>
      <w:tr w:rsidR="00024BB8" w:rsidRPr="00755EDB" w:rsidTr="00F02F8F">
        <w:tc>
          <w:tcPr>
            <w:tcW w:w="9673" w:type="dxa"/>
          </w:tcPr>
          <w:p w:rsidR="00F02F8F" w:rsidRPr="00F02F8F" w:rsidRDefault="00F02F8F" w:rsidP="00F02F8F">
            <w:pPr>
              <w:jc w:val="center"/>
            </w:pPr>
            <w:r>
              <w:rPr>
                <w:rFonts w:ascii="EC Square Sans Pro" w:eastAsia="EC Square Sans Pro" w:hAnsi="EC Square Sans Pro" w:cs="EC Square Sans Pro"/>
              </w:rPr>
              <w:t xml:space="preserve">a) </w:t>
            </w:r>
            <w:r w:rsidRPr="00F02F8F">
              <w:rPr>
                <w:rFonts w:ascii="EC Square Sans Pro" w:eastAsia="EC Square Sans Pro" w:hAnsi="EC Square Sans Pro" w:cs="EC Square Sans Pro"/>
              </w:rPr>
              <w:t>Gulf of Mexico</w:t>
            </w:r>
            <w:r w:rsidRPr="00F02F8F">
              <w:rPr>
                <w:noProof/>
                <w:lang w:val="en-US" w:eastAsia="it-IT"/>
              </w:rPr>
              <w:t xml:space="preserve"> </w:t>
            </w:r>
            <w:r w:rsidR="00024BB8" w:rsidRPr="00755EDB">
              <w:rPr>
                <w:noProof/>
                <w:lang w:val="fr-FR" w:eastAsia="fr-FR"/>
              </w:rPr>
              <w:drawing>
                <wp:inline distT="0" distB="0" distL="0" distR="0">
                  <wp:extent cx="3365500" cy="2546350"/>
                  <wp:effectExtent l="0" t="0" r="6350" b="635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3366101" cy="2546805"/>
                          </a:xfrm>
                          <a:prstGeom prst="rect">
                            <a:avLst/>
                          </a:prstGeom>
                          <a:ln/>
                        </pic:spPr>
                      </pic:pic>
                    </a:graphicData>
                  </a:graphic>
                </wp:inline>
              </w:drawing>
            </w:r>
          </w:p>
          <w:p w:rsidR="00024BB8" w:rsidRPr="00755EDB" w:rsidRDefault="002F0E82" w:rsidP="00F02F8F">
            <w:pPr>
              <w:jc w:val="center"/>
            </w:pPr>
            <w:r>
              <w:rPr>
                <w:rFonts w:ascii="EC Square Sans Pro" w:eastAsia="EC Square Sans Pro" w:hAnsi="EC Square Sans Pro" w:cs="EC Square Sans Pro"/>
              </w:rPr>
              <w:t xml:space="preserve">b) North Atlantic  </w:t>
            </w:r>
            <w:r w:rsidR="00024BB8" w:rsidRPr="00755EDB">
              <w:rPr>
                <w:noProof/>
                <w:lang w:val="fr-FR" w:eastAsia="fr-FR"/>
              </w:rPr>
              <w:drawing>
                <wp:inline distT="0" distB="0" distL="0" distR="0">
                  <wp:extent cx="3367088" cy="2519666"/>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3367088" cy="2519666"/>
                          </a:xfrm>
                          <a:prstGeom prst="rect">
                            <a:avLst/>
                          </a:prstGeom>
                          <a:ln/>
                        </pic:spPr>
                      </pic:pic>
                    </a:graphicData>
                  </a:graphic>
                </wp:inline>
              </w:drawing>
            </w:r>
          </w:p>
          <w:p w:rsidR="00024BB8" w:rsidRPr="00755EDB" w:rsidRDefault="002F0E82" w:rsidP="00F02F8F">
            <w:pPr>
              <w:jc w:val="center"/>
            </w:pPr>
            <w:r>
              <w:rPr>
                <w:rFonts w:ascii="EC Square Sans Pro" w:eastAsia="EC Square Sans Pro" w:hAnsi="EC Square Sans Pro" w:cs="EC Square Sans Pro"/>
              </w:rPr>
              <w:t>c) Mediterranean Sea</w:t>
            </w:r>
            <w:r w:rsidR="00024BB8" w:rsidRPr="00755EDB">
              <w:rPr>
                <w:noProof/>
                <w:lang w:val="fr-FR" w:eastAsia="fr-FR"/>
              </w:rPr>
              <w:drawing>
                <wp:inline distT="0" distB="0" distL="0" distR="0">
                  <wp:extent cx="3405188" cy="2551043"/>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3405188" cy="2551043"/>
                          </a:xfrm>
                          <a:prstGeom prst="rect">
                            <a:avLst/>
                          </a:prstGeom>
                          <a:ln/>
                        </pic:spPr>
                      </pic:pic>
                    </a:graphicData>
                  </a:graphic>
                </wp:inline>
              </w:drawing>
            </w:r>
          </w:p>
        </w:tc>
      </w:tr>
    </w:tbl>
    <w:p w:rsidR="00024BB8" w:rsidRDefault="004B6748" w:rsidP="004B6748">
      <w:pPr>
        <w:pStyle w:val="Lgende"/>
        <w:rPr>
          <w:sz w:val="22"/>
        </w:rPr>
      </w:pPr>
      <w:bookmarkStart w:id="24" w:name="h.1pxezwc" w:colFirst="0" w:colLast="0"/>
      <w:bookmarkStart w:id="25" w:name="_Ref421698085"/>
      <w:bookmarkEnd w:id="24"/>
      <w:r w:rsidRPr="00741A07">
        <w:rPr>
          <w:sz w:val="22"/>
        </w:rPr>
        <w:t xml:space="preserve">Figure SI- </w:t>
      </w:r>
      <w:r w:rsidR="003B76F1">
        <w:rPr>
          <w:sz w:val="22"/>
        </w:rPr>
        <w:fldChar w:fldCharType="begin"/>
      </w:r>
      <w:r w:rsidR="00AE52A1">
        <w:rPr>
          <w:sz w:val="22"/>
        </w:rPr>
        <w:instrText xml:space="preserve"> SEQ Figure_SI- \* ARABIC </w:instrText>
      </w:r>
      <w:r w:rsidR="003B76F1">
        <w:rPr>
          <w:sz w:val="22"/>
        </w:rPr>
        <w:fldChar w:fldCharType="separate"/>
      </w:r>
      <w:r w:rsidR="00B86506">
        <w:rPr>
          <w:noProof/>
          <w:sz w:val="22"/>
        </w:rPr>
        <w:t>6</w:t>
      </w:r>
      <w:r w:rsidR="003B76F1">
        <w:rPr>
          <w:sz w:val="22"/>
        </w:rPr>
        <w:fldChar w:fldCharType="end"/>
      </w:r>
      <w:bookmarkEnd w:id="25"/>
      <w:r w:rsidRPr="00741A07">
        <w:rPr>
          <w:sz w:val="22"/>
        </w:rPr>
        <w:t xml:space="preserve"> </w:t>
      </w:r>
      <w:r w:rsidR="00024BB8" w:rsidRPr="00741A07">
        <w:rPr>
          <w:sz w:val="22"/>
        </w:rPr>
        <w:t>Monthly distribution (from mid-2002 to 2012) of all ABFT presence data and corresponding 50</w:t>
      </w:r>
      <w:r w:rsidR="00024BB8" w:rsidRPr="00741A07">
        <w:rPr>
          <w:sz w:val="22"/>
          <w:vertAlign w:val="superscript"/>
        </w:rPr>
        <w:t>th</w:t>
      </w:r>
      <w:r w:rsidR="00024BB8" w:rsidRPr="00741A07">
        <w:rPr>
          <w:sz w:val="22"/>
        </w:rPr>
        <w:t>, 75</w:t>
      </w:r>
      <w:r w:rsidR="00024BB8" w:rsidRPr="00741A07">
        <w:rPr>
          <w:sz w:val="22"/>
          <w:vertAlign w:val="superscript"/>
        </w:rPr>
        <w:t>th</w:t>
      </w:r>
      <w:r w:rsidR="00024BB8" w:rsidRPr="00741A07">
        <w:rPr>
          <w:sz w:val="22"/>
        </w:rPr>
        <w:t xml:space="preserve"> and 90</w:t>
      </w:r>
      <w:r w:rsidR="00024BB8" w:rsidRPr="00741A07">
        <w:rPr>
          <w:sz w:val="22"/>
          <w:vertAlign w:val="superscript"/>
        </w:rPr>
        <w:t>th</w:t>
      </w:r>
      <w:r w:rsidR="00024BB8" w:rsidRPr="00741A07">
        <w:rPr>
          <w:sz w:val="22"/>
        </w:rPr>
        <w:t xml:space="preserve"> percentile distances to closest habitat boundary (km) for a) the Gulf of Mexico, b) the North Atlanti</w:t>
      </w:r>
      <w:r w:rsidR="00171A07">
        <w:rPr>
          <w:sz w:val="22"/>
        </w:rPr>
        <w:t>c and c) the Mediterranean Sea.</w:t>
      </w:r>
    </w:p>
    <w:p w:rsidR="006F2126" w:rsidRDefault="006F2126" w:rsidP="002018E4">
      <w:pPr>
        <w:pStyle w:val="Titre1"/>
      </w:pPr>
      <w:bookmarkStart w:id="26" w:name="_Ref439769091"/>
      <w:r>
        <w:t>Monthly variability of habitat size</w:t>
      </w:r>
      <w:bookmarkEnd w:id="26"/>
    </w:p>
    <w:p w:rsidR="006F2126" w:rsidRDefault="0025433B" w:rsidP="006F2126">
      <w:pPr>
        <w:rPr>
          <w:rFonts w:ascii="EC Square Sans Pro" w:hAnsi="EC Square Sans Pro" w:cstheme="majorBidi"/>
          <w:bCs/>
          <w:noProof/>
        </w:rPr>
      </w:pPr>
      <w:r w:rsidRPr="0075308F">
        <w:rPr>
          <w:rFonts w:ascii="EC Square Sans Pro" w:hAnsi="EC Square Sans Pro"/>
        </w:rPr>
        <w:t xml:space="preserve">The relative size of potential feeding and spawning habitats of large ABFT </w:t>
      </w:r>
      <w:r w:rsidR="00C453F5" w:rsidRPr="0075308F">
        <w:rPr>
          <w:rFonts w:ascii="EC Square Sans Pro" w:hAnsi="EC Square Sans Pro" w:cstheme="majorBidi"/>
          <w:bCs/>
          <w:noProof/>
        </w:rPr>
        <w:t>(</w:t>
      </w:r>
      <w:r w:rsidR="00510BFB">
        <w:fldChar w:fldCharType="begin"/>
      </w:r>
      <w:r w:rsidR="00510BFB">
        <w:instrText xml:space="preserve"> REF _Ref435799343 \h  \* MERGEFORMAT </w:instrText>
      </w:r>
      <w:r w:rsidR="00510BFB">
        <w:fldChar w:fldCharType="separate"/>
      </w:r>
      <w:r w:rsidR="00B86506" w:rsidRPr="00B86506">
        <w:rPr>
          <w:rFonts w:cstheme="majorBidi"/>
          <w:bCs/>
        </w:rPr>
        <w:t>Figure SI- 7</w:t>
      </w:r>
      <w:r w:rsidR="00510BFB">
        <w:fldChar w:fldCharType="end"/>
      </w:r>
      <w:r w:rsidR="00C453F5" w:rsidRPr="0075308F">
        <w:rPr>
          <w:rFonts w:ascii="EC Square Sans Pro" w:hAnsi="EC Square Sans Pro" w:cstheme="majorBidi"/>
          <w:bCs/>
          <w:noProof/>
        </w:rPr>
        <w:t xml:space="preserve">) </w:t>
      </w:r>
      <w:r w:rsidRPr="0075308F">
        <w:rPr>
          <w:rFonts w:ascii="EC Square Sans Pro" w:hAnsi="EC Square Sans Pro"/>
        </w:rPr>
        <w:t xml:space="preserve">show similar patterns in the two main spawning grounds (Gulf of Mexico and Mediterranean Sea) </w:t>
      </w:r>
      <w:r w:rsidR="00E56130" w:rsidRPr="0075308F">
        <w:rPr>
          <w:rFonts w:ascii="EC Square Sans Pro" w:hAnsi="EC Square Sans Pro"/>
        </w:rPr>
        <w:t>with high levels in winter and low levels in summer for feeding and</w:t>
      </w:r>
      <w:r w:rsidR="00C66FE4" w:rsidRPr="0075308F">
        <w:rPr>
          <w:rFonts w:ascii="EC Square Sans Pro" w:hAnsi="EC Square Sans Pro"/>
        </w:rPr>
        <w:t>, in between,</w:t>
      </w:r>
      <w:r w:rsidR="00E56130" w:rsidRPr="0075308F">
        <w:rPr>
          <w:rFonts w:ascii="EC Square Sans Pro" w:hAnsi="EC Square Sans Pro"/>
        </w:rPr>
        <w:t xml:space="preserve"> a limited period favourable for spawning in spring. The potential feeding habitat in the North Atlantic is instead at maximum levels from spring to mid-autumn</w:t>
      </w:r>
      <w:r w:rsidR="00C66FE4" w:rsidRPr="0075308F">
        <w:rPr>
          <w:rFonts w:ascii="EC Square Sans Pro" w:hAnsi="EC Square Sans Pro"/>
        </w:rPr>
        <w:t xml:space="preserve"> in agreement with the </w:t>
      </w:r>
      <w:r w:rsidR="008C03B1" w:rsidRPr="0075308F">
        <w:rPr>
          <w:rFonts w:ascii="EC Square Sans Pro" w:hAnsi="EC Square Sans Pro"/>
        </w:rPr>
        <w:t xml:space="preserve">observed </w:t>
      </w:r>
      <w:r w:rsidR="00C66FE4" w:rsidRPr="0075308F">
        <w:rPr>
          <w:rFonts w:ascii="EC Square Sans Pro" w:hAnsi="EC Square Sans Pro"/>
        </w:rPr>
        <w:t xml:space="preserve">dynamics of ABFT migration from </w:t>
      </w:r>
      <w:r w:rsidR="00381CD7" w:rsidRPr="0075308F">
        <w:rPr>
          <w:rFonts w:ascii="EC Square Sans Pro" w:hAnsi="EC Square Sans Pro"/>
        </w:rPr>
        <w:t xml:space="preserve">the </w:t>
      </w:r>
      <w:r w:rsidR="00C66FE4" w:rsidRPr="0075308F">
        <w:rPr>
          <w:rFonts w:ascii="EC Square Sans Pro" w:hAnsi="EC Square Sans Pro"/>
        </w:rPr>
        <w:t xml:space="preserve">Canadian waters to the Gulf of Mexico </w:t>
      </w:r>
      <w:r w:rsidR="003B76F1" w:rsidRPr="0075308F">
        <w:rPr>
          <w:rFonts w:ascii="EC Square Sans Pro" w:hAnsi="EC Square Sans Pro"/>
        </w:rPr>
        <w:fldChar w:fldCharType="begin"/>
      </w:r>
      <w:r w:rsidR="00C66FE4" w:rsidRPr="0075308F">
        <w:rPr>
          <w:rFonts w:ascii="EC Square Sans Pro" w:hAnsi="EC Square Sans Pro"/>
        </w:rPr>
        <w:instrText xml:space="preserve"> ADDIN ZOTERO_ITEM CSL_CITATION {"citationID":"dkks8427t","properties":{"custom":"(e.g. Galuardi et al., 2010; Wilson et al., 2015)","formattedCitation":"(e.g. Galuardi et al., 2010; Wilson et al., 2015)","plainCitation":"(e.g. Galuardi et al., 2010; Wilson et al., 2015)"},"citationItems":[{"id":2848,"uris":["http://zotero.org/users/678738/items/WGB45P9C"],"uri":["http://zotero.org/users/678738/items/WGB45P9C"],"itemData":{"id":2848,"type":"article-journal","title":"Complex migration routes of Atlantic bluefin tuna (Thunnus thynnus) question current population structure paradigm","container-title":"Canadian Journal of Fisheries and Aquatic Science","page":"966-976","volume":"67","abstract":"Abstract: Movements of Atlantic bluefin tuna (Thunnus thynnus, ABFT) from specific western Atlantic forage grounds are not well described, and the extent of their spawning areas is mainly surmised. In 2005 and 2006, we deployed 41 pop-up satellite archival tags (PSATs) on adult Atlantic bluefin tuna off the coast of Nova Scotia, Canada, and on Georges Bank. During the assumed spawning period, 56% of the tagged ABFT occupied a known spawning area, while 44% were located in distant oceanic regions. Assuming obligate annual spawning, these results are inconsistent with the notion of spawning site fidelity to the Gulf of Mexico. The ocean-wide migrations of adult ABFT tagged on a common forage ground suggest evidence of a metapopulation requiring more spatially explicit management than the current simple two-stock structure. Résumé : On n’a pas décrit adéquatement les déplacements des thons rouges de l’Atlantique (Thunnus thynnus, ABFT) à partir de zones d’alimentation spécifiques de l’ouest de l’Atlantique et on a en grande partie présumé de l’étendue de leurs aires de reproduction. En 2005 et 2006, nous avons fixé 41 étiquettes satellites enregistreuses détachables (PSAT) à des thons adultes au large de la côte de la Nouvelle-Écosse, Canada, et sur le banc Georges. Durant la période de reproduction présumée, 56 % des ABFT porteurs d’étiquettes se retrouvaient sur une aire connue de reproduction, alors que 44 % étaient dans des régions océaniques éloignées. Si nous supposons que la fraie annuelle est obligatoire, ces données sont incompatibles avec la notion de fidélité au golfe du Mexique comme site de fraie. Les migrations à l’échelle de l’océan des ABFT adultes marqués dans une aire commune d’alimentation laissent croire à l’existence d’une métapopulation qui requiert une gestion plus explicite à l’échelle spatiale que la structure simple de deux stocks utilisée couramment.","author":[{"family":"Galuardi","given":"B."},{"family":"Royer","given":"F."},{"family":"Golet","given":"W."},{"family":"Logan","given":"J."},{"family":"Neilson","given":"J."},{"family":"Lutcavage","given":"M."}],"issued":{"date-parts":[["2010"]]}},"label":"page"},{"id":4940,"uris":["http://zotero.org/users/678738/items/DH7JB4H3"],"uri":["http://zotero.org/users/678738/items/DH7JB4H3"],"itemData":{"id":4940,"type":"article-journal","title":"Tracking the fidelity of Atlantic bluefin tuna released in Canadian waters to the Gulf of Mexico spawning grounds","container-title":"Canadian Journal of Fisheries and Aquatic Sciences","page":"1–18","volume":"72","issue":"999","source":"Google Scholar","author":[{"family":"Wilson","given":"Steven G."},{"family":"Jonsen","given":"Ian D."},{"family":"Schallert","given":"Robert J."},{"family":"Ganong","given":"James E."},{"family":"Castleton","given":"Michael R."},{"family":"Spares","given":"Aaron D."},{"family":"Boustany","given":"Andre M."},{"family":"Stokesbury","given":"Michael JW"},{"family":"Block","given":"Barbara A."},{"family":"Trenkel","given":"Verena"}],"issued":{"date-parts":[["2015"]]}},"label":"page"}],"schema":"https://github.com/citation-style-language/schema/raw/master/csl-citation.json"} </w:instrText>
      </w:r>
      <w:r w:rsidR="003B76F1" w:rsidRPr="0075308F">
        <w:rPr>
          <w:rFonts w:ascii="EC Square Sans Pro" w:hAnsi="EC Square Sans Pro"/>
        </w:rPr>
        <w:fldChar w:fldCharType="separate"/>
      </w:r>
      <w:r w:rsidR="00C66FE4" w:rsidRPr="0075308F">
        <w:rPr>
          <w:rFonts w:ascii="EC Square Sans Pro" w:hAnsi="EC Square Sans Pro"/>
        </w:rPr>
        <w:t>(e.g. Galuardi et al., 2010; Wilson et al., 2015)</w:t>
      </w:r>
      <w:r w:rsidR="003B76F1" w:rsidRPr="0075308F">
        <w:rPr>
          <w:rFonts w:ascii="EC Square Sans Pro" w:hAnsi="EC Square Sans Pro"/>
        </w:rPr>
        <w:fldChar w:fldCharType="end"/>
      </w:r>
      <w:r w:rsidR="00E56130" w:rsidRPr="0075308F">
        <w:rPr>
          <w:rFonts w:ascii="EC Square Sans Pro" w:hAnsi="EC Square Sans Pro"/>
        </w:rPr>
        <w:t>.</w:t>
      </w:r>
      <w:r w:rsidR="008C03B1" w:rsidRPr="0075308F">
        <w:rPr>
          <w:rFonts w:ascii="EC Square Sans Pro" w:hAnsi="EC Square Sans Pro"/>
        </w:rPr>
        <w:t xml:space="preserve"> </w:t>
      </w:r>
      <w:r w:rsidR="00CC4A7D" w:rsidRPr="0075308F">
        <w:rPr>
          <w:rFonts w:ascii="EC Square Sans Pro" w:hAnsi="EC Square Sans Pro"/>
        </w:rPr>
        <w:t>In particular, t</w:t>
      </w:r>
      <w:r w:rsidR="008C03B1" w:rsidRPr="0075308F">
        <w:rPr>
          <w:rFonts w:ascii="EC Square Sans Pro" w:hAnsi="EC Square Sans Pro"/>
        </w:rPr>
        <w:t xml:space="preserve">he entry and exit </w:t>
      </w:r>
      <w:r w:rsidR="00CC4A7D" w:rsidRPr="0075308F">
        <w:rPr>
          <w:rFonts w:ascii="EC Square Sans Pro" w:hAnsi="EC Square Sans Pro"/>
        </w:rPr>
        <w:t xml:space="preserve">time </w:t>
      </w:r>
      <w:r w:rsidR="008C03B1" w:rsidRPr="0075308F">
        <w:rPr>
          <w:rFonts w:ascii="EC Square Sans Pro" w:hAnsi="EC Square Sans Pro"/>
        </w:rPr>
        <w:t xml:space="preserve">of </w:t>
      </w:r>
      <w:r w:rsidR="00CC4A7D" w:rsidRPr="0075308F">
        <w:rPr>
          <w:rFonts w:ascii="EC Square Sans Pro" w:hAnsi="EC Square Sans Pro"/>
        </w:rPr>
        <w:t xml:space="preserve">ABFT in </w:t>
      </w:r>
      <w:r w:rsidR="008C03B1" w:rsidRPr="0075308F">
        <w:rPr>
          <w:rFonts w:ascii="EC Square Sans Pro" w:hAnsi="EC Square Sans Pro"/>
        </w:rPr>
        <w:t xml:space="preserve">the Gulf of Mexico estimated by </w:t>
      </w:r>
      <w:r w:rsidR="003B76F1" w:rsidRPr="0075308F">
        <w:rPr>
          <w:rFonts w:ascii="EC Square Sans Pro" w:hAnsi="EC Square Sans Pro"/>
        </w:rPr>
        <w:fldChar w:fldCharType="begin"/>
      </w:r>
      <w:r w:rsidR="008C03B1" w:rsidRPr="0075308F">
        <w:rPr>
          <w:rFonts w:ascii="EC Square Sans Pro" w:hAnsi="EC Square Sans Pro"/>
        </w:rPr>
        <w:instrText xml:space="preserve"> ADDIN ZOTERO_ITEM CSL_CITATION {"citationID":"1dq07l92e1","properties":{"custom":"Wilson et al. (2015)","formattedCitation":"Wilson et al. (2015)","plainCitation":"Wilson et al. (2015)"},"citationItems":[{"id":4940,"uris":["http://zotero.org/users/678738/items/DH7JB4H3"],"uri":["http://zotero.org/users/678738/items/DH7JB4H3"],"itemData":{"id":4940,"type":"article-journal","title":"Tracking the fidelity of Atlantic bluefin tuna released in Canadian waters to the Gulf of Mexico spawning grounds","container-title":"Canadian Journal of Fisheries and Aquatic Sciences","page":"1–18","volume":"72","issue":"999","source":"Google Scholar","author":[{"family":"Wilson","given":"Steven G."},{"family":"Jonsen","given":"Ian D."},{"family":"Schallert","given":"Robert J."},{"family":"Ganong","given":"James E."},{"family":"Castleton","given":"Michael R."},{"family":"Spares","given":"Aaron D."},{"family":"Boustany","given":"Andre M."},{"family":"Stokesbury","given":"Michael JW"},{"family":"Block","given":"Barbara A."},{"family":"Trenkel","given":"Verena"}],"issued":{"date-parts":[["2015"]]}}}],"schema":"https://github.com/citation-style-language/schema/raw/master/csl-citation.json"} </w:instrText>
      </w:r>
      <w:r w:rsidR="003B76F1" w:rsidRPr="0075308F">
        <w:rPr>
          <w:rFonts w:ascii="EC Square Sans Pro" w:hAnsi="EC Square Sans Pro"/>
        </w:rPr>
        <w:fldChar w:fldCharType="separate"/>
      </w:r>
      <w:r w:rsidR="008C03B1" w:rsidRPr="0075308F">
        <w:rPr>
          <w:rFonts w:ascii="EC Square Sans Pro" w:hAnsi="EC Square Sans Pro"/>
        </w:rPr>
        <w:t>Wilson et al. (2015)</w:t>
      </w:r>
      <w:r w:rsidR="003B76F1" w:rsidRPr="0075308F">
        <w:rPr>
          <w:rFonts w:ascii="EC Square Sans Pro" w:hAnsi="EC Square Sans Pro"/>
        </w:rPr>
        <w:fldChar w:fldCharType="end"/>
      </w:r>
      <w:r w:rsidR="008C03B1" w:rsidRPr="0075308F">
        <w:rPr>
          <w:rFonts w:ascii="EC Square Sans Pro" w:hAnsi="EC Square Sans Pro"/>
        </w:rPr>
        <w:t xml:space="preserve"> correspond to the large extent of the potential feeding and spawning habitats (</w:t>
      </w:r>
      <w:r w:rsidR="00510BFB">
        <w:fldChar w:fldCharType="begin"/>
      </w:r>
      <w:r w:rsidR="00510BFB">
        <w:instrText xml:space="preserve"> REF _Ref43579</w:instrText>
      </w:r>
      <w:r w:rsidR="00510BFB">
        <w:instrText xml:space="preserve">9343 \h  \* MERGEFORMAT </w:instrText>
      </w:r>
      <w:r w:rsidR="00510BFB">
        <w:fldChar w:fldCharType="separate"/>
      </w:r>
      <w:r w:rsidR="00B86506" w:rsidRPr="00B86506">
        <w:rPr>
          <w:rFonts w:cstheme="majorBidi"/>
          <w:bCs/>
        </w:rPr>
        <w:t>Figure SI- 7</w:t>
      </w:r>
      <w:r w:rsidR="00510BFB">
        <w:fldChar w:fldCharType="end"/>
      </w:r>
      <w:r w:rsidR="001A30A8">
        <w:rPr>
          <w:rFonts w:ascii="EC Square Sans Pro" w:hAnsi="EC Square Sans Pro" w:cstheme="majorBidi"/>
          <w:bCs/>
          <w:noProof/>
        </w:rPr>
        <w:t> </w:t>
      </w:r>
      <w:r w:rsidR="008C03B1" w:rsidRPr="0075308F">
        <w:rPr>
          <w:rFonts w:ascii="EC Square Sans Pro" w:hAnsi="EC Square Sans Pro" w:cstheme="majorBidi"/>
          <w:bCs/>
          <w:noProof/>
        </w:rPr>
        <w:t xml:space="preserve">a and b) with mean dates of 14 January </w:t>
      </w:r>
      <w:r w:rsidR="00CC4A7D" w:rsidRPr="0075308F">
        <w:rPr>
          <w:rFonts w:ascii="Times New Roman" w:hAnsi="Times New Roman" w:cs="Times New Roman"/>
          <w:bCs/>
          <w:noProof/>
        </w:rPr>
        <w:t>±</w:t>
      </w:r>
      <w:r w:rsidR="004B166A" w:rsidRPr="0075308F">
        <w:rPr>
          <w:rFonts w:ascii="Times New Roman" w:hAnsi="Times New Roman" w:cs="Times New Roman"/>
          <w:bCs/>
          <w:noProof/>
        </w:rPr>
        <w:t> </w:t>
      </w:r>
      <w:r w:rsidR="00CC4A7D" w:rsidRPr="0075308F">
        <w:rPr>
          <w:rFonts w:ascii="EC Square Sans Pro" w:hAnsi="EC Square Sans Pro" w:cstheme="majorBidi"/>
          <w:bCs/>
          <w:noProof/>
        </w:rPr>
        <w:t xml:space="preserve">42 days </w:t>
      </w:r>
      <w:r w:rsidR="008C03B1" w:rsidRPr="0075308F">
        <w:rPr>
          <w:rFonts w:ascii="EC Square Sans Pro" w:hAnsi="EC Square Sans Pro" w:cstheme="majorBidi"/>
          <w:bCs/>
          <w:noProof/>
        </w:rPr>
        <w:t xml:space="preserve">and 22 May </w:t>
      </w:r>
      <w:r w:rsidR="00CC4A7D" w:rsidRPr="0075308F">
        <w:rPr>
          <w:rFonts w:ascii="Times New Roman" w:hAnsi="Times New Roman" w:cs="Times New Roman"/>
          <w:bCs/>
          <w:noProof/>
        </w:rPr>
        <w:t>±</w:t>
      </w:r>
      <w:r w:rsidR="004B166A" w:rsidRPr="0075308F">
        <w:rPr>
          <w:rFonts w:ascii="Times New Roman" w:hAnsi="Times New Roman" w:cs="Times New Roman"/>
          <w:bCs/>
          <w:noProof/>
        </w:rPr>
        <w:t> </w:t>
      </w:r>
      <w:r w:rsidR="00CC4A7D" w:rsidRPr="0075308F">
        <w:rPr>
          <w:rFonts w:ascii="EC Square Sans Pro" w:hAnsi="EC Square Sans Pro" w:cstheme="majorBidi"/>
          <w:bCs/>
          <w:noProof/>
        </w:rPr>
        <w:t xml:space="preserve">18 days </w:t>
      </w:r>
      <w:r w:rsidR="008C03B1" w:rsidRPr="0075308F">
        <w:rPr>
          <w:rFonts w:ascii="EC Square Sans Pro" w:hAnsi="EC Square Sans Pro" w:cstheme="majorBidi"/>
          <w:bCs/>
          <w:noProof/>
        </w:rPr>
        <w:t>respectively</w:t>
      </w:r>
      <w:r w:rsidR="00CC4A7D" w:rsidRPr="0075308F">
        <w:rPr>
          <w:rFonts w:ascii="EC Square Sans Pro" w:hAnsi="EC Square Sans Pro" w:cstheme="majorBidi"/>
          <w:bCs/>
          <w:noProof/>
        </w:rPr>
        <w:t xml:space="preserve"> (mean residency of 123</w:t>
      </w:r>
      <w:r w:rsidR="004B166A" w:rsidRPr="0075308F">
        <w:rPr>
          <w:rFonts w:ascii="EC Square Sans Pro" w:hAnsi="EC Square Sans Pro" w:cstheme="majorBidi"/>
          <w:bCs/>
          <w:noProof/>
        </w:rPr>
        <w:t xml:space="preserve"> </w:t>
      </w:r>
      <w:r w:rsidR="004B166A" w:rsidRPr="0075308F">
        <w:rPr>
          <w:rFonts w:ascii="Times New Roman" w:hAnsi="Times New Roman" w:cs="Times New Roman"/>
          <w:bCs/>
          <w:noProof/>
        </w:rPr>
        <w:t>± </w:t>
      </w:r>
      <w:r w:rsidR="004B166A" w:rsidRPr="0075308F">
        <w:rPr>
          <w:rFonts w:ascii="EC Square Sans Pro" w:hAnsi="EC Square Sans Pro" w:cstheme="majorBidi"/>
          <w:bCs/>
          <w:noProof/>
        </w:rPr>
        <w:t>49</w:t>
      </w:r>
      <w:r w:rsidR="00CC4A7D" w:rsidRPr="0075308F">
        <w:rPr>
          <w:rFonts w:ascii="EC Square Sans Pro" w:hAnsi="EC Square Sans Pro" w:cstheme="majorBidi"/>
          <w:bCs/>
          <w:noProof/>
        </w:rPr>
        <w:t xml:space="preserve"> days)</w:t>
      </w:r>
      <w:r w:rsidR="008C03B1" w:rsidRPr="0075308F">
        <w:rPr>
          <w:rFonts w:ascii="EC Square Sans Pro" w:hAnsi="EC Square Sans Pro" w:cstheme="majorBidi"/>
          <w:bCs/>
          <w:noProof/>
        </w:rPr>
        <w:t>.</w:t>
      </w:r>
      <w:r w:rsidR="004B166A" w:rsidRPr="0075308F">
        <w:rPr>
          <w:rFonts w:ascii="EC Square Sans Pro" w:hAnsi="EC Square Sans Pro" w:cstheme="majorBidi"/>
          <w:bCs/>
          <w:noProof/>
        </w:rPr>
        <w:t xml:space="preserve"> The entry and exit dates in the Gulf of Saint Lawrence (28 June </w:t>
      </w:r>
      <w:r w:rsidR="004B166A" w:rsidRPr="0075308F">
        <w:rPr>
          <w:rFonts w:ascii="Times New Roman" w:hAnsi="Times New Roman" w:cs="Times New Roman"/>
          <w:bCs/>
          <w:noProof/>
        </w:rPr>
        <w:t>± </w:t>
      </w:r>
      <w:r w:rsidR="004B166A" w:rsidRPr="0075308F">
        <w:rPr>
          <w:rFonts w:ascii="EC Square Sans Pro" w:hAnsi="EC Square Sans Pro" w:cstheme="majorBidi"/>
          <w:bCs/>
          <w:noProof/>
        </w:rPr>
        <w:t xml:space="preserve">11 days and 14 October </w:t>
      </w:r>
      <w:r w:rsidR="004B166A" w:rsidRPr="0075308F">
        <w:rPr>
          <w:rFonts w:ascii="Times New Roman" w:hAnsi="Times New Roman" w:cs="Times New Roman"/>
          <w:bCs/>
          <w:noProof/>
        </w:rPr>
        <w:t>± </w:t>
      </w:r>
      <w:r w:rsidR="004B166A" w:rsidRPr="0075308F">
        <w:rPr>
          <w:rFonts w:ascii="EC Square Sans Pro" w:hAnsi="EC Square Sans Pro" w:cstheme="majorBidi"/>
          <w:bCs/>
          <w:noProof/>
        </w:rPr>
        <w:t>13 days) also correspond to the maximum extent of habitat in the North Atlantic during the warmest months</w:t>
      </w:r>
      <w:r w:rsidR="00381CD7" w:rsidRPr="0075308F">
        <w:rPr>
          <w:rFonts w:ascii="EC Square Sans Pro" w:hAnsi="EC Square Sans Pro" w:cstheme="majorBidi"/>
          <w:bCs/>
          <w:noProof/>
        </w:rPr>
        <w:t>,</w:t>
      </w:r>
      <w:r w:rsidR="004B166A" w:rsidRPr="0075308F">
        <w:rPr>
          <w:rFonts w:ascii="EC Square Sans Pro" w:hAnsi="EC Square Sans Pro" w:cstheme="majorBidi"/>
          <w:bCs/>
          <w:noProof/>
        </w:rPr>
        <w:t xml:space="preserve"> i.e northwards (</w:t>
      </w:r>
      <w:r w:rsidR="00510BFB">
        <w:fldChar w:fldCharType="begin"/>
      </w:r>
      <w:r w:rsidR="00510BFB">
        <w:instrText xml:space="preserve"> REF _Ref435799343 \h  \* MERGEFORMAT </w:instrText>
      </w:r>
      <w:r w:rsidR="00510BFB">
        <w:fldChar w:fldCharType="separate"/>
      </w:r>
      <w:r w:rsidR="00B86506" w:rsidRPr="00B86506">
        <w:rPr>
          <w:rFonts w:cstheme="majorBidi"/>
          <w:bCs/>
        </w:rPr>
        <w:t>Figure SI- 7</w:t>
      </w:r>
      <w:r w:rsidR="00510BFB">
        <w:fldChar w:fldCharType="end"/>
      </w:r>
      <w:r w:rsidR="001A30A8">
        <w:rPr>
          <w:rFonts w:ascii="EC Square Sans Pro" w:hAnsi="EC Square Sans Pro" w:cstheme="majorBidi" w:hint="eastAsia"/>
          <w:bCs/>
        </w:rPr>
        <w:t> </w:t>
      </w:r>
      <w:r w:rsidR="004B166A" w:rsidRPr="0075308F">
        <w:rPr>
          <w:rFonts w:ascii="EC Square Sans Pro" w:hAnsi="EC Square Sans Pro" w:cstheme="majorBidi"/>
          <w:bCs/>
          <w:noProof/>
        </w:rPr>
        <w:t>c). The inter</w:t>
      </w:r>
      <w:r w:rsidR="00381CD7" w:rsidRPr="0075308F">
        <w:rPr>
          <w:rFonts w:ascii="EC Square Sans Pro" w:hAnsi="EC Square Sans Pro" w:cstheme="majorBidi"/>
          <w:bCs/>
          <w:noProof/>
        </w:rPr>
        <w:t>-</w:t>
      </w:r>
      <w:r w:rsidR="004B166A" w:rsidRPr="0075308F">
        <w:rPr>
          <w:rFonts w:ascii="EC Square Sans Pro" w:hAnsi="EC Square Sans Pro" w:cstheme="majorBidi"/>
          <w:bCs/>
          <w:noProof/>
        </w:rPr>
        <w:t xml:space="preserve">annual variability of size of potential habitats </w:t>
      </w:r>
      <w:r w:rsidR="001B1030" w:rsidRPr="0075308F">
        <w:rPr>
          <w:rFonts w:ascii="EC Square Sans Pro" w:hAnsi="EC Square Sans Pro" w:cstheme="majorBidi"/>
          <w:bCs/>
          <w:noProof/>
        </w:rPr>
        <w:t xml:space="preserve">can reach up to </w:t>
      </w:r>
      <w:r w:rsidR="001B1030" w:rsidRPr="0075308F">
        <w:rPr>
          <w:rFonts w:ascii="Times New Roman" w:hAnsi="Times New Roman" w:cs="Times New Roman"/>
          <w:bCs/>
          <w:noProof/>
        </w:rPr>
        <w:t>±</w:t>
      </w:r>
      <w:r w:rsidR="001B1030" w:rsidRPr="0075308F">
        <w:rPr>
          <w:rFonts w:ascii="EC Square Sans Pro" w:hAnsi="EC Square Sans Pro" w:cstheme="majorBidi" w:hint="eastAsia"/>
          <w:bCs/>
          <w:noProof/>
        </w:rPr>
        <w:t xml:space="preserve"> 50% </w:t>
      </w:r>
      <w:r w:rsidR="001B1030" w:rsidRPr="0075308F">
        <w:rPr>
          <w:rFonts w:ascii="EC Square Sans Pro" w:hAnsi="EC Square Sans Pro" w:cstheme="majorBidi"/>
          <w:bCs/>
          <w:noProof/>
        </w:rPr>
        <w:t>with the highest differences in the last three years from 2010 to 2012.</w:t>
      </w:r>
      <w:r w:rsidR="001B1030">
        <w:rPr>
          <w:rFonts w:ascii="EC Square Sans Pro" w:hAnsi="EC Square Sans Pro" w:cstheme="majorBidi"/>
          <w:bCs/>
          <w:noProof/>
        </w:rPr>
        <w:t xml:space="preserve"> </w:t>
      </w:r>
    </w:p>
    <w:p w:rsidR="00CD011E" w:rsidRDefault="00CD011E">
      <w:pPr>
        <w:rPr>
          <w:rFonts w:ascii="EC Square Sans Pro" w:hAnsi="EC Square Sans Pro" w:cstheme="majorBidi"/>
          <w:bCs/>
          <w:noProof/>
        </w:rPr>
      </w:pPr>
      <w:r>
        <w:rPr>
          <w:rFonts w:ascii="EC Square Sans Pro" w:hAnsi="EC Square Sans Pro" w:cstheme="majorBidi"/>
          <w:bCs/>
          <w:noProof/>
        </w:rPr>
        <w:br w:type="page"/>
      </w:r>
    </w:p>
    <w:tbl>
      <w:tblPr>
        <w:tblStyle w:val="Grilledutableau"/>
        <w:tblW w:w="0" w:type="auto"/>
        <w:tblLook w:val="04A0" w:firstRow="1" w:lastRow="0" w:firstColumn="1" w:lastColumn="0" w:noHBand="0" w:noVBand="1"/>
      </w:tblPr>
      <w:tblGrid>
        <w:gridCol w:w="9166"/>
      </w:tblGrid>
      <w:tr w:rsidR="006F2126" w:rsidTr="00C66FE4">
        <w:tc>
          <w:tcPr>
            <w:tcW w:w="9166" w:type="dxa"/>
          </w:tcPr>
          <w:p w:rsidR="006F2126" w:rsidRDefault="006F2126" w:rsidP="00C66FE4">
            <w:r>
              <w:rPr>
                <w:noProof/>
                <w:lang w:val="fr-FR" w:eastAsia="fr-FR"/>
              </w:rPr>
              <w:drawing>
                <wp:inline distT="0" distB="0" distL="0" distR="0">
                  <wp:extent cx="2659167" cy="2127599"/>
                  <wp:effectExtent l="0" t="0" r="825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monthly_surface_fraction_for_feeding_MA.png"/>
                          <pic:cNvPicPr/>
                        </pic:nvPicPr>
                        <pic:blipFill>
                          <a:blip r:embed="rId34">
                            <a:extLst>
                              <a:ext uri="{28A0092B-C50C-407E-A947-70E740481C1C}">
                                <a14:useLocalDpi xmlns:a14="http://schemas.microsoft.com/office/drawing/2010/main" val="0"/>
                              </a:ext>
                            </a:extLst>
                          </a:blip>
                          <a:stretch>
                            <a:fillRect/>
                          </a:stretch>
                        </pic:blipFill>
                        <pic:spPr>
                          <a:xfrm>
                            <a:off x="0" y="0"/>
                            <a:ext cx="2659167" cy="2127599"/>
                          </a:xfrm>
                          <a:prstGeom prst="rect">
                            <a:avLst/>
                          </a:prstGeom>
                        </pic:spPr>
                      </pic:pic>
                    </a:graphicData>
                  </a:graphic>
                </wp:inline>
              </w:drawing>
            </w:r>
            <w:r>
              <w:rPr>
                <w:noProof/>
                <w:lang w:val="fr-FR" w:eastAsia="fr-FR"/>
              </w:rPr>
              <w:drawing>
                <wp:inline distT="0" distB="0" distL="0" distR="0">
                  <wp:extent cx="2634737" cy="2127599"/>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monthly_surface_fraction_for_breeding_MA.png"/>
                          <pic:cNvPicPr/>
                        </pic:nvPicPr>
                        <pic:blipFill>
                          <a:blip r:embed="rId35">
                            <a:extLst>
                              <a:ext uri="{28A0092B-C50C-407E-A947-70E740481C1C}">
                                <a14:useLocalDpi xmlns:a14="http://schemas.microsoft.com/office/drawing/2010/main" val="0"/>
                              </a:ext>
                            </a:extLst>
                          </a:blip>
                          <a:stretch>
                            <a:fillRect/>
                          </a:stretch>
                        </pic:blipFill>
                        <pic:spPr>
                          <a:xfrm>
                            <a:off x="0" y="0"/>
                            <a:ext cx="2634737" cy="2127599"/>
                          </a:xfrm>
                          <a:prstGeom prst="rect">
                            <a:avLst/>
                          </a:prstGeom>
                        </pic:spPr>
                      </pic:pic>
                    </a:graphicData>
                  </a:graphic>
                </wp:inline>
              </w:drawing>
            </w:r>
            <w:r>
              <w:rPr>
                <w:noProof/>
                <w:lang w:val="fr-FR" w:eastAsia="fr-FR"/>
              </w:rPr>
              <w:drawing>
                <wp:inline distT="0" distB="0" distL="0" distR="0">
                  <wp:extent cx="2699028" cy="2127599"/>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monthly_surface_fraction_for_feeding_MA.png"/>
                          <pic:cNvPicPr/>
                        </pic:nvPicPr>
                        <pic:blipFill>
                          <a:blip r:embed="rId36">
                            <a:extLst>
                              <a:ext uri="{28A0092B-C50C-407E-A947-70E740481C1C}">
                                <a14:useLocalDpi xmlns:a14="http://schemas.microsoft.com/office/drawing/2010/main" val="0"/>
                              </a:ext>
                            </a:extLst>
                          </a:blip>
                          <a:stretch>
                            <a:fillRect/>
                          </a:stretch>
                        </pic:blipFill>
                        <pic:spPr>
                          <a:xfrm>
                            <a:off x="0" y="0"/>
                            <a:ext cx="2699028" cy="2127599"/>
                          </a:xfrm>
                          <a:prstGeom prst="rect">
                            <a:avLst/>
                          </a:prstGeom>
                        </pic:spPr>
                      </pic:pic>
                    </a:graphicData>
                  </a:graphic>
                </wp:inline>
              </w:drawing>
            </w:r>
            <w:r>
              <w:rPr>
                <w:noProof/>
                <w:lang w:val="fr-FR" w:eastAsia="fr-FR"/>
              </w:rPr>
              <w:drawing>
                <wp:inline distT="0" distB="0" distL="0" distR="0">
                  <wp:extent cx="2689582" cy="2127599"/>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monthly_surface_fraction_for_breeding_MA.png"/>
                          <pic:cNvPicPr/>
                        </pic:nvPicPr>
                        <pic:blipFill>
                          <a:blip r:embed="rId37">
                            <a:extLst>
                              <a:ext uri="{28A0092B-C50C-407E-A947-70E740481C1C}">
                                <a14:useLocalDpi xmlns:a14="http://schemas.microsoft.com/office/drawing/2010/main" val="0"/>
                              </a:ext>
                            </a:extLst>
                          </a:blip>
                          <a:stretch>
                            <a:fillRect/>
                          </a:stretch>
                        </pic:blipFill>
                        <pic:spPr>
                          <a:xfrm>
                            <a:off x="0" y="0"/>
                            <a:ext cx="2689582" cy="2127599"/>
                          </a:xfrm>
                          <a:prstGeom prst="rect">
                            <a:avLst/>
                          </a:prstGeom>
                        </pic:spPr>
                      </pic:pic>
                    </a:graphicData>
                  </a:graphic>
                </wp:inline>
              </w:drawing>
            </w:r>
            <w:r>
              <w:rPr>
                <w:noProof/>
                <w:lang w:val="fr-FR" w:eastAsia="fr-FR"/>
              </w:rPr>
              <w:drawing>
                <wp:inline distT="0" distB="0" distL="0" distR="0">
                  <wp:extent cx="2807308" cy="2127599"/>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monthly_surface_fraction_for_feeding_MA.png"/>
                          <pic:cNvPicPr/>
                        </pic:nvPicPr>
                        <pic:blipFill>
                          <a:blip r:embed="rId38">
                            <a:extLst>
                              <a:ext uri="{28A0092B-C50C-407E-A947-70E740481C1C}">
                                <a14:useLocalDpi xmlns:a14="http://schemas.microsoft.com/office/drawing/2010/main" val="0"/>
                              </a:ext>
                            </a:extLst>
                          </a:blip>
                          <a:stretch>
                            <a:fillRect/>
                          </a:stretch>
                        </pic:blipFill>
                        <pic:spPr>
                          <a:xfrm>
                            <a:off x="0" y="0"/>
                            <a:ext cx="2807308" cy="2127599"/>
                          </a:xfrm>
                          <a:prstGeom prst="rect">
                            <a:avLst/>
                          </a:prstGeom>
                        </pic:spPr>
                      </pic:pic>
                    </a:graphicData>
                  </a:graphic>
                </wp:inline>
              </w:drawing>
            </w:r>
            <w:r>
              <w:rPr>
                <w:noProof/>
                <w:lang w:val="fr-FR" w:eastAsia="fr-FR"/>
              </w:rPr>
              <w:drawing>
                <wp:inline distT="0" distB="0" distL="0" distR="0">
                  <wp:extent cx="2659499" cy="2127599"/>
                  <wp:effectExtent l="0" t="0" r="762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monthly_surface_fraction_for_breeding_MA.png"/>
                          <pic:cNvPicPr/>
                        </pic:nvPicPr>
                        <pic:blipFill>
                          <a:blip r:embed="rId39">
                            <a:extLst>
                              <a:ext uri="{28A0092B-C50C-407E-A947-70E740481C1C}">
                                <a14:useLocalDpi xmlns:a14="http://schemas.microsoft.com/office/drawing/2010/main" val="0"/>
                              </a:ext>
                            </a:extLst>
                          </a:blip>
                          <a:stretch>
                            <a:fillRect/>
                          </a:stretch>
                        </pic:blipFill>
                        <pic:spPr>
                          <a:xfrm>
                            <a:off x="0" y="0"/>
                            <a:ext cx="2659499" cy="2127599"/>
                          </a:xfrm>
                          <a:prstGeom prst="rect">
                            <a:avLst/>
                          </a:prstGeom>
                        </pic:spPr>
                      </pic:pic>
                    </a:graphicData>
                  </a:graphic>
                </wp:inline>
              </w:drawing>
            </w:r>
          </w:p>
        </w:tc>
      </w:tr>
    </w:tbl>
    <w:p w:rsidR="006F2126" w:rsidRDefault="0062224B" w:rsidP="006F2126">
      <w:pPr>
        <w:rPr>
          <w:rFonts w:cstheme="majorBidi"/>
          <w:b/>
          <w:bCs/>
          <w:color w:val="365F91" w:themeColor="accent1" w:themeShade="BF"/>
        </w:rPr>
      </w:pPr>
      <w:bookmarkStart w:id="27" w:name="_Ref435799343"/>
      <w:r w:rsidRPr="0075308F">
        <w:rPr>
          <w:rFonts w:cstheme="majorBidi"/>
          <w:b/>
          <w:bCs/>
          <w:color w:val="365F91" w:themeColor="accent1" w:themeShade="BF"/>
        </w:rPr>
        <w:t xml:space="preserve">Figure SI- </w:t>
      </w:r>
      <w:r w:rsidR="003B76F1">
        <w:rPr>
          <w:rFonts w:cstheme="majorBidi"/>
          <w:b/>
          <w:bCs/>
          <w:color w:val="365F91" w:themeColor="accent1" w:themeShade="BF"/>
        </w:rPr>
        <w:fldChar w:fldCharType="begin"/>
      </w:r>
      <w:r w:rsidR="00AE52A1">
        <w:rPr>
          <w:rFonts w:cstheme="majorBidi"/>
          <w:b/>
          <w:bCs/>
          <w:color w:val="365F91" w:themeColor="accent1" w:themeShade="BF"/>
        </w:rPr>
        <w:instrText xml:space="preserve"> SEQ Figure_SI- \* ARABIC </w:instrText>
      </w:r>
      <w:r w:rsidR="003B76F1">
        <w:rPr>
          <w:rFonts w:cstheme="majorBidi"/>
          <w:b/>
          <w:bCs/>
          <w:color w:val="365F91" w:themeColor="accent1" w:themeShade="BF"/>
        </w:rPr>
        <w:fldChar w:fldCharType="separate"/>
      </w:r>
      <w:r w:rsidR="00B86506">
        <w:rPr>
          <w:rFonts w:cstheme="majorBidi"/>
          <w:b/>
          <w:bCs/>
          <w:noProof/>
          <w:color w:val="365F91" w:themeColor="accent1" w:themeShade="BF"/>
        </w:rPr>
        <w:t>7</w:t>
      </w:r>
      <w:r w:rsidR="003B76F1">
        <w:rPr>
          <w:rFonts w:cstheme="majorBidi"/>
          <w:b/>
          <w:bCs/>
          <w:color w:val="365F91" w:themeColor="accent1" w:themeShade="BF"/>
        </w:rPr>
        <w:fldChar w:fldCharType="end"/>
      </w:r>
      <w:bookmarkEnd w:id="27"/>
      <w:r w:rsidRPr="0075308F">
        <w:rPr>
          <w:rFonts w:cstheme="majorBidi"/>
          <w:b/>
          <w:bCs/>
          <w:color w:val="365F91" w:themeColor="accent1" w:themeShade="BF"/>
        </w:rPr>
        <w:t xml:space="preserve"> </w:t>
      </w:r>
      <w:r w:rsidR="00B14517" w:rsidRPr="0075308F">
        <w:rPr>
          <w:rFonts w:cstheme="majorBidi"/>
          <w:b/>
          <w:bCs/>
          <w:color w:val="365F91" w:themeColor="accent1" w:themeShade="BF"/>
        </w:rPr>
        <w:t xml:space="preserve">Monthly relative size of potential feeding (a, c, e) and spawning (b, d, f) </w:t>
      </w:r>
      <w:r w:rsidR="0025433B" w:rsidRPr="0075308F">
        <w:rPr>
          <w:rFonts w:cstheme="majorBidi"/>
          <w:b/>
          <w:bCs/>
          <w:color w:val="365F91" w:themeColor="accent1" w:themeShade="BF"/>
        </w:rPr>
        <w:t xml:space="preserve">habitats </w:t>
      </w:r>
      <w:r w:rsidR="00B14517" w:rsidRPr="0075308F">
        <w:rPr>
          <w:rFonts w:cstheme="majorBidi"/>
          <w:b/>
          <w:bCs/>
          <w:color w:val="365F91" w:themeColor="accent1" w:themeShade="BF"/>
        </w:rPr>
        <w:t xml:space="preserve">for the </w:t>
      </w:r>
      <w:r w:rsidR="0025433B" w:rsidRPr="0075308F">
        <w:rPr>
          <w:rFonts w:cstheme="majorBidi"/>
          <w:b/>
          <w:bCs/>
          <w:color w:val="365F91" w:themeColor="accent1" w:themeShade="BF"/>
        </w:rPr>
        <w:t xml:space="preserve">large </w:t>
      </w:r>
      <w:r w:rsidR="00B14517" w:rsidRPr="0075308F">
        <w:rPr>
          <w:rFonts w:cstheme="majorBidi"/>
          <w:b/>
          <w:bCs/>
          <w:color w:val="365F91" w:themeColor="accent1" w:themeShade="BF"/>
        </w:rPr>
        <w:t xml:space="preserve">Atlantic bluefin tuna in the Gulf of Mexico (a, b), North Atlantic (c, d) and Mediterranean Sea (e, f) </w:t>
      </w:r>
      <w:r w:rsidR="0025433B" w:rsidRPr="0075308F">
        <w:rPr>
          <w:rFonts w:cstheme="majorBidi"/>
          <w:b/>
          <w:bCs/>
          <w:color w:val="365F91" w:themeColor="accent1" w:themeShade="BF"/>
        </w:rPr>
        <w:t xml:space="preserve">expressed </w:t>
      </w:r>
      <w:r w:rsidR="00B14517" w:rsidRPr="0075308F">
        <w:rPr>
          <w:rFonts w:cstheme="majorBidi"/>
          <w:b/>
          <w:bCs/>
          <w:color w:val="365F91" w:themeColor="accent1" w:themeShade="BF"/>
        </w:rPr>
        <w:t>in percentage of sea surface of each area</w:t>
      </w:r>
      <w:r w:rsidR="00CC4A7D" w:rsidRPr="0075308F">
        <w:rPr>
          <w:rFonts w:cstheme="majorBidi"/>
          <w:b/>
          <w:bCs/>
          <w:color w:val="365F91" w:themeColor="accent1" w:themeShade="BF"/>
        </w:rPr>
        <w:t xml:space="preserve"> from 2003 to 2012 (mean </w:t>
      </w:r>
      <w:r w:rsidR="00CD011E" w:rsidRPr="0075308F">
        <w:rPr>
          <w:rFonts w:cstheme="majorBidi"/>
          <w:b/>
          <w:bCs/>
          <w:color w:val="365F91" w:themeColor="accent1" w:themeShade="BF"/>
        </w:rPr>
        <w:t xml:space="preserve">value </w:t>
      </w:r>
      <w:r w:rsidR="00CC4A7D" w:rsidRPr="0075308F">
        <w:rPr>
          <w:rFonts w:cstheme="majorBidi"/>
          <w:b/>
          <w:bCs/>
          <w:color w:val="365F91" w:themeColor="accent1" w:themeShade="BF"/>
        </w:rPr>
        <w:t>is the black thick line)</w:t>
      </w:r>
      <w:r w:rsidR="00B14517" w:rsidRPr="0075308F">
        <w:rPr>
          <w:rFonts w:cstheme="majorBidi"/>
          <w:b/>
          <w:bCs/>
          <w:color w:val="365F91" w:themeColor="accent1" w:themeShade="BF"/>
        </w:rPr>
        <w:t>.</w:t>
      </w:r>
      <w:r w:rsidR="00CC4A7D" w:rsidRPr="0075308F">
        <w:rPr>
          <w:rFonts w:cstheme="majorBidi"/>
          <w:b/>
          <w:bCs/>
          <w:color w:val="365F91" w:themeColor="accent1" w:themeShade="BF"/>
        </w:rPr>
        <w:t xml:space="preserve"> </w:t>
      </w:r>
      <w:r w:rsidR="0025433B" w:rsidRPr="0075308F">
        <w:rPr>
          <w:rFonts w:cstheme="majorBidi"/>
          <w:b/>
          <w:bCs/>
          <w:color w:val="365F91" w:themeColor="accent1" w:themeShade="BF"/>
        </w:rPr>
        <w:t>The potential spawning habitat in the North Atlantic</w:t>
      </w:r>
      <w:r w:rsidR="00C66FE4" w:rsidRPr="0075308F">
        <w:rPr>
          <w:rFonts w:cstheme="majorBidi"/>
          <w:b/>
          <w:bCs/>
          <w:color w:val="365F91" w:themeColor="accent1" w:themeShade="BF"/>
        </w:rPr>
        <w:t xml:space="preserve"> (panel d)</w:t>
      </w:r>
      <w:r w:rsidR="0025433B" w:rsidRPr="0075308F">
        <w:rPr>
          <w:rFonts w:cstheme="majorBidi"/>
          <w:b/>
          <w:bCs/>
          <w:color w:val="365F91" w:themeColor="accent1" w:themeShade="BF"/>
        </w:rPr>
        <w:t xml:space="preserve"> uses the parameterization from the Gulf of Mexico area and is not supported by </w:t>
      </w:r>
      <w:r w:rsidR="00CD011E" w:rsidRPr="0075308F">
        <w:rPr>
          <w:rFonts w:cstheme="majorBidi"/>
          <w:b/>
          <w:bCs/>
          <w:color w:val="365F91" w:themeColor="accent1" w:themeShade="BF"/>
        </w:rPr>
        <w:t xml:space="preserve">presence </w:t>
      </w:r>
      <w:r w:rsidR="0025433B" w:rsidRPr="0075308F">
        <w:rPr>
          <w:rFonts w:cstheme="majorBidi"/>
          <w:b/>
          <w:bCs/>
          <w:color w:val="365F91" w:themeColor="accent1" w:themeShade="BF"/>
        </w:rPr>
        <w:t>data.</w:t>
      </w:r>
    </w:p>
    <w:p w:rsidR="007E6572" w:rsidRDefault="007E6572" w:rsidP="006F2126">
      <w:pPr>
        <w:rPr>
          <w:rFonts w:cstheme="majorBidi"/>
          <w:b/>
          <w:bCs/>
          <w:color w:val="365F91" w:themeColor="accent1" w:themeShade="BF"/>
        </w:rPr>
      </w:pPr>
    </w:p>
    <w:p w:rsidR="007E6572" w:rsidRDefault="007E6572">
      <w:pPr>
        <w:rPr>
          <w:rFonts w:asciiTheme="majorHAnsi" w:eastAsiaTheme="majorEastAsia" w:hAnsiTheme="majorHAnsi" w:cstheme="majorBidi"/>
          <w:b/>
          <w:bCs/>
          <w:color w:val="365F91" w:themeColor="accent1" w:themeShade="BF"/>
          <w:sz w:val="28"/>
          <w:szCs w:val="28"/>
        </w:rPr>
      </w:pPr>
      <w:r>
        <w:br w:type="page"/>
      </w:r>
    </w:p>
    <w:p w:rsidR="007E6572" w:rsidRDefault="007E6572" w:rsidP="007E6572">
      <w:pPr>
        <w:pStyle w:val="Titre1"/>
      </w:pPr>
      <w:r w:rsidRPr="00755EDB">
        <w:t>References</w:t>
      </w:r>
    </w:p>
    <w:p w:rsidR="007E6572" w:rsidRPr="007E6572" w:rsidRDefault="003B76F1" w:rsidP="007E6572">
      <w:pPr>
        <w:pStyle w:val="Bibliographie"/>
        <w:rPr>
          <w:rFonts w:ascii="Calibri" w:hAnsi="Calibri"/>
        </w:rPr>
      </w:pPr>
      <w:r>
        <w:rPr>
          <w:rFonts w:cstheme="majorBidi"/>
          <w:b/>
          <w:bCs/>
          <w:color w:val="365F91" w:themeColor="accent1" w:themeShade="BF"/>
        </w:rPr>
        <w:fldChar w:fldCharType="begin"/>
      </w:r>
      <w:r w:rsidR="007E6572">
        <w:rPr>
          <w:rFonts w:cstheme="majorBidi"/>
          <w:b/>
          <w:bCs/>
          <w:color w:val="365F91" w:themeColor="accent1" w:themeShade="BF"/>
        </w:rPr>
        <w:instrText xml:space="preserve"> ADDIN ZOTERO_BIBL {"custom":[]} CSL_BIBLIOGRAPHY </w:instrText>
      </w:r>
      <w:r>
        <w:rPr>
          <w:rFonts w:cstheme="majorBidi"/>
          <w:b/>
          <w:bCs/>
          <w:color w:val="365F91" w:themeColor="accent1" w:themeShade="BF"/>
        </w:rPr>
        <w:fldChar w:fldCharType="separate"/>
      </w:r>
      <w:r w:rsidR="007E6572" w:rsidRPr="007E6572">
        <w:rPr>
          <w:rFonts w:ascii="Calibri" w:hAnsi="Calibri"/>
        </w:rPr>
        <w:t>Berthold, M., Borgelt, C., Höppner, F., 2010. Guide to intelligent data analysis. Springer, pp. 394.</w:t>
      </w:r>
    </w:p>
    <w:p w:rsidR="007E6572" w:rsidRPr="007E6572" w:rsidRDefault="007E6572" w:rsidP="007E6572">
      <w:pPr>
        <w:pStyle w:val="Bibliographie"/>
        <w:rPr>
          <w:rFonts w:ascii="Calibri" w:hAnsi="Calibri"/>
        </w:rPr>
      </w:pPr>
      <w:r w:rsidRPr="007E6572">
        <w:rPr>
          <w:rFonts w:ascii="Calibri" w:hAnsi="Calibri"/>
        </w:rPr>
        <w:t>Druon, J.-N., Fiorentino, F., Murenu, M., Knittweis, L., Colloca, F., Osio, C., Mérigot, B., Garofalo, G., Mannini, A., Jadaud, A., others, 2014. Modelling of European hake nurseries in the Mediterranean Sea: an ecological niche approach. Prog. Oceanogr. 130, 188–204. doi:10.1016/j.pocean.2014.11.005</w:t>
      </w:r>
    </w:p>
    <w:p w:rsidR="007E6572" w:rsidRPr="007E6572" w:rsidRDefault="007E6572" w:rsidP="007E6572">
      <w:pPr>
        <w:pStyle w:val="Bibliographie"/>
        <w:rPr>
          <w:rFonts w:ascii="Calibri" w:hAnsi="Calibri"/>
        </w:rPr>
      </w:pPr>
      <w:r w:rsidRPr="007E6572">
        <w:rPr>
          <w:rFonts w:ascii="Calibri" w:hAnsi="Calibri"/>
        </w:rPr>
        <w:t>Galuardi, B., Royer, F., Golet, W., Logan, J., Neilson, J., Lutcavage, M., 2010. Complex migration routes of Atlantic bluefin tuna (Thunnus thynnus) question current population structure paradigm. Can. J. Fish. Aquat. Sci. 67, 966–976.</w:t>
      </w:r>
    </w:p>
    <w:p w:rsidR="007E6572" w:rsidRPr="007E6572" w:rsidRDefault="007E6572" w:rsidP="007E6572">
      <w:pPr>
        <w:pStyle w:val="Bibliographie"/>
        <w:rPr>
          <w:rFonts w:ascii="Calibri" w:hAnsi="Calibri"/>
        </w:rPr>
      </w:pPr>
      <w:r w:rsidRPr="007E6572">
        <w:rPr>
          <w:rFonts w:ascii="Calibri" w:hAnsi="Calibri"/>
        </w:rPr>
        <w:t>MacQueen, J., 1967. Some methods for classification and analysis of multivariate observations, in: Proceedings of the Fifth Berkeley Symposium on Mathematical Statistics and Probability. p. 14.</w:t>
      </w:r>
    </w:p>
    <w:p w:rsidR="007E6572" w:rsidRPr="007E6572" w:rsidRDefault="007E6572" w:rsidP="007E6572">
      <w:pPr>
        <w:pStyle w:val="Bibliographie"/>
        <w:rPr>
          <w:rFonts w:ascii="Calibri" w:hAnsi="Calibri"/>
        </w:rPr>
      </w:pPr>
      <w:r w:rsidRPr="007E6572">
        <w:rPr>
          <w:rFonts w:ascii="Calibri" w:hAnsi="Calibri"/>
        </w:rPr>
        <w:t>Wilson, S.G., Jonsen, I.D., Schallert, R.J., Ganong, J.E., Castleton, M.R., Spares, A.D., Boustany, A.M., Stokesbury, M.J., Block, B.A., Trenkel, V., 2015. Tracking the fidelity of Atlantic bluefin tuna released in Canadian waters to the Gulf of Mexico spawning grounds. Can. J. Fish. Aquat. Sci. 72, 1–18.</w:t>
      </w:r>
    </w:p>
    <w:p w:rsidR="007E6572" w:rsidRPr="00BA572D" w:rsidRDefault="003B76F1" w:rsidP="006F2126">
      <w:pPr>
        <w:rPr>
          <w:rFonts w:cstheme="majorBidi"/>
          <w:b/>
          <w:bCs/>
          <w:color w:val="365F91" w:themeColor="accent1" w:themeShade="BF"/>
        </w:rPr>
      </w:pPr>
      <w:r>
        <w:rPr>
          <w:rFonts w:cstheme="majorBidi"/>
          <w:b/>
          <w:bCs/>
          <w:color w:val="365F91" w:themeColor="accent1" w:themeShade="BF"/>
        </w:rPr>
        <w:fldChar w:fldCharType="end"/>
      </w:r>
    </w:p>
    <w:sectPr w:rsidR="007E6572" w:rsidRPr="00BA572D" w:rsidSect="00AF0B67">
      <w:footerReference w:type="default" r:id="rId40"/>
      <w:pgSz w:w="11906" w:h="16838"/>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BFB" w:rsidRDefault="00510BFB">
      <w:pPr>
        <w:spacing w:after="0" w:line="240" w:lineRule="auto"/>
      </w:pPr>
      <w:r>
        <w:separator/>
      </w:r>
    </w:p>
  </w:endnote>
  <w:endnote w:type="continuationSeparator" w:id="0">
    <w:p w:rsidR="00510BFB" w:rsidRDefault="00510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C Square Sans Pro">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EAF" w:rsidRDefault="00914EAF">
    <w:pPr>
      <w:tabs>
        <w:tab w:val="center" w:pos="4819"/>
        <w:tab w:val="right" w:pos="9638"/>
      </w:tabs>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BFB" w:rsidRDefault="00510BFB">
      <w:pPr>
        <w:spacing w:after="0" w:line="240" w:lineRule="auto"/>
      </w:pPr>
      <w:r>
        <w:separator/>
      </w:r>
    </w:p>
  </w:footnote>
  <w:footnote w:type="continuationSeparator" w:id="0">
    <w:p w:rsidR="00510BFB" w:rsidRDefault="00510B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51FC6"/>
    <w:multiLevelType w:val="hybridMultilevel"/>
    <w:tmpl w:val="EF10F80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0124392"/>
    <w:multiLevelType w:val="multilevel"/>
    <w:tmpl w:val="FD56928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nsid w:val="11565355"/>
    <w:multiLevelType w:val="hybridMultilevel"/>
    <w:tmpl w:val="B4A6D7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BC337A6"/>
    <w:multiLevelType w:val="multilevel"/>
    <w:tmpl w:val="489610BE"/>
    <w:lvl w:ilvl="0">
      <w:start w:val="1"/>
      <w:numFmt w:val="bullet"/>
      <w:lvlText w:val="-"/>
      <w:lvlJc w:val="left"/>
      <w:pPr>
        <w:ind w:left="1080" w:firstLine="2880"/>
      </w:pPr>
      <w:rPr>
        <w:rFonts w:ascii="Arial" w:eastAsia="Arial" w:hAnsi="Arial" w:cs="Arial"/>
      </w:rPr>
    </w:lvl>
    <w:lvl w:ilvl="1">
      <w:start w:val="1"/>
      <w:numFmt w:val="bullet"/>
      <w:lvlText w:val="o"/>
      <w:lvlJc w:val="left"/>
      <w:pPr>
        <w:ind w:left="1800" w:firstLine="5040"/>
      </w:pPr>
      <w:rPr>
        <w:rFonts w:ascii="Arial" w:eastAsia="Arial" w:hAnsi="Arial" w:cs="Arial"/>
      </w:rPr>
    </w:lvl>
    <w:lvl w:ilvl="2">
      <w:start w:val="1"/>
      <w:numFmt w:val="bullet"/>
      <w:lvlText w:val="▪"/>
      <w:lvlJc w:val="left"/>
      <w:pPr>
        <w:ind w:left="2520" w:firstLine="7200"/>
      </w:pPr>
      <w:rPr>
        <w:rFonts w:ascii="Arial" w:eastAsia="Arial" w:hAnsi="Arial" w:cs="Arial"/>
      </w:rPr>
    </w:lvl>
    <w:lvl w:ilvl="3">
      <w:start w:val="1"/>
      <w:numFmt w:val="bullet"/>
      <w:lvlText w:val="●"/>
      <w:lvlJc w:val="left"/>
      <w:pPr>
        <w:ind w:left="3240" w:firstLine="9360"/>
      </w:pPr>
      <w:rPr>
        <w:rFonts w:ascii="Arial" w:eastAsia="Arial" w:hAnsi="Arial" w:cs="Arial"/>
      </w:rPr>
    </w:lvl>
    <w:lvl w:ilvl="4">
      <w:start w:val="1"/>
      <w:numFmt w:val="bullet"/>
      <w:lvlText w:val="o"/>
      <w:lvlJc w:val="left"/>
      <w:pPr>
        <w:ind w:left="3960" w:firstLine="11520"/>
      </w:pPr>
      <w:rPr>
        <w:rFonts w:ascii="Arial" w:eastAsia="Arial" w:hAnsi="Arial" w:cs="Arial"/>
      </w:rPr>
    </w:lvl>
    <w:lvl w:ilvl="5">
      <w:start w:val="1"/>
      <w:numFmt w:val="bullet"/>
      <w:lvlText w:val="▪"/>
      <w:lvlJc w:val="left"/>
      <w:pPr>
        <w:ind w:left="4680" w:firstLine="13680"/>
      </w:pPr>
      <w:rPr>
        <w:rFonts w:ascii="Arial" w:eastAsia="Arial" w:hAnsi="Arial" w:cs="Arial"/>
      </w:rPr>
    </w:lvl>
    <w:lvl w:ilvl="6">
      <w:start w:val="1"/>
      <w:numFmt w:val="bullet"/>
      <w:lvlText w:val="●"/>
      <w:lvlJc w:val="left"/>
      <w:pPr>
        <w:ind w:left="5400" w:firstLine="15840"/>
      </w:pPr>
      <w:rPr>
        <w:rFonts w:ascii="Arial" w:eastAsia="Arial" w:hAnsi="Arial" w:cs="Arial"/>
      </w:rPr>
    </w:lvl>
    <w:lvl w:ilvl="7">
      <w:start w:val="1"/>
      <w:numFmt w:val="bullet"/>
      <w:lvlText w:val="o"/>
      <w:lvlJc w:val="left"/>
      <w:pPr>
        <w:ind w:left="6120" w:firstLine="18000"/>
      </w:pPr>
      <w:rPr>
        <w:rFonts w:ascii="Arial" w:eastAsia="Arial" w:hAnsi="Arial" w:cs="Arial"/>
      </w:rPr>
    </w:lvl>
    <w:lvl w:ilvl="8">
      <w:start w:val="1"/>
      <w:numFmt w:val="bullet"/>
      <w:lvlText w:val="▪"/>
      <w:lvlJc w:val="left"/>
      <w:pPr>
        <w:ind w:left="6840" w:firstLine="20160"/>
      </w:pPr>
      <w:rPr>
        <w:rFonts w:ascii="Arial" w:eastAsia="Arial" w:hAnsi="Arial" w:cs="Arial"/>
      </w:rPr>
    </w:lvl>
  </w:abstractNum>
  <w:abstractNum w:abstractNumId="4">
    <w:nsid w:val="22001D1C"/>
    <w:multiLevelType w:val="hybridMultilevel"/>
    <w:tmpl w:val="0478BBBC"/>
    <w:lvl w:ilvl="0" w:tplc="75861DF0">
      <w:start w:val="7"/>
      <w:numFmt w:val="bullet"/>
      <w:lvlText w:val=""/>
      <w:lvlJc w:val="left"/>
      <w:pPr>
        <w:ind w:left="720" w:hanging="360"/>
      </w:pPr>
      <w:rPr>
        <w:rFonts w:ascii="Symbol" w:eastAsia="EC Square Sans Pro" w:hAnsi="Symbol" w:cs="EC Square Sans Pro"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17E7516"/>
    <w:multiLevelType w:val="multilevel"/>
    <w:tmpl w:val="21F406B8"/>
    <w:lvl w:ilvl="0">
      <w:start w:val="1"/>
      <w:numFmt w:val="lowerLetter"/>
      <w:lvlText w:val="%1)"/>
      <w:lvlJc w:val="left"/>
      <w:pPr>
        <w:ind w:left="1080" w:firstLine="2880"/>
      </w:pPr>
    </w:lvl>
    <w:lvl w:ilvl="1">
      <w:start w:val="1"/>
      <w:numFmt w:val="lowerLetter"/>
      <w:lvlText w:val="%2."/>
      <w:lvlJc w:val="left"/>
      <w:pPr>
        <w:ind w:left="1800" w:firstLine="5040"/>
      </w:pPr>
    </w:lvl>
    <w:lvl w:ilvl="2">
      <w:start w:val="1"/>
      <w:numFmt w:val="lowerRoman"/>
      <w:lvlText w:val="%3."/>
      <w:lvlJc w:val="right"/>
      <w:pPr>
        <w:ind w:left="2520" w:firstLine="7380"/>
      </w:pPr>
    </w:lvl>
    <w:lvl w:ilvl="3">
      <w:start w:val="1"/>
      <w:numFmt w:val="decimal"/>
      <w:lvlText w:val="%4."/>
      <w:lvlJc w:val="left"/>
      <w:pPr>
        <w:ind w:left="3240" w:firstLine="9360"/>
      </w:pPr>
    </w:lvl>
    <w:lvl w:ilvl="4">
      <w:start w:val="1"/>
      <w:numFmt w:val="lowerLetter"/>
      <w:lvlText w:val="%5."/>
      <w:lvlJc w:val="left"/>
      <w:pPr>
        <w:ind w:left="3960" w:firstLine="11520"/>
      </w:pPr>
    </w:lvl>
    <w:lvl w:ilvl="5">
      <w:start w:val="1"/>
      <w:numFmt w:val="lowerRoman"/>
      <w:lvlText w:val="%6."/>
      <w:lvlJc w:val="right"/>
      <w:pPr>
        <w:ind w:left="4680" w:firstLine="13860"/>
      </w:pPr>
    </w:lvl>
    <w:lvl w:ilvl="6">
      <w:start w:val="1"/>
      <w:numFmt w:val="decimal"/>
      <w:lvlText w:val="%7."/>
      <w:lvlJc w:val="left"/>
      <w:pPr>
        <w:ind w:left="5400" w:firstLine="15840"/>
      </w:pPr>
    </w:lvl>
    <w:lvl w:ilvl="7">
      <w:start w:val="1"/>
      <w:numFmt w:val="lowerLetter"/>
      <w:lvlText w:val="%8."/>
      <w:lvlJc w:val="left"/>
      <w:pPr>
        <w:ind w:left="6120" w:firstLine="18000"/>
      </w:pPr>
    </w:lvl>
    <w:lvl w:ilvl="8">
      <w:start w:val="1"/>
      <w:numFmt w:val="lowerRoman"/>
      <w:lvlText w:val="%9."/>
      <w:lvlJc w:val="right"/>
      <w:pPr>
        <w:ind w:left="6840" w:firstLine="20340"/>
      </w:pPr>
    </w:lvl>
  </w:abstractNum>
  <w:abstractNum w:abstractNumId="6">
    <w:nsid w:val="36E76AD2"/>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AB025EA"/>
    <w:multiLevelType w:val="multilevel"/>
    <w:tmpl w:val="62BC22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3B2F495E"/>
    <w:multiLevelType w:val="multilevel"/>
    <w:tmpl w:val="C624E9A8"/>
    <w:lvl w:ilvl="0">
      <w:start w:val="3"/>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9">
    <w:nsid w:val="46BA06F7"/>
    <w:multiLevelType w:val="hybridMultilevel"/>
    <w:tmpl w:val="B4A6D7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50FE54C1"/>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969499E"/>
    <w:multiLevelType w:val="hybridMultilevel"/>
    <w:tmpl w:val="B4A6D7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605847FA"/>
    <w:multiLevelType w:val="multilevel"/>
    <w:tmpl w:val="21F406B8"/>
    <w:lvl w:ilvl="0">
      <w:start w:val="1"/>
      <w:numFmt w:val="lowerLetter"/>
      <w:lvlText w:val="%1)"/>
      <w:lvlJc w:val="left"/>
      <w:pPr>
        <w:ind w:left="1080" w:firstLine="2880"/>
      </w:pPr>
    </w:lvl>
    <w:lvl w:ilvl="1">
      <w:start w:val="1"/>
      <w:numFmt w:val="lowerLetter"/>
      <w:lvlText w:val="%2."/>
      <w:lvlJc w:val="left"/>
      <w:pPr>
        <w:ind w:left="1800" w:firstLine="5040"/>
      </w:pPr>
    </w:lvl>
    <w:lvl w:ilvl="2">
      <w:start w:val="1"/>
      <w:numFmt w:val="lowerRoman"/>
      <w:lvlText w:val="%3."/>
      <w:lvlJc w:val="right"/>
      <w:pPr>
        <w:ind w:left="2520" w:firstLine="7380"/>
      </w:pPr>
    </w:lvl>
    <w:lvl w:ilvl="3">
      <w:start w:val="1"/>
      <w:numFmt w:val="decimal"/>
      <w:lvlText w:val="%4."/>
      <w:lvlJc w:val="left"/>
      <w:pPr>
        <w:ind w:left="3240" w:firstLine="9360"/>
      </w:pPr>
    </w:lvl>
    <w:lvl w:ilvl="4">
      <w:start w:val="1"/>
      <w:numFmt w:val="lowerLetter"/>
      <w:lvlText w:val="%5."/>
      <w:lvlJc w:val="left"/>
      <w:pPr>
        <w:ind w:left="3960" w:firstLine="11520"/>
      </w:pPr>
    </w:lvl>
    <w:lvl w:ilvl="5">
      <w:start w:val="1"/>
      <w:numFmt w:val="lowerRoman"/>
      <w:lvlText w:val="%6."/>
      <w:lvlJc w:val="right"/>
      <w:pPr>
        <w:ind w:left="4680" w:firstLine="13860"/>
      </w:pPr>
    </w:lvl>
    <w:lvl w:ilvl="6">
      <w:start w:val="1"/>
      <w:numFmt w:val="decimal"/>
      <w:lvlText w:val="%7."/>
      <w:lvlJc w:val="left"/>
      <w:pPr>
        <w:ind w:left="5400" w:firstLine="15840"/>
      </w:pPr>
    </w:lvl>
    <w:lvl w:ilvl="7">
      <w:start w:val="1"/>
      <w:numFmt w:val="lowerLetter"/>
      <w:lvlText w:val="%8."/>
      <w:lvlJc w:val="left"/>
      <w:pPr>
        <w:ind w:left="6120" w:firstLine="18000"/>
      </w:pPr>
    </w:lvl>
    <w:lvl w:ilvl="8">
      <w:start w:val="1"/>
      <w:numFmt w:val="lowerRoman"/>
      <w:lvlText w:val="%9."/>
      <w:lvlJc w:val="right"/>
      <w:pPr>
        <w:ind w:left="6840" w:firstLine="20340"/>
      </w:pPr>
    </w:lvl>
  </w:abstractNum>
  <w:abstractNum w:abstractNumId="13">
    <w:nsid w:val="61E264C5"/>
    <w:multiLevelType w:val="multilevel"/>
    <w:tmpl w:val="2FDC70A8"/>
    <w:lvl w:ilvl="0">
      <w:start w:val="1"/>
      <w:numFmt w:val="lowerLetter"/>
      <w:lvlText w:val="%1)"/>
      <w:lvlJc w:val="left"/>
      <w:pPr>
        <w:ind w:left="720" w:firstLine="1800"/>
      </w:pPr>
      <w:rPr>
        <w:b/>
      </w:r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14">
    <w:nsid w:val="70DA2591"/>
    <w:multiLevelType w:val="multilevel"/>
    <w:tmpl w:val="E7E03874"/>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num w:numId="1">
    <w:abstractNumId w:val="7"/>
  </w:num>
  <w:num w:numId="2">
    <w:abstractNumId w:val="14"/>
  </w:num>
  <w:num w:numId="3">
    <w:abstractNumId w:val="3"/>
  </w:num>
  <w:num w:numId="4">
    <w:abstractNumId w:val="13"/>
  </w:num>
  <w:num w:numId="5">
    <w:abstractNumId w:val="8"/>
  </w:num>
  <w:num w:numId="6">
    <w:abstractNumId w:val="5"/>
  </w:num>
  <w:num w:numId="7">
    <w:abstractNumId w:val="10"/>
  </w:num>
  <w:num w:numId="8">
    <w:abstractNumId w:val="0"/>
  </w:num>
  <w:num w:numId="9">
    <w:abstractNumId w:val="4"/>
  </w:num>
  <w:num w:numId="10">
    <w:abstractNumId w:val="6"/>
  </w:num>
  <w:num w:numId="11">
    <w:abstractNumId w:val="1"/>
  </w:num>
  <w:num w:numId="12">
    <w:abstractNumId w:val="12"/>
  </w:num>
  <w:num w:numId="13">
    <w:abstractNumId w:val="2"/>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DDE"/>
    <w:rsid w:val="00003343"/>
    <w:rsid w:val="0000421E"/>
    <w:rsid w:val="0000692A"/>
    <w:rsid w:val="00007BC4"/>
    <w:rsid w:val="00011142"/>
    <w:rsid w:val="000163AD"/>
    <w:rsid w:val="000167AF"/>
    <w:rsid w:val="00016D4E"/>
    <w:rsid w:val="00016DCC"/>
    <w:rsid w:val="00020663"/>
    <w:rsid w:val="000227B2"/>
    <w:rsid w:val="00022A61"/>
    <w:rsid w:val="00024BB8"/>
    <w:rsid w:val="000252A8"/>
    <w:rsid w:val="00027309"/>
    <w:rsid w:val="00027312"/>
    <w:rsid w:val="000320A8"/>
    <w:rsid w:val="000324C9"/>
    <w:rsid w:val="000344C2"/>
    <w:rsid w:val="00035221"/>
    <w:rsid w:val="00035235"/>
    <w:rsid w:val="00036461"/>
    <w:rsid w:val="000376C5"/>
    <w:rsid w:val="00037B38"/>
    <w:rsid w:val="00042B5C"/>
    <w:rsid w:val="00043E7D"/>
    <w:rsid w:val="000508E5"/>
    <w:rsid w:val="00050AB1"/>
    <w:rsid w:val="000534AB"/>
    <w:rsid w:val="000546C1"/>
    <w:rsid w:val="00055A5A"/>
    <w:rsid w:val="00060661"/>
    <w:rsid w:val="00064560"/>
    <w:rsid w:val="0006476D"/>
    <w:rsid w:val="000656AA"/>
    <w:rsid w:val="0007082A"/>
    <w:rsid w:val="00071651"/>
    <w:rsid w:val="00071D36"/>
    <w:rsid w:val="000774EC"/>
    <w:rsid w:val="00077B11"/>
    <w:rsid w:val="00080D94"/>
    <w:rsid w:val="00081776"/>
    <w:rsid w:val="000824C9"/>
    <w:rsid w:val="00082F02"/>
    <w:rsid w:val="000855C6"/>
    <w:rsid w:val="00092936"/>
    <w:rsid w:val="00093727"/>
    <w:rsid w:val="000A0A56"/>
    <w:rsid w:val="000A1B7C"/>
    <w:rsid w:val="000A6708"/>
    <w:rsid w:val="000B279A"/>
    <w:rsid w:val="000B3A1E"/>
    <w:rsid w:val="000B6DBD"/>
    <w:rsid w:val="000B7AFC"/>
    <w:rsid w:val="000C19FD"/>
    <w:rsid w:val="000C5675"/>
    <w:rsid w:val="000D1CA9"/>
    <w:rsid w:val="000D28AD"/>
    <w:rsid w:val="000D340C"/>
    <w:rsid w:val="000D65CD"/>
    <w:rsid w:val="000D7FEC"/>
    <w:rsid w:val="000E11F8"/>
    <w:rsid w:val="000E6955"/>
    <w:rsid w:val="000F00B9"/>
    <w:rsid w:val="000F40E0"/>
    <w:rsid w:val="000F5633"/>
    <w:rsid w:val="00103A7A"/>
    <w:rsid w:val="00103EA6"/>
    <w:rsid w:val="0010603E"/>
    <w:rsid w:val="001072F2"/>
    <w:rsid w:val="00111F59"/>
    <w:rsid w:val="0011582B"/>
    <w:rsid w:val="00117580"/>
    <w:rsid w:val="00117AB3"/>
    <w:rsid w:val="00126C98"/>
    <w:rsid w:val="00127B09"/>
    <w:rsid w:val="001314F8"/>
    <w:rsid w:val="00131B0F"/>
    <w:rsid w:val="00132329"/>
    <w:rsid w:val="00132BBF"/>
    <w:rsid w:val="001344AF"/>
    <w:rsid w:val="00137E4A"/>
    <w:rsid w:val="0014101F"/>
    <w:rsid w:val="00143042"/>
    <w:rsid w:val="00143303"/>
    <w:rsid w:val="001452EC"/>
    <w:rsid w:val="00150444"/>
    <w:rsid w:val="00151CB7"/>
    <w:rsid w:val="00154D44"/>
    <w:rsid w:val="00154ED3"/>
    <w:rsid w:val="00156F34"/>
    <w:rsid w:val="00162CE5"/>
    <w:rsid w:val="00164E74"/>
    <w:rsid w:val="00165CF2"/>
    <w:rsid w:val="00167C87"/>
    <w:rsid w:val="0017003C"/>
    <w:rsid w:val="001708C6"/>
    <w:rsid w:val="00171A07"/>
    <w:rsid w:val="00171EB0"/>
    <w:rsid w:val="00174AA0"/>
    <w:rsid w:val="00174ECC"/>
    <w:rsid w:val="001754C3"/>
    <w:rsid w:val="00177713"/>
    <w:rsid w:val="00182AEB"/>
    <w:rsid w:val="001871A5"/>
    <w:rsid w:val="001915E7"/>
    <w:rsid w:val="001941CF"/>
    <w:rsid w:val="001A1085"/>
    <w:rsid w:val="001A152F"/>
    <w:rsid w:val="001A24EC"/>
    <w:rsid w:val="001A30A8"/>
    <w:rsid w:val="001A3E94"/>
    <w:rsid w:val="001A5685"/>
    <w:rsid w:val="001B1030"/>
    <w:rsid w:val="001B2FB2"/>
    <w:rsid w:val="001B5059"/>
    <w:rsid w:val="001B7AA1"/>
    <w:rsid w:val="001B7B85"/>
    <w:rsid w:val="001C0AA5"/>
    <w:rsid w:val="001C40E2"/>
    <w:rsid w:val="001C5183"/>
    <w:rsid w:val="001C57B1"/>
    <w:rsid w:val="001C6B44"/>
    <w:rsid w:val="001C6D00"/>
    <w:rsid w:val="001C73D2"/>
    <w:rsid w:val="001D317A"/>
    <w:rsid w:val="001D6DFE"/>
    <w:rsid w:val="001E678F"/>
    <w:rsid w:val="001E6D63"/>
    <w:rsid w:val="001E6ED4"/>
    <w:rsid w:val="001F0F82"/>
    <w:rsid w:val="001F105E"/>
    <w:rsid w:val="001F4A4C"/>
    <w:rsid w:val="001F58E9"/>
    <w:rsid w:val="001F6688"/>
    <w:rsid w:val="001F6B35"/>
    <w:rsid w:val="002018E4"/>
    <w:rsid w:val="002065FE"/>
    <w:rsid w:val="0020749F"/>
    <w:rsid w:val="00213780"/>
    <w:rsid w:val="00213919"/>
    <w:rsid w:val="00213952"/>
    <w:rsid w:val="00215221"/>
    <w:rsid w:val="00216F7E"/>
    <w:rsid w:val="00217F0C"/>
    <w:rsid w:val="0022075B"/>
    <w:rsid w:val="002207E9"/>
    <w:rsid w:val="00223BBC"/>
    <w:rsid w:val="00224E2F"/>
    <w:rsid w:val="002304C6"/>
    <w:rsid w:val="0023354D"/>
    <w:rsid w:val="00234F1A"/>
    <w:rsid w:val="00236357"/>
    <w:rsid w:val="0023707C"/>
    <w:rsid w:val="00240A88"/>
    <w:rsid w:val="00241EC7"/>
    <w:rsid w:val="00242BA6"/>
    <w:rsid w:val="00244862"/>
    <w:rsid w:val="00247C73"/>
    <w:rsid w:val="002517A6"/>
    <w:rsid w:val="00251897"/>
    <w:rsid w:val="0025433B"/>
    <w:rsid w:val="0026731B"/>
    <w:rsid w:val="0027065F"/>
    <w:rsid w:val="0027126B"/>
    <w:rsid w:val="002737CF"/>
    <w:rsid w:val="00277AB3"/>
    <w:rsid w:val="00281AA5"/>
    <w:rsid w:val="00281C62"/>
    <w:rsid w:val="00292532"/>
    <w:rsid w:val="00293675"/>
    <w:rsid w:val="00294245"/>
    <w:rsid w:val="00294CFA"/>
    <w:rsid w:val="0029578F"/>
    <w:rsid w:val="00295AA3"/>
    <w:rsid w:val="00296115"/>
    <w:rsid w:val="0029748F"/>
    <w:rsid w:val="002A08E3"/>
    <w:rsid w:val="002A1DC3"/>
    <w:rsid w:val="002A2306"/>
    <w:rsid w:val="002A3B48"/>
    <w:rsid w:val="002A4405"/>
    <w:rsid w:val="002A5DD4"/>
    <w:rsid w:val="002A5DE1"/>
    <w:rsid w:val="002B2C19"/>
    <w:rsid w:val="002B4A65"/>
    <w:rsid w:val="002C1A98"/>
    <w:rsid w:val="002C341D"/>
    <w:rsid w:val="002C3596"/>
    <w:rsid w:val="002C3FC6"/>
    <w:rsid w:val="002C61E1"/>
    <w:rsid w:val="002C66EB"/>
    <w:rsid w:val="002D29C3"/>
    <w:rsid w:val="002D6791"/>
    <w:rsid w:val="002D6E4A"/>
    <w:rsid w:val="002E12E0"/>
    <w:rsid w:val="002E3122"/>
    <w:rsid w:val="002E4147"/>
    <w:rsid w:val="002E4B9D"/>
    <w:rsid w:val="002E50BB"/>
    <w:rsid w:val="002E5160"/>
    <w:rsid w:val="002E7220"/>
    <w:rsid w:val="002F08AC"/>
    <w:rsid w:val="002F0E82"/>
    <w:rsid w:val="002F5219"/>
    <w:rsid w:val="002F52A4"/>
    <w:rsid w:val="002F60CC"/>
    <w:rsid w:val="00300A33"/>
    <w:rsid w:val="003113AB"/>
    <w:rsid w:val="00312A52"/>
    <w:rsid w:val="00314F38"/>
    <w:rsid w:val="00315068"/>
    <w:rsid w:val="003163B3"/>
    <w:rsid w:val="00316E35"/>
    <w:rsid w:val="00324EBE"/>
    <w:rsid w:val="00334308"/>
    <w:rsid w:val="00334759"/>
    <w:rsid w:val="00335785"/>
    <w:rsid w:val="003364ED"/>
    <w:rsid w:val="00340AB1"/>
    <w:rsid w:val="00341132"/>
    <w:rsid w:val="0034442B"/>
    <w:rsid w:val="00350603"/>
    <w:rsid w:val="00350BE2"/>
    <w:rsid w:val="003579BE"/>
    <w:rsid w:val="00361874"/>
    <w:rsid w:val="0036333C"/>
    <w:rsid w:val="003650F2"/>
    <w:rsid w:val="00365E59"/>
    <w:rsid w:val="00366D1E"/>
    <w:rsid w:val="00366D61"/>
    <w:rsid w:val="00367217"/>
    <w:rsid w:val="0036755B"/>
    <w:rsid w:val="0037613F"/>
    <w:rsid w:val="0038039D"/>
    <w:rsid w:val="003805E8"/>
    <w:rsid w:val="00381CD7"/>
    <w:rsid w:val="00382C4E"/>
    <w:rsid w:val="003875A6"/>
    <w:rsid w:val="00390B50"/>
    <w:rsid w:val="003A0ED1"/>
    <w:rsid w:val="003A1124"/>
    <w:rsid w:val="003A1247"/>
    <w:rsid w:val="003A3569"/>
    <w:rsid w:val="003A4456"/>
    <w:rsid w:val="003A47A8"/>
    <w:rsid w:val="003A6820"/>
    <w:rsid w:val="003B18B3"/>
    <w:rsid w:val="003B208E"/>
    <w:rsid w:val="003B21A4"/>
    <w:rsid w:val="003B2D24"/>
    <w:rsid w:val="003B3069"/>
    <w:rsid w:val="003B5C73"/>
    <w:rsid w:val="003B688F"/>
    <w:rsid w:val="003B6B3A"/>
    <w:rsid w:val="003B76F1"/>
    <w:rsid w:val="003C1A0E"/>
    <w:rsid w:val="003C2932"/>
    <w:rsid w:val="003C3213"/>
    <w:rsid w:val="003C3B64"/>
    <w:rsid w:val="003C64BC"/>
    <w:rsid w:val="003D28B5"/>
    <w:rsid w:val="003D4B3C"/>
    <w:rsid w:val="003D7670"/>
    <w:rsid w:val="003E025A"/>
    <w:rsid w:val="003E67C8"/>
    <w:rsid w:val="003E6E3A"/>
    <w:rsid w:val="003F139A"/>
    <w:rsid w:val="003F4E0B"/>
    <w:rsid w:val="003F5ACB"/>
    <w:rsid w:val="003F7C10"/>
    <w:rsid w:val="00400FD9"/>
    <w:rsid w:val="00403725"/>
    <w:rsid w:val="00403AA1"/>
    <w:rsid w:val="0040699B"/>
    <w:rsid w:val="00412A24"/>
    <w:rsid w:val="00421041"/>
    <w:rsid w:val="00421816"/>
    <w:rsid w:val="00433190"/>
    <w:rsid w:val="0043500D"/>
    <w:rsid w:val="004355C2"/>
    <w:rsid w:val="004376F7"/>
    <w:rsid w:val="0044589E"/>
    <w:rsid w:val="00452383"/>
    <w:rsid w:val="00453567"/>
    <w:rsid w:val="00454AA0"/>
    <w:rsid w:val="0046056A"/>
    <w:rsid w:val="00460980"/>
    <w:rsid w:val="00460E95"/>
    <w:rsid w:val="00462B05"/>
    <w:rsid w:val="004632C8"/>
    <w:rsid w:val="00463A8C"/>
    <w:rsid w:val="00464C95"/>
    <w:rsid w:val="00466F31"/>
    <w:rsid w:val="00472B27"/>
    <w:rsid w:val="00473070"/>
    <w:rsid w:val="00474271"/>
    <w:rsid w:val="004744E1"/>
    <w:rsid w:val="00474CBA"/>
    <w:rsid w:val="00476338"/>
    <w:rsid w:val="004764CD"/>
    <w:rsid w:val="0047726B"/>
    <w:rsid w:val="00482C2A"/>
    <w:rsid w:val="00485B72"/>
    <w:rsid w:val="00486EA1"/>
    <w:rsid w:val="004878B4"/>
    <w:rsid w:val="00491A23"/>
    <w:rsid w:val="004967C5"/>
    <w:rsid w:val="004A1951"/>
    <w:rsid w:val="004A2123"/>
    <w:rsid w:val="004A3323"/>
    <w:rsid w:val="004B024E"/>
    <w:rsid w:val="004B0A21"/>
    <w:rsid w:val="004B166A"/>
    <w:rsid w:val="004B2770"/>
    <w:rsid w:val="004B6748"/>
    <w:rsid w:val="004C3C89"/>
    <w:rsid w:val="004D043A"/>
    <w:rsid w:val="004D10A4"/>
    <w:rsid w:val="004D18B6"/>
    <w:rsid w:val="004D44FE"/>
    <w:rsid w:val="004D51AC"/>
    <w:rsid w:val="004E34A4"/>
    <w:rsid w:val="004E4386"/>
    <w:rsid w:val="004E45CE"/>
    <w:rsid w:val="004E4D7D"/>
    <w:rsid w:val="004F0CD5"/>
    <w:rsid w:val="004F1026"/>
    <w:rsid w:val="004F3B21"/>
    <w:rsid w:val="004F4088"/>
    <w:rsid w:val="004F5E6B"/>
    <w:rsid w:val="00500657"/>
    <w:rsid w:val="00504A1F"/>
    <w:rsid w:val="005063D9"/>
    <w:rsid w:val="00507472"/>
    <w:rsid w:val="00507490"/>
    <w:rsid w:val="00510BFB"/>
    <w:rsid w:val="00510F70"/>
    <w:rsid w:val="005110B1"/>
    <w:rsid w:val="005113AC"/>
    <w:rsid w:val="00524044"/>
    <w:rsid w:val="00524D99"/>
    <w:rsid w:val="0052521B"/>
    <w:rsid w:val="00530081"/>
    <w:rsid w:val="00531773"/>
    <w:rsid w:val="005340C4"/>
    <w:rsid w:val="0054144D"/>
    <w:rsid w:val="00541C7E"/>
    <w:rsid w:val="00542EB4"/>
    <w:rsid w:val="0055122F"/>
    <w:rsid w:val="00552CDA"/>
    <w:rsid w:val="0055384E"/>
    <w:rsid w:val="00555CB8"/>
    <w:rsid w:val="00557E2D"/>
    <w:rsid w:val="0056572F"/>
    <w:rsid w:val="005661F9"/>
    <w:rsid w:val="005700CF"/>
    <w:rsid w:val="005706EF"/>
    <w:rsid w:val="005753C0"/>
    <w:rsid w:val="00580A9F"/>
    <w:rsid w:val="00582C35"/>
    <w:rsid w:val="0058498F"/>
    <w:rsid w:val="00586557"/>
    <w:rsid w:val="005877D2"/>
    <w:rsid w:val="00587F1E"/>
    <w:rsid w:val="005929BA"/>
    <w:rsid w:val="005948E3"/>
    <w:rsid w:val="00595807"/>
    <w:rsid w:val="00595D7A"/>
    <w:rsid w:val="005A3032"/>
    <w:rsid w:val="005A3D73"/>
    <w:rsid w:val="005A6253"/>
    <w:rsid w:val="005A6DB9"/>
    <w:rsid w:val="005B1681"/>
    <w:rsid w:val="005B4308"/>
    <w:rsid w:val="005B536E"/>
    <w:rsid w:val="005B5BD6"/>
    <w:rsid w:val="005C2EFC"/>
    <w:rsid w:val="005C5147"/>
    <w:rsid w:val="005C6591"/>
    <w:rsid w:val="005C77B5"/>
    <w:rsid w:val="005D3CE1"/>
    <w:rsid w:val="005D6581"/>
    <w:rsid w:val="005E0DE4"/>
    <w:rsid w:val="005E4F64"/>
    <w:rsid w:val="005E519B"/>
    <w:rsid w:val="00606644"/>
    <w:rsid w:val="0061033D"/>
    <w:rsid w:val="00611AA4"/>
    <w:rsid w:val="0061467A"/>
    <w:rsid w:val="00615D65"/>
    <w:rsid w:val="00617CCA"/>
    <w:rsid w:val="006219E2"/>
    <w:rsid w:val="00621A8A"/>
    <w:rsid w:val="00621E32"/>
    <w:rsid w:val="0062224B"/>
    <w:rsid w:val="0062305F"/>
    <w:rsid w:val="00623101"/>
    <w:rsid w:val="00625CFB"/>
    <w:rsid w:val="00626A2D"/>
    <w:rsid w:val="00631B58"/>
    <w:rsid w:val="00632841"/>
    <w:rsid w:val="00635DF3"/>
    <w:rsid w:val="00640123"/>
    <w:rsid w:val="00640F65"/>
    <w:rsid w:val="00642E69"/>
    <w:rsid w:val="006434E1"/>
    <w:rsid w:val="006469A2"/>
    <w:rsid w:val="006620D6"/>
    <w:rsid w:val="00662A94"/>
    <w:rsid w:val="00672E10"/>
    <w:rsid w:val="00673D2A"/>
    <w:rsid w:val="00674946"/>
    <w:rsid w:val="00681CCF"/>
    <w:rsid w:val="00683411"/>
    <w:rsid w:val="00685589"/>
    <w:rsid w:val="00694851"/>
    <w:rsid w:val="00697ED1"/>
    <w:rsid w:val="00697F02"/>
    <w:rsid w:val="006A2A64"/>
    <w:rsid w:val="006B0A81"/>
    <w:rsid w:val="006B1B3A"/>
    <w:rsid w:val="006B2231"/>
    <w:rsid w:val="006B464C"/>
    <w:rsid w:val="006B46C2"/>
    <w:rsid w:val="006B522B"/>
    <w:rsid w:val="006B5A8F"/>
    <w:rsid w:val="006B67AD"/>
    <w:rsid w:val="006C1175"/>
    <w:rsid w:val="006C3798"/>
    <w:rsid w:val="006C4130"/>
    <w:rsid w:val="006C5681"/>
    <w:rsid w:val="006D1856"/>
    <w:rsid w:val="006D2808"/>
    <w:rsid w:val="006D32E2"/>
    <w:rsid w:val="006D4BA5"/>
    <w:rsid w:val="006D4CC9"/>
    <w:rsid w:val="006E10A3"/>
    <w:rsid w:val="006E132D"/>
    <w:rsid w:val="006E6EA5"/>
    <w:rsid w:val="006F041E"/>
    <w:rsid w:val="006F124E"/>
    <w:rsid w:val="006F1AC5"/>
    <w:rsid w:val="006F2126"/>
    <w:rsid w:val="006F6022"/>
    <w:rsid w:val="00701151"/>
    <w:rsid w:val="0070507A"/>
    <w:rsid w:val="00706F5B"/>
    <w:rsid w:val="007075C7"/>
    <w:rsid w:val="00710991"/>
    <w:rsid w:val="00710AFD"/>
    <w:rsid w:val="00711377"/>
    <w:rsid w:val="0071352E"/>
    <w:rsid w:val="007136B1"/>
    <w:rsid w:val="00714120"/>
    <w:rsid w:val="007141EB"/>
    <w:rsid w:val="007152BC"/>
    <w:rsid w:val="00716732"/>
    <w:rsid w:val="0071682F"/>
    <w:rsid w:val="00717FB0"/>
    <w:rsid w:val="0072161D"/>
    <w:rsid w:val="00721932"/>
    <w:rsid w:val="00722897"/>
    <w:rsid w:val="00727175"/>
    <w:rsid w:val="007301AB"/>
    <w:rsid w:val="00732E92"/>
    <w:rsid w:val="00735189"/>
    <w:rsid w:val="00735190"/>
    <w:rsid w:val="00741073"/>
    <w:rsid w:val="00741A07"/>
    <w:rsid w:val="00742E24"/>
    <w:rsid w:val="00745A73"/>
    <w:rsid w:val="00747575"/>
    <w:rsid w:val="00747C7D"/>
    <w:rsid w:val="00752616"/>
    <w:rsid w:val="0075308F"/>
    <w:rsid w:val="007543AD"/>
    <w:rsid w:val="00755EDB"/>
    <w:rsid w:val="00760D1B"/>
    <w:rsid w:val="00763552"/>
    <w:rsid w:val="0076552C"/>
    <w:rsid w:val="00767894"/>
    <w:rsid w:val="00771504"/>
    <w:rsid w:val="0077659D"/>
    <w:rsid w:val="0077685C"/>
    <w:rsid w:val="00777E70"/>
    <w:rsid w:val="007806E4"/>
    <w:rsid w:val="00781216"/>
    <w:rsid w:val="0078321A"/>
    <w:rsid w:val="007837D3"/>
    <w:rsid w:val="00791196"/>
    <w:rsid w:val="007928F6"/>
    <w:rsid w:val="00792CD9"/>
    <w:rsid w:val="00793868"/>
    <w:rsid w:val="0079582D"/>
    <w:rsid w:val="00796B29"/>
    <w:rsid w:val="0079756A"/>
    <w:rsid w:val="007A01E8"/>
    <w:rsid w:val="007A1AAF"/>
    <w:rsid w:val="007A2679"/>
    <w:rsid w:val="007A2E28"/>
    <w:rsid w:val="007A3631"/>
    <w:rsid w:val="007A63D7"/>
    <w:rsid w:val="007B1FF7"/>
    <w:rsid w:val="007B2687"/>
    <w:rsid w:val="007B4FD6"/>
    <w:rsid w:val="007C04BC"/>
    <w:rsid w:val="007C1E2D"/>
    <w:rsid w:val="007C256E"/>
    <w:rsid w:val="007C685F"/>
    <w:rsid w:val="007C72FB"/>
    <w:rsid w:val="007D264F"/>
    <w:rsid w:val="007D2D7D"/>
    <w:rsid w:val="007D4CD6"/>
    <w:rsid w:val="007D7443"/>
    <w:rsid w:val="007E38A6"/>
    <w:rsid w:val="007E50CD"/>
    <w:rsid w:val="007E5819"/>
    <w:rsid w:val="007E6572"/>
    <w:rsid w:val="007E7889"/>
    <w:rsid w:val="007E7DC0"/>
    <w:rsid w:val="007F6DBF"/>
    <w:rsid w:val="008010AE"/>
    <w:rsid w:val="00802A69"/>
    <w:rsid w:val="00803D99"/>
    <w:rsid w:val="0080665A"/>
    <w:rsid w:val="008068AF"/>
    <w:rsid w:val="00812302"/>
    <w:rsid w:val="00814C21"/>
    <w:rsid w:val="00815E1F"/>
    <w:rsid w:val="00817634"/>
    <w:rsid w:val="008204D2"/>
    <w:rsid w:val="0082079F"/>
    <w:rsid w:val="00822072"/>
    <w:rsid w:val="00825C35"/>
    <w:rsid w:val="00827501"/>
    <w:rsid w:val="008303DF"/>
    <w:rsid w:val="00832EAD"/>
    <w:rsid w:val="00833B89"/>
    <w:rsid w:val="00845D39"/>
    <w:rsid w:val="008566FF"/>
    <w:rsid w:val="00860BD1"/>
    <w:rsid w:val="00860F61"/>
    <w:rsid w:val="00865692"/>
    <w:rsid w:val="008709BF"/>
    <w:rsid w:val="008720D6"/>
    <w:rsid w:val="00872D1F"/>
    <w:rsid w:val="00874F10"/>
    <w:rsid w:val="008830D3"/>
    <w:rsid w:val="00885848"/>
    <w:rsid w:val="00886B4F"/>
    <w:rsid w:val="00886F13"/>
    <w:rsid w:val="00891963"/>
    <w:rsid w:val="00893988"/>
    <w:rsid w:val="00893DDF"/>
    <w:rsid w:val="00895CA4"/>
    <w:rsid w:val="0089747F"/>
    <w:rsid w:val="0089765E"/>
    <w:rsid w:val="008A0F80"/>
    <w:rsid w:val="008A1A56"/>
    <w:rsid w:val="008A457A"/>
    <w:rsid w:val="008A5B00"/>
    <w:rsid w:val="008B18CE"/>
    <w:rsid w:val="008B3AA6"/>
    <w:rsid w:val="008C03B1"/>
    <w:rsid w:val="008C16D9"/>
    <w:rsid w:val="008C27E8"/>
    <w:rsid w:val="008C74C9"/>
    <w:rsid w:val="008D2D9F"/>
    <w:rsid w:val="008D31D4"/>
    <w:rsid w:val="008D5E67"/>
    <w:rsid w:val="008D68BB"/>
    <w:rsid w:val="008E273E"/>
    <w:rsid w:val="008E5DC7"/>
    <w:rsid w:val="008E6119"/>
    <w:rsid w:val="008E78BA"/>
    <w:rsid w:val="008F0BFB"/>
    <w:rsid w:val="008F131F"/>
    <w:rsid w:val="008F197D"/>
    <w:rsid w:val="008F2B6F"/>
    <w:rsid w:val="008F4233"/>
    <w:rsid w:val="008F64E2"/>
    <w:rsid w:val="008F68B8"/>
    <w:rsid w:val="00901720"/>
    <w:rsid w:val="00902064"/>
    <w:rsid w:val="00903731"/>
    <w:rsid w:val="009038B5"/>
    <w:rsid w:val="009050C7"/>
    <w:rsid w:val="0090573C"/>
    <w:rsid w:val="00905D8D"/>
    <w:rsid w:val="00907EBA"/>
    <w:rsid w:val="0091203E"/>
    <w:rsid w:val="00914EAF"/>
    <w:rsid w:val="00917E98"/>
    <w:rsid w:val="0092020B"/>
    <w:rsid w:val="0092100D"/>
    <w:rsid w:val="00922A71"/>
    <w:rsid w:val="0092344E"/>
    <w:rsid w:val="009237BB"/>
    <w:rsid w:val="00926B9C"/>
    <w:rsid w:val="009275CF"/>
    <w:rsid w:val="0093044D"/>
    <w:rsid w:val="0093293D"/>
    <w:rsid w:val="009343C3"/>
    <w:rsid w:val="00936B78"/>
    <w:rsid w:val="00941849"/>
    <w:rsid w:val="00950482"/>
    <w:rsid w:val="00952867"/>
    <w:rsid w:val="00954FEB"/>
    <w:rsid w:val="009558C3"/>
    <w:rsid w:val="0095775C"/>
    <w:rsid w:val="0096195B"/>
    <w:rsid w:val="00963C1D"/>
    <w:rsid w:val="00971206"/>
    <w:rsid w:val="00973A30"/>
    <w:rsid w:val="009808F2"/>
    <w:rsid w:val="00980F5B"/>
    <w:rsid w:val="009863DC"/>
    <w:rsid w:val="009868E4"/>
    <w:rsid w:val="009876FC"/>
    <w:rsid w:val="009906B7"/>
    <w:rsid w:val="00990948"/>
    <w:rsid w:val="0099160B"/>
    <w:rsid w:val="0099349A"/>
    <w:rsid w:val="00993953"/>
    <w:rsid w:val="00995239"/>
    <w:rsid w:val="009953C9"/>
    <w:rsid w:val="009A4414"/>
    <w:rsid w:val="009A52EC"/>
    <w:rsid w:val="009A5356"/>
    <w:rsid w:val="009B1AF9"/>
    <w:rsid w:val="009B2456"/>
    <w:rsid w:val="009B54D2"/>
    <w:rsid w:val="009B70DD"/>
    <w:rsid w:val="009C1B54"/>
    <w:rsid w:val="009C1D1C"/>
    <w:rsid w:val="009D1290"/>
    <w:rsid w:val="009D16F6"/>
    <w:rsid w:val="009D4CE8"/>
    <w:rsid w:val="009D63F2"/>
    <w:rsid w:val="009F12A7"/>
    <w:rsid w:val="009F5A54"/>
    <w:rsid w:val="009F76FB"/>
    <w:rsid w:val="00A03536"/>
    <w:rsid w:val="00A03751"/>
    <w:rsid w:val="00A05026"/>
    <w:rsid w:val="00A051B0"/>
    <w:rsid w:val="00A116DB"/>
    <w:rsid w:val="00A16703"/>
    <w:rsid w:val="00A20A12"/>
    <w:rsid w:val="00A23934"/>
    <w:rsid w:val="00A24D43"/>
    <w:rsid w:val="00A2627B"/>
    <w:rsid w:val="00A31610"/>
    <w:rsid w:val="00A32244"/>
    <w:rsid w:val="00A35A2C"/>
    <w:rsid w:val="00A367A8"/>
    <w:rsid w:val="00A37D04"/>
    <w:rsid w:val="00A40F80"/>
    <w:rsid w:val="00A42C91"/>
    <w:rsid w:val="00A5201A"/>
    <w:rsid w:val="00A55E53"/>
    <w:rsid w:val="00A569CA"/>
    <w:rsid w:val="00A56D96"/>
    <w:rsid w:val="00A578E0"/>
    <w:rsid w:val="00A6221F"/>
    <w:rsid w:val="00A62958"/>
    <w:rsid w:val="00A6534F"/>
    <w:rsid w:val="00A65801"/>
    <w:rsid w:val="00A6731E"/>
    <w:rsid w:val="00A7051E"/>
    <w:rsid w:val="00A73200"/>
    <w:rsid w:val="00A76911"/>
    <w:rsid w:val="00A810D8"/>
    <w:rsid w:val="00A815E2"/>
    <w:rsid w:val="00A86122"/>
    <w:rsid w:val="00A91562"/>
    <w:rsid w:val="00A91EC3"/>
    <w:rsid w:val="00A92EFB"/>
    <w:rsid w:val="00A954DC"/>
    <w:rsid w:val="00AA0A85"/>
    <w:rsid w:val="00AA255D"/>
    <w:rsid w:val="00AB2C38"/>
    <w:rsid w:val="00AB7EB5"/>
    <w:rsid w:val="00AD082E"/>
    <w:rsid w:val="00AD213B"/>
    <w:rsid w:val="00AD2BFF"/>
    <w:rsid w:val="00AD6329"/>
    <w:rsid w:val="00AE06CE"/>
    <w:rsid w:val="00AE3DDE"/>
    <w:rsid w:val="00AE4971"/>
    <w:rsid w:val="00AE52A1"/>
    <w:rsid w:val="00AF0B67"/>
    <w:rsid w:val="00B06409"/>
    <w:rsid w:val="00B069DE"/>
    <w:rsid w:val="00B12641"/>
    <w:rsid w:val="00B14517"/>
    <w:rsid w:val="00B1636E"/>
    <w:rsid w:val="00B2238C"/>
    <w:rsid w:val="00B24246"/>
    <w:rsid w:val="00B25E80"/>
    <w:rsid w:val="00B2740E"/>
    <w:rsid w:val="00B30605"/>
    <w:rsid w:val="00B32CFE"/>
    <w:rsid w:val="00B33744"/>
    <w:rsid w:val="00B40EA7"/>
    <w:rsid w:val="00B423F9"/>
    <w:rsid w:val="00B47C61"/>
    <w:rsid w:val="00B52152"/>
    <w:rsid w:val="00B57FBF"/>
    <w:rsid w:val="00B6297F"/>
    <w:rsid w:val="00B65C7D"/>
    <w:rsid w:val="00B77DE5"/>
    <w:rsid w:val="00B8627B"/>
    <w:rsid w:val="00B86506"/>
    <w:rsid w:val="00B909A6"/>
    <w:rsid w:val="00B919A3"/>
    <w:rsid w:val="00B9326C"/>
    <w:rsid w:val="00B95C78"/>
    <w:rsid w:val="00B96EEC"/>
    <w:rsid w:val="00B97C15"/>
    <w:rsid w:val="00B97DC2"/>
    <w:rsid w:val="00BA1581"/>
    <w:rsid w:val="00BA1E2B"/>
    <w:rsid w:val="00BA20EF"/>
    <w:rsid w:val="00BA572D"/>
    <w:rsid w:val="00BA7382"/>
    <w:rsid w:val="00BB099C"/>
    <w:rsid w:val="00BB35A1"/>
    <w:rsid w:val="00BB4405"/>
    <w:rsid w:val="00BB5E07"/>
    <w:rsid w:val="00BC66E7"/>
    <w:rsid w:val="00BC7E66"/>
    <w:rsid w:val="00BD09C6"/>
    <w:rsid w:val="00BD0DD8"/>
    <w:rsid w:val="00BD2F11"/>
    <w:rsid w:val="00BD374D"/>
    <w:rsid w:val="00BD5079"/>
    <w:rsid w:val="00BD6068"/>
    <w:rsid w:val="00BE0960"/>
    <w:rsid w:val="00BE0AC4"/>
    <w:rsid w:val="00BF18A0"/>
    <w:rsid w:val="00BF31D9"/>
    <w:rsid w:val="00BF50C3"/>
    <w:rsid w:val="00BF6080"/>
    <w:rsid w:val="00C00F32"/>
    <w:rsid w:val="00C02C12"/>
    <w:rsid w:val="00C03110"/>
    <w:rsid w:val="00C06B7A"/>
    <w:rsid w:val="00C15DAF"/>
    <w:rsid w:val="00C2433B"/>
    <w:rsid w:val="00C271CE"/>
    <w:rsid w:val="00C3128C"/>
    <w:rsid w:val="00C3221C"/>
    <w:rsid w:val="00C35082"/>
    <w:rsid w:val="00C36546"/>
    <w:rsid w:val="00C37006"/>
    <w:rsid w:val="00C416C5"/>
    <w:rsid w:val="00C44BAA"/>
    <w:rsid w:val="00C453F5"/>
    <w:rsid w:val="00C46509"/>
    <w:rsid w:val="00C5541F"/>
    <w:rsid w:val="00C55447"/>
    <w:rsid w:val="00C66FE4"/>
    <w:rsid w:val="00C719E6"/>
    <w:rsid w:val="00C74385"/>
    <w:rsid w:val="00C7685E"/>
    <w:rsid w:val="00C815B6"/>
    <w:rsid w:val="00C84D74"/>
    <w:rsid w:val="00C86C46"/>
    <w:rsid w:val="00C93F6E"/>
    <w:rsid w:val="00CA49EC"/>
    <w:rsid w:val="00CA56AA"/>
    <w:rsid w:val="00CA5942"/>
    <w:rsid w:val="00CA5A58"/>
    <w:rsid w:val="00CA6969"/>
    <w:rsid w:val="00CA7916"/>
    <w:rsid w:val="00CB2159"/>
    <w:rsid w:val="00CB2234"/>
    <w:rsid w:val="00CC4A7D"/>
    <w:rsid w:val="00CC514B"/>
    <w:rsid w:val="00CC5FE6"/>
    <w:rsid w:val="00CD011E"/>
    <w:rsid w:val="00CD03EF"/>
    <w:rsid w:val="00CD408F"/>
    <w:rsid w:val="00CD4527"/>
    <w:rsid w:val="00CD5165"/>
    <w:rsid w:val="00CD7BFF"/>
    <w:rsid w:val="00CE0BE9"/>
    <w:rsid w:val="00CE3B7C"/>
    <w:rsid w:val="00CF4130"/>
    <w:rsid w:val="00D010F9"/>
    <w:rsid w:val="00D0278C"/>
    <w:rsid w:val="00D1351E"/>
    <w:rsid w:val="00D13889"/>
    <w:rsid w:val="00D13F5B"/>
    <w:rsid w:val="00D15B60"/>
    <w:rsid w:val="00D15EAF"/>
    <w:rsid w:val="00D17D96"/>
    <w:rsid w:val="00D2085F"/>
    <w:rsid w:val="00D23F5B"/>
    <w:rsid w:val="00D37168"/>
    <w:rsid w:val="00D412F4"/>
    <w:rsid w:val="00D42970"/>
    <w:rsid w:val="00D434A5"/>
    <w:rsid w:val="00D51F4F"/>
    <w:rsid w:val="00D56E54"/>
    <w:rsid w:val="00D57727"/>
    <w:rsid w:val="00D61E18"/>
    <w:rsid w:val="00D6436C"/>
    <w:rsid w:val="00D66170"/>
    <w:rsid w:val="00D66AE1"/>
    <w:rsid w:val="00D67BD7"/>
    <w:rsid w:val="00D7126C"/>
    <w:rsid w:val="00D71B3E"/>
    <w:rsid w:val="00D71E62"/>
    <w:rsid w:val="00D732AD"/>
    <w:rsid w:val="00D73FE8"/>
    <w:rsid w:val="00D74771"/>
    <w:rsid w:val="00D7619A"/>
    <w:rsid w:val="00D7718D"/>
    <w:rsid w:val="00D80B8D"/>
    <w:rsid w:val="00D82BF3"/>
    <w:rsid w:val="00D82DBF"/>
    <w:rsid w:val="00D87794"/>
    <w:rsid w:val="00D877AA"/>
    <w:rsid w:val="00D9303D"/>
    <w:rsid w:val="00D95564"/>
    <w:rsid w:val="00D962A7"/>
    <w:rsid w:val="00D963DF"/>
    <w:rsid w:val="00D97168"/>
    <w:rsid w:val="00DA4A00"/>
    <w:rsid w:val="00DB1794"/>
    <w:rsid w:val="00DB3AE8"/>
    <w:rsid w:val="00DC480C"/>
    <w:rsid w:val="00DC5A19"/>
    <w:rsid w:val="00DC611F"/>
    <w:rsid w:val="00DD7001"/>
    <w:rsid w:val="00DD7620"/>
    <w:rsid w:val="00DE35A9"/>
    <w:rsid w:val="00DE49F3"/>
    <w:rsid w:val="00DE577A"/>
    <w:rsid w:val="00DF34D5"/>
    <w:rsid w:val="00DF4515"/>
    <w:rsid w:val="00DF783C"/>
    <w:rsid w:val="00E059D9"/>
    <w:rsid w:val="00E0784B"/>
    <w:rsid w:val="00E100D2"/>
    <w:rsid w:val="00E126CC"/>
    <w:rsid w:val="00E15AA8"/>
    <w:rsid w:val="00E16500"/>
    <w:rsid w:val="00E201EE"/>
    <w:rsid w:val="00E20DCE"/>
    <w:rsid w:val="00E21219"/>
    <w:rsid w:val="00E23ED4"/>
    <w:rsid w:val="00E25C93"/>
    <w:rsid w:val="00E26EFE"/>
    <w:rsid w:val="00E3065E"/>
    <w:rsid w:val="00E330FB"/>
    <w:rsid w:val="00E33E69"/>
    <w:rsid w:val="00E3644F"/>
    <w:rsid w:val="00E36D01"/>
    <w:rsid w:val="00E37243"/>
    <w:rsid w:val="00E45198"/>
    <w:rsid w:val="00E46A07"/>
    <w:rsid w:val="00E47510"/>
    <w:rsid w:val="00E47BA5"/>
    <w:rsid w:val="00E52504"/>
    <w:rsid w:val="00E53D0A"/>
    <w:rsid w:val="00E55548"/>
    <w:rsid w:val="00E56130"/>
    <w:rsid w:val="00E60E04"/>
    <w:rsid w:val="00E63F9A"/>
    <w:rsid w:val="00E700D3"/>
    <w:rsid w:val="00E705F7"/>
    <w:rsid w:val="00E739FC"/>
    <w:rsid w:val="00E748F0"/>
    <w:rsid w:val="00E75778"/>
    <w:rsid w:val="00E83156"/>
    <w:rsid w:val="00E83F7C"/>
    <w:rsid w:val="00E84F9D"/>
    <w:rsid w:val="00E85519"/>
    <w:rsid w:val="00E859DA"/>
    <w:rsid w:val="00E85F00"/>
    <w:rsid w:val="00E872B3"/>
    <w:rsid w:val="00E93D13"/>
    <w:rsid w:val="00E979EA"/>
    <w:rsid w:val="00EB09B7"/>
    <w:rsid w:val="00EB42DC"/>
    <w:rsid w:val="00EB460F"/>
    <w:rsid w:val="00EB5624"/>
    <w:rsid w:val="00EC2FA6"/>
    <w:rsid w:val="00EC7126"/>
    <w:rsid w:val="00EC72CA"/>
    <w:rsid w:val="00ED0FE6"/>
    <w:rsid w:val="00ED24A4"/>
    <w:rsid w:val="00ED46DD"/>
    <w:rsid w:val="00ED7BA4"/>
    <w:rsid w:val="00EE6E62"/>
    <w:rsid w:val="00EE794E"/>
    <w:rsid w:val="00EF069B"/>
    <w:rsid w:val="00EF615C"/>
    <w:rsid w:val="00EF6A86"/>
    <w:rsid w:val="00EF7043"/>
    <w:rsid w:val="00F02E2B"/>
    <w:rsid w:val="00F02F8F"/>
    <w:rsid w:val="00F076B7"/>
    <w:rsid w:val="00F1205C"/>
    <w:rsid w:val="00F17F2A"/>
    <w:rsid w:val="00F17F8E"/>
    <w:rsid w:val="00F220ED"/>
    <w:rsid w:val="00F224C5"/>
    <w:rsid w:val="00F267CF"/>
    <w:rsid w:val="00F32DC7"/>
    <w:rsid w:val="00F33866"/>
    <w:rsid w:val="00F35429"/>
    <w:rsid w:val="00F40321"/>
    <w:rsid w:val="00F47361"/>
    <w:rsid w:val="00F51AEB"/>
    <w:rsid w:val="00F540E9"/>
    <w:rsid w:val="00F54552"/>
    <w:rsid w:val="00F56E19"/>
    <w:rsid w:val="00F57C12"/>
    <w:rsid w:val="00F72E06"/>
    <w:rsid w:val="00F740B7"/>
    <w:rsid w:val="00F7517C"/>
    <w:rsid w:val="00F8147A"/>
    <w:rsid w:val="00F823B7"/>
    <w:rsid w:val="00F83CB9"/>
    <w:rsid w:val="00F928E8"/>
    <w:rsid w:val="00F97166"/>
    <w:rsid w:val="00FA1C4C"/>
    <w:rsid w:val="00FA267B"/>
    <w:rsid w:val="00FA4E55"/>
    <w:rsid w:val="00FA676B"/>
    <w:rsid w:val="00FA70D2"/>
    <w:rsid w:val="00FB1164"/>
    <w:rsid w:val="00FB13A5"/>
    <w:rsid w:val="00FB1CD0"/>
    <w:rsid w:val="00FB1E0E"/>
    <w:rsid w:val="00FB29DA"/>
    <w:rsid w:val="00FB6092"/>
    <w:rsid w:val="00FB7039"/>
    <w:rsid w:val="00FB7BC4"/>
    <w:rsid w:val="00FC1CB0"/>
    <w:rsid w:val="00FC40C0"/>
    <w:rsid w:val="00FC57EA"/>
    <w:rsid w:val="00FD20E3"/>
    <w:rsid w:val="00FD2E25"/>
    <w:rsid w:val="00FD389D"/>
    <w:rsid w:val="00FD7236"/>
    <w:rsid w:val="00FD7465"/>
    <w:rsid w:val="00FE2ABC"/>
    <w:rsid w:val="00FE3DC0"/>
    <w:rsid w:val="00FE4665"/>
    <w:rsid w:val="00FE5525"/>
    <w:rsid w:val="00FE631F"/>
    <w:rsid w:val="00FE6BAF"/>
    <w:rsid w:val="00FF4676"/>
    <w:rsid w:val="00FF5402"/>
    <w:rsid w:val="00FF64D4"/>
    <w:rsid w:val="00FF7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79999815-A182-40D2-830C-77EAD76E1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F6E"/>
  </w:style>
  <w:style w:type="paragraph" w:styleId="Titre1">
    <w:name w:val="heading 1"/>
    <w:basedOn w:val="Normal"/>
    <w:next w:val="Normal"/>
    <w:uiPriority w:val="9"/>
    <w:qFormat/>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uiPriority w:val="9"/>
    <w:unhideWhenUsed/>
    <w:qFormat/>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uiPriority w:val="9"/>
    <w:unhideWhenUsed/>
    <w:qFormat/>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uiPriority w:val="9"/>
    <w:unhideWhenUsed/>
    <w:qFormat/>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uiPriority w:val="9"/>
    <w:semiHidden/>
    <w:unhideWhenUsed/>
    <w:qFormat/>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uiPriority w:val="9"/>
    <w:semiHidden/>
    <w:unhideWhenUsed/>
    <w:qFormat/>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Heading7Char"/>
    <w:uiPriority w:val="9"/>
    <w:semiHidden/>
    <w:unhideWhenUsed/>
    <w:qFormat/>
    <w:rsid w:val="002F52A4"/>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Heading8Char"/>
    <w:uiPriority w:val="9"/>
    <w:semiHidden/>
    <w:unhideWhenUsed/>
    <w:qFormat/>
    <w:rsid w:val="002F52A4"/>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Heading9Char"/>
    <w:uiPriority w:val="9"/>
    <w:semiHidden/>
    <w:unhideWhenUsed/>
    <w:qFormat/>
    <w:rsid w:val="002F52A4"/>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uiPriority w:val="11"/>
    <w:qFormat/>
    <w:pPr>
      <w:numPr>
        <w:ilvl w:val="1"/>
      </w:numPr>
    </w:pPr>
    <w:rPr>
      <w:rFonts w:asciiTheme="majorHAnsi" w:eastAsiaTheme="majorEastAsia" w:hAnsiTheme="majorHAnsi" w:cstheme="majorBidi"/>
      <w:i/>
      <w:iCs/>
      <w:color w:val="4F81BD" w:themeColor="accent1"/>
      <w:spacing w:val="15"/>
      <w:sz w:val="24"/>
      <w:szCs w:val="24"/>
    </w:rPr>
  </w:style>
  <w:style w:type="table" w:customStyle="1" w:styleId="a">
    <w:basedOn w:val="TableauNormal"/>
    <w:pPr>
      <w:spacing w:after="0" w:line="240" w:lineRule="auto"/>
    </w:pPr>
    <w:tblPr>
      <w:tblStyleRowBandSize w:val="1"/>
      <w:tblStyleColBandSize w:val="1"/>
      <w:tblCellMar>
        <w:left w:w="115" w:type="dxa"/>
        <w:right w:w="115" w:type="dxa"/>
      </w:tblCellMar>
    </w:tblPr>
  </w:style>
  <w:style w:type="table" w:customStyle="1" w:styleId="a0">
    <w:basedOn w:val="TableauNormal"/>
    <w:pPr>
      <w:spacing w:after="0" w:line="240" w:lineRule="auto"/>
    </w:pPr>
    <w:tblPr>
      <w:tblStyleRowBandSize w:val="1"/>
      <w:tblStyleColBandSize w:val="1"/>
      <w:tblCellMar>
        <w:left w:w="115" w:type="dxa"/>
        <w:right w:w="115" w:type="dxa"/>
      </w:tblCellMar>
    </w:tblPr>
  </w:style>
  <w:style w:type="table" w:customStyle="1" w:styleId="a1">
    <w:basedOn w:val="TableauNormal"/>
    <w:pPr>
      <w:spacing w:after="0" w:line="240" w:lineRule="auto"/>
    </w:pPr>
    <w:tblPr>
      <w:tblStyleRowBandSize w:val="1"/>
      <w:tblStyleColBandSize w:val="1"/>
      <w:tblCellMar>
        <w:left w:w="115" w:type="dxa"/>
        <w:right w:w="115" w:type="dxa"/>
      </w:tblCellMar>
    </w:tblPr>
  </w:style>
  <w:style w:type="table" w:customStyle="1" w:styleId="a2">
    <w:basedOn w:val="TableauNormal"/>
    <w:pPr>
      <w:spacing w:after="0" w:line="240" w:lineRule="auto"/>
    </w:pPr>
    <w:tblPr>
      <w:tblStyleRowBandSize w:val="1"/>
      <w:tblStyleColBandSize w:val="1"/>
      <w:tblCellMar>
        <w:left w:w="115" w:type="dxa"/>
        <w:right w:w="115" w:type="dxa"/>
      </w:tblCellMar>
    </w:tblPr>
  </w:style>
  <w:style w:type="table" w:customStyle="1" w:styleId="a3">
    <w:basedOn w:val="TableauNormal"/>
    <w:pPr>
      <w:spacing w:after="0" w:line="240" w:lineRule="auto"/>
    </w:pPr>
    <w:tblPr>
      <w:tblStyleRowBandSize w:val="1"/>
      <w:tblStyleColBandSize w:val="1"/>
      <w:tblCellMar>
        <w:left w:w="115" w:type="dxa"/>
        <w:right w:w="115" w:type="dxa"/>
      </w:tblCellMar>
    </w:tblPr>
  </w:style>
  <w:style w:type="table" w:customStyle="1" w:styleId="a4">
    <w:basedOn w:val="TableauNormal"/>
    <w:pPr>
      <w:spacing w:after="0" w:line="240" w:lineRule="auto"/>
    </w:pPr>
    <w:tblPr>
      <w:tblStyleRowBandSize w:val="1"/>
      <w:tblStyleColBandSize w:val="1"/>
      <w:tblCellMar>
        <w:left w:w="115" w:type="dxa"/>
        <w:right w:w="115" w:type="dxa"/>
      </w:tblCellMar>
    </w:tblPr>
  </w:style>
  <w:style w:type="table" w:customStyle="1" w:styleId="a5">
    <w:basedOn w:val="TableauNormal"/>
    <w:pPr>
      <w:spacing w:after="0" w:line="240" w:lineRule="auto"/>
    </w:pPr>
    <w:tblPr>
      <w:tblStyleRowBandSize w:val="1"/>
      <w:tblStyleColBandSize w:val="1"/>
      <w:tblCellMar>
        <w:left w:w="115" w:type="dxa"/>
        <w:right w:w="115" w:type="dxa"/>
      </w:tblCellMar>
    </w:tblPr>
  </w:style>
  <w:style w:type="table" w:customStyle="1" w:styleId="a6">
    <w:basedOn w:val="TableauNormal"/>
    <w:pPr>
      <w:spacing w:after="0" w:line="240" w:lineRule="auto"/>
    </w:pPr>
    <w:tblPr>
      <w:tblStyleRowBandSize w:val="1"/>
      <w:tblStyleColBandSize w:val="1"/>
      <w:tblCellMar>
        <w:left w:w="115" w:type="dxa"/>
        <w:right w:w="115" w:type="dxa"/>
      </w:tblCellMar>
    </w:tblPr>
  </w:style>
  <w:style w:type="table" w:customStyle="1" w:styleId="a7">
    <w:basedOn w:val="TableauNormal"/>
    <w:pPr>
      <w:spacing w:after="0" w:line="240" w:lineRule="auto"/>
    </w:pPr>
    <w:tblPr>
      <w:tblStyleRowBandSize w:val="1"/>
      <w:tblStyleColBandSize w:val="1"/>
      <w:tblCellMar>
        <w:left w:w="115" w:type="dxa"/>
        <w:right w:w="115" w:type="dxa"/>
      </w:tblCellMar>
    </w:tblPr>
  </w:style>
  <w:style w:type="table" w:customStyle="1" w:styleId="a8">
    <w:basedOn w:val="TableauNormal"/>
    <w:pPr>
      <w:spacing w:after="0" w:line="240" w:lineRule="auto"/>
    </w:pPr>
    <w:tblPr>
      <w:tblStyleRowBandSize w:val="1"/>
      <w:tblStyleColBandSize w:val="1"/>
      <w:tblCellMar>
        <w:left w:w="115" w:type="dxa"/>
        <w:right w:w="115" w:type="dxa"/>
      </w:tblCellMar>
    </w:tblPr>
  </w:style>
  <w:style w:type="table" w:customStyle="1" w:styleId="a9">
    <w:basedOn w:val="TableauNormal"/>
    <w:pPr>
      <w:spacing w:after="0" w:line="240" w:lineRule="auto"/>
    </w:pPr>
    <w:tblPr>
      <w:tblStyleRowBandSize w:val="1"/>
      <w:tblStyleColBandSize w:val="1"/>
      <w:tblCellMar>
        <w:left w:w="115" w:type="dxa"/>
        <w:right w:w="115" w:type="dxa"/>
      </w:tblCellMar>
    </w:tblPr>
  </w:style>
  <w:style w:type="table" w:customStyle="1" w:styleId="aa">
    <w:basedOn w:val="TableauNormal"/>
    <w:pPr>
      <w:spacing w:after="0" w:line="240" w:lineRule="auto"/>
    </w:pPr>
    <w:tblPr>
      <w:tblStyleRowBandSize w:val="1"/>
      <w:tblStyleColBandSize w:val="1"/>
      <w:tblCellMar>
        <w:left w:w="115" w:type="dxa"/>
        <w:right w:w="115" w:type="dxa"/>
      </w:tblCellMar>
    </w:tblPr>
  </w:style>
  <w:style w:type="table" w:customStyle="1" w:styleId="ab">
    <w:basedOn w:val="TableauNormal"/>
    <w:pPr>
      <w:spacing w:after="0" w:line="240" w:lineRule="auto"/>
    </w:pPr>
    <w:tblPr>
      <w:tblStyleRowBandSize w:val="1"/>
      <w:tblStyleColBandSize w:val="1"/>
      <w:tblCellMar>
        <w:left w:w="115" w:type="dxa"/>
        <w:right w:w="115" w:type="dxa"/>
      </w:tblCellMar>
    </w:tblPr>
  </w:style>
  <w:style w:type="paragraph" w:styleId="Commentaire">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Policepardfaut"/>
    <w:link w:val="Commentaire"/>
    <w:uiPriority w:val="99"/>
    <w:semiHidden/>
    <w:rPr>
      <w:sz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BalloonTextChar"/>
    <w:uiPriority w:val="99"/>
    <w:semiHidden/>
    <w:unhideWhenUsed/>
    <w:rsid w:val="00B33744"/>
    <w:pPr>
      <w:spacing w:after="0" w:line="240" w:lineRule="auto"/>
    </w:pPr>
    <w:rPr>
      <w:rFonts w:ascii="Tahoma" w:hAnsi="Tahoma" w:cs="Tahoma"/>
      <w:sz w:val="16"/>
      <w:szCs w:val="16"/>
    </w:rPr>
  </w:style>
  <w:style w:type="character" w:customStyle="1" w:styleId="BalloonTextChar">
    <w:name w:val="Balloon Text Char"/>
    <w:basedOn w:val="Policepardfaut"/>
    <w:link w:val="Textedebulles"/>
    <w:uiPriority w:val="99"/>
    <w:semiHidden/>
    <w:rsid w:val="00B33744"/>
    <w:rPr>
      <w:rFonts w:ascii="Tahoma" w:hAnsi="Tahoma" w:cs="Tahoma"/>
      <w:sz w:val="16"/>
      <w:szCs w:val="16"/>
    </w:rPr>
  </w:style>
  <w:style w:type="paragraph" w:styleId="Objetducommentaire">
    <w:name w:val="annotation subject"/>
    <w:basedOn w:val="Commentaire"/>
    <w:next w:val="Commentaire"/>
    <w:link w:val="CommentSubjectChar"/>
    <w:uiPriority w:val="99"/>
    <w:semiHidden/>
    <w:unhideWhenUsed/>
    <w:rsid w:val="006F6022"/>
    <w:rPr>
      <w:b/>
      <w:bCs/>
      <w:szCs w:val="20"/>
    </w:rPr>
  </w:style>
  <w:style w:type="character" w:customStyle="1" w:styleId="CommentSubjectChar">
    <w:name w:val="Comment Subject Char"/>
    <w:basedOn w:val="CommentTextChar"/>
    <w:link w:val="Objetducommentaire"/>
    <w:uiPriority w:val="99"/>
    <w:semiHidden/>
    <w:rsid w:val="006F6022"/>
    <w:rPr>
      <w:b/>
      <w:bCs/>
      <w:sz w:val="20"/>
      <w:szCs w:val="20"/>
    </w:rPr>
  </w:style>
  <w:style w:type="paragraph" w:styleId="Bibliographie">
    <w:name w:val="Bibliography"/>
    <w:basedOn w:val="Normal"/>
    <w:next w:val="Normal"/>
    <w:uiPriority w:val="37"/>
    <w:unhideWhenUsed/>
    <w:rsid w:val="00885848"/>
    <w:pPr>
      <w:spacing w:after="0" w:line="240" w:lineRule="auto"/>
      <w:ind w:left="720" w:hanging="720"/>
    </w:pPr>
  </w:style>
  <w:style w:type="character" w:styleId="Lienhypertexte">
    <w:name w:val="Hyperlink"/>
    <w:basedOn w:val="Policepardfaut"/>
    <w:uiPriority w:val="99"/>
    <w:unhideWhenUsed/>
    <w:rsid w:val="005929BA"/>
    <w:rPr>
      <w:color w:val="0000FF" w:themeColor="hyperlink"/>
      <w:u w:val="single"/>
    </w:rPr>
  </w:style>
  <w:style w:type="paragraph" w:styleId="En-ttedetabledesmatires">
    <w:name w:val="TOC Heading"/>
    <w:basedOn w:val="Titre1"/>
    <w:next w:val="Normal"/>
    <w:uiPriority w:val="39"/>
    <w:semiHidden/>
    <w:unhideWhenUsed/>
    <w:qFormat/>
    <w:rsid w:val="006C3798"/>
    <w:pPr>
      <w:outlineLvl w:val="9"/>
    </w:pPr>
    <w:rPr>
      <w:lang w:val="en-US" w:eastAsia="ja-JP"/>
    </w:rPr>
  </w:style>
  <w:style w:type="paragraph" w:styleId="TM1">
    <w:name w:val="toc 1"/>
    <w:basedOn w:val="Normal"/>
    <w:next w:val="Normal"/>
    <w:autoRedefine/>
    <w:uiPriority w:val="39"/>
    <w:unhideWhenUsed/>
    <w:rsid w:val="00626A2D"/>
    <w:pPr>
      <w:tabs>
        <w:tab w:val="right" w:leader="dot" w:pos="9016"/>
      </w:tabs>
      <w:spacing w:after="100"/>
    </w:pPr>
  </w:style>
  <w:style w:type="paragraph" w:styleId="TM2">
    <w:name w:val="toc 2"/>
    <w:basedOn w:val="Normal"/>
    <w:next w:val="Normal"/>
    <w:autoRedefine/>
    <w:uiPriority w:val="39"/>
    <w:unhideWhenUsed/>
    <w:rsid w:val="006C3798"/>
    <w:pPr>
      <w:spacing w:after="100"/>
      <w:ind w:left="220"/>
    </w:pPr>
  </w:style>
  <w:style w:type="paragraph" w:styleId="TM3">
    <w:name w:val="toc 3"/>
    <w:basedOn w:val="Normal"/>
    <w:next w:val="Normal"/>
    <w:autoRedefine/>
    <w:uiPriority w:val="39"/>
    <w:unhideWhenUsed/>
    <w:rsid w:val="006C3798"/>
    <w:pPr>
      <w:spacing w:after="100"/>
      <w:ind w:left="440"/>
    </w:pPr>
  </w:style>
  <w:style w:type="table" w:styleId="Grilledutableau">
    <w:name w:val="Table Grid"/>
    <w:basedOn w:val="TableauNormal"/>
    <w:uiPriority w:val="59"/>
    <w:rsid w:val="00FA7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E4F64"/>
    <w:pPr>
      <w:ind w:left="720"/>
      <w:contextualSpacing/>
    </w:pPr>
  </w:style>
  <w:style w:type="paragraph" w:styleId="Lgende">
    <w:name w:val="caption"/>
    <w:basedOn w:val="Normal"/>
    <w:next w:val="Normal"/>
    <w:uiPriority w:val="35"/>
    <w:unhideWhenUsed/>
    <w:qFormat/>
    <w:rsid w:val="00E859DA"/>
    <w:pPr>
      <w:spacing w:line="240" w:lineRule="auto"/>
    </w:pPr>
    <w:rPr>
      <w:b/>
      <w:bCs/>
      <w:color w:val="4F81BD" w:themeColor="accent1"/>
      <w:sz w:val="18"/>
      <w:szCs w:val="18"/>
    </w:rPr>
  </w:style>
  <w:style w:type="character" w:styleId="Numrodeligne">
    <w:name w:val="line number"/>
    <w:basedOn w:val="Policepardfaut"/>
    <w:uiPriority w:val="99"/>
    <w:semiHidden/>
    <w:unhideWhenUsed/>
    <w:rsid w:val="00AF0B67"/>
  </w:style>
  <w:style w:type="character" w:styleId="Lienhypertextesuivivisit">
    <w:name w:val="FollowedHyperlink"/>
    <w:basedOn w:val="Policepardfaut"/>
    <w:uiPriority w:val="99"/>
    <w:semiHidden/>
    <w:unhideWhenUsed/>
    <w:rsid w:val="00050AB1"/>
    <w:rPr>
      <w:color w:val="800080" w:themeColor="followedHyperlink"/>
      <w:u w:val="single"/>
    </w:rPr>
  </w:style>
  <w:style w:type="paragraph" w:styleId="PrformatHTML">
    <w:name w:val="HTML Preformatted"/>
    <w:basedOn w:val="Normal"/>
    <w:link w:val="HTMLPreformattedChar"/>
    <w:uiPriority w:val="99"/>
    <w:unhideWhenUsed/>
    <w:rsid w:val="008275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Policepardfaut"/>
    <w:link w:val="PrformatHTML"/>
    <w:uiPriority w:val="99"/>
    <w:rsid w:val="00827501"/>
    <w:rPr>
      <w:rFonts w:ascii="Courier New" w:eastAsia="Times New Roman" w:hAnsi="Courier New" w:cs="Courier New"/>
      <w:sz w:val="20"/>
      <w:szCs w:val="20"/>
    </w:rPr>
  </w:style>
  <w:style w:type="character" w:customStyle="1" w:styleId="Heading7Char">
    <w:name w:val="Heading 7 Char"/>
    <w:basedOn w:val="Policepardfaut"/>
    <w:link w:val="Titre7"/>
    <w:uiPriority w:val="9"/>
    <w:semiHidden/>
    <w:rsid w:val="002F52A4"/>
    <w:rPr>
      <w:rFonts w:asciiTheme="majorHAnsi" w:eastAsiaTheme="majorEastAsia" w:hAnsiTheme="majorHAnsi" w:cstheme="majorBidi"/>
      <w:i/>
      <w:iCs/>
      <w:color w:val="404040" w:themeColor="text1" w:themeTint="BF"/>
    </w:rPr>
  </w:style>
  <w:style w:type="character" w:customStyle="1" w:styleId="Heading8Char">
    <w:name w:val="Heading 8 Char"/>
    <w:basedOn w:val="Policepardfaut"/>
    <w:link w:val="Titre8"/>
    <w:uiPriority w:val="9"/>
    <w:semiHidden/>
    <w:rsid w:val="002F52A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Policepardfaut"/>
    <w:link w:val="Titre9"/>
    <w:uiPriority w:val="9"/>
    <w:semiHidden/>
    <w:rsid w:val="002F52A4"/>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3274173">
      <w:bodyDiv w:val="1"/>
      <w:marLeft w:val="0"/>
      <w:marRight w:val="0"/>
      <w:marTop w:val="0"/>
      <w:marBottom w:val="0"/>
      <w:divBdr>
        <w:top w:val="none" w:sz="0" w:space="0" w:color="auto"/>
        <w:left w:val="none" w:sz="0" w:space="0" w:color="auto"/>
        <w:bottom w:val="none" w:sz="0" w:space="0" w:color="auto"/>
        <w:right w:val="none" w:sz="0" w:space="0" w:color="auto"/>
      </w:divBdr>
    </w:div>
    <w:div w:id="1763605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6F3AA-FDF7-47E9-B499-0468D5DEF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3434</Words>
  <Characters>18889</Characters>
  <Application>Microsoft Office Word</Application>
  <DocSecurity>0</DocSecurity>
  <Lines>157</Lines>
  <Paragraphs>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Noel Druon</dc:creator>
  <cp:lastModifiedBy>Marielle BOUILDE, Ifremer Nantes PDG-DISCOMRI-BL</cp:lastModifiedBy>
  <cp:revision>2</cp:revision>
  <cp:lastPrinted>2016-01-07T13:14:00Z</cp:lastPrinted>
  <dcterms:created xsi:type="dcterms:W3CDTF">2016-02-16T15:27:00Z</dcterms:created>
  <dcterms:modified xsi:type="dcterms:W3CDTF">2016-02-16T15:27:00Z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zotero-version="4.0.28"&gt;&lt;session id="dplm4JKU"/&gt;&lt;style id="http://www.zotero.org/styles/progress-in-oceanography" hasBibliography="1" bibliographyStyleHasBeenSet="1"/&gt;&lt;prefs&gt;&lt;pref name="fieldType" value="Field"/&gt;&lt;pref name="storeRef</vt:lpwstr>
  </property>
  <property fmtid="{D5CDD505-2E9C-101B-9397-08002B2CF9AE}" pid="3" name="ZOTERO_PREF_2">
    <vt:lpwstr>erences" value="true"/&gt;&lt;pref name="automaticJournalAbbreviations" value="true"/&gt;&lt;pref name="noteType" value="0"/&gt;&lt;/prefs&gt;&lt;/data&gt;</vt:lpwstr>
  </property>
</Properties>
</file>