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F8" w:rsidRPr="009D44F8" w:rsidRDefault="009D44F8" w:rsidP="009D44F8">
      <w:pPr>
        <w:pStyle w:val="NormalWeb"/>
        <w:jc w:val="center"/>
        <w:rPr>
          <w:lang w:val="en-US"/>
        </w:rPr>
      </w:pPr>
      <w:r w:rsidRPr="009D44F8">
        <w:rPr>
          <w:lang w:val="en-US"/>
        </w:rPr>
        <w:t>Auxiliary Material for</w:t>
      </w:r>
    </w:p>
    <w:p w:rsidR="00670D0E" w:rsidRPr="00F708D6" w:rsidRDefault="00670D0E" w:rsidP="00670D0E">
      <w:pPr>
        <w:pStyle w:val="a"/>
        <w:spacing w:line="480" w:lineRule="auto"/>
        <w:rPr>
          <w:rFonts w:ascii="Times New Roman" w:eastAsiaTheme="minorEastAsia" w:hAnsi="Times New Roman" w:cs="Times New Roman"/>
          <w:b/>
          <w:bCs/>
          <w:kern w:val="44"/>
          <w:sz w:val="24"/>
          <w:szCs w:val="24"/>
        </w:rPr>
      </w:pPr>
      <w:r w:rsidRPr="00F708D6">
        <w:rPr>
          <w:rFonts w:ascii="Times New Roman" w:eastAsiaTheme="minorEastAsia" w:hAnsi="Times New Roman" w:cs="Times New Roman"/>
          <w:b/>
          <w:bCs/>
          <w:kern w:val="44"/>
          <w:sz w:val="24"/>
          <w:szCs w:val="24"/>
        </w:rPr>
        <w:t>Regionalized global budget of the CO</w:t>
      </w:r>
      <w:r w:rsidRPr="00F708D6">
        <w:rPr>
          <w:rFonts w:ascii="Times New Roman" w:eastAsiaTheme="minorEastAsia" w:hAnsi="Times New Roman" w:cs="Times New Roman"/>
          <w:b/>
          <w:bCs/>
          <w:kern w:val="44"/>
          <w:sz w:val="24"/>
          <w:szCs w:val="24"/>
          <w:vertAlign w:val="subscript"/>
        </w:rPr>
        <w:t>2</w:t>
      </w:r>
      <w:r w:rsidRPr="00F708D6">
        <w:rPr>
          <w:rFonts w:ascii="Times New Roman" w:eastAsiaTheme="minorEastAsia" w:hAnsi="Times New Roman" w:cs="Times New Roman"/>
          <w:b/>
          <w:bCs/>
          <w:kern w:val="44"/>
          <w:sz w:val="24"/>
          <w:szCs w:val="24"/>
        </w:rPr>
        <w:t xml:space="preserve"> exchange at the air-water interface in continental shelf</w:t>
      </w:r>
      <w:bookmarkStart w:id="0" w:name="_GoBack"/>
      <w:bookmarkEnd w:id="0"/>
      <w:r w:rsidRPr="00F708D6">
        <w:rPr>
          <w:rFonts w:ascii="Times New Roman" w:eastAsiaTheme="minorEastAsia" w:hAnsi="Times New Roman" w:cs="Times New Roman"/>
          <w:b/>
          <w:bCs/>
          <w:kern w:val="44"/>
          <w:sz w:val="24"/>
          <w:szCs w:val="24"/>
        </w:rPr>
        <w:t xml:space="preserve"> seas </w:t>
      </w:r>
    </w:p>
    <w:p w:rsidR="00670D0E" w:rsidRPr="00F708D6" w:rsidRDefault="00670D0E" w:rsidP="00670D0E">
      <w:pPr>
        <w:pStyle w:val="a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F708D6">
        <w:rPr>
          <w:rFonts w:ascii="Times New Roman" w:hAnsi="Times New Roman" w:cs="Times New Roman"/>
          <w:sz w:val="24"/>
          <w:szCs w:val="24"/>
          <w:lang w:val="fr-FR"/>
        </w:rPr>
        <w:t>Goulven G. Laruelle</w:t>
      </w:r>
      <w:r w:rsidRPr="00F708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1-2</w:t>
      </w:r>
      <w:r w:rsidRPr="00F708D6">
        <w:rPr>
          <w:rFonts w:ascii="Times New Roman" w:hAnsi="Times New Roman" w:cs="Times New Roman"/>
          <w:sz w:val="24"/>
          <w:szCs w:val="24"/>
          <w:lang w:val="fr-FR"/>
        </w:rPr>
        <w:t>, Ronny Lauerwald</w:t>
      </w:r>
      <w:r w:rsidRPr="00F708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1-3</w:t>
      </w:r>
      <w:r w:rsidRPr="00F708D6">
        <w:rPr>
          <w:rFonts w:ascii="Times New Roman" w:hAnsi="Times New Roman" w:cs="Times New Roman"/>
          <w:sz w:val="24"/>
          <w:szCs w:val="24"/>
          <w:lang w:val="fr-FR"/>
        </w:rPr>
        <w:t>, Benjamin Pfeil</w:t>
      </w:r>
      <w:r w:rsidRPr="00F708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F708D6">
        <w:rPr>
          <w:rFonts w:ascii="Times New Roman" w:hAnsi="Times New Roman" w:cs="Times New Roman"/>
          <w:sz w:val="24"/>
          <w:szCs w:val="24"/>
          <w:lang w:val="fr-FR"/>
        </w:rPr>
        <w:t>, Pierre Regnier</w:t>
      </w:r>
      <w:r w:rsidRPr="00F708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</w:p>
    <w:p w:rsidR="00670D0E" w:rsidRPr="00670D0E" w:rsidRDefault="00670D0E" w:rsidP="00670D0E">
      <w:pPr>
        <w:pStyle w:val="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70D0E">
        <w:rPr>
          <w:lang w:val="fr-FR"/>
        </w:rPr>
        <w:t xml:space="preserve"> </w:t>
      </w:r>
      <w:proofErr w:type="spellStart"/>
      <w:r w:rsidRPr="00670D0E">
        <w:rPr>
          <w:rFonts w:ascii="Times New Roman" w:hAnsi="Times New Roman" w:cs="Times New Roman"/>
          <w:sz w:val="24"/>
          <w:szCs w:val="24"/>
          <w:lang w:val="fr-FR"/>
        </w:rPr>
        <w:t>Dept</w:t>
      </w:r>
      <w:proofErr w:type="spellEnd"/>
      <w:r w:rsidRPr="00670D0E">
        <w:rPr>
          <w:rFonts w:ascii="Times New Roman" w:hAnsi="Times New Roman" w:cs="Times New Roman"/>
          <w:sz w:val="24"/>
          <w:szCs w:val="24"/>
          <w:lang w:val="fr-FR"/>
        </w:rPr>
        <w:t xml:space="preserve">. of </w:t>
      </w:r>
      <w:proofErr w:type="spellStart"/>
      <w:r w:rsidRPr="00670D0E">
        <w:rPr>
          <w:rFonts w:ascii="Times New Roman" w:hAnsi="Times New Roman" w:cs="Times New Roman"/>
          <w:sz w:val="24"/>
          <w:szCs w:val="24"/>
          <w:lang w:val="fr-FR"/>
        </w:rPr>
        <w:t>Earth</w:t>
      </w:r>
      <w:proofErr w:type="spellEnd"/>
      <w:r w:rsidRPr="00670D0E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670D0E">
        <w:rPr>
          <w:rFonts w:ascii="Times New Roman" w:hAnsi="Times New Roman" w:cs="Times New Roman"/>
          <w:sz w:val="24"/>
          <w:szCs w:val="24"/>
          <w:lang w:val="fr-FR"/>
        </w:rPr>
        <w:t>Environmental</w:t>
      </w:r>
      <w:proofErr w:type="spellEnd"/>
      <w:r w:rsidRPr="00670D0E">
        <w:rPr>
          <w:rFonts w:ascii="Times New Roman" w:hAnsi="Times New Roman" w:cs="Times New Roman"/>
          <w:sz w:val="24"/>
          <w:szCs w:val="24"/>
          <w:lang w:val="fr-FR"/>
        </w:rPr>
        <w:t xml:space="preserve"> Sciences, CP 160/02, Université Libre de Bruxelles, Bruxelles, </w:t>
      </w:r>
      <w:proofErr w:type="spellStart"/>
      <w:r w:rsidRPr="00670D0E">
        <w:rPr>
          <w:rFonts w:ascii="Times New Roman" w:hAnsi="Times New Roman" w:cs="Times New Roman"/>
          <w:sz w:val="24"/>
          <w:szCs w:val="24"/>
          <w:lang w:val="fr-FR"/>
        </w:rPr>
        <w:t>Belgium</w:t>
      </w:r>
      <w:proofErr w:type="spellEnd"/>
    </w:p>
    <w:p w:rsidR="00670D0E" w:rsidRPr="00F708D6" w:rsidRDefault="00670D0E" w:rsidP="00670D0E">
      <w:pPr>
        <w:pStyle w:val="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D6">
        <w:rPr>
          <w:rFonts w:ascii="Times New Roman" w:hAnsi="Times New Roman" w:cs="Times New Roman"/>
          <w:sz w:val="24"/>
          <w:szCs w:val="24"/>
        </w:rPr>
        <w:t>Department of Earth Sciences – Geochemistry, Faculty of Geosciences, Utrecht University, Utrecht, Netherlands</w:t>
      </w:r>
    </w:p>
    <w:p w:rsidR="00670D0E" w:rsidRPr="00F708D6" w:rsidRDefault="00670D0E" w:rsidP="00670D0E">
      <w:pPr>
        <w:pStyle w:val="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08D6">
        <w:rPr>
          <w:rFonts w:ascii="Times New Roman" w:hAnsi="Times New Roman" w:cs="Times New Roman"/>
          <w:sz w:val="24"/>
          <w:szCs w:val="24"/>
          <w:lang w:val="fr-FR"/>
        </w:rPr>
        <w:t>Institut Pierre-Simon Laplace, CNRS – FR636, 78280 Guyancourt cedex, France</w:t>
      </w:r>
    </w:p>
    <w:p w:rsidR="009D44F8" w:rsidRPr="00670D0E" w:rsidRDefault="00670D0E" w:rsidP="00670D0E">
      <w:pPr>
        <w:pStyle w:val="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D6">
        <w:rPr>
          <w:rFonts w:ascii="Times New Roman" w:hAnsi="Times New Roman" w:cs="Times New Roman"/>
          <w:sz w:val="24"/>
          <w:szCs w:val="24"/>
        </w:rPr>
        <w:t>University of Bergen/</w:t>
      </w:r>
      <w:proofErr w:type="spellStart"/>
      <w:r w:rsidRPr="00F708D6">
        <w:rPr>
          <w:rFonts w:ascii="Times New Roman" w:hAnsi="Times New Roman" w:cs="Times New Roman"/>
          <w:sz w:val="24"/>
          <w:szCs w:val="24"/>
        </w:rPr>
        <w:t>Bjerknes</w:t>
      </w:r>
      <w:proofErr w:type="spellEnd"/>
      <w:r w:rsidRPr="00F708D6">
        <w:rPr>
          <w:rFonts w:ascii="Times New Roman" w:hAnsi="Times New Roman" w:cs="Times New Roman"/>
          <w:sz w:val="24"/>
          <w:szCs w:val="24"/>
        </w:rPr>
        <w:t xml:space="preserve"> Centre for Climate Research, Bergen, Norway</w:t>
      </w:r>
    </w:p>
    <w:p w:rsidR="009D44F8" w:rsidRPr="009D44F8" w:rsidRDefault="00670D0E" w:rsidP="009D44F8">
      <w:pPr>
        <w:pStyle w:val="NormalWeb"/>
        <w:jc w:val="center"/>
        <w:rPr>
          <w:lang w:val="en-US"/>
        </w:rPr>
      </w:pPr>
      <w:r w:rsidRPr="00670D0E">
        <w:rPr>
          <w:lang w:val="en-US"/>
        </w:rPr>
        <w:t xml:space="preserve">Global </w:t>
      </w:r>
      <w:r>
        <w:rPr>
          <w:lang w:val="en-US"/>
        </w:rPr>
        <w:t>B</w:t>
      </w:r>
      <w:r w:rsidRPr="00670D0E">
        <w:rPr>
          <w:lang w:val="en-US"/>
        </w:rPr>
        <w:t xml:space="preserve">iogeochemical </w:t>
      </w:r>
      <w:r>
        <w:rPr>
          <w:lang w:val="en-US"/>
        </w:rPr>
        <w:t>C</w:t>
      </w:r>
      <w:r w:rsidRPr="00670D0E">
        <w:rPr>
          <w:lang w:val="en-US"/>
        </w:rPr>
        <w:t>ycles</w:t>
      </w:r>
      <w:r w:rsidR="009D44F8" w:rsidRPr="009D44F8">
        <w:rPr>
          <w:lang w:val="en-US"/>
        </w:rPr>
        <w:t>, 20</w:t>
      </w:r>
      <w:r>
        <w:rPr>
          <w:lang w:val="en-US"/>
        </w:rPr>
        <w:t>14</w:t>
      </w:r>
    </w:p>
    <w:p w:rsidR="009D44F8" w:rsidRP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Introduction</w:t>
      </w:r>
    </w:p>
    <w:p w:rsidR="00F579D1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 xml:space="preserve">This </w:t>
      </w:r>
      <w:r w:rsidR="00F579D1">
        <w:rPr>
          <w:lang w:val="en-US"/>
        </w:rPr>
        <w:t>table provides, for each COSCAT unit, the surface integrated CO</w:t>
      </w:r>
      <w:r w:rsidR="00F579D1" w:rsidRPr="00F579D1">
        <w:rPr>
          <w:vertAlign w:val="subscript"/>
          <w:lang w:val="en-US"/>
        </w:rPr>
        <w:t>2</w:t>
      </w:r>
      <w:r w:rsidR="00F579D1">
        <w:rPr>
          <w:lang w:val="en-US"/>
        </w:rPr>
        <w:t xml:space="preserve"> fluxes and exchange rates at the air-water interface using 3 different parameterizations of the gas transfer coefficient: Takahashi et al., 2009 [TK09], </w:t>
      </w:r>
      <w:proofErr w:type="spellStart"/>
      <w:r w:rsidR="00F579D1">
        <w:rPr>
          <w:lang w:val="en-US"/>
        </w:rPr>
        <w:t>Wanninhof</w:t>
      </w:r>
      <w:proofErr w:type="spellEnd"/>
      <w:r w:rsidR="00F579D1">
        <w:rPr>
          <w:lang w:val="en-US"/>
        </w:rPr>
        <w:t>, 1992 [WK92] and Hot et al., 2006 [Ho06]. The table also provides other information such as the integration methods used, the surface area of the COSCAT and its averaged ice cover.</w:t>
      </w:r>
    </w:p>
    <w:p w:rsidR="009D44F8" w:rsidRPr="009D44F8" w:rsidRDefault="00F579D1" w:rsidP="009D44F8">
      <w:pPr>
        <w:pStyle w:val="NormalWeb"/>
        <w:rPr>
          <w:lang w:val="en-US"/>
        </w:rPr>
      </w:pPr>
      <w:r w:rsidRPr="009D44F8">
        <w:rPr>
          <w:lang w:val="en-US"/>
        </w:rPr>
        <w:t xml:space="preserve"> </w:t>
      </w:r>
      <w:r w:rsidR="009D44F8" w:rsidRPr="009D44F8">
        <w:rPr>
          <w:lang w:val="en-US"/>
        </w:rPr>
        <w:t xml:space="preserve">1. </w:t>
      </w:r>
      <w:proofErr w:type="gramStart"/>
      <w:r w:rsidR="009D44F8" w:rsidRPr="009D44F8">
        <w:rPr>
          <w:lang w:val="en-US"/>
        </w:rPr>
        <w:t>ts01.</w:t>
      </w:r>
      <w:r w:rsidR="00024682">
        <w:rPr>
          <w:lang w:val="en-US"/>
        </w:rPr>
        <w:t>docx</w:t>
      </w:r>
      <w:proofErr w:type="gramEnd"/>
      <w:r w:rsidR="00024682">
        <w:rPr>
          <w:lang w:val="en-US"/>
        </w:rPr>
        <w:t>:</w:t>
      </w:r>
      <w:r w:rsidR="009D44F8" w:rsidRPr="009D44F8">
        <w:rPr>
          <w:lang w:val="en-US"/>
        </w:rPr>
        <w:t xml:space="preserve"> </w:t>
      </w:r>
      <w:r w:rsidR="00981470">
        <w:rPr>
          <w:lang w:val="en-US"/>
        </w:rPr>
        <w:t>FCO</w:t>
      </w:r>
      <w:r w:rsidR="00981470" w:rsidRPr="00024682">
        <w:rPr>
          <w:vertAlign w:val="subscript"/>
          <w:lang w:val="en-US"/>
        </w:rPr>
        <w:t>2</w:t>
      </w:r>
      <w:r w:rsidR="00981470">
        <w:rPr>
          <w:lang w:val="en-US"/>
        </w:rPr>
        <w:t xml:space="preserve"> and associated exchange rate calculated for each COSCAT</w:t>
      </w:r>
      <w:r w:rsidR="009D44F8" w:rsidRPr="009D44F8">
        <w:rPr>
          <w:lang w:val="en-US"/>
        </w:rPr>
        <w:t>.</w:t>
      </w:r>
    </w:p>
    <w:p w:rsidR="009D44F8" w:rsidRP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1.1 Column “</w:t>
      </w:r>
      <w:r w:rsidR="004E4455">
        <w:rPr>
          <w:lang w:val="en-US"/>
        </w:rPr>
        <w:t>COSCAT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number of the COSCAT unit</w:t>
      </w:r>
      <w:r w:rsidRPr="009D44F8">
        <w:rPr>
          <w:lang w:val="en-US"/>
        </w:rPr>
        <w:t>.</w:t>
      </w:r>
    </w:p>
    <w:p w:rsidR="009D44F8" w:rsidRP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1.2 Column “</w:t>
      </w:r>
      <w:r w:rsidR="004E4455">
        <w:rPr>
          <w:lang w:val="en-US"/>
        </w:rPr>
        <w:t>MARCATS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number of the MARCATS to which the COSCAT belongs</w:t>
      </w:r>
      <w:r w:rsidRPr="009D44F8">
        <w:rPr>
          <w:lang w:val="en-US"/>
        </w:rPr>
        <w:t>.</w:t>
      </w:r>
    </w:p>
    <w:p w:rsidR="009D44F8" w:rsidRP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1.3 Column “</w:t>
      </w:r>
      <w:r w:rsidR="004E4455">
        <w:rPr>
          <w:lang w:val="en-US"/>
        </w:rPr>
        <w:t>Method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spatial integration method used to calculate the CO</w:t>
      </w:r>
      <w:r w:rsidR="004E4455" w:rsidRPr="004E4455">
        <w:rPr>
          <w:vertAlign w:val="subscript"/>
          <w:lang w:val="en-US"/>
        </w:rPr>
        <w:t>2</w:t>
      </w:r>
      <w:r w:rsidR="004E4455">
        <w:rPr>
          <w:lang w:val="en-US"/>
        </w:rPr>
        <w:t xml:space="preserve"> emission rate</w:t>
      </w:r>
      <w:r w:rsidRPr="009D44F8">
        <w:rPr>
          <w:lang w:val="en-US"/>
        </w:rPr>
        <w:t>.</w:t>
      </w:r>
    </w:p>
    <w:p w:rsidR="009D44F8" w:rsidRP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1.4 Column “</w:t>
      </w:r>
      <w:r w:rsidR="004E4455">
        <w:rPr>
          <w:lang w:val="en-US"/>
        </w:rPr>
        <w:t>Season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temporal integration method used to calculate the CO</w:t>
      </w:r>
      <w:r w:rsidR="004E4455" w:rsidRPr="004E4455">
        <w:rPr>
          <w:vertAlign w:val="subscript"/>
          <w:lang w:val="en-US"/>
        </w:rPr>
        <w:t>2</w:t>
      </w:r>
      <w:r w:rsidR="004E4455">
        <w:rPr>
          <w:lang w:val="en-US"/>
        </w:rPr>
        <w:t xml:space="preserve"> emission rate (‘m’ for monthly</w:t>
      </w:r>
      <w:proofErr w:type="gramStart"/>
      <w:r w:rsidR="004E4455">
        <w:rPr>
          <w:lang w:val="en-US"/>
        </w:rPr>
        <w:t>, ‘s’</w:t>
      </w:r>
      <w:proofErr w:type="gramEnd"/>
      <w:r w:rsidR="004E4455">
        <w:rPr>
          <w:lang w:val="en-US"/>
        </w:rPr>
        <w:t xml:space="preserve"> for seasonally and ‘y’ for yearly)</w:t>
      </w:r>
      <w:r w:rsidRPr="009D44F8">
        <w:rPr>
          <w:lang w:val="en-US"/>
        </w:rPr>
        <w:t>.</w:t>
      </w:r>
    </w:p>
    <w:p w:rsid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1.5 Column “</w:t>
      </w:r>
      <w:r w:rsidR="004E4455">
        <w:rPr>
          <w:lang w:val="en-US"/>
        </w:rPr>
        <w:t>Confidence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confidence rating of the estimate (as defined in section 2.5, *** for good, ** for fair and * for poor)</w:t>
      </w:r>
      <w:r w:rsidRPr="009D44F8">
        <w:rPr>
          <w:lang w:val="en-US"/>
        </w:rPr>
        <w:t>.</w:t>
      </w:r>
    </w:p>
    <w:p w:rsidR="004E4455" w:rsidRPr="009D44F8" w:rsidRDefault="004E4455" w:rsidP="009D44F8">
      <w:pPr>
        <w:pStyle w:val="NormalWeb"/>
        <w:rPr>
          <w:lang w:val="en-US"/>
        </w:rPr>
      </w:pPr>
    </w:p>
    <w:p w:rsidR="009D44F8" w:rsidRDefault="009D44F8" w:rsidP="009D44F8">
      <w:pPr>
        <w:pStyle w:val="NormalWeb"/>
        <w:rPr>
          <w:lang w:val="en-US"/>
        </w:rPr>
      </w:pPr>
      <w:r w:rsidRPr="009D44F8">
        <w:rPr>
          <w:lang w:val="en-US"/>
        </w:rPr>
        <w:t>1.6 Column “</w:t>
      </w:r>
      <w:r w:rsidR="004E4455">
        <w:rPr>
          <w:lang w:val="en-US"/>
        </w:rPr>
        <w:t>Surface</w:t>
      </w:r>
      <w:r w:rsidRPr="009D44F8">
        <w:rPr>
          <w:lang w:val="en-US"/>
        </w:rPr>
        <w:t xml:space="preserve">”, </w:t>
      </w:r>
      <w:r w:rsidR="004E4455">
        <w:rPr>
          <w:lang w:val="en-US"/>
        </w:rPr>
        <w:t>total continental shelf surface area of the COSCAT in 10</w:t>
      </w:r>
      <w:r w:rsidR="004E4455" w:rsidRPr="004E4455">
        <w:rPr>
          <w:vertAlign w:val="superscript"/>
          <w:lang w:val="en-US"/>
        </w:rPr>
        <w:t>6</w:t>
      </w:r>
      <w:r w:rsidR="004E4455">
        <w:rPr>
          <w:lang w:val="en-US"/>
        </w:rPr>
        <w:t>·km</w:t>
      </w:r>
      <w:r w:rsidR="004E4455" w:rsidRPr="004E4455">
        <w:rPr>
          <w:vertAlign w:val="superscript"/>
          <w:lang w:val="en-US"/>
        </w:rPr>
        <w:t>2</w:t>
      </w:r>
      <w:r w:rsidR="004E4455">
        <w:rPr>
          <w:lang w:val="en-US"/>
        </w:rPr>
        <w:t>, ignoring ice cover</w:t>
      </w:r>
      <w:r w:rsidRPr="009D44F8">
        <w:rPr>
          <w:lang w:val="en-US"/>
        </w:rPr>
        <w:t>.</w:t>
      </w:r>
    </w:p>
    <w:p w:rsidR="004E4455" w:rsidRDefault="004E4455" w:rsidP="004E4455">
      <w:pPr>
        <w:pStyle w:val="NormalWeb"/>
        <w:rPr>
          <w:lang w:val="en-US"/>
        </w:rPr>
      </w:pPr>
      <w:r w:rsidRPr="009D44F8">
        <w:rPr>
          <w:lang w:val="en-US"/>
        </w:rPr>
        <w:lastRenderedPageBreak/>
        <w:t>1.</w:t>
      </w:r>
      <w:r>
        <w:rPr>
          <w:lang w:val="en-US"/>
        </w:rPr>
        <w:t>7</w:t>
      </w:r>
      <w:r w:rsidRPr="009D44F8">
        <w:rPr>
          <w:lang w:val="en-US"/>
        </w:rPr>
        <w:t xml:space="preserve"> Column “</w:t>
      </w:r>
      <w:r>
        <w:rPr>
          <w:lang w:val="en-US"/>
        </w:rPr>
        <w:t>Ice Cover</w:t>
      </w:r>
      <w:r w:rsidRPr="009D44F8">
        <w:rPr>
          <w:lang w:val="en-US"/>
        </w:rPr>
        <w:t xml:space="preserve">”, </w:t>
      </w:r>
      <w:r>
        <w:rPr>
          <w:lang w:val="en-US"/>
        </w:rPr>
        <w:t>yearly averaged ice cover of the COSCAT in percent</w:t>
      </w:r>
      <w:r w:rsidRPr="009D44F8">
        <w:rPr>
          <w:lang w:val="en-US"/>
        </w:rPr>
        <w:t>.</w:t>
      </w:r>
    </w:p>
    <w:p w:rsidR="004E4455" w:rsidRDefault="004E4455" w:rsidP="004E445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>
        <w:rPr>
          <w:lang w:val="en-US"/>
        </w:rPr>
        <w:t>8</w:t>
      </w:r>
      <w:r w:rsidRPr="009D44F8">
        <w:rPr>
          <w:lang w:val="en-US"/>
        </w:rPr>
        <w:t xml:space="preserve"> Column “</w:t>
      </w:r>
      <w:r>
        <w:rPr>
          <w:lang w:val="en-US"/>
        </w:rPr>
        <w:t>TK09</w:t>
      </w:r>
      <w:r w:rsidRPr="009D44F8">
        <w:rPr>
          <w:lang w:val="en-US"/>
        </w:rPr>
        <w:t xml:space="preserve">”, </w:t>
      </w:r>
      <w:r>
        <w:rPr>
          <w:lang w:val="en-US"/>
        </w:rPr>
        <w:t>spatially integrated 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flux at the air water interface</w:t>
      </w:r>
      <w:r w:rsidR="00865B85">
        <w:rPr>
          <w:lang w:val="en-US"/>
        </w:rPr>
        <w:t xml:space="preserve"> (in 10</w:t>
      </w:r>
      <w:r w:rsidR="00865B85" w:rsidRPr="00865B85">
        <w:rPr>
          <w:vertAlign w:val="superscript"/>
          <w:lang w:val="en-US"/>
        </w:rPr>
        <w:t>9</w:t>
      </w:r>
      <w:r w:rsidR="00865B85">
        <w:rPr>
          <w:lang w:val="en-US"/>
        </w:rPr>
        <w:t xml:space="preserve"> g C yr</w:t>
      </w:r>
      <w:r w:rsidR="00865B85" w:rsidRPr="00865B85">
        <w:rPr>
          <w:vertAlign w:val="superscript"/>
          <w:lang w:val="en-US"/>
        </w:rPr>
        <w:t>-1</w:t>
      </w:r>
      <w:r w:rsidR="00865B85">
        <w:rPr>
          <w:lang w:val="en-US"/>
        </w:rPr>
        <w:t>) calculated using the parameterization of Takahashi et al</w:t>
      </w:r>
      <w:r w:rsidRPr="009D44F8">
        <w:rPr>
          <w:lang w:val="en-US"/>
        </w:rPr>
        <w:t>.</w:t>
      </w:r>
      <w:r w:rsidR="00865B85">
        <w:rPr>
          <w:lang w:val="en-US"/>
        </w:rPr>
        <w:t>, 2009.</w:t>
      </w:r>
    </w:p>
    <w:p w:rsidR="00865B85" w:rsidRDefault="00865B85" w:rsidP="00865B8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>
        <w:rPr>
          <w:lang w:val="en-US"/>
        </w:rPr>
        <w:t>9</w:t>
      </w:r>
      <w:r w:rsidRPr="009D44F8">
        <w:rPr>
          <w:lang w:val="en-US"/>
        </w:rPr>
        <w:t xml:space="preserve"> Column “</w:t>
      </w:r>
      <w:r>
        <w:rPr>
          <w:lang w:val="en-US"/>
        </w:rPr>
        <w:t>Rate</w:t>
      </w:r>
      <w:r w:rsidRPr="009D44F8">
        <w:rPr>
          <w:lang w:val="en-US"/>
        </w:rPr>
        <w:t xml:space="preserve">”, </w:t>
      </w:r>
      <w:r>
        <w:rPr>
          <w:lang w:val="en-US"/>
        </w:rPr>
        <w:t>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exchange rate per surface area (in mol C m</w:t>
      </w:r>
      <w:r w:rsidRPr="00865B85">
        <w:rPr>
          <w:vertAlign w:val="superscript"/>
          <w:lang w:val="en-US"/>
        </w:rPr>
        <w:t>-2</w:t>
      </w:r>
      <w:r>
        <w:rPr>
          <w:lang w:val="en-US"/>
        </w:rPr>
        <w:t xml:space="preserve"> yr</w:t>
      </w:r>
      <w:r w:rsidRPr="00865B85">
        <w:rPr>
          <w:vertAlign w:val="superscript"/>
          <w:lang w:val="en-US"/>
        </w:rPr>
        <w:t>-1</w:t>
      </w:r>
      <w:r>
        <w:rPr>
          <w:lang w:val="en-US"/>
        </w:rPr>
        <w:t>) calculated using the parameterization of Takahashi et al</w:t>
      </w:r>
      <w:r w:rsidRPr="009D44F8">
        <w:rPr>
          <w:lang w:val="en-US"/>
        </w:rPr>
        <w:t>.</w:t>
      </w:r>
      <w:r>
        <w:rPr>
          <w:lang w:val="en-US"/>
        </w:rPr>
        <w:t>, 2009.</w:t>
      </w:r>
    </w:p>
    <w:p w:rsidR="00865B85" w:rsidRDefault="00865B85" w:rsidP="00865B8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>
        <w:rPr>
          <w:lang w:val="en-US"/>
        </w:rPr>
        <w:t>10</w:t>
      </w:r>
      <w:r w:rsidRPr="009D44F8">
        <w:rPr>
          <w:lang w:val="en-US"/>
        </w:rPr>
        <w:t xml:space="preserve"> Column “</w:t>
      </w:r>
      <w:r>
        <w:rPr>
          <w:lang w:val="en-US"/>
        </w:rPr>
        <w:t>WK92</w:t>
      </w:r>
      <w:r w:rsidRPr="009D44F8">
        <w:rPr>
          <w:lang w:val="en-US"/>
        </w:rPr>
        <w:t xml:space="preserve">”, </w:t>
      </w:r>
      <w:r>
        <w:rPr>
          <w:lang w:val="en-US"/>
        </w:rPr>
        <w:t>spatially integrated 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flux at the air water interface (in 10</w:t>
      </w:r>
      <w:r w:rsidRPr="00865B85">
        <w:rPr>
          <w:vertAlign w:val="superscript"/>
          <w:lang w:val="en-US"/>
        </w:rPr>
        <w:t>9</w:t>
      </w:r>
      <w:r>
        <w:rPr>
          <w:lang w:val="en-US"/>
        </w:rPr>
        <w:t xml:space="preserve"> g C yr</w:t>
      </w:r>
      <w:r w:rsidRPr="00865B85">
        <w:rPr>
          <w:vertAlign w:val="superscript"/>
          <w:lang w:val="en-US"/>
        </w:rPr>
        <w:t>-1</w:t>
      </w:r>
      <w:r>
        <w:rPr>
          <w:lang w:val="en-US"/>
        </w:rPr>
        <w:t xml:space="preserve">) calculated using the parameterization of </w:t>
      </w:r>
      <w:proofErr w:type="spellStart"/>
      <w:r>
        <w:rPr>
          <w:lang w:val="en-US"/>
        </w:rPr>
        <w:t>Wanninkhof</w:t>
      </w:r>
      <w:proofErr w:type="spellEnd"/>
      <w:r>
        <w:rPr>
          <w:lang w:val="en-US"/>
        </w:rPr>
        <w:t>, 1992.</w:t>
      </w:r>
    </w:p>
    <w:p w:rsidR="00865B85" w:rsidRDefault="00865B85" w:rsidP="00865B8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 w:rsidR="00331FAE">
        <w:rPr>
          <w:lang w:val="en-US"/>
        </w:rPr>
        <w:t xml:space="preserve">11 </w:t>
      </w:r>
      <w:r w:rsidRPr="009D44F8">
        <w:rPr>
          <w:lang w:val="en-US"/>
        </w:rPr>
        <w:t>Column “</w:t>
      </w:r>
      <w:r>
        <w:rPr>
          <w:lang w:val="en-US"/>
        </w:rPr>
        <w:t>Rate</w:t>
      </w:r>
      <w:r w:rsidRPr="009D44F8">
        <w:rPr>
          <w:lang w:val="en-US"/>
        </w:rPr>
        <w:t xml:space="preserve">”, </w:t>
      </w:r>
      <w:r>
        <w:rPr>
          <w:lang w:val="en-US"/>
        </w:rPr>
        <w:t>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exchange rate per surface area (in mol C m</w:t>
      </w:r>
      <w:r w:rsidRPr="00865B85">
        <w:rPr>
          <w:vertAlign w:val="superscript"/>
          <w:lang w:val="en-US"/>
        </w:rPr>
        <w:t>-2</w:t>
      </w:r>
      <w:r>
        <w:rPr>
          <w:lang w:val="en-US"/>
        </w:rPr>
        <w:t xml:space="preserve"> yr</w:t>
      </w:r>
      <w:r w:rsidRPr="00865B85">
        <w:rPr>
          <w:vertAlign w:val="superscript"/>
          <w:lang w:val="en-US"/>
        </w:rPr>
        <w:t>-1</w:t>
      </w:r>
      <w:r>
        <w:rPr>
          <w:lang w:val="en-US"/>
        </w:rPr>
        <w:t xml:space="preserve">) calculated using the parameterization of </w:t>
      </w:r>
      <w:proofErr w:type="spellStart"/>
      <w:r>
        <w:rPr>
          <w:lang w:val="en-US"/>
        </w:rPr>
        <w:t>Wanninkhof</w:t>
      </w:r>
      <w:proofErr w:type="spellEnd"/>
      <w:r>
        <w:rPr>
          <w:lang w:val="en-US"/>
        </w:rPr>
        <w:t>, 1992.</w:t>
      </w:r>
    </w:p>
    <w:p w:rsidR="00865B85" w:rsidRDefault="00865B85" w:rsidP="00865B8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 w:rsidR="00331FAE">
        <w:rPr>
          <w:lang w:val="en-US"/>
        </w:rPr>
        <w:t>12</w:t>
      </w:r>
      <w:r w:rsidRPr="009D44F8">
        <w:rPr>
          <w:lang w:val="en-US"/>
        </w:rPr>
        <w:t xml:space="preserve"> Column “</w:t>
      </w:r>
      <w:r>
        <w:rPr>
          <w:lang w:val="en-US"/>
        </w:rPr>
        <w:t>HO06</w:t>
      </w:r>
      <w:r w:rsidRPr="009D44F8">
        <w:rPr>
          <w:lang w:val="en-US"/>
        </w:rPr>
        <w:t xml:space="preserve">”, </w:t>
      </w:r>
      <w:r>
        <w:rPr>
          <w:lang w:val="en-US"/>
        </w:rPr>
        <w:t>spatially integrated 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flux at the air water interface (in 10</w:t>
      </w:r>
      <w:r w:rsidRPr="00865B85">
        <w:rPr>
          <w:vertAlign w:val="superscript"/>
          <w:lang w:val="en-US"/>
        </w:rPr>
        <w:t>9</w:t>
      </w:r>
      <w:r>
        <w:rPr>
          <w:lang w:val="en-US"/>
        </w:rPr>
        <w:t xml:space="preserve"> g C yr</w:t>
      </w:r>
      <w:r w:rsidRPr="00865B85">
        <w:rPr>
          <w:vertAlign w:val="superscript"/>
          <w:lang w:val="en-US"/>
        </w:rPr>
        <w:t>-1</w:t>
      </w:r>
      <w:r>
        <w:rPr>
          <w:lang w:val="en-US"/>
        </w:rPr>
        <w:t>) calculated using the parameterization of Ho et al</w:t>
      </w:r>
      <w:r w:rsidRPr="009D44F8">
        <w:rPr>
          <w:lang w:val="en-US"/>
        </w:rPr>
        <w:t>.</w:t>
      </w:r>
      <w:r>
        <w:rPr>
          <w:lang w:val="en-US"/>
        </w:rPr>
        <w:t>, 2006.</w:t>
      </w:r>
    </w:p>
    <w:p w:rsidR="00865B85" w:rsidRDefault="00865B85" w:rsidP="00865B85">
      <w:pPr>
        <w:pStyle w:val="NormalWeb"/>
        <w:rPr>
          <w:lang w:val="en-US"/>
        </w:rPr>
      </w:pPr>
      <w:r w:rsidRPr="009D44F8">
        <w:rPr>
          <w:lang w:val="en-US"/>
        </w:rPr>
        <w:t>1.</w:t>
      </w:r>
      <w:r w:rsidR="00331FAE">
        <w:rPr>
          <w:lang w:val="en-US"/>
        </w:rPr>
        <w:t>13</w:t>
      </w:r>
      <w:r w:rsidRPr="009D44F8">
        <w:rPr>
          <w:lang w:val="en-US"/>
        </w:rPr>
        <w:t xml:space="preserve"> Column “</w:t>
      </w:r>
      <w:r>
        <w:rPr>
          <w:lang w:val="en-US"/>
        </w:rPr>
        <w:t>Rate</w:t>
      </w:r>
      <w:r w:rsidRPr="009D44F8">
        <w:rPr>
          <w:lang w:val="en-US"/>
        </w:rPr>
        <w:t xml:space="preserve">”, </w:t>
      </w:r>
      <w:r>
        <w:rPr>
          <w:lang w:val="en-US"/>
        </w:rPr>
        <w:t>CO</w:t>
      </w:r>
      <w:r w:rsidRPr="004E4455">
        <w:rPr>
          <w:vertAlign w:val="subscript"/>
          <w:lang w:val="en-US"/>
        </w:rPr>
        <w:t>2</w:t>
      </w:r>
      <w:r>
        <w:rPr>
          <w:lang w:val="en-US"/>
        </w:rPr>
        <w:t xml:space="preserve"> exchange rate per surface area (in mol C m</w:t>
      </w:r>
      <w:r w:rsidRPr="00865B85">
        <w:rPr>
          <w:vertAlign w:val="superscript"/>
          <w:lang w:val="en-US"/>
        </w:rPr>
        <w:t>-2</w:t>
      </w:r>
      <w:r>
        <w:rPr>
          <w:lang w:val="en-US"/>
        </w:rPr>
        <w:t xml:space="preserve"> yr</w:t>
      </w:r>
      <w:r w:rsidRPr="00865B85">
        <w:rPr>
          <w:vertAlign w:val="superscript"/>
          <w:lang w:val="en-US"/>
        </w:rPr>
        <w:t>-1</w:t>
      </w:r>
      <w:r>
        <w:rPr>
          <w:lang w:val="en-US"/>
        </w:rPr>
        <w:t>) calculated using the parameterization of Ho et al</w:t>
      </w:r>
      <w:r w:rsidRPr="009D44F8">
        <w:rPr>
          <w:lang w:val="en-US"/>
        </w:rPr>
        <w:t>.</w:t>
      </w:r>
      <w:r>
        <w:rPr>
          <w:lang w:val="en-US"/>
        </w:rPr>
        <w:t>, 2006.</w:t>
      </w:r>
    </w:p>
    <w:p w:rsidR="004E4455" w:rsidRPr="009D44F8" w:rsidRDefault="004E4455" w:rsidP="009D44F8">
      <w:pPr>
        <w:pStyle w:val="NormalWeb"/>
        <w:rPr>
          <w:lang w:val="en-US"/>
        </w:rPr>
      </w:pPr>
    </w:p>
    <w:p w:rsidR="000456E8" w:rsidRPr="009D44F8" w:rsidRDefault="00331FAE">
      <w:pPr>
        <w:rPr>
          <w:lang w:val="en-US"/>
        </w:rPr>
      </w:pPr>
    </w:p>
    <w:sectPr w:rsidR="000456E8" w:rsidRPr="009D44F8" w:rsidSect="0083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775B"/>
    <w:multiLevelType w:val="hybridMultilevel"/>
    <w:tmpl w:val="C7A24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4F8"/>
    <w:rsid w:val="00024682"/>
    <w:rsid w:val="00286C27"/>
    <w:rsid w:val="00331FAE"/>
    <w:rsid w:val="004A0AB5"/>
    <w:rsid w:val="004E4455"/>
    <w:rsid w:val="00670D0E"/>
    <w:rsid w:val="008366EB"/>
    <w:rsid w:val="00865B85"/>
    <w:rsid w:val="00936A92"/>
    <w:rsid w:val="00981470"/>
    <w:rsid w:val="009D44F8"/>
    <w:rsid w:val="00B82D93"/>
    <w:rsid w:val="00F579D1"/>
    <w:rsid w:val="00F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">
    <w:name w:val="!作者"/>
    <w:basedOn w:val="Normal"/>
    <w:rsid w:val="00670D0E"/>
    <w:pPr>
      <w:widowControl w:val="0"/>
      <w:spacing w:after="0" w:line="240" w:lineRule="auto"/>
      <w:jc w:val="center"/>
    </w:pPr>
    <w:rPr>
      <w:rFonts w:ascii="Tahoma" w:eastAsia="SimSun" w:hAnsi="Tahoma" w:cs="SimSun"/>
      <w:kern w:val="2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70D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D0E"/>
    <w:rPr>
      <w:rFonts w:eastAsiaTheme="minorEastAsia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Goulven</dc:creator>
  <cp:lastModifiedBy>Goulven</cp:lastModifiedBy>
  <cp:revision>2</cp:revision>
  <dcterms:created xsi:type="dcterms:W3CDTF">2014-08-04T16:56:00Z</dcterms:created>
  <dcterms:modified xsi:type="dcterms:W3CDTF">2014-08-04T16:56:00Z</dcterms:modified>
</cp:coreProperties>
</file>