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3" w:rsidRDefault="007C6B53" w:rsidP="0055517F">
      <w:pPr>
        <w:spacing w:line="312" w:lineRule="auto"/>
        <w:ind w:firstLine="0"/>
        <w:jc w:val="center"/>
        <w:rPr>
          <w:sz w:val="32"/>
          <w:szCs w:val="32"/>
          <w:lang w:val="en-US"/>
        </w:rPr>
      </w:pPr>
      <w:r w:rsidRPr="00D03361">
        <w:rPr>
          <w:sz w:val="32"/>
          <w:szCs w:val="32"/>
          <w:lang w:val="en-US"/>
        </w:rPr>
        <w:t>Supplementary materials for “</w:t>
      </w:r>
      <w:r w:rsidR="00415592" w:rsidRPr="00D03361">
        <w:rPr>
          <w:sz w:val="32"/>
          <w:szCs w:val="32"/>
          <w:lang w:val="en-US"/>
        </w:rPr>
        <w:t>Significant mixed layer nitrification in a natural iron-fertilized bloom of the Southern Ocean</w:t>
      </w:r>
      <w:r w:rsidRPr="00D03361">
        <w:rPr>
          <w:sz w:val="32"/>
          <w:szCs w:val="32"/>
          <w:lang w:val="en-US"/>
        </w:rPr>
        <w:t>”</w:t>
      </w:r>
    </w:p>
    <w:p w:rsidR="00D03361" w:rsidRDefault="00D03361" w:rsidP="0055517F">
      <w:pPr>
        <w:spacing w:line="312" w:lineRule="auto"/>
        <w:rPr>
          <w:sz w:val="32"/>
          <w:szCs w:val="32"/>
          <w:lang w:val="en-US"/>
        </w:rPr>
      </w:pPr>
    </w:p>
    <w:p w:rsidR="00C94FCB" w:rsidRDefault="00C94FCB" w:rsidP="0055517F">
      <w:pPr>
        <w:spacing w:line="312" w:lineRule="auto"/>
        <w:ind w:firstLine="0"/>
        <w:rPr>
          <w:vertAlign w:val="superscript"/>
          <w:lang w:val="en-US"/>
        </w:rPr>
      </w:pPr>
      <w:r>
        <w:rPr>
          <w:lang w:val="en-US"/>
        </w:rPr>
        <w:t>Authors: F. Fripiat</w:t>
      </w:r>
      <w:r>
        <w:rPr>
          <w:vertAlign w:val="superscript"/>
          <w:lang w:val="en-US"/>
        </w:rPr>
        <w:t>1</w:t>
      </w:r>
      <w:r>
        <w:rPr>
          <w:lang w:val="en-US"/>
        </w:rPr>
        <w:t>, M. Elskens</w:t>
      </w:r>
      <w:r>
        <w:rPr>
          <w:vertAlign w:val="superscript"/>
          <w:lang w:val="en-US"/>
        </w:rPr>
        <w:t>1</w:t>
      </w:r>
      <w:r>
        <w:rPr>
          <w:lang w:val="en-US"/>
        </w:rPr>
        <w:t>, T.W. Trull</w:t>
      </w:r>
      <w:r>
        <w:rPr>
          <w:vertAlign w:val="superscript"/>
          <w:lang w:val="en-US"/>
        </w:rPr>
        <w:t>2</w:t>
      </w:r>
      <w:r>
        <w:rPr>
          <w:lang w:val="en-US"/>
        </w:rPr>
        <w:t>, S. Blain</w:t>
      </w:r>
      <w:r>
        <w:rPr>
          <w:vertAlign w:val="superscript"/>
          <w:lang w:val="en-US"/>
        </w:rPr>
        <w:t>3</w:t>
      </w:r>
      <w:r>
        <w:rPr>
          <w:lang w:val="en-US"/>
        </w:rPr>
        <w:t>, A.-J. Cavagna</w:t>
      </w:r>
      <w:r>
        <w:rPr>
          <w:vertAlign w:val="superscript"/>
          <w:lang w:val="en-US"/>
        </w:rPr>
        <w:t>1</w:t>
      </w:r>
      <w:r>
        <w:rPr>
          <w:lang w:val="en-US"/>
        </w:rPr>
        <w:t>, C. Fernandez</w:t>
      </w:r>
      <w:r>
        <w:rPr>
          <w:vertAlign w:val="superscript"/>
          <w:lang w:val="en-US"/>
        </w:rPr>
        <w:t>3</w:t>
      </w:r>
      <w:r>
        <w:rPr>
          <w:lang w:val="en-US"/>
        </w:rPr>
        <w:t>, D. Fonseca-Batista</w:t>
      </w:r>
      <w:r>
        <w:rPr>
          <w:vertAlign w:val="superscript"/>
          <w:lang w:val="en-US"/>
        </w:rPr>
        <w:t>1</w:t>
      </w:r>
      <w:r>
        <w:rPr>
          <w:vertAlign w:val="subscript"/>
          <w:lang w:val="en-US"/>
        </w:rPr>
        <w:t xml:space="preserve">, </w:t>
      </w:r>
      <w:r>
        <w:rPr>
          <w:lang w:val="en-US"/>
        </w:rPr>
        <w:t>F. Planchon</w:t>
      </w:r>
      <w:r>
        <w:rPr>
          <w:vertAlign w:val="superscript"/>
          <w:lang w:val="en-US"/>
        </w:rPr>
        <w:t>4</w:t>
      </w:r>
      <w:r>
        <w:rPr>
          <w:lang w:val="en-US"/>
        </w:rPr>
        <w:t>, P. Raimbault</w:t>
      </w:r>
      <w:r>
        <w:rPr>
          <w:vertAlign w:val="superscript"/>
          <w:lang w:val="en-US"/>
        </w:rPr>
        <w:t>5</w:t>
      </w:r>
      <w:r>
        <w:rPr>
          <w:lang w:val="en-US"/>
        </w:rPr>
        <w:t>, A. Roukaert</w:t>
      </w:r>
      <w:r w:rsidR="00FC3E68">
        <w:rPr>
          <w:lang w:val="en-US"/>
        </w:rPr>
        <w:t>s</w:t>
      </w:r>
      <w:r>
        <w:rPr>
          <w:vertAlign w:val="superscript"/>
          <w:lang w:val="en-US"/>
        </w:rPr>
        <w:t>1</w:t>
      </w:r>
      <w:r>
        <w:rPr>
          <w:lang w:val="en-US"/>
        </w:rPr>
        <w:t>, and F. Dehairs</w:t>
      </w:r>
      <w:r>
        <w:rPr>
          <w:vertAlign w:val="superscript"/>
          <w:lang w:val="en-US"/>
        </w:rPr>
        <w:t>1</w:t>
      </w:r>
    </w:p>
    <w:p w:rsidR="00C94FCB" w:rsidRDefault="00C94FCB" w:rsidP="0055517F">
      <w:pPr>
        <w:spacing w:line="312" w:lineRule="auto"/>
        <w:rPr>
          <w:vertAlign w:val="superscript"/>
          <w:lang w:val="en-US"/>
        </w:rPr>
      </w:pPr>
    </w:p>
    <w:p w:rsidR="00C94FCB" w:rsidRPr="00F63EAE" w:rsidRDefault="00C94FCB" w:rsidP="0055517F">
      <w:pPr>
        <w:spacing w:line="312" w:lineRule="auto"/>
        <w:rPr>
          <w:lang w:val="en-US"/>
        </w:rPr>
      </w:pPr>
      <w:r w:rsidRPr="00F63EAE">
        <w:rPr>
          <w:sz w:val="20"/>
          <w:szCs w:val="20"/>
          <w:vertAlign w:val="superscript"/>
          <w:lang w:val="en-US"/>
        </w:rPr>
        <w:t>1</w:t>
      </w:r>
      <w:r w:rsidRPr="00F63EAE">
        <w:rPr>
          <w:lang w:val="en-US"/>
        </w:rPr>
        <w:t>Analytical, Environmental and Geo – Chemistry; Earth Sciences Research Group, Vrije Universiteit Brussel, Brussels, Belgium</w:t>
      </w:r>
    </w:p>
    <w:p w:rsidR="006E4AED" w:rsidRPr="00F63EAE" w:rsidRDefault="00C94FCB" w:rsidP="0055517F">
      <w:pPr>
        <w:spacing w:line="312" w:lineRule="auto"/>
        <w:rPr>
          <w:lang w:val="es-ES"/>
        </w:rPr>
      </w:pPr>
      <w:r w:rsidRPr="00F63EAE">
        <w:rPr>
          <w:vertAlign w:val="superscript"/>
          <w:lang w:val="es-ES"/>
        </w:rPr>
        <w:t>2</w:t>
      </w:r>
      <w:r w:rsidR="006E4AED" w:rsidRPr="00F63EAE">
        <w:rPr>
          <w:lang w:val="es-ES"/>
        </w:rPr>
        <w:t xml:space="preserve"> Antarctic Climate and Ecosystems Cooperative Research Centre, University of Tasmania, and CSIRO Oceans and Atmosphere Flagship, Hobart, Australia</w:t>
      </w:r>
    </w:p>
    <w:p w:rsidR="00BF662B" w:rsidRPr="00142E6C" w:rsidRDefault="00BF662B" w:rsidP="0055517F">
      <w:pPr>
        <w:spacing w:line="312" w:lineRule="auto"/>
        <w:rPr>
          <w:lang w:val="fr-FR"/>
        </w:rPr>
      </w:pPr>
      <w:r w:rsidRPr="00344F29">
        <w:rPr>
          <w:vertAlign w:val="superscript"/>
          <w:lang w:val="fr-FR"/>
        </w:rPr>
        <w:t>3</w:t>
      </w:r>
      <w:r w:rsidRPr="00142E6C">
        <w:rPr>
          <w:lang w:val="fr-FR"/>
        </w:rPr>
        <w:t>Sorbonne Universités, UPMC Univ Paris 06, CNRS, Laboratoire d'Océanographie Microbienne (LOMIC), Observatoire Océanologique, Banyuls/mer, France</w:t>
      </w:r>
    </w:p>
    <w:p w:rsidR="00C94FCB" w:rsidRPr="00F63EAE" w:rsidRDefault="00C94FCB" w:rsidP="0055517F">
      <w:pPr>
        <w:spacing w:line="312" w:lineRule="auto"/>
        <w:rPr>
          <w:lang w:val="fr-FR"/>
        </w:rPr>
      </w:pPr>
      <w:r w:rsidRPr="00F63EAE">
        <w:rPr>
          <w:vertAlign w:val="superscript"/>
          <w:lang w:val="fr-FR"/>
        </w:rPr>
        <w:t>4</w:t>
      </w:r>
      <w:r w:rsidRPr="00F63EAE">
        <w:rPr>
          <w:lang w:val="fr-FR"/>
        </w:rPr>
        <w:t>Laboratoire des Sciences de l’Environment Marin, Institut Européen de la Mer, Plouzané, France</w:t>
      </w:r>
    </w:p>
    <w:p w:rsidR="00C94FCB" w:rsidRPr="00F63EAE" w:rsidRDefault="00C94FCB" w:rsidP="0055517F">
      <w:pPr>
        <w:spacing w:line="312" w:lineRule="auto"/>
        <w:rPr>
          <w:rStyle w:val="pbaffiliations"/>
          <w:szCs w:val="24"/>
          <w:lang w:val="fr-FR"/>
        </w:rPr>
      </w:pPr>
      <w:r w:rsidRPr="00F63EAE">
        <w:rPr>
          <w:vertAlign w:val="superscript"/>
          <w:lang w:val="fr-FR"/>
        </w:rPr>
        <w:t>5</w:t>
      </w:r>
      <w:r w:rsidRPr="00F63EAE">
        <w:rPr>
          <w:rStyle w:val="pbaffiliations"/>
          <w:szCs w:val="24"/>
          <w:lang w:val="fr-FR"/>
        </w:rPr>
        <w:t>Aix-Marseille Université, CNRS/INSU, IRD, Mediterranean Institute of Oceanography UMR 7294 (MIO), Marseille, France</w:t>
      </w:r>
    </w:p>
    <w:p w:rsidR="00C94FCB" w:rsidRPr="00F63EAE" w:rsidRDefault="00C94FCB" w:rsidP="0055517F">
      <w:pPr>
        <w:spacing w:line="312" w:lineRule="auto"/>
        <w:rPr>
          <w:rStyle w:val="pbaffiliations"/>
          <w:szCs w:val="24"/>
          <w:lang w:val="fr-FR"/>
        </w:rPr>
      </w:pPr>
    </w:p>
    <w:p w:rsidR="00D03361" w:rsidRPr="00F63EAE" w:rsidRDefault="00C94FCB" w:rsidP="0055517F">
      <w:pPr>
        <w:spacing w:line="312" w:lineRule="auto"/>
        <w:rPr>
          <w:lang w:val="en-US"/>
        </w:rPr>
      </w:pPr>
      <w:r w:rsidRPr="00F63EAE">
        <w:rPr>
          <w:rStyle w:val="pbaffiliations"/>
          <w:szCs w:val="24"/>
          <w:lang w:val="en-US"/>
        </w:rPr>
        <w:t xml:space="preserve">Corresponding Author : François Fripiat, </w:t>
      </w:r>
      <w:r w:rsidRPr="00F63EAE">
        <w:rPr>
          <w:lang w:val="en-US"/>
        </w:rPr>
        <w:t>Analytical, Environmental and Geo- Chemistry ; Earth Science Research Group, Vrije Universiteit Brussel, Pleinlaan 2, 1050 Brussels ; telephone number: +32 (0)2 629 32 71; email address: ffripiat@</w:t>
      </w:r>
      <w:r w:rsidR="006E4AED" w:rsidRPr="00F63EAE">
        <w:rPr>
          <w:lang w:val="en-US"/>
        </w:rPr>
        <w:t>vub</w:t>
      </w:r>
      <w:r w:rsidRPr="00F63EAE">
        <w:rPr>
          <w:lang w:val="en-US"/>
        </w:rPr>
        <w:t>.ac.be</w:t>
      </w:r>
      <w:r w:rsidR="00D03361" w:rsidRPr="00F63EAE">
        <w:rPr>
          <w:sz w:val="32"/>
          <w:szCs w:val="32"/>
          <w:lang w:val="en-US"/>
        </w:rPr>
        <w:br w:type="page"/>
      </w:r>
    </w:p>
    <w:p w:rsidR="005A499E" w:rsidRPr="00F63EAE" w:rsidRDefault="005A499E" w:rsidP="0055517F">
      <w:pPr>
        <w:pStyle w:val="Heading2"/>
        <w:spacing w:line="312" w:lineRule="auto"/>
        <w:rPr>
          <w:lang w:val="en-US"/>
        </w:rPr>
      </w:pPr>
      <w:r w:rsidRPr="00F63EAE">
        <w:rPr>
          <w:lang w:val="en-US"/>
        </w:rPr>
        <w:lastRenderedPageBreak/>
        <w:t xml:space="preserve">S1.  </w:t>
      </w:r>
      <w:r>
        <w:rPr>
          <w:lang w:val="en-US"/>
        </w:rPr>
        <w:t>Nitrite interference on the combined Nitrite+Nitrate isotopic measurement</w:t>
      </w:r>
      <w:r w:rsidR="005B6096">
        <w:rPr>
          <w:lang w:val="en-US"/>
        </w:rPr>
        <w:t xml:space="preserve"> </w:t>
      </w:r>
    </w:p>
    <w:p w:rsidR="004773CD" w:rsidRDefault="005A499E" w:rsidP="0055517F">
      <w:pPr>
        <w:spacing w:line="312" w:lineRule="auto"/>
        <w:rPr>
          <w:lang w:val="en-US"/>
        </w:rPr>
      </w:pPr>
      <w:r>
        <w:rPr>
          <w:lang w:val="en-US"/>
        </w:rPr>
        <w:t>This study reports measurements of δ</w:t>
      </w:r>
      <w:r w:rsidRPr="005A499E">
        <w:rPr>
          <w:vertAlign w:val="superscript"/>
          <w:lang w:val="en-US"/>
        </w:rPr>
        <w:t>15</w:t>
      </w:r>
      <w:r>
        <w:rPr>
          <w:lang w:val="en-US"/>
        </w:rPr>
        <w:t>N and δ</w:t>
      </w:r>
      <w:r w:rsidRPr="005A499E">
        <w:rPr>
          <w:vertAlign w:val="superscript"/>
          <w:lang w:val="en-US"/>
        </w:rPr>
        <w:t>18</w:t>
      </w:r>
      <w:r>
        <w:rPr>
          <w:lang w:val="en-US"/>
        </w:rPr>
        <w:t xml:space="preserve">O of the combined pool of </w:t>
      </w:r>
      <w:r w:rsidRPr="00CA6E94">
        <w:rPr>
          <w:lang w:val="en-US"/>
        </w:rPr>
        <w:t>NO</w:t>
      </w:r>
      <w:r w:rsidRPr="00CA6E94">
        <w:rPr>
          <w:vertAlign w:val="subscript"/>
          <w:lang w:val="en-US"/>
        </w:rPr>
        <w:t>3</w:t>
      </w:r>
      <w:r w:rsidRPr="00CA6E94">
        <w:rPr>
          <w:vertAlign w:val="superscript"/>
          <w:lang w:val="en-US"/>
        </w:rPr>
        <w:t>-</w:t>
      </w:r>
      <w:r w:rsidRPr="00CA6E94">
        <w:rPr>
          <w:lang w:val="en-US"/>
        </w:rPr>
        <w:t>+NO</w:t>
      </w:r>
      <w:r w:rsidRPr="00CA6E94">
        <w:rPr>
          <w:vertAlign w:val="subscript"/>
          <w:lang w:val="en-US"/>
        </w:rPr>
        <w:t>2</w:t>
      </w:r>
      <w:r w:rsidRPr="00CA6E94">
        <w:rPr>
          <w:vertAlign w:val="superscript"/>
          <w:lang w:val="en-US"/>
        </w:rPr>
        <w:t>-</w:t>
      </w:r>
      <w:r>
        <w:rPr>
          <w:lang w:val="en-US"/>
        </w:rPr>
        <w:t xml:space="preserve"> and interprets the </w:t>
      </w:r>
      <w:r w:rsidR="00603A1A">
        <w:rPr>
          <w:lang w:val="en-US"/>
        </w:rPr>
        <w:t xml:space="preserve">seasonal </w:t>
      </w:r>
      <w:r>
        <w:rPr>
          <w:lang w:val="en-US"/>
        </w:rPr>
        <w:t>decoupling between N and O isotopes in the mixed layer as a</w:t>
      </w:r>
      <w:r w:rsidR="00603A1A">
        <w:rPr>
          <w:lang w:val="en-US"/>
        </w:rPr>
        <w:t xml:space="preserve"> significant</w:t>
      </w:r>
      <w:r>
        <w:rPr>
          <w:lang w:val="en-US"/>
        </w:rPr>
        <w:t xml:space="preserve"> input of nitrate by nitrification</w:t>
      </w:r>
      <w:r w:rsidR="005E6354">
        <w:rPr>
          <w:lang w:val="en-US"/>
        </w:rPr>
        <w:t xml:space="preserve"> (</w:t>
      </w:r>
      <w:r w:rsidR="001B7DBC">
        <w:rPr>
          <w:lang w:val="en-US"/>
        </w:rPr>
        <w:t xml:space="preserve">i.e., </w:t>
      </w:r>
      <w:r w:rsidR="005E6354">
        <w:rPr>
          <w:lang w:val="en-US"/>
        </w:rPr>
        <w:t xml:space="preserve">early spring </w:t>
      </w:r>
      <w:r w:rsidR="005E6354">
        <w:rPr>
          <w:rFonts w:cs="Times New Roman"/>
          <w:lang w:val="en-US"/>
        </w:rPr>
        <w:t>Δ</w:t>
      </w:r>
      <w:r w:rsidR="005E6354">
        <w:rPr>
          <w:lang w:val="en-US"/>
        </w:rPr>
        <w:t xml:space="preserve">(15-18) minus late summer </w:t>
      </w:r>
      <w:r w:rsidR="005E6354">
        <w:rPr>
          <w:rFonts w:cs="Times New Roman"/>
          <w:lang w:val="en-US"/>
        </w:rPr>
        <w:t>Δ</w:t>
      </w:r>
      <w:r w:rsidR="005E6354">
        <w:rPr>
          <w:lang w:val="en-US"/>
        </w:rPr>
        <w:t>(15-18) = 0.</w:t>
      </w:r>
      <w:r w:rsidR="001B7DBC">
        <w:rPr>
          <w:lang w:val="en-US"/>
        </w:rPr>
        <w:t>5</w:t>
      </w:r>
      <w:r w:rsidR="003438F5">
        <w:rPr>
          <w:lang w:val="en-US"/>
        </w:rPr>
        <w:t>3</w:t>
      </w:r>
      <w:r w:rsidR="001B7DBC">
        <w:rPr>
          <w:lang w:val="en-US"/>
        </w:rPr>
        <w:t xml:space="preserve"> </w:t>
      </w:r>
      <w:r w:rsidR="001B7DBC">
        <w:rPr>
          <w:rFonts w:ascii="Symbol" w:hAnsi="Symbol"/>
          <w:lang w:val="en-US"/>
        </w:rPr>
        <w:t></w:t>
      </w:r>
      <w:r w:rsidR="001B7DBC">
        <w:rPr>
          <w:lang w:val="en-US"/>
        </w:rPr>
        <w:t xml:space="preserve"> 0.3</w:t>
      </w:r>
      <w:r w:rsidR="003438F5">
        <w:rPr>
          <w:lang w:val="en-US"/>
        </w:rPr>
        <w:t>0</w:t>
      </w:r>
      <w:r w:rsidR="005E6354">
        <w:rPr>
          <w:lang w:val="en-US"/>
        </w:rPr>
        <w:t xml:space="preserve"> ‰)</w:t>
      </w:r>
      <w:r>
        <w:rPr>
          <w:lang w:val="en-US"/>
        </w:rPr>
        <w:t xml:space="preserve">. </w:t>
      </w:r>
      <w:r>
        <w:rPr>
          <w:rStyle w:val="hps"/>
          <w:lang w:val="en-US"/>
        </w:rPr>
        <w:t>W</w:t>
      </w:r>
      <w:r w:rsidRPr="00344F29">
        <w:rPr>
          <w:rStyle w:val="hps"/>
          <w:lang w:val="en-US"/>
        </w:rPr>
        <w:t>e assume a negligible bias induced by the small and invariant NO</w:t>
      </w:r>
      <w:r w:rsidRPr="00344F29">
        <w:rPr>
          <w:rStyle w:val="hps"/>
          <w:vertAlign w:val="subscript"/>
          <w:lang w:val="en-US"/>
        </w:rPr>
        <w:t>2</w:t>
      </w:r>
      <w:r w:rsidRPr="00344F29">
        <w:rPr>
          <w:rStyle w:val="hps"/>
          <w:vertAlign w:val="superscript"/>
          <w:lang w:val="en-US"/>
        </w:rPr>
        <w:t>-</w:t>
      </w:r>
      <w:r w:rsidRPr="00344F29">
        <w:rPr>
          <w:rStyle w:val="hps"/>
          <w:lang w:val="en-US"/>
        </w:rPr>
        <w:t xml:space="preserve"> contribution</w:t>
      </w:r>
      <w:r w:rsidR="004773CD">
        <w:rPr>
          <w:rStyle w:val="hps"/>
          <w:lang w:val="en-US"/>
        </w:rPr>
        <w:t xml:space="preserve"> </w:t>
      </w:r>
      <w:r w:rsidR="00F65F04">
        <w:rPr>
          <w:rStyle w:val="hps"/>
          <w:lang w:val="en-US"/>
        </w:rPr>
        <w:t>to the NO</w:t>
      </w:r>
      <w:r w:rsidR="00F65F04" w:rsidRPr="00F65F04">
        <w:rPr>
          <w:rStyle w:val="hps"/>
          <w:vertAlign w:val="subscript"/>
          <w:lang w:val="en-US"/>
        </w:rPr>
        <w:t>3</w:t>
      </w:r>
      <w:r w:rsidR="00F65F04" w:rsidRPr="00F65F04">
        <w:rPr>
          <w:rStyle w:val="hps"/>
          <w:vertAlign w:val="superscript"/>
          <w:lang w:val="en-US"/>
        </w:rPr>
        <w:t>-</w:t>
      </w:r>
      <w:r w:rsidR="00F65F04">
        <w:rPr>
          <w:rStyle w:val="hps"/>
          <w:lang w:val="en-US"/>
        </w:rPr>
        <w:t>+NO</w:t>
      </w:r>
      <w:r w:rsidR="00F65F04" w:rsidRPr="00F65F04">
        <w:rPr>
          <w:rStyle w:val="hps"/>
          <w:vertAlign w:val="subscript"/>
          <w:lang w:val="en-US"/>
        </w:rPr>
        <w:t>2</w:t>
      </w:r>
      <w:r w:rsidR="00F65F04" w:rsidRPr="00F65F04">
        <w:rPr>
          <w:rStyle w:val="hps"/>
          <w:vertAlign w:val="superscript"/>
          <w:lang w:val="en-US"/>
        </w:rPr>
        <w:t xml:space="preserve">- </w:t>
      </w:r>
      <w:r w:rsidR="00F65F04">
        <w:rPr>
          <w:rStyle w:val="hps"/>
          <w:lang w:val="en-US"/>
        </w:rPr>
        <w:t xml:space="preserve">pool </w:t>
      </w:r>
      <w:r w:rsidR="004773CD">
        <w:rPr>
          <w:rStyle w:val="hps"/>
          <w:lang w:val="en-US"/>
        </w:rPr>
        <w:t>(1.2 ± 0.5 %). In the discussion,</w:t>
      </w:r>
      <w:r w:rsidR="004773CD" w:rsidRPr="00344F29">
        <w:rPr>
          <w:rStyle w:val="hps"/>
          <w:lang w:val="en-US"/>
        </w:rPr>
        <w:t xml:space="preserve"> the</w:t>
      </w:r>
      <w:r w:rsidR="004773CD" w:rsidRPr="00344F29">
        <w:rPr>
          <w:lang w:val="en-US"/>
        </w:rPr>
        <w:t xml:space="preserve"> NO</w:t>
      </w:r>
      <w:r w:rsidR="004773CD" w:rsidRPr="00344F29">
        <w:rPr>
          <w:vertAlign w:val="subscript"/>
          <w:lang w:val="en-US"/>
        </w:rPr>
        <w:t>3</w:t>
      </w:r>
      <w:r w:rsidR="004773CD" w:rsidRPr="00344F29">
        <w:rPr>
          <w:vertAlign w:val="superscript"/>
          <w:lang w:val="en-US"/>
        </w:rPr>
        <w:t>-</w:t>
      </w:r>
      <w:r w:rsidR="004773CD" w:rsidRPr="00344F29">
        <w:rPr>
          <w:lang w:val="en-US"/>
        </w:rPr>
        <w:t>+NO</w:t>
      </w:r>
      <w:r w:rsidR="004773CD" w:rsidRPr="00344F29">
        <w:rPr>
          <w:vertAlign w:val="subscript"/>
          <w:lang w:val="en-US"/>
        </w:rPr>
        <w:t>2</w:t>
      </w:r>
      <w:r w:rsidR="004773CD" w:rsidRPr="00344F29">
        <w:rPr>
          <w:vertAlign w:val="superscript"/>
          <w:lang w:val="en-US"/>
        </w:rPr>
        <w:t>-</w:t>
      </w:r>
      <w:r w:rsidR="004773CD" w:rsidRPr="00344F29">
        <w:rPr>
          <w:rStyle w:val="hps"/>
          <w:lang w:val="en-US"/>
        </w:rPr>
        <w:t xml:space="preserve"> δ</w:t>
      </w:r>
      <w:r w:rsidR="004773CD" w:rsidRPr="00344F29">
        <w:rPr>
          <w:rStyle w:val="hps"/>
          <w:vertAlign w:val="superscript"/>
          <w:lang w:val="en-US"/>
        </w:rPr>
        <w:t>15</w:t>
      </w:r>
      <w:r w:rsidR="004773CD" w:rsidRPr="00344F29">
        <w:rPr>
          <w:rStyle w:val="hps"/>
          <w:lang w:val="en-US"/>
        </w:rPr>
        <w:t>N and δ</w:t>
      </w:r>
      <w:r w:rsidR="004773CD" w:rsidRPr="00344F29">
        <w:rPr>
          <w:rStyle w:val="hps"/>
          <w:vertAlign w:val="superscript"/>
          <w:lang w:val="en-US"/>
        </w:rPr>
        <w:t>18</w:t>
      </w:r>
      <w:r w:rsidR="004773CD" w:rsidRPr="00344F29">
        <w:rPr>
          <w:rStyle w:val="hps"/>
          <w:lang w:val="en-US"/>
        </w:rPr>
        <w:t>O values are taken to reflect the NO</w:t>
      </w:r>
      <w:r w:rsidR="004773CD" w:rsidRPr="00344F29">
        <w:rPr>
          <w:rStyle w:val="hps"/>
          <w:vertAlign w:val="subscript"/>
          <w:lang w:val="en-US"/>
        </w:rPr>
        <w:t>3</w:t>
      </w:r>
      <w:r w:rsidR="00603A1A">
        <w:rPr>
          <w:rStyle w:val="hps"/>
          <w:vertAlign w:val="superscript"/>
          <w:lang w:val="en-US"/>
        </w:rPr>
        <w:t>-</w:t>
      </w:r>
      <w:r w:rsidR="004773CD" w:rsidRPr="00344F29">
        <w:rPr>
          <w:rStyle w:val="hps"/>
          <w:lang w:val="en-US"/>
        </w:rPr>
        <w:t xml:space="preserve"> δ</w:t>
      </w:r>
      <w:r w:rsidR="004773CD" w:rsidRPr="00344F29">
        <w:rPr>
          <w:rStyle w:val="hps"/>
          <w:vertAlign w:val="superscript"/>
          <w:lang w:val="en-US"/>
        </w:rPr>
        <w:t>15</w:t>
      </w:r>
      <w:r w:rsidR="004773CD" w:rsidRPr="00344F29">
        <w:rPr>
          <w:rStyle w:val="hps"/>
          <w:lang w:val="en-US"/>
        </w:rPr>
        <w:t>N and δ</w:t>
      </w:r>
      <w:r w:rsidR="004773CD" w:rsidRPr="00344F29">
        <w:rPr>
          <w:rStyle w:val="hps"/>
          <w:vertAlign w:val="superscript"/>
          <w:lang w:val="en-US"/>
        </w:rPr>
        <w:t>18</w:t>
      </w:r>
      <w:r w:rsidR="004773CD" w:rsidRPr="00344F29">
        <w:rPr>
          <w:rStyle w:val="hps"/>
          <w:lang w:val="en-US"/>
        </w:rPr>
        <w:t>O values</w:t>
      </w:r>
      <w:r w:rsidR="004773CD">
        <w:rPr>
          <w:rStyle w:val="hps"/>
          <w:lang w:val="en-US"/>
        </w:rPr>
        <w:t xml:space="preserve">. </w:t>
      </w:r>
      <w:r w:rsidR="001B7DBC">
        <w:rPr>
          <w:rStyle w:val="hps"/>
          <w:lang w:val="en-US"/>
        </w:rPr>
        <w:t xml:space="preserve">However, </w:t>
      </w:r>
      <w:r w:rsidR="001B7DBC">
        <w:rPr>
          <w:lang w:val="en-US"/>
        </w:rPr>
        <w:t>s</w:t>
      </w:r>
      <w:r w:rsidRPr="00CA6E94">
        <w:rPr>
          <w:lang w:val="en-US"/>
        </w:rPr>
        <w:t>everal recent studies highlighted that the inclusion of NO</w:t>
      </w:r>
      <w:r w:rsidRPr="00CA6E94">
        <w:rPr>
          <w:vertAlign w:val="subscript"/>
          <w:lang w:val="en-US"/>
        </w:rPr>
        <w:t>2</w:t>
      </w:r>
      <w:r w:rsidRPr="00CA6E94">
        <w:rPr>
          <w:vertAlign w:val="superscript"/>
          <w:lang w:val="en-US"/>
        </w:rPr>
        <w:t>-</w:t>
      </w:r>
      <w:r w:rsidRPr="00CA6E94">
        <w:rPr>
          <w:lang w:val="en-US"/>
        </w:rPr>
        <w:t xml:space="preserve"> in measurements of the isotopic composition of NO</w:t>
      </w:r>
      <w:r w:rsidRPr="00CA6E94">
        <w:rPr>
          <w:vertAlign w:val="subscript"/>
          <w:lang w:val="en-US"/>
        </w:rPr>
        <w:t>3</w:t>
      </w:r>
      <w:r w:rsidRPr="00CA6E94">
        <w:rPr>
          <w:vertAlign w:val="superscript"/>
          <w:lang w:val="en-US"/>
        </w:rPr>
        <w:t>-</w:t>
      </w:r>
      <w:r w:rsidRPr="00CA6E94">
        <w:rPr>
          <w:lang w:val="en-US"/>
        </w:rPr>
        <w:t>+NO</w:t>
      </w:r>
      <w:r w:rsidRPr="00CA6E94">
        <w:rPr>
          <w:vertAlign w:val="subscript"/>
          <w:lang w:val="en-US"/>
        </w:rPr>
        <w:t>2</w:t>
      </w:r>
      <w:r w:rsidRPr="00CA6E94">
        <w:rPr>
          <w:vertAlign w:val="superscript"/>
          <w:lang w:val="en-US"/>
        </w:rPr>
        <w:t>-</w:t>
      </w:r>
      <w:r w:rsidRPr="00CA6E94">
        <w:rPr>
          <w:lang w:val="en-US"/>
        </w:rPr>
        <w:t xml:space="preserve"> can have a significant impact on the results even if nitrite is present at extremely low levels </w:t>
      </w:r>
      <w:r w:rsidR="00DE1C45">
        <w:rPr>
          <w:lang w:val="en-US"/>
        </w:rPr>
        <w:t>[</w:t>
      </w:r>
      <w:r w:rsidRPr="00CA6E94">
        <w:rPr>
          <w:lang w:val="en-US"/>
        </w:rPr>
        <w:t xml:space="preserve">Rafter et al., 2013; </w:t>
      </w:r>
      <w:r w:rsidR="00F65F04">
        <w:rPr>
          <w:lang w:val="en-US"/>
        </w:rPr>
        <w:t xml:space="preserve">Fawcett et al., 2015; </w:t>
      </w:r>
      <w:r w:rsidRPr="00CA6E94">
        <w:rPr>
          <w:lang w:val="en-US"/>
        </w:rPr>
        <w:t>Smart et al., 2015</w:t>
      </w:r>
      <w:r w:rsidR="00DE1C45">
        <w:rPr>
          <w:lang w:val="en-US"/>
        </w:rPr>
        <w:t>]</w:t>
      </w:r>
      <w:r w:rsidRPr="00CA6E94">
        <w:rPr>
          <w:lang w:val="en-US"/>
        </w:rPr>
        <w:t>.</w:t>
      </w:r>
      <w:r w:rsidRPr="005A499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C3E68">
        <w:rPr>
          <w:lang w:val="en-US"/>
        </w:rPr>
        <w:t>sensitivity</w:t>
      </w:r>
      <w:r w:rsidR="004773CD">
        <w:rPr>
          <w:lang w:val="en-US"/>
        </w:rPr>
        <w:t xml:space="preserve"> differs in regard of N and O isotopes</w:t>
      </w:r>
      <w:r w:rsidR="003C677F">
        <w:rPr>
          <w:lang w:val="en-US"/>
        </w:rPr>
        <w:t xml:space="preserve"> and can, therefore, have an impact in the assessment of the decoupling between N and O isotopes</w:t>
      </w:r>
      <w:r w:rsidR="004773CD">
        <w:rPr>
          <w:lang w:val="en-US"/>
        </w:rPr>
        <w:t xml:space="preserve"> as follows:</w:t>
      </w:r>
    </w:p>
    <w:p w:rsidR="002C44D1" w:rsidRPr="002F0835" w:rsidRDefault="005C3237" w:rsidP="0055517F">
      <w:pPr>
        <w:spacing w:line="312" w:lineRule="auto"/>
        <w:rPr>
          <w:lang w:val="en-US"/>
        </w:rPr>
      </w:pPr>
      <w:r>
        <w:rPr>
          <w:lang w:val="en-US"/>
        </w:rPr>
        <w:t xml:space="preserve">- </w:t>
      </w:r>
      <w:r w:rsidRPr="005C3237">
        <w:rPr>
          <w:i/>
          <w:lang w:val="en-US"/>
        </w:rPr>
        <w:t>O isotopes</w:t>
      </w:r>
      <w:r>
        <w:rPr>
          <w:lang w:val="en-US"/>
        </w:rPr>
        <w:t xml:space="preserve">: During the reduction of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3</w:t>
      </w:r>
      <w:r w:rsidR="007549FE" w:rsidRPr="00CA6E94">
        <w:rPr>
          <w:vertAlign w:val="superscript"/>
          <w:lang w:val="en-US"/>
        </w:rPr>
        <w:t>-</w:t>
      </w:r>
      <w:r>
        <w:rPr>
          <w:lang w:val="en-US"/>
        </w:rPr>
        <w:t xml:space="preserve"> and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>
        <w:rPr>
          <w:lang w:val="en-US"/>
        </w:rPr>
        <w:t xml:space="preserve"> to N</w:t>
      </w:r>
      <w:r w:rsidRPr="005C3237">
        <w:rPr>
          <w:vertAlign w:val="subscript"/>
          <w:lang w:val="en-US"/>
        </w:rPr>
        <w:t>2</w:t>
      </w:r>
      <w:r>
        <w:rPr>
          <w:lang w:val="en-US"/>
        </w:rPr>
        <w:t>O in the denitrifier method, O atoms can be transferred to the subsequent nitrogen oxide pool (ultimately to N</w:t>
      </w:r>
      <w:r w:rsidRPr="005C3237">
        <w:rPr>
          <w:vertAlign w:val="subscript"/>
          <w:lang w:val="en-US"/>
        </w:rPr>
        <w:t>2</w:t>
      </w:r>
      <w:r>
        <w:rPr>
          <w:lang w:val="en-US"/>
        </w:rPr>
        <w:t>O) or lost as water</w:t>
      </w:r>
      <w:r w:rsidR="001B7DBC">
        <w:rPr>
          <w:lang w:val="en-US"/>
        </w:rPr>
        <w:t xml:space="preserve"> with an isotopic fractionation</w:t>
      </w:r>
      <w:r>
        <w:rPr>
          <w:lang w:val="en-US"/>
        </w:rPr>
        <w:t xml:space="preserve"> [Casciotti et al., 2002]. </w:t>
      </w:r>
      <w:r w:rsidR="002C44D1">
        <w:rPr>
          <w:lang w:val="en-US"/>
        </w:rPr>
        <w:t xml:space="preserve">For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3</w:t>
      </w:r>
      <w:r w:rsidR="007549FE" w:rsidRPr="00CA6E94">
        <w:rPr>
          <w:vertAlign w:val="superscript"/>
          <w:lang w:val="en-US"/>
        </w:rPr>
        <w:t>-</w:t>
      </w:r>
      <w:r w:rsidR="00704E13">
        <w:rPr>
          <w:lang w:val="en-US"/>
        </w:rPr>
        <w:t>,</w:t>
      </w:r>
      <w:r w:rsidR="002C44D1">
        <w:rPr>
          <w:lang w:val="en-US"/>
        </w:rPr>
        <w:t xml:space="preserve"> this </w:t>
      </w:r>
      <w:r w:rsidR="001B7DBC">
        <w:rPr>
          <w:lang w:val="en-US"/>
        </w:rPr>
        <w:t>effect</w:t>
      </w:r>
      <w:r w:rsidR="002C44D1">
        <w:rPr>
          <w:lang w:val="en-US"/>
        </w:rPr>
        <w:t xml:space="preserve"> is corrected with a calibration curve based on analyses of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3</w:t>
      </w:r>
      <w:r w:rsidR="007549FE" w:rsidRPr="00CA6E94">
        <w:rPr>
          <w:vertAlign w:val="superscript"/>
          <w:lang w:val="en-US"/>
        </w:rPr>
        <w:t>-</w:t>
      </w:r>
      <w:r w:rsidR="002C44D1">
        <w:rPr>
          <w:lang w:val="en-US"/>
        </w:rPr>
        <w:t xml:space="preserve"> isotopic reference materials [Casciotti et al., 2002]. Because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 w:rsidR="002C44D1">
        <w:rPr>
          <w:lang w:val="en-US"/>
        </w:rPr>
        <w:t xml:space="preserve"> reduction to N</w:t>
      </w:r>
      <w:r w:rsidR="002C44D1" w:rsidRPr="002C44D1">
        <w:rPr>
          <w:vertAlign w:val="subscript"/>
          <w:lang w:val="en-US"/>
        </w:rPr>
        <w:t>2</w:t>
      </w:r>
      <w:r w:rsidR="002C44D1">
        <w:rPr>
          <w:lang w:val="en-US"/>
        </w:rPr>
        <w:t xml:space="preserve">O represents a smaller fractional loss of oxygen atoms than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3</w:t>
      </w:r>
      <w:r w:rsidR="007549FE" w:rsidRPr="00CA6E94">
        <w:rPr>
          <w:vertAlign w:val="superscript"/>
          <w:lang w:val="en-US"/>
        </w:rPr>
        <w:t>-</w:t>
      </w:r>
      <w:r w:rsidR="002C44D1">
        <w:rPr>
          <w:lang w:val="en-US"/>
        </w:rPr>
        <w:t>, the N</w:t>
      </w:r>
      <w:r w:rsidR="002C44D1" w:rsidRPr="002C44D1">
        <w:rPr>
          <w:vertAlign w:val="subscript"/>
          <w:lang w:val="en-US"/>
        </w:rPr>
        <w:t>2</w:t>
      </w:r>
      <w:r w:rsidR="002C44D1">
        <w:rPr>
          <w:lang w:val="en-US"/>
        </w:rPr>
        <w:t xml:space="preserve">O generated from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 w:rsidR="002C44D1">
        <w:rPr>
          <w:lang w:val="en-US"/>
        </w:rPr>
        <w:t xml:space="preserve"> by the denitrifier method is </w:t>
      </w:r>
      <w:r w:rsidR="002C44D1">
        <w:rPr>
          <w:lang w:val="en-US"/>
        </w:rPr>
        <w:sym w:font="Symbol" w:char="F07E"/>
      </w:r>
      <w:r w:rsidR="002C44D1">
        <w:rPr>
          <w:lang w:val="en-US"/>
        </w:rPr>
        <w:t xml:space="preserve">25 ‰ lower </w:t>
      </w:r>
      <w:r w:rsidR="00704E13">
        <w:rPr>
          <w:lang w:val="en-US"/>
        </w:rPr>
        <w:t>in δ</w:t>
      </w:r>
      <w:r w:rsidR="00704E13" w:rsidRPr="00704E13">
        <w:rPr>
          <w:vertAlign w:val="superscript"/>
          <w:lang w:val="en-US"/>
        </w:rPr>
        <w:t>18</w:t>
      </w:r>
      <w:r w:rsidR="00704E13">
        <w:rPr>
          <w:lang w:val="en-US"/>
        </w:rPr>
        <w:t>O than N</w:t>
      </w:r>
      <w:r w:rsidR="00704E13" w:rsidRPr="00704E13">
        <w:rPr>
          <w:vertAlign w:val="subscript"/>
          <w:lang w:val="en-US"/>
        </w:rPr>
        <w:t>2</w:t>
      </w:r>
      <w:r w:rsidR="00704E13">
        <w:rPr>
          <w:lang w:val="en-US"/>
        </w:rPr>
        <w:t xml:space="preserve">O generated from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3</w:t>
      </w:r>
      <w:r w:rsidR="007549FE" w:rsidRPr="00CA6E94">
        <w:rPr>
          <w:vertAlign w:val="superscript"/>
          <w:lang w:val="en-US"/>
        </w:rPr>
        <w:t>-</w:t>
      </w:r>
      <w:r w:rsidR="00704E13">
        <w:rPr>
          <w:lang w:val="en-US"/>
        </w:rPr>
        <w:t xml:space="preserve"> with the same initial δ</w:t>
      </w:r>
      <w:r w:rsidR="00704E13" w:rsidRPr="00704E13">
        <w:rPr>
          <w:vertAlign w:val="superscript"/>
          <w:lang w:val="en-US"/>
        </w:rPr>
        <w:t>18</w:t>
      </w:r>
      <w:r w:rsidR="00704E13">
        <w:rPr>
          <w:lang w:val="en-US"/>
        </w:rPr>
        <w:t>O [Casciotti et al., 2007</w:t>
      </w:r>
      <w:r w:rsidR="00954216">
        <w:rPr>
          <w:lang w:val="en-US"/>
        </w:rPr>
        <w:t>; Smart et al., 2015</w:t>
      </w:r>
      <w:r w:rsidR="00704E13">
        <w:rPr>
          <w:lang w:val="en-US"/>
        </w:rPr>
        <w:t xml:space="preserve">]. For the given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 w:rsidR="00704E13">
        <w:rPr>
          <w:lang w:val="en-US"/>
        </w:rPr>
        <w:t xml:space="preserve"> contribution to the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3</w:t>
      </w:r>
      <w:r w:rsidR="007549FE" w:rsidRPr="00CA6E94">
        <w:rPr>
          <w:vertAlign w:val="superscript"/>
          <w:lang w:val="en-US"/>
        </w:rPr>
        <w:t>-</w:t>
      </w:r>
      <w:r w:rsidR="003C677F">
        <w:rPr>
          <w:lang w:val="en-US"/>
        </w:rPr>
        <w:t>+NO</w:t>
      </w:r>
      <w:r w:rsidR="003C677F" w:rsidRPr="003C677F">
        <w:rPr>
          <w:vertAlign w:val="subscript"/>
          <w:lang w:val="en-US"/>
        </w:rPr>
        <w:t>2</w:t>
      </w:r>
      <w:r w:rsidR="003C677F" w:rsidRPr="003C677F">
        <w:rPr>
          <w:vertAlign w:val="superscript"/>
          <w:lang w:val="en-US"/>
        </w:rPr>
        <w:t>-</w:t>
      </w:r>
      <w:r w:rsidR="00704E13">
        <w:rPr>
          <w:lang w:val="en-US"/>
        </w:rPr>
        <w:t xml:space="preserve"> pool</w:t>
      </w:r>
      <w:r w:rsidR="004D6EFB">
        <w:rPr>
          <w:lang w:val="en-US"/>
        </w:rPr>
        <w:t xml:space="preserve"> </w:t>
      </w:r>
      <w:r w:rsidR="004D6EFB">
        <w:rPr>
          <w:rStyle w:val="hps"/>
          <w:lang w:val="en-US"/>
        </w:rPr>
        <w:t>(1.2 ± 0.5 %)</w:t>
      </w:r>
      <w:r w:rsidR="00704E13">
        <w:rPr>
          <w:lang w:val="en-US"/>
        </w:rPr>
        <w:t>, this methodological bias is the same for both early spring and late summer samples (</w:t>
      </w:r>
      <w:r w:rsidR="00F9476F">
        <w:rPr>
          <w:lang w:val="en-US"/>
        </w:rPr>
        <w:t>underestimation of NO</w:t>
      </w:r>
      <w:r w:rsidR="00F9476F" w:rsidRPr="00F9476F">
        <w:rPr>
          <w:vertAlign w:val="subscript"/>
          <w:lang w:val="en-US"/>
        </w:rPr>
        <w:t>3</w:t>
      </w:r>
      <w:r w:rsidR="00F9476F" w:rsidRPr="00F9476F">
        <w:rPr>
          <w:vertAlign w:val="superscript"/>
          <w:lang w:val="en-US"/>
        </w:rPr>
        <w:t>-</w:t>
      </w:r>
      <w:r w:rsidR="00F9476F">
        <w:rPr>
          <w:lang w:val="en-US"/>
        </w:rPr>
        <w:t xml:space="preserve"> δ</w:t>
      </w:r>
      <w:r w:rsidR="00F9476F" w:rsidRPr="00F9476F">
        <w:rPr>
          <w:vertAlign w:val="superscript"/>
          <w:lang w:val="en-US"/>
        </w:rPr>
        <w:t>18</w:t>
      </w:r>
      <w:r w:rsidR="00F9476F">
        <w:rPr>
          <w:lang w:val="en-US"/>
        </w:rPr>
        <w:t>O by</w:t>
      </w:r>
      <w:r w:rsidR="00704E13">
        <w:rPr>
          <w:lang w:val="en-US"/>
        </w:rPr>
        <w:t xml:space="preserve"> </w:t>
      </w:r>
      <w:r w:rsidR="00F9476F">
        <w:rPr>
          <w:lang w:val="en-US"/>
        </w:rPr>
        <w:sym w:font="Symbol" w:char="F07E"/>
      </w:r>
      <w:r w:rsidR="00704E13">
        <w:rPr>
          <w:lang w:val="en-US"/>
        </w:rPr>
        <w:t xml:space="preserve">0.3‰). </w:t>
      </w:r>
      <w:r w:rsidR="002F0835">
        <w:rPr>
          <w:lang w:val="en-US"/>
        </w:rPr>
        <w:t>In addition</w:t>
      </w:r>
      <w:r w:rsidR="003C677F">
        <w:rPr>
          <w:lang w:val="en-US"/>
        </w:rPr>
        <w:t xml:space="preserve"> to this </w:t>
      </w:r>
      <w:r w:rsidR="00F65F04">
        <w:rPr>
          <w:lang w:val="en-US"/>
        </w:rPr>
        <w:t xml:space="preserve">methodological </w:t>
      </w:r>
      <w:r w:rsidR="004D6EFB">
        <w:rPr>
          <w:lang w:val="en-US"/>
        </w:rPr>
        <w:t>bias</w:t>
      </w:r>
      <w:r w:rsidR="002F0835">
        <w:rPr>
          <w:lang w:val="en-US"/>
        </w:rPr>
        <w:t>, ambient NO</w:t>
      </w:r>
      <w:r w:rsidR="002F0835" w:rsidRPr="002F0835">
        <w:rPr>
          <w:vertAlign w:val="subscript"/>
          <w:lang w:val="en-US"/>
        </w:rPr>
        <w:t>2</w:t>
      </w:r>
      <w:r w:rsidR="002F0835" w:rsidRPr="002F0835">
        <w:rPr>
          <w:vertAlign w:val="superscript"/>
          <w:lang w:val="en-US"/>
        </w:rPr>
        <w:t>-</w:t>
      </w:r>
      <w:r w:rsidR="002F0835">
        <w:rPr>
          <w:lang w:val="en-US"/>
        </w:rPr>
        <w:t xml:space="preserve"> δ</w:t>
      </w:r>
      <w:r w:rsidR="002F0835" w:rsidRPr="002F0835">
        <w:rPr>
          <w:vertAlign w:val="superscript"/>
          <w:lang w:val="en-US"/>
        </w:rPr>
        <w:t>18</w:t>
      </w:r>
      <w:r w:rsidR="002F0835">
        <w:rPr>
          <w:lang w:val="en-US"/>
        </w:rPr>
        <w:t>O is likely to differ from NO</w:t>
      </w:r>
      <w:r w:rsidR="002F0835" w:rsidRPr="002F0835">
        <w:rPr>
          <w:vertAlign w:val="subscript"/>
          <w:lang w:val="en-US"/>
        </w:rPr>
        <w:t>3</w:t>
      </w:r>
      <w:r w:rsidR="002F0835" w:rsidRPr="002F0835">
        <w:rPr>
          <w:vertAlign w:val="superscript"/>
          <w:lang w:val="en-US"/>
        </w:rPr>
        <w:t>-</w:t>
      </w:r>
      <w:r w:rsidR="002F0835">
        <w:rPr>
          <w:lang w:val="en-US"/>
        </w:rPr>
        <w:t xml:space="preserve"> δ</w:t>
      </w:r>
      <w:r w:rsidR="002F0835" w:rsidRPr="002F0835">
        <w:rPr>
          <w:vertAlign w:val="superscript"/>
          <w:lang w:val="en-US"/>
        </w:rPr>
        <w:t>18</w:t>
      </w:r>
      <w:r w:rsidR="002F0835">
        <w:rPr>
          <w:lang w:val="en-US"/>
        </w:rPr>
        <w:t>O.</w:t>
      </w:r>
      <w:r w:rsidR="004D6EFB">
        <w:rPr>
          <w:lang w:val="en-US"/>
        </w:rPr>
        <w:t xml:space="preserve"> </w:t>
      </w:r>
      <w:r w:rsidR="00FC3E68">
        <w:rPr>
          <w:lang w:val="en-US"/>
        </w:rPr>
        <w:t>Though</w:t>
      </w:r>
      <w:r w:rsidR="00F65F04">
        <w:rPr>
          <w:lang w:val="en-US"/>
        </w:rPr>
        <w:t xml:space="preserve"> we are not aware of any studies reporting </w:t>
      </w:r>
      <w:r w:rsidR="00DA2EAD">
        <w:rPr>
          <w:lang w:val="en-US"/>
        </w:rPr>
        <w:t xml:space="preserve">direct </w:t>
      </w:r>
      <w:r w:rsidR="00F65F04">
        <w:rPr>
          <w:lang w:val="en-US"/>
        </w:rPr>
        <w:t>measurements of NO</w:t>
      </w:r>
      <w:r w:rsidR="00F65F04" w:rsidRPr="00F65F04">
        <w:rPr>
          <w:vertAlign w:val="subscript"/>
          <w:lang w:val="en-US"/>
        </w:rPr>
        <w:t>2</w:t>
      </w:r>
      <w:r w:rsidR="00F65F04" w:rsidRPr="00F65F04">
        <w:rPr>
          <w:vertAlign w:val="superscript"/>
          <w:lang w:val="en-US"/>
        </w:rPr>
        <w:t>-</w:t>
      </w:r>
      <w:r w:rsidR="00F65F04">
        <w:rPr>
          <w:lang w:val="en-US"/>
        </w:rPr>
        <w:t xml:space="preserve"> </w:t>
      </w:r>
      <w:r w:rsidR="00F65F04">
        <w:rPr>
          <w:rFonts w:ascii="Symbol" w:hAnsi="Symbol"/>
          <w:lang w:val="en-US"/>
        </w:rPr>
        <w:t></w:t>
      </w:r>
      <w:r w:rsidR="00F65F04" w:rsidRPr="00F65F04">
        <w:rPr>
          <w:vertAlign w:val="superscript"/>
          <w:lang w:val="en-US"/>
        </w:rPr>
        <w:t>18</w:t>
      </w:r>
      <w:r w:rsidR="00F65F04">
        <w:rPr>
          <w:lang w:val="en-US"/>
        </w:rPr>
        <w:t xml:space="preserve">O </w:t>
      </w:r>
      <w:r w:rsidR="00FC3E68">
        <w:rPr>
          <w:lang w:val="en-US"/>
        </w:rPr>
        <w:t>for</w:t>
      </w:r>
      <w:r w:rsidR="00F65F04">
        <w:rPr>
          <w:lang w:val="en-US"/>
        </w:rPr>
        <w:t xml:space="preserve"> the surface ocean, a</w:t>
      </w:r>
      <w:r w:rsidR="002F0835">
        <w:rPr>
          <w:lang w:val="en-US"/>
        </w:rPr>
        <w:t>mmonium oxidation lead</w:t>
      </w:r>
      <w:r w:rsidR="00F9476F">
        <w:rPr>
          <w:lang w:val="en-US"/>
        </w:rPr>
        <w:t>s</w:t>
      </w:r>
      <w:r w:rsidR="002F0835">
        <w:rPr>
          <w:lang w:val="en-US"/>
        </w:rPr>
        <w:t xml:space="preserve"> to the production of </w:t>
      </w:r>
      <w:r w:rsidR="00F9476F">
        <w:rPr>
          <w:lang w:val="en-US"/>
        </w:rPr>
        <w:t>NO</w:t>
      </w:r>
      <w:r w:rsidR="00F9476F" w:rsidRPr="002F0835">
        <w:rPr>
          <w:vertAlign w:val="subscript"/>
          <w:lang w:val="en-US"/>
        </w:rPr>
        <w:t>2</w:t>
      </w:r>
      <w:r w:rsidR="00F9476F" w:rsidRPr="002F0835">
        <w:rPr>
          <w:vertAlign w:val="superscript"/>
          <w:lang w:val="en-US"/>
        </w:rPr>
        <w:t>-</w:t>
      </w:r>
      <w:r w:rsidR="002F0835">
        <w:rPr>
          <w:lang w:val="en-US"/>
        </w:rPr>
        <w:t xml:space="preserve"> </w:t>
      </w:r>
      <w:r w:rsidR="00F9476F">
        <w:rPr>
          <w:lang w:val="en-US"/>
        </w:rPr>
        <w:t>with δ</w:t>
      </w:r>
      <w:r w:rsidR="00F9476F" w:rsidRPr="00F9476F">
        <w:rPr>
          <w:vertAlign w:val="superscript"/>
          <w:lang w:val="en-US"/>
        </w:rPr>
        <w:t>18</w:t>
      </w:r>
      <w:r w:rsidR="00F9476F">
        <w:rPr>
          <w:lang w:val="en-US"/>
        </w:rPr>
        <w:t xml:space="preserve">O values between -3 and </w:t>
      </w:r>
      <w:r w:rsidR="00FC5490">
        <w:rPr>
          <w:lang w:val="en-US"/>
        </w:rPr>
        <w:t xml:space="preserve">14 </w:t>
      </w:r>
      <w:r w:rsidR="00F9476F">
        <w:rPr>
          <w:lang w:val="en-US"/>
        </w:rPr>
        <w:t>‰</w:t>
      </w:r>
      <w:r w:rsidR="00DE1C45">
        <w:rPr>
          <w:lang w:val="en-US"/>
        </w:rPr>
        <w:t xml:space="preserve"> [Casciotti et al., 2010</w:t>
      </w:r>
      <w:r w:rsidR="00FC5490">
        <w:rPr>
          <w:lang w:val="en-US"/>
        </w:rPr>
        <w:t>; Buchwald and Casciotti, 2013</w:t>
      </w:r>
      <w:r w:rsidR="00DE1C45">
        <w:rPr>
          <w:lang w:val="en-US"/>
        </w:rPr>
        <w:t>]</w:t>
      </w:r>
      <w:r w:rsidR="00F9476F">
        <w:rPr>
          <w:lang w:val="en-US"/>
        </w:rPr>
        <w:t xml:space="preserve">. Such range implies a further underestimation of  </w:t>
      </w:r>
      <w:r w:rsidR="00901E90">
        <w:rPr>
          <w:lang w:val="en-US"/>
        </w:rPr>
        <w:t xml:space="preserve">the </w:t>
      </w:r>
      <w:r w:rsidR="00F9476F">
        <w:rPr>
          <w:lang w:val="en-US"/>
        </w:rPr>
        <w:t>NO</w:t>
      </w:r>
      <w:r w:rsidR="00F9476F" w:rsidRPr="00F9476F">
        <w:rPr>
          <w:vertAlign w:val="subscript"/>
          <w:lang w:val="en-US"/>
        </w:rPr>
        <w:t>3</w:t>
      </w:r>
      <w:r w:rsidR="00DE1C45">
        <w:rPr>
          <w:vertAlign w:val="superscript"/>
          <w:lang w:val="en-US"/>
        </w:rPr>
        <w:t xml:space="preserve"> </w:t>
      </w:r>
      <w:r w:rsidR="00F9476F">
        <w:rPr>
          <w:lang w:val="en-US"/>
        </w:rPr>
        <w:t xml:space="preserve"> δ</w:t>
      </w:r>
      <w:r w:rsidR="00F9476F" w:rsidRPr="00F9476F">
        <w:rPr>
          <w:vertAlign w:val="superscript"/>
          <w:lang w:val="en-US"/>
        </w:rPr>
        <w:t>18</w:t>
      </w:r>
      <w:r w:rsidR="00F9476F">
        <w:rPr>
          <w:lang w:val="en-US"/>
        </w:rPr>
        <w:t>O of  0</w:t>
      </w:r>
      <w:r w:rsidR="00FC5490">
        <w:rPr>
          <w:lang w:val="en-US"/>
        </w:rPr>
        <w:t xml:space="preserve">.0 </w:t>
      </w:r>
      <w:r w:rsidR="00FC5490">
        <w:rPr>
          <w:rFonts w:ascii="Symbol" w:hAnsi="Symbol"/>
          <w:lang w:val="en-US"/>
        </w:rPr>
        <w:t></w:t>
      </w:r>
      <w:r w:rsidR="00FC5490">
        <w:rPr>
          <w:lang w:val="en-US"/>
        </w:rPr>
        <w:t xml:space="preserve"> 0.1</w:t>
      </w:r>
      <w:r w:rsidR="00FC5490" w:rsidDel="00FC5490">
        <w:rPr>
          <w:lang w:val="en-US"/>
        </w:rPr>
        <w:t xml:space="preserve"> </w:t>
      </w:r>
      <w:r w:rsidR="00F9476F">
        <w:rPr>
          <w:lang w:val="en-US"/>
        </w:rPr>
        <w:t>‰</w:t>
      </w:r>
      <w:r w:rsidR="00A36FA2">
        <w:rPr>
          <w:lang w:val="en-US"/>
        </w:rPr>
        <w:t xml:space="preserve"> (</w:t>
      </w:r>
      <w:r w:rsidR="00A36FA2">
        <w:rPr>
          <w:lang w:val="en-US"/>
        </w:rPr>
        <w:sym w:font="Symbol" w:char="F07E"/>
      </w:r>
      <w:r w:rsidR="00954216">
        <w:rPr>
          <w:lang w:val="en-US"/>
        </w:rPr>
        <w:t xml:space="preserve"> </w:t>
      </w:r>
      <w:r w:rsidR="00A36FA2">
        <w:rPr>
          <w:lang w:val="en-US"/>
        </w:rPr>
        <w:t>0.</w:t>
      </w:r>
      <w:r w:rsidR="00FC5490">
        <w:rPr>
          <w:lang w:val="en-US"/>
        </w:rPr>
        <w:t>3</w:t>
      </w:r>
      <w:r w:rsidR="00954216">
        <w:rPr>
          <w:lang w:val="en-US"/>
        </w:rPr>
        <w:t xml:space="preserve"> </w:t>
      </w:r>
      <w:r w:rsidR="00954216">
        <w:rPr>
          <w:rFonts w:ascii="Symbol" w:hAnsi="Symbol"/>
          <w:lang w:val="en-US"/>
        </w:rPr>
        <w:t></w:t>
      </w:r>
      <w:r w:rsidR="00954216">
        <w:rPr>
          <w:lang w:val="en-US"/>
        </w:rPr>
        <w:t xml:space="preserve"> 0.1 </w:t>
      </w:r>
      <w:r w:rsidR="00A36FA2">
        <w:rPr>
          <w:lang w:val="en-US"/>
        </w:rPr>
        <w:t>‰ including the methodological bias)</w:t>
      </w:r>
      <w:r w:rsidR="00F9476F">
        <w:rPr>
          <w:lang w:val="en-US"/>
        </w:rPr>
        <w:t>.</w:t>
      </w:r>
      <w:r w:rsidR="001B7DBC">
        <w:rPr>
          <w:lang w:val="en-US"/>
        </w:rPr>
        <w:t xml:space="preserve"> </w:t>
      </w:r>
    </w:p>
    <w:p w:rsidR="005A499E" w:rsidRDefault="004773CD" w:rsidP="0055517F">
      <w:pPr>
        <w:spacing w:line="312" w:lineRule="auto"/>
        <w:rPr>
          <w:rFonts w:eastAsia="TimesNewRoman"/>
          <w:color w:val="FF0000"/>
          <w:szCs w:val="24"/>
          <w:lang w:val="en-US"/>
        </w:rPr>
      </w:pPr>
      <w:r>
        <w:rPr>
          <w:lang w:val="en-US"/>
        </w:rPr>
        <w:t xml:space="preserve">- </w:t>
      </w:r>
      <w:r w:rsidRPr="004773CD">
        <w:rPr>
          <w:i/>
          <w:lang w:val="en-US"/>
        </w:rPr>
        <w:t>N isotopes</w:t>
      </w:r>
      <w:r>
        <w:rPr>
          <w:lang w:val="en-US"/>
        </w:rPr>
        <w:t xml:space="preserve">: </w:t>
      </w:r>
      <w:r w:rsidR="00FC3E68">
        <w:rPr>
          <w:lang w:val="en-US"/>
        </w:rPr>
        <w:t>Since</w:t>
      </w:r>
      <w:r w:rsidR="00F9476F">
        <w:rPr>
          <w:lang w:val="en-US"/>
        </w:rPr>
        <w:t xml:space="preserve"> every N atom in both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 w:rsidR="00F9476F">
        <w:rPr>
          <w:lang w:val="en-US"/>
        </w:rPr>
        <w:t xml:space="preserve"> and </w:t>
      </w:r>
      <w:r w:rsidR="007549FE">
        <w:rPr>
          <w:lang w:val="en-US"/>
        </w:rPr>
        <w:t>NO</w:t>
      </w:r>
      <w:r w:rsidR="007549FE" w:rsidRPr="00F9476F">
        <w:rPr>
          <w:vertAlign w:val="subscript"/>
          <w:lang w:val="en-US"/>
        </w:rPr>
        <w:t>3</w:t>
      </w:r>
      <w:r w:rsidR="007549FE" w:rsidRPr="00F9476F">
        <w:rPr>
          <w:vertAlign w:val="superscript"/>
          <w:lang w:val="en-US"/>
        </w:rPr>
        <w:t>-</w:t>
      </w:r>
      <w:r w:rsidR="00F9476F">
        <w:rPr>
          <w:lang w:val="en-US"/>
        </w:rPr>
        <w:t xml:space="preserve"> </w:t>
      </w:r>
      <w:r w:rsidR="00FC3E68">
        <w:rPr>
          <w:lang w:val="en-US"/>
        </w:rPr>
        <w:t>is</w:t>
      </w:r>
      <w:r w:rsidR="00F9476F">
        <w:rPr>
          <w:lang w:val="en-US"/>
        </w:rPr>
        <w:t xml:space="preserve"> transferred into N</w:t>
      </w:r>
      <w:r w:rsidR="00F9476F" w:rsidRPr="007549FE">
        <w:rPr>
          <w:vertAlign w:val="subscript"/>
          <w:lang w:val="en-US"/>
        </w:rPr>
        <w:t>2</w:t>
      </w:r>
      <w:r w:rsidR="00F9476F">
        <w:rPr>
          <w:lang w:val="en-US"/>
        </w:rPr>
        <w:t xml:space="preserve">O </w:t>
      </w:r>
      <w:r w:rsidR="007549FE">
        <w:rPr>
          <w:lang w:val="en-US"/>
        </w:rPr>
        <w:t xml:space="preserve">with </w:t>
      </w:r>
      <w:r w:rsidR="00F9476F">
        <w:rPr>
          <w:lang w:val="en-US"/>
        </w:rPr>
        <w:t>the denitri</w:t>
      </w:r>
      <w:r w:rsidR="005B6096">
        <w:rPr>
          <w:lang w:val="en-US"/>
        </w:rPr>
        <w:t>fi</w:t>
      </w:r>
      <w:r w:rsidR="00F9476F">
        <w:rPr>
          <w:lang w:val="en-US"/>
        </w:rPr>
        <w:t>er method</w:t>
      </w:r>
      <w:r w:rsidR="007549FE">
        <w:rPr>
          <w:lang w:val="en-US"/>
        </w:rPr>
        <w:t xml:space="preserve">, the interference from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 w:rsidR="007549FE">
        <w:rPr>
          <w:lang w:val="en-US"/>
        </w:rPr>
        <w:t xml:space="preserve">  is only dependent o</w:t>
      </w:r>
      <w:r w:rsidR="00F65F04">
        <w:rPr>
          <w:lang w:val="en-US"/>
        </w:rPr>
        <w:t>n</w:t>
      </w:r>
      <w:r w:rsidR="004D6EFB">
        <w:rPr>
          <w:lang w:val="en-US"/>
        </w:rPr>
        <w:t xml:space="preserve"> the</w:t>
      </w:r>
      <w:r w:rsidR="007549FE">
        <w:rPr>
          <w:lang w:val="en-US"/>
        </w:rPr>
        <w:t xml:space="preserve"> </w:t>
      </w:r>
      <w:r w:rsidR="00321C90">
        <w:rPr>
          <w:lang w:val="en-US"/>
        </w:rPr>
        <w:t xml:space="preserve">ambient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 w:rsidR="007549FE">
        <w:rPr>
          <w:lang w:val="en-US"/>
        </w:rPr>
        <w:t xml:space="preserve"> δ</w:t>
      </w:r>
      <w:r w:rsidR="007549FE" w:rsidRPr="007549FE">
        <w:rPr>
          <w:vertAlign w:val="superscript"/>
          <w:lang w:val="en-US"/>
        </w:rPr>
        <w:t>15</w:t>
      </w:r>
      <w:r w:rsidR="007549FE">
        <w:rPr>
          <w:lang w:val="en-US"/>
        </w:rPr>
        <w:t>N and its relative contribution</w:t>
      </w:r>
      <w:r w:rsidR="005B6096">
        <w:rPr>
          <w:lang w:val="en-US"/>
        </w:rPr>
        <w:t xml:space="preserve"> to the </w:t>
      </w:r>
      <w:r w:rsidR="005B6096" w:rsidRPr="00CA6E94">
        <w:rPr>
          <w:lang w:val="en-US"/>
        </w:rPr>
        <w:t>NO</w:t>
      </w:r>
      <w:r w:rsidR="005B6096" w:rsidRPr="00CA6E94">
        <w:rPr>
          <w:vertAlign w:val="subscript"/>
          <w:lang w:val="en-US"/>
        </w:rPr>
        <w:t>2</w:t>
      </w:r>
      <w:r w:rsidR="005B6096" w:rsidRPr="00CA6E94">
        <w:rPr>
          <w:vertAlign w:val="superscript"/>
          <w:lang w:val="en-US"/>
        </w:rPr>
        <w:t>-</w:t>
      </w:r>
      <w:r w:rsidR="005B6096">
        <w:rPr>
          <w:lang w:val="en-US"/>
        </w:rPr>
        <w:t>+NO</w:t>
      </w:r>
      <w:r w:rsidR="005B6096" w:rsidRPr="00F9476F">
        <w:rPr>
          <w:vertAlign w:val="subscript"/>
          <w:lang w:val="en-US"/>
        </w:rPr>
        <w:t>3</w:t>
      </w:r>
      <w:r w:rsidR="005B6096" w:rsidRPr="00F9476F">
        <w:rPr>
          <w:vertAlign w:val="superscript"/>
          <w:lang w:val="en-US"/>
        </w:rPr>
        <w:t>-</w:t>
      </w:r>
      <w:r w:rsidR="005B6096">
        <w:rPr>
          <w:vertAlign w:val="superscript"/>
          <w:lang w:val="en-US"/>
        </w:rPr>
        <w:t xml:space="preserve"> </w:t>
      </w:r>
      <w:r w:rsidR="005B6096">
        <w:rPr>
          <w:lang w:val="en-US"/>
        </w:rPr>
        <w:t>pool</w:t>
      </w:r>
      <w:r w:rsidR="001B7DF9">
        <w:rPr>
          <w:lang w:val="en-US"/>
        </w:rPr>
        <w:t xml:space="preserve"> (i.e., no methodological bias)</w:t>
      </w:r>
      <w:r w:rsidR="007549FE">
        <w:rPr>
          <w:lang w:val="en-US"/>
        </w:rPr>
        <w:t xml:space="preserve">. </w:t>
      </w:r>
      <w:r>
        <w:rPr>
          <w:lang w:val="en-US"/>
        </w:rPr>
        <w:t xml:space="preserve">The N atoms </w:t>
      </w:r>
      <w:r w:rsidR="005B6096">
        <w:rPr>
          <w:lang w:val="en-US"/>
        </w:rPr>
        <w:t xml:space="preserve">of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>
        <w:rPr>
          <w:lang w:val="en-US"/>
        </w:rPr>
        <w:t xml:space="preserve"> in </w:t>
      </w:r>
      <w:r w:rsidR="00FC3E68">
        <w:rPr>
          <w:lang w:val="en-US"/>
        </w:rPr>
        <w:t xml:space="preserve">the </w:t>
      </w:r>
      <w:r>
        <w:rPr>
          <w:lang w:val="en-US"/>
        </w:rPr>
        <w:t xml:space="preserve">mixed layer </w:t>
      </w:r>
      <w:r w:rsidR="00F9476F">
        <w:rPr>
          <w:lang w:val="en-US"/>
        </w:rPr>
        <w:t>are</w:t>
      </w:r>
      <w:r>
        <w:rPr>
          <w:lang w:val="en-US"/>
        </w:rPr>
        <w:t xml:space="preserve"> mainly produced </w:t>
      </w:r>
      <w:r w:rsidR="00FC3E68">
        <w:rPr>
          <w:lang w:val="en-US"/>
        </w:rPr>
        <w:t>from</w:t>
      </w:r>
      <w:r w:rsidR="00321C90">
        <w:rPr>
          <w:lang w:val="en-US"/>
        </w:rPr>
        <w:t xml:space="preserve"> </w:t>
      </w:r>
      <w:r>
        <w:rPr>
          <w:lang w:val="en-US"/>
        </w:rPr>
        <w:t>ammonium oxidation</w:t>
      </w:r>
      <w:r w:rsidR="00321C90">
        <w:rPr>
          <w:lang w:val="en-US"/>
        </w:rPr>
        <w:t xml:space="preserve"> </w:t>
      </w:r>
      <w:r w:rsidR="004D6EFB">
        <w:rPr>
          <w:lang w:val="en-US"/>
        </w:rPr>
        <w:t>(</w:t>
      </w:r>
      <w:r>
        <w:rPr>
          <w:lang w:val="en-US"/>
        </w:rPr>
        <w:t xml:space="preserve">AmO) and </w:t>
      </w:r>
      <w:r w:rsidR="00FC3E68">
        <w:rPr>
          <w:lang w:val="en-US"/>
        </w:rPr>
        <w:t xml:space="preserve">are </w:t>
      </w:r>
      <w:r>
        <w:rPr>
          <w:lang w:val="en-US"/>
        </w:rPr>
        <w:t>consumed by nitrite oxidation</w:t>
      </w:r>
      <w:r w:rsidR="00321C90">
        <w:rPr>
          <w:lang w:val="en-US"/>
        </w:rPr>
        <w:t xml:space="preserve"> (</w:t>
      </w:r>
      <w:r>
        <w:rPr>
          <w:lang w:val="en-US"/>
        </w:rPr>
        <w:t xml:space="preserve">NiO) and nitrite uptake (NiU). </w:t>
      </w:r>
      <w:r w:rsidR="005A499E" w:rsidRPr="00CA6E94">
        <w:rPr>
          <w:lang w:val="en-US"/>
        </w:rPr>
        <w:t>NO</w:t>
      </w:r>
      <w:r w:rsidR="005A499E" w:rsidRPr="00CA6E94">
        <w:rPr>
          <w:vertAlign w:val="subscript"/>
          <w:lang w:val="en-US"/>
        </w:rPr>
        <w:t>2</w:t>
      </w:r>
      <w:r w:rsidR="005A499E" w:rsidRPr="00CA6E94">
        <w:rPr>
          <w:vertAlign w:val="superscript"/>
          <w:lang w:val="en-US"/>
        </w:rPr>
        <w:t>-</w:t>
      </w:r>
      <w:r w:rsidR="005A499E" w:rsidRPr="00CA6E94">
        <w:rPr>
          <w:lang w:val="en-US"/>
        </w:rPr>
        <w:t xml:space="preserve"> δ</w:t>
      </w:r>
      <w:r w:rsidR="005A499E" w:rsidRPr="00CA6E94">
        <w:rPr>
          <w:vertAlign w:val="superscript"/>
          <w:lang w:val="en-US"/>
        </w:rPr>
        <w:t>15</w:t>
      </w:r>
      <w:r w:rsidR="005A499E" w:rsidRPr="00CA6E94">
        <w:rPr>
          <w:lang w:val="en-US"/>
        </w:rPr>
        <w:t xml:space="preserve">N </w:t>
      </w:r>
      <w:r w:rsidR="005A499E" w:rsidRPr="00CA6E94">
        <w:rPr>
          <w:rFonts w:eastAsia="TimesNewRoman" w:cs="Times New Roman"/>
          <w:szCs w:val="24"/>
          <w:lang w:val="en-US"/>
        </w:rPr>
        <w:t xml:space="preserve">will </w:t>
      </w:r>
      <w:r>
        <w:rPr>
          <w:rFonts w:eastAsia="TimesNewRoman" w:cs="Times New Roman"/>
          <w:szCs w:val="24"/>
          <w:lang w:val="en-US"/>
        </w:rPr>
        <w:t xml:space="preserve">thus </w:t>
      </w:r>
      <w:r w:rsidR="005A499E" w:rsidRPr="00CA6E94">
        <w:rPr>
          <w:rFonts w:eastAsia="TimesNewRoman" w:cs="Times New Roman"/>
          <w:szCs w:val="24"/>
          <w:lang w:val="en-US"/>
        </w:rPr>
        <w:t>depend on the contribution of isotope effects</w:t>
      </w:r>
      <w:r w:rsidR="005A499E" w:rsidRPr="00CA6E94">
        <w:rPr>
          <w:rFonts w:eastAsia="TimesNewRoman"/>
          <w:szCs w:val="24"/>
          <w:lang w:val="en-US"/>
        </w:rPr>
        <w:t xml:space="preserve"> (</w:t>
      </w:r>
      <w:r w:rsidR="005A499E" w:rsidRPr="00CA6E94">
        <w:rPr>
          <w:lang w:val="en-US"/>
        </w:rPr>
        <w:t xml:space="preserve">i.e., </w:t>
      </w:r>
      <w:r w:rsidR="005A499E" w:rsidRPr="00CA6E94">
        <w:rPr>
          <w:vertAlign w:val="superscript"/>
          <w:lang w:val="en-US"/>
        </w:rPr>
        <w:t>15</w:t>
      </w:r>
      <w:r w:rsidR="005A499E" w:rsidRPr="00CA6E94">
        <w:t>ε</w:t>
      </w:r>
      <w:r w:rsidR="005A499E" w:rsidRPr="00CA6E94">
        <w:rPr>
          <w:lang w:val="en-US"/>
        </w:rPr>
        <w:t xml:space="preserve"> (‰) = ((</w:t>
      </w:r>
      <w:r w:rsidR="005A499E" w:rsidRPr="00CA6E94">
        <w:rPr>
          <w:vertAlign w:val="superscript"/>
          <w:lang w:val="en-US"/>
        </w:rPr>
        <w:t>14</w:t>
      </w:r>
      <w:r w:rsidR="005A499E" w:rsidRPr="00CA6E94">
        <w:rPr>
          <w:lang w:val="en-US"/>
        </w:rPr>
        <w:t>k/</w:t>
      </w:r>
      <w:r w:rsidR="005A499E" w:rsidRPr="00CA6E94">
        <w:rPr>
          <w:vertAlign w:val="superscript"/>
          <w:lang w:val="en-US"/>
        </w:rPr>
        <w:t>15</w:t>
      </w:r>
      <w:r w:rsidR="005A499E" w:rsidRPr="00CA6E94">
        <w:rPr>
          <w:lang w:val="en-US"/>
        </w:rPr>
        <w:t xml:space="preserve">k)-1) * 1000; where </w:t>
      </w:r>
      <w:r w:rsidR="005A499E" w:rsidRPr="00CA6E94">
        <w:rPr>
          <w:vertAlign w:val="superscript"/>
          <w:lang w:val="en-US"/>
        </w:rPr>
        <w:t>n</w:t>
      </w:r>
      <w:r w:rsidR="005A499E" w:rsidRPr="00CA6E94">
        <w:rPr>
          <w:lang w:val="en-US"/>
        </w:rPr>
        <w:t xml:space="preserve">k is the rate coefficient for the </w:t>
      </w:r>
      <w:r w:rsidR="005A499E" w:rsidRPr="00CA6E94">
        <w:rPr>
          <w:vertAlign w:val="superscript"/>
          <w:lang w:val="en-US"/>
        </w:rPr>
        <w:t>n</w:t>
      </w:r>
      <w:r w:rsidR="005A499E" w:rsidRPr="00CA6E94">
        <w:rPr>
          <w:lang w:val="en-US"/>
        </w:rPr>
        <w:t>N-containing reactant)</w:t>
      </w:r>
      <w:r w:rsidR="005A499E" w:rsidRPr="00CA6E94">
        <w:rPr>
          <w:rFonts w:eastAsia="TimesNewRoman" w:cs="Times New Roman"/>
          <w:szCs w:val="24"/>
          <w:lang w:val="en-US"/>
        </w:rPr>
        <w:t xml:space="preserve">, the relative importance of which are weighted by the relative contribution of their fluxes to ammonium and </w:t>
      </w:r>
      <w:r w:rsidR="007549FE" w:rsidRPr="00CA6E94">
        <w:rPr>
          <w:lang w:val="en-US"/>
        </w:rPr>
        <w:t>NO</w:t>
      </w:r>
      <w:r w:rsidR="007549FE" w:rsidRPr="00CA6E94">
        <w:rPr>
          <w:vertAlign w:val="subscript"/>
          <w:lang w:val="en-US"/>
        </w:rPr>
        <w:t>2</w:t>
      </w:r>
      <w:r w:rsidR="007549FE" w:rsidRPr="00CA6E94">
        <w:rPr>
          <w:vertAlign w:val="superscript"/>
          <w:lang w:val="en-US"/>
        </w:rPr>
        <w:t>-</w:t>
      </w:r>
      <w:r w:rsidR="007549FE">
        <w:rPr>
          <w:vertAlign w:val="superscript"/>
          <w:lang w:val="en-US"/>
        </w:rPr>
        <w:t xml:space="preserve"> </w:t>
      </w:r>
      <w:r w:rsidR="005A499E" w:rsidRPr="00CA6E94">
        <w:rPr>
          <w:rFonts w:eastAsia="TimesNewRoman" w:cs="Times New Roman"/>
          <w:szCs w:val="24"/>
          <w:lang w:val="en-US"/>
        </w:rPr>
        <w:t>removals</w:t>
      </w:r>
      <w:r w:rsidR="005A499E" w:rsidRPr="00CA6E94">
        <w:rPr>
          <w:rFonts w:eastAsia="TimesNewRoman"/>
          <w:szCs w:val="24"/>
          <w:lang w:val="en-US"/>
        </w:rPr>
        <w:t xml:space="preserve"> as follows [Fripiat et al., 2015]:</w:t>
      </w:r>
    </w:p>
    <w:p w:rsidR="005A499E" w:rsidRPr="00FD5F99" w:rsidRDefault="005A499E" w:rsidP="0055517F">
      <w:pPr>
        <w:spacing w:line="312" w:lineRule="auto"/>
        <w:jc w:val="center"/>
        <w:rPr>
          <w:rFonts w:eastAsia="TimesNewRoman"/>
          <w:szCs w:val="24"/>
          <w:lang w:val="en-US"/>
        </w:rPr>
      </w:pPr>
      <w:r w:rsidRPr="00D219E1">
        <w:rPr>
          <w:rFonts w:eastAsia="TimesNewRoman"/>
          <w:color w:val="FF0000"/>
          <w:position w:val="-16"/>
          <w:szCs w:val="24"/>
          <w:lang w:val="en-US"/>
        </w:rPr>
        <w:object w:dxaOrig="6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2.5pt" o:ole="">
            <v:imagedata r:id="rId9" o:title=""/>
          </v:shape>
          <o:OLEObject Type="Embed" ProgID="Equation.3" ShapeID="_x0000_i1025" DrawAspect="Content" ObjectID="_1508229794" r:id="rId10"/>
        </w:object>
      </w:r>
      <w:r w:rsidRPr="00FD5F99">
        <w:rPr>
          <w:rFonts w:eastAsia="TimesNewRoman"/>
          <w:szCs w:val="24"/>
          <w:lang w:val="en-US"/>
        </w:rPr>
        <w:t>(1)</w:t>
      </w:r>
    </w:p>
    <w:p w:rsidR="00F65F04" w:rsidRDefault="005A499E" w:rsidP="0055517F">
      <w:pPr>
        <w:spacing w:line="312" w:lineRule="auto"/>
        <w:rPr>
          <w:lang w:val="en-US"/>
        </w:rPr>
      </w:pPr>
      <w:r w:rsidRPr="00CA6E94">
        <w:rPr>
          <w:lang w:val="en-US"/>
        </w:rPr>
        <w:lastRenderedPageBreak/>
        <w:t xml:space="preserve">where org. N is organic N, R remineralization, AmU ammonium assimilation, AmO ammonium oxidation, NiU nitrite uptake, NiO nitrite oxidation, and where </w:t>
      </w:r>
      <w:r w:rsidRPr="00CA6E94">
        <w:rPr>
          <w:rFonts w:eastAsia="TimesNewRoman" w:cs="Times New Roman"/>
          <w:szCs w:val="24"/>
          <w:lang w:val="en-US"/>
        </w:rPr>
        <w:t>x and y are AmU/Amo and NiU/AmO, respectively</w:t>
      </w:r>
      <w:r w:rsidRPr="00CA6E94">
        <w:rPr>
          <w:rFonts w:eastAsia="TimesNewRoman"/>
          <w:szCs w:val="24"/>
          <w:lang w:val="en-US"/>
        </w:rPr>
        <w:t>.</w:t>
      </w:r>
      <w:r w:rsidR="004773CD" w:rsidRPr="004773CD">
        <w:rPr>
          <w:lang w:val="en-US"/>
        </w:rPr>
        <w:t xml:space="preserve"> </w:t>
      </w:r>
      <w:r w:rsidR="00A36FA2">
        <w:rPr>
          <w:lang w:val="en-US"/>
        </w:rPr>
        <w:t xml:space="preserve">For a given system with relatively constant physical and biogeochemical properties, we can reasonably assume that the isotope effects associated with the different processes </w:t>
      </w:r>
      <w:r w:rsidR="001279D0">
        <w:rPr>
          <w:lang w:val="en-US"/>
        </w:rPr>
        <w:t xml:space="preserve">should not varied </w:t>
      </w:r>
      <w:r w:rsidR="00745522">
        <w:rPr>
          <w:lang w:val="en-US"/>
        </w:rPr>
        <w:t xml:space="preserve">significantly </w:t>
      </w:r>
      <w:r w:rsidR="001279D0">
        <w:rPr>
          <w:lang w:val="en-US"/>
        </w:rPr>
        <w:t>with time</w:t>
      </w:r>
      <w:r w:rsidR="00A36FA2">
        <w:rPr>
          <w:lang w:val="en-US"/>
        </w:rPr>
        <w:t xml:space="preserve">. </w:t>
      </w:r>
      <w:r w:rsidR="00F9476F">
        <w:rPr>
          <w:rFonts w:eastAsia="TimesNewRoman"/>
          <w:szCs w:val="24"/>
          <w:lang w:val="en-US"/>
        </w:rPr>
        <w:t>By taking the optimum guess for the combination of isotope effects (</w:t>
      </w:r>
      <w:r w:rsidR="00F9476F" w:rsidRPr="00F63EAE">
        <w:rPr>
          <w:lang w:val="en-US"/>
        </w:rPr>
        <w:t>2 ‰ for the remineralization</w:t>
      </w:r>
      <w:r w:rsidR="00F9476F">
        <w:rPr>
          <w:lang w:val="en-US"/>
        </w:rPr>
        <w:t xml:space="preserve">; </w:t>
      </w:r>
      <w:r w:rsidR="00F9476F" w:rsidRPr="00F63EAE">
        <w:rPr>
          <w:lang w:val="en-US"/>
        </w:rPr>
        <w:t>5 ‰ for NH</w:t>
      </w:r>
      <w:r w:rsidR="00F9476F" w:rsidRPr="00F63EAE">
        <w:rPr>
          <w:vertAlign w:val="subscript"/>
          <w:lang w:val="en-US"/>
        </w:rPr>
        <w:t>4</w:t>
      </w:r>
      <w:r w:rsidR="00F9476F" w:rsidRPr="00F63EAE">
        <w:rPr>
          <w:vertAlign w:val="superscript"/>
          <w:lang w:val="en-US"/>
        </w:rPr>
        <w:t>+</w:t>
      </w:r>
      <w:r w:rsidR="00F9476F" w:rsidRPr="00F63EAE">
        <w:rPr>
          <w:lang w:val="en-US"/>
        </w:rPr>
        <w:t xml:space="preserve"> assimilation</w:t>
      </w:r>
      <w:r w:rsidR="00F9476F">
        <w:rPr>
          <w:lang w:val="en-US"/>
        </w:rPr>
        <w:t xml:space="preserve">; </w:t>
      </w:r>
      <w:r w:rsidR="00F9476F" w:rsidRPr="00F63EAE">
        <w:rPr>
          <w:lang w:val="en-US"/>
        </w:rPr>
        <w:t>15</w:t>
      </w:r>
      <w:r w:rsidR="00F9476F">
        <w:rPr>
          <w:lang w:val="en-US"/>
        </w:rPr>
        <w:t xml:space="preserve"> </w:t>
      </w:r>
      <w:r w:rsidR="00F9476F" w:rsidRPr="00F63EAE">
        <w:rPr>
          <w:lang w:val="en-US"/>
        </w:rPr>
        <w:t>‰ for NH</w:t>
      </w:r>
      <w:r w:rsidR="00F9476F" w:rsidRPr="00F63EAE">
        <w:rPr>
          <w:vertAlign w:val="subscript"/>
          <w:lang w:val="en-US"/>
        </w:rPr>
        <w:t>4</w:t>
      </w:r>
      <w:r w:rsidR="00F9476F" w:rsidRPr="00F63EAE">
        <w:rPr>
          <w:vertAlign w:val="superscript"/>
          <w:lang w:val="en-US"/>
        </w:rPr>
        <w:t>+</w:t>
      </w:r>
      <w:r w:rsidR="00F9476F" w:rsidRPr="00F63EAE">
        <w:rPr>
          <w:lang w:val="en-US"/>
        </w:rPr>
        <w:t xml:space="preserve"> oxidation</w:t>
      </w:r>
      <w:r w:rsidR="00F9476F">
        <w:rPr>
          <w:lang w:val="en-US"/>
        </w:rPr>
        <w:t xml:space="preserve">; </w:t>
      </w:r>
      <w:r w:rsidR="00F9476F" w:rsidRPr="00F63EAE">
        <w:rPr>
          <w:lang w:val="en-US"/>
        </w:rPr>
        <w:t>0 ‰ for NO</w:t>
      </w:r>
      <w:r w:rsidR="00F9476F" w:rsidRPr="00F63EAE">
        <w:rPr>
          <w:vertAlign w:val="subscript"/>
          <w:lang w:val="en-US"/>
        </w:rPr>
        <w:t>2</w:t>
      </w:r>
      <w:r w:rsidR="00F9476F" w:rsidRPr="00F63EAE">
        <w:rPr>
          <w:vertAlign w:val="superscript"/>
          <w:lang w:val="en-US"/>
        </w:rPr>
        <w:t>-</w:t>
      </w:r>
      <w:r w:rsidR="00F9476F" w:rsidRPr="00F63EAE">
        <w:rPr>
          <w:lang w:val="en-US"/>
        </w:rPr>
        <w:t xml:space="preserve"> assimilation</w:t>
      </w:r>
      <w:r w:rsidR="00F9476F">
        <w:rPr>
          <w:lang w:val="en-US"/>
        </w:rPr>
        <w:t xml:space="preserve">; </w:t>
      </w:r>
      <w:r w:rsidR="00F9476F" w:rsidRPr="00F63EAE">
        <w:rPr>
          <w:lang w:val="en-US"/>
        </w:rPr>
        <w:t>-13 ‰ for NO</w:t>
      </w:r>
      <w:r w:rsidR="00F9476F" w:rsidRPr="00F63EAE">
        <w:rPr>
          <w:vertAlign w:val="subscript"/>
          <w:lang w:val="en-US"/>
        </w:rPr>
        <w:t>2</w:t>
      </w:r>
      <w:r w:rsidR="00F9476F" w:rsidRPr="00F63EAE">
        <w:rPr>
          <w:vertAlign w:val="superscript"/>
          <w:lang w:val="en-US"/>
        </w:rPr>
        <w:t>-</w:t>
      </w:r>
      <w:r w:rsidR="00F9476F" w:rsidRPr="00F63EAE">
        <w:rPr>
          <w:lang w:val="en-US"/>
        </w:rPr>
        <w:t xml:space="preserve"> oxidation</w:t>
      </w:r>
      <w:r w:rsidR="00F9476F">
        <w:rPr>
          <w:lang w:val="en-US"/>
        </w:rPr>
        <w:t xml:space="preserve">), </w:t>
      </w:r>
      <w:r w:rsidR="00F9476F" w:rsidRPr="00CA6E94">
        <w:rPr>
          <w:lang w:val="en-US"/>
        </w:rPr>
        <w:t>NO</w:t>
      </w:r>
      <w:r w:rsidR="00F9476F" w:rsidRPr="00CA6E94">
        <w:rPr>
          <w:vertAlign w:val="subscript"/>
          <w:lang w:val="en-US"/>
        </w:rPr>
        <w:t>2</w:t>
      </w:r>
      <w:r w:rsidR="00F9476F" w:rsidRPr="00CA6E94">
        <w:rPr>
          <w:vertAlign w:val="superscript"/>
          <w:lang w:val="en-US"/>
        </w:rPr>
        <w:t>-</w:t>
      </w:r>
      <w:r w:rsidR="00F9476F" w:rsidRPr="00CA6E94">
        <w:rPr>
          <w:lang w:val="en-US"/>
        </w:rPr>
        <w:t xml:space="preserve"> δ</w:t>
      </w:r>
      <w:r w:rsidR="00F9476F" w:rsidRPr="00CA6E94">
        <w:rPr>
          <w:vertAlign w:val="superscript"/>
          <w:lang w:val="en-US"/>
        </w:rPr>
        <w:t>15</w:t>
      </w:r>
      <w:r w:rsidR="00F9476F" w:rsidRPr="00CA6E94">
        <w:rPr>
          <w:lang w:val="en-US"/>
        </w:rPr>
        <w:t xml:space="preserve">N lies between </w:t>
      </w:r>
      <w:r w:rsidR="00F9476F">
        <w:rPr>
          <w:lang w:val="en-US"/>
        </w:rPr>
        <w:t>-</w:t>
      </w:r>
      <w:r w:rsidR="00F9476F">
        <w:rPr>
          <w:rFonts w:eastAsia="TimesNewRoman" w:cs="Times New Roman"/>
          <w:szCs w:val="24"/>
          <w:lang w:val="en-US"/>
        </w:rPr>
        <w:t>8.6</w:t>
      </w:r>
      <w:r w:rsidR="00F9476F" w:rsidRPr="00CA6E94">
        <w:rPr>
          <w:rFonts w:eastAsia="TimesNewRoman" w:cs="Times New Roman"/>
          <w:szCs w:val="24"/>
          <w:lang w:val="en-US"/>
        </w:rPr>
        <w:t xml:space="preserve"> and -</w:t>
      </w:r>
      <w:r w:rsidR="00F9476F">
        <w:rPr>
          <w:rFonts w:eastAsia="TimesNewRoman" w:cs="Times New Roman"/>
          <w:szCs w:val="24"/>
          <w:lang w:val="en-US"/>
        </w:rPr>
        <w:t>23</w:t>
      </w:r>
      <w:r w:rsidR="00F9476F" w:rsidRPr="00CA6E94">
        <w:rPr>
          <w:rFonts w:eastAsia="TimesNewRoman" w:cs="Times New Roman"/>
          <w:szCs w:val="24"/>
          <w:lang w:val="en-US"/>
        </w:rPr>
        <w:t>.1‰</w:t>
      </w:r>
      <w:r w:rsidR="00F9476F">
        <w:rPr>
          <w:rFonts w:eastAsia="TimesNewRoman" w:cs="Times New Roman"/>
          <w:szCs w:val="24"/>
          <w:lang w:val="en-US"/>
        </w:rPr>
        <w:t xml:space="preserve"> [</w:t>
      </w:r>
      <w:r w:rsidR="00F9476F" w:rsidRPr="00CA6E94">
        <w:rPr>
          <w:lang w:val="en-US"/>
        </w:rPr>
        <w:t>Hoch et al., 1992; Waser et al., 1997; Pennock et al., 1998; Casciotti, 2009; Casciotti et al., 2003; Santoro and Casciotti, 2011; Möbius, 2013; Vo et al., 2013; and reference therein</w:t>
      </w:r>
      <w:r w:rsidR="00F9476F">
        <w:rPr>
          <w:lang w:val="en-US"/>
        </w:rPr>
        <w:t>]</w:t>
      </w:r>
      <w:r w:rsidR="00F9476F">
        <w:rPr>
          <w:rFonts w:eastAsia="TimesNewRoman"/>
          <w:szCs w:val="24"/>
          <w:lang w:val="en-US"/>
        </w:rPr>
        <w:t>.</w:t>
      </w:r>
      <w:r w:rsidR="007549FE">
        <w:rPr>
          <w:rFonts w:eastAsia="TimesNewRoman"/>
          <w:szCs w:val="24"/>
          <w:lang w:val="en-US"/>
        </w:rPr>
        <w:t xml:space="preserve"> Given this range and the relative </w:t>
      </w:r>
      <w:r w:rsidR="007549FE" w:rsidRPr="00F63EAE">
        <w:rPr>
          <w:lang w:val="en-US"/>
        </w:rPr>
        <w:t>NO</w:t>
      </w:r>
      <w:r w:rsidR="007549FE" w:rsidRPr="00F63EAE">
        <w:rPr>
          <w:vertAlign w:val="subscript"/>
          <w:lang w:val="en-US"/>
        </w:rPr>
        <w:t>2</w:t>
      </w:r>
      <w:r w:rsidR="007549FE" w:rsidRPr="00F63EAE">
        <w:rPr>
          <w:vertAlign w:val="superscript"/>
          <w:lang w:val="en-US"/>
        </w:rPr>
        <w:t>-</w:t>
      </w:r>
      <w:r w:rsidR="007549FE">
        <w:rPr>
          <w:vertAlign w:val="superscript"/>
          <w:lang w:val="en-US"/>
        </w:rPr>
        <w:t xml:space="preserve"> </w:t>
      </w:r>
      <w:r w:rsidR="007549FE">
        <w:rPr>
          <w:rFonts w:eastAsia="TimesNewRoman"/>
          <w:szCs w:val="24"/>
          <w:lang w:val="en-US"/>
        </w:rPr>
        <w:t>contribution</w:t>
      </w:r>
      <w:r w:rsidR="005B6096">
        <w:rPr>
          <w:rFonts w:eastAsia="TimesNewRoman"/>
          <w:szCs w:val="24"/>
          <w:lang w:val="en-US"/>
        </w:rPr>
        <w:t xml:space="preserve"> to the </w:t>
      </w:r>
      <w:r w:rsidR="005B6096" w:rsidRPr="00CA6E94">
        <w:rPr>
          <w:lang w:val="en-US"/>
        </w:rPr>
        <w:t>NO</w:t>
      </w:r>
      <w:r w:rsidR="005B6096" w:rsidRPr="00CA6E94">
        <w:rPr>
          <w:vertAlign w:val="subscript"/>
          <w:lang w:val="en-US"/>
        </w:rPr>
        <w:t>2</w:t>
      </w:r>
      <w:r w:rsidR="005B6096" w:rsidRPr="00CA6E94">
        <w:rPr>
          <w:vertAlign w:val="superscript"/>
          <w:lang w:val="en-US"/>
        </w:rPr>
        <w:t>-</w:t>
      </w:r>
      <w:r w:rsidR="005B6096">
        <w:rPr>
          <w:lang w:val="en-US"/>
        </w:rPr>
        <w:t>+NO</w:t>
      </w:r>
      <w:r w:rsidR="005B6096" w:rsidRPr="00F9476F">
        <w:rPr>
          <w:vertAlign w:val="subscript"/>
          <w:lang w:val="en-US"/>
        </w:rPr>
        <w:t>3</w:t>
      </w:r>
      <w:r w:rsidR="005B6096" w:rsidRPr="00F9476F">
        <w:rPr>
          <w:vertAlign w:val="superscript"/>
          <w:lang w:val="en-US"/>
        </w:rPr>
        <w:t>-</w:t>
      </w:r>
      <w:r w:rsidR="005B6096">
        <w:rPr>
          <w:vertAlign w:val="superscript"/>
          <w:lang w:val="en-US"/>
        </w:rPr>
        <w:t xml:space="preserve"> </w:t>
      </w:r>
      <w:r w:rsidR="005B6096">
        <w:rPr>
          <w:lang w:val="en-US"/>
        </w:rPr>
        <w:t>pool</w:t>
      </w:r>
      <w:r w:rsidR="00321C90">
        <w:rPr>
          <w:lang w:val="en-US"/>
        </w:rPr>
        <w:t xml:space="preserve"> </w:t>
      </w:r>
      <w:r w:rsidR="00321C90">
        <w:rPr>
          <w:rStyle w:val="hps"/>
          <w:lang w:val="en-US"/>
        </w:rPr>
        <w:t>(1.2 ± 0.5 %)</w:t>
      </w:r>
      <w:r w:rsidR="007549FE">
        <w:rPr>
          <w:rFonts w:eastAsia="TimesNewRoman"/>
          <w:szCs w:val="24"/>
          <w:lang w:val="en-US"/>
        </w:rPr>
        <w:t xml:space="preserve">, </w:t>
      </w:r>
      <w:r w:rsidR="004D6EFB">
        <w:rPr>
          <w:rFonts w:eastAsia="TimesNewRoman"/>
          <w:szCs w:val="24"/>
          <w:lang w:val="en-US"/>
        </w:rPr>
        <w:t>such interference</w:t>
      </w:r>
      <w:r w:rsidR="007549FE">
        <w:rPr>
          <w:rFonts w:eastAsia="TimesNewRoman"/>
          <w:szCs w:val="24"/>
          <w:lang w:val="en-US"/>
        </w:rPr>
        <w:t xml:space="preserve"> implies an underestimation of the </w:t>
      </w:r>
      <w:r w:rsidR="007549FE">
        <w:rPr>
          <w:lang w:val="en-US"/>
        </w:rPr>
        <w:t>NO</w:t>
      </w:r>
      <w:r w:rsidR="007549FE" w:rsidRPr="00F9476F">
        <w:rPr>
          <w:vertAlign w:val="subscript"/>
          <w:lang w:val="en-US"/>
        </w:rPr>
        <w:t>3</w:t>
      </w:r>
      <w:r w:rsidR="007549FE" w:rsidRPr="00F9476F">
        <w:rPr>
          <w:vertAlign w:val="superscript"/>
          <w:lang w:val="en-US"/>
        </w:rPr>
        <w:t>-</w:t>
      </w:r>
      <w:r w:rsidR="007549FE">
        <w:rPr>
          <w:lang w:val="en-US"/>
        </w:rPr>
        <w:t xml:space="preserve"> δ</w:t>
      </w:r>
      <w:r w:rsidR="007549FE" w:rsidRPr="00F9476F">
        <w:rPr>
          <w:vertAlign w:val="superscript"/>
          <w:lang w:val="en-US"/>
        </w:rPr>
        <w:t>1</w:t>
      </w:r>
      <w:r w:rsidR="00DE1C45">
        <w:rPr>
          <w:vertAlign w:val="superscript"/>
          <w:lang w:val="en-US"/>
        </w:rPr>
        <w:t>5</w:t>
      </w:r>
      <w:r w:rsidR="007549FE">
        <w:rPr>
          <w:lang w:val="en-US"/>
        </w:rPr>
        <w:t>N of  0.</w:t>
      </w:r>
      <w:r w:rsidR="00954216">
        <w:rPr>
          <w:lang w:val="en-US"/>
        </w:rPr>
        <w:t xml:space="preserve">3 </w:t>
      </w:r>
      <w:r w:rsidR="00954216">
        <w:rPr>
          <w:rFonts w:ascii="Symbol" w:hAnsi="Symbol"/>
          <w:lang w:val="en-US"/>
        </w:rPr>
        <w:t></w:t>
      </w:r>
      <w:r w:rsidR="00954216">
        <w:rPr>
          <w:lang w:val="en-US"/>
        </w:rPr>
        <w:t xml:space="preserve"> 0.1</w:t>
      </w:r>
      <w:r w:rsidR="008A3C03">
        <w:rPr>
          <w:lang w:val="en-US"/>
        </w:rPr>
        <w:t xml:space="preserve"> </w:t>
      </w:r>
      <w:r w:rsidR="007549FE">
        <w:rPr>
          <w:lang w:val="en-US"/>
        </w:rPr>
        <w:t>‰.</w:t>
      </w:r>
      <w:r w:rsidR="00954216">
        <w:rPr>
          <w:lang w:val="en-US"/>
        </w:rPr>
        <w:t xml:space="preserve"> We </w:t>
      </w:r>
      <w:r w:rsidR="0055356A">
        <w:rPr>
          <w:lang w:val="en-US"/>
        </w:rPr>
        <w:t xml:space="preserve">also </w:t>
      </w:r>
      <w:r w:rsidR="00954216">
        <w:rPr>
          <w:lang w:val="en-US"/>
        </w:rPr>
        <w:t xml:space="preserve">tested the range of nitrite </w:t>
      </w:r>
      <w:r w:rsidR="00954216">
        <w:rPr>
          <w:rFonts w:ascii="Symbol" w:hAnsi="Symbol"/>
          <w:lang w:val="en-US"/>
        </w:rPr>
        <w:t></w:t>
      </w:r>
      <w:r w:rsidR="00954216" w:rsidRPr="0055356A">
        <w:rPr>
          <w:vertAlign w:val="superscript"/>
          <w:lang w:val="en-US"/>
        </w:rPr>
        <w:t>15</w:t>
      </w:r>
      <w:r w:rsidR="00954216">
        <w:rPr>
          <w:lang w:val="en-US"/>
        </w:rPr>
        <w:t xml:space="preserve">N given </w:t>
      </w:r>
      <w:r w:rsidR="0055356A">
        <w:rPr>
          <w:lang w:val="en-US"/>
        </w:rPr>
        <w:t>by</w:t>
      </w:r>
      <w:r w:rsidR="00954216">
        <w:rPr>
          <w:lang w:val="en-US"/>
        </w:rPr>
        <w:t xml:space="preserve"> Smart et al. [2015] in the winter Southern Ocean (-20 to -40 ‰). This range induce an underestimation of the NO</w:t>
      </w:r>
      <w:r w:rsidR="00954216" w:rsidRPr="00F9476F">
        <w:rPr>
          <w:vertAlign w:val="subscript"/>
          <w:lang w:val="en-US"/>
        </w:rPr>
        <w:t>3</w:t>
      </w:r>
      <w:r w:rsidR="00954216" w:rsidRPr="00F9476F">
        <w:rPr>
          <w:vertAlign w:val="superscript"/>
          <w:lang w:val="en-US"/>
        </w:rPr>
        <w:t>-</w:t>
      </w:r>
      <w:r w:rsidR="00954216">
        <w:rPr>
          <w:lang w:val="en-US"/>
        </w:rPr>
        <w:t xml:space="preserve"> δ</w:t>
      </w:r>
      <w:r w:rsidR="00954216" w:rsidRPr="00F9476F">
        <w:rPr>
          <w:vertAlign w:val="superscript"/>
          <w:lang w:val="en-US"/>
        </w:rPr>
        <w:t>1</w:t>
      </w:r>
      <w:r w:rsidR="00954216">
        <w:rPr>
          <w:vertAlign w:val="superscript"/>
          <w:lang w:val="en-US"/>
        </w:rPr>
        <w:t>5</w:t>
      </w:r>
      <w:r w:rsidR="00954216">
        <w:rPr>
          <w:lang w:val="en-US"/>
        </w:rPr>
        <w:t xml:space="preserve">N of  0.5 </w:t>
      </w:r>
      <w:r w:rsidR="00954216">
        <w:rPr>
          <w:rFonts w:ascii="Symbol" w:hAnsi="Symbol"/>
          <w:lang w:val="en-US"/>
        </w:rPr>
        <w:t></w:t>
      </w:r>
      <w:r w:rsidR="00954216">
        <w:rPr>
          <w:lang w:val="en-US"/>
        </w:rPr>
        <w:t xml:space="preserve"> 0.1</w:t>
      </w:r>
      <w:r w:rsidR="008A3C03">
        <w:rPr>
          <w:lang w:val="en-US"/>
        </w:rPr>
        <w:t xml:space="preserve"> </w:t>
      </w:r>
      <w:r w:rsidR="00954216">
        <w:rPr>
          <w:lang w:val="en-US"/>
        </w:rPr>
        <w:t>‰.</w:t>
      </w:r>
    </w:p>
    <w:p w:rsidR="00A326FC" w:rsidRDefault="00FC3E68" w:rsidP="0055517F">
      <w:pPr>
        <w:spacing w:line="312" w:lineRule="auto"/>
        <w:rPr>
          <w:lang w:val="en-US"/>
        </w:rPr>
      </w:pPr>
      <w:r>
        <w:rPr>
          <w:lang w:val="en-US"/>
        </w:rPr>
        <w:t>Since</w:t>
      </w:r>
      <w:r w:rsidR="006260CE">
        <w:rPr>
          <w:lang w:val="en-US"/>
        </w:rPr>
        <w:t xml:space="preserve"> (i) </w:t>
      </w:r>
      <w:r w:rsidR="00603A1A">
        <w:rPr>
          <w:lang w:val="en-US"/>
        </w:rPr>
        <w:t>we are looking to the seasonal change</w:t>
      </w:r>
      <w:r w:rsidR="004D6EFB">
        <w:rPr>
          <w:lang w:val="en-US"/>
        </w:rPr>
        <w:t>s</w:t>
      </w:r>
      <w:r w:rsidR="00603A1A">
        <w:rPr>
          <w:lang w:val="en-US"/>
        </w:rPr>
        <w:t xml:space="preserve"> in both δ</w:t>
      </w:r>
      <w:r w:rsidR="00603A1A" w:rsidRPr="00603A1A">
        <w:rPr>
          <w:vertAlign w:val="superscript"/>
          <w:lang w:val="en-US"/>
        </w:rPr>
        <w:t>15</w:t>
      </w:r>
      <w:r w:rsidR="00603A1A">
        <w:rPr>
          <w:lang w:val="en-US"/>
        </w:rPr>
        <w:t>N and δ</w:t>
      </w:r>
      <w:r w:rsidR="00603A1A" w:rsidRPr="00603A1A">
        <w:rPr>
          <w:vertAlign w:val="superscript"/>
          <w:lang w:val="en-US"/>
        </w:rPr>
        <w:t>18</w:t>
      </w:r>
      <w:r w:rsidR="00603A1A">
        <w:rPr>
          <w:lang w:val="en-US"/>
        </w:rPr>
        <w:t>O</w:t>
      </w:r>
      <w:r w:rsidR="006260CE">
        <w:rPr>
          <w:lang w:val="en-US"/>
        </w:rPr>
        <w:t>, and (ii) there is no significant change in the contribution of</w:t>
      </w:r>
      <w:r w:rsidR="006260CE" w:rsidRPr="006260CE">
        <w:rPr>
          <w:lang w:val="en-US"/>
        </w:rPr>
        <w:t xml:space="preserve"> </w:t>
      </w:r>
      <w:r w:rsidR="006260CE" w:rsidRPr="00F63EAE">
        <w:rPr>
          <w:lang w:val="en-US"/>
        </w:rPr>
        <w:t>NO</w:t>
      </w:r>
      <w:r w:rsidR="006260CE" w:rsidRPr="00F63EAE">
        <w:rPr>
          <w:vertAlign w:val="subscript"/>
          <w:lang w:val="en-US"/>
        </w:rPr>
        <w:t>2</w:t>
      </w:r>
      <w:r w:rsidR="006260CE" w:rsidRPr="00F63EAE">
        <w:rPr>
          <w:vertAlign w:val="superscript"/>
          <w:lang w:val="en-US"/>
        </w:rPr>
        <w:t>-</w:t>
      </w:r>
      <w:r w:rsidR="006260CE">
        <w:rPr>
          <w:vertAlign w:val="superscript"/>
          <w:lang w:val="en-US"/>
        </w:rPr>
        <w:t xml:space="preserve"> </w:t>
      </w:r>
      <w:r w:rsidR="006260CE">
        <w:rPr>
          <w:lang w:val="en-US"/>
        </w:rPr>
        <w:t>into the</w:t>
      </w:r>
      <w:r w:rsidR="006260CE" w:rsidRPr="006260CE">
        <w:rPr>
          <w:lang w:val="en-US"/>
        </w:rPr>
        <w:t xml:space="preserve"> </w:t>
      </w:r>
      <w:r w:rsidR="006260CE" w:rsidRPr="00CA6E94">
        <w:rPr>
          <w:lang w:val="en-US"/>
        </w:rPr>
        <w:t>NO</w:t>
      </w:r>
      <w:r w:rsidR="006260CE" w:rsidRPr="00CA6E94">
        <w:rPr>
          <w:vertAlign w:val="subscript"/>
          <w:lang w:val="en-US"/>
        </w:rPr>
        <w:t>3</w:t>
      </w:r>
      <w:r w:rsidR="006260CE" w:rsidRPr="00CA6E94">
        <w:rPr>
          <w:vertAlign w:val="superscript"/>
          <w:lang w:val="en-US"/>
        </w:rPr>
        <w:t>-</w:t>
      </w:r>
      <w:r w:rsidR="006260CE" w:rsidRPr="00CA6E94">
        <w:rPr>
          <w:lang w:val="en-US"/>
        </w:rPr>
        <w:t>+NO</w:t>
      </w:r>
      <w:r w:rsidR="006260CE" w:rsidRPr="00CA6E94">
        <w:rPr>
          <w:vertAlign w:val="subscript"/>
          <w:lang w:val="en-US"/>
        </w:rPr>
        <w:t>2</w:t>
      </w:r>
      <w:r w:rsidR="006260CE" w:rsidRPr="00CA6E94">
        <w:rPr>
          <w:vertAlign w:val="superscript"/>
          <w:lang w:val="en-US"/>
        </w:rPr>
        <w:t>-</w:t>
      </w:r>
      <w:r w:rsidR="006260CE">
        <w:rPr>
          <w:lang w:val="en-US"/>
        </w:rPr>
        <w:t xml:space="preserve"> pool (1.2 ± 0.5 %)</w:t>
      </w:r>
      <w:r w:rsidR="00603A1A">
        <w:rPr>
          <w:lang w:val="en-US"/>
        </w:rPr>
        <w:t xml:space="preserve">, </w:t>
      </w:r>
      <w:r w:rsidR="006260CE">
        <w:rPr>
          <w:lang w:val="en-US"/>
        </w:rPr>
        <w:t>a</w:t>
      </w:r>
      <w:r w:rsidR="00153DA1">
        <w:rPr>
          <w:lang w:val="en-US"/>
        </w:rPr>
        <w:t>n</w:t>
      </w:r>
      <w:r w:rsidR="006260CE">
        <w:rPr>
          <w:lang w:val="en-US"/>
        </w:rPr>
        <w:t xml:space="preserve"> interference from an invariant </w:t>
      </w:r>
      <w:r w:rsidR="006260CE" w:rsidRPr="00F63EAE">
        <w:rPr>
          <w:lang w:val="en-US"/>
        </w:rPr>
        <w:t>NO</w:t>
      </w:r>
      <w:r w:rsidR="006260CE" w:rsidRPr="00F63EAE">
        <w:rPr>
          <w:vertAlign w:val="subscript"/>
          <w:lang w:val="en-US"/>
        </w:rPr>
        <w:t>2</w:t>
      </w:r>
      <w:r w:rsidR="006260CE" w:rsidRPr="00F63EAE">
        <w:rPr>
          <w:vertAlign w:val="superscript"/>
          <w:lang w:val="en-US"/>
        </w:rPr>
        <w:t>-</w:t>
      </w:r>
      <w:r w:rsidR="006260CE">
        <w:rPr>
          <w:vertAlign w:val="superscript"/>
          <w:lang w:val="en-US"/>
        </w:rPr>
        <w:t xml:space="preserve">  </w:t>
      </w:r>
      <w:r w:rsidR="006260CE">
        <w:rPr>
          <w:lang w:val="en-US"/>
        </w:rPr>
        <w:t>δ</w:t>
      </w:r>
      <w:r w:rsidR="006260CE" w:rsidRPr="006260CE">
        <w:rPr>
          <w:vertAlign w:val="superscript"/>
          <w:lang w:val="en-US"/>
        </w:rPr>
        <w:t>15</w:t>
      </w:r>
      <w:r w:rsidR="006260CE">
        <w:rPr>
          <w:lang w:val="en-US"/>
        </w:rPr>
        <w:t>N and δ</w:t>
      </w:r>
      <w:r w:rsidR="006260CE" w:rsidRPr="006260CE">
        <w:rPr>
          <w:vertAlign w:val="superscript"/>
          <w:lang w:val="en-US"/>
        </w:rPr>
        <w:t>18</w:t>
      </w:r>
      <w:r w:rsidR="006260CE">
        <w:rPr>
          <w:lang w:val="en-US"/>
        </w:rPr>
        <w:t>O will have no effect on our assessment of</w:t>
      </w:r>
      <w:r w:rsidR="006B3BA3">
        <w:rPr>
          <w:lang w:val="en-US"/>
        </w:rPr>
        <w:t xml:space="preserve"> the decoupling between</w:t>
      </w:r>
      <w:r w:rsidR="006260CE">
        <w:rPr>
          <w:lang w:val="en-US"/>
        </w:rPr>
        <w:t xml:space="preserve"> N and O isotopes (</w:t>
      </w:r>
      <w:r w:rsidR="003C677F">
        <w:rPr>
          <w:lang w:val="en-US"/>
        </w:rPr>
        <w:t xml:space="preserve">i.e., </w:t>
      </w:r>
      <w:r w:rsidR="006260CE">
        <w:rPr>
          <w:lang w:val="en-US"/>
        </w:rPr>
        <w:t xml:space="preserve">early spring </w:t>
      </w:r>
      <w:r w:rsidR="006260CE">
        <w:rPr>
          <w:rFonts w:cs="Times New Roman"/>
          <w:lang w:val="en-US"/>
        </w:rPr>
        <w:t>Δ</w:t>
      </w:r>
      <w:r w:rsidR="006260CE">
        <w:rPr>
          <w:lang w:val="en-US"/>
        </w:rPr>
        <w:t xml:space="preserve">(15-18) minus late summer </w:t>
      </w:r>
      <w:r w:rsidR="006260CE">
        <w:rPr>
          <w:rFonts w:cs="Times New Roman"/>
          <w:lang w:val="en-US"/>
        </w:rPr>
        <w:t>Δ</w:t>
      </w:r>
      <w:r w:rsidR="006260CE">
        <w:rPr>
          <w:lang w:val="en-US"/>
        </w:rPr>
        <w:t>(15-18) = 0.</w:t>
      </w:r>
      <w:r w:rsidR="00A326FC">
        <w:rPr>
          <w:lang w:val="en-US"/>
        </w:rPr>
        <w:t>5</w:t>
      </w:r>
      <w:r w:rsidR="003438F5">
        <w:rPr>
          <w:lang w:val="en-US"/>
        </w:rPr>
        <w:t>3</w:t>
      </w:r>
      <w:r w:rsidR="006260CE">
        <w:rPr>
          <w:lang w:val="en-US"/>
        </w:rPr>
        <w:t xml:space="preserve"> ‰). It is only if </w:t>
      </w:r>
      <w:r w:rsidR="006260CE" w:rsidRPr="00F63EAE">
        <w:rPr>
          <w:lang w:val="en-US"/>
        </w:rPr>
        <w:t>NO</w:t>
      </w:r>
      <w:r w:rsidR="006260CE" w:rsidRPr="00F63EAE">
        <w:rPr>
          <w:vertAlign w:val="subscript"/>
          <w:lang w:val="en-US"/>
        </w:rPr>
        <w:t>2</w:t>
      </w:r>
      <w:r w:rsidR="006260CE" w:rsidRPr="00F63EAE">
        <w:rPr>
          <w:vertAlign w:val="superscript"/>
          <w:lang w:val="en-US"/>
        </w:rPr>
        <w:t>-</w:t>
      </w:r>
      <w:r w:rsidR="006260CE">
        <w:rPr>
          <w:vertAlign w:val="superscript"/>
          <w:lang w:val="en-US"/>
        </w:rPr>
        <w:t xml:space="preserve"> </w:t>
      </w:r>
      <w:r w:rsidR="006260CE">
        <w:rPr>
          <w:lang w:val="en-US"/>
        </w:rPr>
        <w:t>δ</w:t>
      </w:r>
      <w:r w:rsidR="006260CE" w:rsidRPr="006260CE">
        <w:rPr>
          <w:vertAlign w:val="superscript"/>
          <w:lang w:val="en-US"/>
        </w:rPr>
        <w:t>15</w:t>
      </w:r>
      <w:r w:rsidR="006260CE">
        <w:rPr>
          <w:lang w:val="en-US"/>
        </w:rPr>
        <w:t>N and δ</w:t>
      </w:r>
      <w:r w:rsidR="006260CE" w:rsidRPr="006260CE">
        <w:rPr>
          <w:vertAlign w:val="superscript"/>
          <w:lang w:val="en-US"/>
        </w:rPr>
        <w:t>18</w:t>
      </w:r>
      <w:r w:rsidR="006260CE">
        <w:rPr>
          <w:lang w:val="en-US"/>
        </w:rPr>
        <w:t xml:space="preserve">O </w:t>
      </w:r>
      <w:r w:rsidR="00A326FC">
        <w:rPr>
          <w:lang w:val="en-US"/>
        </w:rPr>
        <w:t>vary</w:t>
      </w:r>
      <w:r w:rsidR="006260CE">
        <w:rPr>
          <w:lang w:val="en-US"/>
        </w:rPr>
        <w:t xml:space="preserve"> significantly between early spring </w:t>
      </w:r>
      <w:r w:rsidR="00A326FC">
        <w:rPr>
          <w:lang w:val="en-US"/>
        </w:rPr>
        <w:t>to</w:t>
      </w:r>
      <w:r w:rsidR="006260CE">
        <w:rPr>
          <w:lang w:val="en-US"/>
        </w:rPr>
        <w:t xml:space="preserve"> late summer that a bias in our assessment </w:t>
      </w:r>
      <w:r w:rsidR="004D6EFB">
        <w:rPr>
          <w:lang w:val="en-US"/>
        </w:rPr>
        <w:t>could occur</w:t>
      </w:r>
      <w:r w:rsidR="006260CE">
        <w:rPr>
          <w:lang w:val="en-US"/>
        </w:rPr>
        <w:t>.</w:t>
      </w:r>
      <w:r w:rsidR="006B3BA3">
        <w:rPr>
          <w:lang w:val="en-US"/>
        </w:rPr>
        <w:t xml:space="preserve"> </w:t>
      </w:r>
      <w:r w:rsidR="00A326FC">
        <w:rPr>
          <w:lang w:val="en-US"/>
        </w:rPr>
        <w:t>By taking the range for both NO</w:t>
      </w:r>
      <w:r w:rsidR="00A326FC" w:rsidRPr="00DE7BB9">
        <w:rPr>
          <w:vertAlign w:val="subscript"/>
          <w:lang w:val="en-US"/>
        </w:rPr>
        <w:t>2</w:t>
      </w:r>
      <w:r w:rsidR="00A326FC" w:rsidRPr="00DE7BB9">
        <w:rPr>
          <w:vertAlign w:val="superscript"/>
          <w:lang w:val="en-US"/>
        </w:rPr>
        <w:t>-</w:t>
      </w:r>
      <w:r w:rsidR="00A326FC">
        <w:rPr>
          <w:lang w:val="en-US"/>
        </w:rPr>
        <w:t xml:space="preserve"> δ</w:t>
      </w:r>
      <w:r w:rsidR="00A326FC" w:rsidRPr="00DE7BB9">
        <w:rPr>
          <w:vertAlign w:val="superscript"/>
          <w:lang w:val="en-US"/>
        </w:rPr>
        <w:t>15</w:t>
      </w:r>
      <w:r w:rsidR="00A326FC">
        <w:rPr>
          <w:lang w:val="en-US"/>
        </w:rPr>
        <w:t>N and δ</w:t>
      </w:r>
      <w:r w:rsidR="00A326FC" w:rsidRPr="00DE7BB9">
        <w:rPr>
          <w:vertAlign w:val="superscript"/>
          <w:lang w:val="en-US"/>
        </w:rPr>
        <w:t>18</w:t>
      </w:r>
      <w:r w:rsidR="00A326FC">
        <w:rPr>
          <w:lang w:val="en-US"/>
        </w:rPr>
        <w:t xml:space="preserve">O </w:t>
      </w:r>
      <w:r w:rsidR="0043639F">
        <w:rPr>
          <w:lang w:val="en-US"/>
        </w:rPr>
        <w:t>and the methodological bias for O isotopes</w:t>
      </w:r>
      <w:r w:rsidR="00A326FC">
        <w:rPr>
          <w:lang w:val="en-US"/>
        </w:rPr>
        <w:t xml:space="preserve">, the seasonal decoupling between N and O isotopes </w:t>
      </w:r>
      <w:r w:rsidR="00FC5490">
        <w:rPr>
          <w:rFonts w:eastAsia="TimesNewRoman" w:cs="Times New Roman"/>
          <w:szCs w:val="24"/>
          <w:lang w:val="en-US"/>
        </w:rPr>
        <w:t>is</w:t>
      </w:r>
      <w:r w:rsidR="00DF0718">
        <w:rPr>
          <w:rFonts w:eastAsia="TimesNewRoman" w:cs="Times New Roman"/>
          <w:szCs w:val="24"/>
          <w:lang w:val="en-US"/>
        </w:rPr>
        <w:t xml:space="preserve"> 0.</w:t>
      </w:r>
      <w:r w:rsidR="0021153C">
        <w:rPr>
          <w:rFonts w:eastAsia="TimesNewRoman" w:cs="Times New Roman"/>
          <w:szCs w:val="24"/>
          <w:lang w:val="en-US"/>
        </w:rPr>
        <w:t xml:space="preserve">56 </w:t>
      </w:r>
      <w:r w:rsidR="00DF0718">
        <w:rPr>
          <w:rFonts w:ascii="Symbol" w:eastAsia="TimesNewRoman" w:hAnsi="Symbol" w:cs="Times New Roman"/>
          <w:szCs w:val="24"/>
          <w:lang w:val="en-US"/>
        </w:rPr>
        <w:t></w:t>
      </w:r>
      <w:r w:rsidR="00DF0718">
        <w:rPr>
          <w:rFonts w:eastAsia="TimesNewRoman" w:cs="Times New Roman"/>
          <w:szCs w:val="24"/>
          <w:lang w:val="en-US"/>
        </w:rPr>
        <w:t xml:space="preserve"> 0.2</w:t>
      </w:r>
      <w:r w:rsidR="0021153C">
        <w:rPr>
          <w:rFonts w:eastAsia="TimesNewRoman" w:cs="Times New Roman"/>
          <w:szCs w:val="24"/>
          <w:lang w:val="en-US"/>
        </w:rPr>
        <w:t>2</w:t>
      </w:r>
      <w:r w:rsidR="00DF0718">
        <w:rPr>
          <w:rFonts w:eastAsia="TimesNewRoman" w:cs="Times New Roman"/>
          <w:szCs w:val="24"/>
          <w:lang w:val="en-US"/>
        </w:rPr>
        <w:t xml:space="preserve"> ‰</w:t>
      </w:r>
      <w:r w:rsidR="00DF0718">
        <w:rPr>
          <w:lang w:val="en-US"/>
        </w:rPr>
        <w:t xml:space="preserve"> </w:t>
      </w:r>
      <w:r w:rsidR="00A326FC">
        <w:rPr>
          <w:lang w:val="en-US"/>
        </w:rPr>
        <w:t>(</w:t>
      </w:r>
      <w:r w:rsidR="003C677F">
        <w:rPr>
          <w:lang w:val="en-US"/>
        </w:rPr>
        <w:t xml:space="preserve">i.e., </w:t>
      </w:r>
      <w:r w:rsidR="00A326FC">
        <w:rPr>
          <w:lang w:val="en-US"/>
        </w:rPr>
        <w:t xml:space="preserve">early spring </w:t>
      </w:r>
      <w:r w:rsidR="00A326FC">
        <w:rPr>
          <w:rFonts w:cs="Times New Roman"/>
          <w:lang w:val="en-US"/>
        </w:rPr>
        <w:t>Δ</w:t>
      </w:r>
      <w:r w:rsidR="00A326FC">
        <w:rPr>
          <w:lang w:val="en-US"/>
        </w:rPr>
        <w:t xml:space="preserve">(15-18) minus late summer </w:t>
      </w:r>
      <w:r w:rsidR="00A326FC">
        <w:rPr>
          <w:rFonts w:cs="Times New Roman"/>
          <w:lang w:val="en-US"/>
        </w:rPr>
        <w:t>Δ</w:t>
      </w:r>
      <w:r w:rsidR="00A326FC">
        <w:rPr>
          <w:lang w:val="en-US"/>
        </w:rPr>
        <w:t>(15-18))</w:t>
      </w:r>
      <w:r w:rsidR="00A326FC">
        <w:rPr>
          <w:rFonts w:eastAsia="TimesNewRoman" w:cs="Times New Roman"/>
          <w:szCs w:val="24"/>
          <w:lang w:val="en-US"/>
        </w:rPr>
        <w:t xml:space="preserve">. Such range is </w:t>
      </w:r>
      <w:r w:rsidR="000F2B27">
        <w:rPr>
          <w:rFonts w:eastAsia="TimesNewRoman" w:cs="Times New Roman"/>
          <w:szCs w:val="24"/>
          <w:lang w:val="en-US"/>
        </w:rPr>
        <w:t>indistinguishable to the</w:t>
      </w:r>
      <w:r w:rsidR="00FC5490">
        <w:rPr>
          <w:rFonts w:eastAsia="TimesNewRoman" w:cs="Times New Roman"/>
          <w:szCs w:val="24"/>
          <w:lang w:val="en-US"/>
        </w:rPr>
        <w:t xml:space="preserve"> average and</w:t>
      </w:r>
      <w:r w:rsidR="00A326FC">
        <w:rPr>
          <w:rFonts w:eastAsia="TimesNewRoman" w:cs="Times New Roman"/>
          <w:szCs w:val="24"/>
          <w:lang w:val="en-US"/>
        </w:rPr>
        <w:t xml:space="preserve"> precision </w:t>
      </w:r>
      <w:r w:rsidR="00F65F04">
        <w:rPr>
          <w:rFonts w:eastAsia="TimesNewRoman" w:cs="Times New Roman"/>
          <w:szCs w:val="24"/>
          <w:lang w:val="en-US"/>
        </w:rPr>
        <w:t>given by</w:t>
      </w:r>
      <w:r w:rsidR="00A326FC">
        <w:rPr>
          <w:rFonts w:eastAsia="TimesNewRoman" w:cs="Times New Roman"/>
          <w:szCs w:val="24"/>
          <w:lang w:val="en-US"/>
        </w:rPr>
        <w:t xml:space="preserve"> the observations (</w:t>
      </w:r>
      <w:r w:rsidR="00A326FC">
        <w:rPr>
          <w:lang w:val="en-US"/>
        </w:rPr>
        <w:t>0.5</w:t>
      </w:r>
      <w:r w:rsidR="0021153C">
        <w:rPr>
          <w:lang w:val="en-US"/>
        </w:rPr>
        <w:t>3</w:t>
      </w:r>
      <w:r w:rsidR="00A326FC">
        <w:rPr>
          <w:lang w:val="en-US"/>
        </w:rPr>
        <w:t xml:space="preserve"> </w:t>
      </w:r>
      <w:r w:rsidR="00A326FC">
        <w:rPr>
          <w:rFonts w:ascii="Symbol" w:hAnsi="Symbol"/>
          <w:lang w:val="en-US"/>
        </w:rPr>
        <w:t></w:t>
      </w:r>
      <w:r w:rsidR="00A326FC">
        <w:rPr>
          <w:lang w:val="en-US"/>
        </w:rPr>
        <w:t xml:space="preserve"> 0.3</w:t>
      </w:r>
      <w:r w:rsidR="0021153C">
        <w:rPr>
          <w:lang w:val="en-US"/>
        </w:rPr>
        <w:t>0</w:t>
      </w:r>
      <w:r w:rsidR="00A326FC">
        <w:rPr>
          <w:lang w:val="en-US"/>
        </w:rPr>
        <w:t xml:space="preserve"> ‰), implying a negligible impact of nitrite interference</w:t>
      </w:r>
      <w:r w:rsidR="001279D0">
        <w:rPr>
          <w:lang w:val="en-US"/>
        </w:rPr>
        <w:t xml:space="preserve"> on the estimation of the contribution of nitrification to nitrate assimilation</w:t>
      </w:r>
      <w:r w:rsidR="00A326FC">
        <w:rPr>
          <w:lang w:val="en-US"/>
        </w:rPr>
        <w:t>.</w:t>
      </w:r>
      <w:r w:rsidR="001279D0">
        <w:rPr>
          <w:lang w:val="en-US"/>
        </w:rPr>
        <w:t xml:space="preserve"> The single-box model is optimized by fitting the model outputs to the observations by taking into account their associated uncertainties.</w:t>
      </w:r>
      <w:r w:rsidR="00A326FC">
        <w:rPr>
          <w:lang w:val="en-US"/>
        </w:rPr>
        <w:t xml:space="preserve"> </w:t>
      </w:r>
      <w:r w:rsidR="00954216">
        <w:rPr>
          <w:lang w:val="en-US"/>
        </w:rPr>
        <w:t>Although that an underestimation of NO</w:t>
      </w:r>
      <w:r w:rsidR="00954216" w:rsidRPr="00FC5490">
        <w:rPr>
          <w:vertAlign w:val="subscript"/>
          <w:lang w:val="en-US"/>
        </w:rPr>
        <w:t>3</w:t>
      </w:r>
      <w:r w:rsidR="00954216" w:rsidRPr="00FC5490">
        <w:rPr>
          <w:vertAlign w:val="superscript"/>
          <w:lang w:val="en-US"/>
        </w:rPr>
        <w:t>-</w:t>
      </w:r>
      <w:r w:rsidR="00954216">
        <w:rPr>
          <w:lang w:val="en-US"/>
        </w:rPr>
        <w:t xml:space="preserve"> </w:t>
      </w:r>
      <w:r w:rsidR="00954216">
        <w:rPr>
          <w:rFonts w:ascii="Symbol" w:hAnsi="Symbol"/>
          <w:lang w:val="en-US"/>
        </w:rPr>
        <w:t></w:t>
      </w:r>
      <w:r w:rsidR="00954216" w:rsidRPr="00954216">
        <w:rPr>
          <w:vertAlign w:val="superscript"/>
          <w:lang w:val="en-US"/>
        </w:rPr>
        <w:t>15</w:t>
      </w:r>
      <w:r w:rsidR="00954216">
        <w:rPr>
          <w:lang w:val="en-US"/>
        </w:rPr>
        <w:t xml:space="preserve">N and </w:t>
      </w:r>
      <w:r w:rsidR="00954216">
        <w:rPr>
          <w:rFonts w:ascii="Symbol" w:hAnsi="Symbol"/>
          <w:lang w:val="en-US"/>
        </w:rPr>
        <w:t></w:t>
      </w:r>
      <w:r w:rsidR="00954216" w:rsidRPr="00954216">
        <w:rPr>
          <w:vertAlign w:val="superscript"/>
          <w:lang w:val="en-US"/>
        </w:rPr>
        <w:t>18</w:t>
      </w:r>
      <w:r w:rsidR="00954216">
        <w:rPr>
          <w:lang w:val="en-US"/>
        </w:rPr>
        <w:t>O is likely</w:t>
      </w:r>
      <w:r w:rsidR="0021153C">
        <w:rPr>
          <w:lang w:val="en-US"/>
        </w:rPr>
        <w:t>, this</w:t>
      </w:r>
      <w:r w:rsidR="00954216">
        <w:rPr>
          <w:lang w:val="en-US"/>
        </w:rPr>
        <w:t xml:space="preserve"> is not clearly seen </w:t>
      </w:r>
      <w:r w:rsidR="00A326FC">
        <w:rPr>
          <w:lang w:val="en-US"/>
        </w:rPr>
        <w:t xml:space="preserve">with the initial </w:t>
      </w:r>
      <w:r w:rsidR="003C677F">
        <w:rPr>
          <w:lang w:val="en-US"/>
        </w:rPr>
        <w:t xml:space="preserve">vertical </w:t>
      </w:r>
      <w:r w:rsidR="00A326FC">
        <w:rPr>
          <w:lang w:val="en-US"/>
        </w:rPr>
        <w:t>profile (</w:t>
      </w:r>
      <w:r w:rsidR="00271978">
        <w:rPr>
          <w:lang w:val="en-US"/>
        </w:rPr>
        <w:t>20</w:t>
      </w:r>
      <w:r w:rsidR="00271978" w:rsidRPr="00FD5F99">
        <w:rPr>
          <w:vertAlign w:val="superscript"/>
          <w:lang w:val="en-US"/>
        </w:rPr>
        <w:t>th</w:t>
      </w:r>
      <w:r w:rsidR="00271978">
        <w:rPr>
          <w:lang w:val="en-US"/>
        </w:rPr>
        <w:t xml:space="preserve"> October) showing the</w:t>
      </w:r>
      <w:r w:rsidR="003C677F">
        <w:rPr>
          <w:lang w:val="en-US"/>
        </w:rPr>
        <w:t xml:space="preserve"> near</w:t>
      </w:r>
      <w:r w:rsidR="00271978">
        <w:rPr>
          <w:lang w:val="en-US"/>
        </w:rPr>
        <w:t xml:space="preserve"> full range in nitrite concentration but with no significant </w:t>
      </w:r>
      <w:r w:rsidR="004D6EFB">
        <w:rPr>
          <w:lang w:val="en-US"/>
        </w:rPr>
        <w:t>variations</w:t>
      </w:r>
      <w:r w:rsidR="00F65F04">
        <w:rPr>
          <w:lang w:val="en-US"/>
        </w:rPr>
        <w:t xml:space="preserve"> with depth</w:t>
      </w:r>
      <w:r w:rsidR="00271978">
        <w:rPr>
          <w:lang w:val="en-US"/>
        </w:rPr>
        <w:t xml:space="preserve"> in both NO</w:t>
      </w:r>
      <w:r w:rsidR="00271978" w:rsidRPr="00FD5F99">
        <w:rPr>
          <w:vertAlign w:val="subscript"/>
          <w:lang w:val="en-US"/>
        </w:rPr>
        <w:t>3</w:t>
      </w:r>
      <w:r w:rsidR="00271978" w:rsidRPr="00FD5F99">
        <w:rPr>
          <w:vertAlign w:val="superscript"/>
          <w:lang w:val="en-US"/>
        </w:rPr>
        <w:t>-</w:t>
      </w:r>
      <w:r w:rsidR="00271978">
        <w:rPr>
          <w:lang w:val="en-US"/>
        </w:rPr>
        <w:t>+NO</w:t>
      </w:r>
      <w:r w:rsidR="00271978" w:rsidRPr="00FD5F99">
        <w:rPr>
          <w:vertAlign w:val="subscript"/>
          <w:lang w:val="en-US"/>
        </w:rPr>
        <w:t>2</w:t>
      </w:r>
      <w:r w:rsidR="00271978" w:rsidRPr="00FD5F99">
        <w:rPr>
          <w:vertAlign w:val="superscript"/>
          <w:lang w:val="en-US"/>
        </w:rPr>
        <w:t>-</w:t>
      </w:r>
      <w:r w:rsidR="00271978">
        <w:rPr>
          <w:lang w:val="en-US"/>
        </w:rPr>
        <w:t xml:space="preserve"> </w:t>
      </w:r>
      <w:r w:rsidR="00271978">
        <w:rPr>
          <w:rFonts w:ascii="Symbol" w:hAnsi="Symbol"/>
          <w:lang w:val="en-US"/>
        </w:rPr>
        <w:t></w:t>
      </w:r>
      <w:r w:rsidR="00271978" w:rsidRPr="00FD5F99">
        <w:rPr>
          <w:vertAlign w:val="superscript"/>
          <w:lang w:val="en-US"/>
        </w:rPr>
        <w:t>15</w:t>
      </w:r>
      <w:r w:rsidR="00271978">
        <w:rPr>
          <w:lang w:val="en-US"/>
        </w:rPr>
        <w:t xml:space="preserve">N and </w:t>
      </w:r>
      <w:r w:rsidR="00271978">
        <w:rPr>
          <w:rFonts w:ascii="Symbol" w:hAnsi="Symbol"/>
          <w:lang w:val="en-US"/>
        </w:rPr>
        <w:t></w:t>
      </w:r>
      <w:r w:rsidR="00271978" w:rsidRPr="00FD5F99">
        <w:rPr>
          <w:vertAlign w:val="superscript"/>
          <w:lang w:val="en-US"/>
        </w:rPr>
        <w:t>18</w:t>
      </w:r>
      <w:r w:rsidR="00271978">
        <w:rPr>
          <w:lang w:val="en-US"/>
        </w:rPr>
        <w:t xml:space="preserve">O (Fig. S1). </w:t>
      </w:r>
      <w:r w:rsidR="00A326FC">
        <w:rPr>
          <w:lang w:val="en-US"/>
        </w:rPr>
        <w:t xml:space="preserve"> </w:t>
      </w:r>
    </w:p>
    <w:p w:rsidR="00316308" w:rsidRPr="00F63EAE" w:rsidRDefault="006260CE" w:rsidP="0055517F">
      <w:pPr>
        <w:pStyle w:val="Heading2"/>
        <w:spacing w:line="312" w:lineRule="auto"/>
        <w:rPr>
          <w:lang w:val="en-US"/>
        </w:rPr>
      </w:pPr>
      <w:r w:rsidRPr="00F63EAE">
        <w:rPr>
          <w:lang w:val="en-US"/>
        </w:rPr>
        <w:t>S</w:t>
      </w:r>
      <w:r>
        <w:rPr>
          <w:lang w:val="en-US"/>
        </w:rPr>
        <w:t>2</w:t>
      </w:r>
      <w:r w:rsidR="00316308" w:rsidRPr="00F63EAE">
        <w:rPr>
          <w:lang w:val="en-US"/>
        </w:rPr>
        <w:t>.  Vertical 1-dimensional box model</w:t>
      </w:r>
      <w:r w:rsidR="00CF30F7" w:rsidRPr="00F63EAE">
        <w:rPr>
          <w:lang w:val="en-US"/>
        </w:rPr>
        <w:t>: surface vs. subsurface nitrification</w:t>
      </w:r>
    </w:p>
    <w:p w:rsidR="009553BB" w:rsidRPr="00F63EAE" w:rsidRDefault="000B5009" w:rsidP="0055517F">
      <w:pPr>
        <w:spacing w:line="312" w:lineRule="auto"/>
        <w:rPr>
          <w:lang w:val="en-US"/>
        </w:rPr>
      </w:pPr>
      <w:r w:rsidRPr="00F63EAE">
        <w:rPr>
          <w:lang w:val="en-US"/>
        </w:rPr>
        <w:t>We use a time-dependent 1-dimensional vertical box model (0-250</w:t>
      </w:r>
      <w:r w:rsidR="00846E38" w:rsidRPr="00F63EAE">
        <w:rPr>
          <w:lang w:val="en-US"/>
        </w:rPr>
        <w:t xml:space="preserve"> </w:t>
      </w:r>
      <w:r w:rsidRPr="00F63EAE">
        <w:rPr>
          <w:lang w:val="en-US"/>
        </w:rPr>
        <w:t>m; 50 layers</w:t>
      </w:r>
      <w:r w:rsidR="00727678" w:rsidRPr="00F63EAE">
        <w:rPr>
          <w:lang w:val="en-US"/>
        </w:rPr>
        <w:t xml:space="preserve">; Fig. </w:t>
      </w:r>
      <w:r w:rsidR="004C50E3" w:rsidRPr="00F63EAE">
        <w:rPr>
          <w:lang w:val="en-US"/>
        </w:rPr>
        <w:t>S</w:t>
      </w:r>
      <w:r w:rsidR="004C50E3">
        <w:rPr>
          <w:lang w:val="en-US"/>
        </w:rPr>
        <w:t>2</w:t>
      </w:r>
      <w:r w:rsidRPr="00F63EAE">
        <w:rPr>
          <w:lang w:val="en-US"/>
        </w:rPr>
        <w:t>) to qualitatively assess</w:t>
      </w:r>
      <w:r w:rsidR="00175865" w:rsidRPr="00F63EAE">
        <w:rPr>
          <w:lang w:val="en-US"/>
        </w:rPr>
        <w:t>, from NO</w:t>
      </w:r>
      <w:r w:rsidR="00175865" w:rsidRPr="00F63EAE">
        <w:rPr>
          <w:vertAlign w:val="subscript"/>
          <w:lang w:val="en-US"/>
        </w:rPr>
        <w:t>3</w:t>
      </w:r>
      <w:r w:rsidR="00175865" w:rsidRPr="00F63EAE">
        <w:rPr>
          <w:vertAlign w:val="superscript"/>
          <w:lang w:val="en-US"/>
        </w:rPr>
        <w:t>-</w:t>
      </w:r>
      <w:r w:rsidR="00175865" w:rsidRPr="00F63EAE">
        <w:rPr>
          <w:lang w:val="en-US"/>
        </w:rPr>
        <w:t xml:space="preserve"> δ</w:t>
      </w:r>
      <w:r w:rsidR="00175865" w:rsidRPr="00F63EAE">
        <w:rPr>
          <w:vertAlign w:val="superscript"/>
          <w:lang w:val="en-US"/>
        </w:rPr>
        <w:t>15</w:t>
      </w:r>
      <w:r w:rsidR="00175865" w:rsidRPr="00F63EAE">
        <w:rPr>
          <w:lang w:val="en-US"/>
        </w:rPr>
        <w:t>N-δ</w:t>
      </w:r>
      <w:r w:rsidR="00175865" w:rsidRPr="00F63EAE">
        <w:rPr>
          <w:vertAlign w:val="superscript"/>
          <w:lang w:val="en-US"/>
        </w:rPr>
        <w:t>18</w:t>
      </w:r>
      <w:r w:rsidR="00175865" w:rsidRPr="00F63EAE">
        <w:rPr>
          <w:lang w:val="en-US"/>
        </w:rPr>
        <w:t>O distribution,</w:t>
      </w:r>
      <w:r w:rsidRPr="00F63EAE">
        <w:rPr>
          <w:lang w:val="en-US"/>
        </w:rPr>
        <w:t xml:space="preserve"> if nitrification occurs only below the mixed layer</w:t>
      </w:r>
      <w:r w:rsidR="00175865" w:rsidRPr="00F63EAE">
        <w:rPr>
          <w:lang w:val="en-US"/>
        </w:rPr>
        <w:t xml:space="preserve"> (case </w:t>
      </w:r>
      <w:r w:rsidR="00DE6B0B" w:rsidRPr="00F63EAE">
        <w:rPr>
          <w:lang w:val="en-US"/>
        </w:rPr>
        <w:t>a</w:t>
      </w:r>
      <w:r w:rsidR="00175865" w:rsidRPr="00F63EAE">
        <w:rPr>
          <w:lang w:val="en-US"/>
        </w:rPr>
        <w:t>)</w:t>
      </w:r>
      <w:r w:rsidRPr="00F63EAE">
        <w:rPr>
          <w:lang w:val="en-US"/>
        </w:rPr>
        <w:t xml:space="preserve"> or both in the mixed layer and below</w:t>
      </w:r>
      <w:r w:rsidR="00175865" w:rsidRPr="00F63EAE">
        <w:rPr>
          <w:lang w:val="en-US"/>
        </w:rPr>
        <w:t xml:space="preserve"> (case </w:t>
      </w:r>
      <w:r w:rsidR="00DE6B0B" w:rsidRPr="00F63EAE">
        <w:rPr>
          <w:lang w:val="en-US"/>
        </w:rPr>
        <w:t>b</w:t>
      </w:r>
      <w:r w:rsidR="00175865" w:rsidRPr="00F63EAE">
        <w:rPr>
          <w:lang w:val="en-US"/>
        </w:rPr>
        <w:t>)</w:t>
      </w:r>
      <w:r w:rsidRPr="00F63EAE">
        <w:rPr>
          <w:lang w:val="en-US"/>
        </w:rPr>
        <w:t xml:space="preserve">. </w:t>
      </w:r>
    </w:p>
    <w:p w:rsidR="00C25559" w:rsidRPr="00F63EAE" w:rsidRDefault="000B5009" w:rsidP="0055517F">
      <w:pPr>
        <w:spacing w:line="312" w:lineRule="auto"/>
        <w:rPr>
          <w:rFonts w:cs="Times New Roman"/>
          <w:lang w:val="en-US"/>
        </w:rPr>
      </w:pPr>
      <w:r w:rsidRPr="00F63EAE">
        <w:rPr>
          <w:lang w:val="en-US"/>
        </w:rPr>
        <w:t xml:space="preserve">The model </w:t>
      </w:r>
      <w:r w:rsidR="00E90DD4" w:rsidRPr="00F63EAE">
        <w:rPr>
          <w:lang w:val="en-US"/>
        </w:rPr>
        <w:t xml:space="preserve">simulates </w:t>
      </w:r>
      <w:r w:rsidRPr="00F63EAE">
        <w:rPr>
          <w:lang w:val="en-US"/>
        </w:rPr>
        <w:t>the change in 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concentration, δ</w:t>
      </w:r>
      <w:r w:rsidRPr="00F63EAE">
        <w:rPr>
          <w:vertAlign w:val="superscript"/>
          <w:lang w:val="en-US"/>
        </w:rPr>
        <w:t>15</w:t>
      </w:r>
      <w:r w:rsidRPr="00F63EAE">
        <w:rPr>
          <w:lang w:val="en-US"/>
        </w:rPr>
        <w:t>N, and δ</w:t>
      </w:r>
      <w:r w:rsidRPr="00F63EAE">
        <w:rPr>
          <w:vertAlign w:val="superscript"/>
          <w:lang w:val="en-US"/>
        </w:rPr>
        <w:t>18</w:t>
      </w:r>
      <w:r w:rsidRPr="00F63EAE">
        <w:rPr>
          <w:lang w:val="en-US"/>
        </w:rPr>
        <w:t xml:space="preserve">O </w:t>
      </w:r>
      <w:r w:rsidR="00570709" w:rsidRPr="00F63EAE">
        <w:rPr>
          <w:lang w:val="en-US"/>
        </w:rPr>
        <w:t>for</w:t>
      </w:r>
      <w:r w:rsidRPr="00F63EAE">
        <w:rPr>
          <w:lang w:val="en-US"/>
        </w:rPr>
        <w:t xml:space="preserve"> each layer, in the timeframe given by the observations (</w:t>
      </w:r>
      <w:r w:rsidRPr="00F63EAE">
        <w:rPr>
          <w:rFonts w:cs="Times New Roman"/>
          <w:lang w:val="en-US"/>
        </w:rPr>
        <w:t>~</w:t>
      </w:r>
      <w:r w:rsidRPr="00F63EAE">
        <w:rPr>
          <w:lang w:val="en-US"/>
        </w:rPr>
        <w:t>20</w:t>
      </w:r>
      <w:r w:rsidRPr="00F63EAE">
        <w:rPr>
          <w:vertAlign w:val="superscript"/>
          <w:lang w:val="en-US"/>
        </w:rPr>
        <w:t>th</w:t>
      </w:r>
      <w:r w:rsidRPr="00F63EAE">
        <w:rPr>
          <w:lang w:val="en-US"/>
        </w:rPr>
        <w:t xml:space="preserve"> October to </w:t>
      </w:r>
      <w:r w:rsidRPr="00F63EAE">
        <w:rPr>
          <w:rFonts w:cs="Times New Roman"/>
          <w:lang w:val="en-US"/>
        </w:rPr>
        <w:t xml:space="preserve">~13 February). </w:t>
      </w:r>
      <w:r w:rsidR="00570709" w:rsidRPr="00F63EAE">
        <w:rPr>
          <w:rFonts w:cs="Times New Roman"/>
          <w:lang w:val="en-US"/>
        </w:rPr>
        <w:t>Three</w:t>
      </w:r>
      <w:r w:rsidRPr="00F63EAE">
        <w:rPr>
          <w:rFonts w:cs="Times New Roman"/>
          <w:lang w:val="en-US"/>
        </w:rPr>
        <w:t xml:space="preserve"> processes</w:t>
      </w:r>
      <w:r w:rsidR="00570709" w:rsidRPr="00F63EAE">
        <w:rPr>
          <w:rFonts w:cs="Times New Roman"/>
          <w:lang w:val="en-US"/>
        </w:rPr>
        <w:t xml:space="preserve">, </w:t>
      </w:r>
      <w:r w:rsidR="00E90DD4" w:rsidRPr="00F63EAE">
        <w:rPr>
          <w:rFonts w:cs="Times New Roman"/>
          <w:lang w:val="en-US"/>
        </w:rPr>
        <w:t xml:space="preserve">that </w:t>
      </w:r>
      <w:r w:rsidRPr="00F63EAE">
        <w:rPr>
          <w:rFonts w:cs="Times New Roman"/>
          <w:lang w:val="en-US"/>
        </w:rPr>
        <w:t xml:space="preserve">present </w:t>
      </w:r>
      <w:r w:rsidR="00E90DD4" w:rsidRPr="00F63EAE">
        <w:rPr>
          <w:rFonts w:cs="Times New Roman"/>
          <w:lang w:val="en-US"/>
        </w:rPr>
        <w:t xml:space="preserve">contrasting </w:t>
      </w:r>
      <w:r w:rsidRPr="00F63EAE">
        <w:rPr>
          <w:rFonts w:cs="Times New Roman"/>
          <w:lang w:val="en-US"/>
        </w:rPr>
        <w:t xml:space="preserve">vertical distribution </w:t>
      </w:r>
      <w:r w:rsidR="00E90DD4" w:rsidRPr="00F63EAE">
        <w:rPr>
          <w:rFonts w:cs="Times New Roman"/>
          <w:lang w:val="en-US"/>
        </w:rPr>
        <w:t xml:space="preserve">are considered </w:t>
      </w:r>
      <w:r w:rsidRPr="00F63EAE">
        <w:rPr>
          <w:rFonts w:cs="Times New Roman"/>
          <w:lang w:val="en-US"/>
        </w:rPr>
        <w:t xml:space="preserve">(Fig. </w:t>
      </w:r>
      <w:r w:rsidR="004C50E3" w:rsidRPr="00F63EAE">
        <w:rPr>
          <w:rFonts w:cs="Times New Roman"/>
          <w:lang w:val="en-US"/>
        </w:rPr>
        <w:t>S</w:t>
      </w:r>
      <w:r w:rsidR="004C50E3">
        <w:rPr>
          <w:rFonts w:cs="Times New Roman"/>
          <w:lang w:val="en-US"/>
        </w:rPr>
        <w:t>2</w:t>
      </w:r>
      <w:r w:rsidRPr="00F63EAE">
        <w:rPr>
          <w:rFonts w:cs="Times New Roman"/>
          <w:lang w:val="en-US"/>
        </w:rPr>
        <w:t>): (i) vertical mixing between each layer</w:t>
      </w:r>
      <w:r w:rsidR="00275414" w:rsidRPr="00F63EAE">
        <w:rPr>
          <w:rFonts w:cs="Times New Roman"/>
          <w:lang w:val="en-US"/>
        </w:rPr>
        <w:t xml:space="preserve"> (with mixing rates in the mixed layer higher than </w:t>
      </w:r>
      <w:r w:rsidR="00E90DD4" w:rsidRPr="00F63EAE">
        <w:rPr>
          <w:rFonts w:cs="Times New Roman"/>
          <w:lang w:val="en-US"/>
        </w:rPr>
        <w:t>in the underlying water column</w:t>
      </w:r>
      <w:r w:rsidR="00275414" w:rsidRPr="00F63EAE">
        <w:rPr>
          <w:rFonts w:cs="Times New Roman"/>
          <w:lang w:val="en-US"/>
        </w:rPr>
        <w:t>)</w:t>
      </w:r>
      <w:r w:rsidRPr="00F63EAE">
        <w:rPr>
          <w:rFonts w:cs="Times New Roman"/>
          <w:lang w:val="en-US"/>
        </w:rPr>
        <w:t xml:space="preserve">, </w:t>
      </w:r>
      <w:r w:rsidRPr="00F63EAE">
        <w:rPr>
          <w:rFonts w:cs="Times New Roman"/>
          <w:lang w:val="en-US"/>
        </w:rPr>
        <w:lastRenderedPageBreak/>
        <w:t>(ii) NO</w:t>
      </w:r>
      <w:r w:rsidRPr="00F63EAE">
        <w:rPr>
          <w:rFonts w:cs="Times New Roman"/>
          <w:vertAlign w:val="subscript"/>
          <w:lang w:val="en-US"/>
        </w:rPr>
        <w:t>3</w:t>
      </w:r>
      <w:r w:rsidRPr="00F63EAE">
        <w:rPr>
          <w:rFonts w:cs="Times New Roman"/>
          <w:vertAlign w:val="superscript"/>
          <w:lang w:val="en-US"/>
        </w:rPr>
        <w:t>-</w:t>
      </w:r>
      <w:r w:rsidRPr="00F63EAE">
        <w:rPr>
          <w:rFonts w:cs="Times New Roman"/>
          <w:lang w:val="en-US"/>
        </w:rPr>
        <w:t xml:space="preserve"> assimilation in the mixed layer only (with an isotope effect of 5</w:t>
      </w:r>
      <w:r w:rsidR="00846E38" w:rsidRPr="00F63EAE">
        <w:rPr>
          <w:rFonts w:cs="Times New Roman"/>
          <w:lang w:val="en-US"/>
        </w:rPr>
        <w:t xml:space="preserve"> </w:t>
      </w:r>
      <w:r w:rsidRPr="00F63EAE">
        <w:rPr>
          <w:rFonts w:cs="Times New Roman"/>
          <w:lang w:val="en-US"/>
        </w:rPr>
        <w:t xml:space="preserve">‰ for both </w:t>
      </w:r>
      <w:r w:rsidRPr="00F63EAE">
        <w:rPr>
          <w:rFonts w:cs="Times New Roman"/>
          <w:vertAlign w:val="superscript"/>
          <w:lang w:val="en-US"/>
        </w:rPr>
        <w:t>15</w:t>
      </w:r>
      <w:r w:rsidRPr="00F63EAE">
        <w:rPr>
          <w:rFonts w:cs="Times New Roman"/>
          <w:lang w:val="en-US"/>
        </w:rPr>
        <w:t xml:space="preserve">N and </w:t>
      </w:r>
      <w:r w:rsidRPr="00F63EAE">
        <w:rPr>
          <w:rFonts w:cs="Times New Roman"/>
          <w:vertAlign w:val="superscript"/>
          <w:lang w:val="en-US"/>
        </w:rPr>
        <w:t>18</w:t>
      </w:r>
      <w:r w:rsidRPr="00F63EAE">
        <w:rPr>
          <w:rFonts w:cs="Times New Roman"/>
          <w:lang w:val="en-US"/>
        </w:rPr>
        <w:t>O)</w:t>
      </w:r>
      <w:r w:rsidR="00BF2E3F" w:rsidRPr="00F63EAE">
        <w:rPr>
          <w:rFonts w:cs="Times New Roman"/>
          <w:lang w:val="en-US"/>
        </w:rPr>
        <w:t xml:space="preserve"> [Granger et al., 2004; DiFiore et al., 2010]</w:t>
      </w:r>
      <w:r w:rsidRPr="00F63EAE">
        <w:rPr>
          <w:rFonts w:cs="Times New Roman"/>
          <w:lang w:val="en-US"/>
        </w:rPr>
        <w:t xml:space="preserve">, and (iii) nitrification, </w:t>
      </w:r>
      <w:r w:rsidR="00D62F30" w:rsidRPr="00F63EAE">
        <w:rPr>
          <w:lang w:val="en-US"/>
        </w:rPr>
        <w:t>either considered to represent a fraction of NO</w:t>
      </w:r>
      <w:r w:rsidR="00D62F30" w:rsidRPr="00F63EAE">
        <w:rPr>
          <w:vertAlign w:val="subscript"/>
          <w:lang w:val="en-US"/>
        </w:rPr>
        <w:t>3</w:t>
      </w:r>
      <w:r w:rsidR="00D62F30" w:rsidRPr="00F63EAE">
        <w:rPr>
          <w:vertAlign w:val="superscript"/>
          <w:lang w:val="en-US"/>
        </w:rPr>
        <w:t>-</w:t>
      </w:r>
      <w:r w:rsidR="00D62F30" w:rsidRPr="00F63EAE">
        <w:rPr>
          <w:lang w:val="en-US"/>
        </w:rPr>
        <w:t xml:space="preserve"> assimilation in the mixed layer (mixed layer nitrification) or to decrease with depth </w:t>
      </w:r>
      <w:r w:rsidR="005F1E02">
        <w:rPr>
          <w:lang w:val="en-US"/>
        </w:rPr>
        <w:t>from a subsurface maximum at the base of the mixed layer</w:t>
      </w:r>
      <w:r w:rsidR="00D03361" w:rsidRPr="00F63EAE">
        <w:rPr>
          <w:lang w:val="en-US"/>
        </w:rPr>
        <w:t xml:space="preserve"> </w:t>
      </w:r>
      <w:r w:rsidR="00BF2E3F" w:rsidRPr="00F63EAE">
        <w:rPr>
          <w:lang w:val="en-US"/>
        </w:rPr>
        <w:t>(subsurface nitrification) [Berelson, 2001]</w:t>
      </w:r>
      <w:r w:rsidRPr="00F63EAE">
        <w:rPr>
          <w:rFonts w:cs="Times New Roman"/>
          <w:lang w:val="en-US"/>
        </w:rPr>
        <w:t>.</w:t>
      </w:r>
      <w:r w:rsidRPr="00F63EAE">
        <w:rPr>
          <w:lang w:val="en-US"/>
        </w:rPr>
        <w:t xml:space="preserve"> </w:t>
      </w:r>
      <w:r w:rsidR="006E4AED" w:rsidRPr="00F63EAE">
        <w:rPr>
          <w:lang w:val="en-US"/>
        </w:rPr>
        <w:t>Recently nitrified</w:t>
      </w:r>
      <w:r w:rsidR="00DF7F20" w:rsidRPr="00F63EAE">
        <w:rPr>
          <w:lang w:val="en-US"/>
        </w:rPr>
        <w:t xml:space="preserve"> </w:t>
      </w:r>
      <w:r w:rsidRPr="00F63EAE">
        <w:rPr>
          <w:lang w:val="en-US"/>
        </w:rPr>
        <w:t>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δ</w:t>
      </w:r>
      <w:r w:rsidRPr="00F63EAE">
        <w:rPr>
          <w:vertAlign w:val="superscript"/>
          <w:lang w:val="en-US"/>
        </w:rPr>
        <w:t>15</w:t>
      </w:r>
      <w:r w:rsidRPr="00F63EAE">
        <w:rPr>
          <w:lang w:val="en-US"/>
        </w:rPr>
        <w:t>N and δ</w:t>
      </w:r>
      <w:r w:rsidRPr="00F63EAE">
        <w:rPr>
          <w:vertAlign w:val="superscript"/>
          <w:lang w:val="en-US"/>
        </w:rPr>
        <w:t>18</w:t>
      </w:r>
      <w:r w:rsidRPr="00F63EAE">
        <w:rPr>
          <w:lang w:val="en-US"/>
        </w:rPr>
        <w:t>O ha</w:t>
      </w:r>
      <w:r w:rsidR="00570709" w:rsidRPr="00F63EAE">
        <w:rPr>
          <w:lang w:val="en-US"/>
        </w:rPr>
        <w:t>ve</w:t>
      </w:r>
      <w:r w:rsidRPr="00F63EAE">
        <w:rPr>
          <w:lang w:val="en-US"/>
        </w:rPr>
        <w:t xml:space="preserve"> the isotopic composition of the PN (average for both KEOPS</w:t>
      </w:r>
      <w:r w:rsidR="00FE0F82" w:rsidRPr="00F63EAE">
        <w:rPr>
          <w:lang w:val="en-US"/>
        </w:rPr>
        <w:t xml:space="preserve"> </w:t>
      </w:r>
      <w:r w:rsidRPr="00F63EAE">
        <w:rPr>
          <w:lang w:val="en-US"/>
        </w:rPr>
        <w:t xml:space="preserve">1 </w:t>
      </w:r>
      <w:r w:rsidR="00FE0F82" w:rsidRPr="00F63EAE">
        <w:rPr>
          <w:lang w:val="en-US"/>
        </w:rPr>
        <w:t>&amp;</w:t>
      </w:r>
      <w:r w:rsidRPr="00F63EAE">
        <w:rPr>
          <w:lang w:val="en-US"/>
        </w:rPr>
        <w:t xml:space="preserve"> 2</w:t>
      </w:r>
      <w:r w:rsidR="00570709" w:rsidRPr="00F63EAE">
        <w:rPr>
          <w:lang w:val="en-US"/>
        </w:rPr>
        <w:t>; 1.9</w:t>
      </w:r>
      <w:r w:rsidR="00846E38" w:rsidRPr="00F63EAE">
        <w:rPr>
          <w:lang w:val="en-US"/>
        </w:rPr>
        <w:t xml:space="preserve"> </w:t>
      </w:r>
      <w:r w:rsidR="00570709" w:rsidRPr="00F63EAE">
        <w:rPr>
          <w:lang w:val="en-US"/>
        </w:rPr>
        <w:t>‰</w:t>
      </w:r>
      <w:r w:rsidRPr="00F63EAE">
        <w:rPr>
          <w:lang w:val="en-US"/>
        </w:rPr>
        <w:t>) and the ambient water plus 1.1</w:t>
      </w:r>
      <w:r w:rsidR="00846E38" w:rsidRPr="00F63EAE">
        <w:rPr>
          <w:lang w:val="en-US"/>
        </w:rPr>
        <w:t xml:space="preserve"> </w:t>
      </w:r>
      <w:r w:rsidRPr="00F63EAE">
        <w:rPr>
          <w:lang w:val="en-US"/>
        </w:rPr>
        <w:t>‰</w:t>
      </w:r>
      <w:r w:rsidR="00D62F30" w:rsidRPr="00F63EAE">
        <w:rPr>
          <w:rFonts w:cs="Times New Roman"/>
          <w:lang w:val="en-US"/>
        </w:rPr>
        <w:t xml:space="preserve"> (</w:t>
      </w:r>
      <w:r w:rsidRPr="00F63EAE">
        <w:rPr>
          <w:lang w:val="en-US"/>
        </w:rPr>
        <w:t>0.6</w:t>
      </w:r>
      <w:r w:rsidR="00846E38" w:rsidRPr="00F63EAE">
        <w:rPr>
          <w:lang w:val="en-US"/>
        </w:rPr>
        <w:t xml:space="preserve"> </w:t>
      </w:r>
      <w:r w:rsidRPr="00F63EAE">
        <w:rPr>
          <w:lang w:val="en-US"/>
        </w:rPr>
        <w:t xml:space="preserve">‰ over the Kerguelen plateau, </w:t>
      </w:r>
      <w:r w:rsidR="00E90DD4" w:rsidRPr="00F63EAE">
        <w:rPr>
          <w:lang w:val="en-US"/>
        </w:rPr>
        <w:t>taking H</w:t>
      </w:r>
      <w:r w:rsidR="00E90DD4" w:rsidRPr="00F63EAE">
        <w:rPr>
          <w:vertAlign w:val="subscript"/>
          <w:lang w:val="en-US"/>
        </w:rPr>
        <w:t>2</w:t>
      </w:r>
      <w:r w:rsidR="00E90DD4" w:rsidRPr="00F63EAE">
        <w:rPr>
          <w:lang w:val="en-US"/>
        </w:rPr>
        <w:t xml:space="preserve">O </w:t>
      </w:r>
      <w:r w:rsidRPr="00F63EAE">
        <w:rPr>
          <w:lang w:val="en-US"/>
        </w:rPr>
        <w:t>δ</w:t>
      </w:r>
      <w:r w:rsidRPr="00F63EAE">
        <w:rPr>
          <w:vertAlign w:val="superscript"/>
          <w:lang w:val="en-US"/>
        </w:rPr>
        <w:t>18</w:t>
      </w:r>
      <w:r w:rsidRPr="00F63EAE">
        <w:rPr>
          <w:lang w:val="en-US"/>
        </w:rPr>
        <w:t xml:space="preserve">O </w:t>
      </w:r>
      <w:r w:rsidR="00275414" w:rsidRPr="00F63EAE">
        <w:rPr>
          <w:lang w:val="en-US"/>
        </w:rPr>
        <w:t>in the Antarctic surface water</w:t>
      </w:r>
      <w:r w:rsidR="004B53F5" w:rsidRPr="00F63EAE">
        <w:rPr>
          <w:lang w:val="en-US"/>
        </w:rPr>
        <w:t>s</w:t>
      </w:r>
      <w:r w:rsidR="008D3046" w:rsidRPr="00F63EAE">
        <w:rPr>
          <w:lang w:val="en-US"/>
        </w:rPr>
        <w:t xml:space="preserve"> </w:t>
      </w:r>
      <w:r w:rsidR="00E90DD4" w:rsidRPr="00F63EAE">
        <w:rPr>
          <w:lang w:val="en-US"/>
        </w:rPr>
        <w:t xml:space="preserve">= </w:t>
      </w:r>
      <w:r w:rsidR="00275414" w:rsidRPr="00F63EAE">
        <w:rPr>
          <w:lang w:val="en-US"/>
        </w:rPr>
        <w:t>-0.5</w:t>
      </w:r>
      <w:r w:rsidR="00846E38" w:rsidRPr="00F63EAE">
        <w:rPr>
          <w:lang w:val="en-US"/>
        </w:rPr>
        <w:t xml:space="preserve"> </w:t>
      </w:r>
      <w:r w:rsidR="00275414" w:rsidRPr="00F63EAE">
        <w:rPr>
          <w:lang w:val="en-US"/>
        </w:rPr>
        <w:t>‰</w:t>
      </w:r>
      <w:r w:rsidRPr="00F63EAE">
        <w:rPr>
          <w:lang w:val="en-US"/>
        </w:rPr>
        <w:t>)</w:t>
      </w:r>
      <w:r w:rsidR="00BF2E3F" w:rsidRPr="00F63EAE">
        <w:rPr>
          <w:lang w:val="en-US"/>
        </w:rPr>
        <w:t xml:space="preserve"> [Archambeau et al., 1998</w:t>
      </w:r>
      <w:r w:rsidR="00FE0F82" w:rsidRPr="00F63EAE">
        <w:rPr>
          <w:lang w:val="en-US"/>
        </w:rPr>
        <w:t>; Casciotti et al., 2008; Sigman et al., 2009; Rafter et al., 2013</w:t>
      </w:r>
      <w:r w:rsidR="00BF2E3F" w:rsidRPr="00F63EAE">
        <w:rPr>
          <w:lang w:val="en-US"/>
        </w:rPr>
        <w:t>]</w:t>
      </w:r>
      <w:r w:rsidRPr="00F63EAE">
        <w:rPr>
          <w:lang w:val="en-US"/>
        </w:rPr>
        <w:t>, respectively. The mass and isotopic balance for each layer</w:t>
      </w:r>
      <w:r w:rsidR="00D03361" w:rsidRPr="00F63EAE">
        <w:rPr>
          <w:lang w:val="en-US"/>
        </w:rPr>
        <w:t xml:space="preserve"> (i)</w:t>
      </w:r>
      <w:r w:rsidRPr="00F63EAE">
        <w:rPr>
          <w:lang w:val="en-US"/>
        </w:rPr>
        <w:t xml:space="preserve"> is given by:</w:t>
      </w:r>
      <w:r w:rsidRPr="00F63EAE">
        <w:rPr>
          <w:rFonts w:cs="Times New Roman"/>
          <w:lang w:val="en-US"/>
        </w:rPr>
        <w:t xml:space="preserve">  </w:t>
      </w:r>
    </w:p>
    <w:p w:rsidR="000B5009" w:rsidRPr="00F63EAE" w:rsidRDefault="00175865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16"/>
          <w:lang w:val="en-US"/>
        </w:rPr>
        <w:object w:dxaOrig="6540" w:dyaOrig="480">
          <v:shape id="_x0000_i1026" type="#_x0000_t75" style="width:326.25pt;height:24.75pt" o:ole="">
            <v:imagedata r:id="rId11" o:title=""/>
          </v:shape>
          <o:OLEObject Type="Embed" ProgID="Equation.3" ShapeID="_x0000_i1026" DrawAspect="Content" ObjectID="_1508229795" r:id="rId12"/>
        </w:object>
      </w:r>
      <w:r w:rsidR="00F43FA3" w:rsidRPr="00F63EAE">
        <w:rPr>
          <w:lang w:val="en-US"/>
        </w:rPr>
        <w:tab/>
        <w:t>(</w:t>
      </w:r>
      <w:r w:rsidR="004C50E3">
        <w:rPr>
          <w:lang w:val="en-US"/>
        </w:rPr>
        <w:t>2</w:t>
      </w:r>
      <w:r w:rsidR="00F43FA3" w:rsidRPr="00F63EAE">
        <w:rPr>
          <w:lang w:val="en-US"/>
        </w:rPr>
        <w:t>)</w:t>
      </w:r>
    </w:p>
    <w:p w:rsidR="00F43FA3" w:rsidRPr="00F63EAE" w:rsidRDefault="00175865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94"/>
          <w:lang w:val="en-US"/>
        </w:rPr>
        <w:object w:dxaOrig="6820" w:dyaOrig="1980">
          <v:shape id="_x0000_i1027" type="#_x0000_t75" style="width:342pt;height:99pt" o:ole="">
            <v:imagedata r:id="rId13" o:title=""/>
          </v:shape>
          <o:OLEObject Type="Embed" ProgID="Equation.3" ShapeID="_x0000_i1027" DrawAspect="Content" ObjectID="_1508229796" r:id="rId14"/>
        </w:object>
      </w:r>
      <w:r w:rsidR="00F43FA3" w:rsidRPr="00F63EAE">
        <w:rPr>
          <w:lang w:val="en-US"/>
        </w:rPr>
        <w:tab/>
        <w:t>(</w:t>
      </w:r>
      <w:r w:rsidR="004C50E3">
        <w:rPr>
          <w:lang w:val="en-US"/>
        </w:rPr>
        <w:t>3</w:t>
      </w:r>
      <w:r w:rsidR="00F43FA3" w:rsidRPr="00F63EAE">
        <w:rPr>
          <w:lang w:val="en-US"/>
        </w:rPr>
        <w:t>)</w:t>
      </w:r>
    </w:p>
    <w:p w:rsidR="00F43FA3" w:rsidRPr="00F63EAE" w:rsidRDefault="00175865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96"/>
          <w:lang w:val="en-US"/>
        </w:rPr>
        <w:object w:dxaOrig="6820" w:dyaOrig="2020">
          <v:shape id="_x0000_i1028" type="#_x0000_t75" style="width:342pt;height:100.5pt" o:ole="">
            <v:imagedata r:id="rId15" o:title=""/>
          </v:shape>
          <o:OLEObject Type="Embed" ProgID="Equation.3" ShapeID="_x0000_i1028" DrawAspect="Content" ObjectID="_1508229797" r:id="rId16"/>
        </w:object>
      </w:r>
      <w:r w:rsidR="00F43FA3" w:rsidRPr="00F63EAE">
        <w:rPr>
          <w:lang w:val="en-US"/>
        </w:rPr>
        <w:tab/>
        <w:t>(</w:t>
      </w:r>
      <w:r w:rsidR="004C50E3">
        <w:rPr>
          <w:lang w:val="en-US"/>
        </w:rPr>
        <w:t>4</w:t>
      </w:r>
      <w:r w:rsidR="00F43FA3" w:rsidRPr="00F63EAE">
        <w:rPr>
          <w:lang w:val="en-US"/>
        </w:rPr>
        <w:t>)</w:t>
      </w:r>
    </w:p>
    <w:p w:rsidR="002D1546" w:rsidRPr="00F63EAE" w:rsidRDefault="002D1546" w:rsidP="0055517F">
      <w:pPr>
        <w:spacing w:line="312" w:lineRule="auto"/>
        <w:rPr>
          <w:rFonts w:cs="Times New Roman"/>
          <w:lang w:val="en-US"/>
        </w:rPr>
      </w:pPr>
      <w:r w:rsidRPr="00F63EAE">
        <w:rPr>
          <w:lang w:val="en-US"/>
        </w:rPr>
        <w:t>where S</w:t>
      </w:r>
      <w:r w:rsidRPr="00F63EAE">
        <w:rPr>
          <w:lang w:val="en-US"/>
        </w:rPr>
        <w:sym w:font="Symbol" w:char="F0AD"/>
      </w:r>
      <w:r w:rsidRPr="00F63EAE">
        <w:rPr>
          <w:lang w:val="en-US"/>
        </w:rPr>
        <w:t>, S</w:t>
      </w:r>
      <w:r w:rsidRPr="00F63EAE">
        <w:rPr>
          <w:lang w:val="en-US"/>
        </w:rPr>
        <w:sym w:font="Symbol" w:char="F0AF"/>
      </w:r>
      <w:r w:rsidRPr="00F63EAE">
        <w:rPr>
          <w:lang w:val="en-US"/>
        </w:rPr>
        <w:t>, NaU, and Nitr are the upward mixing fluxes (representing a fraction of each layer which is mixed upward</w:t>
      </w:r>
      <w:r w:rsidR="00175865" w:rsidRPr="00F63EAE">
        <w:rPr>
          <w:lang w:val="en-US"/>
        </w:rPr>
        <w:t xml:space="preserve"> at each time step</w:t>
      </w:r>
      <w:r w:rsidRPr="00F63EAE">
        <w:rPr>
          <w:lang w:val="en-US"/>
        </w:rPr>
        <w:t>), the downward mixing fluxes (representing a fraction of each layer which is mixed downward</w:t>
      </w:r>
      <w:r w:rsidR="00175865" w:rsidRPr="00F63EAE">
        <w:rPr>
          <w:lang w:val="en-US"/>
        </w:rPr>
        <w:t xml:space="preserve"> at each time step</w:t>
      </w:r>
      <w:r w:rsidRPr="00F63EAE">
        <w:rPr>
          <w:lang w:val="en-US"/>
        </w:rPr>
        <w:t>), 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assimilation, and nitrification, respectively. </w:t>
      </w:r>
      <w:r w:rsidR="00570709" w:rsidRPr="00F63EAE">
        <w:rPr>
          <w:lang w:val="en-US"/>
        </w:rPr>
        <w:t>S</w:t>
      </w:r>
      <w:r w:rsidR="00570709" w:rsidRPr="00F63EAE">
        <w:rPr>
          <w:lang w:val="en-US"/>
        </w:rPr>
        <w:sym w:font="Symbol" w:char="F0AD"/>
      </w:r>
      <w:r w:rsidR="00570709" w:rsidRPr="00F63EAE">
        <w:rPr>
          <w:lang w:val="en-US"/>
        </w:rPr>
        <w:t xml:space="preserve"> equals S</w:t>
      </w:r>
      <w:r w:rsidR="00570709" w:rsidRPr="00F63EAE">
        <w:rPr>
          <w:lang w:val="en-US"/>
        </w:rPr>
        <w:sym w:font="Symbol" w:char="F0AF"/>
      </w:r>
      <w:r w:rsidR="00DE6B0B" w:rsidRPr="00F63EAE">
        <w:rPr>
          <w:lang w:val="en-US"/>
        </w:rPr>
        <w:t xml:space="preserve"> to respect the water balance</w:t>
      </w:r>
      <w:r w:rsidR="00124D36" w:rsidRPr="00F63EAE">
        <w:rPr>
          <w:lang w:val="en-US"/>
        </w:rPr>
        <w:t xml:space="preserve"> (set at 0.25 in the mixed layer, the maximum in term of water balance, and 0.05 below in the control run)</w:t>
      </w:r>
      <w:r w:rsidR="00570709" w:rsidRPr="00F63EAE">
        <w:rPr>
          <w:lang w:val="en-US"/>
        </w:rPr>
        <w:t xml:space="preserve">. </w:t>
      </w:r>
      <w:r w:rsidRPr="00F63EAE">
        <w:rPr>
          <w:lang w:val="en-US"/>
        </w:rPr>
        <w:t>The model is run for N time steps</w:t>
      </w:r>
      <w:r w:rsidR="00124D36" w:rsidRPr="00F63EAE">
        <w:rPr>
          <w:lang w:val="en-US"/>
        </w:rPr>
        <w:t xml:space="preserve"> (i.e., 1000)</w:t>
      </w:r>
      <w:r w:rsidRPr="00F63EAE">
        <w:rPr>
          <w:lang w:val="en-US"/>
        </w:rPr>
        <w:t xml:space="preserve"> of length dt, consuming at each time step an amount of </w:t>
      </w:r>
      <w:r w:rsidRPr="00F63EAE">
        <w:rPr>
          <w:rFonts w:cs="Times New Roman"/>
          <w:lang w:val="en-US"/>
        </w:rPr>
        <w:t xml:space="preserve">∫NaU/N (= NaU) and </w:t>
      </w:r>
      <w:r w:rsidR="00E90DD4" w:rsidRPr="00F63EAE">
        <w:rPr>
          <w:rFonts w:cs="Times New Roman"/>
          <w:lang w:val="en-US"/>
        </w:rPr>
        <w:t xml:space="preserve">adding nitrate from nitrification </w:t>
      </w:r>
      <w:r w:rsidRPr="00F63EAE">
        <w:rPr>
          <w:rFonts w:cs="Times New Roman"/>
          <w:lang w:val="en-US"/>
        </w:rPr>
        <w:t xml:space="preserve">∫Nitr/N (= Nitr), where ∫NaU and ∫Nitr are the integrated </w:t>
      </w:r>
      <w:r w:rsidRPr="00F63EAE">
        <w:rPr>
          <w:lang w:val="en-US"/>
        </w:rPr>
        <w:t>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assimilation and nitrification, respectively</w:t>
      </w:r>
      <w:r w:rsidRPr="00F63EAE">
        <w:rPr>
          <w:rFonts w:cs="Times New Roman"/>
          <w:lang w:val="en-US"/>
        </w:rPr>
        <w:t>. We tested two scenario</w:t>
      </w:r>
      <w:r w:rsidR="00E90DD4" w:rsidRPr="00F63EAE">
        <w:rPr>
          <w:rFonts w:cs="Times New Roman"/>
          <w:lang w:val="en-US"/>
        </w:rPr>
        <w:t>s</w:t>
      </w:r>
      <w:r w:rsidRPr="00F63EAE">
        <w:rPr>
          <w:rFonts w:cs="Times New Roman"/>
          <w:lang w:val="en-US"/>
        </w:rPr>
        <w:t>: (</w:t>
      </w:r>
      <w:r w:rsidR="00DE6B0B" w:rsidRPr="00F63EAE">
        <w:rPr>
          <w:rFonts w:cs="Times New Roman"/>
          <w:lang w:val="en-US"/>
        </w:rPr>
        <w:t>a)</w:t>
      </w:r>
      <w:r w:rsidRPr="00F63EAE">
        <w:rPr>
          <w:rFonts w:cs="Times New Roman"/>
          <w:lang w:val="en-US"/>
        </w:rPr>
        <w:t xml:space="preserve"> nitrification below the mixed layer</w:t>
      </w:r>
      <w:r w:rsidR="005E723B" w:rsidRPr="00F63EAE">
        <w:rPr>
          <w:rFonts w:cs="Times New Roman"/>
          <w:lang w:val="en-US"/>
        </w:rPr>
        <w:t xml:space="preserve"> only</w:t>
      </w:r>
      <w:r w:rsidRPr="00F63EAE">
        <w:rPr>
          <w:rFonts w:cs="Times New Roman"/>
          <w:lang w:val="en-US"/>
        </w:rPr>
        <w:t xml:space="preserve"> and (</w:t>
      </w:r>
      <w:r w:rsidR="00DE6B0B" w:rsidRPr="00F63EAE">
        <w:rPr>
          <w:rFonts w:cs="Times New Roman"/>
          <w:lang w:val="en-US"/>
        </w:rPr>
        <w:t>b</w:t>
      </w:r>
      <w:r w:rsidRPr="00F63EAE">
        <w:rPr>
          <w:rFonts w:cs="Times New Roman"/>
          <w:lang w:val="en-US"/>
        </w:rPr>
        <w:t xml:space="preserve">) nitrification in the mixed layer and below. </w:t>
      </w:r>
    </w:p>
    <w:p w:rsidR="008D3046" w:rsidRPr="00F63EAE" w:rsidRDefault="002D1546" w:rsidP="0055517F">
      <w:pPr>
        <w:spacing w:line="312" w:lineRule="auto"/>
        <w:rPr>
          <w:rFonts w:cs="Times New Roman"/>
          <w:lang w:val="en-US"/>
        </w:rPr>
      </w:pPr>
      <w:r w:rsidRPr="00F63EAE">
        <w:rPr>
          <w:rFonts w:cs="Times New Roman"/>
          <w:lang w:val="en-US"/>
        </w:rPr>
        <w:t>For case (</w:t>
      </w:r>
      <w:r w:rsidR="00DE6B0B" w:rsidRPr="00F63EAE">
        <w:rPr>
          <w:rFonts w:cs="Times New Roman"/>
          <w:lang w:val="en-US"/>
        </w:rPr>
        <w:t>a</w:t>
      </w:r>
      <w:r w:rsidRPr="00F63EAE">
        <w:rPr>
          <w:rFonts w:cs="Times New Roman"/>
          <w:lang w:val="en-US"/>
        </w:rPr>
        <w:t>), ∫NaU equals more or less the</w:t>
      </w:r>
      <w:r w:rsidR="005F1E02">
        <w:rPr>
          <w:rFonts w:cs="Times New Roman"/>
          <w:lang w:val="en-US"/>
        </w:rPr>
        <w:t xml:space="preserve"> observed</w:t>
      </w:r>
      <w:r w:rsidRPr="00F63EAE">
        <w:rPr>
          <w:rFonts w:cs="Times New Roman"/>
          <w:lang w:val="en-US"/>
        </w:rPr>
        <w:t xml:space="preserve"> seasonal NO</w:t>
      </w:r>
      <w:r w:rsidRPr="00F63EAE">
        <w:rPr>
          <w:rFonts w:cs="Times New Roman"/>
          <w:vertAlign w:val="subscript"/>
          <w:lang w:val="en-US"/>
        </w:rPr>
        <w:t>3</w:t>
      </w:r>
      <w:r w:rsidRPr="00F63EAE">
        <w:rPr>
          <w:rFonts w:cs="Times New Roman"/>
          <w:vertAlign w:val="superscript"/>
          <w:lang w:val="en-US"/>
        </w:rPr>
        <w:t>-</w:t>
      </w:r>
      <w:r w:rsidRPr="00F63EAE">
        <w:rPr>
          <w:rFonts w:cs="Times New Roman"/>
          <w:lang w:val="en-US"/>
        </w:rPr>
        <w:t xml:space="preserve"> drawdown, </w:t>
      </w:r>
      <w:r w:rsidR="0046625B" w:rsidRPr="00F63EAE">
        <w:rPr>
          <w:rFonts w:cs="Times New Roman"/>
          <w:lang w:val="en-US"/>
        </w:rPr>
        <w:t>7.1</w:t>
      </w:r>
      <w:r w:rsidRPr="00F63EAE">
        <w:rPr>
          <w:rFonts w:cs="Times New Roman"/>
          <w:lang w:val="en-US"/>
        </w:rPr>
        <w:t xml:space="preserve"> and 6.</w:t>
      </w:r>
      <w:r w:rsidR="00A71E26" w:rsidRPr="00F63EAE">
        <w:rPr>
          <w:rFonts w:cs="Times New Roman"/>
          <w:lang w:val="en-US"/>
        </w:rPr>
        <w:t>3 ± 1.5</w:t>
      </w:r>
      <w:r w:rsidRPr="00F63EAE">
        <w:rPr>
          <w:rFonts w:cs="Times New Roman"/>
          <w:lang w:val="en-US"/>
        </w:rPr>
        <w:t xml:space="preserve"> µmol l</w:t>
      </w:r>
      <w:r w:rsidRPr="00F63EAE">
        <w:rPr>
          <w:rFonts w:cs="Times New Roman"/>
          <w:vertAlign w:val="superscript"/>
          <w:lang w:val="en-US"/>
        </w:rPr>
        <w:t>-1</w:t>
      </w:r>
      <w:r w:rsidRPr="00F63EAE">
        <w:rPr>
          <w:rFonts w:cs="Times New Roman"/>
          <w:lang w:val="en-US"/>
        </w:rPr>
        <w:t xml:space="preserve">, respectively. </w:t>
      </w:r>
      <w:r w:rsidR="005C3046" w:rsidRPr="00F63EAE">
        <w:rPr>
          <w:rFonts w:cs="Times New Roman"/>
          <w:lang w:val="en-US"/>
        </w:rPr>
        <w:t>Exported PN</w:t>
      </w:r>
      <w:r w:rsidR="00275414" w:rsidRPr="00F63EAE">
        <w:rPr>
          <w:rFonts w:cs="Times New Roman"/>
          <w:lang w:val="en-US"/>
        </w:rPr>
        <w:t xml:space="preserve"> (=</w:t>
      </w:r>
      <w:r w:rsidR="005E723B" w:rsidRPr="00F63EAE">
        <w:rPr>
          <w:rFonts w:cs="Times New Roman"/>
          <w:lang w:val="en-US"/>
        </w:rPr>
        <w:t>∫NaU</w:t>
      </w:r>
      <w:r w:rsidR="00275414" w:rsidRPr="00F63EAE">
        <w:rPr>
          <w:rFonts w:cs="Times New Roman"/>
          <w:lang w:val="en-US"/>
        </w:rPr>
        <w:t>)</w:t>
      </w:r>
      <w:r w:rsidR="005C3046" w:rsidRPr="00F63EAE">
        <w:rPr>
          <w:rFonts w:cs="Times New Roman"/>
          <w:lang w:val="en-US"/>
        </w:rPr>
        <w:t xml:space="preserve"> is remine</w:t>
      </w:r>
      <w:r w:rsidR="00996E9B" w:rsidRPr="00F63EAE">
        <w:rPr>
          <w:rFonts w:cs="Times New Roman"/>
          <w:lang w:val="en-US"/>
        </w:rPr>
        <w:t xml:space="preserve">ralized and </w:t>
      </w:r>
      <w:r w:rsidR="005C3046" w:rsidRPr="00F63EAE">
        <w:rPr>
          <w:rFonts w:cs="Times New Roman"/>
          <w:lang w:val="en-US"/>
        </w:rPr>
        <w:t>nitrified</w:t>
      </w:r>
      <w:r w:rsidR="00175865" w:rsidRPr="00F63EAE">
        <w:rPr>
          <w:rFonts w:cs="Times New Roman"/>
          <w:lang w:val="en-US"/>
        </w:rPr>
        <w:t>,</w:t>
      </w:r>
      <w:r w:rsidR="005C3046" w:rsidRPr="00F63EAE">
        <w:rPr>
          <w:rFonts w:cs="Times New Roman"/>
          <w:lang w:val="en-US"/>
        </w:rPr>
        <w:t xml:space="preserve"> following an attenuation with depth</w:t>
      </w:r>
      <w:r w:rsidR="00175865" w:rsidRPr="00F63EAE">
        <w:rPr>
          <w:rFonts w:cs="Times New Roman"/>
          <w:lang w:val="en-US"/>
        </w:rPr>
        <w:t xml:space="preserve"> (using the average oceanic depth attenuation coefficient, 0.82, in a power law)</w:t>
      </w:r>
      <w:r w:rsidR="00BF2E3F" w:rsidRPr="00F63EAE">
        <w:rPr>
          <w:rFonts w:cs="Times New Roman"/>
          <w:lang w:val="en-US"/>
        </w:rPr>
        <w:t xml:space="preserve"> [Berelson, 2001]</w:t>
      </w:r>
      <w:r w:rsidR="00275414" w:rsidRPr="00F63EAE">
        <w:rPr>
          <w:rFonts w:cs="Times New Roman"/>
          <w:lang w:val="en-US"/>
        </w:rPr>
        <w:t xml:space="preserve">. </w:t>
      </w:r>
      <w:r w:rsidR="005C3046" w:rsidRPr="00F63EAE">
        <w:rPr>
          <w:rFonts w:cs="Times New Roman"/>
          <w:lang w:val="en-US"/>
        </w:rPr>
        <w:t>For case (</w:t>
      </w:r>
      <w:r w:rsidR="00DE6B0B" w:rsidRPr="00F63EAE">
        <w:rPr>
          <w:rFonts w:cs="Times New Roman"/>
          <w:lang w:val="en-US"/>
        </w:rPr>
        <w:t>b</w:t>
      </w:r>
      <w:r w:rsidR="005C3046" w:rsidRPr="00F63EAE">
        <w:rPr>
          <w:rFonts w:cs="Times New Roman"/>
          <w:lang w:val="en-US"/>
        </w:rPr>
        <w:t xml:space="preserve">), ∫NaU equals </w:t>
      </w:r>
      <w:r w:rsidR="002C5565" w:rsidRPr="00F63EAE">
        <w:rPr>
          <w:rFonts w:cs="Times New Roman"/>
          <w:lang w:val="en-US"/>
        </w:rPr>
        <w:t>case (a)</w:t>
      </w:r>
      <w:r w:rsidR="005C3046" w:rsidRPr="00F63EAE">
        <w:rPr>
          <w:rFonts w:cs="Times New Roman"/>
          <w:lang w:val="en-US"/>
        </w:rPr>
        <w:t xml:space="preserve"> plus the nitrification in the mixed layer. We took a contribution of nitrification to NO</w:t>
      </w:r>
      <w:r w:rsidR="005C3046" w:rsidRPr="00F63EAE">
        <w:rPr>
          <w:rFonts w:cs="Times New Roman"/>
          <w:vertAlign w:val="subscript"/>
          <w:lang w:val="en-US"/>
        </w:rPr>
        <w:t>3</w:t>
      </w:r>
      <w:r w:rsidR="005C3046" w:rsidRPr="00F63EAE">
        <w:rPr>
          <w:rFonts w:cs="Times New Roman"/>
          <w:vertAlign w:val="superscript"/>
          <w:lang w:val="en-US"/>
        </w:rPr>
        <w:t>-</w:t>
      </w:r>
      <w:r w:rsidR="005C3046" w:rsidRPr="00F63EAE">
        <w:rPr>
          <w:rFonts w:cs="Times New Roman"/>
          <w:lang w:val="en-US"/>
        </w:rPr>
        <w:t xml:space="preserve"> assimilation in agreement with the best fit (0.7) </w:t>
      </w:r>
      <w:r w:rsidR="00E90DD4" w:rsidRPr="00F63EAE">
        <w:rPr>
          <w:rFonts w:cs="Times New Roman"/>
          <w:lang w:val="en-US"/>
        </w:rPr>
        <w:t>as detailed for</w:t>
      </w:r>
      <w:r w:rsidR="005C3046" w:rsidRPr="00F63EAE">
        <w:rPr>
          <w:rFonts w:cs="Times New Roman"/>
          <w:lang w:val="en-US"/>
        </w:rPr>
        <w:t xml:space="preserve"> the single box model (</w:t>
      </w:r>
      <w:r w:rsidR="00E90DD4" w:rsidRPr="00F63EAE">
        <w:rPr>
          <w:rFonts w:cs="Times New Roman"/>
          <w:lang w:val="en-US"/>
        </w:rPr>
        <w:t xml:space="preserve">see </w:t>
      </w:r>
      <w:r w:rsidR="005C3046" w:rsidRPr="00F63EAE">
        <w:rPr>
          <w:rFonts w:cs="Times New Roman"/>
          <w:lang w:val="en-US"/>
        </w:rPr>
        <w:t>section “Surface contribution of nitrification to NO</w:t>
      </w:r>
      <w:r w:rsidR="005C3046" w:rsidRPr="00F63EAE">
        <w:rPr>
          <w:rFonts w:cs="Times New Roman"/>
          <w:vertAlign w:val="subscript"/>
          <w:lang w:val="en-US"/>
        </w:rPr>
        <w:t>3</w:t>
      </w:r>
      <w:r w:rsidR="005C3046" w:rsidRPr="00F63EAE">
        <w:rPr>
          <w:rFonts w:cs="Times New Roman"/>
          <w:vertAlign w:val="superscript"/>
          <w:lang w:val="en-US"/>
        </w:rPr>
        <w:t>-</w:t>
      </w:r>
      <w:r w:rsidR="005C3046" w:rsidRPr="00F63EAE">
        <w:rPr>
          <w:rFonts w:cs="Times New Roman"/>
          <w:lang w:val="en-US"/>
        </w:rPr>
        <w:t xml:space="preserve"> assimilation”). Such rationale implies the same </w:t>
      </w:r>
      <w:r w:rsidR="00DE6B0B" w:rsidRPr="00F63EAE">
        <w:rPr>
          <w:rFonts w:cs="Times New Roman"/>
          <w:lang w:val="en-US"/>
        </w:rPr>
        <w:t>seasonal</w:t>
      </w:r>
      <w:r w:rsidR="005C3046" w:rsidRPr="00F63EAE">
        <w:rPr>
          <w:rFonts w:cs="Times New Roman"/>
          <w:lang w:val="en-US"/>
        </w:rPr>
        <w:t xml:space="preserve"> NO</w:t>
      </w:r>
      <w:r w:rsidR="005C3046" w:rsidRPr="00F63EAE">
        <w:rPr>
          <w:rFonts w:cs="Times New Roman"/>
          <w:vertAlign w:val="subscript"/>
          <w:lang w:val="en-US"/>
        </w:rPr>
        <w:t>3</w:t>
      </w:r>
      <w:r w:rsidR="005C3046" w:rsidRPr="00F63EAE">
        <w:rPr>
          <w:rFonts w:cs="Times New Roman"/>
          <w:vertAlign w:val="superscript"/>
          <w:lang w:val="en-US"/>
        </w:rPr>
        <w:t>-</w:t>
      </w:r>
      <w:r w:rsidR="005C3046" w:rsidRPr="00F63EAE">
        <w:rPr>
          <w:rFonts w:cs="Times New Roman"/>
          <w:lang w:val="en-US"/>
        </w:rPr>
        <w:t xml:space="preserve"> drawdown </w:t>
      </w:r>
      <w:r w:rsidR="00175865" w:rsidRPr="00F63EAE">
        <w:rPr>
          <w:rFonts w:cs="Times New Roman"/>
          <w:lang w:val="en-US"/>
        </w:rPr>
        <w:lastRenderedPageBreak/>
        <w:t>in both</w:t>
      </w:r>
      <w:r w:rsidR="005C3046" w:rsidRPr="00F63EAE">
        <w:rPr>
          <w:rFonts w:cs="Times New Roman"/>
          <w:lang w:val="en-US"/>
        </w:rPr>
        <w:t xml:space="preserve"> case</w:t>
      </w:r>
      <w:r w:rsidR="00175865" w:rsidRPr="00F63EAE">
        <w:rPr>
          <w:rFonts w:cs="Times New Roman"/>
          <w:lang w:val="en-US"/>
        </w:rPr>
        <w:t>s</w:t>
      </w:r>
      <w:r w:rsidR="00570709" w:rsidRPr="00F63EAE">
        <w:rPr>
          <w:rFonts w:cs="Times New Roman"/>
          <w:lang w:val="en-US"/>
        </w:rPr>
        <w:t xml:space="preserve"> (</w:t>
      </w:r>
      <w:r w:rsidR="00DE6B0B" w:rsidRPr="00F63EAE">
        <w:rPr>
          <w:rFonts w:cs="Times New Roman"/>
          <w:lang w:val="en-US"/>
        </w:rPr>
        <w:t>a</w:t>
      </w:r>
      <w:r w:rsidR="00570709" w:rsidRPr="00F63EAE">
        <w:rPr>
          <w:rFonts w:cs="Times New Roman"/>
          <w:lang w:val="en-US"/>
        </w:rPr>
        <w:t xml:space="preserve"> and </w:t>
      </w:r>
      <w:r w:rsidR="00DE6B0B" w:rsidRPr="00F63EAE">
        <w:rPr>
          <w:rFonts w:cs="Times New Roman"/>
          <w:lang w:val="en-US"/>
        </w:rPr>
        <w:t>b</w:t>
      </w:r>
      <w:r w:rsidR="00570709" w:rsidRPr="00F63EAE">
        <w:rPr>
          <w:rFonts w:cs="Times New Roman"/>
          <w:lang w:val="en-US"/>
        </w:rPr>
        <w:t>)</w:t>
      </w:r>
      <w:r w:rsidR="005C3046" w:rsidRPr="00F63EAE">
        <w:rPr>
          <w:rFonts w:cs="Times New Roman"/>
          <w:lang w:val="en-US"/>
        </w:rPr>
        <w:t xml:space="preserve">. </w:t>
      </w:r>
      <w:r w:rsidR="007C5C58" w:rsidRPr="00F63EAE">
        <w:rPr>
          <w:rFonts w:cs="Times New Roman"/>
          <w:lang w:val="en-US"/>
        </w:rPr>
        <w:t xml:space="preserve">Nitrification </w:t>
      </w:r>
      <w:r w:rsidR="005C3046" w:rsidRPr="00F63EAE">
        <w:rPr>
          <w:rFonts w:cs="Times New Roman"/>
          <w:lang w:val="en-US"/>
        </w:rPr>
        <w:t>below the mixed layer is parameterized as for case (</w:t>
      </w:r>
      <w:r w:rsidR="00DE6B0B" w:rsidRPr="00F63EAE">
        <w:rPr>
          <w:rFonts w:cs="Times New Roman"/>
          <w:lang w:val="en-US"/>
        </w:rPr>
        <w:t>a</w:t>
      </w:r>
      <w:r w:rsidR="005C3046" w:rsidRPr="00F63EAE">
        <w:rPr>
          <w:rFonts w:cs="Times New Roman"/>
          <w:lang w:val="en-US"/>
        </w:rPr>
        <w:t xml:space="preserve">). </w:t>
      </w:r>
      <w:r w:rsidR="006477A5" w:rsidRPr="00F63EAE">
        <w:rPr>
          <w:rFonts w:cs="Times New Roman"/>
          <w:lang w:val="en-US"/>
        </w:rPr>
        <w:t xml:space="preserve">In both cases, the </w:t>
      </w:r>
      <w:r w:rsidR="002C5565" w:rsidRPr="00F63EAE">
        <w:rPr>
          <w:rFonts w:cs="Times New Roman"/>
          <w:lang w:val="en-US"/>
        </w:rPr>
        <w:t>computed</w:t>
      </w:r>
      <w:r w:rsidR="007C5C58" w:rsidRPr="00F63EAE">
        <w:rPr>
          <w:rFonts w:cs="Times New Roman"/>
          <w:lang w:val="en-US"/>
        </w:rPr>
        <w:t xml:space="preserve"> </w:t>
      </w:r>
      <w:r w:rsidR="006477A5" w:rsidRPr="00F63EAE">
        <w:rPr>
          <w:rFonts w:cs="Times New Roman"/>
          <w:lang w:val="en-US"/>
        </w:rPr>
        <w:t xml:space="preserve">vertical </w:t>
      </w:r>
      <w:r w:rsidR="00124D36" w:rsidRPr="00F63EAE">
        <w:rPr>
          <w:rFonts w:cs="Times New Roman"/>
          <w:lang w:val="en-US"/>
        </w:rPr>
        <w:t xml:space="preserve">net </w:t>
      </w:r>
      <w:r w:rsidR="006477A5" w:rsidRPr="00F63EAE">
        <w:rPr>
          <w:rFonts w:cs="Times New Roman"/>
          <w:lang w:val="en-US"/>
        </w:rPr>
        <w:t>NO</w:t>
      </w:r>
      <w:r w:rsidR="006477A5" w:rsidRPr="00F63EAE">
        <w:rPr>
          <w:rFonts w:cs="Times New Roman"/>
          <w:vertAlign w:val="subscript"/>
          <w:lang w:val="en-US"/>
        </w:rPr>
        <w:t>3</w:t>
      </w:r>
      <w:r w:rsidR="006477A5" w:rsidRPr="00F63EAE">
        <w:rPr>
          <w:rFonts w:cs="Times New Roman"/>
          <w:vertAlign w:val="superscript"/>
          <w:lang w:val="en-US"/>
        </w:rPr>
        <w:t>-</w:t>
      </w:r>
      <w:r w:rsidR="006477A5" w:rsidRPr="00F63EAE">
        <w:rPr>
          <w:rFonts w:cs="Times New Roman"/>
          <w:lang w:val="en-US"/>
        </w:rPr>
        <w:t xml:space="preserve"> supply</w:t>
      </w:r>
      <w:r w:rsidR="00124D36" w:rsidRPr="00F63EAE">
        <w:rPr>
          <w:rFonts w:cs="Times New Roman"/>
          <w:lang w:val="en-US"/>
        </w:rPr>
        <w:t xml:space="preserve"> (upward  – downward)</w:t>
      </w:r>
      <w:r w:rsidR="006477A5" w:rsidRPr="00F63EAE">
        <w:rPr>
          <w:rFonts w:cs="Times New Roman"/>
          <w:lang w:val="en-US"/>
        </w:rPr>
        <w:t xml:space="preserve"> into the mixed layer </w:t>
      </w:r>
      <w:r w:rsidR="007C5C58" w:rsidRPr="00F63EAE">
        <w:rPr>
          <w:rFonts w:cs="Times New Roman"/>
          <w:lang w:val="en-US"/>
        </w:rPr>
        <w:t>is</w:t>
      </w:r>
      <w:r w:rsidR="006477A5" w:rsidRPr="00F63EAE">
        <w:rPr>
          <w:rFonts w:cs="Times New Roman"/>
          <w:lang w:val="en-US"/>
        </w:rPr>
        <w:t xml:space="preserve"> 0.</w:t>
      </w:r>
      <w:r w:rsidR="008D3046" w:rsidRPr="00F63EAE">
        <w:rPr>
          <w:rFonts w:cs="Times New Roman"/>
          <w:lang w:val="en-US"/>
        </w:rPr>
        <w:t>2</w:t>
      </w:r>
      <w:r w:rsidR="006477A5" w:rsidRPr="00F63EAE">
        <w:rPr>
          <w:rFonts w:cs="Times New Roman"/>
          <w:lang w:val="en-US"/>
        </w:rPr>
        <w:t xml:space="preserve"> mol m</w:t>
      </w:r>
      <w:r w:rsidR="006477A5" w:rsidRPr="00F63EAE">
        <w:rPr>
          <w:rFonts w:cs="Times New Roman"/>
          <w:vertAlign w:val="superscript"/>
          <w:lang w:val="en-US"/>
        </w:rPr>
        <w:t>-2</w:t>
      </w:r>
      <w:r w:rsidR="00124D36" w:rsidRPr="00F63EAE">
        <w:rPr>
          <w:rFonts w:cs="Times New Roman"/>
          <w:lang w:val="en-US"/>
        </w:rPr>
        <w:t xml:space="preserve"> (with upward</w:t>
      </w:r>
      <w:r w:rsidR="007E225B" w:rsidRPr="00F63EAE">
        <w:rPr>
          <w:rFonts w:cs="Times New Roman"/>
          <w:lang w:val="en-US"/>
        </w:rPr>
        <w:t xml:space="preserve"> and downward</w:t>
      </w:r>
      <w:r w:rsidR="00124D36" w:rsidRPr="00F63EAE">
        <w:rPr>
          <w:rFonts w:cs="Times New Roman"/>
          <w:lang w:val="en-US"/>
        </w:rPr>
        <w:t xml:space="preserve"> flux</w:t>
      </w:r>
      <w:r w:rsidR="007E225B" w:rsidRPr="00F63EAE">
        <w:rPr>
          <w:rFonts w:cs="Times New Roman"/>
          <w:lang w:val="en-US"/>
        </w:rPr>
        <w:t>es</w:t>
      </w:r>
      <w:r w:rsidR="00124D36" w:rsidRPr="00F63EAE">
        <w:rPr>
          <w:rFonts w:cs="Times New Roman"/>
          <w:lang w:val="en-US"/>
        </w:rPr>
        <w:t xml:space="preserve"> at </w:t>
      </w:r>
      <w:r w:rsidR="007E225B" w:rsidRPr="00F63EAE">
        <w:rPr>
          <w:rFonts w:cs="Times New Roman"/>
          <w:lang w:val="en-US"/>
        </w:rPr>
        <w:t>7.2 and 7.0</w:t>
      </w:r>
      <w:r w:rsidR="00124D36" w:rsidRPr="00F63EAE">
        <w:rPr>
          <w:rFonts w:cs="Times New Roman"/>
          <w:lang w:val="en-US"/>
        </w:rPr>
        <w:t xml:space="preserve"> mol m</w:t>
      </w:r>
      <w:r w:rsidR="00124D36" w:rsidRPr="00F63EAE">
        <w:rPr>
          <w:rFonts w:cs="Times New Roman"/>
          <w:vertAlign w:val="superscript"/>
          <w:lang w:val="en-US"/>
        </w:rPr>
        <w:t>-2</w:t>
      </w:r>
      <w:r w:rsidR="007E225B" w:rsidRPr="00F63EAE">
        <w:rPr>
          <w:rFonts w:cs="Times New Roman"/>
          <w:lang w:val="en-US"/>
        </w:rPr>
        <w:t>, which represents already a significant mixing rate in comparison with other rates</w:t>
      </w:r>
      <w:r w:rsidR="005F1E02">
        <w:rPr>
          <w:rFonts w:cs="Times New Roman"/>
          <w:lang w:val="en-US"/>
        </w:rPr>
        <w:t>, e.g., nitrate uptake, ammonium uptake, PN export, …</w:t>
      </w:r>
      <w:r w:rsidR="00124D36" w:rsidRPr="00F63EAE">
        <w:rPr>
          <w:rFonts w:cs="Times New Roman"/>
          <w:lang w:val="en-US"/>
        </w:rPr>
        <w:t>)</w:t>
      </w:r>
      <w:r w:rsidR="00275414" w:rsidRPr="00F63EAE">
        <w:rPr>
          <w:rFonts w:cs="Times New Roman"/>
          <w:lang w:val="en-US"/>
        </w:rPr>
        <w:t xml:space="preserve">, </w:t>
      </w:r>
      <w:r w:rsidR="008D3046" w:rsidRPr="00F63EAE">
        <w:rPr>
          <w:rFonts w:cs="Times New Roman"/>
          <w:lang w:val="en-US"/>
        </w:rPr>
        <w:t>similar</w:t>
      </w:r>
      <w:r w:rsidR="00275414" w:rsidRPr="00F63EAE">
        <w:rPr>
          <w:rFonts w:cs="Times New Roman"/>
          <w:lang w:val="en-US"/>
        </w:rPr>
        <w:t xml:space="preserve"> to the estimated</w:t>
      </w:r>
      <w:r w:rsidR="006477A5" w:rsidRPr="00F63EAE">
        <w:rPr>
          <w:rFonts w:cs="Times New Roman"/>
          <w:lang w:val="en-US"/>
        </w:rPr>
        <w:t xml:space="preserve"> vertical NO</w:t>
      </w:r>
      <w:r w:rsidR="006477A5" w:rsidRPr="00F63EAE">
        <w:rPr>
          <w:rFonts w:cs="Times New Roman"/>
          <w:vertAlign w:val="subscript"/>
          <w:lang w:val="en-US"/>
        </w:rPr>
        <w:t>3</w:t>
      </w:r>
      <w:r w:rsidR="006477A5" w:rsidRPr="00F63EAE">
        <w:rPr>
          <w:rFonts w:cs="Times New Roman"/>
          <w:vertAlign w:val="superscript"/>
          <w:lang w:val="en-US"/>
        </w:rPr>
        <w:t>-</w:t>
      </w:r>
      <w:r w:rsidR="006477A5" w:rsidRPr="00F63EAE">
        <w:rPr>
          <w:rFonts w:cs="Times New Roman"/>
          <w:lang w:val="en-US"/>
        </w:rPr>
        <w:t xml:space="preserve"> d</w:t>
      </w:r>
      <w:r w:rsidR="00570709" w:rsidRPr="00F63EAE">
        <w:rPr>
          <w:rFonts w:cs="Times New Roman"/>
          <w:lang w:val="en-US"/>
        </w:rPr>
        <w:t>iffusive</w:t>
      </w:r>
      <w:r w:rsidR="00A71E26" w:rsidRPr="00F63EAE">
        <w:rPr>
          <w:rFonts w:cs="Times New Roman"/>
          <w:lang w:val="en-US"/>
        </w:rPr>
        <w:t xml:space="preserve"> flux (0.2 ± 0.2</w:t>
      </w:r>
      <w:r w:rsidR="006477A5" w:rsidRPr="00F63EAE">
        <w:rPr>
          <w:rFonts w:cs="Times New Roman"/>
          <w:lang w:val="en-US"/>
        </w:rPr>
        <w:t xml:space="preserve"> mol m</w:t>
      </w:r>
      <w:r w:rsidR="006477A5" w:rsidRPr="00F63EAE">
        <w:rPr>
          <w:rFonts w:cs="Times New Roman"/>
          <w:vertAlign w:val="superscript"/>
          <w:lang w:val="en-US"/>
        </w:rPr>
        <w:t>-2</w:t>
      </w:r>
      <w:r w:rsidR="006477A5" w:rsidRPr="00F63EAE">
        <w:rPr>
          <w:rFonts w:cs="Times New Roman"/>
          <w:lang w:val="en-US"/>
        </w:rPr>
        <w:t>; see section “</w:t>
      </w:r>
      <w:r w:rsidR="00996E9B" w:rsidRPr="00F63EAE">
        <w:rPr>
          <w:rFonts w:cs="Times New Roman"/>
          <w:lang w:val="en-US"/>
        </w:rPr>
        <w:t>Biogeochemical properties</w:t>
      </w:r>
      <w:r w:rsidR="006477A5" w:rsidRPr="00F63EAE">
        <w:rPr>
          <w:rFonts w:cs="Times New Roman"/>
          <w:lang w:val="en-US"/>
        </w:rPr>
        <w:t xml:space="preserve">”).  </w:t>
      </w:r>
      <w:r w:rsidR="005C3046" w:rsidRPr="00F63EAE">
        <w:rPr>
          <w:rFonts w:cs="Times New Roman"/>
          <w:lang w:val="en-US"/>
        </w:rPr>
        <w:t xml:space="preserve">  </w:t>
      </w:r>
    </w:p>
    <w:p w:rsidR="007E225B" w:rsidRPr="005B3BEC" w:rsidRDefault="008D3046" w:rsidP="0055517F">
      <w:pPr>
        <w:spacing w:line="312" w:lineRule="auto"/>
        <w:rPr>
          <w:lang w:val="en-US"/>
        </w:rPr>
      </w:pPr>
      <w:r w:rsidRPr="005B3BEC">
        <w:rPr>
          <w:rFonts w:cs="Times New Roman"/>
          <w:lang w:val="en-US"/>
        </w:rPr>
        <w:t xml:space="preserve">The model sensitivity to the different parameters is shown in Figure </w:t>
      </w:r>
      <w:r w:rsidR="004C50E3" w:rsidRPr="005B3BEC">
        <w:rPr>
          <w:rFonts w:cs="Times New Roman"/>
          <w:lang w:val="en-US"/>
        </w:rPr>
        <w:t>6</w:t>
      </w:r>
      <w:r w:rsidRPr="005B3BEC">
        <w:rPr>
          <w:rFonts w:cs="Times New Roman"/>
          <w:lang w:val="en-US"/>
        </w:rPr>
        <w:t xml:space="preserve">. </w:t>
      </w:r>
      <w:r w:rsidR="007C5C58" w:rsidRPr="005B3BEC">
        <w:rPr>
          <w:rFonts w:cs="Times New Roman"/>
          <w:lang w:val="en-US"/>
        </w:rPr>
        <w:t xml:space="preserve">The </w:t>
      </w:r>
      <w:r w:rsidRPr="005B3BEC">
        <w:rPr>
          <w:rFonts w:cs="Times New Roman"/>
          <w:lang w:val="en-US"/>
        </w:rPr>
        <w:t xml:space="preserve">Vertical </w:t>
      </w:r>
      <w:r w:rsidR="000D5318" w:rsidRPr="005B3BEC">
        <w:t>Δ</w:t>
      </w:r>
      <w:r w:rsidR="000D5318" w:rsidRPr="005B3BEC">
        <w:rPr>
          <w:lang w:val="en-US"/>
        </w:rPr>
        <w:t xml:space="preserve">(15-18) </w:t>
      </w:r>
      <w:r w:rsidRPr="005B3BEC">
        <w:rPr>
          <w:rFonts w:cs="Times New Roman"/>
          <w:lang w:val="en-US"/>
        </w:rPr>
        <w:t xml:space="preserve">distribution </w:t>
      </w:r>
      <w:r w:rsidR="007E225B" w:rsidRPr="005B3BEC">
        <w:rPr>
          <w:rFonts w:cs="Times New Roman"/>
          <w:lang w:val="en-US"/>
        </w:rPr>
        <w:t>is highly sensitive to the assigned nitrified NO</w:t>
      </w:r>
      <w:r w:rsidR="007E225B" w:rsidRPr="005B3BEC">
        <w:rPr>
          <w:rFonts w:cs="Times New Roman"/>
          <w:vertAlign w:val="subscript"/>
          <w:lang w:val="en-US"/>
        </w:rPr>
        <w:t>3</w:t>
      </w:r>
      <w:r w:rsidR="007E225B" w:rsidRPr="005B3BEC">
        <w:rPr>
          <w:rFonts w:cs="Times New Roman"/>
          <w:vertAlign w:val="superscript"/>
          <w:lang w:val="en-US"/>
        </w:rPr>
        <w:t>-</w:t>
      </w:r>
      <w:r w:rsidR="007E225B" w:rsidRPr="005B3BEC">
        <w:rPr>
          <w:rFonts w:cs="Times New Roman"/>
          <w:lang w:val="en-US"/>
        </w:rPr>
        <w:t xml:space="preserve"> δ</w:t>
      </w:r>
      <w:r w:rsidR="007E225B" w:rsidRPr="005B3BEC">
        <w:rPr>
          <w:rFonts w:cs="Times New Roman"/>
          <w:vertAlign w:val="superscript"/>
          <w:lang w:val="en-US"/>
        </w:rPr>
        <w:t>18</w:t>
      </w:r>
      <w:r w:rsidR="007E225B" w:rsidRPr="005B3BEC">
        <w:rPr>
          <w:rFonts w:cs="Times New Roman"/>
          <w:lang w:val="en-US"/>
        </w:rPr>
        <w:t xml:space="preserve">O (from -1.5 to 1.3 ‰) [Buchwald et al., 2012]. On the other hand, the model is </w:t>
      </w:r>
      <w:r w:rsidRPr="005B3BEC">
        <w:rPr>
          <w:rFonts w:cs="Times New Roman"/>
          <w:lang w:val="en-US"/>
        </w:rPr>
        <w:t>n</w:t>
      </w:r>
      <w:r w:rsidR="007C5C58" w:rsidRPr="005B3BEC">
        <w:rPr>
          <w:rFonts w:cs="Times New Roman"/>
          <w:lang w:val="en-US"/>
        </w:rPr>
        <w:t xml:space="preserve">either very sensitive </w:t>
      </w:r>
      <w:r w:rsidRPr="005B3BEC">
        <w:rPr>
          <w:rFonts w:cs="Times New Roman"/>
          <w:lang w:val="en-US"/>
        </w:rPr>
        <w:t>to the depth attenuation coefficient (from 0.6 to 1.3, i.e., the oceanic range)</w:t>
      </w:r>
      <w:r w:rsidR="00BF2E3F" w:rsidRPr="005B3BEC">
        <w:rPr>
          <w:rFonts w:cs="Times New Roman"/>
          <w:lang w:val="en-US"/>
        </w:rPr>
        <w:t xml:space="preserve"> [Berelson, 2001]</w:t>
      </w:r>
      <w:r w:rsidRPr="005B3BEC">
        <w:rPr>
          <w:rFonts w:cs="Times New Roman"/>
          <w:lang w:val="en-US"/>
        </w:rPr>
        <w:t xml:space="preserve">, </w:t>
      </w:r>
      <w:r w:rsidR="007C5C58" w:rsidRPr="005B3BEC">
        <w:rPr>
          <w:rFonts w:cs="Times New Roman"/>
          <w:lang w:val="en-US"/>
        </w:rPr>
        <w:t>nor the</w:t>
      </w:r>
      <w:r w:rsidRPr="005B3BEC">
        <w:rPr>
          <w:rFonts w:cs="Times New Roman"/>
          <w:lang w:val="en-US"/>
        </w:rPr>
        <w:t xml:space="preserve"> vertical mixing rates (</w:t>
      </w:r>
      <w:r w:rsidR="00464BC2" w:rsidRPr="005B3BEC">
        <w:rPr>
          <w:rFonts w:cs="Times New Roman"/>
          <w:lang w:val="en-US"/>
        </w:rPr>
        <w:t>S</w:t>
      </w:r>
      <w:r w:rsidR="00464BC2" w:rsidRPr="005B3BEC">
        <w:rPr>
          <w:rFonts w:cs="Times New Roman"/>
          <w:lang w:val="en-US"/>
        </w:rPr>
        <w:sym w:font="Symbol" w:char="F0AD"/>
      </w:r>
      <w:r w:rsidR="00464BC2" w:rsidRPr="005B3BEC">
        <w:rPr>
          <w:rFonts w:cs="Times New Roman"/>
          <w:lang w:val="en-US"/>
        </w:rPr>
        <w:t xml:space="preserve"> and S</w:t>
      </w:r>
      <w:r w:rsidR="00464BC2" w:rsidRPr="005B3BEC">
        <w:rPr>
          <w:rFonts w:cs="Times New Roman"/>
          <w:lang w:val="en-US"/>
        </w:rPr>
        <w:sym w:font="Symbol" w:char="F0AF"/>
      </w:r>
      <w:r w:rsidR="00464BC2" w:rsidRPr="005B3BEC">
        <w:rPr>
          <w:rFonts w:cs="Times New Roman"/>
          <w:lang w:val="en-US"/>
        </w:rPr>
        <w:t xml:space="preserve"> below the mixed layer from 0.005 to 0.1; representing</w:t>
      </w:r>
      <w:r w:rsidR="00124D36" w:rsidRPr="005B3BEC">
        <w:rPr>
          <w:rFonts w:cs="Times New Roman"/>
          <w:lang w:val="en-US"/>
        </w:rPr>
        <w:t xml:space="preserve"> a net </w:t>
      </w:r>
      <w:r w:rsidR="00464BC2" w:rsidRPr="005B3BEC">
        <w:rPr>
          <w:rFonts w:cs="Times New Roman"/>
          <w:lang w:val="en-US"/>
        </w:rPr>
        <w:t xml:space="preserve">nitrate </w:t>
      </w:r>
      <w:r w:rsidR="00124D36" w:rsidRPr="005B3BEC">
        <w:rPr>
          <w:rFonts w:cs="Times New Roman"/>
          <w:lang w:val="en-US"/>
        </w:rPr>
        <w:t xml:space="preserve">supply varying </w:t>
      </w:r>
      <w:r w:rsidRPr="005B3BEC">
        <w:rPr>
          <w:rFonts w:cs="Times New Roman"/>
          <w:lang w:val="en-US"/>
        </w:rPr>
        <w:t>from 0.</w:t>
      </w:r>
      <w:r w:rsidR="00BF2E3F" w:rsidRPr="005B3BEC">
        <w:rPr>
          <w:rFonts w:cs="Times New Roman"/>
          <w:lang w:val="en-US"/>
        </w:rPr>
        <w:t>0</w:t>
      </w:r>
      <w:r w:rsidR="007E225B" w:rsidRPr="005B3BEC">
        <w:rPr>
          <w:rFonts w:cs="Times New Roman"/>
          <w:lang w:val="en-US"/>
        </w:rPr>
        <w:t>3</w:t>
      </w:r>
      <w:r w:rsidRPr="005B3BEC">
        <w:rPr>
          <w:rFonts w:cs="Times New Roman"/>
          <w:lang w:val="en-US"/>
        </w:rPr>
        <w:t xml:space="preserve"> to 0.</w:t>
      </w:r>
      <w:r w:rsidR="00124D36" w:rsidRPr="005B3BEC">
        <w:rPr>
          <w:rFonts w:cs="Times New Roman"/>
          <w:lang w:val="en-US"/>
        </w:rPr>
        <w:t>3</w:t>
      </w:r>
      <w:r w:rsidRPr="005B3BEC">
        <w:rPr>
          <w:rFonts w:cs="Times New Roman"/>
          <w:lang w:val="en-US"/>
        </w:rPr>
        <w:t xml:space="preserve"> mol m</w:t>
      </w:r>
      <w:r w:rsidRPr="005B3BEC">
        <w:rPr>
          <w:rFonts w:cs="Times New Roman"/>
          <w:vertAlign w:val="superscript"/>
          <w:lang w:val="en-US"/>
        </w:rPr>
        <w:t>-2</w:t>
      </w:r>
      <w:r w:rsidR="00464BC2" w:rsidRPr="005B3BEC">
        <w:rPr>
          <w:rFonts w:cs="Times New Roman"/>
          <w:lang w:val="en-US"/>
        </w:rPr>
        <w:t xml:space="preserve"> and </w:t>
      </w:r>
      <w:r w:rsidR="00124D36" w:rsidRPr="005B3BEC">
        <w:rPr>
          <w:rFonts w:cs="Times New Roman"/>
          <w:lang w:val="en-US"/>
        </w:rPr>
        <w:t>an upward fluxes from 0</w:t>
      </w:r>
      <w:r w:rsidR="007E225B" w:rsidRPr="005B3BEC">
        <w:rPr>
          <w:rFonts w:cs="Times New Roman"/>
          <w:lang w:val="en-US"/>
        </w:rPr>
        <w:t>.15</w:t>
      </w:r>
      <w:r w:rsidR="00124D36" w:rsidRPr="005B3BEC">
        <w:rPr>
          <w:rFonts w:cs="Times New Roman"/>
          <w:lang w:val="en-US"/>
        </w:rPr>
        <w:t xml:space="preserve"> to 14</w:t>
      </w:r>
      <w:r w:rsidR="007E225B" w:rsidRPr="005B3BEC">
        <w:rPr>
          <w:rFonts w:cs="Times New Roman"/>
          <w:lang w:val="en-US"/>
        </w:rPr>
        <w:t>.5</w:t>
      </w:r>
      <w:r w:rsidR="00124D36" w:rsidRPr="005B3BEC">
        <w:rPr>
          <w:rFonts w:cs="Times New Roman"/>
          <w:lang w:val="en-US"/>
        </w:rPr>
        <w:t xml:space="preserve"> mol m</w:t>
      </w:r>
      <w:r w:rsidR="00124D36" w:rsidRPr="005B3BEC">
        <w:rPr>
          <w:rFonts w:cs="Times New Roman"/>
          <w:vertAlign w:val="superscript"/>
          <w:lang w:val="en-US"/>
        </w:rPr>
        <w:t>-2</w:t>
      </w:r>
      <w:r w:rsidRPr="005B3BEC">
        <w:rPr>
          <w:rFonts w:cs="Times New Roman"/>
          <w:lang w:val="en-US"/>
        </w:rPr>
        <w:t>).</w:t>
      </w:r>
      <w:r w:rsidR="007E225B" w:rsidRPr="005B3BEC">
        <w:rPr>
          <w:rFonts w:cs="Times New Roman"/>
          <w:lang w:val="en-US"/>
        </w:rPr>
        <w:t xml:space="preserve"> This range for the vertical mixing rates is </w:t>
      </w:r>
      <w:r w:rsidR="00847CB0" w:rsidRPr="005B3BEC">
        <w:rPr>
          <w:rFonts w:cs="Times New Roman"/>
          <w:lang w:val="en-US"/>
        </w:rPr>
        <w:t xml:space="preserve">unrealistically </w:t>
      </w:r>
      <w:r w:rsidR="007E225B" w:rsidRPr="005B3BEC">
        <w:rPr>
          <w:rFonts w:cs="Times New Roman"/>
          <w:lang w:val="en-US"/>
        </w:rPr>
        <w:t>large in comparison with other fluxes</w:t>
      </w:r>
      <w:r w:rsidR="005F1E02" w:rsidRPr="005B3BEC">
        <w:rPr>
          <w:rFonts w:cs="Times New Roman"/>
          <w:lang w:val="en-US"/>
        </w:rPr>
        <w:t xml:space="preserve"> (e.g., nitrate and ammonium uptake). T</w:t>
      </w:r>
      <w:r w:rsidR="00464BC2" w:rsidRPr="005B3BEC">
        <w:rPr>
          <w:rFonts w:cs="Times New Roman"/>
          <w:lang w:val="en-US"/>
        </w:rPr>
        <w:t xml:space="preserve">his was motivated to see how fast a </w:t>
      </w:r>
      <w:r w:rsidR="002B2A06" w:rsidRPr="005B3BEC">
        <w:rPr>
          <w:rFonts w:cs="Times New Roman"/>
          <w:lang w:val="en-US"/>
        </w:rPr>
        <w:t>sub</w:t>
      </w:r>
      <w:r w:rsidR="00464BC2" w:rsidRPr="005B3BEC">
        <w:rPr>
          <w:rFonts w:cs="Times New Roman"/>
          <w:lang w:val="en-US"/>
        </w:rPr>
        <w:t>surface signal can be propagated into the mixed layer</w:t>
      </w:r>
      <w:r w:rsidR="007E225B" w:rsidRPr="005B3BEC">
        <w:rPr>
          <w:rFonts w:cs="Times New Roman"/>
          <w:lang w:val="en-US"/>
        </w:rPr>
        <w:t>.</w:t>
      </w:r>
      <w:r w:rsidR="00464BC2" w:rsidRPr="005B3BEC">
        <w:rPr>
          <w:rFonts w:cs="Times New Roman"/>
          <w:lang w:val="en-US"/>
        </w:rPr>
        <w:t xml:space="preserve"> </w:t>
      </w:r>
      <w:r w:rsidR="007E225B" w:rsidRPr="005B3BEC">
        <w:rPr>
          <w:rFonts w:cs="Times New Roman"/>
          <w:lang w:val="en-US"/>
        </w:rPr>
        <w:t>The small variations in the net supply result from the small vertical nitrate gradients (</w:t>
      </w:r>
      <w:r w:rsidR="007E225B" w:rsidRPr="005B3BEC">
        <w:rPr>
          <w:lang w:val="en-US"/>
        </w:rPr>
        <w:t xml:space="preserve">5.2 ± 3.4 </w:t>
      </w:r>
      <w:r w:rsidR="007E225B" w:rsidRPr="005B3BEC">
        <w:rPr>
          <w:szCs w:val="24"/>
          <w:lang w:val="en-US"/>
        </w:rPr>
        <w:sym w:font="Symbol" w:char="F06D"/>
      </w:r>
      <w:r w:rsidR="007E225B" w:rsidRPr="005B3BEC">
        <w:rPr>
          <w:lang w:val="en-US"/>
        </w:rPr>
        <w:t>mol l</w:t>
      </w:r>
      <w:r w:rsidR="007E225B" w:rsidRPr="005B3BEC">
        <w:rPr>
          <w:vertAlign w:val="superscript"/>
          <w:lang w:val="en-US"/>
        </w:rPr>
        <w:t>-1</w:t>
      </w:r>
      <w:r w:rsidR="007E225B" w:rsidRPr="005B3BEC">
        <w:rPr>
          <w:lang w:val="en-US"/>
        </w:rPr>
        <w:t xml:space="preserve">; between 0-100 and 140-160 m depth stratum), implying nearly equal upward and downward fluxes. </w:t>
      </w:r>
    </w:p>
    <w:p w:rsidR="00316308" w:rsidRPr="00F63EAE" w:rsidRDefault="00316308" w:rsidP="0055517F">
      <w:pPr>
        <w:pStyle w:val="Heading2"/>
        <w:spacing w:line="312" w:lineRule="auto"/>
        <w:rPr>
          <w:lang w:val="en-US"/>
        </w:rPr>
      </w:pPr>
      <w:r w:rsidRPr="00F63EAE">
        <w:rPr>
          <w:lang w:val="en-US"/>
        </w:rPr>
        <w:t>S</w:t>
      </w:r>
      <w:r w:rsidR="009E5F59" w:rsidRPr="00F63EAE">
        <w:rPr>
          <w:lang w:val="en-US"/>
        </w:rPr>
        <w:t>2</w:t>
      </w:r>
      <w:r w:rsidRPr="00F63EAE">
        <w:rPr>
          <w:lang w:val="en-US"/>
        </w:rPr>
        <w:t xml:space="preserve">. </w:t>
      </w:r>
      <w:r w:rsidR="00CF30F7" w:rsidRPr="00F63EAE">
        <w:rPr>
          <w:lang w:val="en-US"/>
        </w:rPr>
        <w:t xml:space="preserve"> Single box model: contribution of nitrification to NO</w:t>
      </w:r>
      <w:r w:rsidR="00CF30F7" w:rsidRPr="00F63EAE">
        <w:rPr>
          <w:vertAlign w:val="subscript"/>
          <w:lang w:val="en-US"/>
        </w:rPr>
        <w:t>3</w:t>
      </w:r>
      <w:r w:rsidR="00CF30F7" w:rsidRPr="00F63EAE">
        <w:rPr>
          <w:vertAlign w:val="superscript"/>
          <w:lang w:val="en-US"/>
        </w:rPr>
        <w:t>-</w:t>
      </w:r>
      <w:r w:rsidR="00CF30F7" w:rsidRPr="00F63EAE">
        <w:rPr>
          <w:lang w:val="en-US"/>
        </w:rPr>
        <w:t xml:space="preserve"> assimilation</w:t>
      </w:r>
    </w:p>
    <w:p w:rsidR="00CF30F7" w:rsidRPr="00F63EAE" w:rsidRDefault="00CF30F7" w:rsidP="0055517F">
      <w:pPr>
        <w:spacing w:line="312" w:lineRule="auto"/>
        <w:rPr>
          <w:lang w:val="en-US"/>
        </w:rPr>
      </w:pPr>
      <w:r w:rsidRPr="00F63EAE">
        <w:rPr>
          <w:lang w:val="en-US"/>
        </w:rPr>
        <w:t>We use a time-dependent geochemical one</w:t>
      </w:r>
      <w:r w:rsidR="00E27281" w:rsidRPr="00F63EAE">
        <w:rPr>
          <w:lang w:val="en-US"/>
        </w:rPr>
        <w:t>-</w:t>
      </w:r>
      <w:r w:rsidRPr="00F63EAE">
        <w:rPr>
          <w:lang w:val="en-US"/>
        </w:rPr>
        <w:t>box model of the mixed layer to constrain the relative rate of nitrification from the observed 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and PN concentrations, 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and PN δ</w:t>
      </w:r>
      <w:r w:rsidRPr="00F63EAE">
        <w:rPr>
          <w:vertAlign w:val="superscript"/>
          <w:lang w:val="en-US"/>
        </w:rPr>
        <w:t>15</w:t>
      </w:r>
      <w:r w:rsidRPr="00F63EAE">
        <w:rPr>
          <w:lang w:val="en-US"/>
        </w:rPr>
        <w:t>N, and 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δ</w:t>
      </w:r>
      <w:r w:rsidRPr="00F63EAE">
        <w:rPr>
          <w:vertAlign w:val="superscript"/>
          <w:lang w:val="en-US"/>
        </w:rPr>
        <w:t>18</w:t>
      </w:r>
      <w:r w:rsidRPr="00F63EAE">
        <w:rPr>
          <w:lang w:val="en-US"/>
        </w:rPr>
        <w:t xml:space="preserve">O. The model </w:t>
      </w:r>
      <w:r w:rsidR="00E27281" w:rsidRPr="00F63EAE">
        <w:rPr>
          <w:lang w:val="en-US"/>
        </w:rPr>
        <w:t xml:space="preserve">simulates </w:t>
      </w:r>
      <w:r w:rsidRPr="00F63EAE">
        <w:rPr>
          <w:lang w:val="en-US"/>
        </w:rPr>
        <w:t>the change in the concentration of the fixed N pools (NO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>, NO</w:t>
      </w:r>
      <w:r w:rsidRPr="00F63EAE">
        <w:rPr>
          <w:vertAlign w:val="subscript"/>
          <w:lang w:val="en-US"/>
        </w:rPr>
        <w:t>2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>, NH</w:t>
      </w:r>
      <w:r w:rsidRPr="00F63EAE">
        <w:rPr>
          <w:vertAlign w:val="subscript"/>
          <w:lang w:val="en-US"/>
        </w:rPr>
        <w:t>4</w:t>
      </w:r>
      <w:r w:rsidRPr="00F63EAE">
        <w:rPr>
          <w:vertAlign w:val="superscript"/>
          <w:lang w:val="en-US"/>
        </w:rPr>
        <w:t>+</w:t>
      </w:r>
      <w:r w:rsidRPr="00F63EAE">
        <w:rPr>
          <w:lang w:val="en-US"/>
        </w:rPr>
        <w:t>, PN) and their isotopic composition (δ</w:t>
      </w:r>
      <w:r w:rsidRPr="00F63EAE">
        <w:rPr>
          <w:vertAlign w:val="superscript"/>
          <w:lang w:val="en-US"/>
        </w:rPr>
        <w:t>15</w:t>
      </w:r>
      <w:r w:rsidRPr="00F63EAE">
        <w:rPr>
          <w:lang w:val="en-US"/>
        </w:rPr>
        <w:t>N for all of them and δ</w:t>
      </w:r>
      <w:r w:rsidRPr="00F63EAE">
        <w:rPr>
          <w:vertAlign w:val="superscript"/>
          <w:lang w:val="en-US"/>
        </w:rPr>
        <w:t>18</w:t>
      </w:r>
      <w:r w:rsidRPr="00F63EAE">
        <w:rPr>
          <w:lang w:val="en-US"/>
        </w:rPr>
        <w:t>O for 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>)</w:t>
      </w:r>
      <w:r w:rsidR="006A68D9" w:rsidRPr="00F63EAE">
        <w:rPr>
          <w:lang w:val="en-US"/>
        </w:rPr>
        <w:t>,</w:t>
      </w:r>
      <w:r w:rsidRPr="00F63EAE">
        <w:rPr>
          <w:lang w:val="en-US"/>
        </w:rPr>
        <w:t xml:space="preserve"> in the timeframe given by the observation</w:t>
      </w:r>
      <w:r w:rsidR="00E27281" w:rsidRPr="00F63EAE">
        <w:rPr>
          <w:lang w:val="en-US"/>
        </w:rPr>
        <w:t>s</w:t>
      </w:r>
      <w:r w:rsidRPr="00F63EAE">
        <w:rPr>
          <w:lang w:val="en-US"/>
        </w:rPr>
        <w:t xml:space="preserve"> (</w:t>
      </w:r>
      <w:r w:rsidRPr="00F63EAE">
        <w:rPr>
          <w:rFonts w:cs="Times New Roman"/>
          <w:lang w:val="en-US"/>
        </w:rPr>
        <w:t>~</w:t>
      </w:r>
      <w:r w:rsidRPr="00F63EAE">
        <w:rPr>
          <w:lang w:val="en-US"/>
        </w:rPr>
        <w:t>20</w:t>
      </w:r>
      <w:r w:rsidRPr="00F63EAE">
        <w:rPr>
          <w:vertAlign w:val="superscript"/>
          <w:lang w:val="en-US"/>
        </w:rPr>
        <w:t>th</w:t>
      </w:r>
      <w:r w:rsidRPr="00F63EAE">
        <w:rPr>
          <w:lang w:val="en-US"/>
        </w:rPr>
        <w:t xml:space="preserve"> October to </w:t>
      </w:r>
      <w:r w:rsidRPr="00F63EAE">
        <w:rPr>
          <w:rFonts w:cs="Times New Roman"/>
          <w:lang w:val="en-US"/>
        </w:rPr>
        <w:t>~13 February)</w:t>
      </w:r>
      <w:r w:rsidRPr="00F63EAE">
        <w:rPr>
          <w:lang w:val="en-US"/>
        </w:rPr>
        <w:t xml:space="preserve">. We tested the range given </w:t>
      </w:r>
      <w:r w:rsidR="00E27281" w:rsidRPr="00F63EAE">
        <w:rPr>
          <w:lang w:val="en-US"/>
        </w:rPr>
        <w:t xml:space="preserve">in </w:t>
      </w:r>
      <w:r w:rsidRPr="00F63EAE">
        <w:rPr>
          <w:lang w:val="en-US"/>
        </w:rPr>
        <w:t xml:space="preserve">the literature for the </w:t>
      </w:r>
      <w:r w:rsidR="00E27281" w:rsidRPr="00F63EAE">
        <w:rPr>
          <w:lang w:val="en-US"/>
        </w:rPr>
        <w:t xml:space="preserve">different </w:t>
      </w:r>
      <w:r w:rsidRPr="00F63EAE">
        <w:rPr>
          <w:lang w:val="en-US"/>
        </w:rPr>
        <w:t>isotope effects: 5</w:t>
      </w:r>
      <w:r w:rsidR="00FE0F82" w:rsidRPr="00F63EAE">
        <w:rPr>
          <w:lang w:val="en-US"/>
        </w:rPr>
        <w:t xml:space="preserve"> </w:t>
      </w:r>
      <w:r w:rsidRPr="00F63EAE">
        <w:rPr>
          <w:lang w:val="en-US"/>
        </w:rPr>
        <w:t>‰ for NO</w:t>
      </w:r>
      <w:r w:rsidRPr="00F63EAE">
        <w:rPr>
          <w:vertAlign w:val="subscript"/>
          <w:lang w:val="en-US"/>
        </w:rPr>
        <w:t>3</w:t>
      </w:r>
      <w:r w:rsidRPr="00F63EAE">
        <w:rPr>
          <w:vertAlign w:val="superscript"/>
          <w:lang w:val="en-US"/>
        </w:rPr>
        <w:t>-</w:t>
      </w:r>
      <w:r w:rsidRPr="00F63EAE">
        <w:rPr>
          <w:lang w:val="en-US"/>
        </w:rPr>
        <w:t xml:space="preserve"> assimilation</w:t>
      </w:r>
      <w:r w:rsidR="00333DA4" w:rsidRPr="00F63EAE">
        <w:rPr>
          <w:lang w:val="en-US"/>
        </w:rPr>
        <w:t xml:space="preserve"> (</w:t>
      </w:r>
      <w:r w:rsidR="00A97DFF" w:rsidRPr="00F63EAE">
        <w:rPr>
          <w:lang w:val="en-US"/>
        </w:rPr>
        <w:t>1)</w:t>
      </w:r>
      <w:r w:rsidRPr="00F63EAE">
        <w:rPr>
          <w:lang w:val="en-US"/>
        </w:rPr>
        <w:t>, 0-2</w:t>
      </w:r>
      <w:r w:rsidR="00846E38" w:rsidRPr="00F63EAE">
        <w:rPr>
          <w:lang w:val="en-US"/>
        </w:rPr>
        <w:t xml:space="preserve"> </w:t>
      </w:r>
      <w:r w:rsidRPr="00F63EAE">
        <w:rPr>
          <w:lang w:val="en-US"/>
        </w:rPr>
        <w:t>‰ for the remineralization</w:t>
      </w:r>
      <w:r w:rsidR="00A8599A" w:rsidRPr="00F63EAE">
        <w:rPr>
          <w:lang w:val="en-US"/>
        </w:rPr>
        <w:t xml:space="preserve"> (PN,DON </w:t>
      </w:r>
      <w:r w:rsidR="00A8599A" w:rsidRPr="00F63EAE">
        <w:rPr>
          <w:lang w:val="en-US"/>
        </w:rPr>
        <w:sym w:font="Wingdings" w:char="F0E0"/>
      </w:r>
      <w:r w:rsidR="00A8599A" w:rsidRPr="00F63EAE">
        <w:rPr>
          <w:lang w:val="en-US"/>
        </w:rPr>
        <w:t xml:space="preserve"> NH</w:t>
      </w:r>
      <w:r w:rsidR="00A8599A" w:rsidRPr="00F63EAE">
        <w:rPr>
          <w:vertAlign w:val="subscript"/>
          <w:lang w:val="en-US"/>
        </w:rPr>
        <w:t>4</w:t>
      </w:r>
      <w:r w:rsidR="00A8599A" w:rsidRPr="00F63EAE">
        <w:rPr>
          <w:vertAlign w:val="superscript"/>
          <w:lang w:val="en-US"/>
        </w:rPr>
        <w:t>+</w:t>
      </w:r>
      <w:r w:rsidR="00A8599A" w:rsidRPr="00F63EAE">
        <w:rPr>
          <w:lang w:val="en-US"/>
        </w:rPr>
        <w:t>)</w:t>
      </w:r>
      <w:r w:rsidR="00A97DFF" w:rsidRPr="00F63EAE">
        <w:rPr>
          <w:vertAlign w:val="superscript"/>
          <w:lang w:val="en-US"/>
        </w:rPr>
        <w:t xml:space="preserve"> </w:t>
      </w:r>
      <w:r w:rsidR="00BF2E3F" w:rsidRPr="00F63EAE">
        <w:rPr>
          <w:lang w:val="en-US"/>
        </w:rPr>
        <w:t>[Möbius, 2013;</w:t>
      </w:r>
      <w:r w:rsidR="00A97DFF" w:rsidRPr="00F63EAE">
        <w:rPr>
          <w:lang w:val="en-US"/>
        </w:rPr>
        <w:t xml:space="preserve"> </w:t>
      </w:r>
      <w:r w:rsidR="005F0E5D" w:rsidRPr="00F63EAE">
        <w:rPr>
          <w:lang w:val="en-US"/>
        </w:rPr>
        <w:t>and reference therein</w:t>
      </w:r>
      <w:r w:rsidR="00A8599A" w:rsidRPr="00F63EAE">
        <w:rPr>
          <w:lang w:val="en-US"/>
        </w:rPr>
        <w:t>]</w:t>
      </w:r>
      <w:r w:rsidR="005F0E5D" w:rsidRPr="00F63EAE">
        <w:rPr>
          <w:lang w:val="en-US"/>
        </w:rPr>
        <w:t>;</w:t>
      </w:r>
      <w:r w:rsidRPr="00F63EAE">
        <w:rPr>
          <w:lang w:val="en-US"/>
        </w:rPr>
        <w:t xml:space="preserve"> 0-5</w:t>
      </w:r>
      <w:r w:rsidR="00846E38" w:rsidRPr="00F63EAE">
        <w:rPr>
          <w:lang w:val="en-US"/>
        </w:rPr>
        <w:t xml:space="preserve"> </w:t>
      </w:r>
      <w:r w:rsidRPr="00F63EAE">
        <w:rPr>
          <w:lang w:val="en-US"/>
        </w:rPr>
        <w:t>‰ for NH</w:t>
      </w:r>
      <w:r w:rsidRPr="00F63EAE">
        <w:rPr>
          <w:vertAlign w:val="subscript"/>
          <w:lang w:val="en-US"/>
        </w:rPr>
        <w:t>4</w:t>
      </w:r>
      <w:r w:rsidRPr="00F63EAE">
        <w:rPr>
          <w:vertAlign w:val="superscript"/>
          <w:lang w:val="en-US"/>
        </w:rPr>
        <w:t>+</w:t>
      </w:r>
      <w:r w:rsidRPr="00F63EAE">
        <w:rPr>
          <w:lang w:val="en-US"/>
        </w:rPr>
        <w:t xml:space="preserve"> assimilation</w:t>
      </w:r>
      <w:r w:rsidR="00A97DFF" w:rsidRPr="00F63EAE">
        <w:rPr>
          <w:vertAlign w:val="superscript"/>
          <w:lang w:val="en-US"/>
        </w:rPr>
        <w:t xml:space="preserve"> </w:t>
      </w:r>
      <w:r w:rsidR="00BF2E3F" w:rsidRPr="00F63EAE">
        <w:rPr>
          <w:lang w:val="en-US"/>
        </w:rPr>
        <w:t>[Hoch et al., 1992; Pennock et al., 1998; Vo et al., 2013]</w:t>
      </w:r>
      <w:r w:rsidRPr="00F63EAE">
        <w:rPr>
          <w:lang w:val="en-US"/>
        </w:rPr>
        <w:t xml:space="preserve">, </w:t>
      </w:r>
      <w:r w:rsidR="004305D6" w:rsidRPr="00F63EAE">
        <w:rPr>
          <w:lang w:val="en-US"/>
        </w:rPr>
        <w:t>15</w:t>
      </w:r>
      <w:r w:rsidR="004F698E" w:rsidRPr="00F63EAE">
        <w:rPr>
          <w:lang w:val="en-US"/>
        </w:rPr>
        <w:t>-22</w:t>
      </w:r>
      <w:r w:rsidR="00846E38" w:rsidRPr="00F63EAE">
        <w:rPr>
          <w:lang w:val="en-US"/>
        </w:rPr>
        <w:t xml:space="preserve"> </w:t>
      </w:r>
      <w:r w:rsidR="004305D6" w:rsidRPr="00F63EAE">
        <w:rPr>
          <w:lang w:val="en-US"/>
        </w:rPr>
        <w:t>‰ for NH</w:t>
      </w:r>
      <w:r w:rsidR="004305D6" w:rsidRPr="00F63EAE">
        <w:rPr>
          <w:vertAlign w:val="subscript"/>
          <w:lang w:val="en-US"/>
        </w:rPr>
        <w:t>4</w:t>
      </w:r>
      <w:r w:rsidR="004305D6" w:rsidRPr="00F63EAE">
        <w:rPr>
          <w:vertAlign w:val="superscript"/>
          <w:lang w:val="en-US"/>
        </w:rPr>
        <w:t>+</w:t>
      </w:r>
      <w:r w:rsidR="004305D6" w:rsidRPr="00F63EAE">
        <w:rPr>
          <w:lang w:val="en-US"/>
        </w:rPr>
        <w:t xml:space="preserve"> oxidation</w:t>
      </w:r>
      <w:r w:rsidR="00A97DFF" w:rsidRPr="00F63EAE">
        <w:rPr>
          <w:lang w:val="en-US"/>
        </w:rPr>
        <w:t xml:space="preserve"> </w:t>
      </w:r>
      <w:r w:rsidR="00BF2E3F" w:rsidRPr="00F63EAE">
        <w:rPr>
          <w:lang w:val="en-US"/>
        </w:rPr>
        <w:t>[Casciotti et al., 2003; Santoro and Casciotti, 2011]</w:t>
      </w:r>
      <w:r w:rsidR="004305D6" w:rsidRPr="00F63EAE">
        <w:rPr>
          <w:lang w:val="en-US"/>
        </w:rPr>
        <w:t>, 0</w:t>
      </w:r>
      <w:r w:rsidR="00846E38" w:rsidRPr="00F63EAE">
        <w:rPr>
          <w:lang w:val="en-US"/>
        </w:rPr>
        <w:t xml:space="preserve"> </w:t>
      </w:r>
      <w:r w:rsidR="004305D6" w:rsidRPr="00F63EAE">
        <w:rPr>
          <w:lang w:val="en-US"/>
        </w:rPr>
        <w:t>‰ for NO</w:t>
      </w:r>
      <w:r w:rsidR="004305D6" w:rsidRPr="00F63EAE">
        <w:rPr>
          <w:vertAlign w:val="subscript"/>
          <w:lang w:val="en-US"/>
        </w:rPr>
        <w:t>2</w:t>
      </w:r>
      <w:r w:rsidR="004305D6" w:rsidRPr="00F63EAE">
        <w:rPr>
          <w:vertAlign w:val="superscript"/>
          <w:lang w:val="en-US"/>
        </w:rPr>
        <w:t>-</w:t>
      </w:r>
      <w:r w:rsidR="004305D6" w:rsidRPr="00F63EAE">
        <w:rPr>
          <w:lang w:val="en-US"/>
        </w:rPr>
        <w:t xml:space="preserve"> assimilation</w:t>
      </w:r>
      <w:r w:rsidR="00A97DFF" w:rsidRPr="00F63EAE">
        <w:rPr>
          <w:lang w:val="en-US"/>
        </w:rPr>
        <w:t xml:space="preserve"> </w:t>
      </w:r>
      <w:r w:rsidR="00BF2E3F" w:rsidRPr="00F63EAE">
        <w:rPr>
          <w:lang w:val="en-US"/>
        </w:rPr>
        <w:t>[Waser et al., 1997]</w:t>
      </w:r>
      <w:r w:rsidR="004305D6" w:rsidRPr="00F63EAE">
        <w:rPr>
          <w:lang w:val="en-US"/>
        </w:rPr>
        <w:t>, and 0 - -13</w:t>
      </w:r>
      <w:r w:rsidR="00846E38" w:rsidRPr="00F63EAE">
        <w:rPr>
          <w:lang w:val="en-US"/>
        </w:rPr>
        <w:t xml:space="preserve"> </w:t>
      </w:r>
      <w:r w:rsidR="004305D6" w:rsidRPr="00F63EAE">
        <w:rPr>
          <w:lang w:val="en-US"/>
        </w:rPr>
        <w:t>‰ for NO</w:t>
      </w:r>
      <w:r w:rsidR="004305D6" w:rsidRPr="00F63EAE">
        <w:rPr>
          <w:vertAlign w:val="subscript"/>
          <w:lang w:val="en-US"/>
        </w:rPr>
        <w:t>2</w:t>
      </w:r>
      <w:r w:rsidR="004305D6" w:rsidRPr="00F63EAE">
        <w:rPr>
          <w:vertAlign w:val="superscript"/>
          <w:lang w:val="en-US"/>
        </w:rPr>
        <w:t>-</w:t>
      </w:r>
      <w:r w:rsidR="004305D6" w:rsidRPr="00F63EAE">
        <w:rPr>
          <w:lang w:val="en-US"/>
        </w:rPr>
        <w:t xml:space="preserve"> oxidation</w:t>
      </w:r>
      <w:r w:rsidR="00333DA4" w:rsidRPr="00F63EAE">
        <w:rPr>
          <w:lang w:val="en-US"/>
        </w:rPr>
        <w:t xml:space="preserve"> </w:t>
      </w:r>
      <w:r w:rsidR="00BF2E3F" w:rsidRPr="00F63EAE">
        <w:rPr>
          <w:lang w:val="en-US"/>
        </w:rPr>
        <w:t>[Casciotti, 2009]</w:t>
      </w:r>
      <w:r w:rsidR="004305D6" w:rsidRPr="00F63EAE">
        <w:rPr>
          <w:lang w:val="en-US"/>
        </w:rPr>
        <w:t>. NO</w:t>
      </w:r>
      <w:r w:rsidR="004305D6" w:rsidRPr="00F63EAE">
        <w:rPr>
          <w:vertAlign w:val="subscript"/>
          <w:lang w:val="en-US"/>
        </w:rPr>
        <w:t>3</w:t>
      </w:r>
      <w:r w:rsidR="004305D6" w:rsidRPr="00F63EAE">
        <w:rPr>
          <w:vertAlign w:val="superscript"/>
          <w:lang w:val="en-US"/>
        </w:rPr>
        <w:t>-</w:t>
      </w:r>
      <w:r w:rsidR="004305D6" w:rsidRPr="00F63EAE">
        <w:rPr>
          <w:lang w:val="en-US"/>
        </w:rPr>
        <w:t xml:space="preserve"> assimilation discriminate</w:t>
      </w:r>
      <w:r w:rsidR="00E27281" w:rsidRPr="00F63EAE">
        <w:rPr>
          <w:lang w:val="en-US"/>
        </w:rPr>
        <w:t>s</w:t>
      </w:r>
      <w:r w:rsidR="004305D6" w:rsidRPr="00F63EAE">
        <w:rPr>
          <w:lang w:val="en-US"/>
        </w:rPr>
        <w:t xml:space="preserve"> N and O isotopes </w:t>
      </w:r>
      <w:r w:rsidR="00E27281" w:rsidRPr="00F63EAE">
        <w:rPr>
          <w:lang w:val="en-US"/>
        </w:rPr>
        <w:t xml:space="preserve">to the same extent </w:t>
      </w:r>
      <w:r w:rsidR="004305D6" w:rsidRPr="00F63EAE">
        <w:rPr>
          <w:lang w:val="en-US"/>
        </w:rPr>
        <w:t>(</w:t>
      </w:r>
      <w:r w:rsidR="004305D6" w:rsidRPr="00F63EAE">
        <w:rPr>
          <w:vertAlign w:val="superscript"/>
          <w:lang w:val="en-US"/>
        </w:rPr>
        <w:t>15</w:t>
      </w:r>
      <w:r w:rsidR="004305D6" w:rsidRPr="00F63EAE">
        <w:rPr>
          <w:lang w:val="en-US"/>
        </w:rPr>
        <w:t xml:space="preserve">ε </w:t>
      </w:r>
      <w:r w:rsidR="00BF2E3F" w:rsidRPr="00F63EAE">
        <w:rPr>
          <w:rFonts w:ascii="Calibri" w:hAnsi="Calibri"/>
          <w:lang w:val="en-US"/>
        </w:rPr>
        <w:t>≈</w:t>
      </w:r>
      <w:r w:rsidR="004305D6" w:rsidRPr="00F63EAE">
        <w:rPr>
          <w:lang w:val="en-US"/>
        </w:rPr>
        <w:t xml:space="preserve"> </w:t>
      </w:r>
      <w:r w:rsidR="004305D6" w:rsidRPr="00F63EAE">
        <w:rPr>
          <w:vertAlign w:val="superscript"/>
          <w:lang w:val="en-US"/>
        </w:rPr>
        <w:t>18</w:t>
      </w:r>
      <w:r w:rsidR="004305D6" w:rsidRPr="00F63EAE">
        <w:rPr>
          <w:lang w:val="en-US"/>
        </w:rPr>
        <w:t>ε)</w:t>
      </w:r>
      <w:r w:rsidR="00BF2E3F" w:rsidRPr="00F63EAE">
        <w:rPr>
          <w:lang w:val="en-US"/>
        </w:rPr>
        <w:t xml:space="preserve"> [Granger et al., 2004, 2010; Karsh et al., 2012]</w:t>
      </w:r>
      <w:r w:rsidR="004305D6" w:rsidRPr="00F63EAE">
        <w:rPr>
          <w:lang w:val="en-US"/>
        </w:rPr>
        <w:t xml:space="preserve">. </w:t>
      </w:r>
      <w:r w:rsidR="00AE1D60">
        <w:rPr>
          <w:lang w:val="en-US"/>
        </w:rPr>
        <w:t>R</w:t>
      </w:r>
      <w:r w:rsidR="00AE1D60" w:rsidRPr="00344F29">
        <w:rPr>
          <w:lang w:val="en-US"/>
        </w:rPr>
        <w:t xml:space="preserve">ecently nitrified </w:t>
      </w:r>
      <w:r w:rsidR="004305D6" w:rsidRPr="00F63EAE">
        <w:rPr>
          <w:lang w:val="en-US"/>
        </w:rPr>
        <w:t>NO</w:t>
      </w:r>
      <w:r w:rsidR="004305D6" w:rsidRPr="00F63EAE">
        <w:rPr>
          <w:vertAlign w:val="subscript"/>
          <w:lang w:val="en-US"/>
        </w:rPr>
        <w:t>3</w:t>
      </w:r>
      <w:r w:rsidR="004305D6" w:rsidRPr="00F63EAE">
        <w:rPr>
          <w:vertAlign w:val="superscript"/>
          <w:lang w:val="en-US"/>
        </w:rPr>
        <w:t>-</w:t>
      </w:r>
      <w:r w:rsidR="004305D6" w:rsidRPr="00F63EAE">
        <w:rPr>
          <w:lang w:val="en-US"/>
        </w:rPr>
        <w:t xml:space="preserve"> δ</w:t>
      </w:r>
      <w:r w:rsidR="004305D6" w:rsidRPr="00F63EAE">
        <w:rPr>
          <w:vertAlign w:val="superscript"/>
          <w:lang w:val="en-US"/>
        </w:rPr>
        <w:t>18</w:t>
      </w:r>
      <w:r w:rsidR="004305D6" w:rsidRPr="00F63EAE">
        <w:rPr>
          <w:lang w:val="en-US"/>
        </w:rPr>
        <w:t>O has the isotopic composition of the ambient water plus 1.1</w:t>
      </w:r>
      <w:r w:rsidR="00846E38" w:rsidRPr="00F63EAE">
        <w:rPr>
          <w:lang w:val="en-US"/>
        </w:rPr>
        <w:t xml:space="preserve"> </w:t>
      </w:r>
      <w:r w:rsidR="004305D6" w:rsidRPr="00F63EAE">
        <w:rPr>
          <w:lang w:val="en-US"/>
        </w:rPr>
        <w:t>‰</w:t>
      </w:r>
      <w:r w:rsidR="000B5009" w:rsidRPr="00F63EAE">
        <w:rPr>
          <w:lang w:val="en-US"/>
        </w:rPr>
        <w:t xml:space="preserve"> </w:t>
      </w:r>
      <w:r w:rsidR="004305D6" w:rsidRPr="00F63EAE">
        <w:rPr>
          <w:lang w:val="en-US"/>
        </w:rPr>
        <w:t>(0.6</w:t>
      </w:r>
      <w:r w:rsidR="00846E38" w:rsidRPr="00F63EAE">
        <w:rPr>
          <w:lang w:val="en-US"/>
        </w:rPr>
        <w:t xml:space="preserve"> </w:t>
      </w:r>
      <w:r w:rsidR="004305D6" w:rsidRPr="00F63EAE">
        <w:rPr>
          <w:lang w:val="en-US"/>
        </w:rPr>
        <w:t xml:space="preserve">‰ over the Kerguelen plateau, </w:t>
      </w:r>
      <w:r w:rsidR="00E27281" w:rsidRPr="00F63EAE">
        <w:rPr>
          <w:lang w:val="en-US"/>
        </w:rPr>
        <w:t xml:space="preserve">taking </w:t>
      </w:r>
      <w:r w:rsidR="004305D6" w:rsidRPr="00F63EAE">
        <w:rPr>
          <w:lang w:val="en-US"/>
        </w:rPr>
        <w:t xml:space="preserve">the </w:t>
      </w:r>
      <w:r w:rsidR="00E27281" w:rsidRPr="00F63EAE">
        <w:rPr>
          <w:lang w:val="en-US"/>
        </w:rPr>
        <w:t>H</w:t>
      </w:r>
      <w:r w:rsidR="00E27281" w:rsidRPr="00F63EAE">
        <w:rPr>
          <w:vertAlign w:val="subscript"/>
          <w:lang w:val="en-US"/>
        </w:rPr>
        <w:t>2</w:t>
      </w:r>
      <w:r w:rsidR="00E27281" w:rsidRPr="00F63EAE">
        <w:rPr>
          <w:lang w:val="en-US"/>
        </w:rPr>
        <w:t xml:space="preserve">O </w:t>
      </w:r>
      <w:r w:rsidR="004305D6" w:rsidRPr="00F63EAE">
        <w:rPr>
          <w:lang w:val="en-US"/>
        </w:rPr>
        <w:t>δ</w:t>
      </w:r>
      <w:r w:rsidR="004305D6" w:rsidRPr="00F63EAE">
        <w:rPr>
          <w:vertAlign w:val="superscript"/>
          <w:lang w:val="en-US"/>
        </w:rPr>
        <w:t>18</w:t>
      </w:r>
      <w:r w:rsidR="004305D6" w:rsidRPr="00F63EAE">
        <w:rPr>
          <w:lang w:val="en-US"/>
        </w:rPr>
        <w:t>O of the temperature minimum layer)</w:t>
      </w:r>
      <w:r w:rsidR="00BF2E3F" w:rsidRPr="00F63EAE">
        <w:rPr>
          <w:lang w:val="en-US"/>
        </w:rPr>
        <w:t xml:space="preserve"> [Archambeau et al., 1998; Casciotti et al., 2008; Sigman et al., 2009; Rafter et al., 2013]</w:t>
      </w:r>
      <w:r w:rsidR="004305D6" w:rsidRPr="00F63EAE">
        <w:rPr>
          <w:lang w:val="en-US"/>
        </w:rPr>
        <w:t>. The mass and isotopic balance is given by:</w:t>
      </w:r>
    </w:p>
    <w:p w:rsidR="004305D6" w:rsidRPr="00F63EAE" w:rsidRDefault="00E45A34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16"/>
          <w:lang w:val="en-US"/>
        </w:rPr>
        <w:object w:dxaOrig="2180" w:dyaOrig="480">
          <v:shape id="_x0000_i1029" type="#_x0000_t75" style="width:108pt;height:24.75pt" o:ole="">
            <v:imagedata r:id="rId17" o:title=""/>
          </v:shape>
          <o:OLEObject Type="Embed" ProgID="Equation.3" ShapeID="_x0000_i1029" DrawAspect="Content" ObjectID="_1508229798" r:id="rId18"/>
        </w:object>
      </w:r>
      <w:r w:rsidRPr="00F63EAE">
        <w:rPr>
          <w:lang w:val="en-US"/>
        </w:rPr>
        <w:tab/>
        <w:t>(</w:t>
      </w:r>
      <w:r w:rsidR="004C50E3">
        <w:rPr>
          <w:lang w:val="en-US"/>
        </w:rPr>
        <w:t>5</w:t>
      </w:r>
      <w:r w:rsidRPr="00F63EAE">
        <w:rPr>
          <w:lang w:val="en-US"/>
        </w:rPr>
        <w:t>)</w:t>
      </w:r>
    </w:p>
    <w:p w:rsidR="004305D6" w:rsidRPr="00F63EAE" w:rsidRDefault="00E45A34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16"/>
          <w:lang w:val="en-US"/>
        </w:rPr>
        <w:object w:dxaOrig="3060" w:dyaOrig="420">
          <v:shape id="_x0000_i1030" type="#_x0000_t75" style="width:153.75pt;height:21pt" o:ole="">
            <v:imagedata r:id="rId19" o:title=""/>
          </v:shape>
          <o:OLEObject Type="Embed" ProgID="Equation.3" ShapeID="_x0000_i1030" DrawAspect="Content" ObjectID="_1508229799" r:id="rId20"/>
        </w:object>
      </w:r>
      <w:r w:rsidRPr="00F63EAE">
        <w:rPr>
          <w:lang w:val="en-US"/>
        </w:rPr>
        <w:tab/>
        <w:t>(</w:t>
      </w:r>
      <w:r w:rsidR="004C50E3">
        <w:rPr>
          <w:lang w:val="en-US"/>
        </w:rPr>
        <w:t>6</w:t>
      </w:r>
      <w:r w:rsidRPr="00F63EAE">
        <w:rPr>
          <w:lang w:val="en-US"/>
        </w:rPr>
        <w:t>)</w:t>
      </w:r>
    </w:p>
    <w:p w:rsidR="004305D6" w:rsidRPr="00F63EAE" w:rsidRDefault="00E45A34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16"/>
          <w:lang w:val="en-US"/>
        </w:rPr>
        <w:object w:dxaOrig="2380" w:dyaOrig="480">
          <v:shape id="_x0000_i1031" type="#_x0000_t75" style="width:119.25pt;height:24.75pt" o:ole="">
            <v:imagedata r:id="rId21" o:title=""/>
          </v:shape>
          <o:OLEObject Type="Embed" ProgID="Equation.3" ShapeID="_x0000_i1031" DrawAspect="Content" ObjectID="_1508229800" r:id="rId22"/>
        </w:object>
      </w:r>
      <w:r w:rsidRPr="00F63EAE">
        <w:rPr>
          <w:lang w:val="en-US"/>
        </w:rPr>
        <w:tab/>
        <w:t>(</w:t>
      </w:r>
      <w:r w:rsidR="004C50E3">
        <w:rPr>
          <w:lang w:val="en-US"/>
        </w:rPr>
        <w:t>7</w:t>
      </w:r>
      <w:r w:rsidRPr="00F63EAE">
        <w:rPr>
          <w:lang w:val="en-US"/>
        </w:rPr>
        <w:t>)</w:t>
      </w:r>
    </w:p>
    <w:p w:rsidR="004305D6" w:rsidRPr="00F63EAE" w:rsidRDefault="00E45A34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16"/>
          <w:lang w:val="en-US"/>
        </w:rPr>
        <w:object w:dxaOrig="2500" w:dyaOrig="480">
          <v:shape id="_x0000_i1032" type="#_x0000_t75" style="width:126pt;height:24.75pt" o:ole="">
            <v:imagedata r:id="rId23" o:title=""/>
          </v:shape>
          <o:OLEObject Type="Embed" ProgID="Equation.3" ShapeID="_x0000_i1032" DrawAspect="Content" ObjectID="_1508229801" r:id="rId24"/>
        </w:object>
      </w:r>
      <w:r w:rsidRPr="00F63EAE">
        <w:rPr>
          <w:lang w:val="en-US"/>
        </w:rPr>
        <w:tab/>
        <w:t>(</w:t>
      </w:r>
      <w:r w:rsidR="004C50E3">
        <w:rPr>
          <w:lang w:val="en-US"/>
        </w:rPr>
        <w:t>8</w:t>
      </w:r>
      <w:r w:rsidRPr="00F63EAE">
        <w:rPr>
          <w:lang w:val="en-US"/>
        </w:rPr>
        <w:t>)</w:t>
      </w:r>
    </w:p>
    <w:p w:rsidR="00E45A34" w:rsidRPr="00F63EAE" w:rsidRDefault="003F72E0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52"/>
          <w:lang w:val="en-US"/>
        </w:rPr>
        <w:object w:dxaOrig="5840" w:dyaOrig="1140">
          <v:shape id="_x0000_i1033" type="#_x0000_t75" style="width:291pt;height:57pt" o:ole="">
            <v:imagedata r:id="rId25" o:title=""/>
          </v:shape>
          <o:OLEObject Type="Embed" ProgID="Equation.3" ShapeID="_x0000_i1033" DrawAspect="Content" ObjectID="_1508229802" r:id="rId26"/>
        </w:object>
      </w:r>
      <w:r w:rsidR="00E45A34" w:rsidRPr="00F63EAE">
        <w:rPr>
          <w:lang w:val="en-US"/>
        </w:rPr>
        <w:tab/>
        <w:t>(</w:t>
      </w:r>
      <w:r w:rsidR="004C50E3">
        <w:rPr>
          <w:lang w:val="en-US"/>
        </w:rPr>
        <w:t>9</w:t>
      </w:r>
      <w:r w:rsidR="00E45A34" w:rsidRPr="00F63EAE">
        <w:rPr>
          <w:lang w:val="en-US"/>
        </w:rPr>
        <w:t>)</w:t>
      </w:r>
    </w:p>
    <w:p w:rsidR="00E45A34" w:rsidRPr="00F63EAE" w:rsidRDefault="003F72E0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52"/>
          <w:lang w:val="en-US"/>
        </w:rPr>
        <w:object w:dxaOrig="7320" w:dyaOrig="1140">
          <v:shape id="_x0000_i1034" type="#_x0000_t75" style="width:357.75pt;height:56.25pt" o:ole="">
            <v:imagedata r:id="rId27" o:title=""/>
          </v:shape>
          <o:OLEObject Type="Embed" ProgID="Equation.3" ShapeID="_x0000_i1034" DrawAspect="Content" ObjectID="_1508229803" r:id="rId28"/>
        </w:object>
      </w:r>
      <w:r w:rsidR="00E45A34" w:rsidRPr="00F63EAE">
        <w:rPr>
          <w:lang w:val="en-US"/>
        </w:rPr>
        <w:t xml:space="preserve"> </w:t>
      </w:r>
      <w:r w:rsidR="00E45A34" w:rsidRPr="00F63EAE">
        <w:rPr>
          <w:lang w:val="en-US"/>
        </w:rPr>
        <w:tab/>
        <w:t>(</w:t>
      </w:r>
      <w:r w:rsidR="004C50E3">
        <w:rPr>
          <w:lang w:val="en-US"/>
        </w:rPr>
        <w:t>10</w:t>
      </w:r>
      <w:r w:rsidR="00E45A34" w:rsidRPr="00F63EAE">
        <w:rPr>
          <w:lang w:val="en-US"/>
        </w:rPr>
        <w:t>)</w:t>
      </w:r>
    </w:p>
    <w:p w:rsidR="00E45A34" w:rsidRPr="00F63EAE" w:rsidRDefault="003F72E0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52"/>
          <w:lang w:val="en-US"/>
        </w:rPr>
        <w:object w:dxaOrig="6820" w:dyaOrig="1140">
          <v:shape id="_x0000_i1035" type="#_x0000_t75" style="width:329.25pt;height:54.75pt" o:ole="">
            <v:imagedata r:id="rId29" o:title=""/>
          </v:shape>
          <o:OLEObject Type="Embed" ProgID="Equation.3" ShapeID="_x0000_i1035" DrawAspect="Content" ObjectID="_1508229804" r:id="rId30"/>
        </w:object>
      </w:r>
      <w:r w:rsidR="00E45A34" w:rsidRPr="00F63EAE">
        <w:rPr>
          <w:lang w:val="en-US"/>
        </w:rPr>
        <w:tab/>
        <w:t>(</w:t>
      </w:r>
      <w:r w:rsidR="004C50E3">
        <w:rPr>
          <w:lang w:val="en-US"/>
        </w:rPr>
        <w:t>11</w:t>
      </w:r>
      <w:r w:rsidR="00E45A34" w:rsidRPr="00F63EAE">
        <w:rPr>
          <w:lang w:val="en-US"/>
        </w:rPr>
        <w:t>)</w:t>
      </w:r>
    </w:p>
    <w:p w:rsidR="00CF30F7" w:rsidRPr="00F63EAE" w:rsidRDefault="003F72E0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52"/>
          <w:lang w:val="en-US"/>
        </w:rPr>
        <w:object w:dxaOrig="7339" w:dyaOrig="1140">
          <v:shape id="_x0000_i1036" type="#_x0000_t75" style="width:354.75pt;height:54.75pt" o:ole="">
            <v:imagedata r:id="rId31" o:title=""/>
          </v:shape>
          <o:OLEObject Type="Embed" ProgID="Equation.3" ShapeID="_x0000_i1036" DrawAspect="Content" ObjectID="_1508229805" r:id="rId32"/>
        </w:object>
      </w:r>
      <w:r w:rsidRPr="00F63EAE">
        <w:rPr>
          <w:lang w:val="en-US"/>
        </w:rPr>
        <w:tab/>
        <w:t>(</w:t>
      </w:r>
      <w:r w:rsidR="004C50E3">
        <w:rPr>
          <w:lang w:val="en-US"/>
        </w:rPr>
        <w:t>12</w:t>
      </w:r>
      <w:r w:rsidRPr="00F63EAE">
        <w:rPr>
          <w:lang w:val="en-US"/>
        </w:rPr>
        <w:t>)</w:t>
      </w:r>
    </w:p>
    <w:p w:rsidR="003F72E0" w:rsidRPr="00F63EAE" w:rsidRDefault="00B55264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52"/>
          <w:lang w:val="en-US"/>
        </w:rPr>
        <w:object w:dxaOrig="5140" w:dyaOrig="1140">
          <v:shape id="_x0000_i1037" type="#_x0000_t75" style="width:256.5pt;height:57pt" o:ole="">
            <v:imagedata r:id="rId33" o:title=""/>
          </v:shape>
          <o:OLEObject Type="Embed" ProgID="Equation.3" ShapeID="_x0000_i1037" DrawAspect="Content" ObjectID="_1508229806" r:id="rId34"/>
        </w:object>
      </w:r>
      <w:r w:rsidR="003F72E0" w:rsidRPr="00F63EAE">
        <w:rPr>
          <w:lang w:val="en-US"/>
        </w:rPr>
        <w:tab/>
        <w:t>(</w:t>
      </w:r>
      <w:r w:rsidR="004C50E3">
        <w:rPr>
          <w:lang w:val="en-US"/>
        </w:rPr>
        <w:t>13</w:t>
      </w:r>
      <w:r w:rsidR="003F72E0" w:rsidRPr="00F63EAE">
        <w:rPr>
          <w:lang w:val="en-US"/>
        </w:rPr>
        <w:t>)</w:t>
      </w:r>
    </w:p>
    <w:p w:rsidR="00BA4842" w:rsidRPr="00F63EAE" w:rsidRDefault="00066F70" w:rsidP="0055517F">
      <w:pPr>
        <w:spacing w:line="312" w:lineRule="auto"/>
        <w:rPr>
          <w:rFonts w:cs="Times New Roman"/>
          <w:lang w:val="en-US"/>
        </w:rPr>
      </w:pPr>
      <w:r w:rsidRPr="00F63EAE">
        <w:rPr>
          <w:lang w:val="en-US"/>
        </w:rPr>
        <w:t>where</w:t>
      </w:r>
      <w:r w:rsidR="00BA4842" w:rsidRPr="00F63EAE">
        <w:rPr>
          <w:lang w:val="en-US"/>
        </w:rPr>
        <w:t xml:space="preserve"> NiO is nitrite oxidation, S vertical nitrate diffusivity, NaU nitrate assimilation, AmU ammonium assimilation, AmO ammonium oxidation, R remineralization, and E export of PN. The model is run for N time steps of length dt, transforming at each time step an amount of </w:t>
      </w:r>
      <w:r w:rsidR="00BA4842" w:rsidRPr="00F63EAE">
        <w:rPr>
          <w:rFonts w:cs="Times New Roman"/>
          <w:lang w:val="en-US"/>
        </w:rPr>
        <w:t>the integrated rate (e.g., NaU = ∫NaU</w:t>
      </w:r>
      <w:r w:rsidR="002D1546" w:rsidRPr="00F63EAE">
        <w:rPr>
          <w:rFonts w:cs="Times New Roman"/>
          <w:lang w:val="en-US"/>
        </w:rPr>
        <w:t>/N</w:t>
      </w:r>
      <w:r w:rsidR="00BA4842" w:rsidRPr="00F63EAE">
        <w:rPr>
          <w:rFonts w:cs="Times New Roman"/>
          <w:lang w:val="en-US"/>
        </w:rPr>
        <w:t xml:space="preserve">). </w:t>
      </w:r>
      <w:r w:rsidR="00E27281" w:rsidRPr="00F63EAE">
        <w:rPr>
          <w:rFonts w:cs="Times New Roman"/>
          <w:lang w:val="en-US"/>
        </w:rPr>
        <w:t xml:space="preserve">Since </w:t>
      </w:r>
      <w:r w:rsidR="006A68D9" w:rsidRPr="00F63EAE">
        <w:rPr>
          <w:rFonts w:cs="Times New Roman"/>
          <w:lang w:val="en-US"/>
        </w:rPr>
        <w:t xml:space="preserve">the </w:t>
      </w:r>
      <w:r w:rsidR="0012571C" w:rsidRPr="00F63EAE">
        <w:rPr>
          <w:rFonts w:cs="Times New Roman"/>
          <w:lang w:val="en-US"/>
        </w:rPr>
        <w:t xml:space="preserve">integrated rates for NaU, AmU, E, and S </w:t>
      </w:r>
      <w:r w:rsidR="00E27281" w:rsidRPr="00F63EAE">
        <w:rPr>
          <w:rFonts w:cs="Times New Roman"/>
          <w:lang w:val="en-US"/>
        </w:rPr>
        <w:t xml:space="preserve">are known </w:t>
      </w:r>
      <w:r w:rsidR="0012571C" w:rsidRPr="00F63EAE">
        <w:rPr>
          <w:rFonts w:cs="Times New Roman"/>
          <w:lang w:val="en-US"/>
        </w:rPr>
        <w:t>(see section “Surface contribution of nitrification to NO</w:t>
      </w:r>
      <w:r w:rsidR="0012571C" w:rsidRPr="00F63EAE">
        <w:rPr>
          <w:rFonts w:cs="Times New Roman"/>
          <w:vertAlign w:val="subscript"/>
          <w:lang w:val="en-US"/>
        </w:rPr>
        <w:t>3</w:t>
      </w:r>
      <w:r w:rsidR="0012571C" w:rsidRPr="00F63EAE">
        <w:rPr>
          <w:rFonts w:cs="Times New Roman"/>
          <w:vertAlign w:val="superscript"/>
          <w:lang w:val="en-US"/>
        </w:rPr>
        <w:t>-</w:t>
      </w:r>
      <w:r w:rsidR="0012571C" w:rsidRPr="00F63EAE">
        <w:rPr>
          <w:rFonts w:cs="Times New Roman"/>
          <w:lang w:val="en-US"/>
        </w:rPr>
        <w:t xml:space="preserve"> assimilation”) and </w:t>
      </w:r>
      <w:r w:rsidR="00E27281" w:rsidRPr="00F63EAE">
        <w:rPr>
          <w:rFonts w:cs="Times New Roman"/>
          <w:lang w:val="en-US"/>
        </w:rPr>
        <w:t xml:space="preserve">since </w:t>
      </w:r>
      <w:r w:rsidR="0012571C" w:rsidRPr="00F63EAE">
        <w:rPr>
          <w:rFonts w:cs="Times New Roman"/>
          <w:lang w:val="en-US"/>
        </w:rPr>
        <w:t xml:space="preserve">we assume steady state </w:t>
      </w:r>
      <w:r w:rsidR="00E27281" w:rsidRPr="00F63EAE">
        <w:rPr>
          <w:rFonts w:cs="Times New Roman"/>
          <w:lang w:val="en-US"/>
        </w:rPr>
        <w:t xml:space="preserve">conditions </w:t>
      </w:r>
      <w:r w:rsidR="0012571C" w:rsidRPr="00F63EAE">
        <w:rPr>
          <w:rFonts w:cs="Times New Roman"/>
          <w:lang w:val="en-US"/>
        </w:rPr>
        <w:t>for both NH</w:t>
      </w:r>
      <w:r w:rsidR="0012571C" w:rsidRPr="00F63EAE">
        <w:rPr>
          <w:rFonts w:cs="Times New Roman"/>
          <w:vertAlign w:val="subscript"/>
          <w:lang w:val="en-US"/>
        </w:rPr>
        <w:t>4</w:t>
      </w:r>
      <w:r w:rsidR="0012571C" w:rsidRPr="00F63EAE">
        <w:rPr>
          <w:rFonts w:cs="Times New Roman"/>
          <w:vertAlign w:val="superscript"/>
          <w:lang w:val="en-US"/>
        </w:rPr>
        <w:t>+</w:t>
      </w:r>
      <w:r w:rsidR="0012571C" w:rsidRPr="00F63EAE">
        <w:rPr>
          <w:rFonts w:cs="Times New Roman"/>
          <w:lang w:val="en-US"/>
        </w:rPr>
        <w:t xml:space="preserve"> and NO</w:t>
      </w:r>
      <w:r w:rsidR="0012571C" w:rsidRPr="00F63EAE">
        <w:rPr>
          <w:rFonts w:cs="Times New Roman"/>
          <w:vertAlign w:val="subscript"/>
          <w:lang w:val="en-US"/>
        </w:rPr>
        <w:t>2</w:t>
      </w:r>
      <w:r w:rsidR="0012571C" w:rsidRPr="00F63EAE">
        <w:rPr>
          <w:rFonts w:cs="Times New Roman"/>
          <w:vertAlign w:val="superscript"/>
          <w:lang w:val="en-US"/>
        </w:rPr>
        <w:t>-</w:t>
      </w:r>
      <w:r w:rsidR="0012571C" w:rsidRPr="00F63EAE">
        <w:rPr>
          <w:rFonts w:cs="Times New Roman"/>
          <w:lang w:val="en-US"/>
        </w:rPr>
        <w:t xml:space="preserve"> (consumption = production), this le</w:t>
      </w:r>
      <w:r w:rsidR="00E27281" w:rsidRPr="00F63EAE">
        <w:rPr>
          <w:rFonts w:cs="Times New Roman"/>
          <w:lang w:val="en-US"/>
        </w:rPr>
        <w:t>aves</w:t>
      </w:r>
      <w:r w:rsidR="0012571C" w:rsidRPr="00F63EAE">
        <w:rPr>
          <w:rFonts w:cs="Times New Roman"/>
          <w:lang w:val="en-US"/>
        </w:rPr>
        <w:t xml:space="preserve"> us with two unknown</w:t>
      </w:r>
      <w:r w:rsidR="006A68D9" w:rsidRPr="00F63EAE">
        <w:rPr>
          <w:rFonts w:cs="Times New Roman"/>
          <w:lang w:val="en-US"/>
        </w:rPr>
        <w:t>s</w:t>
      </w:r>
      <w:r w:rsidR="0012571C" w:rsidRPr="00F63EAE">
        <w:rPr>
          <w:rFonts w:cs="Times New Roman"/>
          <w:lang w:val="en-US"/>
        </w:rPr>
        <w:t xml:space="preserve">, </w:t>
      </w:r>
      <w:r w:rsidR="00071837" w:rsidRPr="00F63EAE">
        <w:rPr>
          <w:rFonts w:cs="Times New Roman"/>
          <w:lang w:val="en-US"/>
        </w:rPr>
        <w:t>Am</w:t>
      </w:r>
      <w:r w:rsidR="00071837">
        <w:rPr>
          <w:rFonts w:cs="Times New Roman"/>
          <w:lang w:val="en-US"/>
        </w:rPr>
        <w:t>U</w:t>
      </w:r>
      <w:r w:rsidR="0012571C" w:rsidRPr="00F63EAE">
        <w:rPr>
          <w:rFonts w:cs="Times New Roman"/>
          <w:lang w:val="en-US"/>
        </w:rPr>
        <w:t>/R and NiU/AmO</w:t>
      </w:r>
      <w:r w:rsidR="006A68D9" w:rsidRPr="00F63EAE">
        <w:rPr>
          <w:rFonts w:cs="Times New Roman"/>
          <w:lang w:val="en-US"/>
        </w:rPr>
        <w:t xml:space="preserve"> ratios</w:t>
      </w:r>
      <w:r w:rsidR="00A8599A" w:rsidRPr="00F63EAE">
        <w:rPr>
          <w:rFonts w:cs="Times New Roman"/>
          <w:lang w:val="en-US"/>
        </w:rPr>
        <w:t xml:space="preserve"> (Fig. </w:t>
      </w:r>
      <w:r w:rsidR="004C50E3">
        <w:rPr>
          <w:rFonts w:cs="Times New Roman"/>
          <w:lang w:val="en-US"/>
        </w:rPr>
        <w:t>5</w:t>
      </w:r>
      <w:r w:rsidR="00A8599A" w:rsidRPr="00F63EAE">
        <w:rPr>
          <w:rFonts w:cs="Times New Roman"/>
          <w:lang w:val="en-US"/>
        </w:rPr>
        <w:t>)</w:t>
      </w:r>
      <w:r w:rsidR="0012571C" w:rsidRPr="00F63EAE">
        <w:rPr>
          <w:rFonts w:cs="Times New Roman"/>
          <w:lang w:val="en-US"/>
        </w:rPr>
        <w:t>. W</w:t>
      </w:r>
      <w:r w:rsidR="00BA4842" w:rsidRPr="00F63EAE">
        <w:rPr>
          <w:rFonts w:cs="Times New Roman"/>
          <w:lang w:val="en-US"/>
        </w:rPr>
        <w:t xml:space="preserve">e solve the model differential equations by varying AmU/R and NiU/AmO, </w:t>
      </w:r>
      <w:r w:rsidR="00E27281" w:rsidRPr="00F63EAE">
        <w:rPr>
          <w:rFonts w:cs="Times New Roman"/>
          <w:lang w:val="en-US"/>
        </w:rPr>
        <w:t>targeting</w:t>
      </w:r>
      <w:r w:rsidR="00BA4842" w:rsidRPr="00F63EAE">
        <w:rPr>
          <w:rFonts w:cs="Times New Roman"/>
          <w:lang w:val="en-US"/>
        </w:rPr>
        <w:t xml:space="preserve"> the best agreement between the observations {NO</w:t>
      </w:r>
      <w:r w:rsidR="00BA4842" w:rsidRPr="00F63EAE">
        <w:rPr>
          <w:rFonts w:cs="Times New Roman"/>
          <w:vertAlign w:val="subscript"/>
          <w:lang w:val="en-US"/>
        </w:rPr>
        <w:t>3</w:t>
      </w:r>
      <w:r w:rsidR="00BA4842" w:rsidRPr="00F63EAE">
        <w:rPr>
          <w:rFonts w:cs="Times New Roman"/>
          <w:vertAlign w:val="superscript"/>
          <w:lang w:val="en-US"/>
        </w:rPr>
        <w:t>-</w:t>
      </w:r>
      <w:r w:rsidR="00BA4842" w:rsidRPr="00F63EAE">
        <w:rPr>
          <w:rFonts w:cs="Times New Roman"/>
          <w:lang w:val="en-US"/>
        </w:rPr>
        <w:t>(i), PN(i), δ</w:t>
      </w:r>
      <w:r w:rsidR="00BA4842" w:rsidRPr="00F63EAE">
        <w:rPr>
          <w:rFonts w:cs="Times New Roman"/>
          <w:vertAlign w:val="subscript"/>
          <w:lang w:val="en-US"/>
        </w:rPr>
        <w:t>15</w:t>
      </w:r>
      <w:r w:rsidR="00BA4842" w:rsidRPr="00F63EAE">
        <w:rPr>
          <w:rFonts w:cs="Times New Roman"/>
          <w:lang w:val="en-US"/>
        </w:rPr>
        <w:t>N</w:t>
      </w:r>
      <w:r w:rsidR="00BA4842" w:rsidRPr="00F63EAE">
        <w:rPr>
          <w:rFonts w:cs="Times New Roman"/>
          <w:vertAlign w:val="subscript"/>
          <w:lang w:val="en-US"/>
        </w:rPr>
        <w:t>NO3-</w:t>
      </w:r>
      <w:r w:rsidR="00BA4842" w:rsidRPr="00F63EAE">
        <w:rPr>
          <w:rFonts w:cs="Times New Roman"/>
          <w:lang w:val="en-US"/>
        </w:rPr>
        <w:t>(i), δ</w:t>
      </w:r>
      <w:r w:rsidR="00BA4842" w:rsidRPr="00F63EAE">
        <w:rPr>
          <w:rFonts w:cs="Times New Roman"/>
          <w:vertAlign w:val="subscript"/>
          <w:lang w:val="en-US"/>
        </w:rPr>
        <w:t>18</w:t>
      </w:r>
      <w:r w:rsidR="00BA4842" w:rsidRPr="00F63EAE">
        <w:rPr>
          <w:rFonts w:cs="Times New Roman"/>
          <w:lang w:val="en-US"/>
        </w:rPr>
        <w:t>O</w:t>
      </w:r>
      <w:r w:rsidR="00BA4842" w:rsidRPr="00F63EAE">
        <w:rPr>
          <w:rFonts w:cs="Times New Roman"/>
          <w:vertAlign w:val="subscript"/>
          <w:lang w:val="en-US"/>
        </w:rPr>
        <w:t>NO3-</w:t>
      </w:r>
      <w:r w:rsidR="00BA4842" w:rsidRPr="00F63EAE">
        <w:rPr>
          <w:rFonts w:cs="Times New Roman"/>
          <w:lang w:val="en-US"/>
        </w:rPr>
        <w:t>(i), δ</w:t>
      </w:r>
      <w:r w:rsidR="00BA4842" w:rsidRPr="00F63EAE">
        <w:rPr>
          <w:rFonts w:cs="Times New Roman"/>
          <w:vertAlign w:val="subscript"/>
          <w:lang w:val="en-US"/>
        </w:rPr>
        <w:t>15</w:t>
      </w:r>
      <w:r w:rsidR="00BA4842" w:rsidRPr="00F63EAE">
        <w:rPr>
          <w:rFonts w:cs="Times New Roman"/>
          <w:lang w:val="en-US"/>
        </w:rPr>
        <w:t>N</w:t>
      </w:r>
      <w:r w:rsidR="00BA4842" w:rsidRPr="00F63EAE">
        <w:rPr>
          <w:rFonts w:cs="Times New Roman"/>
          <w:vertAlign w:val="subscript"/>
          <w:lang w:val="en-US"/>
        </w:rPr>
        <w:t>PN</w:t>
      </w:r>
      <w:r w:rsidR="00BA4842" w:rsidRPr="00F63EAE">
        <w:rPr>
          <w:rFonts w:cs="Times New Roman"/>
          <w:lang w:val="en-US"/>
        </w:rPr>
        <w:t>(i)} at the collapse of the bloom (KEOPS1)</w:t>
      </w:r>
      <w:r w:rsidRPr="00F63EAE">
        <w:rPr>
          <w:rFonts w:cs="Times New Roman"/>
          <w:lang w:val="en-US"/>
        </w:rPr>
        <w:t xml:space="preserve"> and the model counterparts {NO</w:t>
      </w:r>
      <w:r w:rsidRPr="00F63EAE">
        <w:rPr>
          <w:rFonts w:cs="Times New Roman"/>
          <w:vertAlign w:val="subscript"/>
          <w:lang w:val="en-US"/>
        </w:rPr>
        <w:t>3</w:t>
      </w:r>
      <w:r w:rsidRPr="00F63EAE">
        <w:rPr>
          <w:rFonts w:cs="Times New Roman"/>
          <w:vertAlign w:val="superscript"/>
          <w:lang w:val="en-US"/>
        </w:rPr>
        <w:t>-</w:t>
      </w:r>
      <w:r w:rsidRPr="00F63EAE">
        <w:rPr>
          <w:rFonts w:cs="Times New Roman"/>
          <w:lang w:val="en-US"/>
        </w:rPr>
        <w:t>(m), PN(m), δ</w:t>
      </w:r>
      <w:r w:rsidRPr="00F63EAE">
        <w:rPr>
          <w:rFonts w:cs="Times New Roman"/>
          <w:vertAlign w:val="subscript"/>
          <w:lang w:val="en-US"/>
        </w:rPr>
        <w:t>15</w:t>
      </w:r>
      <w:r w:rsidRPr="00F63EAE">
        <w:rPr>
          <w:rFonts w:cs="Times New Roman"/>
          <w:lang w:val="en-US"/>
        </w:rPr>
        <w:t>N</w:t>
      </w:r>
      <w:r w:rsidRPr="00F63EAE">
        <w:rPr>
          <w:rFonts w:cs="Times New Roman"/>
          <w:vertAlign w:val="subscript"/>
          <w:lang w:val="en-US"/>
        </w:rPr>
        <w:t>NO3-</w:t>
      </w:r>
      <w:r w:rsidRPr="00F63EAE">
        <w:rPr>
          <w:rFonts w:cs="Times New Roman"/>
          <w:lang w:val="en-US"/>
        </w:rPr>
        <w:t>(m), δ</w:t>
      </w:r>
      <w:r w:rsidRPr="00F63EAE">
        <w:rPr>
          <w:rFonts w:cs="Times New Roman"/>
          <w:vertAlign w:val="subscript"/>
          <w:lang w:val="en-US"/>
        </w:rPr>
        <w:t>18</w:t>
      </w:r>
      <w:r w:rsidRPr="00F63EAE">
        <w:rPr>
          <w:rFonts w:cs="Times New Roman"/>
          <w:lang w:val="en-US"/>
        </w:rPr>
        <w:t>O</w:t>
      </w:r>
      <w:r w:rsidRPr="00F63EAE">
        <w:rPr>
          <w:rFonts w:cs="Times New Roman"/>
          <w:vertAlign w:val="subscript"/>
          <w:lang w:val="en-US"/>
        </w:rPr>
        <w:t>NO3-</w:t>
      </w:r>
      <w:r w:rsidRPr="00F63EAE">
        <w:rPr>
          <w:rFonts w:cs="Times New Roman"/>
          <w:lang w:val="en-US"/>
        </w:rPr>
        <w:t>(m), δ</w:t>
      </w:r>
      <w:r w:rsidRPr="00F63EAE">
        <w:rPr>
          <w:rFonts w:cs="Times New Roman"/>
          <w:vertAlign w:val="subscript"/>
          <w:lang w:val="en-US"/>
        </w:rPr>
        <w:t>15</w:t>
      </w:r>
      <w:r w:rsidRPr="00F63EAE">
        <w:rPr>
          <w:rFonts w:cs="Times New Roman"/>
          <w:lang w:val="en-US"/>
        </w:rPr>
        <w:t>N</w:t>
      </w:r>
      <w:r w:rsidRPr="00F63EAE">
        <w:rPr>
          <w:rFonts w:cs="Times New Roman"/>
          <w:vertAlign w:val="subscript"/>
          <w:lang w:val="en-US"/>
        </w:rPr>
        <w:t>PN</w:t>
      </w:r>
      <w:r w:rsidRPr="00F63EAE">
        <w:rPr>
          <w:rFonts w:cs="Times New Roman"/>
          <w:lang w:val="en-US"/>
        </w:rPr>
        <w:t>(m)}. To measure this agreement, we use the minimum cost function, searching for the lowest standardized residual (SR)</w:t>
      </w:r>
      <w:r w:rsidR="00846E38" w:rsidRPr="00F63EAE">
        <w:rPr>
          <w:rFonts w:cs="Times New Roman"/>
          <w:lang w:val="en-US"/>
        </w:rPr>
        <w:t xml:space="preserve"> [Elskens et al., 2007]</w:t>
      </w:r>
      <w:r w:rsidRPr="00F63EAE">
        <w:rPr>
          <w:rFonts w:cs="Times New Roman"/>
          <w:lang w:val="en-US"/>
        </w:rPr>
        <w:t>:</w:t>
      </w:r>
    </w:p>
    <w:p w:rsidR="00066F70" w:rsidRPr="00F63EAE" w:rsidRDefault="00066F70" w:rsidP="0055517F">
      <w:pPr>
        <w:spacing w:line="312" w:lineRule="auto"/>
        <w:jc w:val="center"/>
        <w:rPr>
          <w:lang w:val="en-US"/>
        </w:rPr>
      </w:pPr>
      <w:r w:rsidRPr="00F63EAE">
        <w:rPr>
          <w:position w:val="-78"/>
          <w:lang w:val="en-US"/>
        </w:rPr>
        <w:object w:dxaOrig="6759" w:dyaOrig="1660">
          <v:shape id="_x0000_i1038" type="#_x0000_t75" style="width:337.5pt;height:82.5pt" o:ole="">
            <v:imagedata r:id="rId35" o:title=""/>
          </v:shape>
          <o:OLEObject Type="Embed" ProgID="Equation.3" ShapeID="_x0000_i1038" DrawAspect="Content" ObjectID="_1508229807" r:id="rId36"/>
        </w:object>
      </w:r>
      <w:r w:rsidRPr="00F63EAE">
        <w:rPr>
          <w:lang w:val="en-US"/>
        </w:rPr>
        <w:t xml:space="preserve"> </w:t>
      </w:r>
      <w:r w:rsidRPr="00F63EAE">
        <w:rPr>
          <w:lang w:val="en-US"/>
        </w:rPr>
        <w:tab/>
        <w:t>(</w:t>
      </w:r>
      <w:r w:rsidR="004C50E3" w:rsidRPr="00F63EAE">
        <w:rPr>
          <w:lang w:val="en-US"/>
        </w:rPr>
        <w:t>1</w:t>
      </w:r>
      <w:r w:rsidR="003438F5">
        <w:rPr>
          <w:lang w:val="en-US"/>
        </w:rPr>
        <w:t>4</w:t>
      </w:r>
      <w:r w:rsidRPr="00F63EAE">
        <w:rPr>
          <w:lang w:val="en-US"/>
        </w:rPr>
        <w:t>)</w:t>
      </w:r>
    </w:p>
    <w:p w:rsidR="00052124" w:rsidRPr="00F63EAE" w:rsidRDefault="00066F70" w:rsidP="0055517F">
      <w:pPr>
        <w:spacing w:line="312" w:lineRule="auto"/>
        <w:rPr>
          <w:lang w:val="en-US"/>
        </w:rPr>
      </w:pPr>
      <w:r w:rsidRPr="00F63EAE">
        <w:rPr>
          <w:lang w:val="en-US"/>
        </w:rPr>
        <w:t xml:space="preserve">where </w:t>
      </w:r>
      <w:r w:rsidRPr="00F63EAE">
        <w:rPr>
          <w:rFonts w:cs="Times New Roman"/>
          <w:lang w:val="en-US"/>
        </w:rPr>
        <w:t>σ</w:t>
      </w:r>
      <w:r w:rsidRPr="00F63EAE">
        <w:rPr>
          <w:vertAlign w:val="subscript"/>
          <w:lang w:val="en-US"/>
        </w:rPr>
        <w:t>conc</w:t>
      </w:r>
      <w:r w:rsidRPr="00F63EAE">
        <w:rPr>
          <w:lang w:val="en-US"/>
        </w:rPr>
        <w:t>,</w:t>
      </w:r>
      <w:r w:rsidRPr="00F63EAE">
        <w:rPr>
          <w:rFonts w:cs="Times New Roman"/>
          <w:lang w:val="en-US"/>
        </w:rPr>
        <w:t xml:space="preserve"> σ</w:t>
      </w:r>
      <w:r w:rsidRPr="00F63EAE">
        <w:rPr>
          <w:rFonts w:cs="Times New Roman"/>
          <w:vertAlign w:val="subscript"/>
          <w:lang w:val="en-US"/>
        </w:rPr>
        <w:t>δ</w:t>
      </w:r>
      <w:r w:rsidRPr="00F63EAE">
        <w:rPr>
          <w:vertAlign w:val="subscript"/>
          <w:lang w:val="en-US"/>
        </w:rPr>
        <w:t>15N</w:t>
      </w:r>
      <w:r w:rsidRPr="00F63EAE">
        <w:rPr>
          <w:lang w:val="en-US"/>
        </w:rPr>
        <w:t xml:space="preserve"> and </w:t>
      </w:r>
      <w:r w:rsidRPr="00F63EAE">
        <w:rPr>
          <w:rFonts w:cs="Times New Roman"/>
          <w:lang w:val="en-US"/>
        </w:rPr>
        <w:t>σ</w:t>
      </w:r>
      <w:r w:rsidRPr="00F63EAE">
        <w:rPr>
          <w:rFonts w:cs="Times New Roman"/>
          <w:vertAlign w:val="subscript"/>
          <w:lang w:val="en-US"/>
        </w:rPr>
        <w:t>δ</w:t>
      </w:r>
      <w:r w:rsidRPr="00F63EAE">
        <w:rPr>
          <w:vertAlign w:val="subscript"/>
          <w:lang w:val="en-US"/>
        </w:rPr>
        <w:t>18O</w:t>
      </w:r>
      <w:r w:rsidRPr="00F63EAE">
        <w:rPr>
          <w:lang w:val="en-US"/>
        </w:rPr>
        <w:t xml:space="preserve"> express the standard deviation for the concentration (1 µmol l</w:t>
      </w:r>
      <w:r w:rsidRPr="00F63EAE">
        <w:rPr>
          <w:vertAlign w:val="superscript"/>
          <w:lang w:val="en-US"/>
        </w:rPr>
        <w:t>-1</w:t>
      </w:r>
      <w:r w:rsidRPr="00F63EAE">
        <w:rPr>
          <w:lang w:val="en-US"/>
        </w:rPr>
        <w:t>), δ</w:t>
      </w:r>
      <w:r w:rsidRPr="00F63EAE">
        <w:rPr>
          <w:vertAlign w:val="superscript"/>
          <w:lang w:val="en-US"/>
        </w:rPr>
        <w:t>15</w:t>
      </w:r>
      <w:r w:rsidRPr="00F63EAE">
        <w:rPr>
          <w:lang w:val="en-US"/>
        </w:rPr>
        <w:t>N (0.2‰), and δ</w:t>
      </w:r>
      <w:r w:rsidRPr="00F63EAE">
        <w:rPr>
          <w:vertAlign w:val="superscript"/>
          <w:lang w:val="en-US"/>
        </w:rPr>
        <w:t>18</w:t>
      </w:r>
      <w:r w:rsidRPr="00F63EAE">
        <w:rPr>
          <w:lang w:val="en-US"/>
        </w:rPr>
        <w:t xml:space="preserve">O (0.2‰), respectively. Standardized residuals account for the different </w:t>
      </w:r>
      <w:r w:rsidR="00E27281" w:rsidRPr="00F63EAE">
        <w:rPr>
          <w:lang w:val="en-US"/>
        </w:rPr>
        <w:t xml:space="preserve">units </w:t>
      </w:r>
      <w:r w:rsidRPr="00F63EAE">
        <w:rPr>
          <w:lang w:val="en-US"/>
        </w:rPr>
        <w:t>of the two variables, in this case concentration and δ</w:t>
      </w:r>
      <w:r w:rsidRPr="00F63EAE">
        <w:rPr>
          <w:vertAlign w:val="superscript"/>
          <w:lang w:val="en-US"/>
        </w:rPr>
        <w:t>15</w:t>
      </w:r>
      <w:r w:rsidRPr="00F63EAE">
        <w:rPr>
          <w:lang w:val="en-US"/>
        </w:rPr>
        <w:t>N-δ</w:t>
      </w:r>
      <w:r w:rsidRPr="00F63EAE">
        <w:rPr>
          <w:vertAlign w:val="superscript"/>
          <w:lang w:val="en-US"/>
        </w:rPr>
        <w:t>18</w:t>
      </w:r>
      <w:r w:rsidRPr="00F63EAE">
        <w:rPr>
          <w:lang w:val="en-US"/>
        </w:rPr>
        <w:t xml:space="preserve">O. </w:t>
      </w:r>
      <w:r w:rsidR="000A0E2F" w:rsidRPr="00F63EAE">
        <w:rPr>
          <w:lang w:val="en-US"/>
        </w:rPr>
        <w:t xml:space="preserve">One typical example of </w:t>
      </w:r>
      <w:r w:rsidR="00071837">
        <w:rPr>
          <w:lang w:val="en-US"/>
        </w:rPr>
        <w:t xml:space="preserve">a </w:t>
      </w:r>
      <w:r w:rsidR="000A0E2F" w:rsidRPr="00F63EAE">
        <w:rPr>
          <w:lang w:val="en-US"/>
        </w:rPr>
        <w:t xml:space="preserve">sensitivity test for one configuration of both isotope effects and rates is shown in </w:t>
      </w:r>
      <w:r w:rsidR="000A0E2F" w:rsidRPr="00F63EAE">
        <w:rPr>
          <w:lang w:val="en-US"/>
        </w:rPr>
        <w:lastRenderedPageBreak/>
        <w:t xml:space="preserve">Fig. </w:t>
      </w:r>
      <w:r w:rsidR="004C50E3" w:rsidRPr="00F63EAE">
        <w:rPr>
          <w:lang w:val="en-US"/>
        </w:rPr>
        <w:t>S</w:t>
      </w:r>
      <w:r w:rsidR="004C50E3">
        <w:rPr>
          <w:lang w:val="en-US"/>
        </w:rPr>
        <w:t>3</w:t>
      </w:r>
      <w:r w:rsidR="000A0E2F" w:rsidRPr="00F63EAE">
        <w:rPr>
          <w:lang w:val="en-US"/>
        </w:rPr>
        <w:t xml:space="preserve">. </w:t>
      </w:r>
      <w:r w:rsidR="00052124" w:rsidRPr="00F63EAE">
        <w:rPr>
          <w:lang w:val="en-US"/>
        </w:rPr>
        <w:t>Satisfying solution</w:t>
      </w:r>
      <w:r w:rsidR="00071837">
        <w:rPr>
          <w:lang w:val="en-US"/>
        </w:rPr>
        <w:t>s</w:t>
      </w:r>
      <w:r w:rsidR="00052124" w:rsidRPr="00F63EAE">
        <w:rPr>
          <w:lang w:val="en-US"/>
        </w:rPr>
        <w:t xml:space="preserve"> correspond to combinations of AmU/R and NiU</w:t>
      </w:r>
      <w:r w:rsidR="00F65F04">
        <w:rPr>
          <w:lang w:val="en-US"/>
        </w:rPr>
        <w:t>/</w:t>
      </w:r>
      <w:r w:rsidR="00052124" w:rsidRPr="00F63EAE">
        <w:rPr>
          <w:lang w:val="en-US"/>
        </w:rPr>
        <w:t xml:space="preserve">AmO ratios that result in a SR lower than </w:t>
      </w:r>
      <w:r w:rsidR="00FE0F82" w:rsidRPr="00F63EAE">
        <w:rPr>
          <w:rFonts w:cs="Times New Roman"/>
          <w:lang w:val="en-US"/>
        </w:rPr>
        <w:t>~</w:t>
      </w:r>
      <w:r w:rsidR="00846E38" w:rsidRPr="00F63EAE">
        <w:rPr>
          <w:lang w:val="en-US"/>
        </w:rPr>
        <w:t>30</w:t>
      </w:r>
      <w:r w:rsidR="00052124" w:rsidRPr="00F63EAE">
        <w:rPr>
          <w:lang w:val="en-US"/>
        </w:rPr>
        <w:t>. Results from all simulations that fulfill this criterion have a final simulated NO</w:t>
      </w:r>
      <w:r w:rsidR="00052124" w:rsidRPr="00F63EAE">
        <w:rPr>
          <w:vertAlign w:val="subscript"/>
          <w:lang w:val="en-US"/>
        </w:rPr>
        <w:t>3</w:t>
      </w:r>
      <w:r w:rsidR="00052124" w:rsidRPr="00F63EAE">
        <w:rPr>
          <w:vertAlign w:val="superscript"/>
          <w:lang w:val="en-US"/>
        </w:rPr>
        <w:t>-</w:t>
      </w:r>
      <w:r w:rsidR="00052124" w:rsidRPr="00F63EAE">
        <w:rPr>
          <w:lang w:val="en-US"/>
        </w:rPr>
        <w:t xml:space="preserve"> concentration, NO</w:t>
      </w:r>
      <w:r w:rsidR="00052124" w:rsidRPr="00F63EAE">
        <w:rPr>
          <w:vertAlign w:val="subscript"/>
          <w:lang w:val="en-US"/>
        </w:rPr>
        <w:t>3</w:t>
      </w:r>
      <w:r w:rsidR="00052124" w:rsidRPr="00F63EAE">
        <w:rPr>
          <w:vertAlign w:val="superscript"/>
          <w:lang w:val="en-US"/>
        </w:rPr>
        <w:t>-</w:t>
      </w:r>
      <w:r w:rsidR="00052124" w:rsidRPr="00F63EAE">
        <w:rPr>
          <w:lang w:val="en-US"/>
        </w:rPr>
        <w:t xml:space="preserve"> δ</w:t>
      </w:r>
      <w:r w:rsidR="00052124" w:rsidRPr="00F63EAE">
        <w:rPr>
          <w:vertAlign w:val="superscript"/>
          <w:lang w:val="en-US"/>
        </w:rPr>
        <w:t>15</w:t>
      </w:r>
      <w:r w:rsidR="00052124" w:rsidRPr="00F63EAE">
        <w:rPr>
          <w:lang w:val="en-US"/>
        </w:rPr>
        <w:t>N, NO</w:t>
      </w:r>
      <w:r w:rsidR="00052124" w:rsidRPr="00F63EAE">
        <w:rPr>
          <w:vertAlign w:val="subscript"/>
          <w:lang w:val="en-US"/>
        </w:rPr>
        <w:t>3</w:t>
      </w:r>
      <w:r w:rsidR="00052124" w:rsidRPr="00F63EAE">
        <w:rPr>
          <w:vertAlign w:val="superscript"/>
          <w:lang w:val="en-US"/>
        </w:rPr>
        <w:t>-</w:t>
      </w:r>
      <w:r w:rsidR="00052124" w:rsidRPr="00F63EAE">
        <w:rPr>
          <w:lang w:val="en-US"/>
        </w:rPr>
        <w:t xml:space="preserve"> δ</w:t>
      </w:r>
      <w:r w:rsidR="00052124" w:rsidRPr="00F63EAE">
        <w:rPr>
          <w:vertAlign w:val="superscript"/>
          <w:lang w:val="en-US"/>
        </w:rPr>
        <w:t>18</w:t>
      </w:r>
      <w:r w:rsidR="00052124" w:rsidRPr="00F63EAE">
        <w:rPr>
          <w:lang w:val="en-US"/>
        </w:rPr>
        <w:t>O, and PN δ</w:t>
      </w:r>
      <w:r w:rsidR="00052124" w:rsidRPr="00F63EAE">
        <w:rPr>
          <w:vertAlign w:val="superscript"/>
          <w:lang w:val="en-US"/>
        </w:rPr>
        <w:t>15</w:t>
      </w:r>
      <w:r w:rsidR="00052124" w:rsidRPr="00F63EAE">
        <w:rPr>
          <w:lang w:val="en-US"/>
        </w:rPr>
        <w:t xml:space="preserve">N within the error range (2sd) of the observations (KEOPS1). Adding DON to the PN pool, assuming that it is an actively cycling N pool, allows the final simulated PN concentration to fall </w:t>
      </w:r>
      <w:r w:rsidR="00964D00" w:rsidRPr="00F63EAE">
        <w:rPr>
          <w:lang w:val="en-US"/>
        </w:rPr>
        <w:t xml:space="preserve">also </w:t>
      </w:r>
      <w:r w:rsidR="00052124" w:rsidRPr="00F63EAE">
        <w:rPr>
          <w:lang w:val="en-US"/>
        </w:rPr>
        <w:t xml:space="preserve">within the error range (2sd) of the observations. </w:t>
      </w:r>
    </w:p>
    <w:p w:rsidR="000357FB" w:rsidRPr="00F63EAE" w:rsidRDefault="00C02892" w:rsidP="0055517F">
      <w:pPr>
        <w:spacing w:line="312" w:lineRule="auto"/>
        <w:rPr>
          <w:vertAlign w:val="superscript"/>
          <w:lang w:val="en-US"/>
        </w:rPr>
      </w:pPr>
      <w:r w:rsidRPr="00AE1D60">
        <w:rPr>
          <w:lang w:val="en-US"/>
        </w:rPr>
        <w:t xml:space="preserve">We tested the sensitivity to the prescribed integrated rates (NaU = 2.2 </w:t>
      </w:r>
      <w:r w:rsidRPr="00AE1D60">
        <w:rPr>
          <w:rFonts w:cs="Times New Roman"/>
          <w:lang w:val="en-US"/>
        </w:rPr>
        <w:t>±</w:t>
      </w:r>
      <w:r w:rsidRPr="00AE1D60">
        <w:rPr>
          <w:lang w:val="en-US"/>
        </w:rPr>
        <w:t xml:space="preserve"> 1.0 mmol m</w:t>
      </w:r>
      <w:r w:rsidRPr="00AE1D60">
        <w:rPr>
          <w:vertAlign w:val="superscript"/>
          <w:lang w:val="en-US"/>
        </w:rPr>
        <w:t>-2</w:t>
      </w:r>
      <w:r w:rsidRPr="00AE1D60">
        <w:rPr>
          <w:lang w:val="en-US"/>
        </w:rPr>
        <w:t xml:space="preserve">, AmU = 0.5 </w:t>
      </w:r>
      <w:r w:rsidRPr="00AE1D60">
        <w:rPr>
          <w:rFonts w:cs="Times New Roman"/>
          <w:lang w:val="en-US"/>
        </w:rPr>
        <w:t>±</w:t>
      </w:r>
      <w:r w:rsidRPr="00AE1D60">
        <w:rPr>
          <w:lang w:val="en-US"/>
        </w:rPr>
        <w:t xml:space="preserve"> 0.3 mmol m</w:t>
      </w:r>
      <w:r w:rsidRPr="00AE1D60">
        <w:rPr>
          <w:vertAlign w:val="superscript"/>
          <w:lang w:val="en-US"/>
        </w:rPr>
        <w:t>-2</w:t>
      </w:r>
      <w:r w:rsidRPr="00AE1D60">
        <w:rPr>
          <w:lang w:val="en-US"/>
        </w:rPr>
        <w:t xml:space="preserve">, E = 0.2 </w:t>
      </w:r>
      <w:r w:rsidRPr="00AE1D60">
        <w:rPr>
          <w:rFonts w:cs="Times New Roman"/>
          <w:lang w:val="en-US"/>
        </w:rPr>
        <w:t>±</w:t>
      </w:r>
      <w:r w:rsidRPr="00AE1D60">
        <w:rPr>
          <w:lang w:val="en-US"/>
        </w:rPr>
        <w:t xml:space="preserve"> 0.2 mmol m</w:t>
      </w:r>
      <w:r w:rsidRPr="00AE1D60">
        <w:rPr>
          <w:vertAlign w:val="superscript"/>
          <w:lang w:val="en-US"/>
        </w:rPr>
        <w:t>-2</w:t>
      </w:r>
      <w:r w:rsidRPr="00AE1D60">
        <w:rPr>
          <w:lang w:val="en-US"/>
        </w:rPr>
        <w:t xml:space="preserve">, and S = 0.2 </w:t>
      </w:r>
      <w:r w:rsidRPr="00AE1D60">
        <w:rPr>
          <w:rFonts w:cs="Times New Roman"/>
          <w:lang w:val="en-US"/>
        </w:rPr>
        <w:t>±</w:t>
      </w:r>
      <w:r w:rsidRPr="00AE1D60">
        <w:rPr>
          <w:lang w:val="en-US"/>
        </w:rPr>
        <w:t xml:space="preserve"> 0.2 mmol m</w:t>
      </w:r>
      <w:r w:rsidRPr="00AE1D60">
        <w:rPr>
          <w:vertAlign w:val="superscript"/>
          <w:lang w:val="en-US"/>
        </w:rPr>
        <w:t>-2</w:t>
      </w:r>
      <w:r w:rsidRPr="00AE1D60">
        <w:rPr>
          <w:rFonts w:cs="Times New Roman"/>
          <w:lang w:val="en-US"/>
        </w:rPr>
        <w:t>; see section “Surface contribution of nitrification to NO</w:t>
      </w:r>
      <w:r w:rsidRPr="00AE1D60">
        <w:rPr>
          <w:rFonts w:cs="Times New Roman"/>
          <w:vertAlign w:val="subscript"/>
          <w:lang w:val="en-US"/>
        </w:rPr>
        <w:t>3</w:t>
      </w:r>
      <w:r w:rsidRPr="00AE1D60">
        <w:rPr>
          <w:rFonts w:cs="Times New Roman"/>
          <w:vertAlign w:val="superscript"/>
          <w:lang w:val="en-US"/>
        </w:rPr>
        <w:t>-</w:t>
      </w:r>
      <w:r w:rsidRPr="00AE1D60">
        <w:rPr>
          <w:rFonts w:cs="Times New Roman"/>
          <w:lang w:val="en-US"/>
        </w:rPr>
        <w:t xml:space="preserve"> assimilation”), as well as for the values for each isotope effect</w:t>
      </w:r>
      <w:r w:rsidR="00052124" w:rsidRPr="00AE1D60">
        <w:rPr>
          <w:rFonts w:cs="Times New Roman"/>
          <w:lang w:val="en-US"/>
        </w:rPr>
        <w:t xml:space="preserve"> (</w:t>
      </w:r>
      <w:r w:rsidR="00846E38" w:rsidRPr="00AE1D60">
        <w:rPr>
          <w:rFonts w:cs="Times New Roman"/>
          <w:lang w:val="en-US"/>
        </w:rPr>
        <w:t>348</w:t>
      </w:r>
      <w:r w:rsidR="00922896" w:rsidRPr="00AE1D60">
        <w:rPr>
          <w:rFonts w:cs="Times New Roman"/>
          <w:lang w:val="en-US"/>
        </w:rPr>
        <w:t xml:space="preserve"> simulations</w:t>
      </w:r>
      <w:r w:rsidR="00052124" w:rsidRPr="00AE1D60">
        <w:rPr>
          <w:rFonts w:cs="Times New Roman"/>
          <w:lang w:val="en-US"/>
        </w:rPr>
        <w:t xml:space="preserve"> in total)</w:t>
      </w:r>
      <w:r w:rsidR="00922896" w:rsidRPr="00AE1D60">
        <w:rPr>
          <w:rFonts w:cs="Times New Roman"/>
          <w:lang w:val="en-US"/>
        </w:rPr>
        <w:t>.</w:t>
      </w:r>
      <w:r w:rsidR="00BC48D2" w:rsidRPr="00AE1D60">
        <w:rPr>
          <w:rFonts w:cs="Times New Roman"/>
          <w:lang w:val="en-US"/>
        </w:rPr>
        <w:t xml:space="preserve"> </w:t>
      </w:r>
      <w:r w:rsidR="00AE1D60" w:rsidRPr="00AE1D60">
        <w:rPr>
          <w:rFonts w:cs="Times New Roman"/>
          <w:lang w:val="en-US"/>
        </w:rPr>
        <w:t xml:space="preserve">The </w:t>
      </w:r>
      <w:r w:rsidR="00AE1D60" w:rsidRPr="00AE1D60">
        <w:rPr>
          <w:lang w:val="en-US"/>
        </w:rPr>
        <w:t>contribution of nitrification to NO</w:t>
      </w:r>
      <w:r w:rsidR="00AE1D60" w:rsidRPr="00AE1D60">
        <w:rPr>
          <w:vertAlign w:val="subscript"/>
          <w:lang w:val="en-US"/>
        </w:rPr>
        <w:t>3</w:t>
      </w:r>
      <w:r w:rsidR="00AE1D60" w:rsidRPr="00AE1D60">
        <w:rPr>
          <w:vertAlign w:val="superscript"/>
          <w:lang w:val="en-US"/>
        </w:rPr>
        <w:t>-</w:t>
      </w:r>
      <w:r w:rsidR="00AE1D60" w:rsidRPr="00AE1D60">
        <w:rPr>
          <w:lang w:val="en-US"/>
        </w:rPr>
        <w:t xml:space="preserve"> assimilation is the most sensitive to NaU</w:t>
      </w:r>
      <w:r w:rsidR="00AE1D60" w:rsidRPr="00F3358B">
        <w:rPr>
          <w:lang w:val="en-US"/>
        </w:rPr>
        <w:t xml:space="preserve">, with lower contribution at lower rates. </w:t>
      </w:r>
      <w:r w:rsidR="00052124" w:rsidRPr="00AE1D60">
        <w:rPr>
          <w:lang w:val="en-US"/>
        </w:rPr>
        <w:t>The best fit</w:t>
      </w:r>
      <w:r w:rsidR="00396050" w:rsidRPr="00AE1D60">
        <w:rPr>
          <w:lang w:val="en-US"/>
        </w:rPr>
        <w:t>s</w:t>
      </w:r>
      <w:r w:rsidR="00052124" w:rsidRPr="00AE1D60">
        <w:rPr>
          <w:lang w:val="en-US"/>
        </w:rPr>
        <w:t xml:space="preserve"> (</w:t>
      </w:r>
      <w:r w:rsidR="00396050" w:rsidRPr="00AE1D60">
        <w:rPr>
          <w:lang w:val="en-US"/>
        </w:rPr>
        <w:t xml:space="preserve">within the error range of the observations; </w:t>
      </w:r>
      <w:r w:rsidR="00846E38" w:rsidRPr="00AE1D60">
        <w:rPr>
          <w:lang w:val="en-US"/>
        </w:rPr>
        <w:t xml:space="preserve">147 </w:t>
      </w:r>
      <w:r w:rsidR="00396050" w:rsidRPr="00AE1D60">
        <w:rPr>
          <w:lang w:val="en-US"/>
        </w:rPr>
        <w:t>simulations</w:t>
      </w:r>
      <w:r w:rsidR="00052124" w:rsidRPr="00AE1D60">
        <w:rPr>
          <w:lang w:val="en-US"/>
        </w:rPr>
        <w:t>) are always found with high NiO/NaU ratio (min. SR</w:t>
      </w:r>
      <w:r w:rsidR="006506F1" w:rsidRPr="00AE1D60">
        <w:rPr>
          <w:lang w:val="en-US"/>
        </w:rPr>
        <w:t>;</w:t>
      </w:r>
      <w:r w:rsidR="00052124" w:rsidRPr="00AE1D60">
        <w:rPr>
          <w:lang w:val="en-US"/>
        </w:rPr>
        <w:t xml:space="preserve"> 0.4 to 0.8; Fig. </w:t>
      </w:r>
      <w:r w:rsidR="004C50E3" w:rsidRPr="00AE1D60">
        <w:rPr>
          <w:lang w:val="en-US"/>
        </w:rPr>
        <w:t>S4</w:t>
      </w:r>
      <w:r w:rsidR="00052124" w:rsidRPr="00AE1D60">
        <w:rPr>
          <w:lang w:val="en-US"/>
        </w:rPr>
        <w:t>), low AmU/R ratio (min.SR</w:t>
      </w:r>
      <w:r w:rsidR="006506F1" w:rsidRPr="00AE1D60">
        <w:rPr>
          <w:lang w:val="en-US"/>
        </w:rPr>
        <w:t>;</w:t>
      </w:r>
      <w:r w:rsidR="00052124" w:rsidRPr="00AE1D60">
        <w:rPr>
          <w:lang w:val="en-US"/>
        </w:rPr>
        <w:t xml:space="preserve"> 0.</w:t>
      </w:r>
      <w:r w:rsidR="00846E38" w:rsidRPr="00AE1D60">
        <w:rPr>
          <w:lang w:val="en-US"/>
        </w:rPr>
        <w:t>1</w:t>
      </w:r>
      <w:r w:rsidR="00052124" w:rsidRPr="00AE1D60">
        <w:rPr>
          <w:lang w:val="en-US"/>
        </w:rPr>
        <w:t xml:space="preserve"> to 0.</w:t>
      </w:r>
      <w:r w:rsidR="00396050" w:rsidRPr="00AE1D60">
        <w:rPr>
          <w:lang w:val="en-US"/>
        </w:rPr>
        <w:t xml:space="preserve">5; Fig. </w:t>
      </w:r>
      <w:r w:rsidR="004C50E3" w:rsidRPr="00AE1D60">
        <w:rPr>
          <w:lang w:val="en-US"/>
        </w:rPr>
        <w:t>S4</w:t>
      </w:r>
      <w:r w:rsidR="00052124" w:rsidRPr="00AE1D60">
        <w:rPr>
          <w:lang w:val="en-US"/>
        </w:rPr>
        <w:t>), and low NiU/NiO ratio (min.SR</w:t>
      </w:r>
      <w:r w:rsidR="006506F1" w:rsidRPr="00AE1D60">
        <w:rPr>
          <w:lang w:val="en-US"/>
        </w:rPr>
        <w:t>;</w:t>
      </w:r>
      <w:r w:rsidR="00052124" w:rsidRPr="00AE1D60">
        <w:rPr>
          <w:lang w:val="en-US"/>
        </w:rPr>
        <w:t xml:space="preserve"> 0.</w:t>
      </w:r>
      <w:r w:rsidR="00396050" w:rsidRPr="00AE1D60">
        <w:rPr>
          <w:lang w:val="en-US"/>
        </w:rPr>
        <w:t>0</w:t>
      </w:r>
      <w:r w:rsidR="00052124" w:rsidRPr="00AE1D60">
        <w:rPr>
          <w:lang w:val="en-US"/>
        </w:rPr>
        <w:t xml:space="preserve"> to 0.</w:t>
      </w:r>
      <w:r w:rsidR="00846E38" w:rsidRPr="00AE1D60">
        <w:rPr>
          <w:lang w:val="en-US"/>
        </w:rPr>
        <w:t>5</w:t>
      </w:r>
      <w:r w:rsidR="00052124" w:rsidRPr="00AE1D60">
        <w:rPr>
          <w:lang w:val="en-US"/>
        </w:rPr>
        <w:t>)</w:t>
      </w:r>
      <w:r w:rsidR="00396050" w:rsidRPr="00AE1D60">
        <w:rPr>
          <w:lang w:val="en-US"/>
        </w:rPr>
        <w:t>. The average (± sd) of these simulations</w:t>
      </w:r>
      <w:r w:rsidR="00964D00" w:rsidRPr="00AE1D60">
        <w:rPr>
          <w:lang w:val="en-US"/>
        </w:rPr>
        <w:t xml:space="preserve"> for</w:t>
      </w:r>
      <w:r w:rsidR="00F5449B" w:rsidRPr="00AE1D60">
        <w:rPr>
          <w:lang w:val="en-US"/>
        </w:rPr>
        <w:t xml:space="preserve"> final</w:t>
      </w:r>
      <w:r w:rsidR="00964D00" w:rsidRPr="00AE1D60">
        <w:rPr>
          <w:lang w:val="en-US"/>
        </w:rPr>
        <w:t xml:space="preserve"> NO</w:t>
      </w:r>
      <w:r w:rsidR="00964D00" w:rsidRPr="00AE1D60">
        <w:rPr>
          <w:vertAlign w:val="subscript"/>
          <w:lang w:val="en-US"/>
        </w:rPr>
        <w:t>3</w:t>
      </w:r>
      <w:r w:rsidR="00964D00" w:rsidRPr="00AE1D60">
        <w:rPr>
          <w:vertAlign w:val="superscript"/>
          <w:lang w:val="en-US"/>
        </w:rPr>
        <w:t>-</w:t>
      </w:r>
      <w:r w:rsidR="00964D00" w:rsidRPr="00AE1D60">
        <w:rPr>
          <w:lang w:val="en-US"/>
        </w:rPr>
        <w:t xml:space="preserve"> concentration, PN concentration, NO</w:t>
      </w:r>
      <w:r w:rsidR="00964D00" w:rsidRPr="00AE1D60">
        <w:rPr>
          <w:vertAlign w:val="subscript"/>
          <w:lang w:val="en-US"/>
        </w:rPr>
        <w:t>3</w:t>
      </w:r>
      <w:r w:rsidR="00964D00" w:rsidRPr="00AE1D60">
        <w:rPr>
          <w:vertAlign w:val="superscript"/>
          <w:lang w:val="en-US"/>
        </w:rPr>
        <w:t>-</w:t>
      </w:r>
      <w:r w:rsidR="00964D00" w:rsidRPr="00AE1D60">
        <w:rPr>
          <w:lang w:val="en-US"/>
        </w:rPr>
        <w:t xml:space="preserve"> δ</w:t>
      </w:r>
      <w:r w:rsidR="00964D00" w:rsidRPr="00AE1D60">
        <w:rPr>
          <w:vertAlign w:val="superscript"/>
          <w:lang w:val="en-US"/>
        </w:rPr>
        <w:t>15</w:t>
      </w:r>
      <w:r w:rsidR="00964D00" w:rsidRPr="00AE1D60">
        <w:rPr>
          <w:lang w:val="en-US"/>
        </w:rPr>
        <w:t>N and δ</w:t>
      </w:r>
      <w:r w:rsidR="00964D00" w:rsidRPr="00AE1D60">
        <w:rPr>
          <w:vertAlign w:val="superscript"/>
          <w:lang w:val="en-US"/>
        </w:rPr>
        <w:t>18</w:t>
      </w:r>
      <w:r w:rsidR="00964D00" w:rsidRPr="00AE1D60">
        <w:rPr>
          <w:lang w:val="en-US"/>
        </w:rPr>
        <w:t>O, and PN δ</w:t>
      </w:r>
      <w:r w:rsidR="00964D00" w:rsidRPr="00AE1D60">
        <w:rPr>
          <w:vertAlign w:val="superscript"/>
          <w:lang w:val="en-US"/>
        </w:rPr>
        <w:t>15</w:t>
      </w:r>
      <w:r w:rsidR="00964D00" w:rsidRPr="00AE1D60">
        <w:rPr>
          <w:lang w:val="en-US"/>
        </w:rPr>
        <w:t>N,</w:t>
      </w:r>
      <w:r w:rsidR="00396050" w:rsidRPr="00AE1D60">
        <w:rPr>
          <w:lang w:val="en-US"/>
        </w:rPr>
        <w:t xml:space="preserve"> are given in Figs. 2a and 2b. </w:t>
      </w:r>
      <w:r w:rsidR="000357FB" w:rsidRPr="00AE1D60">
        <w:rPr>
          <w:lang w:val="en-US"/>
        </w:rPr>
        <w:t>We tested further the sensitivity to the NO</w:t>
      </w:r>
      <w:r w:rsidR="000357FB" w:rsidRPr="00AE1D60">
        <w:rPr>
          <w:vertAlign w:val="subscript"/>
          <w:lang w:val="en-US"/>
        </w:rPr>
        <w:t>3</w:t>
      </w:r>
      <w:r w:rsidR="000357FB" w:rsidRPr="00AE1D60">
        <w:rPr>
          <w:vertAlign w:val="superscript"/>
          <w:lang w:val="en-US"/>
        </w:rPr>
        <w:t>-</w:t>
      </w:r>
      <w:r w:rsidR="000357FB" w:rsidRPr="00AE1D60">
        <w:rPr>
          <w:lang w:val="en-US"/>
        </w:rPr>
        <w:t xml:space="preserve"> supply terms (Fig. </w:t>
      </w:r>
      <w:r w:rsidR="004C50E3" w:rsidRPr="00AE1D60">
        <w:rPr>
          <w:lang w:val="en-US"/>
        </w:rPr>
        <w:t>S5</w:t>
      </w:r>
      <w:r w:rsidR="0079501F" w:rsidRPr="00AE1D60">
        <w:rPr>
          <w:lang w:val="en-US"/>
        </w:rPr>
        <w:t>), from 0 to 1.0 mol m</w:t>
      </w:r>
      <w:r w:rsidR="0079501F" w:rsidRPr="00AE1D60">
        <w:rPr>
          <w:vertAlign w:val="superscript"/>
          <w:lang w:val="en-US"/>
        </w:rPr>
        <w:t>-2</w:t>
      </w:r>
      <w:r w:rsidR="0079501F" w:rsidRPr="00AE1D60">
        <w:rPr>
          <w:lang w:val="en-US"/>
        </w:rPr>
        <w:t xml:space="preserve"> yr</w:t>
      </w:r>
      <w:r w:rsidR="0079501F" w:rsidRPr="00AE1D60">
        <w:rPr>
          <w:vertAlign w:val="superscript"/>
          <w:lang w:val="en-US"/>
        </w:rPr>
        <w:t>-1</w:t>
      </w:r>
      <w:r w:rsidR="000357FB" w:rsidRPr="00AE1D60">
        <w:rPr>
          <w:lang w:val="en-US"/>
        </w:rPr>
        <w:t xml:space="preserve">. From this analysis, </w:t>
      </w:r>
      <w:r w:rsidR="00334421" w:rsidRPr="00AE1D60">
        <w:rPr>
          <w:lang w:val="en-US"/>
        </w:rPr>
        <w:t xml:space="preserve">the model cannot find a good fit with </w:t>
      </w:r>
      <w:r w:rsidR="0079501F" w:rsidRPr="00AE1D60">
        <w:rPr>
          <w:lang w:val="en-US"/>
        </w:rPr>
        <w:t xml:space="preserve">nitrate supply </w:t>
      </w:r>
      <w:r w:rsidR="00334421" w:rsidRPr="00AE1D60">
        <w:rPr>
          <w:lang w:val="en-US"/>
        </w:rPr>
        <w:t>above</w:t>
      </w:r>
      <w:r w:rsidR="0079501F" w:rsidRPr="00AE1D60">
        <w:rPr>
          <w:lang w:val="en-US"/>
        </w:rPr>
        <w:t xml:space="preserve"> 0.6-0.8 mol m</w:t>
      </w:r>
      <w:r w:rsidR="0079501F" w:rsidRPr="00AE1D60">
        <w:rPr>
          <w:vertAlign w:val="superscript"/>
          <w:lang w:val="en-US"/>
        </w:rPr>
        <w:t>-2</w:t>
      </w:r>
      <w:r w:rsidR="0079501F" w:rsidRPr="00AE1D60">
        <w:rPr>
          <w:lang w:val="en-US"/>
        </w:rPr>
        <w:t xml:space="preserve"> yr</w:t>
      </w:r>
      <w:r w:rsidR="0079501F" w:rsidRPr="00AE1D60">
        <w:rPr>
          <w:vertAlign w:val="superscript"/>
          <w:lang w:val="en-US"/>
        </w:rPr>
        <w:t>-1</w:t>
      </w:r>
      <w:r w:rsidR="00334421" w:rsidRPr="00AE1D60">
        <w:rPr>
          <w:lang w:val="en-US"/>
        </w:rPr>
        <w:t>.</w:t>
      </w:r>
      <w:r w:rsidR="0079501F" w:rsidRPr="00F63EAE">
        <w:rPr>
          <w:lang w:val="en-US"/>
        </w:rPr>
        <w:t xml:space="preserve"> </w:t>
      </w:r>
    </w:p>
    <w:p w:rsidR="00BC6749" w:rsidRPr="005D0242" w:rsidRDefault="00BB3965" w:rsidP="0055517F">
      <w:pPr>
        <w:pStyle w:val="Heading2"/>
        <w:spacing w:line="312" w:lineRule="auto"/>
        <w:rPr>
          <w:lang w:val="en-US"/>
        </w:rPr>
      </w:pPr>
      <w:r w:rsidRPr="005D0242">
        <w:rPr>
          <w:lang w:val="en-US"/>
        </w:rPr>
        <w:t>References:</w:t>
      </w:r>
    </w:p>
    <w:p w:rsidR="00FE0F82" w:rsidRPr="00A8599A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Archambeau A.-S., Pierre, C., Poisson, A. &amp; Schauer, B. (1998)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Distributions of oxygen and carbon stable isotope and CFC-12 in the water masses of the Southern Ocean at 30°E from South Africa to Antarctica: Results of the CIVA1 cruise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J. Mar. Syst.</w:t>
      </w:r>
      <w:r w:rsidR="004C7EF6" w:rsidRPr="00A8599A">
        <w:rPr>
          <w:sz w:val="20"/>
          <w:lang w:val="en-US"/>
        </w:rPr>
        <w:t xml:space="preserve">, </w:t>
      </w:r>
      <w:r w:rsidRPr="00A8599A">
        <w:rPr>
          <w:sz w:val="20"/>
          <w:lang w:val="en-US"/>
        </w:rPr>
        <w:t>17, 25-38.</w:t>
      </w:r>
    </w:p>
    <w:p w:rsidR="00FE0F82" w:rsidRPr="00A8599A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Berelson, W.M. (2001)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The flux of particulate organic carbon into the Ocean interior: A comparison of four U.S. JGOFS. Regional Studies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Oceanography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14, 59-67.</w:t>
      </w:r>
    </w:p>
    <w:p w:rsidR="00FE0F82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Buchwald, C., Santoro, A.E., McIlvin, M.R. &amp; Casciotti, K.L. (2012)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Oxygen isotopic composition of nitrate and nitrite produced by nitrifying Cocultures and natural assemblages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Limnol. Oceanogr.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57(5), 1361-1375.</w:t>
      </w:r>
    </w:p>
    <w:p w:rsidR="008A3C03" w:rsidRDefault="008A3C03" w:rsidP="0055517F">
      <w:pPr>
        <w:spacing w:line="312" w:lineRule="auto"/>
        <w:ind w:left="284" w:hanging="284"/>
        <w:rPr>
          <w:sz w:val="20"/>
          <w:lang w:val="en-US"/>
        </w:rPr>
      </w:pPr>
      <w:r>
        <w:rPr>
          <w:sz w:val="20"/>
          <w:lang w:val="en-US"/>
        </w:rPr>
        <w:t xml:space="preserve">Buchwald, C., and K.L. Casciotti (2013), Isotopic ratios of nitrite as tracers of the sources and age of oceanic nitrite. Nature Geoscience, doi:10.1038/NGEO1745. </w:t>
      </w:r>
    </w:p>
    <w:p w:rsidR="00F65F04" w:rsidRPr="00344F29" w:rsidRDefault="00F65F04" w:rsidP="0055517F">
      <w:pPr>
        <w:spacing w:line="312" w:lineRule="auto"/>
        <w:ind w:left="284" w:hanging="284"/>
        <w:rPr>
          <w:sz w:val="20"/>
          <w:szCs w:val="20"/>
          <w:lang w:val="en-US"/>
        </w:rPr>
      </w:pPr>
      <w:r w:rsidRPr="00344F29">
        <w:rPr>
          <w:sz w:val="20"/>
          <w:szCs w:val="20"/>
          <w:lang w:val="en-US"/>
        </w:rPr>
        <w:t xml:space="preserve">Casciotti, K.L., D.M. Sigman, M. Galanter Hastings, J.K. Böhlke and A. Hilkert (2002), A. Measurement of the oxygen isotopic composition of nitrate in seawater and freshwater using the denitrifier method, Anal. Chem., 74, 4905-4912. </w:t>
      </w:r>
    </w:p>
    <w:p w:rsidR="00FE0F82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Casciotti, K.L., Sigman, D.M. &amp; Ward, B.B. (2003)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Linking diversity and stable isotope fractionation in ammonia-oxidizing bacteria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Geomicrobiol. J.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20, 335-353.</w:t>
      </w:r>
    </w:p>
    <w:p w:rsidR="00F65F04" w:rsidRPr="00344F29" w:rsidRDefault="00F65F04" w:rsidP="0055517F">
      <w:pPr>
        <w:spacing w:line="312" w:lineRule="auto"/>
        <w:ind w:left="284" w:hanging="284"/>
        <w:rPr>
          <w:sz w:val="20"/>
          <w:szCs w:val="20"/>
          <w:lang w:val="en-US"/>
        </w:rPr>
      </w:pPr>
      <w:r w:rsidRPr="00344F29">
        <w:rPr>
          <w:sz w:val="20"/>
          <w:szCs w:val="20"/>
          <w:lang w:val="en-US"/>
        </w:rPr>
        <w:t>Casciotti, K.L., J.K. Böhlke, M.R. McIlvin, S.J. Mroczkwski and J.E. Hannon (2007), Oxygen isotopes in nitrite: analysis, calibration, and equilibration. Anal. Chem. 79: 2427-2436, doi:10.1021/ac061598h.</w:t>
      </w:r>
    </w:p>
    <w:p w:rsidR="00FE0F82" w:rsidRPr="00A8599A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Casciotti, K.L., Trull, T.W., Glover, D.M. &amp; Davies, D. (2008)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Constraints on nitrogen cycling at the subtropical North Pacific Station ALOHA from isotopic measurements of nitrate and particulate nitrogen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Deep-Sea Res. II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55, 1661-1672.</w:t>
      </w:r>
    </w:p>
    <w:p w:rsidR="00FE0F82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Casciotti, K.L. (2009)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Inverse kinetic isotope fractionation during bacterial nitrite oxidation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Geochim. Cosmochim. Acta</w:t>
      </w:r>
      <w:r w:rsidR="004C7EF6" w:rsidRPr="00A8599A">
        <w:rPr>
          <w:i/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73, 2061-2076.</w:t>
      </w:r>
    </w:p>
    <w:p w:rsidR="00F65F04" w:rsidRPr="00344F29" w:rsidRDefault="00F65F04" w:rsidP="0055517F">
      <w:pPr>
        <w:spacing w:line="312" w:lineRule="auto"/>
        <w:ind w:left="284" w:hanging="284"/>
        <w:rPr>
          <w:sz w:val="20"/>
          <w:lang w:val="en-US"/>
        </w:rPr>
      </w:pPr>
      <w:r>
        <w:rPr>
          <w:sz w:val="20"/>
          <w:lang w:val="en-US"/>
        </w:rPr>
        <w:t>Casciotti, K.L., M. McIlvin, and C. Buchwald (2010), Oxygen isotopic exchange and fractionation during bacterial ammonia oxidation. Limnol. Oceanogr. 55(2), 753-762.</w:t>
      </w:r>
    </w:p>
    <w:p w:rsidR="005D0242" w:rsidRPr="00A8599A" w:rsidRDefault="005D024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lastRenderedPageBreak/>
        <w:t>Difiore, P. J., Sigman, D. M., Karsh, K.L., Trull, T.W., Dunbar, R.B. &amp; Robinson, R.S. (2010)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Poleward decrease in the isotope effect of nitrate assimilation across the Southern Ocean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Geophys. Res. Lett</w:t>
      </w:r>
      <w:r w:rsidRPr="00A8599A">
        <w:rPr>
          <w:i/>
          <w:sz w:val="20"/>
          <w:lang w:val="en-US"/>
        </w:rPr>
        <w:t>.</w:t>
      </w:r>
      <w:r w:rsidR="004C7EF6" w:rsidRPr="00A8599A">
        <w:rPr>
          <w:sz w:val="20"/>
          <w:lang w:val="en-US"/>
        </w:rPr>
        <w:t xml:space="preserve">, </w:t>
      </w:r>
      <w:r w:rsidRPr="00A8599A">
        <w:rPr>
          <w:sz w:val="20"/>
          <w:lang w:val="en-US"/>
        </w:rPr>
        <w:t>37, L17601, doi:10.1029/2010GL04</w:t>
      </w:r>
      <w:r w:rsidRPr="00A8599A">
        <w:rPr>
          <w:i/>
          <w:sz w:val="20"/>
          <w:lang w:val="en-US"/>
        </w:rPr>
        <w:t>4</w:t>
      </w:r>
      <w:r w:rsidRPr="00A8599A">
        <w:rPr>
          <w:sz w:val="20"/>
          <w:lang w:val="en-US"/>
        </w:rPr>
        <w:t>090.</w:t>
      </w:r>
    </w:p>
    <w:p w:rsidR="00FE0F82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Elskens, M., de Brauwere, A., Beucher, C., Corvaisier, R., Savoye, N., Tréguer, P. &amp; Baeyens, W. (2007)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Statistical process control in assessing production and dissolution rates of biogenic silica in marine environments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Mar. Chem.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106, 272-286.</w:t>
      </w:r>
    </w:p>
    <w:p w:rsidR="00F65F04" w:rsidRDefault="00F65F04" w:rsidP="0055517F">
      <w:pPr>
        <w:spacing w:line="312" w:lineRule="auto"/>
        <w:ind w:left="142" w:hanging="142"/>
        <w:rPr>
          <w:sz w:val="20"/>
          <w:lang w:val="en-US"/>
        </w:rPr>
      </w:pPr>
      <w:r>
        <w:rPr>
          <w:sz w:val="20"/>
          <w:lang w:val="en-US"/>
        </w:rPr>
        <w:t>Fawcett, S.E., B.B. Ward, M.W. Lomas, and D.M. Sigman (2015), Vertical decoupling of nitrate assimilation and nitrification in the Sargasso Sea, Deep-Sea Res. I 103, 64-72.</w:t>
      </w:r>
    </w:p>
    <w:p w:rsidR="00F65F04" w:rsidRPr="00344F29" w:rsidRDefault="00F65F04" w:rsidP="0055517F">
      <w:pPr>
        <w:spacing w:line="312" w:lineRule="auto"/>
        <w:ind w:left="284" w:hanging="284"/>
        <w:rPr>
          <w:sz w:val="20"/>
          <w:lang w:val="en-US"/>
        </w:rPr>
      </w:pPr>
      <w:r w:rsidRPr="00344F29">
        <w:rPr>
          <w:sz w:val="20"/>
          <w:lang w:val="en-US"/>
        </w:rPr>
        <w:t>Fripiat, F., D.M. Sigman, G. Massé. and J.-L. Tison (2015), High turnover rates indicated by changes in the fixed N forms and their stable isotopes in Antarctic landfast sea ice, J. Geophys. Res. Oceans 120, doi:10.1002/2014JC010583.</w:t>
      </w:r>
    </w:p>
    <w:p w:rsidR="00F8281F" w:rsidRPr="00A8599A" w:rsidRDefault="00F8281F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 xml:space="preserve">Granger, J., Sigman, D.M., Needoba, J.A. &amp; Harrison, P.J. </w:t>
      </w:r>
      <w:r w:rsidR="005D0242" w:rsidRPr="00A8599A">
        <w:rPr>
          <w:sz w:val="20"/>
          <w:lang w:val="en-US"/>
        </w:rPr>
        <w:t>(2004)</w:t>
      </w:r>
      <w:r w:rsidR="004C7EF6" w:rsidRPr="00A8599A">
        <w:rPr>
          <w:sz w:val="20"/>
          <w:lang w:val="en-US"/>
        </w:rPr>
        <w:t>,</w:t>
      </w:r>
      <w:r w:rsidR="005D0242" w:rsidRPr="00A8599A">
        <w:rPr>
          <w:sz w:val="20"/>
          <w:lang w:val="en-US"/>
        </w:rPr>
        <w:t xml:space="preserve"> </w:t>
      </w:r>
      <w:r w:rsidRPr="00A8599A">
        <w:rPr>
          <w:sz w:val="20"/>
          <w:lang w:val="en-US"/>
        </w:rPr>
        <w:t>Coupled nitrogen and oxygen isotope fractionation of nitrate during assimilation by cultures of marine phytoplankton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Limnol. Oceanogr</w:t>
      </w:r>
      <w:r w:rsidR="005D0242" w:rsidRPr="00A8599A">
        <w:rPr>
          <w:sz w:val="20"/>
          <w:lang w:val="en-US"/>
        </w:rPr>
        <w:t>.</w:t>
      </w:r>
      <w:r w:rsidR="004C7EF6" w:rsidRPr="00A8599A">
        <w:rPr>
          <w:sz w:val="20"/>
          <w:lang w:val="en-US"/>
        </w:rPr>
        <w:t>,</w:t>
      </w:r>
      <w:r w:rsidR="005D0242" w:rsidRPr="00A8599A">
        <w:rPr>
          <w:sz w:val="20"/>
          <w:lang w:val="en-US"/>
        </w:rPr>
        <w:t xml:space="preserve"> 49(5), 1763-1773</w:t>
      </w:r>
      <w:r w:rsidRPr="00A8599A">
        <w:rPr>
          <w:sz w:val="20"/>
          <w:lang w:val="en-US"/>
        </w:rPr>
        <w:t>.</w:t>
      </w:r>
    </w:p>
    <w:p w:rsidR="00FE0F82" w:rsidRPr="00A8599A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Hoch, M.P., Fogel, M.L. &amp; Kirchman, D.L. (1992)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Isotope fractionation associated with ammonium uptake by a marine bacterium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Limnol. Oceanogr.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37(7), 1447-1459.</w:t>
      </w:r>
    </w:p>
    <w:p w:rsidR="004C7EF6" w:rsidRPr="00A8599A" w:rsidRDefault="004C7EF6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Karsh, K.L., J. Granger, K. Kritee and D.M. Sigman (2012), Eukaryotic Assimilatory nitrate reductase fractionates N and O isotopes with a ratio near unity. Environ. Sci. Technol. 46, 5727-5735.</w:t>
      </w:r>
    </w:p>
    <w:p w:rsidR="00FE0F82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Möbius, J. (2013)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Isotope fractionation during nitrogen remineralization (ammonification): implications for nitrogen isotope biogeochemistry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Geochim. Cosmochim. Acta</w:t>
      </w:r>
      <w:r w:rsidR="004C7EF6" w:rsidRPr="00A8599A">
        <w:rPr>
          <w:i/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105, 422-432.</w:t>
      </w:r>
    </w:p>
    <w:p w:rsidR="006F4A51" w:rsidRPr="009C3BD5" w:rsidRDefault="006F4A51" w:rsidP="0055517F">
      <w:pPr>
        <w:spacing w:line="312" w:lineRule="auto"/>
        <w:ind w:left="142" w:hanging="142"/>
        <w:rPr>
          <w:color w:val="000000" w:themeColor="text1"/>
          <w:sz w:val="20"/>
          <w:vertAlign w:val="superscript"/>
          <w:lang w:val="en-US"/>
        </w:rPr>
      </w:pPr>
      <w:r w:rsidRPr="009C3BD5">
        <w:rPr>
          <w:color w:val="000000" w:themeColor="text1"/>
          <w:sz w:val="20"/>
          <w:lang w:val="en-US"/>
        </w:rPr>
        <w:t>Mosseri, J., B. Quéguiner, L. Armand, and V. Cornet-Barthaux (2008), Impact of iron on silicon utilization by diatoms in the Southern Ocean: A case study of Si/N cycle decoupling in a naturally iron-enriched area, Deep-Sea Res. II 55, 801-819.</w:t>
      </w:r>
    </w:p>
    <w:p w:rsidR="00FE0F82" w:rsidRPr="00A8599A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9C3BD5">
        <w:rPr>
          <w:color w:val="000000" w:themeColor="text1"/>
          <w:sz w:val="20"/>
          <w:lang w:val="en-US"/>
        </w:rPr>
        <w:t>Pennock, J.R., Velinsky, D.J.,</w:t>
      </w:r>
      <w:r w:rsidRPr="00A8599A">
        <w:rPr>
          <w:sz w:val="20"/>
          <w:lang w:val="en-US"/>
        </w:rPr>
        <w:t xml:space="preserve"> Ludlam, J.M., Sharp, J.H. &amp; Fogel, M.L. (1996)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Isotopic fractionation of ammonium and nitrate during uptake by Skeletonema costatum: Implications for δ</w:t>
      </w:r>
      <w:r w:rsidRPr="00A8599A">
        <w:rPr>
          <w:sz w:val="20"/>
          <w:vertAlign w:val="superscript"/>
          <w:lang w:val="en-US"/>
        </w:rPr>
        <w:t>15</w:t>
      </w:r>
      <w:r w:rsidRPr="00A8599A">
        <w:rPr>
          <w:sz w:val="20"/>
          <w:lang w:val="en-US"/>
        </w:rPr>
        <w:t>N dynamic under bloom conditions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Limnol. Oceanogr.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41(3), 451-459.</w:t>
      </w:r>
    </w:p>
    <w:p w:rsidR="00FE0F82" w:rsidRPr="00A8599A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Rafter, P.A., DiFiore, P.J. &amp; Sigman, D.M. (2013)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Coupled nitrate nitrogen and oxygen isotopes and organic matter remineralization in the Southern and Pacific Oceans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J. Geophys. Res</w:t>
      </w:r>
      <w:r w:rsidRPr="00A8599A">
        <w:rPr>
          <w:i/>
          <w:sz w:val="20"/>
          <w:lang w:val="en-US"/>
        </w:rPr>
        <w:t>.</w:t>
      </w:r>
      <w:r w:rsidR="004C7EF6" w:rsidRPr="00A8599A">
        <w:rPr>
          <w:i/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118, 1-14, doi:1002/jgrc.20316.</w:t>
      </w:r>
    </w:p>
    <w:p w:rsidR="00FE0F82" w:rsidRPr="00A8599A" w:rsidRDefault="00FE0F82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Santoro, A.E. &amp; Casciotti, K.L. (2011)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Enrichment and characterization of ammonia oxidizing archaea from the open ocean: phylogeny, physiology and stable isotope fractionation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The ISME journal</w:t>
      </w:r>
      <w:r w:rsidR="004C7EF6" w:rsidRPr="00A8599A">
        <w:rPr>
          <w:i/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5, 1796-1808.</w:t>
      </w:r>
    </w:p>
    <w:p w:rsidR="00F8281F" w:rsidRDefault="00F8281F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</w:rPr>
        <w:t xml:space="preserve">Sigman, D.M., DiFiore, P.J., Hain, M.P., Deutsch, C., Wang, Y. et al. </w:t>
      </w:r>
      <w:r w:rsidR="005D0242" w:rsidRPr="00A8599A">
        <w:rPr>
          <w:sz w:val="20"/>
        </w:rPr>
        <w:t xml:space="preserve"> </w:t>
      </w:r>
      <w:r w:rsidR="005D0242" w:rsidRPr="00A8599A">
        <w:rPr>
          <w:sz w:val="20"/>
          <w:lang w:val="en-US"/>
        </w:rPr>
        <w:t>(2009)</w:t>
      </w:r>
      <w:r w:rsidR="004C7EF6" w:rsidRPr="00A8599A">
        <w:rPr>
          <w:sz w:val="20"/>
          <w:lang w:val="en-US"/>
        </w:rPr>
        <w:t>,</w:t>
      </w:r>
      <w:r w:rsidR="005D0242" w:rsidRPr="00A8599A">
        <w:rPr>
          <w:sz w:val="20"/>
          <w:lang w:val="en-US"/>
        </w:rPr>
        <w:t xml:space="preserve"> </w:t>
      </w:r>
      <w:r w:rsidRPr="00A8599A">
        <w:rPr>
          <w:sz w:val="20"/>
          <w:lang w:val="en-US"/>
        </w:rPr>
        <w:t>The dual isotopes of deep nitrate as a constraint on the cycle and budget of oceanic fixed nitrogen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Deep</w:t>
      </w:r>
      <w:r w:rsidR="005D0242" w:rsidRPr="00A8599A">
        <w:rPr>
          <w:sz w:val="20"/>
          <w:lang w:val="en-US"/>
        </w:rPr>
        <w:t>-Sea Res. I</w:t>
      </w:r>
      <w:r w:rsidR="004C7EF6" w:rsidRPr="00A8599A">
        <w:rPr>
          <w:sz w:val="20"/>
          <w:lang w:val="en-US"/>
        </w:rPr>
        <w:t>,</w:t>
      </w:r>
      <w:r w:rsidR="005D0242" w:rsidRPr="00A8599A">
        <w:rPr>
          <w:sz w:val="20"/>
          <w:lang w:val="en-US"/>
        </w:rPr>
        <w:t xml:space="preserve"> 56, 1419-1439</w:t>
      </w:r>
      <w:r w:rsidRPr="00A8599A">
        <w:rPr>
          <w:sz w:val="20"/>
          <w:lang w:val="en-US"/>
        </w:rPr>
        <w:t>.</w:t>
      </w:r>
    </w:p>
    <w:p w:rsidR="00F65F04" w:rsidRPr="00344F29" w:rsidRDefault="00F65F04" w:rsidP="0055517F">
      <w:pPr>
        <w:spacing w:line="312" w:lineRule="auto"/>
        <w:ind w:left="284" w:hanging="284"/>
        <w:rPr>
          <w:sz w:val="20"/>
          <w:lang w:val="en-US"/>
        </w:rPr>
      </w:pPr>
      <w:r w:rsidRPr="00344F29">
        <w:rPr>
          <w:sz w:val="20"/>
          <w:lang w:val="en-US"/>
        </w:rPr>
        <w:t>Smart, S.M., S.E. Fawcett, S.J. Thomalla, M.A. Weigand, C.J.C. Reason, and D.M. Sigman (2015), Isotopic evidence for nitrification in the Antarctic winter mixed layer, Global Biogeochem. Cycles 29, doi:10.1002/2014GB005013.</w:t>
      </w:r>
    </w:p>
    <w:p w:rsidR="00BC6749" w:rsidRPr="00A8599A" w:rsidRDefault="00F8281F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>Vo, J., Inwood, W., Hayes, J.M. &amp; Kustu, S.</w:t>
      </w:r>
      <w:r w:rsidR="005D0242" w:rsidRPr="00A8599A">
        <w:rPr>
          <w:sz w:val="20"/>
          <w:lang w:val="en-US"/>
        </w:rPr>
        <w:t xml:space="preserve"> (2013)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Mechanism for nitrogen isotope fractionation during ammonium assimilation by Escherichia coli K12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Proc. Natl. Acad. Sci.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110(21), 8</w:t>
      </w:r>
      <w:r w:rsidR="005D0242" w:rsidRPr="00A8599A">
        <w:rPr>
          <w:sz w:val="20"/>
          <w:lang w:val="en-US"/>
        </w:rPr>
        <w:t>696-8701</w:t>
      </w:r>
      <w:r w:rsidR="005A3E55" w:rsidRPr="00A8599A">
        <w:rPr>
          <w:sz w:val="20"/>
          <w:lang w:val="en-US"/>
        </w:rPr>
        <w:t>.</w:t>
      </w:r>
    </w:p>
    <w:p w:rsidR="00271978" w:rsidRDefault="005A3E55" w:rsidP="0055517F">
      <w:pPr>
        <w:spacing w:line="312" w:lineRule="auto"/>
        <w:ind w:left="142" w:hanging="142"/>
        <w:rPr>
          <w:sz w:val="20"/>
          <w:lang w:val="en-US"/>
        </w:rPr>
      </w:pPr>
      <w:r w:rsidRPr="00A8599A">
        <w:rPr>
          <w:sz w:val="20"/>
          <w:lang w:val="en-US"/>
        </w:rPr>
        <w:t xml:space="preserve">Waser, N.A.D., Harrison, P.J., Nielsen, B., Calvert, S.E. &amp; Turpin, D.H. </w:t>
      </w:r>
      <w:r w:rsidR="005D0242" w:rsidRPr="00A8599A">
        <w:rPr>
          <w:sz w:val="20"/>
          <w:lang w:val="en-US"/>
        </w:rPr>
        <w:t>(1998)</w:t>
      </w:r>
      <w:r w:rsidR="004C7EF6" w:rsidRPr="00A8599A">
        <w:rPr>
          <w:sz w:val="20"/>
          <w:lang w:val="en-US"/>
        </w:rPr>
        <w:t>,</w:t>
      </w:r>
      <w:r w:rsidR="005D0242" w:rsidRPr="00A8599A">
        <w:rPr>
          <w:sz w:val="20"/>
          <w:lang w:val="en-US"/>
        </w:rPr>
        <w:t xml:space="preserve"> </w:t>
      </w:r>
      <w:r w:rsidRPr="00A8599A">
        <w:rPr>
          <w:sz w:val="20"/>
          <w:lang w:val="en-US"/>
        </w:rPr>
        <w:t>Nitrogen isotope fractionation during the uptake and assimilation of nitrate, nitrite, ammonium, and urea by marine diatom.</w:t>
      </w:r>
      <w:r w:rsidR="004C7EF6" w:rsidRPr="00A8599A">
        <w:rPr>
          <w:sz w:val="20"/>
          <w:lang w:val="en-US"/>
        </w:rPr>
        <w:t>,</w:t>
      </w:r>
      <w:r w:rsidRPr="00A8599A">
        <w:rPr>
          <w:sz w:val="20"/>
          <w:lang w:val="en-US"/>
        </w:rPr>
        <w:t xml:space="preserve"> Limnol. Oceanogr</w:t>
      </w:r>
      <w:r w:rsidR="005D0242" w:rsidRPr="00A8599A">
        <w:rPr>
          <w:sz w:val="20"/>
          <w:lang w:val="en-US"/>
        </w:rPr>
        <w:t>.</w:t>
      </w:r>
      <w:r w:rsidR="004C7EF6" w:rsidRPr="00A8599A">
        <w:rPr>
          <w:sz w:val="20"/>
          <w:lang w:val="en-US"/>
        </w:rPr>
        <w:t>,</w:t>
      </w:r>
      <w:r w:rsidR="005D0242" w:rsidRPr="00A8599A">
        <w:rPr>
          <w:sz w:val="20"/>
          <w:lang w:val="en-US"/>
        </w:rPr>
        <w:t xml:space="preserve"> 43(2), 215-224</w:t>
      </w:r>
      <w:r w:rsidRPr="00A8599A">
        <w:rPr>
          <w:sz w:val="20"/>
          <w:lang w:val="en-US"/>
        </w:rPr>
        <w:t>.</w:t>
      </w:r>
    </w:p>
    <w:p w:rsidR="00271978" w:rsidRDefault="00271978">
      <w:pPr>
        <w:spacing w:line="276" w:lineRule="auto"/>
        <w:ind w:firstLine="0"/>
        <w:contextualSpacing w:val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271978" w:rsidRDefault="00271978" w:rsidP="005A58A1">
      <w:pPr>
        <w:ind w:left="142" w:hanging="142"/>
        <w:rPr>
          <w:lang w:val="en-US"/>
        </w:rPr>
      </w:pPr>
      <w:r w:rsidRPr="00271978">
        <w:rPr>
          <w:noProof/>
          <w:lang w:eastAsia="nl-BE"/>
        </w:rPr>
        <w:lastRenderedPageBreak/>
        <w:drawing>
          <wp:inline distT="0" distB="0" distL="0" distR="0" wp14:anchorId="741814D1" wp14:editId="5AE386EB">
            <wp:extent cx="5048747" cy="4132053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2" b="9993"/>
                    <a:stretch/>
                  </pic:blipFill>
                  <pic:spPr bwMode="auto">
                    <a:xfrm>
                      <a:off x="0" y="0"/>
                      <a:ext cx="5048747" cy="413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70F1E" w:rsidRPr="00FE0F82" w:rsidRDefault="00271978" w:rsidP="0055517F">
      <w:pPr>
        <w:spacing w:line="312" w:lineRule="auto"/>
        <w:rPr>
          <w:lang w:val="en-US"/>
        </w:rPr>
      </w:pPr>
      <w:r>
        <w:rPr>
          <w:lang w:val="en-US"/>
        </w:rPr>
        <w:t xml:space="preserve">Figure S1: </w:t>
      </w:r>
      <w:r w:rsidRPr="00344F29">
        <w:rPr>
          <w:lang w:val="en-US"/>
        </w:rPr>
        <w:t>Observed vertical distributions of concentrations and isotopic compositions</w:t>
      </w:r>
      <w:r>
        <w:rPr>
          <w:lang w:val="en-US"/>
        </w:rPr>
        <w:t xml:space="preserve"> for the first profile (A3-1; 20</w:t>
      </w:r>
      <w:r w:rsidRPr="00FD5F99">
        <w:rPr>
          <w:vertAlign w:val="superscript"/>
          <w:lang w:val="en-US"/>
        </w:rPr>
        <w:t>th</w:t>
      </w:r>
      <w:r>
        <w:rPr>
          <w:lang w:val="en-US"/>
        </w:rPr>
        <w:t xml:space="preserve"> October)</w:t>
      </w:r>
      <w:r w:rsidRPr="00344F29">
        <w:rPr>
          <w:lang w:val="en-US"/>
        </w:rPr>
        <w:t xml:space="preserve">. </w:t>
      </w:r>
      <w:r>
        <w:rPr>
          <w:lang w:val="en-US"/>
        </w:rPr>
        <w:t>P</w:t>
      </w:r>
      <w:r w:rsidRPr="00344F29">
        <w:rPr>
          <w:lang w:val="en-US"/>
        </w:rPr>
        <w:t xml:space="preserve">rofiles of </w:t>
      </w:r>
      <w:r>
        <w:rPr>
          <w:lang w:val="en-US"/>
        </w:rPr>
        <w:t>NO</w:t>
      </w:r>
      <w:r w:rsidRPr="00FD5F99">
        <w:rPr>
          <w:vertAlign w:val="subscript"/>
          <w:lang w:val="en-US"/>
        </w:rPr>
        <w:t>2</w:t>
      </w:r>
      <w:r w:rsidRPr="00FD5F99">
        <w:rPr>
          <w:vertAlign w:val="superscript"/>
          <w:lang w:val="en-US"/>
        </w:rPr>
        <w:t>-</w:t>
      </w:r>
      <w:r>
        <w:rPr>
          <w:lang w:val="en-US"/>
        </w:rPr>
        <w:t xml:space="preserve"> concentration (black circles), </w:t>
      </w:r>
      <w:r w:rsidRPr="00344F29">
        <w:rPr>
          <w:lang w:val="en-US"/>
        </w:rPr>
        <w:t>NO</w:t>
      </w:r>
      <w:r w:rsidRPr="00344F29">
        <w:rPr>
          <w:vertAlign w:val="subscript"/>
          <w:lang w:val="en-US"/>
        </w:rPr>
        <w:t>3</w:t>
      </w:r>
      <w:r w:rsidRPr="00344F29">
        <w:rPr>
          <w:vertAlign w:val="superscript"/>
          <w:lang w:val="en-US"/>
        </w:rPr>
        <w:t>-</w:t>
      </w:r>
      <w:r>
        <w:rPr>
          <w:lang w:val="en-US"/>
        </w:rPr>
        <w:t>+</w:t>
      </w:r>
      <w:r w:rsidRPr="00271978">
        <w:rPr>
          <w:lang w:val="en-US"/>
        </w:rPr>
        <w:t xml:space="preserve"> </w:t>
      </w:r>
      <w:r w:rsidRPr="00344F29">
        <w:rPr>
          <w:lang w:val="en-US"/>
        </w:rPr>
        <w:t>NO</w:t>
      </w:r>
      <w:r>
        <w:rPr>
          <w:vertAlign w:val="subscript"/>
          <w:lang w:val="en-US"/>
        </w:rPr>
        <w:t>2</w:t>
      </w:r>
      <w:r w:rsidRPr="00344F29">
        <w:rPr>
          <w:vertAlign w:val="superscript"/>
          <w:lang w:val="en-US"/>
        </w:rPr>
        <w:t>-</w:t>
      </w:r>
      <w:r w:rsidRPr="00344F29">
        <w:rPr>
          <w:lang w:val="en-US"/>
        </w:rPr>
        <w:t xml:space="preserve"> δ</w:t>
      </w:r>
      <w:r w:rsidRPr="00344F29">
        <w:rPr>
          <w:vertAlign w:val="superscript"/>
          <w:lang w:val="en-US"/>
        </w:rPr>
        <w:t>15</w:t>
      </w:r>
      <w:r w:rsidRPr="00344F29">
        <w:rPr>
          <w:lang w:val="en-US"/>
        </w:rPr>
        <w:t>N (green circles), NO</w:t>
      </w:r>
      <w:r w:rsidRPr="00344F29">
        <w:rPr>
          <w:vertAlign w:val="subscript"/>
          <w:lang w:val="en-US"/>
        </w:rPr>
        <w:t>3</w:t>
      </w:r>
      <w:r w:rsidRPr="00344F29">
        <w:rPr>
          <w:vertAlign w:val="superscript"/>
          <w:lang w:val="en-US"/>
        </w:rPr>
        <w:t>-</w:t>
      </w:r>
      <w:r>
        <w:rPr>
          <w:lang w:val="en-US"/>
        </w:rPr>
        <w:t>+</w:t>
      </w:r>
      <w:r w:rsidRPr="00271978">
        <w:rPr>
          <w:lang w:val="en-US"/>
        </w:rPr>
        <w:t xml:space="preserve"> </w:t>
      </w:r>
      <w:r w:rsidRPr="00344F29">
        <w:rPr>
          <w:lang w:val="en-US"/>
        </w:rPr>
        <w:t>NO</w:t>
      </w:r>
      <w:r>
        <w:rPr>
          <w:vertAlign w:val="subscript"/>
          <w:lang w:val="en-US"/>
        </w:rPr>
        <w:t>2</w:t>
      </w:r>
      <w:r w:rsidRPr="00344F29">
        <w:rPr>
          <w:vertAlign w:val="superscript"/>
          <w:lang w:val="en-US"/>
        </w:rPr>
        <w:t>-</w:t>
      </w:r>
      <w:r w:rsidRPr="00344F29">
        <w:rPr>
          <w:lang w:val="en-US"/>
        </w:rPr>
        <w:t xml:space="preserve"> δ</w:t>
      </w:r>
      <w:r w:rsidRPr="00344F29">
        <w:rPr>
          <w:vertAlign w:val="superscript"/>
          <w:lang w:val="en-US"/>
        </w:rPr>
        <w:t>18</w:t>
      </w:r>
      <w:r w:rsidRPr="00344F29">
        <w:rPr>
          <w:lang w:val="en-US"/>
        </w:rPr>
        <w:t>O (purple triangles), and Δ(15-18) (green squares)</w:t>
      </w:r>
      <w:r>
        <w:rPr>
          <w:lang w:val="en-US"/>
        </w:rPr>
        <w:t>.</w:t>
      </w:r>
      <w:r w:rsidRPr="00344F29">
        <w:rPr>
          <w:lang w:val="en-US"/>
        </w:rPr>
        <w:t xml:space="preserve"> Error bars = 1 sd for the replicates. </w:t>
      </w:r>
      <w:r w:rsidR="00B70F1E" w:rsidRPr="005D0242">
        <w:rPr>
          <w:lang w:val="en-US"/>
        </w:rPr>
        <w:br w:type="page"/>
      </w:r>
    </w:p>
    <w:p w:rsidR="00B703EC" w:rsidRDefault="00A8599A" w:rsidP="003E6CD5">
      <w:pPr>
        <w:rPr>
          <w:lang w:val="en-US"/>
        </w:rPr>
      </w:pPr>
      <w:r w:rsidRPr="00A8599A">
        <w:rPr>
          <w:noProof/>
          <w:lang w:eastAsia="nl-BE"/>
        </w:rPr>
        <w:lastRenderedPageBreak/>
        <w:drawing>
          <wp:inline distT="0" distB="0" distL="0" distR="0" wp14:anchorId="65BBBBE9" wp14:editId="6E24D1FA">
            <wp:extent cx="5760720" cy="4196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1E" w:rsidRDefault="00B70F1E" w:rsidP="0055517F">
      <w:pPr>
        <w:spacing w:line="312" w:lineRule="auto"/>
        <w:rPr>
          <w:lang w:val="en-US"/>
        </w:rPr>
      </w:pPr>
      <w:r>
        <w:rPr>
          <w:lang w:val="en-US"/>
        </w:rPr>
        <w:t xml:space="preserve">Figure </w:t>
      </w:r>
      <w:r w:rsidR="00271978">
        <w:rPr>
          <w:lang w:val="en-US"/>
        </w:rPr>
        <w:t>S2</w:t>
      </w:r>
      <w:r>
        <w:rPr>
          <w:lang w:val="en-US"/>
        </w:rPr>
        <w:t xml:space="preserve">: Conceptual scheme of the vertical 1-dimensional </w:t>
      </w:r>
      <w:r w:rsidR="00E27281">
        <w:rPr>
          <w:lang w:val="en-US"/>
        </w:rPr>
        <w:t xml:space="preserve">multi-layer </w:t>
      </w:r>
      <w:r w:rsidR="00A97DFF">
        <w:rPr>
          <w:lang w:val="en-US"/>
        </w:rPr>
        <w:t>box</w:t>
      </w:r>
      <w:r>
        <w:rPr>
          <w:lang w:val="en-US"/>
        </w:rPr>
        <w:t xml:space="preserve"> model (0-250m, 50 layers of 5m deep).</w:t>
      </w:r>
      <w:r w:rsidR="006506F1">
        <w:rPr>
          <w:color w:val="FF0000"/>
          <w:lang w:val="en-US"/>
        </w:rPr>
        <w:t xml:space="preserve"> </w:t>
      </w:r>
      <w:r>
        <w:rPr>
          <w:lang w:val="en-US"/>
        </w:rPr>
        <w:br w:type="page"/>
      </w:r>
    </w:p>
    <w:p w:rsidR="00B70F1E" w:rsidRDefault="00A8599A" w:rsidP="00B70F1E">
      <w:pPr>
        <w:rPr>
          <w:lang w:val="en-US"/>
        </w:rPr>
      </w:pPr>
      <w:r w:rsidRPr="00A8599A">
        <w:rPr>
          <w:noProof/>
          <w:lang w:eastAsia="nl-BE"/>
        </w:rPr>
        <w:lastRenderedPageBreak/>
        <w:drawing>
          <wp:inline distT="0" distB="0" distL="0" distR="0" wp14:anchorId="15985916" wp14:editId="109E5ED0">
            <wp:extent cx="4724400" cy="629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B5" w:rsidRDefault="00B70F1E" w:rsidP="0055517F">
      <w:pPr>
        <w:spacing w:line="312" w:lineRule="auto"/>
        <w:contextualSpacing w:val="0"/>
        <w:rPr>
          <w:lang w:val="en-US"/>
        </w:rPr>
      </w:pPr>
      <w:r>
        <w:rPr>
          <w:lang w:val="en-US"/>
        </w:rPr>
        <w:t xml:space="preserve">Figure </w:t>
      </w:r>
      <w:r w:rsidR="00271978">
        <w:rPr>
          <w:lang w:val="en-US"/>
        </w:rPr>
        <w:t>S3</w:t>
      </w:r>
      <w:r>
        <w:rPr>
          <w:lang w:val="en-US"/>
        </w:rPr>
        <w:t xml:space="preserve">: </w:t>
      </w:r>
      <w:r w:rsidR="000119B7">
        <w:rPr>
          <w:lang w:val="en-US"/>
        </w:rPr>
        <w:t>Standardized residuals in function of nitrification/</w:t>
      </w:r>
      <w:r w:rsidR="00457B23">
        <w:rPr>
          <w:lang w:val="en-US"/>
        </w:rPr>
        <w:t>nitrate</w:t>
      </w:r>
      <w:r w:rsidR="000119B7">
        <w:rPr>
          <w:lang w:val="en-US"/>
        </w:rPr>
        <w:t xml:space="preserve"> assimilation (</w:t>
      </w:r>
      <w:r w:rsidR="00954E4F">
        <w:rPr>
          <w:lang w:val="en-US"/>
        </w:rPr>
        <w:t>panel a</w:t>
      </w:r>
      <w:r w:rsidR="000119B7">
        <w:rPr>
          <w:lang w:val="en-US"/>
        </w:rPr>
        <w:t xml:space="preserve">) and </w:t>
      </w:r>
      <w:r w:rsidR="00457B23">
        <w:rPr>
          <w:lang w:val="en-US"/>
        </w:rPr>
        <w:t>ammonium</w:t>
      </w:r>
      <w:r w:rsidR="000119B7">
        <w:rPr>
          <w:lang w:val="en-US"/>
        </w:rPr>
        <w:t xml:space="preserve"> assimilation/</w:t>
      </w:r>
      <w:r w:rsidR="0043701F">
        <w:rPr>
          <w:lang w:val="en-US"/>
        </w:rPr>
        <w:t>remineralization</w:t>
      </w:r>
      <w:r w:rsidR="00CD640E">
        <w:rPr>
          <w:lang w:val="en-US"/>
        </w:rPr>
        <w:t xml:space="preserve"> (panel</w:t>
      </w:r>
      <w:r w:rsidR="00954E4F">
        <w:rPr>
          <w:lang w:val="en-US"/>
        </w:rPr>
        <w:t xml:space="preserve"> b</w:t>
      </w:r>
      <w:r w:rsidR="00CD640E">
        <w:rPr>
          <w:lang w:val="en-US"/>
        </w:rPr>
        <w:t>)</w:t>
      </w:r>
      <w:r w:rsidR="000119B7">
        <w:rPr>
          <w:lang w:val="en-US"/>
        </w:rPr>
        <w:t xml:space="preserve"> ratio</w:t>
      </w:r>
      <w:r w:rsidR="00CD640E">
        <w:rPr>
          <w:lang w:val="en-US"/>
        </w:rPr>
        <w:t>s</w:t>
      </w:r>
      <w:r w:rsidR="000119B7">
        <w:rPr>
          <w:lang w:val="en-US"/>
        </w:rPr>
        <w:t>, for a typical optimization scheme</w:t>
      </w:r>
      <w:r w:rsidR="0043701F">
        <w:rPr>
          <w:lang w:val="en-US"/>
        </w:rPr>
        <w:t>, by varying both AmU/R and NiU/</w:t>
      </w:r>
      <w:r w:rsidR="00457B23">
        <w:rPr>
          <w:lang w:val="en-US"/>
        </w:rPr>
        <w:t>AmO</w:t>
      </w:r>
      <w:r w:rsidR="0043701F">
        <w:rPr>
          <w:lang w:val="en-US"/>
        </w:rPr>
        <w:t xml:space="preserve"> ratios,</w:t>
      </w:r>
      <w:r w:rsidR="000119B7">
        <w:rPr>
          <w:lang w:val="en-US"/>
        </w:rPr>
        <w:t xml:space="preserve"> with one configuration</w:t>
      </w:r>
      <w:r w:rsidR="00C9447C">
        <w:rPr>
          <w:lang w:val="en-US"/>
        </w:rPr>
        <w:t xml:space="preserve"> of </w:t>
      </w:r>
      <w:r w:rsidR="000119B7">
        <w:rPr>
          <w:lang w:val="en-US"/>
        </w:rPr>
        <w:t>isotope effect</w:t>
      </w:r>
      <w:r w:rsidR="00457B23">
        <w:rPr>
          <w:lang w:val="en-US"/>
        </w:rPr>
        <w:t>s</w:t>
      </w:r>
      <w:r w:rsidR="000119B7">
        <w:rPr>
          <w:lang w:val="en-US"/>
        </w:rPr>
        <w:t xml:space="preserve"> and prescribed flux rates. </w:t>
      </w:r>
      <w:r w:rsidR="00071837">
        <w:rPr>
          <w:lang w:val="en-US"/>
        </w:rPr>
        <w:t>The l</w:t>
      </w:r>
      <w:r w:rsidR="000119B7">
        <w:rPr>
          <w:lang w:val="en-US"/>
        </w:rPr>
        <w:t xml:space="preserve">ower the standardized residuals, </w:t>
      </w:r>
      <w:r w:rsidR="00071837">
        <w:rPr>
          <w:lang w:val="en-US"/>
        </w:rPr>
        <w:t xml:space="preserve">the </w:t>
      </w:r>
      <w:r w:rsidR="000119B7">
        <w:rPr>
          <w:lang w:val="en-US"/>
        </w:rPr>
        <w:t>better the fit with the observation</w:t>
      </w:r>
      <w:r w:rsidR="00457B23">
        <w:rPr>
          <w:lang w:val="en-US"/>
        </w:rPr>
        <w:t>s</w:t>
      </w:r>
      <w:r w:rsidR="000119B7">
        <w:rPr>
          <w:lang w:val="en-US"/>
        </w:rPr>
        <w:t xml:space="preserve">. </w:t>
      </w:r>
      <w:r w:rsidR="00954E4F">
        <w:rPr>
          <w:lang w:val="en-US"/>
        </w:rPr>
        <w:t>T</w:t>
      </w:r>
      <w:r w:rsidR="0043701F">
        <w:rPr>
          <w:lang w:val="en-US"/>
        </w:rPr>
        <w:t>he gray zone corresponds to the simulations within the error range (2</w:t>
      </w:r>
      <w:r w:rsidR="00BF2E3F">
        <w:rPr>
          <w:lang w:val="en-US"/>
        </w:rPr>
        <w:t xml:space="preserve"> </w:t>
      </w:r>
      <w:r w:rsidR="0043701F">
        <w:rPr>
          <w:lang w:val="en-US"/>
        </w:rPr>
        <w:t>sd)</w:t>
      </w:r>
      <w:r w:rsidR="006506F1">
        <w:rPr>
          <w:lang w:val="en-US"/>
        </w:rPr>
        <w:t xml:space="preserve"> of the observations (KEOPS1). </w:t>
      </w:r>
      <w:r w:rsidR="006971B5">
        <w:rPr>
          <w:lang w:val="en-US"/>
        </w:rPr>
        <w:br w:type="page"/>
      </w:r>
    </w:p>
    <w:p w:rsidR="00093CF3" w:rsidRDefault="003C4F66" w:rsidP="0043701F">
      <w:pPr>
        <w:jc w:val="center"/>
        <w:rPr>
          <w:lang w:val="en-US"/>
        </w:rPr>
      </w:pPr>
      <w:r w:rsidRPr="003C4F66">
        <w:rPr>
          <w:noProof/>
          <w:lang w:eastAsia="nl-BE"/>
        </w:rPr>
        <w:lastRenderedPageBreak/>
        <w:drawing>
          <wp:inline distT="0" distB="0" distL="0" distR="0" wp14:anchorId="26A7FF6C" wp14:editId="15FE8C02">
            <wp:extent cx="5572125" cy="42576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E" w:rsidRDefault="0043701F" w:rsidP="0055517F">
      <w:pPr>
        <w:spacing w:line="312" w:lineRule="auto"/>
        <w:rPr>
          <w:lang w:val="en-US"/>
        </w:rPr>
      </w:pPr>
      <w:r>
        <w:rPr>
          <w:lang w:val="en-US"/>
        </w:rPr>
        <w:t xml:space="preserve">Figure </w:t>
      </w:r>
      <w:r w:rsidR="00271978">
        <w:rPr>
          <w:lang w:val="en-US"/>
        </w:rPr>
        <w:t>S4</w:t>
      </w:r>
      <w:r>
        <w:rPr>
          <w:lang w:val="en-US"/>
        </w:rPr>
        <w:t xml:space="preserve">: Nitrification/Nitrate assimilation (filled black circles) and Ammonium uptake/Remineralisation (empty black circles) ratios given by </w:t>
      </w:r>
      <w:r w:rsidR="00CD640E">
        <w:rPr>
          <w:lang w:val="en-US"/>
        </w:rPr>
        <w:t>every</w:t>
      </w:r>
      <w:r>
        <w:rPr>
          <w:lang w:val="en-US"/>
        </w:rPr>
        <w:t xml:space="preserve"> simulation (n = </w:t>
      </w:r>
      <w:r w:rsidR="00A8599A">
        <w:rPr>
          <w:lang w:val="en-US"/>
        </w:rPr>
        <w:t>147</w:t>
      </w:r>
      <w:r>
        <w:rPr>
          <w:lang w:val="en-US"/>
        </w:rPr>
        <w:t>) with model outputs within the error bars (±</w:t>
      </w:r>
      <w:r w:rsidR="00BF2E3F">
        <w:rPr>
          <w:lang w:val="en-US"/>
        </w:rPr>
        <w:t xml:space="preserve"> </w:t>
      </w:r>
      <w:r>
        <w:rPr>
          <w:lang w:val="en-US"/>
        </w:rPr>
        <w:t>2s</w:t>
      </w:r>
      <w:r w:rsidR="006506F1">
        <w:rPr>
          <w:lang w:val="en-US"/>
        </w:rPr>
        <w:t>d</w:t>
      </w:r>
      <w:r>
        <w:rPr>
          <w:lang w:val="en-US"/>
        </w:rPr>
        <w:t>) of the observations</w:t>
      </w:r>
      <w:r w:rsidR="00CD640E">
        <w:rPr>
          <w:lang w:val="en-US"/>
        </w:rPr>
        <w:t xml:space="preserve"> (KEOPS1)</w:t>
      </w:r>
      <w:r>
        <w:rPr>
          <w:lang w:val="en-US"/>
        </w:rPr>
        <w:t>. The red circle represent the average</w:t>
      </w:r>
      <w:r w:rsidR="00071837">
        <w:rPr>
          <w:lang w:val="en-US"/>
        </w:rPr>
        <w:t>s</w:t>
      </w:r>
      <w:r>
        <w:rPr>
          <w:lang w:val="en-US"/>
        </w:rPr>
        <w:t xml:space="preserve">. </w:t>
      </w:r>
      <w:bookmarkStart w:id="0" w:name="_GoBack"/>
      <w:bookmarkEnd w:id="0"/>
      <w:r w:rsidR="007A0A2E">
        <w:rPr>
          <w:lang w:val="en-US"/>
        </w:rPr>
        <w:br w:type="page"/>
      </w:r>
    </w:p>
    <w:p w:rsidR="00846E38" w:rsidRPr="00DB29E1" w:rsidRDefault="007A0A2E" w:rsidP="00846E38">
      <w:pPr>
        <w:rPr>
          <w:lang w:val="en-US"/>
        </w:rPr>
      </w:pPr>
      <w:r w:rsidRPr="007A0A2E"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614DDDED" wp14:editId="0347A598">
            <wp:simplePos x="0" y="0"/>
            <wp:positionH relativeFrom="column">
              <wp:posOffset>769620</wp:posOffset>
            </wp:positionH>
            <wp:positionV relativeFrom="paragraph">
              <wp:posOffset>-81280</wp:posOffset>
            </wp:positionV>
            <wp:extent cx="4391025" cy="450596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F1E" w:rsidRPr="00DB29E1" w:rsidRDefault="007A0A2E" w:rsidP="0055517F">
      <w:pPr>
        <w:spacing w:line="312" w:lineRule="auto"/>
        <w:rPr>
          <w:lang w:val="en-US"/>
        </w:rPr>
      </w:pPr>
      <w:r>
        <w:rPr>
          <w:lang w:val="en-US"/>
        </w:rPr>
        <w:t xml:space="preserve">Figure </w:t>
      </w:r>
      <w:r w:rsidR="00271978">
        <w:rPr>
          <w:lang w:val="en-US"/>
        </w:rPr>
        <w:t>S5</w:t>
      </w:r>
      <w:r>
        <w:rPr>
          <w:lang w:val="en-US"/>
        </w:rPr>
        <w:t xml:space="preserve">: </w:t>
      </w:r>
      <w:r w:rsidRPr="00124D36">
        <w:rPr>
          <w:lang w:val="en-US"/>
        </w:rPr>
        <w:t>Model sensitivity to the vertical nitrate supply term (from 0 to 1.0 mol m</w:t>
      </w:r>
      <w:r w:rsidRPr="00124D36">
        <w:rPr>
          <w:vertAlign w:val="superscript"/>
          <w:lang w:val="en-US"/>
        </w:rPr>
        <w:t>-2</w:t>
      </w:r>
      <w:r w:rsidRPr="00124D36">
        <w:rPr>
          <w:lang w:val="en-US"/>
        </w:rPr>
        <w:t xml:space="preserve"> vegetative season</w:t>
      </w:r>
      <w:r w:rsidRPr="00124D36">
        <w:rPr>
          <w:vertAlign w:val="superscript"/>
          <w:lang w:val="en-US"/>
        </w:rPr>
        <w:t>-1</w:t>
      </w:r>
      <w:r w:rsidRPr="00124D36">
        <w:rPr>
          <w:lang w:val="en-US"/>
        </w:rPr>
        <w:t xml:space="preserve">). The X-axis is the nitrite oxidation (i.e., nitrification)/Nitrate assimilation ratio and Y-axis is the fit between the model outputs and observations (standard residual = difference between model outputs and observations). The area below the dashed line represents the simulation with the model outputs within 2sd of the observations.  </w:t>
      </w:r>
    </w:p>
    <w:sectPr w:rsidR="00B70F1E" w:rsidRPr="00DB29E1" w:rsidSect="0055517F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D2" w:rsidRDefault="00801DD2" w:rsidP="00DB29E1">
      <w:pPr>
        <w:spacing w:after="0" w:line="240" w:lineRule="auto"/>
      </w:pPr>
      <w:r>
        <w:separator/>
      </w:r>
    </w:p>
  </w:endnote>
  <w:endnote w:type="continuationSeparator" w:id="0">
    <w:p w:rsidR="00801DD2" w:rsidRDefault="00801DD2" w:rsidP="00DB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199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BB9" w:rsidRDefault="002F6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8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E7BB9" w:rsidRDefault="00DE7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D2" w:rsidRDefault="00801DD2" w:rsidP="00DB29E1">
      <w:pPr>
        <w:spacing w:after="0" w:line="240" w:lineRule="auto"/>
      </w:pPr>
      <w:r>
        <w:separator/>
      </w:r>
    </w:p>
  </w:footnote>
  <w:footnote w:type="continuationSeparator" w:id="0">
    <w:p w:rsidR="00801DD2" w:rsidRDefault="00801DD2" w:rsidP="00DB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520"/>
    <w:multiLevelType w:val="hybridMultilevel"/>
    <w:tmpl w:val="408A5602"/>
    <w:lvl w:ilvl="0" w:tplc="4EAC9750">
      <w:start w:val="1"/>
      <w:numFmt w:val="decimal"/>
      <w:lvlText w:val="%1-"/>
      <w:lvlJc w:val="left"/>
      <w:pPr>
        <w:ind w:left="1950" w:hanging="15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27F5"/>
    <w:multiLevelType w:val="hybridMultilevel"/>
    <w:tmpl w:val="13E0DF8E"/>
    <w:lvl w:ilvl="0" w:tplc="7CCAF1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53"/>
    <w:rsid w:val="00007196"/>
    <w:rsid w:val="000119B7"/>
    <w:rsid w:val="000357FB"/>
    <w:rsid w:val="00040993"/>
    <w:rsid w:val="00052124"/>
    <w:rsid w:val="00066F70"/>
    <w:rsid w:val="00071837"/>
    <w:rsid w:val="00093CF3"/>
    <w:rsid w:val="0009611D"/>
    <w:rsid w:val="000A0E2F"/>
    <w:rsid w:val="000A3B53"/>
    <w:rsid w:val="000B5009"/>
    <w:rsid w:val="000B6297"/>
    <w:rsid w:val="000D5318"/>
    <w:rsid w:val="000E61FA"/>
    <w:rsid w:val="000F21D2"/>
    <w:rsid w:val="000F2B27"/>
    <w:rsid w:val="0010062C"/>
    <w:rsid w:val="00101476"/>
    <w:rsid w:val="00114D2D"/>
    <w:rsid w:val="00124D36"/>
    <w:rsid w:val="0012571C"/>
    <w:rsid w:val="001279D0"/>
    <w:rsid w:val="00131802"/>
    <w:rsid w:val="00153DA1"/>
    <w:rsid w:val="00175865"/>
    <w:rsid w:val="00175F1C"/>
    <w:rsid w:val="001812CD"/>
    <w:rsid w:val="001A6308"/>
    <w:rsid w:val="001B7DBC"/>
    <w:rsid w:val="001B7DF9"/>
    <w:rsid w:val="001C0EDE"/>
    <w:rsid w:val="001D6C72"/>
    <w:rsid w:val="001F1971"/>
    <w:rsid w:val="001F332F"/>
    <w:rsid w:val="0021153C"/>
    <w:rsid w:val="00212A1D"/>
    <w:rsid w:val="00243626"/>
    <w:rsid w:val="0025135B"/>
    <w:rsid w:val="0026788A"/>
    <w:rsid w:val="00271978"/>
    <w:rsid w:val="00275414"/>
    <w:rsid w:val="002761C3"/>
    <w:rsid w:val="002A17E2"/>
    <w:rsid w:val="002A63F4"/>
    <w:rsid w:val="002B1B87"/>
    <w:rsid w:val="002B2A06"/>
    <w:rsid w:val="002C183C"/>
    <w:rsid w:val="002C44D1"/>
    <w:rsid w:val="002C5565"/>
    <w:rsid w:val="002D1546"/>
    <w:rsid w:val="002D2C60"/>
    <w:rsid w:val="002F0835"/>
    <w:rsid w:val="002F1DD0"/>
    <w:rsid w:val="002F4562"/>
    <w:rsid w:val="002F6145"/>
    <w:rsid w:val="00300456"/>
    <w:rsid w:val="00306824"/>
    <w:rsid w:val="00311CEE"/>
    <w:rsid w:val="0031210F"/>
    <w:rsid w:val="00316308"/>
    <w:rsid w:val="0031728F"/>
    <w:rsid w:val="00321C90"/>
    <w:rsid w:val="00333DA4"/>
    <w:rsid w:val="00334421"/>
    <w:rsid w:val="003438F5"/>
    <w:rsid w:val="00363104"/>
    <w:rsid w:val="003642BD"/>
    <w:rsid w:val="003648FE"/>
    <w:rsid w:val="003930D7"/>
    <w:rsid w:val="00393DAB"/>
    <w:rsid w:val="00393FB2"/>
    <w:rsid w:val="00396050"/>
    <w:rsid w:val="003A7917"/>
    <w:rsid w:val="003B70BB"/>
    <w:rsid w:val="003B76F1"/>
    <w:rsid w:val="003B7A9B"/>
    <w:rsid w:val="003C4F66"/>
    <w:rsid w:val="003C677F"/>
    <w:rsid w:val="003D640C"/>
    <w:rsid w:val="003E24CF"/>
    <w:rsid w:val="003E5632"/>
    <w:rsid w:val="003E6CD5"/>
    <w:rsid w:val="003F7095"/>
    <w:rsid w:val="003F72E0"/>
    <w:rsid w:val="00403662"/>
    <w:rsid w:val="00405772"/>
    <w:rsid w:val="004075C3"/>
    <w:rsid w:val="00415592"/>
    <w:rsid w:val="004305D6"/>
    <w:rsid w:val="00431C8E"/>
    <w:rsid w:val="0043639F"/>
    <w:rsid w:val="0043701F"/>
    <w:rsid w:val="004557DC"/>
    <w:rsid w:val="00457B23"/>
    <w:rsid w:val="00457EE7"/>
    <w:rsid w:val="00464BC2"/>
    <w:rsid w:val="0046625B"/>
    <w:rsid w:val="00473CBD"/>
    <w:rsid w:val="004773CD"/>
    <w:rsid w:val="00482CFA"/>
    <w:rsid w:val="00493B2D"/>
    <w:rsid w:val="004B53F5"/>
    <w:rsid w:val="004C50E3"/>
    <w:rsid w:val="004C7EF6"/>
    <w:rsid w:val="004D07FD"/>
    <w:rsid w:val="004D6EFB"/>
    <w:rsid w:val="004E2A68"/>
    <w:rsid w:val="004F698E"/>
    <w:rsid w:val="00523299"/>
    <w:rsid w:val="00523B75"/>
    <w:rsid w:val="005369F4"/>
    <w:rsid w:val="00544029"/>
    <w:rsid w:val="0055356A"/>
    <w:rsid w:val="0055517F"/>
    <w:rsid w:val="00565220"/>
    <w:rsid w:val="00570709"/>
    <w:rsid w:val="005762F4"/>
    <w:rsid w:val="00581032"/>
    <w:rsid w:val="00582EF3"/>
    <w:rsid w:val="00584F6A"/>
    <w:rsid w:val="00587C3C"/>
    <w:rsid w:val="0059055B"/>
    <w:rsid w:val="00590A95"/>
    <w:rsid w:val="005A3E55"/>
    <w:rsid w:val="005A499E"/>
    <w:rsid w:val="005A58A1"/>
    <w:rsid w:val="005A6A02"/>
    <w:rsid w:val="005B3BEC"/>
    <w:rsid w:val="005B6096"/>
    <w:rsid w:val="005C3046"/>
    <w:rsid w:val="005C3237"/>
    <w:rsid w:val="005C51E8"/>
    <w:rsid w:val="005D0242"/>
    <w:rsid w:val="005E6354"/>
    <w:rsid w:val="005E723B"/>
    <w:rsid w:val="005F0E5D"/>
    <w:rsid w:val="005F1E02"/>
    <w:rsid w:val="00603A1A"/>
    <w:rsid w:val="006074C0"/>
    <w:rsid w:val="006260CE"/>
    <w:rsid w:val="006262DB"/>
    <w:rsid w:val="00626FE4"/>
    <w:rsid w:val="006273D2"/>
    <w:rsid w:val="00630C3F"/>
    <w:rsid w:val="006477A5"/>
    <w:rsid w:val="006506F1"/>
    <w:rsid w:val="00663507"/>
    <w:rsid w:val="00681E9C"/>
    <w:rsid w:val="0068397B"/>
    <w:rsid w:val="006918A6"/>
    <w:rsid w:val="006971B5"/>
    <w:rsid w:val="006A38B1"/>
    <w:rsid w:val="006A68D9"/>
    <w:rsid w:val="006B2663"/>
    <w:rsid w:val="006B3BA3"/>
    <w:rsid w:val="006E4AED"/>
    <w:rsid w:val="006F209F"/>
    <w:rsid w:val="006F4A51"/>
    <w:rsid w:val="00704E13"/>
    <w:rsid w:val="00704E19"/>
    <w:rsid w:val="007148B3"/>
    <w:rsid w:val="00716B36"/>
    <w:rsid w:val="00721D6A"/>
    <w:rsid w:val="00727678"/>
    <w:rsid w:val="007417C3"/>
    <w:rsid w:val="00745522"/>
    <w:rsid w:val="00745749"/>
    <w:rsid w:val="007549FE"/>
    <w:rsid w:val="0075560D"/>
    <w:rsid w:val="00760B9B"/>
    <w:rsid w:val="007768EB"/>
    <w:rsid w:val="00784F83"/>
    <w:rsid w:val="007909FC"/>
    <w:rsid w:val="0079501F"/>
    <w:rsid w:val="007A0A2E"/>
    <w:rsid w:val="007C5C58"/>
    <w:rsid w:val="007C6B53"/>
    <w:rsid w:val="007E225B"/>
    <w:rsid w:val="00801DD2"/>
    <w:rsid w:val="008078B1"/>
    <w:rsid w:val="008156FD"/>
    <w:rsid w:val="008217BD"/>
    <w:rsid w:val="00825F25"/>
    <w:rsid w:val="00830EDD"/>
    <w:rsid w:val="00846E38"/>
    <w:rsid w:val="00847CB0"/>
    <w:rsid w:val="00873D9C"/>
    <w:rsid w:val="00885E81"/>
    <w:rsid w:val="008A3C03"/>
    <w:rsid w:val="008B49CB"/>
    <w:rsid w:val="008C6603"/>
    <w:rsid w:val="008D3046"/>
    <w:rsid w:val="008E187E"/>
    <w:rsid w:val="00901E90"/>
    <w:rsid w:val="009077EC"/>
    <w:rsid w:val="009120B7"/>
    <w:rsid w:val="00922896"/>
    <w:rsid w:val="0092357C"/>
    <w:rsid w:val="009266BF"/>
    <w:rsid w:val="00954216"/>
    <w:rsid w:val="00954E4F"/>
    <w:rsid w:val="009553BB"/>
    <w:rsid w:val="00964D00"/>
    <w:rsid w:val="00975350"/>
    <w:rsid w:val="00977F24"/>
    <w:rsid w:val="0099475F"/>
    <w:rsid w:val="00996E6B"/>
    <w:rsid w:val="00996E9B"/>
    <w:rsid w:val="009A40D0"/>
    <w:rsid w:val="009C3BD5"/>
    <w:rsid w:val="009E5F59"/>
    <w:rsid w:val="00A04521"/>
    <w:rsid w:val="00A326FC"/>
    <w:rsid w:val="00A34F18"/>
    <w:rsid w:val="00A36FA2"/>
    <w:rsid w:val="00A64187"/>
    <w:rsid w:val="00A71E26"/>
    <w:rsid w:val="00A72B2D"/>
    <w:rsid w:val="00A8599A"/>
    <w:rsid w:val="00A97DFF"/>
    <w:rsid w:val="00A97F5C"/>
    <w:rsid w:val="00AA083E"/>
    <w:rsid w:val="00AB2F59"/>
    <w:rsid w:val="00AB453B"/>
    <w:rsid w:val="00AD1B2A"/>
    <w:rsid w:val="00AE1D60"/>
    <w:rsid w:val="00AF1568"/>
    <w:rsid w:val="00B315FE"/>
    <w:rsid w:val="00B32ACC"/>
    <w:rsid w:val="00B5399E"/>
    <w:rsid w:val="00B55264"/>
    <w:rsid w:val="00B6043F"/>
    <w:rsid w:val="00B703EC"/>
    <w:rsid w:val="00B70DD7"/>
    <w:rsid w:val="00B70F1E"/>
    <w:rsid w:val="00B70F34"/>
    <w:rsid w:val="00B80359"/>
    <w:rsid w:val="00B87D77"/>
    <w:rsid w:val="00B97DAB"/>
    <w:rsid w:val="00BA4842"/>
    <w:rsid w:val="00BB3657"/>
    <w:rsid w:val="00BB3965"/>
    <w:rsid w:val="00BC48D2"/>
    <w:rsid w:val="00BC6749"/>
    <w:rsid w:val="00BF2E3F"/>
    <w:rsid w:val="00BF662B"/>
    <w:rsid w:val="00C02892"/>
    <w:rsid w:val="00C11A2D"/>
    <w:rsid w:val="00C2092A"/>
    <w:rsid w:val="00C25559"/>
    <w:rsid w:val="00C27BD0"/>
    <w:rsid w:val="00C36352"/>
    <w:rsid w:val="00C36A5B"/>
    <w:rsid w:val="00C6175E"/>
    <w:rsid w:val="00C70AD5"/>
    <w:rsid w:val="00C9447C"/>
    <w:rsid w:val="00C94FCB"/>
    <w:rsid w:val="00CA3F63"/>
    <w:rsid w:val="00CD5374"/>
    <w:rsid w:val="00CD640E"/>
    <w:rsid w:val="00CD66B2"/>
    <w:rsid w:val="00CF30F7"/>
    <w:rsid w:val="00D03361"/>
    <w:rsid w:val="00D23ADF"/>
    <w:rsid w:val="00D47C48"/>
    <w:rsid w:val="00D56CC7"/>
    <w:rsid w:val="00D60F40"/>
    <w:rsid w:val="00D62F30"/>
    <w:rsid w:val="00D867F4"/>
    <w:rsid w:val="00DA2EAD"/>
    <w:rsid w:val="00DB1933"/>
    <w:rsid w:val="00DB29E1"/>
    <w:rsid w:val="00DC631B"/>
    <w:rsid w:val="00DE1C45"/>
    <w:rsid w:val="00DE6B0B"/>
    <w:rsid w:val="00DE6BF1"/>
    <w:rsid w:val="00DE7BB9"/>
    <w:rsid w:val="00DF0718"/>
    <w:rsid w:val="00DF1108"/>
    <w:rsid w:val="00DF7F20"/>
    <w:rsid w:val="00E27281"/>
    <w:rsid w:val="00E45A34"/>
    <w:rsid w:val="00E80A92"/>
    <w:rsid w:val="00E90DD4"/>
    <w:rsid w:val="00E94CF2"/>
    <w:rsid w:val="00EA08C1"/>
    <w:rsid w:val="00EA3D04"/>
    <w:rsid w:val="00EC0889"/>
    <w:rsid w:val="00EC587A"/>
    <w:rsid w:val="00EF3A4B"/>
    <w:rsid w:val="00F101E1"/>
    <w:rsid w:val="00F15D8F"/>
    <w:rsid w:val="00F30AAF"/>
    <w:rsid w:val="00F3358B"/>
    <w:rsid w:val="00F43FA3"/>
    <w:rsid w:val="00F5449B"/>
    <w:rsid w:val="00F63EAE"/>
    <w:rsid w:val="00F65F04"/>
    <w:rsid w:val="00F67CD0"/>
    <w:rsid w:val="00F80694"/>
    <w:rsid w:val="00F8281F"/>
    <w:rsid w:val="00F876D2"/>
    <w:rsid w:val="00F9476F"/>
    <w:rsid w:val="00FB5462"/>
    <w:rsid w:val="00FC3E68"/>
    <w:rsid w:val="00FC5490"/>
    <w:rsid w:val="00FC6CB6"/>
    <w:rsid w:val="00FD0E76"/>
    <w:rsid w:val="00FD5F99"/>
    <w:rsid w:val="00FE0F82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9A"/>
    <w:pPr>
      <w:spacing w:line="480" w:lineRule="auto"/>
      <w:ind w:firstLine="227"/>
      <w:contextualSpacing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3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C6B53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C6B5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6B53"/>
    <w:pPr>
      <w:numPr>
        <w:ilvl w:val="1"/>
      </w:numPr>
      <w:ind w:firstLine="227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C6B53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33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C6B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E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B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E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0D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0D0"/>
    <w:rPr>
      <w:rFonts w:ascii="Times New Roman" w:hAnsi="Times New Roman"/>
      <w:b/>
      <w:bCs/>
      <w:sz w:val="20"/>
      <w:szCs w:val="20"/>
    </w:rPr>
  </w:style>
  <w:style w:type="character" w:customStyle="1" w:styleId="pbaffiliations">
    <w:name w:val="pb_affiliations"/>
    <w:basedOn w:val="DefaultParagraphFont"/>
    <w:rsid w:val="001F1971"/>
  </w:style>
  <w:style w:type="character" w:styleId="LineNumber">
    <w:name w:val="line number"/>
    <w:basedOn w:val="DefaultParagraphFont"/>
    <w:uiPriority w:val="99"/>
    <w:semiHidden/>
    <w:unhideWhenUsed/>
    <w:rsid w:val="00300456"/>
  </w:style>
  <w:style w:type="character" w:customStyle="1" w:styleId="hps">
    <w:name w:val="hps"/>
    <w:basedOn w:val="DefaultParagraphFont"/>
    <w:rsid w:val="005A4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9A"/>
    <w:pPr>
      <w:spacing w:line="480" w:lineRule="auto"/>
      <w:ind w:firstLine="227"/>
      <w:contextualSpacing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3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C6B53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C6B5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6B53"/>
    <w:pPr>
      <w:numPr>
        <w:ilvl w:val="1"/>
      </w:numPr>
      <w:ind w:firstLine="227"/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C6B53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33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C6B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E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B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E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0D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0D0"/>
    <w:rPr>
      <w:rFonts w:ascii="Times New Roman" w:hAnsi="Times New Roman"/>
      <w:b/>
      <w:bCs/>
      <w:sz w:val="20"/>
      <w:szCs w:val="20"/>
    </w:rPr>
  </w:style>
  <w:style w:type="character" w:customStyle="1" w:styleId="pbaffiliations">
    <w:name w:val="pb_affiliations"/>
    <w:basedOn w:val="DefaultParagraphFont"/>
    <w:rsid w:val="001F1971"/>
  </w:style>
  <w:style w:type="character" w:styleId="LineNumber">
    <w:name w:val="line number"/>
    <w:basedOn w:val="DefaultParagraphFont"/>
    <w:uiPriority w:val="99"/>
    <w:semiHidden/>
    <w:unhideWhenUsed/>
    <w:rsid w:val="00300456"/>
  </w:style>
  <w:style w:type="character" w:customStyle="1" w:styleId="hps">
    <w:name w:val="hps"/>
    <w:basedOn w:val="DefaultParagraphFont"/>
    <w:rsid w:val="005A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8E15-67F5-4DF4-B7CE-28BAC0DC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3579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Trancois</dc:creator>
  <cp:lastModifiedBy>Trancois</cp:lastModifiedBy>
  <cp:revision>6</cp:revision>
  <cp:lastPrinted>2015-07-23T12:57:00Z</cp:lastPrinted>
  <dcterms:created xsi:type="dcterms:W3CDTF">2015-11-04T11:28:00Z</dcterms:created>
  <dcterms:modified xsi:type="dcterms:W3CDTF">2015-11-05T10:56:00Z</dcterms:modified>
</cp:coreProperties>
</file>