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7044" w:rsidRDefault="00594A38" w:rsidP="00BE7044">
      <w:pPr>
        <w:pStyle w:val="Normal1"/>
        <w:spacing w:after="200"/>
      </w:pPr>
      <w:r>
        <w:t xml:space="preserve">Supplemental </w:t>
      </w:r>
      <w:r w:rsidR="00BE7044">
        <w:t xml:space="preserve">Table 1. Definitions of environmental variables within models.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945"/>
      </w:tblGrid>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Variable</w:t>
            </w:r>
          </w:p>
        </w:tc>
        <w:tc>
          <w:tcPr>
            <w:tcW w:w="6945" w:type="dxa"/>
            <w:tcMar>
              <w:top w:w="100" w:type="dxa"/>
              <w:left w:w="100" w:type="dxa"/>
              <w:bottom w:w="100" w:type="dxa"/>
              <w:right w:w="100" w:type="dxa"/>
            </w:tcMar>
          </w:tcPr>
          <w:p w:rsidR="00BE7044" w:rsidRDefault="00BE7044" w:rsidP="00C8045A">
            <w:pPr>
              <w:pStyle w:val="Normal1"/>
              <w:widowControl w:val="0"/>
            </w:pPr>
            <w:r>
              <w:t>Definition</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ENSO</w:t>
            </w:r>
          </w:p>
        </w:tc>
        <w:tc>
          <w:tcPr>
            <w:tcW w:w="6945" w:type="dxa"/>
            <w:tcMar>
              <w:top w:w="100" w:type="dxa"/>
              <w:left w:w="100" w:type="dxa"/>
              <w:bottom w:w="100" w:type="dxa"/>
              <w:right w:w="100" w:type="dxa"/>
            </w:tcMar>
          </w:tcPr>
          <w:p w:rsidR="00BE7044" w:rsidRDefault="00BE7044" w:rsidP="00C8045A">
            <w:pPr>
              <w:pStyle w:val="Normal1"/>
              <w:widowControl w:val="0"/>
            </w:pPr>
            <w:r>
              <w:t>The El Niño-Southern Oscillation index describes the recurring climate pattern across the tropical Pacific. The cool phases are known as La Niña, and the warm phases El Niño.</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NPGO</w:t>
            </w:r>
          </w:p>
        </w:tc>
        <w:tc>
          <w:tcPr>
            <w:tcW w:w="6945" w:type="dxa"/>
            <w:tcMar>
              <w:top w:w="100" w:type="dxa"/>
              <w:left w:w="100" w:type="dxa"/>
              <w:bottom w:w="100" w:type="dxa"/>
              <w:right w:w="100" w:type="dxa"/>
            </w:tcMar>
          </w:tcPr>
          <w:p w:rsidR="00BE7044" w:rsidRDefault="00BE7044" w:rsidP="00C8045A">
            <w:pPr>
              <w:pStyle w:val="Normal1"/>
              <w:widowControl w:val="0"/>
            </w:pPr>
            <w:r>
              <w:t>The North Pacific Gyre Oscillation is the second leading mode of variability in the North Pacific and is related to biological and chemical properties in the Gulf of Alaska and California Current System.</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NPI</w:t>
            </w:r>
          </w:p>
        </w:tc>
        <w:tc>
          <w:tcPr>
            <w:tcW w:w="6945" w:type="dxa"/>
            <w:tcMar>
              <w:top w:w="100" w:type="dxa"/>
              <w:left w:w="100" w:type="dxa"/>
              <w:bottom w:w="100" w:type="dxa"/>
              <w:right w:w="100" w:type="dxa"/>
            </w:tcMar>
          </w:tcPr>
          <w:p w:rsidR="00BE7044" w:rsidRDefault="00BE7044" w:rsidP="00C8045A">
            <w:pPr>
              <w:pStyle w:val="Normal1"/>
              <w:widowControl w:val="0"/>
            </w:pPr>
            <w:r>
              <w:t xml:space="preserve">The North Pacific Index represents area-weighted sea level pressure </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PDO</w:t>
            </w:r>
          </w:p>
        </w:tc>
        <w:tc>
          <w:tcPr>
            <w:tcW w:w="6945" w:type="dxa"/>
            <w:tcMar>
              <w:top w:w="100" w:type="dxa"/>
              <w:left w:w="100" w:type="dxa"/>
              <w:bottom w:w="100" w:type="dxa"/>
              <w:right w:w="100" w:type="dxa"/>
            </w:tcMar>
          </w:tcPr>
          <w:p w:rsidR="00BE7044" w:rsidRDefault="00BE7044" w:rsidP="00C8045A">
            <w:pPr>
              <w:pStyle w:val="Normal1"/>
            </w:pPr>
            <w:r>
              <w:t>The Pacific Decadal Oscillation is defined as the leading mode of North Pacific monthly sea surface temperature anomaly.</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Transport</w:t>
            </w:r>
          </w:p>
        </w:tc>
        <w:tc>
          <w:tcPr>
            <w:tcW w:w="6945" w:type="dxa"/>
            <w:tcMar>
              <w:top w:w="100" w:type="dxa"/>
              <w:left w:w="100" w:type="dxa"/>
              <w:bottom w:w="100" w:type="dxa"/>
              <w:right w:w="100" w:type="dxa"/>
            </w:tcMar>
          </w:tcPr>
          <w:p w:rsidR="00BE7044" w:rsidRDefault="00BE7044" w:rsidP="00C8045A">
            <w:pPr>
              <w:pStyle w:val="Normal1"/>
              <w:widowControl w:val="0"/>
            </w:pPr>
            <w:r>
              <w:t>Alongshore transport of currents, wave energy and sediments.</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Water Temp</w:t>
            </w:r>
          </w:p>
        </w:tc>
        <w:tc>
          <w:tcPr>
            <w:tcW w:w="6945" w:type="dxa"/>
            <w:tcMar>
              <w:top w:w="100" w:type="dxa"/>
              <w:left w:w="100" w:type="dxa"/>
              <w:bottom w:w="100" w:type="dxa"/>
              <w:right w:w="100" w:type="dxa"/>
            </w:tcMar>
          </w:tcPr>
          <w:p w:rsidR="00BE7044" w:rsidRDefault="00BE7044" w:rsidP="00C8045A">
            <w:pPr>
              <w:pStyle w:val="Normal1"/>
              <w:widowControl w:val="0"/>
            </w:pPr>
            <w:r>
              <w:t>Sea surface temperature.</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Winds</w:t>
            </w:r>
          </w:p>
        </w:tc>
        <w:tc>
          <w:tcPr>
            <w:tcW w:w="6945" w:type="dxa"/>
            <w:tcMar>
              <w:top w:w="100" w:type="dxa"/>
              <w:left w:w="100" w:type="dxa"/>
              <w:bottom w:w="100" w:type="dxa"/>
              <w:right w:w="100" w:type="dxa"/>
            </w:tcMar>
          </w:tcPr>
          <w:p w:rsidR="00BE7044" w:rsidRDefault="00BE7044" w:rsidP="00C8045A">
            <w:pPr>
              <w:pStyle w:val="Normal1"/>
              <w:widowControl w:val="0"/>
            </w:pPr>
            <w:r>
              <w:t>Characteristics related to wind stress (e.g., influencing waves).</w:t>
            </w:r>
          </w:p>
        </w:tc>
      </w:tr>
    </w:tbl>
    <w:p w:rsidR="00BE7044" w:rsidRDefault="00BE7044" w:rsidP="00BE7044">
      <w:pPr>
        <w:pStyle w:val="Normal1"/>
        <w:spacing w:after="200"/>
      </w:pPr>
    </w:p>
    <w:p w:rsidR="00BE7044" w:rsidRDefault="00BE7044">
      <w:r>
        <w:br w:type="page"/>
      </w:r>
    </w:p>
    <w:p w:rsidR="00BE7044" w:rsidRDefault="00BE7044" w:rsidP="00BE7044">
      <w:pPr>
        <w:pStyle w:val="Normal1"/>
        <w:spacing w:after="200"/>
      </w:pPr>
    </w:p>
    <w:p w:rsidR="00BE7044" w:rsidRDefault="00594A38" w:rsidP="00BE7044">
      <w:pPr>
        <w:pStyle w:val="Normal1"/>
        <w:spacing w:after="200"/>
      </w:pPr>
      <w:r>
        <w:t xml:space="preserve">Supplemental </w:t>
      </w:r>
      <w:r w:rsidR="00BE7044">
        <w:t xml:space="preserve">Table 2. Definitions of prey variables within models.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945"/>
      </w:tblGrid>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Variable</w:t>
            </w:r>
          </w:p>
        </w:tc>
        <w:tc>
          <w:tcPr>
            <w:tcW w:w="6945" w:type="dxa"/>
            <w:tcMar>
              <w:top w:w="100" w:type="dxa"/>
              <w:left w:w="100" w:type="dxa"/>
              <w:bottom w:w="100" w:type="dxa"/>
              <w:right w:w="100" w:type="dxa"/>
            </w:tcMar>
          </w:tcPr>
          <w:p w:rsidR="00BE7044" w:rsidRDefault="00BE7044" w:rsidP="00C8045A">
            <w:pPr>
              <w:pStyle w:val="Normal1"/>
              <w:widowControl w:val="0"/>
            </w:pPr>
            <w:r>
              <w:t>Definition</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Benthic amphipods</w:t>
            </w:r>
          </w:p>
        </w:tc>
        <w:tc>
          <w:tcPr>
            <w:tcW w:w="6945" w:type="dxa"/>
            <w:tcMar>
              <w:top w:w="100" w:type="dxa"/>
              <w:left w:w="100" w:type="dxa"/>
              <w:bottom w:w="100" w:type="dxa"/>
              <w:right w:w="100" w:type="dxa"/>
            </w:tcMar>
          </w:tcPr>
          <w:p w:rsidR="00BE7044" w:rsidRDefault="00BE7044" w:rsidP="00C8045A">
            <w:pPr>
              <w:pStyle w:val="Normal1"/>
              <w:widowControl w:val="0"/>
            </w:pPr>
            <w:r>
              <w:t>Benthic members of Order Amphipoda.</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Capelin</w:t>
            </w:r>
          </w:p>
        </w:tc>
        <w:tc>
          <w:tcPr>
            <w:tcW w:w="6945" w:type="dxa"/>
            <w:tcMar>
              <w:top w:w="100" w:type="dxa"/>
              <w:left w:w="100" w:type="dxa"/>
              <w:bottom w:w="100" w:type="dxa"/>
              <w:right w:w="100" w:type="dxa"/>
            </w:tcMar>
          </w:tcPr>
          <w:p w:rsidR="00BE7044" w:rsidRDefault="00BE7044" w:rsidP="00C8045A">
            <w:pPr>
              <w:pStyle w:val="Normal1"/>
              <w:widowControl w:val="0"/>
            </w:pPr>
            <w:r>
              <w:rPr>
                <w:i/>
              </w:rPr>
              <w:t>Mallotus villosus.</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Copepods</w:t>
            </w:r>
          </w:p>
        </w:tc>
        <w:tc>
          <w:tcPr>
            <w:tcW w:w="6945" w:type="dxa"/>
            <w:tcMar>
              <w:top w:w="100" w:type="dxa"/>
              <w:left w:w="100" w:type="dxa"/>
              <w:bottom w:w="100" w:type="dxa"/>
              <w:right w:w="100" w:type="dxa"/>
            </w:tcMar>
          </w:tcPr>
          <w:p w:rsidR="00BE7044" w:rsidRDefault="00BE7044" w:rsidP="00C8045A">
            <w:pPr>
              <w:pStyle w:val="Normal1"/>
              <w:widowControl w:val="0"/>
            </w:pPr>
            <w:r>
              <w:t>Subclass Copepoda.</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Crabs</w:t>
            </w:r>
          </w:p>
        </w:tc>
        <w:tc>
          <w:tcPr>
            <w:tcW w:w="6945" w:type="dxa"/>
            <w:tcMar>
              <w:top w:w="100" w:type="dxa"/>
              <w:left w:w="100" w:type="dxa"/>
              <w:bottom w:w="100" w:type="dxa"/>
              <w:right w:w="100" w:type="dxa"/>
            </w:tcMar>
          </w:tcPr>
          <w:p w:rsidR="00BE7044" w:rsidRDefault="00BE7044" w:rsidP="00C8045A">
            <w:pPr>
              <w:pStyle w:val="Normal1"/>
              <w:widowControl w:val="0"/>
            </w:pPr>
            <w:r>
              <w:t>Tanner crab (</w:t>
            </w:r>
            <w:r>
              <w:rPr>
                <w:i/>
              </w:rPr>
              <w:t>Chionoecetes bairdi</w:t>
            </w:r>
            <w:r>
              <w:t>), King Crab (Lithodidae).</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Euphausiids</w:t>
            </w:r>
          </w:p>
        </w:tc>
        <w:tc>
          <w:tcPr>
            <w:tcW w:w="6945" w:type="dxa"/>
            <w:tcMar>
              <w:top w:w="100" w:type="dxa"/>
              <w:left w:w="100" w:type="dxa"/>
              <w:bottom w:w="100" w:type="dxa"/>
              <w:right w:w="100" w:type="dxa"/>
            </w:tcMar>
          </w:tcPr>
          <w:p w:rsidR="00BE7044" w:rsidRDefault="00BE7044" w:rsidP="00C8045A">
            <w:pPr>
              <w:pStyle w:val="Normal1"/>
              <w:widowControl w:val="0"/>
            </w:pPr>
            <w:r>
              <w:t>Order Euphausiacea.</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Hermit crabs</w:t>
            </w:r>
          </w:p>
        </w:tc>
        <w:tc>
          <w:tcPr>
            <w:tcW w:w="6945" w:type="dxa"/>
            <w:tcMar>
              <w:top w:w="100" w:type="dxa"/>
              <w:left w:w="100" w:type="dxa"/>
              <w:bottom w:w="100" w:type="dxa"/>
              <w:right w:w="100" w:type="dxa"/>
            </w:tcMar>
          </w:tcPr>
          <w:p w:rsidR="00BE7044" w:rsidRDefault="00BE7044" w:rsidP="00C8045A">
            <w:pPr>
              <w:pStyle w:val="Normal1"/>
              <w:widowControl w:val="0"/>
            </w:pPr>
            <w:r>
              <w:t>Family Paguridae.</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Phytoplankton</w:t>
            </w:r>
          </w:p>
        </w:tc>
        <w:tc>
          <w:tcPr>
            <w:tcW w:w="6945" w:type="dxa"/>
            <w:tcMar>
              <w:top w:w="100" w:type="dxa"/>
              <w:left w:w="100" w:type="dxa"/>
              <w:bottom w:w="100" w:type="dxa"/>
              <w:right w:w="100" w:type="dxa"/>
            </w:tcMar>
          </w:tcPr>
          <w:p w:rsidR="00BE7044" w:rsidRDefault="00BE7044" w:rsidP="00C8045A">
            <w:pPr>
              <w:pStyle w:val="Normal1"/>
              <w:widowControl w:val="0"/>
            </w:pPr>
            <w:r>
              <w:t>Kindgom Chromista.</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Shrimp</w:t>
            </w:r>
          </w:p>
        </w:tc>
        <w:tc>
          <w:tcPr>
            <w:tcW w:w="6945" w:type="dxa"/>
            <w:tcMar>
              <w:top w:w="100" w:type="dxa"/>
              <w:left w:w="100" w:type="dxa"/>
              <w:bottom w:w="100" w:type="dxa"/>
              <w:right w:w="100" w:type="dxa"/>
            </w:tcMar>
          </w:tcPr>
          <w:p w:rsidR="00BE7044" w:rsidRDefault="00BE7044" w:rsidP="00C8045A">
            <w:pPr>
              <w:pStyle w:val="Normal1"/>
              <w:widowControl w:val="0"/>
            </w:pPr>
            <w:r>
              <w:t>Family Pandalidae.</w:t>
            </w:r>
          </w:p>
        </w:tc>
      </w:tr>
    </w:tbl>
    <w:p w:rsidR="00BE7044" w:rsidRDefault="00BE7044" w:rsidP="00BE7044">
      <w:pPr>
        <w:pStyle w:val="Normal1"/>
        <w:spacing w:after="200"/>
      </w:pPr>
    </w:p>
    <w:p w:rsidR="00BE7044" w:rsidRDefault="00BE7044">
      <w:r>
        <w:br w:type="page"/>
      </w:r>
    </w:p>
    <w:p w:rsidR="00BE7044" w:rsidRDefault="00BE7044" w:rsidP="00BE7044">
      <w:pPr>
        <w:pStyle w:val="Normal1"/>
        <w:spacing w:after="200"/>
      </w:pPr>
    </w:p>
    <w:p w:rsidR="00BE7044" w:rsidRDefault="00594A38" w:rsidP="00BE7044">
      <w:pPr>
        <w:pStyle w:val="Normal1"/>
        <w:spacing w:after="200"/>
      </w:pPr>
      <w:r>
        <w:t xml:space="preserve">Supplemental </w:t>
      </w:r>
      <w:r w:rsidR="00BE7044">
        <w:t>Table 3. Definitions of focal species variables within models.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945"/>
      </w:tblGrid>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Variable</w:t>
            </w:r>
          </w:p>
        </w:tc>
        <w:tc>
          <w:tcPr>
            <w:tcW w:w="6945" w:type="dxa"/>
            <w:tcMar>
              <w:top w:w="100" w:type="dxa"/>
              <w:left w:w="100" w:type="dxa"/>
              <w:bottom w:w="100" w:type="dxa"/>
              <w:right w:w="100" w:type="dxa"/>
            </w:tcMar>
          </w:tcPr>
          <w:p w:rsidR="00BE7044" w:rsidRDefault="00BE7044" w:rsidP="00C8045A">
            <w:pPr>
              <w:pStyle w:val="Normal1"/>
              <w:widowControl w:val="0"/>
            </w:pPr>
            <w:r>
              <w:t>Definition</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Arrowtooth</w:t>
            </w:r>
          </w:p>
        </w:tc>
        <w:tc>
          <w:tcPr>
            <w:tcW w:w="6945" w:type="dxa"/>
            <w:tcMar>
              <w:top w:w="100" w:type="dxa"/>
              <w:left w:w="100" w:type="dxa"/>
              <w:bottom w:w="100" w:type="dxa"/>
              <w:right w:w="100" w:type="dxa"/>
            </w:tcMar>
          </w:tcPr>
          <w:p w:rsidR="00BE7044" w:rsidRDefault="00BE7044" w:rsidP="00C8045A">
            <w:pPr>
              <w:pStyle w:val="Normal1"/>
              <w:widowControl w:val="0"/>
            </w:pPr>
            <w:r>
              <w:rPr>
                <w:i/>
              </w:rPr>
              <w:t>Atherestes stomias</w:t>
            </w:r>
            <w:r>
              <w:t xml:space="preserve">, </w:t>
            </w:r>
            <w:r>
              <w:rPr>
                <w:rFonts w:ascii="Nova Mono" w:eastAsia="Nova Mono" w:hAnsi="Nova Mono" w:cs="Nova Mono"/>
              </w:rPr>
              <w:t>age ≥ 2</w:t>
            </w:r>
            <w:r>
              <w:t>.</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Arrowtooth juveniles</w:t>
            </w:r>
          </w:p>
        </w:tc>
        <w:tc>
          <w:tcPr>
            <w:tcW w:w="6945" w:type="dxa"/>
            <w:tcMar>
              <w:top w:w="100" w:type="dxa"/>
              <w:left w:w="100" w:type="dxa"/>
              <w:bottom w:w="100" w:type="dxa"/>
              <w:right w:w="100" w:type="dxa"/>
            </w:tcMar>
          </w:tcPr>
          <w:p w:rsidR="00BE7044" w:rsidRDefault="00BE7044" w:rsidP="00C8045A">
            <w:pPr>
              <w:pStyle w:val="Normal1"/>
              <w:widowControl w:val="0"/>
            </w:pPr>
            <w:r>
              <w:t>Individuals &lt;20cm (age 0 to 1).</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Arrowtooth larvae</w:t>
            </w:r>
          </w:p>
        </w:tc>
        <w:tc>
          <w:tcPr>
            <w:tcW w:w="6945" w:type="dxa"/>
            <w:tcMar>
              <w:top w:w="100" w:type="dxa"/>
              <w:left w:w="100" w:type="dxa"/>
              <w:bottom w:w="100" w:type="dxa"/>
              <w:right w:w="100" w:type="dxa"/>
            </w:tcMar>
          </w:tcPr>
          <w:p w:rsidR="00BE7044" w:rsidRDefault="00BE7044" w:rsidP="00C8045A">
            <w:pPr>
              <w:pStyle w:val="Normal1"/>
              <w:widowControl w:val="0"/>
            </w:pPr>
            <w:r>
              <w:t>Age-0 ichthyoplankton.</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Halibut</w:t>
            </w:r>
          </w:p>
        </w:tc>
        <w:tc>
          <w:tcPr>
            <w:tcW w:w="6945" w:type="dxa"/>
            <w:tcMar>
              <w:top w:w="100" w:type="dxa"/>
              <w:left w:w="100" w:type="dxa"/>
              <w:bottom w:w="100" w:type="dxa"/>
              <w:right w:w="100" w:type="dxa"/>
            </w:tcMar>
          </w:tcPr>
          <w:p w:rsidR="00BE7044" w:rsidRDefault="00BE7044" w:rsidP="00C8045A">
            <w:pPr>
              <w:pStyle w:val="Normal1"/>
              <w:widowControl w:val="0"/>
            </w:pPr>
            <w:r>
              <w:rPr>
                <w:i/>
              </w:rPr>
              <w:t>Hippoglossus stenolepis.</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Halibut juveniles</w:t>
            </w:r>
          </w:p>
        </w:tc>
        <w:tc>
          <w:tcPr>
            <w:tcW w:w="6945" w:type="dxa"/>
            <w:tcMar>
              <w:top w:w="100" w:type="dxa"/>
              <w:left w:w="100" w:type="dxa"/>
              <w:bottom w:w="100" w:type="dxa"/>
              <w:right w:w="100" w:type="dxa"/>
            </w:tcMar>
          </w:tcPr>
          <w:p w:rsidR="00BE7044" w:rsidRDefault="00BE7044" w:rsidP="00C8045A">
            <w:pPr>
              <w:pStyle w:val="Normal1"/>
              <w:widowControl w:val="0"/>
            </w:pPr>
            <w:r>
              <w:t>Individuals &lt;20cm (age 0 to 1).</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Halibut larvae</w:t>
            </w:r>
          </w:p>
        </w:tc>
        <w:tc>
          <w:tcPr>
            <w:tcW w:w="6945" w:type="dxa"/>
            <w:tcMar>
              <w:top w:w="100" w:type="dxa"/>
              <w:left w:w="100" w:type="dxa"/>
              <w:bottom w:w="100" w:type="dxa"/>
              <w:right w:w="100" w:type="dxa"/>
            </w:tcMar>
          </w:tcPr>
          <w:p w:rsidR="00BE7044" w:rsidRDefault="00BE7044" w:rsidP="00C8045A">
            <w:pPr>
              <w:pStyle w:val="Normal1"/>
              <w:widowControl w:val="0"/>
            </w:pPr>
            <w:r>
              <w:t>Age-0 ichthyoplankton.</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Pollock</w:t>
            </w:r>
          </w:p>
        </w:tc>
        <w:tc>
          <w:tcPr>
            <w:tcW w:w="6945" w:type="dxa"/>
            <w:tcMar>
              <w:top w:w="100" w:type="dxa"/>
              <w:left w:w="100" w:type="dxa"/>
              <w:bottom w:w="100" w:type="dxa"/>
              <w:right w:w="100" w:type="dxa"/>
            </w:tcMar>
          </w:tcPr>
          <w:p w:rsidR="00BE7044" w:rsidRDefault="00BE7044" w:rsidP="00C8045A">
            <w:pPr>
              <w:pStyle w:val="Normal1"/>
              <w:widowControl w:val="0"/>
            </w:pPr>
            <w:r>
              <w:rPr>
                <w:i/>
              </w:rPr>
              <w:t>Gadus chalcogrammus</w:t>
            </w:r>
            <w:r>
              <w:t>, age 2 to 10+.</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Pollock juveniles</w:t>
            </w:r>
          </w:p>
        </w:tc>
        <w:tc>
          <w:tcPr>
            <w:tcW w:w="6945" w:type="dxa"/>
            <w:tcMar>
              <w:top w:w="100" w:type="dxa"/>
              <w:left w:w="100" w:type="dxa"/>
              <w:bottom w:w="100" w:type="dxa"/>
              <w:right w:w="100" w:type="dxa"/>
            </w:tcMar>
          </w:tcPr>
          <w:p w:rsidR="00BE7044" w:rsidRDefault="00BE7044" w:rsidP="00C8045A">
            <w:pPr>
              <w:pStyle w:val="Normal1"/>
              <w:widowControl w:val="0"/>
            </w:pPr>
            <w:r>
              <w:t>Individuals &lt;20cm (age 0 to 1).</w:t>
            </w:r>
          </w:p>
        </w:tc>
      </w:tr>
    </w:tbl>
    <w:p w:rsidR="00BE7044" w:rsidRDefault="00BE7044" w:rsidP="00BE7044">
      <w:pPr>
        <w:pStyle w:val="Normal1"/>
        <w:spacing w:after="200"/>
      </w:pPr>
    </w:p>
    <w:p w:rsidR="00BE7044" w:rsidRDefault="00BE7044" w:rsidP="00BE7044">
      <w:pPr>
        <w:pStyle w:val="Normal1"/>
        <w:spacing w:after="200"/>
      </w:pPr>
    </w:p>
    <w:p w:rsidR="00BE7044" w:rsidRDefault="00BE7044" w:rsidP="00BE7044">
      <w:pPr>
        <w:pStyle w:val="Normal1"/>
      </w:pPr>
      <w:r>
        <w:br w:type="page"/>
      </w:r>
    </w:p>
    <w:p w:rsidR="00BE7044" w:rsidRDefault="00BE7044" w:rsidP="00BE7044">
      <w:pPr>
        <w:pStyle w:val="Normal1"/>
        <w:spacing w:after="200"/>
      </w:pPr>
    </w:p>
    <w:p w:rsidR="00BE7044" w:rsidRDefault="00594A38" w:rsidP="00BE7044">
      <w:pPr>
        <w:pStyle w:val="Normal1"/>
        <w:spacing w:after="200"/>
      </w:pPr>
      <w:r>
        <w:t xml:space="preserve">Supplemental </w:t>
      </w:r>
      <w:r w:rsidR="00BE7044">
        <w:t>Table 4. Definitions of predator and competitor variables within models.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945"/>
      </w:tblGrid>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Variable</w:t>
            </w:r>
          </w:p>
        </w:tc>
        <w:tc>
          <w:tcPr>
            <w:tcW w:w="6945" w:type="dxa"/>
            <w:tcMar>
              <w:top w:w="100" w:type="dxa"/>
              <w:left w:w="100" w:type="dxa"/>
              <w:bottom w:w="100" w:type="dxa"/>
              <w:right w:w="100" w:type="dxa"/>
            </w:tcMar>
          </w:tcPr>
          <w:p w:rsidR="00BE7044" w:rsidRDefault="00BE7044" w:rsidP="00C8045A">
            <w:pPr>
              <w:pStyle w:val="Normal1"/>
              <w:widowControl w:val="0"/>
            </w:pPr>
            <w:r>
              <w:t>Definition</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P. cod</w:t>
            </w:r>
          </w:p>
        </w:tc>
        <w:tc>
          <w:tcPr>
            <w:tcW w:w="6945" w:type="dxa"/>
            <w:tcMar>
              <w:top w:w="100" w:type="dxa"/>
              <w:left w:w="100" w:type="dxa"/>
              <w:bottom w:w="100" w:type="dxa"/>
              <w:right w:w="100" w:type="dxa"/>
            </w:tcMar>
          </w:tcPr>
          <w:p w:rsidR="00BE7044" w:rsidRDefault="00BE7044" w:rsidP="00C8045A">
            <w:pPr>
              <w:pStyle w:val="Normal1"/>
              <w:widowControl w:val="0"/>
            </w:pPr>
            <w:r>
              <w:t xml:space="preserve">Pacific cod, </w:t>
            </w:r>
            <w:r>
              <w:rPr>
                <w:i/>
              </w:rPr>
              <w:t>Gadus macrocephalus</w:t>
            </w:r>
            <w:r>
              <w:t>, all ages.</w:t>
            </w:r>
          </w:p>
        </w:tc>
      </w:tr>
      <w:tr w:rsidR="00BE7044" w:rsidTr="00C8045A">
        <w:tc>
          <w:tcPr>
            <w:tcW w:w="2415" w:type="dxa"/>
            <w:tcMar>
              <w:top w:w="100" w:type="dxa"/>
              <w:left w:w="100" w:type="dxa"/>
              <w:bottom w:w="100" w:type="dxa"/>
              <w:right w:w="100" w:type="dxa"/>
            </w:tcMar>
          </w:tcPr>
          <w:p w:rsidR="00BE7044" w:rsidRDefault="00BE7044" w:rsidP="00C8045A">
            <w:pPr>
              <w:pStyle w:val="Normal1"/>
              <w:widowControl w:val="0"/>
            </w:pPr>
            <w:r>
              <w:t>Sharks and skates</w:t>
            </w:r>
          </w:p>
        </w:tc>
        <w:tc>
          <w:tcPr>
            <w:tcW w:w="6945" w:type="dxa"/>
            <w:tcMar>
              <w:top w:w="100" w:type="dxa"/>
              <w:left w:w="100" w:type="dxa"/>
              <w:bottom w:w="100" w:type="dxa"/>
              <w:right w:w="100" w:type="dxa"/>
            </w:tcMar>
          </w:tcPr>
          <w:p w:rsidR="00BE7044" w:rsidRDefault="00BE7044" w:rsidP="00C8045A">
            <w:pPr>
              <w:pStyle w:val="Normal1"/>
              <w:widowControl w:val="0"/>
            </w:pPr>
            <w:r>
              <w:t>Combined elasmobranch predators including salmon shark (</w:t>
            </w:r>
            <w:r>
              <w:rPr>
                <w:i/>
              </w:rPr>
              <w:t>Lamna ditropis</w:t>
            </w:r>
            <w:r>
              <w:t>), dogfish (</w:t>
            </w:r>
            <w:r>
              <w:rPr>
                <w:i/>
              </w:rPr>
              <w:t>Squalus acanthius</w:t>
            </w:r>
            <w:r>
              <w:t>), big skate (</w:t>
            </w:r>
            <w:r>
              <w:rPr>
                <w:i/>
              </w:rPr>
              <w:t>Raja binoculata</w:t>
            </w:r>
            <w:r>
              <w:t>), and longnose skate (</w:t>
            </w:r>
            <w:r>
              <w:rPr>
                <w:i/>
              </w:rPr>
              <w:t>Raja rhina</w:t>
            </w:r>
            <w:r>
              <w:t>).</w:t>
            </w:r>
          </w:p>
        </w:tc>
      </w:tr>
    </w:tbl>
    <w:p w:rsidR="00BE7044" w:rsidRDefault="00BE7044" w:rsidP="00BE7044">
      <w:pPr>
        <w:pStyle w:val="Normal1"/>
        <w:spacing w:after="200"/>
      </w:pPr>
    </w:p>
    <w:p w:rsidR="00BE7044" w:rsidRDefault="00BE7044">
      <w:r>
        <w:br w:type="page"/>
      </w:r>
    </w:p>
    <w:p w:rsidR="0014172F" w:rsidRDefault="00594A38" w:rsidP="0014172F">
      <w:pPr>
        <w:pStyle w:val="Normal1"/>
        <w:spacing w:after="200"/>
      </w:pPr>
      <w:r>
        <w:lastRenderedPageBreak/>
        <w:t xml:space="preserve">Supplemental </w:t>
      </w:r>
      <w:r w:rsidR="0014172F">
        <w:t>Table 5. Definitions of communities of practice-related variables within models.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675"/>
      </w:tblGrid>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Variable</w:t>
            </w:r>
          </w:p>
        </w:tc>
        <w:tc>
          <w:tcPr>
            <w:tcW w:w="6675" w:type="dxa"/>
            <w:tcMar>
              <w:top w:w="100" w:type="dxa"/>
              <w:left w:w="100" w:type="dxa"/>
              <w:bottom w:w="100" w:type="dxa"/>
              <w:right w:w="100" w:type="dxa"/>
            </w:tcMar>
          </w:tcPr>
          <w:p w:rsidR="0014172F" w:rsidRDefault="0014172F" w:rsidP="00C8045A">
            <w:pPr>
              <w:pStyle w:val="Normal1"/>
              <w:widowControl w:val="0"/>
            </w:pPr>
            <w:r>
              <w:t>Definition</w:t>
            </w:r>
          </w:p>
        </w:tc>
      </w:tr>
      <w:tr w:rsidR="0014172F" w:rsidTr="00C8045A">
        <w:trPr>
          <w:trHeight w:val="460"/>
        </w:trPr>
        <w:tc>
          <w:tcPr>
            <w:tcW w:w="2685" w:type="dxa"/>
            <w:tcMar>
              <w:top w:w="100" w:type="dxa"/>
              <w:left w:w="100" w:type="dxa"/>
              <w:bottom w:w="100" w:type="dxa"/>
              <w:right w:w="100" w:type="dxa"/>
            </w:tcMar>
          </w:tcPr>
          <w:p w:rsidR="0014172F" w:rsidRDefault="0014172F" w:rsidP="00C8045A">
            <w:pPr>
              <w:pStyle w:val="Normal1"/>
              <w:widowControl w:val="0"/>
            </w:pPr>
            <w:r>
              <w:t>Arrowtooth active vessels</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number of active vessels with landings of arrowtooth.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Arrowtooth price</w:t>
            </w:r>
          </w:p>
        </w:tc>
        <w:tc>
          <w:tcPr>
            <w:tcW w:w="6675" w:type="dxa"/>
            <w:tcMar>
              <w:top w:w="100" w:type="dxa"/>
              <w:left w:w="100" w:type="dxa"/>
              <w:bottom w:w="100" w:type="dxa"/>
              <w:right w:w="100" w:type="dxa"/>
            </w:tcMar>
          </w:tcPr>
          <w:p w:rsidR="0014172F" w:rsidRDefault="0014172F" w:rsidP="00C8045A">
            <w:pPr>
              <w:pStyle w:val="Normal1"/>
              <w:widowControl w:val="0"/>
            </w:pPr>
            <w:r>
              <w:t xml:space="preserve">Revenue per unit weight of arrowtooth in US dollars.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Arrowtooth total landings</w:t>
            </w:r>
          </w:p>
        </w:tc>
        <w:tc>
          <w:tcPr>
            <w:tcW w:w="6675" w:type="dxa"/>
            <w:tcMar>
              <w:top w:w="100" w:type="dxa"/>
              <w:left w:w="100" w:type="dxa"/>
              <w:bottom w:w="100" w:type="dxa"/>
              <w:right w:w="100" w:type="dxa"/>
            </w:tcMar>
          </w:tcPr>
          <w:p w:rsidR="0014172F" w:rsidRDefault="0014172F" w:rsidP="00C8045A">
            <w:pPr>
              <w:pStyle w:val="Normal1"/>
              <w:widowControl w:val="0"/>
            </w:pPr>
            <w:r>
              <w:t>Total retained weight of arrowtooth by arrowtooth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Arrowtooth vessel costs</w:t>
            </w:r>
          </w:p>
        </w:tc>
        <w:tc>
          <w:tcPr>
            <w:tcW w:w="6675" w:type="dxa"/>
            <w:tcMar>
              <w:top w:w="100" w:type="dxa"/>
              <w:left w:w="100" w:type="dxa"/>
              <w:bottom w:w="100" w:type="dxa"/>
              <w:right w:w="100" w:type="dxa"/>
            </w:tcMar>
          </w:tcPr>
          <w:p w:rsidR="0014172F" w:rsidRDefault="0014172F" w:rsidP="00C8045A">
            <w:pPr>
              <w:pStyle w:val="Normal1"/>
              <w:widowControl w:val="0"/>
            </w:pPr>
            <w:r>
              <w:t>Total costs of operating arrowtooth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Arrowtooth vessel profits</w:t>
            </w:r>
          </w:p>
        </w:tc>
        <w:tc>
          <w:tcPr>
            <w:tcW w:w="6675" w:type="dxa"/>
            <w:tcMar>
              <w:top w:w="100" w:type="dxa"/>
              <w:left w:w="100" w:type="dxa"/>
              <w:bottom w:w="100" w:type="dxa"/>
              <w:right w:w="100" w:type="dxa"/>
            </w:tcMar>
          </w:tcPr>
          <w:p w:rsidR="0014172F" w:rsidRDefault="0014172F" w:rsidP="00C8045A">
            <w:pPr>
              <w:pStyle w:val="Normal1"/>
              <w:widowControl w:val="0"/>
            </w:pPr>
            <w:r>
              <w:t>Arrowtooth vessel revenue minus arrowtooth vessel costs.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Arrowtooth vessel revenue</w:t>
            </w:r>
          </w:p>
        </w:tc>
        <w:tc>
          <w:tcPr>
            <w:tcW w:w="6675" w:type="dxa"/>
            <w:tcMar>
              <w:top w:w="100" w:type="dxa"/>
              <w:left w:w="100" w:type="dxa"/>
              <w:bottom w:w="100" w:type="dxa"/>
              <w:right w:w="100" w:type="dxa"/>
            </w:tcMar>
          </w:tcPr>
          <w:p w:rsidR="0014172F" w:rsidRDefault="0014172F" w:rsidP="00C8045A">
            <w:pPr>
              <w:pStyle w:val="Normal1"/>
              <w:widowControl w:val="0"/>
            </w:pPr>
            <w:r>
              <w:t>Total revenues derived from arrowtooth landings of arrowtooth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Catch sharing plan</w:t>
            </w:r>
          </w:p>
        </w:tc>
        <w:tc>
          <w:tcPr>
            <w:tcW w:w="6675" w:type="dxa"/>
            <w:tcMar>
              <w:top w:w="100" w:type="dxa"/>
              <w:left w:w="100" w:type="dxa"/>
              <w:bottom w:w="100" w:type="dxa"/>
              <w:right w:w="100" w:type="dxa"/>
            </w:tcMar>
          </w:tcPr>
          <w:p w:rsidR="0014172F" w:rsidRDefault="0014172F" w:rsidP="00C8045A">
            <w:pPr>
              <w:pStyle w:val="Normal1"/>
              <w:widowControl w:val="0"/>
            </w:pPr>
            <w:r>
              <w:t xml:space="preserve">Implemented in January 2014 (78 FR 75844), the Catch Sharing Plan creates sector allocations based on halibut abundance and allows recreational charter vessel operators in International Pacific Halibut Commission (IPHC) areas 2C and 3A to lease limited amounts of commercial individual fishing quota (IFQ) to increase the halibut available for their charter clients in the form of guided angler fish (GAF).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Charter business profit</w:t>
            </w:r>
          </w:p>
        </w:tc>
        <w:tc>
          <w:tcPr>
            <w:tcW w:w="6675" w:type="dxa"/>
            <w:tcMar>
              <w:top w:w="100" w:type="dxa"/>
              <w:left w:w="100" w:type="dxa"/>
              <w:bottom w:w="100" w:type="dxa"/>
              <w:right w:w="100" w:type="dxa"/>
            </w:tcMar>
          </w:tcPr>
          <w:p w:rsidR="0014172F" w:rsidRDefault="0014172F" w:rsidP="00C8045A">
            <w:pPr>
              <w:pStyle w:val="Normal1"/>
              <w:widowControl w:val="0"/>
            </w:pPr>
            <w:r>
              <w:t xml:space="preserve">Profits accruing to charter businesses as a result of charter halibut fishing trips.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Crew days at sea (employment)</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total number of days worked by all crewmembers on a vessel and represents harvesting sector employment in the fishery.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Cultural and traditional values and continuity</w:t>
            </w:r>
          </w:p>
        </w:tc>
        <w:tc>
          <w:tcPr>
            <w:tcW w:w="6675" w:type="dxa"/>
            <w:tcMar>
              <w:top w:w="100" w:type="dxa"/>
              <w:left w:w="100" w:type="dxa"/>
              <w:bottom w:w="100" w:type="dxa"/>
              <w:right w:w="100" w:type="dxa"/>
            </w:tcMar>
          </w:tcPr>
          <w:p w:rsidR="0014172F" w:rsidRDefault="0014172F" w:rsidP="00C8045A">
            <w:pPr>
              <w:pStyle w:val="Normal1"/>
              <w:widowControl w:val="0"/>
            </w:pPr>
            <w:r>
              <w:t xml:space="preserve">Cultural values associated with subsistence halibut fishing and maintaining a subsistence way of life.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Groundfish trawl active vessels</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number of active vessels with trawl landings of groundfish.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Groundfish trawl catch</w:t>
            </w:r>
          </w:p>
        </w:tc>
        <w:tc>
          <w:tcPr>
            <w:tcW w:w="6675" w:type="dxa"/>
            <w:tcMar>
              <w:top w:w="100" w:type="dxa"/>
              <w:left w:w="100" w:type="dxa"/>
              <w:bottom w:w="100" w:type="dxa"/>
              <w:right w:w="100" w:type="dxa"/>
            </w:tcMar>
          </w:tcPr>
          <w:p w:rsidR="0014172F" w:rsidRDefault="0014172F" w:rsidP="00C8045A">
            <w:pPr>
              <w:pStyle w:val="Normal1"/>
              <w:widowControl w:val="0"/>
            </w:pPr>
            <w:r>
              <w:t xml:space="preserve">Total weight of groundfish by groundfish trawl active vessels, including Prohibited Species Catch of halibut that must be discarded at-sea.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Groundfish trawl price</w:t>
            </w:r>
          </w:p>
        </w:tc>
        <w:tc>
          <w:tcPr>
            <w:tcW w:w="6675" w:type="dxa"/>
            <w:tcMar>
              <w:top w:w="100" w:type="dxa"/>
              <w:left w:w="100" w:type="dxa"/>
              <w:bottom w:w="100" w:type="dxa"/>
              <w:right w:w="100" w:type="dxa"/>
            </w:tcMar>
          </w:tcPr>
          <w:p w:rsidR="0014172F" w:rsidRDefault="0014172F" w:rsidP="00C8045A">
            <w:pPr>
              <w:pStyle w:val="Normal1"/>
              <w:widowControl w:val="0"/>
            </w:pPr>
            <w:r>
              <w:t>Revenue per unit weight of groundfish in US dollars.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lastRenderedPageBreak/>
              <w:t>Groundfish trawl vessel costs</w:t>
            </w:r>
          </w:p>
        </w:tc>
        <w:tc>
          <w:tcPr>
            <w:tcW w:w="6675" w:type="dxa"/>
            <w:tcMar>
              <w:top w:w="100" w:type="dxa"/>
              <w:left w:w="100" w:type="dxa"/>
              <w:bottom w:w="100" w:type="dxa"/>
              <w:right w:w="100" w:type="dxa"/>
            </w:tcMar>
          </w:tcPr>
          <w:p w:rsidR="0014172F" w:rsidRDefault="0014172F" w:rsidP="00C8045A">
            <w:pPr>
              <w:pStyle w:val="Normal1"/>
              <w:widowControl w:val="0"/>
            </w:pPr>
            <w:r>
              <w:t>Total costs of operating groundfish trawl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Groundfish trawl vessel profit</w:t>
            </w:r>
          </w:p>
        </w:tc>
        <w:tc>
          <w:tcPr>
            <w:tcW w:w="6675" w:type="dxa"/>
            <w:tcMar>
              <w:top w:w="100" w:type="dxa"/>
              <w:left w:w="100" w:type="dxa"/>
              <w:bottom w:w="100" w:type="dxa"/>
              <w:right w:w="100" w:type="dxa"/>
            </w:tcMar>
          </w:tcPr>
          <w:p w:rsidR="0014172F" w:rsidRDefault="0014172F" w:rsidP="00C8045A">
            <w:pPr>
              <w:pStyle w:val="Normal1"/>
              <w:widowControl w:val="0"/>
            </w:pPr>
            <w:r>
              <w:t>Groundfish trawl vessel revenue minus groundfish trawl vessel costs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Groundfish trawl vessel revenue</w:t>
            </w:r>
          </w:p>
        </w:tc>
        <w:tc>
          <w:tcPr>
            <w:tcW w:w="6675" w:type="dxa"/>
            <w:tcMar>
              <w:top w:w="100" w:type="dxa"/>
              <w:left w:w="100" w:type="dxa"/>
              <w:bottom w:w="100" w:type="dxa"/>
              <w:right w:w="100" w:type="dxa"/>
            </w:tcMar>
          </w:tcPr>
          <w:p w:rsidR="0014172F" w:rsidRDefault="0014172F" w:rsidP="00C8045A">
            <w:pPr>
              <w:pStyle w:val="Normal1"/>
              <w:widowControl w:val="0"/>
            </w:pPr>
            <w:r>
              <w:t>Total revenues derived from groundfish trawl landings of groundfish trawl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active vessels</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number of active vessels with longline landings of halibut.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longline landings</w:t>
            </w:r>
          </w:p>
        </w:tc>
        <w:tc>
          <w:tcPr>
            <w:tcW w:w="6675" w:type="dxa"/>
            <w:tcMar>
              <w:top w:w="100" w:type="dxa"/>
              <w:left w:w="100" w:type="dxa"/>
              <w:bottom w:w="100" w:type="dxa"/>
              <w:right w:w="100" w:type="dxa"/>
            </w:tcMar>
          </w:tcPr>
          <w:p w:rsidR="0014172F" w:rsidRDefault="0014172F" w:rsidP="00C8045A">
            <w:pPr>
              <w:pStyle w:val="Normal1"/>
              <w:widowControl w:val="0"/>
            </w:pPr>
            <w:r>
              <w:t>Total retained weight of halibut by halibut active vessels, including Individual Fishing Quota (IFQ) and Community Development Quota (CDQ) Program halibut.</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price</w:t>
            </w:r>
          </w:p>
        </w:tc>
        <w:tc>
          <w:tcPr>
            <w:tcW w:w="6675" w:type="dxa"/>
            <w:tcMar>
              <w:top w:w="100" w:type="dxa"/>
              <w:left w:w="100" w:type="dxa"/>
              <w:bottom w:w="100" w:type="dxa"/>
              <w:right w:w="100" w:type="dxa"/>
            </w:tcMar>
          </w:tcPr>
          <w:p w:rsidR="0014172F" w:rsidRDefault="0014172F" w:rsidP="00C8045A">
            <w:pPr>
              <w:pStyle w:val="Normal1"/>
              <w:widowControl w:val="0"/>
            </w:pPr>
            <w:r>
              <w:t>Revenue per unit weight of halibut in US dollars.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PSC cap</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limit on the Prohibited Species Catch of halibut allowed in the directed arrowtooth flounder, pollock, and groundfish trawl fisheries. These are typically seasonal in the Gulf of Alaska, but for conceptual purposes we are considering them annually to be consistent with other time scales in the model.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IFQ</w:t>
            </w:r>
          </w:p>
        </w:tc>
        <w:tc>
          <w:tcPr>
            <w:tcW w:w="6675" w:type="dxa"/>
            <w:tcMar>
              <w:top w:w="100" w:type="dxa"/>
              <w:left w:w="100" w:type="dxa"/>
              <w:bottom w:w="100" w:type="dxa"/>
              <w:right w:w="100" w:type="dxa"/>
            </w:tcMar>
          </w:tcPr>
          <w:p w:rsidR="0014172F" w:rsidRDefault="0014172F" w:rsidP="00C8045A">
            <w:pPr>
              <w:pStyle w:val="Normal1"/>
              <w:widowControl w:val="0"/>
            </w:pPr>
            <w:r>
              <w:t xml:space="preserve">Represents both the Halibut Individual Fishing Quota Program (implemented in 1995) as well as the halibut long term harvest privilege (quota share). The Halibut Individual Fishing Quota Program fundamentally changed the nature of the commercial halibut fishery and has had numerous impacts on the operation of the fishery. The existence of quota shares changed the dynamics in the communities of practice by being linked to the halibut TAC, increasing vessel costs, and providing revenue to quota share holders.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vessel cost</w:t>
            </w:r>
          </w:p>
        </w:tc>
        <w:tc>
          <w:tcPr>
            <w:tcW w:w="6675" w:type="dxa"/>
            <w:tcMar>
              <w:top w:w="100" w:type="dxa"/>
              <w:left w:w="100" w:type="dxa"/>
              <w:bottom w:w="100" w:type="dxa"/>
              <w:right w:w="100" w:type="dxa"/>
            </w:tcMar>
          </w:tcPr>
          <w:p w:rsidR="0014172F" w:rsidRDefault="0014172F" w:rsidP="00C8045A">
            <w:pPr>
              <w:pStyle w:val="Normal1"/>
              <w:widowControl w:val="0"/>
            </w:pPr>
            <w:r>
              <w:t>Total costs of operating halibut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vessel profit</w:t>
            </w:r>
          </w:p>
        </w:tc>
        <w:tc>
          <w:tcPr>
            <w:tcW w:w="6675" w:type="dxa"/>
            <w:tcMar>
              <w:top w:w="100" w:type="dxa"/>
              <w:left w:w="100" w:type="dxa"/>
              <w:bottom w:w="100" w:type="dxa"/>
              <w:right w:w="100" w:type="dxa"/>
            </w:tcMar>
          </w:tcPr>
          <w:p w:rsidR="0014172F" w:rsidRDefault="0014172F" w:rsidP="00C8045A">
            <w:pPr>
              <w:pStyle w:val="Normal1"/>
              <w:widowControl w:val="0"/>
            </w:pPr>
            <w:r>
              <w:t>Halibut vessel revenue minus halibut vessel costs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Halibut vessel revenue</w:t>
            </w:r>
          </w:p>
        </w:tc>
        <w:tc>
          <w:tcPr>
            <w:tcW w:w="6675" w:type="dxa"/>
            <w:tcMar>
              <w:top w:w="100" w:type="dxa"/>
              <w:left w:w="100" w:type="dxa"/>
              <w:bottom w:w="100" w:type="dxa"/>
              <w:right w:w="100" w:type="dxa"/>
            </w:tcMar>
          </w:tcPr>
          <w:p w:rsidR="0014172F" w:rsidRDefault="0014172F" w:rsidP="00C8045A">
            <w:pPr>
              <w:pStyle w:val="Normal1"/>
              <w:widowControl w:val="0"/>
            </w:pPr>
            <w:r>
              <w:t>Total revenues derived from halibut landings of halibut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Individual and community health and well being</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general state of an individual or community’s quality of life, as affected by their activities related to subsistence halibut.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Local food security (sharing networks)</w:t>
            </w:r>
          </w:p>
        </w:tc>
        <w:tc>
          <w:tcPr>
            <w:tcW w:w="6675" w:type="dxa"/>
            <w:tcMar>
              <w:top w:w="100" w:type="dxa"/>
              <w:left w:w="100" w:type="dxa"/>
              <w:bottom w:w="100" w:type="dxa"/>
              <w:right w:w="100" w:type="dxa"/>
            </w:tcMar>
          </w:tcPr>
          <w:p w:rsidR="0014172F" w:rsidRDefault="0014172F" w:rsidP="00C8045A">
            <w:pPr>
              <w:pStyle w:val="Normal1"/>
              <w:widowControl w:val="0"/>
            </w:pPr>
            <w:r>
              <w:t xml:space="preserve">Having access to a sufficient quantity of food and maintaining local sharing networks among relatives, friends, and neighbors to maintain strong social bonds which, partially supported </w:t>
            </w:r>
            <w:r>
              <w:lastRenderedPageBreak/>
              <w:t xml:space="preserve">through subsistence fishing for halibut.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lastRenderedPageBreak/>
              <w:t>Pollock active vessels</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number of active vessels with landings of pollock.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Pollock price</w:t>
            </w:r>
          </w:p>
        </w:tc>
        <w:tc>
          <w:tcPr>
            <w:tcW w:w="6675" w:type="dxa"/>
            <w:tcMar>
              <w:top w:w="100" w:type="dxa"/>
              <w:left w:w="100" w:type="dxa"/>
              <w:bottom w:w="100" w:type="dxa"/>
              <w:right w:w="100" w:type="dxa"/>
            </w:tcMar>
          </w:tcPr>
          <w:p w:rsidR="0014172F" w:rsidRDefault="0014172F" w:rsidP="00C8045A">
            <w:pPr>
              <w:pStyle w:val="Normal1"/>
              <w:widowControl w:val="0"/>
            </w:pPr>
            <w:r>
              <w:t xml:space="preserve">Revenue per unit weight of pollock in US dollars.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Pollock Total landings</w:t>
            </w:r>
          </w:p>
        </w:tc>
        <w:tc>
          <w:tcPr>
            <w:tcW w:w="6675" w:type="dxa"/>
            <w:tcMar>
              <w:top w:w="100" w:type="dxa"/>
              <w:left w:w="100" w:type="dxa"/>
              <w:bottom w:w="100" w:type="dxa"/>
              <w:right w:w="100" w:type="dxa"/>
            </w:tcMar>
          </w:tcPr>
          <w:p w:rsidR="0014172F" w:rsidRDefault="0014172F" w:rsidP="00C8045A">
            <w:pPr>
              <w:pStyle w:val="Normal1"/>
              <w:widowControl w:val="0"/>
            </w:pPr>
            <w:r>
              <w:t>Total retained weight of pollock by pollock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Pollock vessel costs</w:t>
            </w:r>
          </w:p>
        </w:tc>
        <w:tc>
          <w:tcPr>
            <w:tcW w:w="6675" w:type="dxa"/>
            <w:tcMar>
              <w:top w:w="100" w:type="dxa"/>
              <w:left w:w="100" w:type="dxa"/>
              <w:bottom w:w="100" w:type="dxa"/>
              <w:right w:w="100" w:type="dxa"/>
            </w:tcMar>
          </w:tcPr>
          <w:p w:rsidR="0014172F" w:rsidRDefault="0014172F" w:rsidP="00C8045A">
            <w:pPr>
              <w:pStyle w:val="Normal1"/>
              <w:widowControl w:val="0"/>
            </w:pPr>
            <w:r>
              <w:t>Total costs of operating pollock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Pollock vessel profits</w:t>
            </w:r>
          </w:p>
        </w:tc>
        <w:tc>
          <w:tcPr>
            <w:tcW w:w="6675" w:type="dxa"/>
            <w:tcMar>
              <w:top w:w="100" w:type="dxa"/>
              <w:left w:w="100" w:type="dxa"/>
              <w:bottom w:w="100" w:type="dxa"/>
              <w:right w:w="100" w:type="dxa"/>
            </w:tcMar>
          </w:tcPr>
          <w:p w:rsidR="0014172F" w:rsidRDefault="0014172F" w:rsidP="00C8045A">
            <w:pPr>
              <w:pStyle w:val="Normal1"/>
              <w:widowControl w:val="0"/>
            </w:pPr>
            <w:r>
              <w:t>Pollock vessel revenue minus pollock vessel costs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Pollock vessel revenue</w:t>
            </w:r>
          </w:p>
        </w:tc>
        <w:tc>
          <w:tcPr>
            <w:tcW w:w="6675" w:type="dxa"/>
            <w:tcMar>
              <w:top w:w="100" w:type="dxa"/>
              <w:left w:w="100" w:type="dxa"/>
              <w:bottom w:w="100" w:type="dxa"/>
              <w:right w:w="100" w:type="dxa"/>
            </w:tcMar>
          </w:tcPr>
          <w:p w:rsidR="0014172F" w:rsidRDefault="0014172F" w:rsidP="00C8045A">
            <w:pPr>
              <w:pStyle w:val="Normal1"/>
              <w:widowControl w:val="0"/>
            </w:pPr>
            <w:r>
              <w:t>Total revenues derived from pollock landings of pollock active vessels.</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Recreational opportunities</w:t>
            </w:r>
          </w:p>
        </w:tc>
        <w:tc>
          <w:tcPr>
            <w:tcW w:w="6675" w:type="dxa"/>
            <w:tcMar>
              <w:top w:w="100" w:type="dxa"/>
              <w:left w:w="100" w:type="dxa"/>
              <w:bottom w:w="100" w:type="dxa"/>
              <w:right w:w="100" w:type="dxa"/>
            </w:tcMar>
          </w:tcPr>
          <w:p w:rsidR="0014172F" w:rsidRDefault="0014172F" w:rsidP="00C8045A">
            <w:pPr>
              <w:pStyle w:val="Normal1"/>
              <w:widowControl w:val="0"/>
            </w:pPr>
            <w:r>
              <w:t>Providing the opportunity for individuals to enjoy charter and private angler fishing opportunities for halibut.</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Salmon PSC cap</w:t>
            </w:r>
          </w:p>
        </w:tc>
        <w:tc>
          <w:tcPr>
            <w:tcW w:w="6675" w:type="dxa"/>
            <w:tcMar>
              <w:top w:w="100" w:type="dxa"/>
              <w:left w:w="100" w:type="dxa"/>
              <w:bottom w:w="100" w:type="dxa"/>
              <w:right w:w="100" w:type="dxa"/>
            </w:tcMar>
          </w:tcPr>
          <w:p w:rsidR="0014172F" w:rsidRDefault="0014172F" w:rsidP="00C8045A">
            <w:pPr>
              <w:pStyle w:val="Normal1"/>
              <w:widowControl w:val="0"/>
            </w:pPr>
            <w:r>
              <w:t xml:space="preserve">The limit on the Prohibited Species Catch of chinook salmon allowed in the directed pollock fishery.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Sport/charter catch</w:t>
            </w:r>
          </w:p>
        </w:tc>
        <w:tc>
          <w:tcPr>
            <w:tcW w:w="6675" w:type="dxa"/>
            <w:tcMar>
              <w:top w:w="100" w:type="dxa"/>
              <w:left w:w="100" w:type="dxa"/>
              <w:bottom w:w="100" w:type="dxa"/>
              <w:right w:w="100" w:type="dxa"/>
            </w:tcMar>
          </w:tcPr>
          <w:p w:rsidR="0014172F" w:rsidRDefault="0014172F" w:rsidP="00C8045A">
            <w:pPr>
              <w:pStyle w:val="Normal1"/>
              <w:widowControl w:val="0"/>
            </w:pPr>
            <w:r>
              <w:t xml:space="preserve">Total catch of halibut in the charter and sportfishing recreational fishing sectors.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Subsistence catch</w:t>
            </w:r>
          </w:p>
        </w:tc>
        <w:tc>
          <w:tcPr>
            <w:tcW w:w="6675" w:type="dxa"/>
            <w:tcMar>
              <w:top w:w="100" w:type="dxa"/>
              <w:left w:w="100" w:type="dxa"/>
              <w:bottom w:w="100" w:type="dxa"/>
              <w:right w:w="100" w:type="dxa"/>
            </w:tcMar>
          </w:tcPr>
          <w:p w:rsidR="0014172F" w:rsidRDefault="0014172F" w:rsidP="00C8045A">
            <w:pPr>
              <w:pStyle w:val="Normal1"/>
              <w:widowControl w:val="0"/>
            </w:pPr>
            <w:r>
              <w:t xml:space="preserve">Total catch of halibut in the subsistence and private use halibut fishery.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TAC Arrowtooth</w:t>
            </w:r>
          </w:p>
        </w:tc>
        <w:tc>
          <w:tcPr>
            <w:tcW w:w="6675" w:type="dxa"/>
            <w:tcMar>
              <w:top w:w="100" w:type="dxa"/>
              <w:left w:w="100" w:type="dxa"/>
              <w:bottom w:w="100" w:type="dxa"/>
              <w:right w:w="100" w:type="dxa"/>
            </w:tcMar>
          </w:tcPr>
          <w:p w:rsidR="0014172F" w:rsidRDefault="0014172F" w:rsidP="00C8045A">
            <w:pPr>
              <w:pStyle w:val="Normal1"/>
              <w:widowControl w:val="0"/>
            </w:pPr>
            <w:r>
              <w:t>Total allowable catch of arrowtooth.</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TAC Halibut</w:t>
            </w:r>
          </w:p>
        </w:tc>
        <w:tc>
          <w:tcPr>
            <w:tcW w:w="6675" w:type="dxa"/>
            <w:tcMar>
              <w:top w:w="100" w:type="dxa"/>
              <w:left w:w="100" w:type="dxa"/>
              <w:bottom w:w="100" w:type="dxa"/>
              <w:right w:w="100" w:type="dxa"/>
            </w:tcMar>
          </w:tcPr>
          <w:p w:rsidR="0014172F" w:rsidRDefault="0014172F" w:rsidP="00C8045A">
            <w:pPr>
              <w:pStyle w:val="Normal1"/>
              <w:widowControl w:val="0"/>
            </w:pPr>
            <w:r>
              <w:t>Total allowable catch of halibut.</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TAC Pollock</w:t>
            </w:r>
          </w:p>
        </w:tc>
        <w:tc>
          <w:tcPr>
            <w:tcW w:w="6675" w:type="dxa"/>
            <w:tcMar>
              <w:top w:w="100" w:type="dxa"/>
              <w:left w:w="100" w:type="dxa"/>
              <w:bottom w:w="100" w:type="dxa"/>
              <w:right w:w="100" w:type="dxa"/>
            </w:tcMar>
          </w:tcPr>
          <w:p w:rsidR="0014172F" w:rsidRDefault="0014172F" w:rsidP="00C8045A">
            <w:pPr>
              <w:pStyle w:val="Normal1"/>
              <w:widowControl w:val="0"/>
            </w:pPr>
            <w:r>
              <w:t>Total allowable catch of pollock.</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Total charter businesses</w:t>
            </w:r>
          </w:p>
        </w:tc>
        <w:tc>
          <w:tcPr>
            <w:tcW w:w="6675" w:type="dxa"/>
            <w:tcMar>
              <w:top w:w="100" w:type="dxa"/>
              <w:left w:w="100" w:type="dxa"/>
              <w:bottom w:w="100" w:type="dxa"/>
              <w:right w:w="100" w:type="dxa"/>
            </w:tcMar>
          </w:tcPr>
          <w:p w:rsidR="0014172F" w:rsidRDefault="0014172F" w:rsidP="00C8045A">
            <w:pPr>
              <w:pStyle w:val="Normal1"/>
              <w:widowControl w:val="0"/>
            </w:pPr>
            <w:r>
              <w:t xml:space="preserve">Total number of businesses operating charter halibut fishing trips.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Total charter trips</w:t>
            </w:r>
          </w:p>
        </w:tc>
        <w:tc>
          <w:tcPr>
            <w:tcW w:w="6675" w:type="dxa"/>
            <w:tcMar>
              <w:top w:w="100" w:type="dxa"/>
              <w:left w:w="100" w:type="dxa"/>
              <w:bottom w:w="100" w:type="dxa"/>
              <w:right w:w="100" w:type="dxa"/>
            </w:tcMar>
          </w:tcPr>
          <w:p w:rsidR="0014172F" w:rsidRDefault="0014172F" w:rsidP="00C8045A">
            <w:pPr>
              <w:pStyle w:val="Normal1"/>
              <w:widowControl w:val="0"/>
            </w:pPr>
            <w:r>
              <w:t xml:space="preserve">Total number of trips taken by the charter halibut fishing sector. </w:t>
            </w:r>
          </w:p>
        </w:tc>
      </w:tr>
      <w:tr w:rsidR="0014172F" w:rsidTr="00C8045A">
        <w:tc>
          <w:tcPr>
            <w:tcW w:w="2685" w:type="dxa"/>
            <w:tcMar>
              <w:top w:w="100" w:type="dxa"/>
              <w:left w:w="100" w:type="dxa"/>
              <w:bottom w:w="100" w:type="dxa"/>
              <w:right w:w="100" w:type="dxa"/>
            </w:tcMar>
          </w:tcPr>
          <w:p w:rsidR="0014172F" w:rsidRDefault="0014172F" w:rsidP="00C8045A">
            <w:pPr>
              <w:pStyle w:val="Normal1"/>
              <w:widowControl w:val="0"/>
            </w:pPr>
            <w:r>
              <w:t>Total sportfishing licences</w:t>
            </w:r>
          </w:p>
        </w:tc>
        <w:tc>
          <w:tcPr>
            <w:tcW w:w="6675" w:type="dxa"/>
            <w:tcMar>
              <w:top w:w="100" w:type="dxa"/>
              <w:left w:w="100" w:type="dxa"/>
              <w:bottom w:w="100" w:type="dxa"/>
              <w:right w:w="100" w:type="dxa"/>
            </w:tcMar>
          </w:tcPr>
          <w:p w:rsidR="0014172F" w:rsidRDefault="0014172F" w:rsidP="00C8045A">
            <w:pPr>
              <w:pStyle w:val="Normal1"/>
              <w:widowControl w:val="0"/>
            </w:pPr>
            <w:r>
              <w:t xml:space="preserve">Total number of sportfishing licenses used by recreational anglers. </w:t>
            </w:r>
          </w:p>
        </w:tc>
      </w:tr>
    </w:tbl>
    <w:p w:rsidR="0014172F" w:rsidRDefault="0014172F" w:rsidP="0014172F">
      <w:pPr>
        <w:pStyle w:val="Normal1"/>
        <w:spacing w:after="200"/>
      </w:pPr>
    </w:p>
    <w:p w:rsidR="0014172F" w:rsidRDefault="0014172F" w:rsidP="0014172F">
      <w:pPr>
        <w:pStyle w:val="Normal1"/>
      </w:pPr>
    </w:p>
    <w:p w:rsidR="0014172F" w:rsidRDefault="0014172F">
      <w:r>
        <w:br w:type="page"/>
      </w:r>
    </w:p>
    <w:p w:rsidR="00BE7044" w:rsidRDefault="00BE7044" w:rsidP="0014172F">
      <w:pPr>
        <w:pStyle w:val="Normal1"/>
      </w:pPr>
    </w:p>
    <w:p w:rsidR="008563AA" w:rsidRDefault="00594A38" w:rsidP="008563AA">
      <w:r w:rsidRPr="00594A38">
        <w:t>Supplemental Table 6</w:t>
      </w:r>
      <w:r w:rsidR="008563AA">
        <w:t xml:space="preserve">. </w:t>
      </w:r>
      <w:r w:rsidR="008563AA" w:rsidRPr="001C7B6F">
        <w:t xml:space="preserve">Results of bottom-up and top-down perturbation simulations with </w:t>
      </w:r>
      <w:r w:rsidR="008563AA">
        <w:t xml:space="preserve">the pollock focal species model: 0 indicates no change to variable, + indicates variable increased, - indicates variable decreased. Percent of 1000 simulations with the change are indicated in parentheses. Colors indicate certainty: Blue shading indicates increase in &gt;70% of simulations, orange decrease in &gt;70% of simulations, and unshaded cells did not respond to the perturbation. Ambiguous responses list the percent of simulations in each direction. </w:t>
      </w:r>
    </w:p>
    <w:p w:rsidR="008563AA" w:rsidRDefault="008563AA" w:rsidP="008563AA"/>
    <w:tbl>
      <w:tblPr>
        <w:tblW w:w="9662" w:type="dxa"/>
        <w:tblInd w:w="78" w:type="dxa"/>
        <w:tblLayout w:type="fixed"/>
        <w:tblLook w:val="0000" w:firstRow="0" w:lastRow="0" w:firstColumn="0" w:lastColumn="0" w:noHBand="0" w:noVBand="0"/>
      </w:tblPr>
      <w:tblGrid>
        <w:gridCol w:w="2678"/>
        <w:gridCol w:w="2362"/>
        <w:gridCol w:w="1541"/>
        <w:gridCol w:w="1541"/>
        <w:gridCol w:w="1540"/>
      </w:tblGrid>
      <w:tr w:rsidR="008563AA" w:rsidRPr="00136BE7" w:rsidTr="00194F13">
        <w:trPr>
          <w:trHeight w:val="278"/>
        </w:trPr>
        <w:tc>
          <w:tcPr>
            <w:tcW w:w="2678" w:type="dxa"/>
            <w:tcBorders>
              <w:top w:val="single" w:sz="6" w:space="0" w:color="auto"/>
              <w:left w:val="nil"/>
              <w:bottom w:val="nil"/>
              <w:right w:val="nil"/>
            </w:tcBorders>
          </w:tcPr>
          <w:p w:rsidR="008563AA" w:rsidRPr="00136BE7" w:rsidRDefault="008563AA" w:rsidP="00194F13">
            <w:pPr>
              <w:widowControl w:val="0"/>
              <w:autoSpaceDE w:val="0"/>
              <w:autoSpaceDN w:val="0"/>
              <w:adjustRightInd w:val="0"/>
              <w:rPr>
                <w:rFonts w:ascii="Calibri" w:hAnsi="Calibri" w:cs="Calibri"/>
                <w:b/>
                <w:bCs/>
                <w:sz w:val="20"/>
                <w:szCs w:val="20"/>
              </w:rPr>
            </w:pPr>
            <w:r w:rsidRPr="00136BE7">
              <w:rPr>
                <w:rFonts w:ascii="Calibri" w:hAnsi="Calibri" w:cs="Calibri"/>
                <w:b/>
                <w:bCs/>
                <w:sz w:val="20"/>
                <w:szCs w:val="20"/>
              </w:rPr>
              <w:t>Variable</w:t>
            </w:r>
          </w:p>
        </w:tc>
        <w:tc>
          <w:tcPr>
            <w:tcW w:w="2362" w:type="dxa"/>
            <w:tcBorders>
              <w:top w:val="single" w:sz="6" w:space="0" w:color="auto"/>
              <w:left w:val="nil"/>
              <w:bottom w:val="nil"/>
              <w:right w:val="nil"/>
            </w:tcBorders>
          </w:tcPr>
          <w:p w:rsidR="008563AA" w:rsidRPr="00136BE7" w:rsidRDefault="008563AA" w:rsidP="00194F13">
            <w:pPr>
              <w:widowControl w:val="0"/>
              <w:autoSpaceDE w:val="0"/>
              <w:autoSpaceDN w:val="0"/>
              <w:adjustRightInd w:val="0"/>
              <w:rPr>
                <w:rFonts w:ascii="Calibri" w:hAnsi="Calibri" w:cs="Calibri"/>
                <w:b/>
                <w:bCs/>
                <w:sz w:val="20"/>
                <w:szCs w:val="20"/>
              </w:rPr>
            </w:pPr>
            <w:r w:rsidRPr="00136BE7">
              <w:rPr>
                <w:rFonts w:ascii="Calibri" w:hAnsi="Calibri" w:cs="Calibri"/>
                <w:b/>
                <w:bCs/>
                <w:sz w:val="20"/>
                <w:szCs w:val="20"/>
              </w:rPr>
              <w:t>Group</w:t>
            </w:r>
          </w:p>
        </w:tc>
        <w:tc>
          <w:tcPr>
            <w:tcW w:w="1541" w:type="dxa"/>
            <w:gridSpan w:val="2"/>
            <w:tcBorders>
              <w:top w:val="single" w:sz="6" w:space="0" w:color="auto"/>
              <w:left w:val="nil"/>
              <w:bottom w:val="nil"/>
              <w:right w:val="nil"/>
            </w:tcBorders>
          </w:tcPr>
          <w:p w:rsidR="008563AA" w:rsidRPr="00136BE7" w:rsidRDefault="008563AA" w:rsidP="00194F13">
            <w:pPr>
              <w:widowControl w:val="0"/>
              <w:autoSpaceDE w:val="0"/>
              <w:autoSpaceDN w:val="0"/>
              <w:adjustRightInd w:val="0"/>
              <w:jc w:val="right"/>
              <w:rPr>
                <w:rFonts w:ascii="Calibri" w:hAnsi="Calibri" w:cs="Calibri"/>
                <w:b/>
                <w:bCs/>
                <w:sz w:val="20"/>
                <w:szCs w:val="20"/>
              </w:rPr>
            </w:pPr>
            <w:r w:rsidRPr="00136BE7">
              <w:rPr>
                <w:rFonts w:ascii="Calibri" w:hAnsi="Calibri" w:cs="Calibri"/>
                <w:b/>
                <w:bCs/>
                <w:sz w:val="20"/>
                <w:szCs w:val="20"/>
              </w:rPr>
              <w:t>Simulated perturbation</w:t>
            </w:r>
          </w:p>
        </w:tc>
        <w:tc>
          <w:tcPr>
            <w:tcW w:w="1540" w:type="dxa"/>
            <w:tcBorders>
              <w:top w:val="single" w:sz="6" w:space="0" w:color="auto"/>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p>
        </w:tc>
      </w:tr>
      <w:tr w:rsidR="008563AA" w:rsidRPr="00136BE7" w:rsidTr="00194F13">
        <w:trPr>
          <w:trHeight w:val="576"/>
        </w:trPr>
        <w:tc>
          <w:tcPr>
            <w:tcW w:w="2678"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right"/>
              <w:rPr>
                <w:rFonts w:ascii="Calibri" w:hAnsi="Calibri" w:cs="Calibri"/>
                <w:b/>
                <w:bCs/>
                <w:sz w:val="20"/>
                <w:szCs w:val="20"/>
              </w:rPr>
            </w:pPr>
          </w:p>
        </w:tc>
        <w:tc>
          <w:tcPr>
            <w:tcW w:w="2362"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right"/>
              <w:rPr>
                <w:rFonts w:ascii="Calibri" w:hAnsi="Calibri" w:cs="Calibri"/>
                <w:b/>
                <w:bCs/>
                <w:sz w:val="20"/>
                <w:szCs w:val="20"/>
              </w:rPr>
            </w:pPr>
          </w:p>
        </w:tc>
        <w:tc>
          <w:tcPr>
            <w:tcW w:w="1541"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r w:rsidRPr="00136BE7">
              <w:rPr>
                <w:rFonts w:ascii="Calibri" w:hAnsi="Calibri" w:cs="Calibri"/>
                <w:b/>
                <w:bCs/>
                <w:sz w:val="20"/>
                <w:szCs w:val="20"/>
              </w:rPr>
              <w:t>PDO increase</w:t>
            </w:r>
          </w:p>
        </w:tc>
        <w:tc>
          <w:tcPr>
            <w:tcW w:w="1541"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r w:rsidRPr="00136BE7">
              <w:rPr>
                <w:rFonts w:ascii="Calibri" w:hAnsi="Calibri" w:cs="Calibri"/>
                <w:b/>
                <w:bCs/>
                <w:sz w:val="20"/>
                <w:szCs w:val="20"/>
              </w:rPr>
              <w:t>Phytoplankton increase</w:t>
            </w:r>
          </w:p>
        </w:tc>
        <w:tc>
          <w:tcPr>
            <w:tcW w:w="1540"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r w:rsidRPr="00136BE7">
              <w:rPr>
                <w:rFonts w:ascii="Calibri" w:hAnsi="Calibri" w:cs="Calibri"/>
                <w:b/>
                <w:bCs/>
                <w:sz w:val="20"/>
                <w:szCs w:val="20"/>
              </w:rPr>
              <w:t>PSC decrease</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ENSO</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NPGO</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NPI</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PDO</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41"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Water Temp</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41"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Winds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Copepods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1"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Euphausiids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1"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Phytoplankton</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1"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Shrimps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Juv_pollock</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focal</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-(54%) +(46%)</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-(68%) +(32%)</w:t>
            </w:r>
          </w:p>
        </w:tc>
        <w:tc>
          <w:tcPr>
            <w:tcW w:w="1540"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Pollock</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focal</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(79%)</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-(33%) + (67%)</w:t>
            </w:r>
          </w:p>
        </w:tc>
        <w:tc>
          <w:tcPr>
            <w:tcW w:w="1540"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predator/competitor</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Halibut</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predator/competitor</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 cod</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predator/competitor</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Crew days at sea</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(79%)</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-(33%) + (67%)</w:t>
            </w:r>
          </w:p>
        </w:tc>
        <w:tc>
          <w:tcPr>
            <w:tcW w:w="1540"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Halibut PSC cap</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Pollock active vessels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(79%)</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-(33%) + (67%)</w:t>
            </w:r>
          </w:p>
        </w:tc>
        <w:tc>
          <w:tcPr>
            <w:tcW w:w="1540"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Pollock price</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Pr>
                <w:rFonts w:ascii="Calibri" w:hAnsi="Calibri" w:cs="Calibri"/>
                <w:sz w:val="20"/>
                <w:szCs w:val="20"/>
              </w:rPr>
              <w:t>Pollock t</w:t>
            </w:r>
            <w:r w:rsidRPr="00136BE7">
              <w:rPr>
                <w:rFonts w:ascii="Calibri" w:hAnsi="Calibri" w:cs="Calibri"/>
                <w:sz w:val="20"/>
                <w:szCs w:val="20"/>
              </w:rPr>
              <w:t>otal landings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(79%)</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-(33%) + (67%)</w:t>
            </w:r>
          </w:p>
        </w:tc>
        <w:tc>
          <w:tcPr>
            <w:tcW w:w="1540"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Pollock vessel costs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-(58%) +(42%)</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-(44%) +(56%)</w:t>
            </w:r>
          </w:p>
        </w:tc>
        <w:tc>
          <w:tcPr>
            <w:tcW w:w="1540"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-(33%) + (67%)</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Pollock vessel profits</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-(54%) + 46%)</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-(49%) +(51%)</w:t>
            </w:r>
          </w:p>
        </w:tc>
        <w:tc>
          <w:tcPr>
            <w:tcW w:w="1540"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Pollock vessel revenue</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(79%)</w:t>
            </w:r>
          </w:p>
        </w:tc>
        <w:tc>
          <w:tcPr>
            <w:tcW w:w="1541"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-(33%) + (67%)</w:t>
            </w:r>
          </w:p>
        </w:tc>
        <w:tc>
          <w:tcPr>
            <w:tcW w:w="1540"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678"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Salmon PSC cap</w:t>
            </w:r>
          </w:p>
        </w:tc>
        <w:tc>
          <w:tcPr>
            <w:tcW w:w="236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1"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40"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98"/>
        </w:trPr>
        <w:tc>
          <w:tcPr>
            <w:tcW w:w="2678"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TAC</w:t>
            </w:r>
          </w:p>
        </w:tc>
        <w:tc>
          <w:tcPr>
            <w:tcW w:w="2362"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41" w:type="dxa"/>
            <w:tcBorders>
              <w:top w:val="nil"/>
              <w:left w:val="nil"/>
              <w:bottom w:val="single" w:sz="6" w:space="0" w:color="auto"/>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(79%)</w:t>
            </w:r>
          </w:p>
        </w:tc>
        <w:tc>
          <w:tcPr>
            <w:tcW w:w="1541" w:type="dxa"/>
            <w:tcBorders>
              <w:top w:val="nil"/>
              <w:left w:val="nil"/>
              <w:bottom w:val="single" w:sz="6" w:space="0" w:color="auto"/>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-(33%) + (67%)</w:t>
            </w:r>
          </w:p>
        </w:tc>
        <w:tc>
          <w:tcPr>
            <w:tcW w:w="1540" w:type="dxa"/>
            <w:tcBorders>
              <w:top w:val="nil"/>
              <w:left w:val="nil"/>
              <w:bottom w:val="single" w:sz="6" w:space="0" w:color="auto"/>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bl>
    <w:p w:rsidR="008563AA" w:rsidRDefault="008563AA" w:rsidP="008563AA"/>
    <w:p w:rsidR="008563AA" w:rsidRDefault="008563AA" w:rsidP="008563AA"/>
    <w:p w:rsidR="008563AA" w:rsidRDefault="008563AA" w:rsidP="008563AA">
      <w:r>
        <w:br w:type="page"/>
      </w:r>
    </w:p>
    <w:p w:rsidR="008563AA" w:rsidRDefault="00594A38" w:rsidP="008563AA">
      <w:r w:rsidRPr="00594A38">
        <w:lastRenderedPageBreak/>
        <w:t xml:space="preserve">Supplemental </w:t>
      </w:r>
      <w:r w:rsidR="008563AA" w:rsidRPr="00594A38">
        <w:t xml:space="preserve">Table </w:t>
      </w:r>
      <w:r w:rsidRPr="00594A38">
        <w:t>7</w:t>
      </w:r>
      <w:r w:rsidR="008563AA" w:rsidRPr="00594A38">
        <w:t>.</w:t>
      </w:r>
      <w:r w:rsidR="008563AA">
        <w:t xml:space="preserve"> </w:t>
      </w:r>
      <w:r w:rsidR="008563AA" w:rsidRPr="001C7B6F">
        <w:t xml:space="preserve">Results of bottom-up and top-down perturbation simulations with </w:t>
      </w:r>
      <w:r w:rsidR="008563AA">
        <w:t>the arrowtooth focal species model: 0 indicates no change to variable, + indicates variable increased, - indicates variable decreased. Percent of 1000 simulations with the change are indicated in parentheses. Colors indicate certainty: Blue shading indicates increase in &gt;70% of simulations, orange decrease in &gt;70% of simulations, and unshaded cells did not respond to the perturbation. Ambiguous responses list the percent of simulations in each direction.</w:t>
      </w:r>
    </w:p>
    <w:p w:rsidR="008563AA" w:rsidRDefault="008563AA" w:rsidP="008563AA"/>
    <w:tbl>
      <w:tblPr>
        <w:tblW w:w="9869" w:type="dxa"/>
        <w:tblInd w:w="78" w:type="dxa"/>
        <w:tblLayout w:type="fixed"/>
        <w:tblLook w:val="0000" w:firstRow="0" w:lastRow="0" w:firstColumn="0" w:lastColumn="0" w:noHBand="0" w:noVBand="0"/>
      </w:tblPr>
      <w:tblGrid>
        <w:gridCol w:w="2842"/>
        <w:gridCol w:w="2520"/>
        <w:gridCol w:w="1502"/>
        <w:gridCol w:w="1502"/>
        <w:gridCol w:w="1503"/>
      </w:tblGrid>
      <w:tr w:rsidR="008563AA" w:rsidRPr="00136BE7" w:rsidTr="00194F13">
        <w:trPr>
          <w:trHeight w:val="278"/>
        </w:trPr>
        <w:tc>
          <w:tcPr>
            <w:tcW w:w="2842" w:type="dxa"/>
            <w:tcBorders>
              <w:top w:val="single" w:sz="6" w:space="0" w:color="auto"/>
              <w:left w:val="nil"/>
              <w:bottom w:val="nil"/>
              <w:right w:val="nil"/>
            </w:tcBorders>
          </w:tcPr>
          <w:p w:rsidR="008563AA" w:rsidRPr="00136BE7" w:rsidRDefault="008563AA" w:rsidP="00194F13">
            <w:pPr>
              <w:widowControl w:val="0"/>
              <w:autoSpaceDE w:val="0"/>
              <w:autoSpaceDN w:val="0"/>
              <w:adjustRightInd w:val="0"/>
              <w:rPr>
                <w:rFonts w:ascii="Calibri" w:hAnsi="Calibri" w:cs="Calibri"/>
                <w:b/>
                <w:bCs/>
                <w:sz w:val="20"/>
                <w:szCs w:val="20"/>
              </w:rPr>
            </w:pPr>
            <w:r w:rsidRPr="00136BE7">
              <w:rPr>
                <w:rFonts w:ascii="Calibri" w:hAnsi="Calibri" w:cs="Calibri"/>
                <w:b/>
                <w:bCs/>
                <w:sz w:val="20"/>
                <w:szCs w:val="20"/>
              </w:rPr>
              <w:t>Variable</w:t>
            </w:r>
          </w:p>
        </w:tc>
        <w:tc>
          <w:tcPr>
            <w:tcW w:w="2520" w:type="dxa"/>
            <w:tcBorders>
              <w:top w:val="single" w:sz="6" w:space="0" w:color="auto"/>
              <w:left w:val="nil"/>
              <w:bottom w:val="nil"/>
              <w:right w:val="nil"/>
            </w:tcBorders>
          </w:tcPr>
          <w:p w:rsidR="008563AA" w:rsidRPr="00136BE7" w:rsidRDefault="008563AA" w:rsidP="00194F13">
            <w:pPr>
              <w:widowControl w:val="0"/>
              <w:autoSpaceDE w:val="0"/>
              <w:autoSpaceDN w:val="0"/>
              <w:adjustRightInd w:val="0"/>
              <w:rPr>
                <w:rFonts w:ascii="Calibri" w:hAnsi="Calibri" w:cs="Calibri"/>
                <w:b/>
                <w:bCs/>
                <w:sz w:val="20"/>
                <w:szCs w:val="20"/>
              </w:rPr>
            </w:pPr>
            <w:r w:rsidRPr="00136BE7">
              <w:rPr>
                <w:rFonts w:ascii="Calibri" w:hAnsi="Calibri" w:cs="Calibri"/>
                <w:b/>
                <w:bCs/>
                <w:sz w:val="20"/>
                <w:szCs w:val="20"/>
              </w:rPr>
              <w:t>Group</w:t>
            </w:r>
          </w:p>
        </w:tc>
        <w:tc>
          <w:tcPr>
            <w:tcW w:w="3004" w:type="dxa"/>
            <w:gridSpan w:val="2"/>
            <w:tcBorders>
              <w:top w:val="single" w:sz="6" w:space="0" w:color="auto"/>
              <w:left w:val="nil"/>
              <w:bottom w:val="nil"/>
              <w:right w:val="nil"/>
            </w:tcBorders>
          </w:tcPr>
          <w:p w:rsidR="008563AA" w:rsidRPr="00136BE7" w:rsidRDefault="008563AA" w:rsidP="00194F13">
            <w:pPr>
              <w:widowControl w:val="0"/>
              <w:autoSpaceDE w:val="0"/>
              <w:autoSpaceDN w:val="0"/>
              <w:adjustRightInd w:val="0"/>
              <w:jc w:val="right"/>
              <w:rPr>
                <w:rFonts w:ascii="Calibri" w:hAnsi="Calibri" w:cs="Calibri"/>
                <w:b/>
                <w:bCs/>
                <w:sz w:val="20"/>
                <w:szCs w:val="20"/>
              </w:rPr>
            </w:pPr>
            <w:r w:rsidRPr="00136BE7">
              <w:rPr>
                <w:rFonts w:ascii="Calibri" w:hAnsi="Calibri" w:cs="Calibri"/>
                <w:b/>
                <w:bCs/>
                <w:sz w:val="20"/>
                <w:szCs w:val="20"/>
              </w:rPr>
              <w:t>Simulated perturbation</w:t>
            </w:r>
          </w:p>
        </w:tc>
        <w:tc>
          <w:tcPr>
            <w:tcW w:w="1503" w:type="dxa"/>
            <w:tcBorders>
              <w:top w:val="single" w:sz="6" w:space="0" w:color="auto"/>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p>
        </w:tc>
      </w:tr>
      <w:tr w:rsidR="008563AA" w:rsidRPr="00136BE7" w:rsidTr="00194F13">
        <w:trPr>
          <w:trHeight w:val="576"/>
        </w:trPr>
        <w:tc>
          <w:tcPr>
            <w:tcW w:w="2842"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right"/>
              <w:rPr>
                <w:rFonts w:ascii="Calibri" w:hAnsi="Calibri" w:cs="Calibri"/>
                <w:b/>
                <w:bCs/>
                <w:sz w:val="20"/>
                <w:szCs w:val="20"/>
              </w:rPr>
            </w:pPr>
          </w:p>
        </w:tc>
        <w:tc>
          <w:tcPr>
            <w:tcW w:w="2520"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right"/>
              <w:rPr>
                <w:rFonts w:ascii="Calibri" w:hAnsi="Calibri" w:cs="Calibri"/>
                <w:b/>
                <w:bCs/>
                <w:sz w:val="20"/>
                <w:szCs w:val="20"/>
              </w:rPr>
            </w:pPr>
          </w:p>
        </w:tc>
        <w:tc>
          <w:tcPr>
            <w:tcW w:w="1502"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r w:rsidRPr="00136BE7">
              <w:rPr>
                <w:rFonts w:ascii="Calibri" w:hAnsi="Calibri" w:cs="Calibri"/>
                <w:b/>
                <w:bCs/>
                <w:sz w:val="20"/>
                <w:szCs w:val="20"/>
              </w:rPr>
              <w:t>PDO increase</w:t>
            </w:r>
          </w:p>
        </w:tc>
        <w:tc>
          <w:tcPr>
            <w:tcW w:w="1502"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r w:rsidRPr="00136BE7">
              <w:rPr>
                <w:rFonts w:ascii="Calibri" w:hAnsi="Calibri" w:cs="Calibri"/>
                <w:b/>
                <w:bCs/>
                <w:sz w:val="20"/>
                <w:szCs w:val="20"/>
              </w:rPr>
              <w:t>Phytoplankton increase</w:t>
            </w:r>
          </w:p>
        </w:tc>
        <w:tc>
          <w:tcPr>
            <w:tcW w:w="1503"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jc w:val="center"/>
              <w:rPr>
                <w:rFonts w:ascii="Calibri" w:hAnsi="Calibri" w:cs="Calibri"/>
                <w:b/>
                <w:bCs/>
                <w:sz w:val="20"/>
                <w:szCs w:val="20"/>
              </w:rPr>
            </w:pPr>
            <w:r w:rsidRPr="00136BE7">
              <w:rPr>
                <w:rFonts w:ascii="Calibri" w:hAnsi="Calibri" w:cs="Calibri"/>
                <w:b/>
                <w:bCs/>
                <w:sz w:val="20"/>
                <w:szCs w:val="20"/>
              </w:rPr>
              <w:t>PSC decrease</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ENSO</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NPGO</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NPI</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PDO</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Water Temp</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Winds</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environmental</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Capelin</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Copepods</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Euphausiids</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Phytoplankton</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prey</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Pollock</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Pr>
                <w:rFonts w:ascii="Calibri" w:hAnsi="Calibri" w:cs="Calibri"/>
                <w:sz w:val="20"/>
                <w:szCs w:val="20"/>
              </w:rPr>
              <w:t>prey</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w:t>
            </w:r>
            <w:r>
              <w:rPr>
                <w:rFonts w:ascii="Calibri" w:hAnsi="Calibri" w:cs="Calibri"/>
                <w:sz w:val="20"/>
                <w:szCs w:val="20"/>
              </w:rPr>
              <w:t>85</w:t>
            </w:r>
            <w:r w:rsidRPr="00136BE7">
              <w:rPr>
                <w:rFonts w:ascii="Calibri" w:hAnsi="Calibri" w:cs="Calibri"/>
                <w:sz w:val="20"/>
                <w:szCs w:val="20"/>
              </w:rPr>
              <w:t>%)</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(7</w:t>
            </w:r>
            <w:r>
              <w:rPr>
                <w:rFonts w:ascii="Calibri" w:hAnsi="Calibri" w:cs="Calibri"/>
                <w:sz w:val="20"/>
                <w:szCs w:val="20"/>
              </w:rPr>
              <w:t>4</w:t>
            </w:r>
            <w:r w:rsidRPr="00136BE7">
              <w:rPr>
                <w:rFonts w:ascii="Calibri" w:hAnsi="Calibri" w:cs="Calibri"/>
                <w:sz w:val="20"/>
                <w:szCs w:val="20"/>
              </w:rPr>
              <w:t>%)</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focal</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8</w:t>
            </w:r>
            <w:r w:rsidRPr="00136BE7">
              <w:rPr>
                <w:rFonts w:ascii="Calibri" w:hAnsi="Calibri" w:cs="Calibri"/>
                <w:sz w:val="20"/>
                <w:szCs w:val="20"/>
              </w:rPr>
              <w:t>%)</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6</w:t>
            </w:r>
            <w:r w:rsidRPr="00136BE7">
              <w:rPr>
                <w:rFonts w:ascii="Calibri" w:hAnsi="Calibri" w:cs="Calibri"/>
                <w:sz w:val="20"/>
                <w:szCs w:val="20"/>
              </w:rPr>
              <w:t>%)</w:t>
            </w:r>
          </w:p>
        </w:tc>
        <w:tc>
          <w:tcPr>
            <w:tcW w:w="1503"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w:t>
            </w:r>
            <w:r>
              <w:rPr>
                <w:rFonts w:ascii="Calibri" w:hAnsi="Calibri" w:cs="Calibri"/>
                <w:sz w:val="20"/>
                <w:szCs w:val="20"/>
              </w:rPr>
              <w:t xml:space="preserve"> </w:t>
            </w:r>
            <w:r w:rsidRPr="00136BE7">
              <w:rPr>
                <w:rFonts w:ascii="Calibri" w:hAnsi="Calibri" w:cs="Calibri"/>
                <w:sz w:val="20"/>
                <w:szCs w:val="20"/>
              </w:rPr>
              <w:t>Juv</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focal</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w:t>
            </w:r>
            <w:r>
              <w:rPr>
                <w:rFonts w:ascii="Calibri" w:hAnsi="Calibri" w:cs="Calibri"/>
                <w:sz w:val="20"/>
                <w:szCs w:val="20"/>
              </w:rPr>
              <w:t xml:space="preserve">h </w:t>
            </w:r>
            <w:r w:rsidRPr="00136BE7">
              <w:rPr>
                <w:rFonts w:ascii="Calibri" w:hAnsi="Calibri" w:cs="Calibri"/>
                <w:sz w:val="20"/>
                <w:szCs w:val="20"/>
              </w:rPr>
              <w:t>Larvae</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focal</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 active vessels</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 price</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 total landings</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 vessel costs</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8</w:t>
            </w:r>
            <w:r w:rsidRPr="00136BE7">
              <w:rPr>
                <w:rFonts w:ascii="Calibri" w:hAnsi="Calibri" w:cs="Calibri"/>
                <w:sz w:val="20"/>
                <w:szCs w:val="20"/>
              </w:rPr>
              <w:t>%)</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6</w:t>
            </w:r>
            <w:r w:rsidRPr="00136BE7">
              <w:rPr>
                <w:rFonts w:ascii="Calibri" w:hAnsi="Calibri" w:cs="Calibri"/>
                <w:sz w:val="20"/>
                <w:szCs w:val="20"/>
              </w:rPr>
              <w:t>%)</w:t>
            </w:r>
          </w:p>
        </w:tc>
        <w:tc>
          <w:tcPr>
            <w:tcW w:w="1503"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 vessel profits</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8</w:t>
            </w:r>
            <w:r w:rsidRPr="00136BE7">
              <w:rPr>
                <w:rFonts w:ascii="Calibri" w:hAnsi="Calibri" w:cs="Calibri"/>
                <w:sz w:val="20"/>
                <w:szCs w:val="20"/>
              </w:rPr>
              <w:t>%)</w:t>
            </w:r>
          </w:p>
        </w:tc>
        <w:tc>
          <w:tcPr>
            <w:tcW w:w="1502" w:type="dxa"/>
            <w:tcBorders>
              <w:top w:val="nil"/>
              <w:left w:val="nil"/>
              <w:bottom w:val="nil"/>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6</w:t>
            </w:r>
            <w:r w:rsidRPr="00136BE7">
              <w:rPr>
                <w:rFonts w:ascii="Calibri" w:hAnsi="Calibri" w:cs="Calibri"/>
                <w:sz w:val="20"/>
                <w:szCs w:val="20"/>
              </w:rPr>
              <w:t>%)</w:t>
            </w:r>
          </w:p>
        </w:tc>
        <w:tc>
          <w:tcPr>
            <w:tcW w:w="1503" w:type="dxa"/>
            <w:tcBorders>
              <w:top w:val="nil"/>
              <w:left w:val="nil"/>
              <w:bottom w:val="nil"/>
              <w:right w:val="nil"/>
            </w:tcBorders>
            <w:shd w:val="vertStripe" w:color="FFCC99"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w:t>
            </w:r>
            <w:r>
              <w:rPr>
                <w:rFonts w:ascii="Calibri" w:hAnsi="Calibri" w:cs="Calibri"/>
                <w:sz w:val="20"/>
                <w:szCs w:val="20"/>
              </w:rPr>
              <w:t>49</w:t>
            </w:r>
            <w:r w:rsidRPr="00136BE7">
              <w:rPr>
                <w:rFonts w:ascii="Calibri" w:hAnsi="Calibri" w:cs="Calibri"/>
                <w:sz w:val="20"/>
                <w:szCs w:val="20"/>
              </w:rPr>
              <w:t>%) +(5</w:t>
            </w:r>
            <w:r>
              <w:rPr>
                <w:rFonts w:ascii="Calibri" w:hAnsi="Calibri" w:cs="Calibri"/>
                <w:sz w:val="20"/>
                <w:szCs w:val="20"/>
              </w:rPr>
              <w:t>1</w:t>
            </w:r>
            <w:r w:rsidRPr="00136BE7">
              <w:rPr>
                <w:rFonts w:ascii="Calibri" w:hAnsi="Calibri" w:cs="Calibri"/>
                <w:sz w:val="20"/>
                <w:szCs w:val="20"/>
              </w:rPr>
              <w:t>%)</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Arrowtooth vessel revenue</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Crew days at sea</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r>
      <w:tr w:rsidR="008563AA" w:rsidRPr="00136BE7" w:rsidTr="00194F13">
        <w:trPr>
          <w:trHeight w:val="278"/>
        </w:trPr>
        <w:tc>
          <w:tcPr>
            <w:tcW w:w="2842"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Halibut PSC cap</w:t>
            </w:r>
          </w:p>
        </w:tc>
        <w:tc>
          <w:tcPr>
            <w:tcW w:w="2520" w:type="dxa"/>
            <w:tcBorders>
              <w:top w:val="nil"/>
              <w:left w:val="nil"/>
              <w:bottom w:val="nil"/>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2" w:type="dxa"/>
            <w:tcBorders>
              <w:top w:val="nil"/>
              <w:left w:val="nil"/>
              <w:bottom w:val="nil"/>
              <w:right w:val="nil"/>
            </w:tcBorders>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0 (100%)</w:t>
            </w:r>
          </w:p>
        </w:tc>
        <w:tc>
          <w:tcPr>
            <w:tcW w:w="1503" w:type="dxa"/>
            <w:tcBorders>
              <w:top w:val="nil"/>
              <w:left w:val="nil"/>
              <w:bottom w:val="nil"/>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r w:rsidR="008563AA" w:rsidRPr="00136BE7" w:rsidTr="00194F13">
        <w:trPr>
          <w:trHeight w:val="298"/>
        </w:trPr>
        <w:tc>
          <w:tcPr>
            <w:tcW w:w="2842"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TAC</w:t>
            </w:r>
          </w:p>
        </w:tc>
        <w:tc>
          <w:tcPr>
            <w:tcW w:w="2520" w:type="dxa"/>
            <w:tcBorders>
              <w:top w:val="nil"/>
              <w:left w:val="nil"/>
              <w:bottom w:val="single" w:sz="6" w:space="0" w:color="auto"/>
              <w:right w:val="nil"/>
            </w:tcBorders>
          </w:tcPr>
          <w:p w:rsidR="008563AA" w:rsidRPr="00136BE7" w:rsidRDefault="008563AA" w:rsidP="00194F13">
            <w:pPr>
              <w:widowControl w:val="0"/>
              <w:autoSpaceDE w:val="0"/>
              <w:autoSpaceDN w:val="0"/>
              <w:adjustRightInd w:val="0"/>
              <w:rPr>
                <w:rFonts w:ascii="Calibri" w:hAnsi="Calibri" w:cs="Calibri"/>
                <w:sz w:val="20"/>
                <w:szCs w:val="20"/>
              </w:rPr>
            </w:pPr>
            <w:r w:rsidRPr="00136BE7">
              <w:rPr>
                <w:rFonts w:ascii="Calibri" w:hAnsi="Calibri" w:cs="Calibri"/>
                <w:sz w:val="20"/>
                <w:szCs w:val="20"/>
              </w:rPr>
              <w:t>community of practice</w:t>
            </w:r>
          </w:p>
        </w:tc>
        <w:tc>
          <w:tcPr>
            <w:tcW w:w="1502" w:type="dxa"/>
            <w:tcBorders>
              <w:top w:val="nil"/>
              <w:left w:val="nil"/>
              <w:bottom w:val="single" w:sz="6" w:space="0" w:color="auto"/>
              <w:right w:val="nil"/>
            </w:tcBorders>
            <w:shd w:val="solid" w:color="FFCC99" w:fill="auto"/>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8</w:t>
            </w:r>
            <w:r w:rsidRPr="00136BE7">
              <w:rPr>
                <w:rFonts w:ascii="Calibri" w:hAnsi="Calibri" w:cs="Calibri"/>
                <w:sz w:val="20"/>
                <w:szCs w:val="20"/>
              </w:rPr>
              <w:t>%)</w:t>
            </w:r>
          </w:p>
        </w:tc>
        <w:tc>
          <w:tcPr>
            <w:tcW w:w="1502" w:type="dxa"/>
            <w:tcBorders>
              <w:top w:val="nil"/>
              <w:left w:val="nil"/>
              <w:bottom w:val="single" w:sz="6" w:space="0" w:color="auto"/>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(9</w:t>
            </w:r>
            <w:r>
              <w:rPr>
                <w:rFonts w:ascii="Calibri" w:hAnsi="Calibri" w:cs="Calibri"/>
                <w:sz w:val="20"/>
                <w:szCs w:val="20"/>
              </w:rPr>
              <w:t>6</w:t>
            </w:r>
            <w:r w:rsidRPr="00136BE7">
              <w:rPr>
                <w:rFonts w:ascii="Calibri" w:hAnsi="Calibri" w:cs="Calibri"/>
                <w:sz w:val="20"/>
                <w:szCs w:val="20"/>
              </w:rPr>
              <w:t>%)</w:t>
            </w:r>
          </w:p>
        </w:tc>
        <w:tc>
          <w:tcPr>
            <w:tcW w:w="1503" w:type="dxa"/>
            <w:tcBorders>
              <w:top w:val="nil"/>
              <w:left w:val="nil"/>
              <w:bottom w:val="single" w:sz="6" w:space="0" w:color="auto"/>
              <w:right w:val="nil"/>
            </w:tcBorders>
            <w:shd w:val="clear" w:color="865357" w:fill="95B3D7" w:themeFill="accent1" w:themeFillTint="99"/>
          </w:tcPr>
          <w:p w:rsidR="008563AA" w:rsidRPr="00136BE7" w:rsidRDefault="008563AA" w:rsidP="00194F13">
            <w:pPr>
              <w:widowControl w:val="0"/>
              <w:autoSpaceDE w:val="0"/>
              <w:autoSpaceDN w:val="0"/>
              <w:adjustRightInd w:val="0"/>
              <w:jc w:val="center"/>
              <w:rPr>
                <w:rFonts w:ascii="Calibri" w:hAnsi="Calibri" w:cs="Calibri"/>
                <w:sz w:val="20"/>
                <w:szCs w:val="20"/>
              </w:rPr>
            </w:pPr>
            <w:r w:rsidRPr="00136BE7">
              <w:rPr>
                <w:rFonts w:ascii="Calibri" w:hAnsi="Calibri" w:cs="Calibri"/>
                <w:sz w:val="20"/>
                <w:szCs w:val="20"/>
              </w:rPr>
              <w:t>+ (100%)</w:t>
            </w:r>
          </w:p>
        </w:tc>
      </w:tr>
    </w:tbl>
    <w:p w:rsidR="008563AA" w:rsidRDefault="008563AA" w:rsidP="008563AA"/>
    <w:p w:rsidR="008563AA" w:rsidRDefault="008563AA" w:rsidP="008563AA">
      <w:r>
        <w:br w:type="page"/>
      </w:r>
    </w:p>
    <w:p w:rsidR="008563AA" w:rsidRDefault="00594A38" w:rsidP="008563AA">
      <w:r w:rsidRPr="00594A38">
        <w:lastRenderedPageBreak/>
        <w:t xml:space="preserve">Supplemental </w:t>
      </w:r>
      <w:r w:rsidR="008563AA" w:rsidRPr="00594A38">
        <w:t xml:space="preserve">Table </w:t>
      </w:r>
      <w:r w:rsidRPr="00594A38">
        <w:t>8</w:t>
      </w:r>
      <w:r w:rsidR="008563AA" w:rsidRPr="00594A38">
        <w:t>.</w:t>
      </w:r>
      <w:r w:rsidR="008563AA">
        <w:t xml:space="preserve"> </w:t>
      </w:r>
      <w:r w:rsidR="008563AA" w:rsidRPr="001C7B6F">
        <w:t xml:space="preserve">Results of bottom-up and top-down perturbation simulations with </w:t>
      </w:r>
      <w:r w:rsidR="008563AA">
        <w:t>the halibut focal species model: same notation as above.</w:t>
      </w:r>
    </w:p>
    <w:p w:rsidR="008563AA" w:rsidRDefault="008563AA" w:rsidP="008563AA"/>
    <w:tbl>
      <w:tblPr>
        <w:tblW w:w="9108" w:type="dxa"/>
        <w:tblLayout w:type="fixed"/>
        <w:tblLook w:val="0000" w:firstRow="0" w:lastRow="0" w:firstColumn="0" w:lastColumn="0" w:noHBand="0" w:noVBand="0"/>
      </w:tblPr>
      <w:tblGrid>
        <w:gridCol w:w="2808"/>
        <w:gridCol w:w="2070"/>
        <w:gridCol w:w="1440"/>
        <w:gridCol w:w="1440"/>
        <w:gridCol w:w="1350"/>
      </w:tblGrid>
      <w:tr w:rsidR="008563AA" w:rsidRPr="009945C6" w:rsidTr="00194F13">
        <w:trPr>
          <w:trHeight w:val="278"/>
        </w:trPr>
        <w:tc>
          <w:tcPr>
            <w:tcW w:w="2808" w:type="dxa"/>
            <w:tcBorders>
              <w:top w:val="single" w:sz="6" w:space="0" w:color="auto"/>
              <w:left w:val="nil"/>
              <w:bottom w:val="nil"/>
              <w:right w:val="nil"/>
            </w:tcBorders>
          </w:tcPr>
          <w:p w:rsidR="008563AA" w:rsidRPr="009945C6" w:rsidRDefault="008563AA" w:rsidP="00194F13">
            <w:pPr>
              <w:widowControl w:val="0"/>
              <w:autoSpaceDE w:val="0"/>
              <w:autoSpaceDN w:val="0"/>
              <w:adjustRightInd w:val="0"/>
              <w:rPr>
                <w:rFonts w:ascii="Calibri" w:hAnsi="Calibri" w:cs="Calibri"/>
                <w:b/>
                <w:bCs/>
                <w:sz w:val="18"/>
                <w:szCs w:val="18"/>
              </w:rPr>
            </w:pPr>
            <w:r w:rsidRPr="009945C6">
              <w:rPr>
                <w:rFonts w:ascii="Calibri" w:hAnsi="Calibri" w:cs="Calibri"/>
                <w:b/>
                <w:bCs/>
                <w:sz w:val="18"/>
                <w:szCs w:val="18"/>
              </w:rPr>
              <w:t>Variable</w:t>
            </w:r>
          </w:p>
        </w:tc>
        <w:tc>
          <w:tcPr>
            <w:tcW w:w="2070" w:type="dxa"/>
            <w:tcBorders>
              <w:top w:val="single" w:sz="6" w:space="0" w:color="auto"/>
              <w:left w:val="nil"/>
              <w:bottom w:val="nil"/>
              <w:right w:val="nil"/>
            </w:tcBorders>
          </w:tcPr>
          <w:p w:rsidR="008563AA" w:rsidRPr="009945C6" w:rsidRDefault="008563AA" w:rsidP="00194F13">
            <w:pPr>
              <w:widowControl w:val="0"/>
              <w:autoSpaceDE w:val="0"/>
              <w:autoSpaceDN w:val="0"/>
              <w:adjustRightInd w:val="0"/>
              <w:rPr>
                <w:rFonts w:ascii="Calibri" w:hAnsi="Calibri" w:cs="Calibri"/>
                <w:b/>
                <w:bCs/>
                <w:sz w:val="18"/>
                <w:szCs w:val="18"/>
              </w:rPr>
            </w:pPr>
            <w:r w:rsidRPr="009945C6">
              <w:rPr>
                <w:rFonts w:ascii="Calibri" w:hAnsi="Calibri" w:cs="Calibri"/>
                <w:b/>
                <w:bCs/>
                <w:sz w:val="18"/>
                <w:szCs w:val="18"/>
              </w:rPr>
              <w:t>Group</w:t>
            </w:r>
          </w:p>
        </w:tc>
        <w:tc>
          <w:tcPr>
            <w:tcW w:w="2880" w:type="dxa"/>
            <w:gridSpan w:val="2"/>
            <w:tcBorders>
              <w:top w:val="single" w:sz="6" w:space="0" w:color="auto"/>
              <w:left w:val="nil"/>
              <w:bottom w:val="nil"/>
              <w:right w:val="nil"/>
            </w:tcBorders>
          </w:tcPr>
          <w:p w:rsidR="008563AA" w:rsidRPr="009945C6" w:rsidRDefault="008563AA" w:rsidP="00194F13">
            <w:pPr>
              <w:widowControl w:val="0"/>
              <w:autoSpaceDE w:val="0"/>
              <w:autoSpaceDN w:val="0"/>
              <w:adjustRightInd w:val="0"/>
              <w:jc w:val="right"/>
              <w:rPr>
                <w:rFonts w:ascii="Calibri" w:hAnsi="Calibri" w:cs="Calibri"/>
                <w:b/>
                <w:bCs/>
                <w:sz w:val="18"/>
                <w:szCs w:val="18"/>
              </w:rPr>
            </w:pPr>
            <w:r w:rsidRPr="009945C6">
              <w:rPr>
                <w:rFonts w:ascii="Calibri" w:hAnsi="Calibri" w:cs="Calibri"/>
                <w:b/>
                <w:bCs/>
                <w:sz w:val="18"/>
                <w:szCs w:val="18"/>
              </w:rPr>
              <w:t>Simulated perturbation</w:t>
            </w:r>
          </w:p>
        </w:tc>
        <w:tc>
          <w:tcPr>
            <w:tcW w:w="1350" w:type="dxa"/>
            <w:tcBorders>
              <w:top w:val="single" w:sz="6" w:space="0" w:color="auto"/>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b/>
                <w:bCs/>
                <w:sz w:val="18"/>
                <w:szCs w:val="18"/>
              </w:rPr>
            </w:pPr>
          </w:p>
        </w:tc>
      </w:tr>
      <w:tr w:rsidR="008563AA" w:rsidRPr="009945C6" w:rsidTr="00194F13">
        <w:trPr>
          <w:trHeight w:val="576"/>
        </w:trPr>
        <w:tc>
          <w:tcPr>
            <w:tcW w:w="2808" w:type="dxa"/>
            <w:tcBorders>
              <w:top w:val="nil"/>
              <w:left w:val="nil"/>
              <w:bottom w:val="single" w:sz="6" w:space="0" w:color="auto"/>
              <w:right w:val="nil"/>
            </w:tcBorders>
          </w:tcPr>
          <w:p w:rsidR="008563AA" w:rsidRPr="009945C6" w:rsidRDefault="008563AA" w:rsidP="00194F13">
            <w:pPr>
              <w:widowControl w:val="0"/>
              <w:autoSpaceDE w:val="0"/>
              <w:autoSpaceDN w:val="0"/>
              <w:adjustRightInd w:val="0"/>
              <w:jc w:val="right"/>
              <w:rPr>
                <w:rFonts w:ascii="Calibri" w:hAnsi="Calibri" w:cs="Calibri"/>
                <w:b/>
                <w:bCs/>
                <w:sz w:val="18"/>
                <w:szCs w:val="18"/>
              </w:rPr>
            </w:pPr>
          </w:p>
        </w:tc>
        <w:tc>
          <w:tcPr>
            <w:tcW w:w="2070" w:type="dxa"/>
            <w:tcBorders>
              <w:top w:val="nil"/>
              <w:left w:val="nil"/>
              <w:bottom w:val="single" w:sz="6" w:space="0" w:color="auto"/>
              <w:right w:val="nil"/>
            </w:tcBorders>
          </w:tcPr>
          <w:p w:rsidR="008563AA" w:rsidRPr="009945C6" w:rsidRDefault="008563AA" w:rsidP="00194F13">
            <w:pPr>
              <w:widowControl w:val="0"/>
              <w:autoSpaceDE w:val="0"/>
              <w:autoSpaceDN w:val="0"/>
              <w:adjustRightInd w:val="0"/>
              <w:ind w:left="-90" w:right="-118" w:firstLine="90"/>
              <w:jc w:val="right"/>
              <w:rPr>
                <w:rFonts w:ascii="Calibri" w:hAnsi="Calibri" w:cs="Calibri"/>
                <w:b/>
                <w:bCs/>
                <w:sz w:val="18"/>
                <w:szCs w:val="18"/>
              </w:rPr>
            </w:pPr>
          </w:p>
        </w:tc>
        <w:tc>
          <w:tcPr>
            <w:tcW w:w="1440" w:type="dxa"/>
            <w:tcBorders>
              <w:top w:val="nil"/>
              <w:left w:val="nil"/>
              <w:bottom w:val="single" w:sz="6" w:space="0" w:color="auto"/>
              <w:right w:val="nil"/>
            </w:tcBorders>
          </w:tcPr>
          <w:p w:rsidR="008563AA" w:rsidRPr="009945C6" w:rsidRDefault="008563AA" w:rsidP="00194F13">
            <w:pPr>
              <w:widowControl w:val="0"/>
              <w:autoSpaceDE w:val="0"/>
              <w:autoSpaceDN w:val="0"/>
              <w:adjustRightInd w:val="0"/>
              <w:jc w:val="center"/>
              <w:rPr>
                <w:rFonts w:ascii="Calibri" w:hAnsi="Calibri" w:cs="Calibri"/>
                <w:b/>
                <w:bCs/>
                <w:sz w:val="18"/>
                <w:szCs w:val="18"/>
              </w:rPr>
            </w:pPr>
            <w:r w:rsidRPr="009945C6">
              <w:rPr>
                <w:rFonts w:ascii="Calibri" w:hAnsi="Calibri" w:cs="Calibri"/>
                <w:b/>
                <w:bCs/>
                <w:sz w:val="18"/>
                <w:szCs w:val="18"/>
              </w:rPr>
              <w:t>PDO increase</w:t>
            </w:r>
          </w:p>
        </w:tc>
        <w:tc>
          <w:tcPr>
            <w:tcW w:w="1440" w:type="dxa"/>
            <w:tcBorders>
              <w:top w:val="nil"/>
              <w:left w:val="nil"/>
              <w:bottom w:val="single" w:sz="6" w:space="0" w:color="auto"/>
              <w:right w:val="nil"/>
            </w:tcBorders>
          </w:tcPr>
          <w:p w:rsidR="008563AA" w:rsidRPr="009945C6" w:rsidRDefault="008563AA" w:rsidP="00194F13">
            <w:pPr>
              <w:widowControl w:val="0"/>
              <w:autoSpaceDE w:val="0"/>
              <w:autoSpaceDN w:val="0"/>
              <w:adjustRightInd w:val="0"/>
              <w:jc w:val="center"/>
              <w:rPr>
                <w:rFonts w:ascii="Calibri" w:hAnsi="Calibri" w:cs="Calibri"/>
                <w:b/>
                <w:bCs/>
                <w:sz w:val="18"/>
                <w:szCs w:val="18"/>
              </w:rPr>
            </w:pPr>
            <w:r w:rsidRPr="009945C6">
              <w:rPr>
                <w:rFonts w:ascii="Calibri" w:hAnsi="Calibri" w:cs="Calibri"/>
                <w:b/>
                <w:bCs/>
                <w:sz w:val="18"/>
                <w:szCs w:val="18"/>
              </w:rPr>
              <w:t>Phytoplankton increase</w:t>
            </w:r>
          </w:p>
        </w:tc>
        <w:tc>
          <w:tcPr>
            <w:tcW w:w="1350" w:type="dxa"/>
            <w:tcBorders>
              <w:top w:val="nil"/>
              <w:left w:val="nil"/>
              <w:bottom w:val="single" w:sz="6" w:space="0" w:color="auto"/>
              <w:right w:val="nil"/>
            </w:tcBorders>
          </w:tcPr>
          <w:p w:rsidR="008563AA" w:rsidRPr="009945C6" w:rsidRDefault="008563AA" w:rsidP="00194F13">
            <w:pPr>
              <w:widowControl w:val="0"/>
              <w:autoSpaceDE w:val="0"/>
              <w:autoSpaceDN w:val="0"/>
              <w:adjustRightInd w:val="0"/>
              <w:jc w:val="center"/>
              <w:rPr>
                <w:rFonts w:ascii="Calibri" w:hAnsi="Calibri" w:cs="Calibri"/>
                <w:b/>
                <w:bCs/>
                <w:sz w:val="18"/>
                <w:szCs w:val="18"/>
              </w:rPr>
            </w:pPr>
            <w:r w:rsidRPr="009945C6">
              <w:rPr>
                <w:rFonts w:ascii="Calibri" w:hAnsi="Calibri" w:cs="Calibri"/>
                <w:b/>
                <w:bCs/>
                <w:sz w:val="18"/>
                <w:szCs w:val="18"/>
              </w:rPr>
              <w:t>PSC decrease</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ENSO</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NPGO</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NPI</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PDO</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44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Water Temp</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44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Winds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Pr>
                <w:rFonts w:ascii="Calibri" w:hAnsi="Calibri" w:cs="Calibri"/>
                <w:sz w:val="18"/>
                <w:szCs w:val="18"/>
              </w:rPr>
              <w:t xml:space="preserve">Benthic </w:t>
            </w:r>
            <w:r w:rsidRPr="009945C6">
              <w:rPr>
                <w:rFonts w:ascii="Calibri" w:hAnsi="Calibri" w:cs="Calibri"/>
                <w:sz w:val="18"/>
                <w:szCs w:val="18"/>
              </w:rPr>
              <w:t>amphipods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Copepods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44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Crabs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Euphausiids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44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Pr>
                <w:rFonts w:ascii="Calibri" w:hAnsi="Calibri" w:cs="Calibri"/>
                <w:sz w:val="18"/>
                <w:szCs w:val="18"/>
              </w:rPr>
              <w:t xml:space="preserve">Hermit </w:t>
            </w:r>
            <w:r w:rsidRPr="009945C6">
              <w:rPr>
                <w:rFonts w:ascii="Calibri" w:hAnsi="Calibri" w:cs="Calibri"/>
                <w:sz w:val="18"/>
                <w:szCs w:val="18"/>
              </w:rPr>
              <w:t>crabs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Phytoplankton</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44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Shrimp</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Pr>
                <w:rFonts w:ascii="Calibri" w:hAnsi="Calibri" w:cs="Calibri"/>
                <w:sz w:val="18"/>
                <w:szCs w:val="18"/>
              </w:rPr>
              <w:t>prey</w:t>
            </w:r>
          </w:p>
        </w:tc>
        <w:tc>
          <w:tcPr>
            <w:tcW w:w="1440" w:type="dxa"/>
            <w:tcBorders>
              <w:top w:val="nil"/>
              <w:left w:val="nil"/>
              <w:bottom w:val="nil"/>
              <w:right w:val="nil"/>
            </w:tcBorders>
            <w:shd w:val="solid" w:color="FFCC99" w:fill="000000"/>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(84%)</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Juv</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Larvae</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Sharks skates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predator/competitor</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Crew days at sea</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-(53%) +(47%)</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-(47%) +(53%)</w:t>
            </w:r>
          </w:p>
        </w:tc>
        <w:tc>
          <w:tcPr>
            <w:tcW w:w="135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-(49%) +(51%)</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active vessels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-(53%) +(47%)</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-(47%) +(53%)</w:t>
            </w:r>
          </w:p>
        </w:tc>
        <w:tc>
          <w:tcPr>
            <w:tcW w:w="135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-(49%) +(51%)</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 xml:space="preserve">Halibut longline </w:t>
            </w:r>
            <w:r>
              <w:rPr>
                <w:rFonts w:ascii="Calibri" w:hAnsi="Calibri" w:cs="Calibri"/>
                <w:sz w:val="18"/>
                <w:szCs w:val="18"/>
              </w:rPr>
              <w:t>landings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price</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-(51%) +(49%)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-(50%) +(50%)</w:t>
            </w:r>
          </w:p>
        </w:tc>
        <w:tc>
          <w:tcPr>
            <w:tcW w:w="135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-(49%) +(51%)</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PSC cap</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 xml:space="preserve">Halibut </w:t>
            </w:r>
            <w:r>
              <w:rPr>
                <w:rFonts w:ascii="Calibri" w:hAnsi="Calibri" w:cs="Calibri"/>
                <w:sz w:val="18"/>
                <w:szCs w:val="18"/>
              </w:rPr>
              <w:t>IFQ</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vessel cost</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-(48%) +(52%)</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-(50%) +(50%)</w:t>
            </w:r>
          </w:p>
        </w:tc>
        <w:tc>
          <w:tcPr>
            <w:tcW w:w="135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-(53%) +(47%)</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vessel profit</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-(62%) +(38%)</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-(47%) +(53%)</w:t>
            </w:r>
          </w:p>
        </w:tc>
        <w:tc>
          <w:tcPr>
            <w:tcW w:w="135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-(36%) +(64%)</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vessel revenue</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(74%)</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-(42%) +(58%)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(78%)</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TAC</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vessel profit</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active vessels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catch</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price</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vessel costs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vessel revenue</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Pr>
                <w:rFonts w:ascii="Calibri" w:hAnsi="Calibri" w:cs="Calibri"/>
                <w:sz w:val="18"/>
                <w:szCs w:val="18"/>
              </w:rPr>
              <w:t>Catch sharing plan</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44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350" w:type="dxa"/>
            <w:tcBorders>
              <w:top w:val="nil"/>
              <w:left w:val="nil"/>
              <w:bottom w:val="nil"/>
              <w:right w:val="nil"/>
            </w:tcBorders>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Charter business profit</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Recreational opportun</w:t>
            </w:r>
            <w:r>
              <w:rPr>
                <w:rFonts w:ascii="Calibri" w:hAnsi="Calibri" w:cs="Calibri"/>
                <w:sz w:val="18"/>
                <w:szCs w:val="18"/>
              </w:rPr>
              <w:t>i</w:t>
            </w:r>
            <w:r w:rsidRPr="009945C6">
              <w:rPr>
                <w:rFonts w:ascii="Calibri" w:hAnsi="Calibri" w:cs="Calibri"/>
                <w:sz w:val="18"/>
                <w:szCs w:val="18"/>
              </w:rPr>
              <w:t>t</w:t>
            </w:r>
            <w:r>
              <w:rPr>
                <w:rFonts w:ascii="Calibri" w:hAnsi="Calibri" w:cs="Calibri"/>
                <w:sz w:val="18"/>
                <w:szCs w:val="18"/>
              </w:rPr>
              <w:t>i</w:t>
            </w:r>
            <w:r w:rsidRPr="009945C6">
              <w:rPr>
                <w:rFonts w:ascii="Calibri" w:hAnsi="Calibri" w:cs="Calibri"/>
                <w:sz w:val="18"/>
                <w:szCs w:val="18"/>
              </w:rPr>
              <w:t>es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Sport charter catch</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Pr>
                <w:rFonts w:ascii="Calibri" w:hAnsi="Calibri" w:cs="Calibri"/>
                <w:sz w:val="18"/>
                <w:szCs w:val="18"/>
              </w:rPr>
              <w:t xml:space="preserve">Total </w:t>
            </w:r>
            <w:r w:rsidRPr="009945C6">
              <w:rPr>
                <w:rFonts w:ascii="Calibri" w:hAnsi="Calibri" w:cs="Calibri"/>
                <w:sz w:val="18"/>
                <w:szCs w:val="18"/>
              </w:rPr>
              <w:t>charter businesses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Pr>
                <w:rFonts w:ascii="Calibri" w:hAnsi="Calibri" w:cs="Calibri"/>
                <w:sz w:val="18"/>
                <w:szCs w:val="18"/>
              </w:rPr>
              <w:t xml:space="preserve">Total </w:t>
            </w:r>
            <w:r w:rsidRPr="009945C6">
              <w:rPr>
                <w:rFonts w:ascii="Calibri" w:hAnsi="Calibri" w:cs="Calibri"/>
                <w:sz w:val="18"/>
                <w:szCs w:val="18"/>
              </w:rPr>
              <w:t>charter trips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Pr>
                <w:rFonts w:ascii="Calibri" w:hAnsi="Calibri" w:cs="Calibri"/>
                <w:sz w:val="18"/>
                <w:szCs w:val="18"/>
              </w:rPr>
              <w:lastRenderedPageBreak/>
              <w:t>Total sportfishing licens</w:t>
            </w:r>
            <w:r w:rsidRPr="009945C6">
              <w:rPr>
                <w:rFonts w:ascii="Calibri" w:hAnsi="Calibri" w:cs="Calibri"/>
                <w:sz w:val="18"/>
                <w:szCs w:val="18"/>
              </w:rPr>
              <w:t>es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Cultural and trad</w:t>
            </w:r>
            <w:r>
              <w:rPr>
                <w:rFonts w:ascii="Calibri" w:hAnsi="Calibri" w:cs="Calibri"/>
                <w:sz w:val="18"/>
                <w:szCs w:val="18"/>
              </w:rPr>
              <w:t>i</w:t>
            </w:r>
            <w:r w:rsidRPr="009945C6">
              <w:rPr>
                <w:rFonts w:ascii="Calibri" w:hAnsi="Calibri" w:cs="Calibri"/>
                <w:sz w:val="18"/>
                <w:szCs w:val="18"/>
              </w:rPr>
              <w:t>tional values and continuity</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Individual and community health and well being</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78"/>
        </w:trPr>
        <w:tc>
          <w:tcPr>
            <w:tcW w:w="2808"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Local food security sharing networks</w:t>
            </w:r>
          </w:p>
        </w:tc>
        <w:tc>
          <w:tcPr>
            <w:tcW w:w="2070" w:type="dxa"/>
            <w:tcBorders>
              <w:top w:val="nil"/>
              <w:left w:val="nil"/>
              <w:bottom w:val="nil"/>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nil"/>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nil"/>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nil"/>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8563AA" w:rsidRPr="009945C6" w:rsidTr="00194F13">
        <w:trPr>
          <w:trHeight w:val="298"/>
        </w:trPr>
        <w:tc>
          <w:tcPr>
            <w:tcW w:w="2808" w:type="dxa"/>
            <w:tcBorders>
              <w:top w:val="nil"/>
              <w:left w:val="nil"/>
              <w:bottom w:val="single" w:sz="6" w:space="0" w:color="auto"/>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Subsistence catch</w:t>
            </w:r>
          </w:p>
        </w:tc>
        <w:tc>
          <w:tcPr>
            <w:tcW w:w="2070" w:type="dxa"/>
            <w:tcBorders>
              <w:top w:val="nil"/>
              <w:left w:val="nil"/>
              <w:bottom w:val="single" w:sz="6" w:space="0" w:color="auto"/>
              <w:right w:val="nil"/>
            </w:tcBorders>
          </w:tcPr>
          <w:p w:rsidR="008563AA" w:rsidRPr="009945C6" w:rsidRDefault="008563AA" w:rsidP="00194F13">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440" w:type="dxa"/>
            <w:tcBorders>
              <w:top w:val="nil"/>
              <w:left w:val="nil"/>
              <w:bottom w:val="single" w:sz="6" w:space="0" w:color="auto"/>
              <w:right w:val="nil"/>
            </w:tcBorders>
            <w:shd w:val="solid" w:color="FFCC99" w:fill="auto"/>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(89%)</w:t>
            </w:r>
          </w:p>
        </w:tc>
        <w:tc>
          <w:tcPr>
            <w:tcW w:w="1440" w:type="dxa"/>
            <w:tcBorders>
              <w:top w:val="nil"/>
              <w:left w:val="nil"/>
              <w:bottom w:val="single" w:sz="6" w:space="0" w:color="auto"/>
              <w:right w:val="nil"/>
            </w:tcBorders>
            <w:shd w:val="vertStripe" w:color="FFCC99"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-(32%) +(68%)</w:t>
            </w:r>
          </w:p>
        </w:tc>
        <w:tc>
          <w:tcPr>
            <w:tcW w:w="1350" w:type="dxa"/>
            <w:tcBorders>
              <w:top w:val="nil"/>
              <w:left w:val="nil"/>
              <w:bottom w:val="single" w:sz="6" w:space="0" w:color="auto"/>
              <w:right w:val="nil"/>
            </w:tcBorders>
            <w:shd w:val="clear" w:color="865357" w:fill="95B3D7" w:themeFill="accent1" w:themeFillTint="99"/>
          </w:tcPr>
          <w:p w:rsidR="008563AA" w:rsidRPr="009945C6" w:rsidRDefault="008563AA" w:rsidP="00194F13">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bl>
    <w:p w:rsidR="008563AA" w:rsidRDefault="008563AA" w:rsidP="008563AA"/>
    <w:p w:rsidR="00B67917" w:rsidRDefault="00B67917">
      <w:r>
        <w:br w:type="page"/>
      </w:r>
    </w:p>
    <w:p w:rsidR="00B67917" w:rsidRDefault="00B67917" w:rsidP="00B67917">
      <w:r w:rsidRPr="00594A38">
        <w:lastRenderedPageBreak/>
        <w:t xml:space="preserve">Supplemental Table </w:t>
      </w:r>
      <w:r>
        <w:t>9</w:t>
      </w:r>
      <w:r w:rsidRPr="00FF00E3">
        <w:t>.</w:t>
      </w:r>
      <w:r>
        <w:t xml:space="preserve"> </w:t>
      </w:r>
      <w:r w:rsidRPr="001C7B6F">
        <w:t xml:space="preserve">Results of bottom-up and top-down perturbation simulations with </w:t>
      </w:r>
      <w:r>
        <w:t>the merged model: same notation as above</w:t>
      </w:r>
      <w:r>
        <w:t>.</w:t>
      </w:r>
      <w:bookmarkStart w:id="0" w:name="_GoBack"/>
      <w:bookmarkEnd w:id="0"/>
    </w:p>
    <w:p w:rsidR="00B67917" w:rsidRDefault="00B67917" w:rsidP="00B67917"/>
    <w:tbl>
      <w:tblPr>
        <w:tblW w:w="9630" w:type="dxa"/>
        <w:tblInd w:w="18" w:type="dxa"/>
        <w:tblLayout w:type="fixed"/>
        <w:tblLook w:val="0000" w:firstRow="0" w:lastRow="0" w:firstColumn="0" w:lastColumn="0" w:noHBand="0" w:noVBand="0"/>
      </w:tblPr>
      <w:tblGrid>
        <w:gridCol w:w="2478"/>
        <w:gridCol w:w="2022"/>
        <w:gridCol w:w="1800"/>
        <w:gridCol w:w="1710"/>
        <w:gridCol w:w="1620"/>
      </w:tblGrid>
      <w:tr w:rsidR="00B67917" w:rsidRPr="009945C6" w:rsidTr="005A541A">
        <w:trPr>
          <w:trHeight w:val="302"/>
        </w:trPr>
        <w:tc>
          <w:tcPr>
            <w:tcW w:w="2478" w:type="dxa"/>
            <w:tcBorders>
              <w:top w:val="single" w:sz="6" w:space="0" w:color="auto"/>
              <w:left w:val="nil"/>
              <w:bottom w:val="nil"/>
              <w:right w:val="nil"/>
            </w:tcBorders>
          </w:tcPr>
          <w:p w:rsidR="00B67917" w:rsidRPr="009945C6" w:rsidRDefault="00B67917" w:rsidP="005A541A">
            <w:pPr>
              <w:widowControl w:val="0"/>
              <w:autoSpaceDE w:val="0"/>
              <w:autoSpaceDN w:val="0"/>
              <w:adjustRightInd w:val="0"/>
              <w:rPr>
                <w:rFonts w:ascii="Calibri" w:hAnsi="Calibri" w:cs="Calibri"/>
                <w:b/>
                <w:bCs/>
                <w:sz w:val="18"/>
                <w:szCs w:val="18"/>
              </w:rPr>
            </w:pPr>
            <w:r w:rsidRPr="009945C6">
              <w:rPr>
                <w:rFonts w:ascii="Calibri" w:hAnsi="Calibri" w:cs="Calibri"/>
                <w:b/>
                <w:bCs/>
                <w:sz w:val="18"/>
                <w:szCs w:val="18"/>
              </w:rPr>
              <w:t>Variable</w:t>
            </w:r>
          </w:p>
        </w:tc>
        <w:tc>
          <w:tcPr>
            <w:tcW w:w="2022" w:type="dxa"/>
            <w:tcBorders>
              <w:top w:val="single" w:sz="6" w:space="0" w:color="auto"/>
              <w:left w:val="nil"/>
              <w:bottom w:val="nil"/>
              <w:right w:val="nil"/>
            </w:tcBorders>
          </w:tcPr>
          <w:p w:rsidR="00B67917" w:rsidRPr="009945C6" w:rsidRDefault="00B67917" w:rsidP="005A541A">
            <w:pPr>
              <w:widowControl w:val="0"/>
              <w:autoSpaceDE w:val="0"/>
              <w:autoSpaceDN w:val="0"/>
              <w:adjustRightInd w:val="0"/>
              <w:rPr>
                <w:rFonts w:ascii="Calibri" w:hAnsi="Calibri" w:cs="Calibri"/>
                <w:b/>
                <w:bCs/>
                <w:sz w:val="18"/>
                <w:szCs w:val="18"/>
              </w:rPr>
            </w:pPr>
            <w:r w:rsidRPr="009945C6">
              <w:rPr>
                <w:rFonts w:ascii="Calibri" w:hAnsi="Calibri" w:cs="Calibri"/>
                <w:b/>
                <w:bCs/>
                <w:sz w:val="18"/>
                <w:szCs w:val="18"/>
              </w:rPr>
              <w:t>Group</w:t>
            </w:r>
          </w:p>
        </w:tc>
        <w:tc>
          <w:tcPr>
            <w:tcW w:w="3510" w:type="dxa"/>
            <w:gridSpan w:val="2"/>
            <w:tcBorders>
              <w:top w:val="single" w:sz="6" w:space="0" w:color="auto"/>
              <w:left w:val="nil"/>
              <w:bottom w:val="nil"/>
              <w:right w:val="nil"/>
            </w:tcBorders>
          </w:tcPr>
          <w:p w:rsidR="00B67917" w:rsidRPr="009945C6" w:rsidRDefault="00B67917" w:rsidP="005A541A">
            <w:pPr>
              <w:widowControl w:val="0"/>
              <w:autoSpaceDE w:val="0"/>
              <w:autoSpaceDN w:val="0"/>
              <w:adjustRightInd w:val="0"/>
              <w:jc w:val="right"/>
              <w:rPr>
                <w:rFonts w:ascii="Calibri" w:hAnsi="Calibri" w:cs="Calibri"/>
                <w:b/>
                <w:bCs/>
                <w:sz w:val="18"/>
                <w:szCs w:val="18"/>
              </w:rPr>
            </w:pPr>
            <w:r w:rsidRPr="009945C6">
              <w:rPr>
                <w:rFonts w:ascii="Calibri" w:hAnsi="Calibri" w:cs="Calibri"/>
                <w:b/>
                <w:bCs/>
                <w:sz w:val="18"/>
                <w:szCs w:val="18"/>
              </w:rPr>
              <w:t>Simulated perturbation</w:t>
            </w:r>
          </w:p>
        </w:tc>
        <w:tc>
          <w:tcPr>
            <w:tcW w:w="1620" w:type="dxa"/>
            <w:tcBorders>
              <w:top w:val="single" w:sz="6" w:space="0" w:color="auto"/>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b/>
                <w:bCs/>
                <w:sz w:val="18"/>
                <w:szCs w:val="18"/>
              </w:rPr>
            </w:pPr>
          </w:p>
        </w:tc>
      </w:tr>
      <w:tr w:rsidR="00B67917" w:rsidRPr="009945C6" w:rsidTr="005A541A">
        <w:trPr>
          <w:trHeight w:val="581"/>
        </w:trPr>
        <w:tc>
          <w:tcPr>
            <w:tcW w:w="2478" w:type="dxa"/>
            <w:tcBorders>
              <w:top w:val="nil"/>
              <w:left w:val="nil"/>
              <w:bottom w:val="single" w:sz="6" w:space="0" w:color="auto"/>
              <w:right w:val="nil"/>
            </w:tcBorders>
          </w:tcPr>
          <w:p w:rsidR="00B67917" w:rsidRPr="009945C6" w:rsidRDefault="00B67917" w:rsidP="005A541A">
            <w:pPr>
              <w:widowControl w:val="0"/>
              <w:autoSpaceDE w:val="0"/>
              <w:autoSpaceDN w:val="0"/>
              <w:adjustRightInd w:val="0"/>
              <w:jc w:val="right"/>
              <w:rPr>
                <w:rFonts w:ascii="Calibri" w:hAnsi="Calibri" w:cs="Calibri"/>
                <w:b/>
                <w:bCs/>
                <w:sz w:val="18"/>
                <w:szCs w:val="18"/>
              </w:rPr>
            </w:pPr>
          </w:p>
        </w:tc>
        <w:tc>
          <w:tcPr>
            <w:tcW w:w="2022" w:type="dxa"/>
            <w:tcBorders>
              <w:top w:val="nil"/>
              <w:left w:val="nil"/>
              <w:bottom w:val="single" w:sz="6" w:space="0" w:color="auto"/>
              <w:right w:val="nil"/>
            </w:tcBorders>
          </w:tcPr>
          <w:p w:rsidR="00B67917" w:rsidRPr="009945C6" w:rsidRDefault="00B67917" w:rsidP="005A541A">
            <w:pPr>
              <w:widowControl w:val="0"/>
              <w:autoSpaceDE w:val="0"/>
              <w:autoSpaceDN w:val="0"/>
              <w:adjustRightInd w:val="0"/>
              <w:jc w:val="right"/>
              <w:rPr>
                <w:rFonts w:ascii="Calibri" w:hAnsi="Calibri" w:cs="Calibri"/>
                <w:b/>
                <w:bCs/>
                <w:sz w:val="18"/>
                <w:szCs w:val="18"/>
              </w:rPr>
            </w:pPr>
          </w:p>
        </w:tc>
        <w:tc>
          <w:tcPr>
            <w:tcW w:w="1800" w:type="dxa"/>
            <w:tcBorders>
              <w:top w:val="nil"/>
              <w:left w:val="nil"/>
              <w:bottom w:val="single" w:sz="6" w:space="0" w:color="auto"/>
              <w:right w:val="nil"/>
            </w:tcBorders>
          </w:tcPr>
          <w:p w:rsidR="00B67917" w:rsidRPr="009945C6" w:rsidRDefault="00B67917" w:rsidP="005A541A">
            <w:pPr>
              <w:widowControl w:val="0"/>
              <w:autoSpaceDE w:val="0"/>
              <w:autoSpaceDN w:val="0"/>
              <w:adjustRightInd w:val="0"/>
              <w:jc w:val="center"/>
              <w:rPr>
                <w:rFonts w:ascii="Calibri" w:hAnsi="Calibri" w:cs="Calibri"/>
                <w:b/>
                <w:bCs/>
                <w:sz w:val="18"/>
                <w:szCs w:val="18"/>
              </w:rPr>
            </w:pPr>
            <w:r w:rsidRPr="009945C6">
              <w:rPr>
                <w:rFonts w:ascii="Calibri" w:hAnsi="Calibri" w:cs="Calibri"/>
                <w:b/>
                <w:bCs/>
                <w:sz w:val="18"/>
                <w:szCs w:val="18"/>
              </w:rPr>
              <w:t>PDO increase</w:t>
            </w:r>
          </w:p>
        </w:tc>
        <w:tc>
          <w:tcPr>
            <w:tcW w:w="1710" w:type="dxa"/>
            <w:tcBorders>
              <w:top w:val="nil"/>
              <w:left w:val="nil"/>
              <w:bottom w:val="single" w:sz="6" w:space="0" w:color="auto"/>
              <w:right w:val="nil"/>
            </w:tcBorders>
          </w:tcPr>
          <w:p w:rsidR="00B67917" w:rsidRPr="009945C6" w:rsidRDefault="00B67917" w:rsidP="005A541A">
            <w:pPr>
              <w:widowControl w:val="0"/>
              <w:autoSpaceDE w:val="0"/>
              <w:autoSpaceDN w:val="0"/>
              <w:adjustRightInd w:val="0"/>
              <w:jc w:val="center"/>
              <w:rPr>
                <w:rFonts w:ascii="Calibri" w:hAnsi="Calibri" w:cs="Calibri"/>
                <w:b/>
                <w:bCs/>
                <w:sz w:val="18"/>
                <w:szCs w:val="18"/>
              </w:rPr>
            </w:pPr>
            <w:r w:rsidRPr="009945C6">
              <w:rPr>
                <w:rFonts w:ascii="Calibri" w:hAnsi="Calibri" w:cs="Calibri"/>
                <w:b/>
                <w:bCs/>
                <w:sz w:val="18"/>
                <w:szCs w:val="18"/>
              </w:rPr>
              <w:t>Phytoplankton increase</w:t>
            </w:r>
          </w:p>
        </w:tc>
        <w:tc>
          <w:tcPr>
            <w:tcW w:w="1620" w:type="dxa"/>
            <w:tcBorders>
              <w:top w:val="nil"/>
              <w:left w:val="nil"/>
              <w:bottom w:val="single" w:sz="6" w:space="0" w:color="auto"/>
              <w:right w:val="nil"/>
            </w:tcBorders>
          </w:tcPr>
          <w:p w:rsidR="00B67917" w:rsidRPr="009945C6" w:rsidRDefault="00B67917" w:rsidP="005A541A">
            <w:pPr>
              <w:widowControl w:val="0"/>
              <w:autoSpaceDE w:val="0"/>
              <w:autoSpaceDN w:val="0"/>
              <w:adjustRightInd w:val="0"/>
              <w:jc w:val="center"/>
              <w:rPr>
                <w:rFonts w:ascii="Calibri" w:hAnsi="Calibri" w:cs="Calibri"/>
                <w:b/>
                <w:bCs/>
                <w:sz w:val="18"/>
                <w:szCs w:val="18"/>
              </w:rPr>
            </w:pPr>
            <w:r w:rsidRPr="009945C6">
              <w:rPr>
                <w:rFonts w:ascii="Calibri" w:hAnsi="Calibri" w:cs="Calibri"/>
                <w:b/>
                <w:bCs/>
                <w:sz w:val="18"/>
                <w:szCs w:val="18"/>
              </w:rPr>
              <w:t>PSC decrease</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ENSO</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NPGO</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NPI</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PDO</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Water Temp</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Winds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environmental</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Benthic amphipods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Capelin</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Copepods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Crabs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Euphausiids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Hermit crabs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Phytoplankton</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Shrimps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prey</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(99%)</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(99%)</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w:t>
            </w:r>
            <w:r>
              <w:rPr>
                <w:rFonts w:ascii="Calibri" w:hAnsi="Calibri" w:cs="Calibri"/>
                <w:sz w:val="18"/>
                <w:szCs w:val="18"/>
              </w:rPr>
              <w:t>6</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Juv</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Larvae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Juv</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larvae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(91%)</w:t>
            </w:r>
          </w:p>
        </w:tc>
        <w:tc>
          <w:tcPr>
            <w:tcW w:w="171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 Juv</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focal</w:t>
            </w:r>
          </w:p>
        </w:tc>
        <w:tc>
          <w:tcPr>
            <w:tcW w:w="180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-(33%) +(67%)</w:t>
            </w:r>
          </w:p>
        </w:tc>
        <w:tc>
          <w:tcPr>
            <w:tcW w:w="171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3</w:t>
            </w:r>
            <w:r w:rsidRPr="009945C6">
              <w:rPr>
                <w:rFonts w:ascii="Calibri" w:hAnsi="Calibri" w:cs="Calibri"/>
                <w:sz w:val="18"/>
                <w:szCs w:val="18"/>
              </w:rPr>
              <w:t>%)</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w:t>
            </w:r>
            <w:r>
              <w:rPr>
                <w:rFonts w:ascii="Calibri" w:hAnsi="Calibri" w:cs="Calibri"/>
                <w:sz w:val="18"/>
                <w:szCs w:val="18"/>
              </w:rPr>
              <w:t>1</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 cod</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predator/competitor</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Sharks and skates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predator/competitor</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active vessels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price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total landings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vessel costs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w:t>
            </w:r>
            <w:r>
              <w:rPr>
                <w:rFonts w:ascii="Calibri" w:hAnsi="Calibri" w:cs="Calibri"/>
                <w:sz w:val="18"/>
                <w:szCs w:val="18"/>
              </w:rPr>
              <w:t>1</w:t>
            </w:r>
            <w:r w:rsidRPr="009945C6">
              <w:rPr>
                <w:rFonts w:ascii="Calibri" w:hAnsi="Calibri" w:cs="Calibri"/>
                <w:sz w:val="18"/>
                <w:szCs w:val="18"/>
              </w:rPr>
              <w:t>%)</w:t>
            </w:r>
          </w:p>
        </w:tc>
        <w:tc>
          <w:tcPr>
            <w:tcW w:w="171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(90%)</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(80%)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vessel profits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w:t>
            </w:r>
            <w:r>
              <w:rPr>
                <w:rFonts w:ascii="Calibri" w:hAnsi="Calibri" w:cs="Calibri"/>
                <w:sz w:val="18"/>
                <w:szCs w:val="18"/>
              </w:rPr>
              <w:t>1</w:t>
            </w:r>
            <w:r w:rsidRPr="009945C6">
              <w:rPr>
                <w:rFonts w:ascii="Calibri" w:hAnsi="Calibri" w:cs="Calibri"/>
                <w:sz w:val="18"/>
                <w:szCs w:val="18"/>
              </w:rPr>
              <w:t>%)</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(90%)</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w:t>
            </w:r>
            <w:r>
              <w:rPr>
                <w:rFonts w:ascii="Calibri" w:hAnsi="Calibri" w:cs="Calibri"/>
                <w:sz w:val="18"/>
                <w:szCs w:val="18"/>
              </w:rPr>
              <w:t>51</w:t>
            </w:r>
            <w:r w:rsidRPr="009945C6">
              <w:rPr>
                <w:rFonts w:ascii="Calibri" w:hAnsi="Calibri" w:cs="Calibri"/>
                <w:sz w:val="18"/>
                <w:szCs w:val="18"/>
              </w:rPr>
              <w:t>%) +(</w:t>
            </w:r>
            <w:r>
              <w:rPr>
                <w:rFonts w:ascii="Calibri" w:hAnsi="Calibri" w:cs="Calibri"/>
                <w:sz w:val="18"/>
                <w:szCs w:val="18"/>
              </w:rPr>
              <w:t>49</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Arrowtooth vessel revenue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Catch sharing plan</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Charter business profit</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Crew days at sea employment</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(76%)</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(7</w:t>
            </w:r>
            <w:r>
              <w:rPr>
                <w:rFonts w:ascii="Calibri" w:hAnsi="Calibri" w:cs="Calibri"/>
                <w:sz w:val="18"/>
                <w:szCs w:val="18"/>
              </w:rPr>
              <w:t>4</w:t>
            </w:r>
            <w:r w:rsidRPr="009945C6">
              <w:rPr>
                <w:rFonts w:ascii="Calibri" w:hAnsi="Calibri" w:cs="Calibri"/>
                <w:sz w:val="18"/>
                <w:szCs w:val="18"/>
              </w:rPr>
              <w:t>%)</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-(6</w:t>
            </w:r>
            <w:r>
              <w:rPr>
                <w:rFonts w:ascii="Calibri" w:hAnsi="Calibri" w:cs="Calibri"/>
                <w:sz w:val="18"/>
                <w:szCs w:val="18"/>
              </w:rPr>
              <w:t>3</w:t>
            </w:r>
            <w:r w:rsidRPr="009945C6">
              <w:rPr>
                <w:rFonts w:ascii="Calibri" w:hAnsi="Calibri" w:cs="Calibri"/>
                <w:sz w:val="18"/>
                <w:szCs w:val="18"/>
              </w:rPr>
              <w:t>%) +(3</w:t>
            </w:r>
            <w:r>
              <w:rPr>
                <w:rFonts w:ascii="Calibri" w:hAnsi="Calibri" w:cs="Calibri"/>
                <w:sz w:val="18"/>
                <w:szCs w:val="18"/>
              </w:rPr>
              <w:t>7</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Cultural trad</w:t>
            </w:r>
            <w:r>
              <w:rPr>
                <w:rFonts w:ascii="Calibri" w:hAnsi="Calibri" w:cs="Calibri"/>
                <w:sz w:val="18"/>
                <w:szCs w:val="18"/>
              </w:rPr>
              <w:t>i</w:t>
            </w:r>
            <w:r w:rsidRPr="009945C6">
              <w:rPr>
                <w:rFonts w:ascii="Calibri" w:hAnsi="Calibri" w:cs="Calibri"/>
                <w:sz w:val="18"/>
                <w:szCs w:val="18"/>
              </w:rPr>
              <w:t>tional values continuity</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active vessels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Pr>
                <w:rFonts w:ascii="Calibri" w:hAnsi="Calibri" w:cs="Calibri"/>
                <w:sz w:val="18"/>
                <w:szCs w:val="18"/>
              </w:rPr>
              <w:t>Groundfish trawl catch</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lastRenderedPageBreak/>
              <w:t>Groundfish trawl price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vessel costs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vessel profit</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Groundfish trawl vessel revenue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active vessels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-(50%) +(50%)</w:t>
            </w:r>
          </w:p>
        </w:tc>
        <w:tc>
          <w:tcPr>
            <w:tcW w:w="171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w:t>
            </w:r>
            <w:r>
              <w:rPr>
                <w:rFonts w:ascii="Calibri" w:hAnsi="Calibri" w:cs="Calibri"/>
                <w:sz w:val="18"/>
                <w:szCs w:val="18"/>
              </w:rPr>
              <w:t>49</w:t>
            </w:r>
            <w:r w:rsidRPr="009945C6">
              <w:rPr>
                <w:rFonts w:ascii="Calibri" w:hAnsi="Calibri" w:cs="Calibri"/>
                <w:sz w:val="18"/>
                <w:szCs w:val="18"/>
              </w:rPr>
              <w:t>%) +(</w:t>
            </w:r>
            <w:r>
              <w:rPr>
                <w:rFonts w:ascii="Calibri" w:hAnsi="Calibri" w:cs="Calibri"/>
                <w:sz w:val="18"/>
                <w:szCs w:val="18"/>
              </w:rPr>
              <w:t>51</w:t>
            </w:r>
            <w:r w:rsidRPr="009945C6">
              <w:rPr>
                <w:rFonts w:ascii="Calibri" w:hAnsi="Calibri" w:cs="Calibri"/>
                <w:sz w:val="18"/>
                <w:szCs w:val="18"/>
              </w:rPr>
              <w:t>%)</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w:t>
            </w:r>
            <w:r>
              <w:rPr>
                <w:rFonts w:ascii="Calibri" w:hAnsi="Calibri" w:cs="Calibri"/>
                <w:sz w:val="18"/>
                <w:szCs w:val="18"/>
              </w:rPr>
              <w:t>(46</w:t>
            </w:r>
            <w:r w:rsidRPr="009945C6">
              <w:rPr>
                <w:rFonts w:ascii="Calibri" w:hAnsi="Calibri" w:cs="Calibri"/>
                <w:sz w:val="18"/>
                <w:szCs w:val="18"/>
              </w:rPr>
              <w:t>%) +(</w:t>
            </w:r>
            <w:r>
              <w:rPr>
                <w:rFonts w:ascii="Calibri" w:hAnsi="Calibri" w:cs="Calibri"/>
                <w:sz w:val="18"/>
                <w:szCs w:val="18"/>
              </w:rPr>
              <w:t>54</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 xml:space="preserve">Halibut longline </w:t>
            </w:r>
            <w:r>
              <w:rPr>
                <w:rFonts w:ascii="Calibri" w:hAnsi="Calibri" w:cs="Calibri"/>
                <w:sz w:val="18"/>
                <w:szCs w:val="18"/>
              </w:rPr>
              <w:t>landings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price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-(49%) +(51%)</w:t>
            </w:r>
          </w:p>
        </w:tc>
        <w:tc>
          <w:tcPr>
            <w:tcW w:w="171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w:t>
            </w:r>
            <w:r>
              <w:rPr>
                <w:rFonts w:ascii="Calibri" w:hAnsi="Calibri" w:cs="Calibri"/>
                <w:sz w:val="18"/>
                <w:szCs w:val="18"/>
              </w:rPr>
              <w:t>0</w:t>
            </w:r>
            <w:r w:rsidRPr="009945C6">
              <w:rPr>
                <w:rFonts w:ascii="Calibri" w:hAnsi="Calibri" w:cs="Calibri"/>
                <w:sz w:val="18"/>
                <w:szCs w:val="18"/>
              </w:rPr>
              <w:t>%) +(</w:t>
            </w:r>
            <w:r>
              <w:rPr>
                <w:rFonts w:ascii="Calibri" w:hAnsi="Calibri" w:cs="Calibri"/>
                <w:sz w:val="18"/>
                <w:szCs w:val="18"/>
              </w:rPr>
              <w:t>50</w:t>
            </w:r>
            <w:r w:rsidRPr="009945C6">
              <w:rPr>
                <w:rFonts w:ascii="Calibri" w:hAnsi="Calibri" w:cs="Calibri"/>
                <w:sz w:val="18"/>
                <w:szCs w:val="18"/>
              </w:rPr>
              <w:t>%)</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-(49%) +(51%)</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PSC cap</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 xml:space="preserve">Halibut </w:t>
            </w:r>
            <w:r>
              <w:rPr>
                <w:rFonts w:ascii="Calibri" w:hAnsi="Calibri" w:cs="Calibri"/>
                <w:sz w:val="18"/>
                <w:szCs w:val="18"/>
              </w:rPr>
              <w:t>IFQ</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vessel cost</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FFCC99" w:fill="7F9EC7"/>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+(71%)</w:t>
            </w:r>
          </w:p>
        </w:tc>
        <w:tc>
          <w:tcPr>
            <w:tcW w:w="171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-(69%) +(31%)</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-(6</w:t>
            </w:r>
            <w:r>
              <w:rPr>
                <w:rFonts w:ascii="Calibri" w:hAnsi="Calibri" w:cs="Calibri"/>
                <w:sz w:val="18"/>
                <w:szCs w:val="18"/>
              </w:rPr>
              <w:t>2</w:t>
            </w:r>
            <w:r w:rsidRPr="009945C6">
              <w:rPr>
                <w:rFonts w:ascii="Calibri" w:hAnsi="Calibri" w:cs="Calibri"/>
                <w:sz w:val="18"/>
                <w:szCs w:val="18"/>
              </w:rPr>
              <w:t>%) +(3</w:t>
            </w:r>
            <w:r>
              <w:rPr>
                <w:rFonts w:ascii="Calibri" w:hAnsi="Calibri" w:cs="Calibri"/>
                <w:sz w:val="18"/>
                <w:szCs w:val="18"/>
              </w:rPr>
              <w:t>8</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vessel profit</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-(6</w:t>
            </w:r>
            <w:r>
              <w:rPr>
                <w:rFonts w:ascii="Calibri" w:hAnsi="Calibri" w:cs="Calibri"/>
                <w:sz w:val="18"/>
                <w:szCs w:val="18"/>
              </w:rPr>
              <w:t>9</w:t>
            </w:r>
            <w:r w:rsidRPr="009945C6">
              <w:rPr>
                <w:rFonts w:ascii="Calibri" w:hAnsi="Calibri" w:cs="Calibri"/>
                <w:sz w:val="18"/>
                <w:szCs w:val="18"/>
              </w:rPr>
              <w:t>%) +(3</w:t>
            </w:r>
            <w:r>
              <w:rPr>
                <w:rFonts w:ascii="Calibri" w:hAnsi="Calibri" w:cs="Calibri"/>
                <w:sz w:val="18"/>
                <w:szCs w:val="18"/>
              </w:rPr>
              <w:t>1</w:t>
            </w:r>
            <w:r w:rsidRPr="009945C6">
              <w:rPr>
                <w:rFonts w:ascii="Calibri" w:hAnsi="Calibri" w:cs="Calibri"/>
                <w:sz w:val="18"/>
                <w:szCs w:val="18"/>
              </w:rPr>
              <w:t>%)</w:t>
            </w:r>
          </w:p>
        </w:tc>
        <w:tc>
          <w:tcPr>
            <w:tcW w:w="171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w:t>
            </w:r>
            <w:r>
              <w:rPr>
                <w:rFonts w:ascii="Calibri" w:hAnsi="Calibri" w:cs="Calibri"/>
                <w:sz w:val="18"/>
                <w:szCs w:val="18"/>
              </w:rPr>
              <w:t>8</w:t>
            </w:r>
            <w:r w:rsidRPr="009945C6">
              <w:rPr>
                <w:rFonts w:ascii="Calibri" w:hAnsi="Calibri" w:cs="Calibri"/>
                <w:sz w:val="18"/>
                <w:szCs w:val="18"/>
              </w:rPr>
              <w:t>%) +(6</w:t>
            </w:r>
            <w:r>
              <w:rPr>
                <w:rFonts w:ascii="Calibri" w:hAnsi="Calibri" w:cs="Calibri"/>
                <w:sz w:val="18"/>
                <w:szCs w:val="18"/>
              </w:rPr>
              <w:t>2</w:t>
            </w:r>
            <w:r w:rsidRPr="009945C6">
              <w:rPr>
                <w:rFonts w:ascii="Calibri" w:hAnsi="Calibri" w:cs="Calibri"/>
                <w:sz w:val="18"/>
                <w:szCs w:val="18"/>
              </w:rPr>
              <w:t>%)</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w:t>
            </w:r>
            <w:r>
              <w:rPr>
                <w:rFonts w:ascii="Calibri" w:hAnsi="Calibri" w:cs="Calibri"/>
                <w:sz w:val="18"/>
                <w:szCs w:val="18"/>
              </w:rPr>
              <w:t>5</w:t>
            </w:r>
            <w:r w:rsidRPr="009945C6">
              <w:rPr>
                <w:rFonts w:ascii="Calibri" w:hAnsi="Calibri" w:cs="Calibri"/>
                <w:sz w:val="18"/>
                <w:szCs w:val="18"/>
              </w:rPr>
              <w:t>%) +(6</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Halibut vessel revenue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w:t>
            </w:r>
            <w:r>
              <w:rPr>
                <w:rFonts w:ascii="Calibri" w:hAnsi="Calibri" w:cs="Calibri"/>
                <w:sz w:val="18"/>
                <w:szCs w:val="18"/>
              </w:rPr>
              <w:t>6</w:t>
            </w:r>
            <w:r w:rsidRPr="009945C6">
              <w:rPr>
                <w:rFonts w:ascii="Calibri" w:hAnsi="Calibri" w:cs="Calibri"/>
                <w:sz w:val="18"/>
                <w:szCs w:val="18"/>
              </w:rPr>
              <w:t>%) +(6</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(7</w:t>
            </w:r>
            <w:r>
              <w:rPr>
                <w:rFonts w:ascii="Calibri" w:hAnsi="Calibri" w:cs="Calibri"/>
                <w:sz w:val="18"/>
                <w:szCs w:val="18"/>
              </w:rPr>
              <w:t>3</w:t>
            </w:r>
            <w:r w:rsidRPr="009945C6">
              <w:rPr>
                <w:rFonts w:ascii="Calibri" w:hAnsi="Calibri" w:cs="Calibri"/>
                <w:sz w:val="18"/>
                <w:szCs w:val="18"/>
              </w:rPr>
              <w:t>%)</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-(3</w:t>
            </w:r>
            <w:r>
              <w:rPr>
                <w:rFonts w:ascii="Calibri" w:hAnsi="Calibri" w:cs="Calibri"/>
                <w:sz w:val="18"/>
                <w:szCs w:val="18"/>
              </w:rPr>
              <w:t>6</w:t>
            </w:r>
            <w:r w:rsidRPr="009945C6">
              <w:rPr>
                <w:rFonts w:ascii="Calibri" w:hAnsi="Calibri" w:cs="Calibri"/>
                <w:sz w:val="18"/>
                <w:szCs w:val="18"/>
              </w:rPr>
              <w:t>%) +(6</w:t>
            </w:r>
            <w:r>
              <w:rPr>
                <w:rFonts w:ascii="Calibri" w:hAnsi="Calibri" w:cs="Calibri"/>
                <w:sz w:val="18"/>
                <w:szCs w:val="18"/>
              </w:rPr>
              <w:t>4</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Individual community health well being</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Local food security</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 active vessels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(91%)</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 price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 Total landings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(91%)</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 vessel costs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w:t>
            </w:r>
            <w:r>
              <w:rPr>
                <w:rFonts w:ascii="Calibri" w:hAnsi="Calibri" w:cs="Calibri"/>
                <w:sz w:val="18"/>
                <w:szCs w:val="18"/>
              </w:rPr>
              <w:t>37</w:t>
            </w:r>
            <w:r w:rsidRPr="009945C6">
              <w:rPr>
                <w:rFonts w:ascii="Calibri" w:hAnsi="Calibri" w:cs="Calibri"/>
                <w:sz w:val="18"/>
                <w:szCs w:val="18"/>
              </w:rPr>
              <w:t>%) +(</w:t>
            </w:r>
            <w:r>
              <w:rPr>
                <w:rFonts w:ascii="Calibri" w:hAnsi="Calibri" w:cs="Calibri"/>
                <w:sz w:val="18"/>
                <w:szCs w:val="18"/>
              </w:rPr>
              <w:t>63</w:t>
            </w:r>
            <w:r w:rsidRPr="009945C6">
              <w:rPr>
                <w:rFonts w:ascii="Calibri" w:hAnsi="Calibri" w:cs="Calibri"/>
                <w:sz w:val="18"/>
                <w:szCs w:val="18"/>
              </w:rPr>
              <w:t>%)</w:t>
            </w:r>
          </w:p>
        </w:tc>
        <w:tc>
          <w:tcPr>
            <w:tcW w:w="171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-(60%) +(40%)</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w:t>
            </w:r>
            <w:r>
              <w:rPr>
                <w:rFonts w:ascii="Calibri" w:hAnsi="Calibri" w:cs="Calibri"/>
                <w:sz w:val="18"/>
                <w:szCs w:val="18"/>
              </w:rPr>
              <w:t>7</w:t>
            </w:r>
            <w:r w:rsidRPr="009945C6">
              <w:rPr>
                <w:rFonts w:ascii="Calibri" w:hAnsi="Calibri" w:cs="Calibri"/>
                <w:sz w:val="18"/>
                <w:szCs w:val="18"/>
              </w:rPr>
              <w:t>%) +(4</w:t>
            </w:r>
            <w:r>
              <w:rPr>
                <w:rFonts w:ascii="Calibri" w:hAnsi="Calibri" w:cs="Calibri"/>
                <w:sz w:val="18"/>
                <w:szCs w:val="18"/>
              </w:rPr>
              <w:t>3</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 vessel profits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-(4</w:t>
            </w:r>
            <w:r>
              <w:rPr>
                <w:rFonts w:ascii="Calibri" w:hAnsi="Calibri" w:cs="Calibri"/>
                <w:sz w:val="18"/>
                <w:szCs w:val="18"/>
              </w:rPr>
              <w:t>3</w:t>
            </w:r>
            <w:r w:rsidRPr="009945C6">
              <w:rPr>
                <w:rFonts w:ascii="Calibri" w:hAnsi="Calibri" w:cs="Calibri"/>
                <w:sz w:val="18"/>
                <w:szCs w:val="18"/>
              </w:rPr>
              <w:t>%) +(5</w:t>
            </w:r>
            <w:r>
              <w:rPr>
                <w:rFonts w:ascii="Calibri" w:hAnsi="Calibri" w:cs="Calibri"/>
                <w:sz w:val="18"/>
                <w:szCs w:val="18"/>
              </w:rPr>
              <w:t>7</w:t>
            </w:r>
            <w:r w:rsidRPr="009945C6">
              <w:rPr>
                <w:rFonts w:ascii="Calibri" w:hAnsi="Calibri" w:cs="Calibri"/>
                <w:sz w:val="18"/>
                <w:szCs w:val="18"/>
              </w:rPr>
              <w:t>%)</w:t>
            </w:r>
          </w:p>
        </w:tc>
        <w:tc>
          <w:tcPr>
            <w:tcW w:w="171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-(5</w:t>
            </w:r>
            <w:r>
              <w:rPr>
                <w:rFonts w:ascii="Calibri" w:hAnsi="Calibri" w:cs="Calibri"/>
                <w:sz w:val="18"/>
                <w:szCs w:val="18"/>
              </w:rPr>
              <w:t>7</w:t>
            </w:r>
            <w:r w:rsidRPr="009945C6">
              <w:rPr>
                <w:rFonts w:ascii="Calibri" w:hAnsi="Calibri" w:cs="Calibri"/>
                <w:sz w:val="18"/>
                <w:szCs w:val="18"/>
              </w:rPr>
              <w:t>%) +(4</w:t>
            </w:r>
            <w:r>
              <w:rPr>
                <w:rFonts w:ascii="Calibri" w:hAnsi="Calibri" w:cs="Calibri"/>
                <w:sz w:val="18"/>
                <w:szCs w:val="18"/>
              </w:rPr>
              <w:t>3</w:t>
            </w:r>
            <w:r w:rsidRPr="009945C6">
              <w:rPr>
                <w:rFonts w:ascii="Calibri" w:hAnsi="Calibri" w:cs="Calibri"/>
                <w:sz w:val="18"/>
                <w:szCs w:val="18"/>
              </w:rPr>
              <w:t>%)</w:t>
            </w:r>
          </w:p>
        </w:tc>
        <w:tc>
          <w:tcPr>
            <w:tcW w:w="1620" w:type="dxa"/>
            <w:tcBorders>
              <w:top w:val="nil"/>
              <w:left w:val="nil"/>
              <w:bottom w:val="nil"/>
              <w:right w:val="nil"/>
            </w:tcBorders>
            <w:shd w:val="vertStripe" w:color="FFCC99"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-(6</w:t>
            </w:r>
            <w:r>
              <w:rPr>
                <w:rFonts w:ascii="Calibri" w:hAnsi="Calibri" w:cs="Calibri"/>
                <w:sz w:val="18"/>
                <w:szCs w:val="18"/>
              </w:rPr>
              <w:t>7</w:t>
            </w:r>
            <w:r w:rsidRPr="009945C6">
              <w:rPr>
                <w:rFonts w:ascii="Calibri" w:hAnsi="Calibri" w:cs="Calibri"/>
                <w:sz w:val="18"/>
                <w:szCs w:val="18"/>
              </w:rPr>
              <w:t>%) +(3</w:t>
            </w:r>
            <w:r>
              <w:rPr>
                <w:rFonts w:ascii="Calibri" w:hAnsi="Calibri" w:cs="Calibri"/>
                <w:sz w:val="18"/>
                <w:szCs w:val="18"/>
              </w:rPr>
              <w:t>3</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Pollock vessel revenue</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(91%)</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Recreational opportunit</w:t>
            </w:r>
            <w:r>
              <w:rPr>
                <w:rFonts w:ascii="Calibri" w:hAnsi="Calibri" w:cs="Calibri"/>
                <w:sz w:val="18"/>
                <w:szCs w:val="18"/>
              </w:rPr>
              <w:t>i</w:t>
            </w:r>
            <w:r w:rsidRPr="009945C6">
              <w:rPr>
                <w:rFonts w:ascii="Calibri" w:hAnsi="Calibri" w:cs="Calibri"/>
                <w:sz w:val="18"/>
                <w:szCs w:val="18"/>
              </w:rPr>
              <w:t>es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Salmon PSC cap</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71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c>
          <w:tcPr>
            <w:tcW w:w="1620" w:type="dxa"/>
            <w:tcBorders>
              <w:top w:val="nil"/>
              <w:left w:val="nil"/>
              <w:bottom w:val="nil"/>
              <w:right w:val="nil"/>
            </w:tcBorders>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0 (100%)</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Sport charter catch</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Subsistence catch</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TAC Arrowtooth</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w:t>
            </w:r>
            <w:r>
              <w:rPr>
                <w:rFonts w:ascii="Calibri" w:hAnsi="Calibri" w:cs="Calibri"/>
                <w:sz w:val="18"/>
                <w:szCs w:val="18"/>
              </w:rPr>
              <w:t>100</w:t>
            </w:r>
            <w:r w:rsidRPr="009945C6">
              <w:rPr>
                <w:rFonts w:ascii="Calibri" w:hAnsi="Calibri" w:cs="Calibri"/>
                <w:sz w:val="18"/>
                <w:szCs w:val="18"/>
              </w:rPr>
              <w:t>%)</w:t>
            </w:r>
          </w:p>
        </w:tc>
        <w:tc>
          <w:tcPr>
            <w:tcW w:w="171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(99%)</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w:t>
            </w:r>
            <w:r>
              <w:rPr>
                <w:rFonts w:ascii="Calibri" w:hAnsi="Calibri" w:cs="Calibri"/>
                <w:sz w:val="18"/>
                <w:szCs w:val="18"/>
              </w:rPr>
              <w:t>6</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TAC Halibut</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TAC Pollock</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(91%)</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solid" w:color="FFCC99" w:fill="auto"/>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Pr>
                <w:rFonts w:ascii="Calibri" w:hAnsi="Calibri" w:cs="Calibri"/>
                <w:sz w:val="18"/>
                <w:szCs w:val="18"/>
              </w:rPr>
              <w:t xml:space="preserve">Total </w:t>
            </w:r>
            <w:r w:rsidRPr="009945C6">
              <w:rPr>
                <w:rFonts w:ascii="Calibri" w:hAnsi="Calibri" w:cs="Calibri"/>
                <w:sz w:val="18"/>
                <w:szCs w:val="18"/>
              </w:rPr>
              <w:t>charter businesses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02"/>
        </w:trPr>
        <w:tc>
          <w:tcPr>
            <w:tcW w:w="2478"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Pr>
                <w:rFonts w:ascii="Calibri" w:hAnsi="Calibri" w:cs="Calibri"/>
                <w:sz w:val="18"/>
                <w:szCs w:val="18"/>
              </w:rPr>
              <w:t xml:space="preserve">Total </w:t>
            </w:r>
            <w:r w:rsidRPr="009945C6">
              <w:rPr>
                <w:rFonts w:ascii="Calibri" w:hAnsi="Calibri" w:cs="Calibri"/>
                <w:sz w:val="18"/>
                <w:szCs w:val="18"/>
              </w:rPr>
              <w:t>charter trips</w:t>
            </w:r>
          </w:p>
        </w:tc>
        <w:tc>
          <w:tcPr>
            <w:tcW w:w="2022" w:type="dxa"/>
            <w:tcBorders>
              <w:top w:val="nil"/>
              <w:left w:val="nil"/>
              <w:bottom w:val="nil"/>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nil"/>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w:t>
            </w:r>
            <w:r w:rsidRPr="009945C6">
              <w:rPr>
                <w:rFonts w:ascii="Calibri" w:hAnsi="Calibri" w:cs="Calibri"/>
                <w:sz w:val="18"/>
                <w:szCs w:val="18"/>
              </w:rPr>
              <w:t xml:space="preserve"> (</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nil"/>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r w:rsidR="00B67917" w:rsidRPr="009945C6" w:rsidTr="005A541A">
        <w:trPr>
          <w:trHeight w:val="322"/>
        </w:trPr>
        <w:tc>
          <w:tcPr>
            <w:tcW w:w="2478" w:type="dxa"/>
            <w:tcBorders>
              <w:top w:val="nil"/>
              <w:left w:val="nil"/>
              <w:bottom w:val="single" w:sz="6" w:space="0" w:color="auto"/>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Pr>
                <w:rFonts w:ascii="Calibri" w:hAnsi="Calibri" w:cs="Calibri"/>
                <w:sz w:val="18"/>
                <w:szCs w:val="18"/>
              </w:rPr>
              <w:t>Total sportfishing licens</w:t>
            </w:r>
            <w:r w:rsidRPr="009945C6">
              <w:rPr>
                <w:rFonts w:ascii="Calibri" w:hAnsi="Calibri" w:cs="Calibri"/>
                <w:sz w:val="18"/>
                <w:szCs w:val="18"/>
              </w:rPr>
              <w:t>es</w:t>
            </w:r>
          </w:p>
        </w:tc>
        <w:tc>
          <w:tcPr>
            <w:tcW w:w="2022" w:type="dxa"/>
            <w:tcBorders>
              <w:top w:val="nil"/>
              <w:left w:val="nil"/>
              <w:bottom w:val="single" w:sz="6" w:space="0" w:color="auto"/>
              <w:right w:val="nil"/>
            </w:tcBorders>
          </w:tcPr>
          <w:p w:rsidR="00B67917" w:rsidRPr="009945C6" w:rsidRDefault="00B67917" w:rsidP="005A541A">
            <w:pPr>
              <w:widowControl w:val="0"/>
              <w:autoSpaceDE w:val="0"/>
              <w:autoSpaceDN w:val="0"/>
              <w:adjustRightInd w:val="0"/>
              <w:rPr>
                <w:rFonts w:ascii="Calibri" w:hAnsi="Calibri" w:cs="Calibri"/>
                <w:sz w:val="18"/>
                <w:szCs w:val="18"/>
              </w:rPr>
            </w:pPr>
            <w:r w:rsidRPr="009945C6">
              <w:rPr>
                <w:rFonts w:ascii="Calibri" w:hAnsi="Calibri" w:cs="Calibri"/>
                <w:sz w:val="18"/>
                <w:szCs w:val="18"/>
              </w:rPr>
              <w:t>community of practice</w:t>
            </w:r>
          </w:p>
        </w:tc>
        <w:tc>
          <w:tcPr>
            <w:tcW w:w="1800" w:type="dxa"/>
            <w:tcBorders>
              <w:top w:val="nil"/>
              <w:left w:val="nil"/>
              <w:bottom w:val="single" w:sz="6" w:space="0" w:color="auto"/>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4</w:t>
            </w:r>
            <w:r w:rsidRPr="009945C6">
              <w:rPr>
                <w:rFonts w:ascii="Calibri" w:hAnsi="Calibri" w:cs="Calibri"/>
                <w:sz w:val="18"/>
                <w:szCs w:val="18"/>
              </w:rPr>
              <w:t>%)</w:t>
            </w:r>
          </w:p>
        </w:tc>
        <w:tc>
          <w:tcPr>
            <w:tcW w:w="1710" w:type="dxa"/>
            <w:tcBorders>
              <w:top w:val="nil"/>
              <w:left w:val="nil"/>
              <w:bottom w:val="single" w:sz="6" w:space="0" w:color="auto"/>
              <w:right w:val="nil"/>
            </w:tcBorders>
            <w:shd w:val="solid" w:color="FFCC99" w:fill="000000"/>
          </w:tcPr>
          <w:p w:rsidR="00B67917" w:rsidRPr="009945C6" w:rsidRDefault="00B67917" w:rsidP="005A541A">
            <w:pPr>
              <w:widowControl w:val="0"/>
              <w:autoSpaceDE w:val="0"/>
              <w:autoSpaceDN w:val="0"/>
              <w:adjustRightInd w:val="0"/>
              <w:jc w:val="center"/>
              <w:rPr>
                <w:rFonts w:ascii="Calibri" w:hAnsi="Calibri" w:cs="Calibri"/>
                <w:sz w:val="18"/>
                <w:szCs w:val="18"/>
              </w:rPr>
            </w:pPr>
            <w:r>
              <w:rPr>
                <w:rFonts w:ascii="Calibri" w:hAnsi="Calibri" w:cs="Calibri"/>
                <w:sz w:val="18"/>
                <w:szCs w:val="18"/>
              </w:rPr>
              <w:t xml:space="preserve">- </w:t>
            </w:r>
            <w:r w:rsidRPr="009945C6">
              <w:rPr>
                <w:rFonts w:ascii="Calibri" w:hAnsi="Calibri" w:cs="Calibri"/>
                <w:sz w:val="18"/>
                <w:szCs w:val="18"/>
              </w:rPr>
              <w:t>(</w:t>
            </w:r>
            <w:r>
              <w:rPr>
                <w:rFonts w:ascii="Calibri" w:hAnsi="Calibri" w:cs="Calibri"/>
                <w:sz w:val="18"/>
                <w:szCs w:val="18"/>
              </w:rPr>
              <w:t>89</w:t>
            </w:r>
            <w:r w:rsidRPr="009945C6">
              <w:rPr>
                <w:rFonts w:ascii="Calibri" w:hAnsi="Calibri" w:cs="Calibri"/>
                <w:sz w:val="18"/>
                <w:szCs w:val="18"/>
              </w:rPr>
              <w:t>%)</w:t>
            </w:r>
          </w:p>
        </w:tc>
        <w:tc>
          <w:tcPr>
            <w:tcW w:w="1620" w:type="dxa"/>
            <w:tcBorders>
              <w:top w:val="nil"/>
              <w:left w:val="nil"/>
              <w:bottom w:val="single" w:sz="6" w:space="0" w:color="auto"/>
              <w:right w:val="nil"/>
            </w:tcBorders>
            <w:shd w:val="clear" w:color="865357" w:fill="95B3D7" w:themeFill="accent1" w:themeFillTint="99"/>
          </w:tcPr>
          <w:p w:rsidR="00B67917" w:rsidRPr="009945C6" w:rsidRDefault="00B67917" w:rsidP="005A541A">
            <w:pPr>
              <w:widowControl w:val="0"/>
              <w:autoSpaceDE w:val="0"/>
              <w:autoSpaceDN w:val="0"/>
              <w:adjustRightInd w:val="0"/>
              <w:jc w:val="center"/>
              <w:rPr>
                <w:rFonts w:ascii="Calibri" w:hAnsi="Calibri" w:cs="Calibri"/>
                <w:sz w:val="18"/>
                <w:szCs w:val="18"/>
              </w:rPr>
            </w:pPr>
            <w:r w:rsidRPr="009945C6">
              <w:rPr>
                <w:rFonts w:ascii="Calibri" w:hAnsi="Calibri" w:cs="Calibri"/>
                <w:sz w:val="18"/>
                <w:szCs w:val="18"/>
              </w:rPr>
              <w:t>+ (7</w:t>
            </w:r>
            <w:r>
              <w:rPr>
                <w:rFonts w:ascii="Calibri" w:hAnsi="Calibri" w:cs="Calibri"/>
                <w:sz w:val="18"/>
                <w:szCs w:val="18"/>
              </w:rPr>
              <w:t>5</w:t>
            </w:r>
            <w:r w:rsidRPr="009945C6">
              <w:rPr>
                <w:rFonts w:ascii="Calibri" w:hAnsi="Calibri" w:cs="Calibri"/>
                <w:sz w:val="18"/>
                <w:szCs w:val="18"/>
              </w:rPr>
              <w:t>%)</w:t>
            </w:r>
          </w:p>
        </w:tc>
      </w:tr>
    </w:tbl>
    <w:p w:rsidR="00B67917" w:rsidRDefault="00B67917" w:rsidP="00B67917">
      <w:pPr>
        <w:ind w:left="-1080"/>
      </w:pPr>
    </w:p>
    <w:p w:rsidR="00B67917" w:rsidRDefault="00B67917" w:rsidP="00B67917">
      <w:pPr>
        <w:pStyle w:val="Normal1"/>
      </w:pPr>
    </w:p>
    <w:p w:rsidR="008563AA" w:rsidRDefault="008563AA" w:rsidP="008563AA"/>
    <w:sectPr w:rsidR="008563AA" w:rsidSect="00DF7E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Nova Mon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F0"/>
    <w:rsid w:val="0014172F"/>
    <w:rsid w:val="002F7C83"/>
    <w:rsid w:val="00594A38"/>
    <w:rsid w:val="008563AA"/>
    <w:rsid w:val="00B67917"/>
    <w:rsid w:val="00BC184C"/>
    <w:rsid w:val="00BE7044"/>
    <w:rsid w:val="00DD68F7"/>
    <w:rsid w:val="00D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C5F3D-99ED-4901-8088-16EDBD7E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DF7EF0"/>
    <w:pPr>
      <w:keepNext/>
      <w:keepLines/>
      <w:spacing w:before="480" w:after="120"/>
      <w:contextualSpacing/>
      <w:outlineLvl w:val="0"/>
    </w:pPr>
    <w:rPr>
      <w:b/>
      <w:sz w:val="48"/>
      <w:szCs w:val="48"/>
    </w:rPr>
  </w:style>
  <w:style w:type="paragraph" w:styleId="Heading2">
    <w:name w:val="heading 2"/>
    <w:basedOn w:val="Normal1"/>
    <w:next w:val="Normal1"/>
    <w:rsid w:val="00DF7EF0"/>
    <w:pPr>
      <w:keepNext/>
      <w:keepLines/>
      <w:spacing w:before="360" w:after="80"/>
      <w:contextualSpacing/>
      <w:outlineLvl w:val="1"/>
    </w:pPr>
    <w:rPr>
      <w:b/>
      <w:sz w:val="36"/>
      <w:szCs w:val="36"/>
    </w:rPr>
  </w:style>
  <w:style w:type="paragraph" w:styleId="Heading3">
    <w:name w:val="heading 3"/>
    <w:basedOn w:val="Normal1"/>
    <w:next w:val="Normal1"/>
    <w:rsid w:val="00DF7EF0"/>
    <w:pPr>
      <w:keepNext/>
      <w:keepLines/>
      <w:spacing w:before="280" w:after="80"/>
      <w:contextualSpacing/>
      <w:outlineLvl w:val="2"/>
    </w:pPr>
    <w:rPr>
      <w:b/>
      <w:sz w:val="28"/>
      <w:szCs w:val="28"/>
    </w:rPr>
  </w:style>
  <w:style w:type="paragraph" w:styleId="Heading4">
    <w:name w:val="heading 4"/>
    <w:basedOn w:val="Normal1"/>
    <w:next w:val="Normal1"/>
    <w:rsid w:val="00DF7EF0"/>
    <w:pPr>
      <w:keepNext/>
      <w:keepLines/>
      <w:spacing w:before="240" w:after="40"/>
      <w:contextualSpacing/>
      <w:outlineLvl w:val="3"/>
    </w:pPr>
    <w:rPr>
      <w:b/>
    </w:rPr>
  </w:style>
  <w:style w:type="paragraph" w:styleId="Heading5">
    <w:name w:val="heading 5"/>
    <w:basedOn w:val="Normal1"/>
    <w:next w:val="Normal1"/>
    <w:rsid w:val="00DF7EF0"/>
    <w:pPr>
      <w:keepNext/>
      <w:keepLines/>
      <w:spacing w:before="220" w:after="40"/>
      <w:contextualSpacing/>
      <w:outlineLvl w:val="4"/>
    </w:pPr>
    <w:rPr>
      <w:b/>
      <w:sz w:val="22"/>
      <w:szCs w:val="22"/>
    </w:rPr>
  </w:style>
  <w:style w:type="paragraph" w:styleId="Heading6">
    <w:name w:val="heading 6"/>
    <w:basedOn w:val="Normal1"/>
    <w:next w:val="Normal1"/>
    <w:rsid w:val="00DF7EF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7EF0"/>
  </w:style>
  <w:style w:type="paragraph" w:styleId="Title">
    <w:name w:val="Title"/>
    <w:basedOn w:val="Normal1"/>
    <w:next w:val="Normal1"/>
    <w:rsid w:val="00DF7EF0"/>
    <w:pPr>
      <w:keepNext/>
      <w:keepLines/>
      <w:spacing w:before="480" w:after="120"/>
      <w:contextualSpacing/>
    </w:pPr>
    <w:rPr>
      <w:b/>
      <w:sz w:val="72"/>
      <w:szCs w:val="72"/>
    </w:rPr>
  </w:style>
  <w:style w:type="paragraph" w:styleId="Subtitle">
    <w:name w:val="Subtitle"/>
    <w:basedOn w:val="Normal1"/>
    <w:next w:val="Normal1"/>
    <w:rsid w:val="00DF7EF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7EF0"/>
    <w:tblPr>
      <w:tblStyleRowBandSize w:val="1"/>
      <w:tblStyleColBandSize w:val="1"/>
      <w:tblCellMar>
        <w:left w:w="115" w:type="dxa"/>
        <w:right w:w="115" w:type="dxa"/>
      </w:tblCellMar>
    </w:tblPr>
  </w:style>
  <w:style w:type="table" w:customStyle="1" w:styleId="a0">
    <w:basedOn w:val="TableNormal"/>
    <w:rsid w:val="00DF7EF0"/>
    <w:tblPr>
      <w:tblStyleRowBandSize w:val="1"/>
      <w:tblStyleColBandSize w:val="1"/>
      <w:tblCellMar>
        <w:left w:w="115" w:type="dxa"/>
        <w:right w:w="115" w:type="dxa"/>
      </w:tblCellMar>
    </w:tblPr>
  </w:style>
  <w:style w:type="table" w:customStyle="1" w:styleId="a1">
    <w:basedOn w:val="TableNormal"/>
    <w:rsid w:val="00DF7EF0"/>
    <w:tblPr>
      <w:tblStyleRowBandSize w:val="1"/>
      <w:tblStyleColBandSize w:val="1"/>
      <w:tblCellMar>
        <w:left w:w="115" w:type="dxa"/>
        <w:right w:w="115" w:type="dxa"/>
      </w:tblCellMar>
    </w:tblPr>
  </w:style>
  <w:style w:type="table" w:customStyle="1" w:styleId="a2">
    <w:basedOn w:val="TableNormal"/>
    <w:rsid w:val="00DF7EF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63AA"/>
    <w:rPr>
      <w:rFonts w:ascii="Times New Roman" w:eastAsiaTheme="minorEastAsia" w:hAnsi="Times New Roman" w:cs="Times New Roman"/>
      <w:color w:val="auto"/>
    </w:rPr>
  </w:style>
  <w:style w:type="paragraph" w:styleId="BalloonText">
    <w:name w:val="Balloon Text"/>
    <w:basedOn w:val="Normal"/>
    <w:link w:val="BalloonTextChar"/>
    <w:uiPriority w:val="99"/>
    <w:semiHidden/>
    <w:unhideWhenUsed/>
    <w:rsid w:val="008563AA"/>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8563AA"/>
    <w:rPr>
      <w:rFonts w:ascii="Lucida Grande" w:eastAsiaTheme="minorEastAsia" w:hAnsi="Lucida Grande" w:cs="Lucida Grande"/>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FE6A7B28</Template>
  <TotalTime>4</TotalTime>
  <Pages>13</Pages>
  <Words>2754</Words>
  <Characters>16388</Characters>
  <Application>Microsoft Office Word</Application>
  <DocSecurity>0</DocSecurity>
  <Lines>237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Stephani.Zador</dc:creator>
  <cp:lastModifiedBy>Stephani.Zador</cp:lastModifiedBy>
  <cp:revision>4</cp:revision>
  <dcterms:created xsi:type="dcterms:W3CDTF">2017-03-13T20:51:00Z</dcterms:created>
  <dcterms:modified xsi:type="dcterms:W3CDTF">2017-03-13T21:44:00Z</dcterms:modified>
</cp:coreProperties>
</file>