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086F3" w14:textId="35D79F31" w:rsidR="00920038" w:rsidRPr="009E1CF4" w:rsidRDefault="00920038" w:rsidP="00920038">
      <w:pPr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Table S</w:t>
      </w:r>
      <w:r w:rsidR="008F1FF8">
        <w:rPr>
          <w:rFonts w:ascii="Arial" w:hAnsi="Arial" w:cs="Arial"/>
          <w:b/>
          <w:lang w:val="en-GB"/>
        </w:rPr>
        <w:t>T</w:t>
      </w:r>
      <w:r w:rsidR="00057ADF">
        <w:rPr>
          <w:rFonts w:ascii="Arial" w:hAnsi="Arial" w:cs="Arial"/>
          <w:b/>
          <w:lang w:val="en-GB"/>
        </w:rPr>
        <w:t>5</w:t>
      </w:r>
      <w:r w:rsidRPr="000303FB">
        <w:rPr>
          <w:rFonts w:ascii="Arial" w:hAnsi="Arial" w:cs="Arial"/>
          <w:b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  <w:bookmarkStart w:id="0" w:name="_Hlk504397083"/>
      <w:bookmarkStart w:id="1" w:name="_GoBack"/>
      <w:r>
        <w:rPr>
          <w:rFonts w:ascii="Arial" w:hAnsi="Arial" w:cs="Arial"/>
          <w:lang w:val="en-GB"/>
        </w:rPr>
        <w:t xml:space="preserve">Summary of gene ontology (GO) term enrichment of gill gene co-expression modules defined by WGCNA, </w:t>
      </w:r>
      <w:r w:rsidRPr="00823B15">
        <w:rPr>
          <w:rFonts w:ascii="Arial" w:hAnsi="Arial" w:cs="Arial"/>
          <w:lang w:val="en-GB"/>
        </w:rPr>
        <w:t>including total number of genes per module,</w:t>
      </w:r>
      <w:r>
        <w:rPr>
          <w:rFonts w:ascii="Arial" w:hAnsi="Arial" w:cs="Arial"/>
          <w:lang w:val="en-GB"/>
        </w:rPr>
        <w:t xml:space="preserve"> most significant GO term, and major biological process clusters determined using </w:t>
      </w:r>
      <w:proofErr w:type="spellStart"/>
      <w:r>
        <w:rPr>
          <w:rFonts w:ascii="Arial" w:hAnsi="Arial" w:cs="Arial"/>
          <w:lang w:val="en-GB"/>
        </w:rPr>
        <w:t>ReViGO</w:t>
      </w:r>
      <w:proofErr w:type="spellEnd"/>
      <w:r>
        <w:rPr>
          <w:rFonts w:ascii="Arial" w:hAnsi="Arial" w:cs="Arial"/>
          <w:lang w:val="en-GB"/>
        </w:rPr>
        <w:t>. Significant correlations with infection status, density treatment, time point, and fish standard length indicated (+; positive correlation, -; negative correlation).</w:t>
      </w:r>
      <w:bookmarkEnd w:id="0"/>
      <w:bookmarkEnd w:id="1"/>
    </w:p>
    <w:tbl>
      <w:tblPr>
        <w:tblW w:w="111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08"/>
        <w:gridCol w:w="795"/>
        <w:gridCol w:w="1050"/>
        <w:gridCol w:w="939"/>
        <w:gridCol w:w="683"/>
        <w:gridCol w:w="883"/>
        <w:gridCol w:w="1776"/>
        <w:gridCol w:w="2140"/>
        <w:gridCol w:w="2470"/>
      </w:tblGrid>
      <w:tr w:rsidR="00920038" w:rsidRPr="009E1CF4" w14:paraId="556FA388" w14:textId="77777777" w:rsidTr="00282EE6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05FDBA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Module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E3C6AC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No. genes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49A94C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Infection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F0A944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Density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9A7BAD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Time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87A437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Length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B3C24C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Top BP GO term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31C22B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E1C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ReViGO</w:t>
            </w:r>
            <w:proofErr w:type="spellEnd"/>
            <w:r w:rsidRPr="009E1C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groups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F295F4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Infection &amp; stress related terms</w:t>
            </w:r>
          </w:p>
        </w:tc>
      </w:tr>
      <w:tr w:rsidR="00920038" w:rsidRPr="009E1CF4" w14:paraId="354CFF69" w14:textId="77777777" w:rsidTr="00282EE6">
        <w:trPr>
          <w:trHeight w:val="15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E175D8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2A65B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3911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49E18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1B891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265D7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9A51F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08310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Cell communication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0A666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Cell communication, lymph vessel development, peptidyl-tyrosine modification, Golgi vesicle budding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C69A0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mmune response, antigen processing and presentation, chemokine-mediated signalling pathway, response to steroid hormone</w:t>
            </w:r>
          </w:p>
        </w:tc>
      </w:tr>
      <w:tr w:rsidR="00920038" w:rsidRPr="009E1CF4" w14:paraId="4A027DC4" w14:textId="77777777" w:rsidTr="00282EE6">
        <w:trPr>
          <w:trHeight w:val="17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EF2247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02F468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2233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6701DC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BF4B16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B04FA0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EB95A6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D8EA21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ene expression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9AD254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egulation of cellular protein metabolism, cellular component biogenesis, heterocycle metabolism, </w:t>
            </w:r>
            <w:proofErr w:type="spellStart"/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instracellular</w:t>
            </w:r>
            <w:proofErr w:type="spellEnd"/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transport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D8387ED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pidermis morphogenesis, response to stress, inflammatory response, mast cell migration, negative regulation of circadian rhythm, T cell proliferation, leukocyte migration, wound healing</w:t>
            </w:r>
          </w:p>
        </w:tc>
      </w:tr>
      <w:tr w:rsidR="00920038" w:rsidRPr="009E1CF4" w14:paraId="300E9033" w14:textId="77777777" w:rsidTr="00282EE6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FACE8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91EEA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378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3E0A7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E6B5E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9C301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AA647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9AC04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8CE1A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77B35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920038" w:rsidRPr="009E1CF4" w14:paraId="60BC07E6" w14:textId="77777777" w:rsidTr="00282EE6">
        <w:trPr>
          <w:trHeight w:val="12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BEB664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67E734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1653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1D9DAC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36728C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D5655E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9E736F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BF2A37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signalling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C33EFF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response to stimulus, single-multicellular organism process, single-organism developmental process, cell migration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548D42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tress-activated protein kinase signalling cascade, interleukin-12 production</w:t>
            </w:r>
          </w:p>
        </w:tc>
      </w:tr>
      <w:tr w:rsidR="00920038" w:rsidRPr="009E1CF4" w14:paraId="2BCB0BBD" w14:textId="77777777" w:rsidTr="00282EE6">
        <w:trPr>
          <w:trHeight w:val="12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7E41D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lastRenderedPageBreak/>
              <w:t>G5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6F30C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748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6C3EA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6B675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2958C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FFD31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118C4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egative regulation of TOR signalling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FFA7D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mbryonic </w:t>
            </w:r>
            <w:proofErr w:type="spellStart"/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hemopoiesis</w:t>
            </w:r>
            <w:proofErr w:type="spellEnd"/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, negative regulation of TOR signalling, iron ion transport, peptidyl-serine phosphorylation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93460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nterleukin-12 production</w:t>
            </w:r>
          </w:p>
        </w:tc>
      </w:tr>
      <w:tr w:rsidR="00920038" w:rsidRPr="009E1CF4" w14:paraId="01164721" w14:textId="77777777" w:rsidTr="00282EE6">
        <w:trPr>
          <w:trHeight w:val="12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8E195E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6FFE79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1139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821AD6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4C4407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DABAE8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40FB26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EFA25E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egative regulation of actin filament polymerization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34C784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egative regulation of actin filament polymerization, nitrogen compound transport, </w:t>
            </w:r>
            <w:proofErr w:type="spellStart"/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mannosylation</w:t>
            </w:r>
            <w:proofErr w:type="spellEnd"/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, muscle cell fate specification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D6E4D9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920038" w:rsidRPr="009E1CF4" w14:paraId="71A46F13" w14:textId="77777777" w:rsidTr="00282EE6">
        <w:trPr>
          <w:trHeight w:val="15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B37EDA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163E12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1608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82BC8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45911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9D0F7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2943B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D88FB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biological process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CCE3E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nucleic acid-templated transcription, striated muscle cell differentiation, s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indle midzone assembly, inositol metabolism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0D7D2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ositive regulation of stress-activated protein kinase signalling cascade</w:t>
            </w:r>
          </w:p>
        </w:tc>
      </w:tr>
      <w:tr w:rsidR="00920038" w:rsidRPr="009E1CF4" w14:paraId="6A796A87" w14:textId="77777777" w:rsidTr="00282EE6">
        <w:trPr>
          <w:trHeight w:val="15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46194C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4559F1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233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984A84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6F8D3D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8A0420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CD047C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31E01D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egative regulation of hyaluronan biosynthetic process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6F94ED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egative regulation of carbohydrate metabolism, intracellular transport, N-terminal protein amino acid acetylation, hyaluronan biosynthesis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B0FA26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ntigen processing and presentation of exogenous peptide antigen via MHC class II, regulation of </w:t>
            </w:r>
            <w:proofErr w:type="spellStart"/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defense</w:t>
            </w:r>
            <w:proofErr w:type="spellEnd"/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response to virus, immune system development, T cell co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-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stimulation</w:t>
            </w:r>
          </w:p>
        </w:tc>
      </w:tr>
      <w:tr w:rsidR="00920038" w:rsidRPr="009E1CF4" w14:paraId="233897DE" w14:textId="77777777" w:rsidTr="00282EE6">
        <w:trPr>
          <w:trHeight w:val="10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8BE5E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C099F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127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9DAB2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7D8DF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7C6AB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D57EE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2F5B7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ircadian regulation of gene expression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9466C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ircadian regulation of gene expression, photoperiodism, </w:t>
            </w:r>
            <w:proofErr w:type="spellStart"/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heme</w:t>
            </w:r>
            <w:proofErr w:type="spellEnd"/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transmembrane 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lastRenderedPageBreak/>
              <w:t>transport, rhythmic process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F7F04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lastRenderedPageBreak/>
              <w:t>N/A</w:t>
            </w:r>
          </w:p>
        </w:tc>
      </w:tr>
      <w:tr w:rsidR="00920038" w:rsidRPr="009E1CF4" w14:paraId="16406DBB" w14:textId="77777777" w:rsidTr="00282EE6">
        <w:trPr>
          <w:trHeight w:val="12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26EA34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F39C76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519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C65752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10D9AE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7BA97A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2168D1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BED5F3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ATP metabolic process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226B59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xidative phosphorylation, proton transport, regulation of NIK/NF-</w:t>
            </w:r>
            <w:proofErr w:type="spellStart"/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kappaB</w:t>
            </w:r>
            <w:proofErr w:type="spellEnd"/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signalling, post-chaperonin tubulin folding pathway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7D0548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esponse to stress</w:t>
            </w:r>
          </w:p>
        </w:tc>
      </w:tr>
      <w:tr w:rsidR="00920038" w:rsidRPr="009E1CF4" w14:paraId="121A5A93" w14:textId="77777777" w:rsidTr="00282EE6">
        <w:trPr>
          <w:trHeight w:val="153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BE58DA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638CB1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4623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1958EA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74D117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862F28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C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CBD62B" w14:textId="77777777" w:rsidR="00920038" w:rsidRPr="009E1CF4" w:rsidRDefault="00920038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E3F1C8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cRNA metabolic process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BF6E68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onosaccharide metabolism, ncRNA metabolism,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intracellular transport, ribosome biogenesis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FB6339" w14:textId="77777777" w:rsidR="00920038" w:rsidRPr="009E1CF4" w:rsidRDefault="00920038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9E1CF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esponse to fungus, leukocyte mediated immunity, regulation of T cell mediated immunity, mast cell activation, type I interferon production, macrophage differentiation</w:t>
            </w:r>
          </w:p>
        </w:tc>
      </w:tr>
    </w:tbl>
    <w:p w14:paraId="18117D37" w14:textId="77777777" w:rsidR="00920038" w:rsidRDefault="00920038" w:rsidP="00920038">
      <w:pPr>
        <w:spacing w:line="480" w:lineRule="auto"/>
        <w:jc w:val="center"/>
        <w:rPr>
          <w:rFonts w:ascii="Arial" w:hAnsi="Arial" w:cs="Arial"/>
          <w:lang w:val="en-GB"/>
        </w:rPr>
      </w:pPr>
    </w:p>
    <w:p w14:paraId="0992F933" w14:textId="77777777" w:rsidR="00656DA1" w:rsidRDefault="00057ADF"/>
    <w:sectPr w:rsidR="00656DA1" w:rsidSect="009200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38"/>
    <w:rsid w:val="00057ADF"/>
    <w:rsid w:val="00132F0F"/>
    <w:rsid w:val="00465068"/>
    <w:rsid w:val="004B1051"/>
    <w:rsid w:val="00856B68"/>
    <w:rsid w:val="008F1FF8"/>
    <w:rsid w:val="009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AE15"/>
  <w15:chartTrackingRefBased/>
  <w15:docId w15:val="{CE3C195D-86E5-43D9-A217-F31EF669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0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4</cp:revision>
  <dcterms:created xsi:type="dcterms:W3CDTF">2018-01-22T14:20:00Z</dcterms:created>
  <dcterms:modified xsi:type="dcterms:W3CDTF">2018-01-22T15:09:00Z</dcterms:modified>
</cp:coreProperties>
</file>