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D2" w:rsidRPr="00B54D58" w:rsidRDefault="00DF4CB3" w:rsidP="00DF4CB3">
      <w:pPr>
        <w:spacing w:line="480" w:lineRule="auto"/>
        <w:jc w:val="center"/>
        <w:rPr>
          <w:b/>
          <w:bCs/>
          <w:sz w:val="32"/>
          <w:szCs w:val="32"/>
          <w:lang w:val="en-US"/>
        </w:rPr>
      </w:pPr>
      <w:r w:rsidRPr="00B54D58">
        <w:rPr>
          <w:b/>
          <w:bCs/>
          <w:sz w:val="32"/>
          <w:szCs w:val="32"/>
          <w:lang w:val="en-US"/>
        </w:rPr>
        <w:t>Supplementary Material</w:t>
      </w:r>
    </w:p>
    <w:p w:rsidR="00DF4CB3" w:rsidRPr="00B54D58" w:rsidRDefault="00DF4CB3" w:rsidP="00DF4CB3">
      <w:pPr>
        <w:spacing w:line="480" w:lineRule="auto"/>
        <w:jc w:val="both"/>
        <w:rPr>
          <w:lang w:val="en-US"/>
        </w:rPr>
      </w:pPr>
    </w:p>
    <w:p w:rsidR="00DF4CB3" w:rsidRPr="00B54D58" w:rsidRDefault="00DF4CB3" w:rsidP="00DF4CB3">
      <w:pPr>
        <w:spacing w:line="480" w:lineRule="auto"/>
        <w:jc w:val="both"/>
        <w:rPr>
          <w:lang w:val="en-US"/>
        </w:rPr>
      </w:pPr>
      <w:bookmarkStart w:id="0" w:name="_GoBack"/>
      <w:bookmarkEnd w:id="0"/>
    </w:p>
    <w:p w:rsidR="00DF4CB3" w:rsidRPr="00B54D58" w:rsidRDefault="00DF4CB3" w:rsidP="00DF4CB3">
      <w:pPr>
        <w:spacing w:line="480" w:lineRule="auto"/>
        <w:jc w:val="both"/>
        <w:rPr>
          <w:b/>
          <w:bCs/>
          <w:lang w:val="en-US"/>
        </w:rPr>
      </w:pPr>
      <w:r w:rsidRPr="00B54D58">
        <w:rPr>
          <w:b/>
          <w:bCs/>
          <w:lang w:val="en-US"/>
        </w:rPr>
        <w:t>Data processing</w:t>
      </w:r>
    </w:p>
    <w:p w:rsidR="00DF4CB3" w:rsidRPr="00B54D58" w:rsidRDefault="00DF4CB3" w:rsidP="00DF4CB3">
      <w:pPr>
        <w:spacing w:line="480" w:lineRule="auto"/>
        <w:jc w:val="both"/>
        <w:rPr>
          <w:lang w:val="en-US"/>
        </w:rPr>
      </w:pPr>
    </w:p>
    <w:p w:rsidR="00DF4CB3" w:rsidRPr="00B54D58" w:rsidRDefault="00150D18" w:rsidP="00DF4CB3">
      <w:pPr>
        <w:spacing w:line="480" w:lineRule="auto"/>
        <w:jc w:val="both"/>
        <w:rPr>
          <w:lang w:val="en-US"/>
        </w:rPr>
      </w:pPr>
      <w:r w:rsidRPr="00B54D58">
        <w:rPr>
          <w:lang w:val="en-US"/>
        </w:rPr>
        <w:t xml:space="preserve">Cruises </w:t>
      </w:r>
      <w:r w:rsidR="00DF4CB3" w:rsidRPr="00B54D58">
        <w:rPr>
          <w:lang w:val="en-US"/>
        </w:rPr>
        <w:t>F</w:t>
      </w:r>
      <w:r w:rsidRPr="00B54D58">
        <w:rPr>
          <w:lang w:val="en-US"/>
        </w:rPr>
        <w:t>UTUNA 1 and 3</w:t>
      </w:r>
      <w:r w:rsidR="00DF4CB3" w:rsidRPr="00B54D58">
        <w:rPr>
          <w:lang w:val="en-US"/>
        </w:rPr>
        <w:t xml:space="preserve"> have been </w:t>
      </w:r>
      <w:r w:rsidR="00735E55" w:rsidRPr="00B54D58">
        <w:rPr>
          <w:lang w:val="en-US"/>
        </w:rPr>
        <w:t xml:space="preserve">respectively </w:t>
      </w:r>
      <w:r w:rsidR="00DF4CB3" w:rsidRPr="00B54D58">
        <w:rPr>
          <w:lang w:val="en-US"/>
        </w:rPr>
        <w:t xml:space="preserve">carried out with the Autonomous Underwater Vehicle (AUV) </w:t>
      </w:r>
      <w:r w:rsidR="00DF4CB3" w:rsidRPr="00B54D58">
        <w:rPr>
          <w:i/>
          <w:iCs/>
          <w:lang w:val="en-US"/>
        </w:rPr>
        <w:t>Idef-X</w:t>
      </w:r>
      <w:r w:rsidR="00DF4CB3" w:rsidRPr="00B54D58">
        <w:rPr>
          <w:lang w:val="en-US"/>
        </w:rPr>
        <w:t xml:space="preserve"> </w:t>
      </w:r>
      <w:r w:rsidR="00735E55" w:rsidRPr="00B54D58">
        <w:rPr>
          <w:lang w:val="en-US"/>
        </w:rPr>
        <w:t xml:space="preserve">and </w:t>
      </w:r>
      <w:r w:rsidR="00735E55" w:rsidRPr="00B54D58">
        <w:rPr>
          <w:i/>
          <w:iCs/>
          <w:lang w:val="en-US"/>
        </w:rPr>
        <w:t>Aster-X</w:t>
      </w:r>
      <w:r w:rsidR="00735E55" w:rsidRPr="00B54D58">
        <w:rPr>
          <w:lang w:val="en-US"/>
        </w:rPr>
        <w:t xml:space="preserve">, </w:t>
      </w:r>
      <w:r w:rsidR="00DF4CB3" w:rsidRPr="00B54D58">
        <w:rPr>
          <w:lang w:val="en-US"/>
        </w:rPr>
        <w:t xml:space="preserve">and the manned submersible DSS </w:t>
      </w:r>
      <w:r w:rsidR="00DF4CB3" w:rsidRPr="00B54D58">
        <w:rPr>
          <w:i/>
          <w:iCs/>
          <w:lang w:val="en-US"/>
        </w:rPr>
        <w:t>Nautile</w:t>
      </w:r>
      <w:r w:rsidR="00072D9B" w:rsidRPr="00B54D58">
        <w:rPr>
          <w:lang w:val="en-US"/>
        </w:rPr>
        <w:t>. Both submersibles</w:t>
      </w:r>
      <w:r w:rsidR="00DF4CB3" w:rsidRPr="00B54D58">
        <w:rPr>
          <w:lang w:val="en-US"/>
        </w:rPr>
        <w:t xml:space="preserve"> had a three-component fluxgate magnetometer mounted on them. We therefore have two datasets with relatively different characteristics arising from the specificities of the dives.</w:t>
      </w:r>
    </w:p>
    <w:p w:rsidR="00DF4CB3" w:rsidRPr="00B54D58" w:rsidRDefault="00DF4CB3" w:rsidP="00DF4CB3">
      <w:pPr>
        <w:spacing w:line="480" w:lineRule="auto"/>
        <w:jc w:val="both"/>
        <w:rPr>
          <w:lang w:val="en-US"/>
        </w:rPr>
      </w:pPr>
    </w:p>
    <w:p w:rsidR="00DF4CB3" w:rsidRPr="00B54D58" w:rsidRDefault="00DF4CB3" w:rsidP="00DF4CB3">
      <w:pPr>
        <w:spacing w:line="480" w:lineRule="auto"/>
        <w:jc w:val="both"/>
        <w:rPr>
          <w:lang w:val="en-US"/>
        </w:rPr>
      </w:pPr>
      <w:r w:rsidRPr="00B54D58">
        <w:rPr>
          <w:lang w:val="en-US"/>
        </w:rPr>
        <w:t>On both the AUV</w:t>
      </w:r>
      <w:r w:rsidR="00735E55" w:rsidRPr="00B54D58">
        <w:rPr>
          <w:lang w:val="en-US"/>
        </w:rPr>
        <w:t>s</w:t>
      </w:r>
      <w:r w:rsidRPr="00B54D58">
        <w:rPr>
          <w:lang w:val="en-US"/>
        </w:rPr>
        <w:t xml:space="preserve"> and the </w:t>
      </w:r>
      <w:r w:rsidRPr="00B54D58">
        <w:rPr>
          <w:i/>
          <w:iCs/>
          <w:lang w:val="en-US"/>
        </w:rPr>
        <w:t>Nautile</w:t>
      </w:r>
      <w:r w:rsidRPr="00B54D58">
        <w:rPr>
          <w:lang w:val="en-US"/>
        </w:rPr>
        <w:t>, the magnetometer sensor</w:t>
      </w:r>
      <w:r w:rsidR="006071D2" w:rsidRPr="00B54D58">
        <w:rPr>
          <w:lang w:val="en-US"/>
        </w:rPr>
        <w:t xml:space="preserve"> </w:t>
      </w:r>
      <w:r w:rsidR="002F3135" w:rsidRPr="00B54D58">
        <w:rPr>
          <w:lang w:val="en-US"/>
        </w:rPr>
        <w:t>was</w:t>
      </w:r>
      <w:r w:rsidRPr="00B54D58">
        <w:rPr>
          <w:lang w:val="en-US"/>
        </w:rPr>
        <w:t xml:space="preserve"> rigidly fixed to the metallic </w:t>
      </w:r>
      <w:proofErr w:type="gramStart"/>
      <w:r w:rsidRPr="00B54D58">
        <w:rPr>
          <w:lang w:val="en-US"/>
        </w:rPr>
        <w:t>frame</w:t>
      </w:r>
      <w:proofErr w:type="gramEnd"/>
      <w:r w:rsidRPr="00B54D58">
        <w:rPr>
          <w:lang w:val="en-US"/>
        </w:rPr>
        <w:t xml:space="preserve"> of the submersible</w:t>
      </w:r>
      <w:r w:rsidR="002F3135" w:rsidRPr="00B54D58">
        <w:rPr>
          <w:lang w:val="en-US"/>
        </w:rPr>
        <w:t>s</w:t>
      </w:r>
      <w:r w:rsidRPr="00B54D58">
        <w:rPr>
          <w:lang w:val="en-US"/>
        </w:rPr>
        <w:t xml:space="preserve"> to avoid the risks of collision between the instrument and the seafloor. Because of this close proximity, the sensor measures the magnetic anomaly combined with the magnetic influence of the submersibles. These influences must </w:t>
      </w:r>
      <w:r w:rsidR="002F3135" w:rsidRPr="00B54D58">
        <w:rPr>
          <w:lang w:val="en-US"/>
        </w:rPr>
        <w:t xml:space="preserve">therefore </w:t>
      </w:r>
      <w:r w:rsidRPr="00B54D58">
        <w:rPr>
          <w:lang w:val="en-US"/>
        </w:rPr>
        <w:t xml:space="preserve">be removed from the data to get the magnetic anomalies. </w:t>
      </w:r>
    </w:p>
    <w:p w:rsidR="00DF4CB3" w:rsidRPr="00B54D58" w:rsidRDefault="00DF4CB3" w:rsidP="00DF4CB3">
      <w:pPr>
        <w:spacing w:line="480" w:lineRule="auto"/>
        <w:jc w:val="both"/>
        <w:rPr>
          <w:lang w:val="en-US"/>
        </w:rPr>
      </w:pPr>
    </w:p>
    <w:p w:rsidR="00DF4CB3" w:rsidRPr="00B54D58" w:rsidRDefault="00DF4CB3" w:rsidP="00DF4CB3">
      <w:pPr>
        <w:spacing w:line="480" w:lineRule="auto"/>
        <w:jc w:val="both"/>
        <w:rPr>
          <w:lang w:val="en-US"/>
        </w:rPr>
      </w:pPr>
      <w:r w:rsidRPr="00B54D58">
        <w:rPr>
          <w:lang w:val="en-US"/>
        </w:rPr>
        <w:t xml:space="preserve">In order to quantify this influence, we use calibration patterns, generally made of Figure-8s for the AUV while still at or near the sea surface. </w:t>
      </w:r>
      <w:r w:rsidR="002F3135" w:rsidRPr="00B54D58">
        <w:rPr>
          <w:lang w:val="en-US"/>
        </w:rPr>
        <w:t>At that time</w:t>
      </w:r>
      <w:r w:rsidRPr="00B54D58">
        <w:rPr>
          <w:lang w:val="en-US"/>
        </w:rPr>
        <w:t>, the submersible is far enough from the shi</w:t>
      </w:r>
      <w:r w:rsidR="002F3135" w:rsidRPr="00B54D58">
        <w:rPr>
          <w:lang w:val="en-US"/>
        </w:rPr>
        <w:t>p</w:t>
      </w:r>
      <w:r w:rsidRPr="00B54D58">
        <w:rPr>
          <w:lang w:val="en-US"/>
        </w:rPr>
        <w:t xml:space="preserve"> and the seafloor, so that the measured magnetic field should be that predicted by th</w:t>
      </w:r>
      <w:r w:rsidR="002F3135" w:rsidRPr="00B54D58">
        <w:rPr>
          <w:lang w:val="en-US"/>
        </w:rPr>
        <w:t>e</w:t>
      </w:r>
      <w:r w:rsidRPr="00B54D58">
        <w:rPr>
          <w:lang w:val="en-US"/>
        </w:rPr>
        <w:t xml:space="preserve"> International Geomagnetic Reference Field (IGRF)</w:t>
      </w:r>
      <w:r w:rsidR="008E21D6" w:rsidRPr="00B54D58">
        <w:rPr>
          <w:lang w:val="en-US"/>
        </w:rPr>
        <w:t xml:space="preserve"> (X: 32814.7nT, Y: 6782.2nT, Z: -22068.7nT, T: 40122.7nT, Incl: -33.37°, Decl: 11.68°)</w:t>
      </w:r>
      <w:r w:rsidRPr="00B54D58">
        <w:rPr>
          <w:lang w:val="en-US"/>
        </w:rPr>
        <w:t xml:space="preserve"> (Thebaut et al., 2015). Any observed deviation from this assumption </w:t>
      </w:r>
      <w:r w:rsidR="002F3135" w:rsidRPr="00B54D58">
        <w:rPr>
          <w:lang w:val="en-US"/>
        </w:rPr>
        <w:t>i</w:t>
      </w:r>
      <w:r w:rsidRPr="00B54D58">
        <w:rPr>
          <w:lang w:val="en-US"/>
        </w:rPr>
        <w:t>s seen as a consequence of the submersible magnetic influence</w:t>
      </w:r>
      <w:r w:rsidR="002F3135" w:rsidRPr="00B54D58">
        <w:rPr>
          <w:lang w:val="en-US"/>
        </w:rPr>
        <w:t>,</w:t>
      </w:r>
      <w:r w:rsidRPr="00B54D58">
        <w:rPr>
          <w:lang w:val="en-US"/>
        </w:rPr>
        <w:t xml:space="preserve"> as other external sources are neglected. By completing these Figure-8s, we </w:t>
      </w:r>
      <w:r w:rsidRPr="00B54D58">
        <w:rPr>
          <w:lang w:val="en-US"/>
        </w:rPr>
        <w:lastRenderedPageBreak/>
        <w:t>therefore get an estimation of the magnetic influence of the submersible in all directions and with var</w:t>
      </w:r>
      <w:r w:rsidR="002F3135" w:rsidRPr="00B54D58">
        <w:rPr>
          <w:lang w:val="en-US"/>
        </w:rPr>
        <w:t>ying</w:t>
      </w:r>
      <w:r w:rsidRPr="00B54D58">
        <w:rPr>
          <w:lang w:val="en-US"/>
        </w:rPr>
        <w:t xml:space="preserve"> values of pitch and roll, so that all the positions the submersible can get during the dive itself are taken into consideration. Based on this calibration pattern, we estimate the magnetic susceptibility tensor </w:t>
      </w:r>
      <w:proofErr w:type="gramStart"/>
      <w:r w:rsidRPr="00B54D58">
        <w:rPr>
          <w:lang w:val="en-US"/>
        </w:rPr>
        <w:t>(3x3 square matri</w:t>
      </w:r>
      <w:r w:rsidR="002F3135" w:rsidRPr="00B54D58">
        <w:rPr>
          <w:lang w:val="en-US"/>
        </w:rPr>
        <w:t>x</w:t>
      </w:r>
      <w:r w:rsidRPr="00B54D58">
        <w:rPr>
          <w:lang w:val="en-US"/>
        </w:rPr>
        <w:t>)</w:t>
      </w:r>
      <w:proofErr w:type="gramEnd"/>
      <w:r w:rsidRPr="00B54D58">
        <w:rPr>
          <w:lang w:val="en-US"/>
        </w:rPr>
        <w:t xml:space="preserve"> and the remanent magnetization vector (3 coefficients) that are removed from the data using an improved least square method (Honsho et al., 2009). </w:t>
      </w:r>
    </w:p>
    <w:p w:rsidR="006071D2" w:rsidRPr="00B54D58" w:rsidRDefault="006071D2" w:rsidP="00DF4CB3">
      <w:pPr>
        <w:spacing w:line="480" w:lineRule="auto"/>
        <w:jc w:val="both"/>
        <w:rPr>
          <w:lang w:val="en-US"/>
        </w:rPr>
      </w:pPr>
    </w:p>
    <w:p w:rsidR="00BB3841" w:rsidRPr="00B54D58" w:rsidRDefault="006071D2" w:rsidP="00DF4CB3">
      <w:pPr>
        <w:spacing w:line="480" w:lineRule="auto"/>
        <w:jc w:val="both"/>
        <w:rPr>
          <w:lang w:val="en-US"/>
        </w:rPr>
      </w:pPr>
      <w:r w:rsidRPr="00B54D58">
        <w:rPr>
          <w:lang w:val="en-US"/>
        </w:rPr>
        <w:t>Because of the local orientation of the geomagnetic field, magnetic anomalies are phase-shifted with regards to their sources. They are</w:t>
      </w:r>
      <w:r w:rsidR="006635DE" w:rsidRPr="00B54D58">
        <w:rPr>
          <w:lang w:val="en-US"/>
        </w:rPr>
        <w:t xml:space="preserve"> </w:t>
      </w:r>
      <w:r w:rsidRPr="00B54D58">
        <w:rPr>
          <w:lang w:val="en-US"/>
        </w:rPr>
        <w:t>impossible to</w:t>
      </w:r>
      <w:r w:rsidR="006635DE" w:rsidRPr="00B54D58">
        <w:rPr>
          <w:lang w:val="en-US"/>
        </w:rPr>
        <w:t xml:space="preserve"> directly</w:t>
      </w:r>
      <w:r w:rsidRPr="00B54D58">
        <w:rPr>
          <w:lang w:val="en-US"/>
        </w:rPr>
        <w:t xml:space="preserve"> interpret and need to undergo a</w:t>
      </w:r>
      <w:r w:rsidR="006635DE" w:rsidRPr="00B54D58">
        <w:rPr>
          <w:lang w:val="en-US"/>
        </w:rPr>
        <w:t xml:space="preserve"> further</w:t>
      </w:r>
      <w:r w:rsidRPr="00B54D58">
        <w:rPr>
          <w:lang w:val="en-US"/>
        </w:rPr>
        <w:t xml:space="preserve"> transformation called </w:t>
      </w:r>
      <w:r w:rsidR="00113F5C" w:rsidRPr="00B54D58">
        <w:rPr>
          <w:lang w:val="en-US"/>
        </w:rPr>
        <w:t>R</w:t>
      </w:r>
      <w:r w:rsidRPr="00B54D58">
        <w:rPr>
          <w:lang w:val="en-US"/>
        </w:rPr>
        <w:t>eduction</w:t>
      </w:r>
      <w:r w:rsidR="00113F5C" w:rsidRPr="00B54D58">
        <w:rPr>
          <w:lang w:val="en-US"/>
        </w:rPr>
        <w:t xml:space="preserve"> </w:t>
      </w:r>
      <w:r w:rsidRPr="00B54D58">
        <w:rPr>
          <w:lang w:val="en-US"/>
        </w:rPr>
        <w:t xml:space="preserve">to the </w:t>
      </w:r>
      <w:r w:rsidR="00113F5C" w:rsidRPr="00B54D58">
        <w:rPr>
          <w:lang w:val="en-US"/>
        </w:rPr>
        <w:t>P</w:t>
      </w:r>
      <w:r w:rsidRPr="00B54D58">
        <w:rPr>
          <w:lang w:val="en-US"/>
        </w:rPr>
        <w:t xml:space="preserve">ole (RTP) to replace them above their sources. Several methods exist to complete this processing step. The one we chose consists of inverting the magnetic anomalies (devoid of the AUV magnetic influence) into equivalent magnetization using Honsho’s Bayesian inversion (Honsho et al., 2012) and compute </w:t>
      </w:r>
      <w:r w:rsidR="002578C0" w:rsidRPr="00B54D58">
        <w:rPr>
          <w:lang w:val="en-US"/>
        </w:rPr>
        <w:t>the</w:t>
      </w:r>
      <w:r w:rsidRPr="00B54D58">
        <w:rPr>
          <w:lang w:val="en-US"/>
        </w:rPr>
        <w:t xml:space="preserve"> RTP </w:t>
      </w:r>
      <w:r w:rsidR="006635DE" w:rsidRPr="00B54D58">
        <w:rPr>
          <w:lang w:val="en-US"/>
        </w:rPr>
        <w:t xml:space="preserve">magnetic </w:t>
      </w:r>
      <w:r w:rsidRPr="00B54D58">
        <w:rPr>
          <w:lang w:val="en-US"/>
        </w:rPr>
        <w:t>anomaly in the geometry of the experiment assuming a vertical geomagnetic field. Unlike other magnetic inversion methods (</w:t>
      </w:r>
      <w:r w:rsidR="006635DE" w:rsidRPr="00B54D58">
        <w:rPr>
          <w:lang w:val="en-US"/>
        </w:rPr>
        <w:t xml:space="preserve">e.g., </w:t>
      </w:r>
      <w:r w:rsidRPr="00B54D58">
        <w:rPr>
          <w:lang w:val="en-US"/>
        </w:rPr>
        <w:t>Parker and Huestis, 1974; Hussenoeder et al., 1995), this Bayesian inversion does not require any numerical filtering and preserves the wavelength content that makes near-seafloor signal</w:t>
      </w:r>
      <w:r w:rsidR="006635DE" w:rsidRPr="00B54D58">
        <w:rPr>
          <w:lang w:val="en-US"/>
        </w:rPr>
        <w:t>s</w:t>
      </w:r>
      <w:r w:rsidRPr="00B54D58">
        <w:rPr>
          <w:lang w:val="en-US"/>
        </w:rPr>
        <w:t xml:space="preserve"> of high value. We present the inversions and the computed RTP magnetic anomalies for all the studie</w:t>
      </w:r>
      <w:r w:rsidR="006635DE" w:rsidRPr="00B54D58">
        <w:rPr>
          <w:lang w:val="en-US"/>
        </w:rPr>
        <w:t>d</w:t>
      </w:r>
      <w:r w:rsidRPr="00B54D58">
        <w:rPr>
          <w:lang w:val="en-US"/>
        </w:rPr>
        <w:t xml:space="preserve"> areas (Kulo Lasi, Ono, Fatu Kapa and Tasi Tulo) in Fig. 2, 3, 4 and 5. </w:t>
      </w:r>
    </w:p>
    <w:p w:rsidR="00BB3841" w:rsidRPr="00B54D58" w:rsidRDefault="00BB3841" w:rsidP="00DF4CB3">
      <w:pPr>
        <w:spacing w:line="480" w:lineRule="auto"/>
        <w:jc w:val="both"/>
        <w:rPr>
          <w:lang w:val="en-US"/>
        </w:rPr>
      </w:pPr>
    </w:p>
    <w:p w:rsidR="006071D2" w:rsidRPr="00B54D58" w:rsidRDefault="00356A10" w:rsidP="00DF4CB3">
      <w:pPr>
        <w:spacing w:line="480" w:lineRule="auto"/>
        <w:jc w:val="both"/>
        <w:rPr>
          <w:lang w:val="en-US"/>
        </w:rPr>
      </w:pPr>
      <w:r w:rsidRPr="00B54D58">
        <w:rPr>
          <w:lang w:val="en-US"/>
        </w:rPr>
        <w:t>The</w:t>
      </w:r>
      <w:r w:rsidR="002D646C" w:rsidRPr="00B54D58">
        <w:rPr>
          <w:lang w:val="en-US"/>
        </w:rPr>
        <w:t xml:space="preserve"> thickness of the magnetized layer is one of the parameters </w:t>
      </w:r>
      <w:r w:rsidR="00D61FCB" w:rsidRPr="00B54D58">
        <w:rPr>
          <w:lang w:val="en-US"/>
        </w:rPr>
        <w:t xml:space="preserve">to define </w:t>
      </w:r>
      <w:r w:rsidRPr="00B54D58">
        <w:rPr>
          <w:lang w:val="en-US"/>
        </w:rPr>
        <w:t>prior</w:t>
      </w:r>
      <w:r w:rsidR="002D646C" w:rsidRPr="00B54D58">
        <w:rPr>
          <w:lang w:val="en-US"/>
        </w:rPr>
        <w:t xml:space="preserve"> </w:t>
      </w:r>
      <w:r w:rsidR="00735E55" w:rsidRPr="00B54D58">
        <w:rPr>
          <w:lang w:val="en-US"/>
        </w:rPr>
        <w:t xml:space="preserve">to </w:t>
      </w:r>
      <w:r w:rsidR="002D646C" w:rsidRPr="00B54D58">
        <w:rPr>
          <w:lang w:val="en-US"/>
        </w:rPr>
        <w:t>the inversion</w:t>
      </w:r>
      <w:r w:rsidRPr="00B54D58">
        <w:rPr>
          <w:lang w:val="en-US"/>
        </w:rPr>
        <w:t xml:space="preserve">. </w:t>
      </w:r>
      <w:r w:rsidR="002D646C" w:rsidRPr="00B54D58">
        <w:rPr>
          <w:lang w:val="en-US"/>
        </w:rPr>
        <w:t>A thinner magnetized layer leads to higher magnetization contrast</w:t>
      </w:r>
      <w:r w:rsidRPr="00B54D58">
        <w:rPr>
          <w:lang w:val="en-US"/>
        </w:rPr>
        <w:t>s</w:t>
      </w:r>
      <w:r w:rsidR="002D646C" w:rsidRPr="00B54D58">
        <w:rPr>
          <w:lang w:val="en-US"/>
        </w:rPr>
        <w:t>, as a smaller volume of magnetized material is taken into consideration to generate the observed magnetic anomal</w:t>
      </w:r>
      <w:r w:rsidR="00D61FCB" w:rsidRPr="00B54D58">
        <w:rPr>
          <w:lang w:val="en-US"/>
        </w:rPr>
        <w:t>y</w:t>
      </w:r>
      <w:r w:rsidR="002D646C" w:rsidRPr="00B54D58">
        <w:rPr>
          <w:lang w:val="en-US"/>
        </w:rPr>
        <w:t xml:space="preserve">. </w:t>
      </w:r>
      <w:r w:rsidRPr="00B54D58">
        <w:rPr>
          <w:lang w:val="en-US"/>
        </w:rPr>
        <w:t>In theory</w:t>
      </w:r>
      <w:r w:rsidR="00D61FCB" w:rsidRPr="00B54D58">
        <w:rPr>
          <w:lang w:val="en-US"/>
        </w:rPr>
        <w:t>, t</w:t>
      </w:r>
      <w:r w:rsidR="002D646C" w:rsidRPr="00B54D58">
        <w:rPr>
          <w:lang w:val="en-US"/>
        </w:rPr>
        <w:t xml:space="preserve">he thickness of the magnetized layer </w:t>
      </w:r>
      <w:r w:rsidRPr="00B54D58">
        <w:rPr>
          <w:lang w:val="en-US"/>
        </w:rPr>
        <w:t>should</w:t>
      </w:r>
      <w:r w:rsidR="002D646C" w:rsidRPr="00B54D58">
        <w:rPr>
          <w:lang w:val="en-US"/>
        </w:rPr>
        <w:t xml:space="preserve"> not have a</w:t>
      </w:r>
      <w:r w:rsidRPr="00B54D58">
        <w:rPr>
          <w:lang w:val="en-US"/>
        </w:rPr>
        <w:t>ny</w:t>
      </w:r>
      <w:r w:rsidR="002D646C" w:rsidRPr="00B54D58">
        <w:rPr>
          <w:lang w:val="en-US"/>
        </w:rPr>
        <w:t xml:space="preserve"> </w:t>
      </w:r>
      <w:r w:rsidR="002D646C" w:rsidRPr="00B54D58">
        <w:rPr>
          <w:lang w:val="en-US"/>
        </w:rPr>
        <w:lastRenderedPageBreak/>
        <w:t xml:space="preserve">significant impact on the computed RTP anomaly, as </w:t>
      </w:r>
      <w:r w:rsidRPr="00B54D58">
        <w:rPr>
          <w:lang w:val="en-US"/>
        </w:rPr>
        <w:t>the same thickness is used in computing the RTP anomaly by forward modeling</w:t>
      </w:r>
      <w:r w:rsidR="002D646C" w:rsidRPr="00B54D58">
        <w:rPr>
          <w:lang w:val="en-US"/>
        </w:rPr>
        <w:t xml:space="preserve">. </w:t>
      </w:r>
      <w:r w:rsidRPr="00B54D58">
        <w:rPr>
          <w:lang w:val="en-US"/>
        </w:rPr>
        <w:t>In practice, edge effects may affect the equivalent magnetization d</w:t>
      </w:r>
      <w:r w:rsidR="002D646C" w:rsidRPr="00B54D58">
        <w:rPr>
          <w:lang w:val="en-US"/>
        </w:rPr>
        <w:t>epending on the geometry of the experiment (</w:t>
      </w:r>
      <w:r w:rsidRPr="00B54D58">
        <w:rPr>
          <w:lang w:val="en-US"/>
        </w:rPr>
        <w:t>magnetized layer thickness, roughness of the</w:t>
      </w:r>
      <w:r w:rsidR="002D646C" w:rsidRPr="00B54D58">
        <w:rPr>
          <w:lang w:val="en-US"/>
        </w:rPr>
        <w:t xml:space="preserve"> bathymetry</w:t>
      </w:r>
      <w:r w:rsidR="00D61FCB" w:rsidRPr="00B54D58">
        <w:rPr>
          <w:lang w:val="en-US"/>
        </w:rPr>
        <w:t xml:space="preserve">, </w:t>
      </w:r>
      <w:r w:rsidRPr="00B54D58">
        <w:rPr>
          <w:lang w:val="en-US"/>
        </w:rPr>
        <w:t xml:space="preserve">amplitudes of the </w:t>
      </w:r>
      <w:r w:rsidR="00D61FCB" w:rsidRPr="00B54D58">
        <w:rPr>
          <w:lang w:val="en-US"/>
        </w:rPr>
        <w:t>AUV altitude variations, etc…</w:t>
      </w:r>
      <w:r w:rsidR="007839C6" w:rsidRPr="00B54D58">
        <w:rPr>
          <w:lang w:val="en-US"/>
        </w:rPr>
        <w:t xml:space="preserve">). These edge effects </w:t>
      </w:r>
      <w:r w:rsidR="00D61FCB" w:rsidRPr="00B54D58">
        <w:rPr>
          <w:lang w:val="en-US"/>
        </w:rPr>
        <w:t>appear as</w:t>
      </w:r>
      <w:r w:rsidR="002D646C" w:rsidRPr="00B54D58">
        <w:rPr>
          <w:lang w:val="en-US"/>
        </w:rPr>
        <w:t xml:space="preserve"> elongated </w:t>
      </w:r>
      <w:r w:rsidR="007839C6" w:rsidRPr="00B54D58">
        <w:rPr>
          <w:lang w:val="en-US"/>
        </w:rPr>
        <w:t xml:space="preserve">magnetization </w:t>
      </w:r>
      <w:r w:rsidR="002D646C" w:rsidRPr="00B54D58">
        <w:rPr>
          <w:lang w:val="en-US"/>
        </w:rPr>
        <w:t>contrast</w:t>
      </w:r>
      <w:r w:rsidR="00D61FCB" w:rsidRPr="00B54D58">
        <w:rPr>
          <w:lang w:val="en-US"/>
        </w:rPr>
        <w:t>s</w:t>
      </w:r>
      <w:r w:rsidR="002D646C" w:rsidRPr="00B54D58">
        <w:rPr>
          <w:lang w:val="en-US"/>
        </w:rPr>
        <w:t xml:space="preserve"> </w:t>
      </w:r>
      <w:r w:rsidR="007839C6" w:rsidRPr="00B54D58">
        <w:rPr>
          <w:lang w:val="en-US"/>
        </w:rPr>
        <w:t>along</w:t>
      </w:r>
      <w:r w:rsidR="002D646C" w:rsidRPr="00B54D58">
        <w:rPr>
          <w:lang w:val="en-US"/>
        </w:rPr>
        <w:t xml:space="preserve"> the AUV </w:t>
      </w:r>
      <w:r w:rsidR="007839C6" w:rsidRPr="00B54D58">
        <w:rPr>
          <w:lang w:val="en-US"/>
        </w:rPr>
        <w:t>tracks</w:t>
      </w:r>
      <w:r w:rsidR="002D646C" w:rsidRPr="00B54D58">
        <w:rPr>
          <w:lang w:val="en-US"/>
        </w:rPr>
        <w:t xml:space="preserve">. We tested different </w:t>
      </w:r>
      <w:r w:rsidR="007839C6" w:rsidRPr="00B54D58">
        <w:rPr>
          <w:lang w:val="en-US"/>
        </w:rPr>
        <w:t>parameters</w:t>
      </w:r>
      <w:r w:rsidR="002D646C" w:rsidRPr="00B54D58">
        <w:rPr>
          <w:lang w:val="en-US"/>
        </w:rPr>
        <w:t xml:space="preserve"> </w:t>
      </w:r>
      <w:r w:rsidR="007839C6" w:rsidRPr="00B54D58">
        <w:rPr>
          <w:lang w:val="en-US"/>
        </w:rPr>
        <w:t>and adopted</w:t>
      </w:r>
      <w:r w:rsidR="002D646C" w:rsidRPr="00B54D58">
        <w:rPr>
          <w:lang w:val="en-US"/>
        </w:rPr>
        <w:t xml:space="preserve"> the </w:t>
      </w:r>
      <w:r w:rsidR="007839C6" w:rsidRPr="00B54D58">
        <w:rPr>
          <w:lang w:val="en-US"/>
        </w:rPr>
        <w:t>layer</w:t>
      </w:r>
      <w:r w:rsidR="00D61FCB" w:rsidRPr="00B54D58">
        <w:rPr>
          <w:lang w:val="en-US"/>
        </w:rPr>
        <w:t xml:space="preserve"> </w:t>
      </w:r>
      <w:proofErr w:type="gramStart"/>
      <w:r w:rsidR="00D61FCB" w:rsidRPr="00B54D58">
        <w:rPr>
          <w:lang w:val="en-US"/>
        </w:rPr>
        <w:t>thickness</w:t>
      </w:r>
      <w:r w:rsidR="002D646C" w:rsidRPr="00B54D58">
        <w:rPr>
          <w:lang w:val="en-US"/>
        </w:rPr>
        <w:t xml:space="preserve"> that </w:t>
      </w:r>
      <w:r w:rsidR="007839C6" w:rsidRPr="00B54D58">
        <w:rPr>
          <w:lang w:val="en-US"/>
        </w:rPr>
        <w:t>minimize</w:t>
      </w:r>
      <w:proofErr w:type="gramEnd"/>
      <w:r w:rsidR="007839C6" w:rsidRPr="00B54D58">
        <w:rPr>
          <w:lang w:val="en-US"/>
        </w:rPr>
        <w:t xml:space="preserve"> the edge effects</w:t>
      </w:r>
      <w:r w:rsidR="002D646C" w:rsidRPr="00B54D58">
        <w:rPr>
          <w:lang w:val="en-US"/>
        </w:rPr>
        <w:t xml:space="preserve"> to compute a RTP magnetic anomaly devoid of noise. </w:t>
      </w:r>
      <w:r w:rsidR="00D61FCB" w:rsidRPr="00B54D58">
        <w:rPr>
          <w:lang w:val="en-US"/>
        </w:rPr>
        <w:t>A 50 m thickness has been chosen</w:t>
      </w:r>
      <w:r w:rsidR="002D646C" w:rsidRPr="00B54D58">
        <w:rPr>
          <w:lang w:val="en-US"/>
        </w:rPr>
        <w:t xml:space="preserve"> for all </w:t>
      </w:r>
      <w:r w:rsidR="007839C6" w:rsidRPr="00B54D58">
        <w:rPr>
          <w:lang w:val="en-US"/>
        </w:rPr>
        <w:t>studied areas</w:t>
      </w:r>
      <w:r w:rsidR="002D646C" w:rsidRPr="00B54D58">
        <w:rPr>
          <w:lang w:val="en-US"/>
        </w:rPr>
        <w:t xml:space="preserve"> except the Ono caldera, where a significant layer of sediments increases the distance between the magnetometer sensor and the underlying magnetized layer. Given this distance, the magnetometer images sources at greater depths and a thicker magnetized layer </w:t>
      </w:r>
      <w:r w:rsidR="007839C6" w:rsidRPr="00B54D58">
        <w:rPr>
          <w:lang w:val="en-US"/>
        </w:rPr>
        <w:t>has been</w:t>
      </w:r>
      <w:r w:rsidR="002D646C" w:rsidRPr="00B54D58">
        <w:rPr>
          <w:lang w:val="en-US"/>
        </w:rPr>
        <w:t xml:space="preserve"> considered.  </w:t>
      </w:r>
    </w:p>
    <w:p w:rsidR="00DF4CB3" w:rsidRPr="00B54D58" w:rsidRDefault="00DF4CB3" w:rsidP="00DF4CB3">
      <w:pPr>
        <w:spacing w:line="480" w:lineRule="auto"/>
        <w:jc w:val="both"/>
        <w:rPr>
          <w:lang w:val="en-US"/>
        </w:rPr>
      </w:pPr>
    </w:p>
    <w:p w:rsidR="00DF4CB3" w:rsidRPr="00B54D58" w:rsidRDefault="00DF4CB3" w:rsidP="00DF4CB3">
      <w:pPr>
        <w:spacing w:line="480" w:lineRule="auto"/>
        <w:jc w:val="both"/>
        <w:rPr>
          <w:lang w:val="en-US"/>
        </w:rPr>
      </w:pPr>
      <w:r w:rsidRPr="00B54D58">
        <w:rPr>
          <w:lang w:val="en-US"/>
        </w:rPr>
        <w:t xml:space="preserve">For the </w:t>
      </w:r>
      <w:r w:rsidRPr="00B54D58">
        <w:rPr>
          <w:i/>
          <w:iCs/>
          <w:lang w:val="en-US"/>
        </w:rPr>
        <w:t>Nautile</w:t>
      </w:r>
      <w:r w:rsidRPr="00B54D58">
        <w:rPr>
          <w:lang w:val="en-US"/>
        </w:rPr>
        <w:t xml:space="preserve">, the situation is slightly different, as the submersible is loaded with lead bags at the beginning of each dive </w:t>
      </w:r>
      <w:r w:rsidR="002F3135" w:rsidRPr="00B54D58">
        <w:rPr>
          <w:lang w:val="en-US"/>
        </w:rPr>
        <w:t>to ensure</w:t>
      </w:r>
      <w:r w:rsidRPr="00B54D58">
        <w:rPr>
          <w:lang w:val="en-US"/>
        </w:rPr>
        <w:t xml:space="preserve"> </w:t>
      </w:r>
      <w:proofErr w:type="gramStart"/>
      <w:r w:rsidRPr="00B54D58">
        <w:rPr>
          <w:lang w:val="en-US"/>
        </w:rPr>
        <w:t>a negative</w:t>
      </w:r>
      <w:proofErr w:type="gramEnd"/>
      <w:r w:rsidRPr="00B54D58">
        <w:rPr>
          <w:lang w:val="en-US"/>
        </w:rPr>
        <w:t xml:space="preserve"> buoyancy. Because of its shape the submersible is naturally rotating at a nea</w:t>
      </w:r>
      <w:r w:rsidR="002F3135" w:rsidRPr="00B54D58">
        <w:rPr>
          <w:lang w:val="en-US"/>
        </w:rPr>
        <w:t>r</w:t>
      </w:r>
      <w:r w:rsidRPr="00B54D58">
        <w:rPr>
          <w:lang w:val="en-US"/>
        </w:rPr>
        <w:t xml:space="preserve">ly constant speed during the descent. The number of loops therefore depends on the depth of the dive. We use these loops to quantify the </w:t>
      </w:r>
      <w:r w:rsidRPr="00B54D58">
        <w:rPr>
          <w:i/>
          <w:iCs/>
          <w:lang w:val="en-US"/>
        </w:rPr>
        <w:t>Nautile</w:t>
      </w:r>
      <w:r w:rsidRPr="00B54D58">
        <w:rPr>
          <w:lang w:val="en-US"/>
        </w:rPr>
        <w:t xml:space="preserve"> magnetic influence and remove it from the data in order to resolve the magnetic anomaly. </w:t>
      </w:r>
    </w:p>
    <w:p w:rsidR="006635DE" w:rsidRPr="00B54D58" w:rsidRDefault="006635DE" w:rsidP="00DF4CB3">
      <w:pPr>
        <w:spacing w:line="480" w:lineRule="auto"/>
        <w:jc w:val="both"/>
        <w:rPr>
          <w:lang w:val="en-US"/>
        </w:rPr>
      </w:pPr>
      <w:r w:rsidRPr="00B54D58">
        <w:rPr>
          <w:lang w:val="en-US"/>
        </w:rPr>
        <w:t xml:space="preserve">As the </w:t>
      </w:r>
      <w:r w:rsidRPr="00B54D58">
        <w:rPr>
          <w:i/>
          <w:iCs/>
          <w:lang w:val="en-US"/>
        </w:rPr>
        <w:t>Nautile</w:t>
      </w:r>
      <w:r w:rsidRPr="00B54D58">
        <w:rPr>
          <w:lang w:val="en-US"/>
        </w:rPr>
        <w:t xml:space="preserve"> does not follow regular paths made of parallel profiles, its data cannot be gridded. </w:t>
      </w:r>
      <w:r w:rsidR="002578C0" w:rsidRPr="00B54D58">
        <w:rPr>
          <w:lang w:val="en-US"/>
        </w:rPr>
        <w:t>T</w:t>
      </w:r>
      <w:r w:rsidRPr="00B54D58">
        <w:rPr>
          <w:lang w:val="en-US"/>
        </w:rPr>
        <w:t xml:space="preserve">he idea consists of computing the magnetic </w:t>
      </w:r>
      <w:r w:rsidR="00113F5C" w:rsidRPr="00B54D58">
        <w:rPr>
          <w:lang w:val="en-US"/>
        </w:rPr>
        <w:t xml:space="preserve">response </w:t>
      </w:r>
      <w:r w:rsidRPr="00B54D58">
        <w:rPr>
          <w:lang w:val="en-US"/>
        </w:rPr>
        <w:t xml:space="preserve">a uniformly </w:t>
      </w:r>
      <w:r w:rsidR="00465621" w:rsidRPr="00B54D58">
        <w:rPr>
          <w:lang w:val="en-US"/>
        </w:rPr>
        <w:t>(</w:t>
      </w:r>
      <w:r w:rsidRPr="00B54D58">
        <w:rPr>
          <w:lang w:val="en-US"/>
        </w:rPr>
        <w:t>1 A/m</w:t>
      </w:r>
      <w:r w:rsidR="00465621" w:rsidRPr="00B54D58">
        <w:rPr>
          <w:lang w:val="en-US"/>
        </w:rPr>
        <w:t>)</w:t>
      </w:r>
      <w:r w:rsidRPr="00B54D58">
        <w:rPr>
          <w:lang w:val="en-US"/>
        </w:rPr>
        <w:t xml:space="preserve"> magnetized seafloor would produce in the geometry of the experiment (i.e., along the route of the submersible). We estimate the coherency between the observed and the synthetic signals in the spectral domain along sliding windows. This coherency </w:t>
      </w:r>
      <w:r w:rsidR="002578C0" w:rsidRPr="00B54D58">
        <w:rPr>
          <w:lang w:val="en-US"/>
        </w:rPr>
        <w:t>varies</w:t>
      </w:r>
      <w:r w:rsidRPr="00B54D58">
        <w:rPr>
          <w:lang w:val="en-US"/>
        </w:rPr>
        <w:t xml:space="preserve"> between </w:t>
      </w:r>
      <w:proofErr w:type="gramStart"/>
      <w:r w:rsidRPr="00B54D58">
        <w:rPr>
          <w:lang w:val="en-US"/>
        </w:rPr>
        <w:t>0</w:t>
      </w:r>
      <w:proofErr w:type="gramEnd"/>
      <w:r w:rsidRPr="00B54D58">
        <w:rPr>
          <w:lang w:val="en-US"/>
        </w:rPr>
        <w:t xml:space="preserve"> (different signals) and 1 (identical signals). If the coherency is high enough (</w:t>
      </w:r>
      <w:r w:rsidR="002578C0" w:rsidRPr="00B54D58">
        <w:rPr>
          <w:lang w:val="en-US"/>
        </w:rPr>
        <w:t>&gt;</w:t>
      </w:r>
      <w:r w:rsidRPr="00B54D58">
        <w:rPr>
          <w:lang w:val="en-US"/>
        </w:rPr>
        <w:t xml:space="preserve">0.8), the </w:t>
      </w:r>
      <w:r w:rsidR="002578C0" w:rsidRPr="00B54D58">
        <w:rPr>
          <w:lang w:val="en-US"/>
        </w:rPr>
        <w:lastRenderedPageBreak/>
        <w:t xml:space="preserve">seafloor </w:t>
      </w:r>
      <w:r w:rsidRPr="00B54D58">
        <w:rPr>
          <w:lang w:val="en-US"/>
        </w:rPr>
        <w:t>absolute magnetization is estimated as the ratio between the observed and the synthetic signals. This comparison does not only provide the value of the rocks magnetization but also its polarity, as phases are being compared</w:t>
      </w:r>
      <w:r w:rsidR="002578C0" w:rsidRPr="00B54D58">
        <w:rPr>
          <w:lang w:val="en-US"/>
        </w:rPr>
        <w:t xml:space="preserve"> as well</w:t>
      </w:r>
      <w:r w:rsidRPr="00B54D58">
        <w:rPr>
          <w:lang w:val="en-US"/>
        </w:rPr>
        <w:t xml:space="preserve">. This polarity is the key to constrain our interpretations of the Ono caldera (Fig. 3D) (Szitkar et al., 2015). </w:t>
      </w:r>
    </w:p>
    <w:p w:rsidR="006A7BD5" w:rsidRPr="00B54D58" w:rsidRDefault="006A7BD5" w:rsidP="00DF4CB3">
      <w:pPr>
        <w:spacing w:line="480" w:lineRule="auto"/>
        <w:jc w:val="both"/>
        <w:rPr>
          <w:lang w:val="en-US"/>
        </w:rPr>
      </w:pPr>
    </w:p>
    <w:p w:rsidR="002F3135" w:rsidRPr="00B54D58" w:rsidRDefault="00010138" w:rsidP="00DF4CB3">
      <w:pPr>
        <w:spacing w:line="480" w:lineRule="auto"/>
        <w:jc w:val="both"/>
        <w:rPr>
          <w:b/>
          <w:bCs/>
          <w:lang w:val="en-US"/>
        </w:rPr>
      </w:pPr>
      <w:r>
        <w:rPr>
          <w:lang w:val="en-US"/>
        </w:rPr>
        <w:br w:type="page"/>
      </w:r>
      <w:r w:rsidR="002F3135" w:rsidRPr="00B54D58">
        <w:rPr>
          <w:b/>
          <w:bCs/>
          <w:lang w:val="en-US"/>
        </w:rPr>
        <w:lastRenderedPageBreak/>
        <w:t>References</w:t>
      </w:r>
    </w:p>
    <w:p w:rsidR="002F3135" w:rsidRPr="00B54D58" w:rsidRDefault="002F3135" w:rsidP="002F3135">
      <w:pPr>
        <w:spacing w:before="100" w:beforeAutospacing="1" w:after="100" w:afterAutospacing="1" w:line="480" w:lineRule="auto"/>
        <w:jc w:val="both"/>
        <w:rPr>
          <w:rFonts w:eastAsia="Times New Roman" w:cs="Calibri"/>
          <w:lang w:val="en-US" w:eastAsia="fr-FR"/>
        </w:rPr>
      </w:pPr>
      <w:r w:rsidRPr="00B54D58">
        <w:rPr>
          <w:rFonts w:eastAsia="Times New Roman" w:cs="Calibri"/>
          <w:lang w:val="en-US" w:eastAsia="fr-FR"/>
        </w:rPr>
        <w:t>Honsho, C., et al. (2009), Magnetic structure of a slow spreading ridge segment: Insight from near-bottom magnetic measurements onboard a submersible</w:t>
      </w:r>
      <w:r w:rsidRPr="00B54D58">
        <w:rPr>
          <w:rFonts w:eastAsia="Times New Roman" w:cs="Calibri"/>
          <w:i/>
          <w:iCs/>
          <w:lang w:val="en-US" w:eastAsia="fr-FR"/>
        </w:rPr>
        <w:t xml:space="preserve">, J. Geophys. </w:t>
      </w:r>
      <w:proofErr w:type="gramStart"/>
      <w:r w:rsidRPr="00B54D58">
        <w:rPr>
          <w:rFonts w:eastAsia="Times New Roman" w:cs="Calibri"/>
          <w:i/>
          <w:iCs/>
          <w:lang w:val="en-US" w:eastAsia="fr-FR"/>
        </w:rPr>
        <w:t>Res.</w:t>
      </w:r>
      <w:r w:rsidRPr="00B54D58">
        <w:rPr>
          <w:rFonts w:eastAsia="Times New Roman" w:cs="Calibri"/>
          <w:lang w:val="en-US" w:eastAsia="fr-FR"/>
        </w:rPr>
        <w:t xml:space="preserve">, </w:t>
      </w:r>
      <w:r w:rsidRPr="00B54D58">
        <w:rPr>
          <w:rFonts w:eastAsia="Times New Roman" w:cs="Calibri"/>
          <w:i/>
          <w:iCs/>
          <w:lang w:val="en-US" w:eastAsia="fr-FR"/>
        </w:rPr>
        <w:t>114</w:t>
      </w:r>
      <w:r w:rsidRPr="00B54D58">
        <w:rPr>
          <w:rFonts w:eastAsia="Times New Roman" w:cs="Calibri"/>
          <w:lang w:val="en-US" w:eastAsia="fr-FR"/>
        </w:rPr>
        <w:t xml:space="preserve">, B05101, </w:t>
      </w:r>
      <w:r w:rsidR="006635DE" w:rsidRPr="00B54D58">
        <w:rPr>
          <w:rFonts w:eastAsia="Times New Roman" w:cs="Calibri"/>
          <w:lang w:val="en-US" w:eastAsia="fr-FR"/>
        </w:rPr>
        <w:t>https://</w:t>
      </w:r>
      <w:r w:rsidRPr="00B54D58">
        <w:rPr>
          <w:rFonts w:eastAsia="Times New Roman" w:cs="Calibri"/>
          <w:lang w:val="en-US" w:eastAsia="fr-FR"/>
        </w:rPr>
        <w:t>doi</w:t>
      </w:r>
      <w:r w:rsidR="006635DE" w:rsidRPr="00B54D58">
        <w:rPr>
          <w:rFonts w:eastAsia="Times New Roman" w:cs="Calibri"/>
          <w:lang w:val="en-US" w:eastAsia="fr-FR"/>
        </w:rPr>
        <w:t>.org/</w:t>
      </w:r>
      <w:r w:rsidRPr="00B54D58">
        <w:rPr>
          <w:rFonts w:eastAsia="Times New Roman" w:cs="Calibri"/>
          <w:lang w:val="en-US" w:eastAsia="fr-FR"/>
        </w:rPr>
        <w:t>10.1029/2008JB005915.</w:t>
      </w:r>
      <w:proofErr w:type="gramEnd"/>
      <w:r w:rsidRPr="00B54D58">
        <w:rPr>
          <w:rFonts w:eastAsia="Times New Roman" w:cs="Calibri"/>
          <w:lang w:val="en-US" w:eastAsia="fr-FR"/>
        </w:rPr>
        <w:t xml:space="preserve"> </w:t>
      </w:r>
    </w:p>
    <w:p w:rsidR="006635DE" w:rsidRPr="00B54D58" w:rsidRDefault="006635DE" w:rsidP="006635DE">
      <w:pPr>
        <w:spacing w:before="100" w:beforeAutospacing="1" w:after="100" w:afterAutospacing="1" w:line="480" w:lineRule="auto"/>
        <w:jc w:val="both"/>
        <w:rPr>
          <w:rFonts w:eastAsia="Times New Roman" w:cs="Calibri"/>
          <w:lang w:val="en-US" w:eastAsia="fr-FR"/>
        </w:rPr>
      </w:pPr>
      <w:r w:rsidRPr="00B54D58">
        <w:rPr>
          <w:rFonts w:eastAsia="Times New Roman" w:cs="Calibri"/>
          <w:lang w:val="en-US" w:eastAsia="fr-FR"/>
        </w:rPr>
        <w:t xml:space="preserve">Honsho, C., T., </w:t>
      </w:r>
      <w:proofErr w:type="gramStart"/>
      <w:r w:rsidRPr="00B54D58">
        <w:rPr>
          <w:rFonts w:eastAsia="Times New Roman" w:cs="Calibri"/>
          <w:lang w:val="en-US" w:eastAsia="fr-FR"/>
        </w:rPr>
        <w:t>Ura</w:t>
      </w:r>
      <w:proofErr w:type="gramEnd"/>
      <w:r w:rsidRPr="00B54D58">
        <w:rPr>
          <w:rFonts w:eastAsia="Times New Roman" w:cs="Calibri"/>
          <w:lang w:val="en-US" w:eastAsia="fr-FR"/>
        </w:rPr>
        <w:t xml:space="preserve">, and K. Tamaki (2012), The inversion of deep-sea magnetic anomalies using Akaike’s Bayesian information criterion, </w:t>
      </w:r>
      <w:r w:rsidRPr="00B54D58">
        <w:rPr>
          <w:rFonts w:eastAsia="Times New Roman" w:cs="Calibri"/>
          <w:i/>
          <w:iCs/>
          <w:lang w:val="en-US" w:eastAsia="fr-FR"/>
        </w:rPr>
        <w:t xml:space="preserve">J. Geophys. </w:t>
      </w:r>
      <w:proofErr w:type="gramStart"/>
      <w:r w:rsidRPr="00B54D58">
        <w:rPr>
          <w:rFonts w:eastAsia="Times New Roman" w:cs="Calibri"/>
          <w:i/>
          <w:iCs/>
          <w:lang w:val="en-US" w:eastAsia="fr-FR"/>
        </w:rPr>
        <w:t>Res., 117</w:t>
      </w:r>
      <w:r w:rsidRPr="00B54D58">
        <w:rPr>
          <w:rFonts w:eastAsia="Times New Roman" w:cs="Calibri"/>
          <w:lang w:val="en-US" w:eastAsia="fr-FR"/>
        </w:rPr>
        <w:t>, B01105, https://doi.org/10.1029/2011JB008611.</w:t>
      </w:r>
      <w:proofErr w:type="gramEnd"/>
      <w:r w:rsidRPr="00B54D58">
        <w:rPr>
          <w:rFonts w:eastAsia="Times New Roman" w:cs="Calibri"/>
          <w:lang w:val="en-US" w:eastAsia="fr-FR"/>
        </w:rPr>
        <w:t xml:space="preserve"> </w:t>
      </w:r>
    </w:p>
    <w:p w:rsidR="006635DE" w:rsidRPr="00B54D58" w:rsidRDefault="006635DE" w:rsidP="00560F8D">
      <w:pPr>
        <w:spacing w:before="100" w:beforeAutospacing="1" w:after="100" w:afterAutospacing="1" w:line="480" w:lineRule="auto"/>
        <w:jc w:val="both"/>
        <w:rPr>
          <w:rFonts w:eastAsia="Times New Roman" w:cs="Calibri"/>
          <w:lang w:val="en-US" w:eastAsia="fr-FR"/>
        </w:rPr>
      </w:pPr>
      <w:r w:rsidRPr="00B54D58">
        <w:rPr>
          <w:rFonts w:eastAsia="Times New Roman" w:cs="Calibri"/>
          <w:lang w:val="en-US" w:eastAsia="fr-FR"/>
        </w:rPr>
        <w:t xml:space="preserve">Hussenoeder, S.A., M. A., Tivey, and H., Schouten, H. (1995), </w:t>
      </w:r>
      <w:proofErr w:type="gramStart"/>
      <w:r w:rsidRPr="00B54D58">
        <w:rPr>
          <w:rFonts w:eastAsia="Times New Roman" w:cs="Calibri"/>
          <w:lang w:val="en-US" w:eastAsia="fr-FR"/>
        </w:rPr>
        <w:t>Direct</w:t>
      </w:r>
      <w:proofErr w:type="gramEnd"/>
      <w:r w:rsidRPr="00B54D58">
        <w:rPr>
          <w:rFonts w:eastAsia="Times New Roman" w:cs="Calibri"/>
          <w:lang w:val="en-US" w:eastAsia="fr-FR"/>
        </w:rPr>
        <w:t xml:space="preserve"> inversion of potential fields from an uneven track with application to the Mid-Atlantic Ridge, </w:t>
      </w:r>
      <w:r w:rsidRPr="00B54D58">
        <w:rPr>
          <w:rFonts w:eastAsia="Times New Roman" w:cs="Calibri"/>
          <w:i/>
          <w:iCs/>
          <w:lang w:val="en-US" w:eastAsia="fr-FR"/>
        </w:rPr>
        <w:t>Geophys. Res. Lett.</w:t>
      </w:r>
      <w:r w:rsidRPr="00B54D58">
        <w:rPr>
          <w:rFonts w:eastAsia="Times New Roman" w:cs="Calibri"/>
          <w:lang w:val="en-US" w:eastAsia="fr-FR"/>
        </w:rPr>
        <w:t xml:space="preserve">, </w:t>
      </w:r>
      <w:r w:rsidRPr="00B54D58">
        <w:rPr>
          <w:rFonts w:eastAsia="Times New Roman" w:cs="Calibri"/>
          <w:i/>
          <w:iCs/>
          <w:lang w:val="en-US" w:eastAsia="fr-FR"/>
        </w:rPr>
        <w:t>22 (23)</w:t>
      </w:r>
      <w:r w:rsidRPr="00B54D58">
        <w:rPr>
          <w:rFonts w:eastAsia="Times New Roman" w:cs="Calibri"/>
          <w:lang w:val="en-US" w:eastAsia="fr-FR"/>
        </w:rPr>
        <w:t xml:space="preserve">, 3131-3134. </w:t>
      </w:r>
    </w:p>
    <w:p w:rsidR="006635DE" w:rsidRPr="00B54D58" w:rsidRDefault="006635DE" w:rsidP="006635DE">
      <w:pPr>
        <w:spacing w:before="100" w:beforeAutospacing="1" w:after="100" w:afterAutospacing="1" w:line="480" w:lineRule="auto"/>
        <w:jc w:val="both"/>
        <w:rPr>
          <w:rFonts w:eastAsia="Times New Roman" w:cs="Calibri"/>
          <w:lang w:val="en-US" w:eastAsia="fr-FR"/>
        </w:rPr>
      </w:pPr>
      <w:r w:rsidRPr="00B54D58">
        <w:rPr>
          <w:rFonts w:eastAsia="Times New Roman" w:cs="Calibri"/>
          <w:lang w:val="en-US" w:eastAsia="fr-FR"/>
        </w:rPr>
        <w:t xml:space="preserve">Parker, R.L., and S. P., Huestis, S.P. (1974), </w:t>
      </w:r>
      <w:proofErr w:type="gramStart"/>
      <w:r w:rsidRPr="00B54D58">
        <w:rPr>
          <w:rFonts w:eastAsia="Times New Roman" w:cs="Calibri"/>
          <w:lang w:val="en-US" w:eastAsia="fr-FR"/>
        </w:rPr>
        <w:t>The</w:t>
      </w:r>
      <w:proofErr w:type="gramEnd"/>
      <w:r w:rsidRPr="00B54D58">
        <w:rPr>
          <w:rFonts w:eastAsia="Times New Roman" w:cs="Calibri"/>
          <w:lang w:val="en-US" w:eastAsia="fr-FR"/>
        </w:rPr>
        <w:t xml:space="preserve"> inversion of magnetic anomalies in the pres- ence of topography, </w:t>
      </w:r>
      <w:r w:rsidRPr="00B54D58">
        <w:rPr>
          <w:rFonts w:eastAsia="Times New Roman" w:cs="Calibri"/>
          <w:i/>
          <w:iCs/>
          <w:lang w:val="en-US" w:eastAsia="fr-FR"/>
        </w:rPr>
        <w:t>J. Geophys. Res.</w:t>
      </w:r>
      <w:r w:rsidRPr="00B54D58">
        <w:rPr>
          <w:rFonts w:eastAsia="Times New Roman" w:cs="Calibri"/>
          <w:lang w:val="en-US" w:eastAsia="fr-FR"/>
        </w:rPr>
        <w:t xml:space="preserve">, </w:t>
      </w:r>
      <w:r w:rsidRPr="00B54D58">
        <w:rPr>
          <w:rFonts w:eastAsia="Times New Roman" w:cs="Calibri"/>
          <w:i/>
          <w:iCs/>
          <w:lang w:val="en-US" w:eastAsia="fr-FR"/>
        </w:rPr>
        <w:t>79</w:t>
      </w:r>
      <w:r w:rsidRPr="00B54D58">
        <w:rPr>
          <w:rFonts w:eastAsia="Times New Roman" w:cs="Calibri"/>
          <w:lang w:val="en-US" w:eastAsia="fr-FR"/>
        </w:rPr>
        <w:t xml:space="preserve">, 1587-1594. http://dx.doi.org/10.1029/ JB079i011p01587. </w:t>
      </w:r>
    </w:p>
    <w:p w:rsidR="006635DE" w:rsidRPr="00B54D58" w:rsidRDefault="006635DE" w:rsidP="00560F8D">
      <w:pPr>
        <w:spacing w:before="100" w:beforeAutospacing="1" w:after="100" w:afterAutospacing="1" w:line="480" w:lineRule="auto"/>
        <w:jc w:val="both"/>
        <w:rPr>
          <w:rFonts w:cs="Calibri"/>
        </w:rPr>
      </w:pPr>
      <w:r w:rsidRPr="00B54D58">
        <w:rPr>
          <w:rFonts w:cs="Calibri"/>
          <w:lang w:val="en-US"/>
        </w:rPr>
        <w:t xml:space="preserve">Szitkar, F., J., Dyment, Y., Fouquet, Y., Choi, and C., Honsho (2015a), Absolute magnetization of the seafloor at a basalt-hosted hydrothermal site: Insights from a deep-sea submersible survey, </w:t>
      </w:r>
      <w:r w:rsidRPr="00B54D58">
        <w:rPr>
          <w:rFonts w:cs="Calibri"/>
          <w:i/>
          <w:iCs/>
          <w:lang w:val="en-US"/>
        </w:rPr>
        <w:t xml:space="preserve">Geophys. </w:t>
      </w:r>
      <w:r w:rsidRPr="00B54D58">
        <w:rPr>
          <w:rFonts w:cs="Calibri"/>
          <w:i/>
          <w:iCs/>
        </w:rPr>
        <w:t>Res. Lett.</w:t>
      </w:r>
      <w:r w:rsidRPr="00B54D58">
        <w:rPr>
          <w:rFonts w:cs="Calibri"/>
        </w:rPr>
        <w:t>,</w:t>
      </w:r>
      <w:r w:rsidRPr="00B54D58">
        <w:rPr>
          <w:rFonts w:cs="Calibri"/>
          <w:i/>
          <w:iCs/>
        </w:rPr>
        <w:t xml:space="preserve"> 42</w:t>
      </w:r>
      <w:r w:rsidRPr="00B54D58">
        <w:rPr>
          <w:rFonts w:cs="Calibri"/>
        </w:rPr>
        <w:t xml:space="preserve">,https://doi.org/10.1002/2014GL062791. </w:t>
      </w:r>
    </w:p>
    <w:p w:rsidR="002F3135" w:rsidRPr="00B54D58" w:rsidRDefault="002F3135" w:rsidP="002F3135">
      <w:pPr>
        <w:pStyle w:val="NormalWeb"/>
        <w:spacing w:line="480" w:lineRule="auto"/>
        <w:jc w:val="both"/>
        <w:rPr>
          <w:rFonts w:ascii="Calibri" w:hAnsi="Calibri" w:cs="Calibri"/>
          <w:lang w:val="en-US"/>
        </w:rPr>
      </w:pPr>
      <w:r w:rsidRPr="00B54D58">
        <w:rPr>
          <w:rFonts w:ascii="Calibri" w:hAnsi="Calibri" w:cs="Calibri"/>
        </w:rPr>
        <w:t xml:space="preserve">Thebault, E., et al. </w:t>
      </w:r>
      <w:r w:rsidRPr="00B54D58">
        <w:rPr>
          <w:rFonts w:ascii="Calibri" w:hAnsi="Calibri" w:cs="Calibri"/>
          <w:lang w:val="en-US"/>
        </w:rPr>
        <w:t>(2015), International Geomagnetic Reference Field: The 12</w:t>
      </w:r>
      <w:r w:rsidRPr="00B54D58">
        <w:rPr>
          <w:rFonts w:ascii="Calibri" w:hAnsi="Calibri" w:cs="Calibri"/>
          <w:vertAlign w:val="superscript"/>
          <w:lang w:val="en-US"/>
        </w:rPr>
        <w:t>th</w:t>
      </w:r>
      <w:r w:rsidRPr="00B54D58">
        <w:rPr>
          <w:rFonts w:ascii="Calibri" w:hAnsi="Calibri" w:cs="Calibri"/>
          <w:lang w:val="en-US"/>
        </w:rPr>
        <w:t xml:space="preserve"> generation, </w:t>
      </w:r>
      <w:r w:rsidRPr="00B54D58">
        <w:rPr>
          <w:rFonts w:ascii="Calibri" w:hAnsi="Calibri" w:cs="Calibri"/>
          <w:i/>
          <w:iCs/>
          <w:lang w:val="en-US"/>
        </w:rPr>
        <w:t>Earth, Planets and Space</w:t>
      </w:r>
      <w:r w:rsidRPr="00B54D58">
        <w:rPr>
          <w:rFonts w:ascii="Calibri" w:hAnsi="Calibri" w:cs="Calibri"/>
          <w:lang w:val="en-US"/>
        </w:rPr>
        <w:t xml:space="preserve">, </w:t>
      </w:r>
      <w:r w:rsidRPr="00B54D58">
        <w:rPr>
          <w:rFonts w:ascii="Calibri" w:hAnsi="Calibri" w:cs="Calibri"/>
          <w:i/>
          <w:iCs/>
          <w:lang w:val="en-US"/>
        </w:rPr>
        <w:t>67</w:t>
      </w:r>
      <w:r w:rsidRPr="00B54D58">
        <w:rPr>
          <w:rFonts w:ascii="Calibri" w:hAnsi="Calibri" w:cs="Calibri"/>
          <w:lang w:val="en-US"/>
        </w:rPr>
        <w:t>,</w:t>
      </w:r>
      <w:r w:rsidR="00735E55" w:rsidRPr="00B54D58">
        <w:rPr>
          <w:rFonts w:ascii="Calibri" w:hAnsi="Calibri" w:cs="Calibri"/>
          <w:lang w:val="en-US"/>
        </w:rPr>
        <w:t xml:space="preserve"> https://doi.org/10.1186/s40623-015-02289”. </w:t>
      </w:r>
    </w:p>
    <w:sectPr w:rsidR="002F3135" w:rsidRPr="00B54D58" w:rsidSect="00B54D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E45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6"/>
  </w:docVars>
  <w:rsids>
    <w:rsidRoot w:val="00DF4CB3"/>
    <w:rsid w:val="00010138"/>
    <w:rsid w:val="00072D9B"/>
    <w:rsid w:val="00113F5C"/>
    <w:rsid w:val="00150D18"/>
    <w:rsid w:val="001C5B48"/>
    <w:rsid w:val="001D235F"/>
    <w:rsid w:val="002578C0"/>
    <w:rsid w:val="002D646C"/>
    <w:rsid w:val="002F3135"/>
    <w:rsid w:val="00356A10"/>
    <w:rsid w:val="00465621"/>
    <w:rsid w:val="00560F8D"/>
    <w:rsid w:val="006071D2"/>
    <w:rsid w:val="00630EB9"/>
    <w:rsid w:val="006635DE"/>
    <w:rsid w:val="006A7BD5"/>
    <w:rsid w:val="00735E55"/>
    <w:rsid w:val="007839C6"/>
    <w:rsid w:val="007B1350"/>
    <w:rsid w:val="008E21D6"/>
    <w:rsid w:val="00B54D58"/>
    <w:rsid w:val="00BB3841"/>
    <w:rsid w:val="00D61FCB"/>
    <w:rsid w:val="00D91993"/>
    <w:rsid w:val="00D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4CB3"/>
  </w:style>
  <w:style w:type="paragraph" w:styleId="NormalWeb">
    <w:name w:val="Normal (Web)"/>
    <w:basedOn w:val="Normal"/>
    <w:uiPriority w:val="99"/>
    <w:unhideWhenUsed/>
    <w:rsid w:val="002F3135"/>
    <w:pPr>
      <w:spacing w:before="100" w:beforeAutospacing="1" w:after="100" w:afterAutospacing="1"/>
    </w:pPr>
    <w:rPr>
      <w:rFonts w:ascii="Times New Roman" w:eastAsia="Times New Roman" w:hAnsi="Times New Roman"/>
      <w:lang w:eastAsia="fr-FR"/>
    </w:rPr>
  </w:style>
  <w:style w:type="character" w:styleId="Hyperlink">
    <w:name w:val="Hyperlink"/>
    <w:uiPriority w:val="99"/>
    <w:unhideWhenUsed/>
    <w:rsid w:val="002F3135"/>
    <w:rPr>
      <w:color w:val="0563C1"/>
      <w:u w:val="single"/>
    </w:rPr>
  </w:style>
  <w:style w:type="paragraph" w:styleId="BalloonText">
    <w:name w:val="Balloon Text"/>
    <w:basedOn w:val="Normal"/>
    <w:link w:val="BalloonTextChar"/>
    <w:uiPriority w:val="99"/>
    <w:semiHidden/>
    <w:unhideWhenUsed/>
    <w:rsid w:val="006635DE"/>
    <w:rPr>
      <w:rFonts w:ascii="Times New Roman" w:hAnsi="Times New Roman"/>
      <w:sz w:val="18"/>
      <w:szCs w:val="18"/>
    </w:rPr>
  </w:style>
  <w:style w:type="character" w:customStyle="1" w:styleId="BalloonTextChar">
    <w:name w:val="Balloon Text Char"/>
    <w:link w:val="BalloonText"/>
    <w:uiPriority w:val="99"/>
    <w:semiHidden/>
    <w:rsid w:val="006635DE"/>
    <w:rPr>
      <w:rFonts w:ascii="Times New Roman" w:hAnsi="Times New Roman" w:cs="Times New Roman"/>
      <w:sz w:val="18"/>
      <w:szCs w:val="18"/>
    </w:rPr>
  </w:style>
  <w:style w:type="character" w:styleId="FollowedHyperlink">
    <w:name w:val="FollowedHyperlink"/>
    <w:uiPriority w:val="99"/>
    <w:semiHidden/>
    <w:unhideWhenUsed/>
    <w:rsid w:val="006635DE"/>
    <w:rPr>
      <w:color w:val="954F72"/>
      <w:u w:val="single"/>
    </w:rPr>
  </w:style>
  <w:style w:type="character" w:styleId="CommentReference">
    <w:name w:val="annotation reference"/>
    <w:uiPriority w:val="99"/>
    <w:semiHidden/>
    <w:unhideWhenUsed/>
    <w:rsid w:val="00150D18"/>
    <w:rPr>
      <w:sz w:val="18"/>
      <w:szCs w:val="18"/>
    </w:rPr>
  </w:style>
  <w:style w:type="paragraph" w:styleId="CommentText">
    <w:name w:val="annotation text"/>
    <w:basedOn w:val="Normal"/>
    <w:link w:val="CommentTextChar"/>
    <w:uiPriority w:val="99"/>
    <w:semiHidden/>
    <w:unhideWhenUsed/>
    <w:rsid w:val="00150D18"/>
  </w:style>
  <w:style w:type="character" w:customStyle="1" w:styleId="CommentTextChar">
    <w:name w:val="Comment Text Char"/>
    <w:link w:val="CommentText"/>
    <w:uiPriority w:val="99"/>
    <w:semiHidden/>
    <w:rsid w:val="00150D18"/>
    <w:rPr>
      <w:sz w:val="24"/>
      <w:szCs w:val="24"/>
      <w:lang w:eastAsia="en-US"/>
    </w:rPr>
  </w:style>
  <w:style w:type="paragraph" w:styleId="CommentSubject">
    <w:name w:val="annotation subject"/>
    <w:basedOn w:val="CommentText"/>
    <w:next w:val="CommentText"/>
    <w:link w:val="CommentSubjectChar"/>
    <w:uiPriority w:val="99"/>
    <w:semiHidden/>
    <w:unhideWhenUsed/>
    <w:rsid w:val="00150D18"/>
    <w:rPr>
      <w:b/>
      <w:bCs/>
      <w:sz w:val="20"/>
      <w:szCs w:val="20"/>
    </w:rPr>
  </w:style>
  <w:style w:type="character" w:customStyle="1" w:styleId="CommentSubjectChar">
    <w:name w:val="Comment Subject Char"/>
    <w:link w:val="CommentSubject"/>
    <w:uiPriority w:val="99"/>
    <w:semiHidden/>
    <w:rsid w:val="00150D18"/>
    <w:rPr>
      <w:b/>
      <w:bCs/>
      <w:sz w:val="24"/>
      <w:szCs w:val="24"/>
      <w:lang w:eastAsia="en-US"/>
    </w:rPr>
  </w:style>
  <w:style w:type="character" w:customStyle="1" w:styleId="Mentionnonrsolue">
    <w:name w:val="Mention non résolue"/>
    <w:uiPriority w:val="99"/>
    <w:semiHidden/>
    <w:unhideWhenUsed/>
    <w:rsid w:val="00735E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4CB3"/>
  </w:style>
  <w:style w:type="paragraph" w:styleId="NormalWeb">
    <w:name w:val="Normal (Web)"/>
    <w:basedOn w:val="Normal"/>
    <w:uiPriority w:val="99"/>
    <w:unhideWhenUsed/>
    <w:rsid w:val="002F3135"/>
    <w:pPr>
      <w:spacing w:before="100" w:beforeAutospacing="1" w:after="100" w:afterAutospacing="1"/>
    </w:pPr>
    <w:rPr>
      <w:rFonts w:ascii="Times New Roman" w:eastAsia="Times New Roman" w:hAnsi="Times New Roman"/>
      <w:lang w:eastAsia="fr-FR"/>
    </w:rPr>
  </w:style>
  <w:style w:type="character" w:styleId="Hyperlink">
    <w:name w:val="Hyperlink"/>
    <w:uiPriority w:val="99"/>
    <w:unhideWhenUsed/>
    <w:rsid w:val="002F3135"/>
    <w:rPr>
      <w:color w:val="0563C1"/>
      <w:u w:val="single"/>
    </w:rPr>
  </w:style>
  <w:style w:type="paragraph" w:styleId="BalloonText">
    <w:name w:val="Balloon Text"/>
    <w:basedOn w:val="Normal"/>
    <w:link w:val="BalloonTextChar"/>
    <w:uiPriority w:val="99"/>
    <w:semiHidden/>
    <w:unhideWhenUsed/>
    <w:rsid w:val="006635DE"/>
    <w:rPr>
      <w:rFonts w:ascii="Times New Roman" w:hAnsi="Times New Roman"/>
      <w:sz w:val="18"/>
      <w:szCs w:val="18"/>
    </w:rPr>
  </w:style>
  <w:style w:type="character" w:customStyle="1" w:styleId="BalloonTextChar">
    <w:name w:val="Balloon Text Char"/>
    <w:link w:val="BalloonText"/>
    <w:uiPriority w:val="99"/>
    <w:semiHidden/>
    <w:rsid w:val="006635DE"/>
    <w:rPr>
      <w:rFonts w:ascii="Times New Roman" w:hAnsi="Times New Roman" w:cs="Times New Roman"/>
      <w:sz w:val="18"/>
      <w:szCs w:val="18"/>
    </w:rPr>
  </w:style>
  <w:style w:type="character" w:styleId="FollowedHyperlink">
    <w:name w:val="FollowedHyperlink"/>
    <w:uiPriority w:val="99"/>
    <w:semiHidden/>
    <w:unhideWhenUsed/>
    <w:rsid w:val="006635DE"/>
    <w:rPr>
      <w:color w:val="954F72"/>
      <w:u w:val="single"/>
    </w:rPr>
  </w:style>
  <w:style w:type="character" w:styleId="CommentReference">
    <w:name w:val="annotation reference"/>
    <w:uiPriority w:val="99"/>
    <w:semiHidden/>
    <w:unhideWhenUsed/>
    <w:rsid w:val="00150D18"/>
    <w:rPr>
      <w:sz w:val="18"/>
      <w:szCs w:val="18"/>
    </w:rPr>
  </w:style>
  <w:style w:type="paragraph" w:styleId="CommentText">
    <w:name w:val="annotation text"/>
    <w:basedOn w:val="Normal"/>
    <w:link w:val="CommentTextChar"/>
    <w:uiPriority w:val="99"/>
    <w:semiHidden/>
    <w:unhideWhenUsed/>
    <w:rsid w:val="00150D18"/>
  </w:style>
  <w:style w:type="character" w:customStyle="1" w:styleId="CommentTextChar">
    <w:name w:val="Comment Text Char"/>
    <w:link w:val="CommentText"/>
    <w:uiPriority w:val="99"/>
    <w:semiHidden/>
    <w:rsid w:val="00150D18"/>
    <w:rPr>
      <w:sz w:val="24"/>
      <w:szCs w:val="24"/>
      <w:lang w:eastAsia="en-US"/>
    </w:rPr>
  </w:style>
  <w:style w:type="paragraph" w:styleId="CommentSubject">
    <w:name w:val="annotation subject"/>
    <w:basedOn w:val="CommentText"/>
    <w:next w:val="CommentText"/>
    <w:link w:val="CommentSubjectChar"/>
    <w:uiPriority w:val="99"/>
    <w:semiHidden/>
    <w:unhideWhenUsed/>
    <w:rsid w:val="00150D18"/>
    <w:rPr>
      <w:b/>
      <w:bCs/>
      <w:sz w:val="20"/>
      <w:szCs w:val="20"/>
    </w:rPr>
  </w:style>
  <w:style w:type="character" w:customStyle="1" w:styleId="CommentSubjectChar">
    <w:name w:val="Comment Subject Char"/>
    <w:link w:val="CommentSubject"/>
    <w:uiPriority w:val="99"/>
    <w:semiHidden/>
    <w:rsid w:val="00150D18"/>
    <w:rPr>
      <w:b/>
      <w:bCs/>
      <w:sz w:val="24"/>
      <w:szCs w:val="24"/>
      <w:lang w:eastAsia="en-US"/>
    </w:rPr>
  </w:style>
  <w:style w:type="character" w:customStyle="1" w:styleId="Mentionnonrsolue">
    <w:name w:val="Mention non résolue"/>
    <w:uiPriority w:val="99"/>
    <w:semiHidden/>
    <w:unhideWhenUsed/>
    <w:rsid w:val="00735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9668">
      <w:bodyDiv w:val="1"/>
      <w:marLeft w:val="0"/>
      <w:marRight w:val="0"/>
      <w:marTop w:val="0"/>
      <w:marBottom w:val="0"/>
      <w:divBdr>
        <w:top w:val="none" w:sz="0" w:space="0" w:color="auto"/>
        <w:left w:val="none" w:sz="0" w:space="0" w:color="auto"/>
        <w:bottom w:val="none" w:sz="0" w:space="0" w:color="auto"/>
        <w:right w:val="none" w:sz="0" w:space="0" w:color="auto"/>
      </w:divBdr>
      <w:divsChild>
        <w:div w:id="1003123766">
          <w:marLeft w:val="0"/>
          <w:marRight w:val="0"/>
          <w:marTop w:val="0"/>
          <w:marBottom w:val="0"/>
          <w:divBdr>
            <w:top w:val="none" w:sz="0" w:space="0" w:color="auto"/>
            <w:left w:val="none" w:sz="0" w:space="0" w:color="auto"/>
            <w:bottom w:val="none" w:sz="0" w:space="0" w:color="auto"/>
            <w:right w:val="none" w:sz="0" w:space="0" w:color="auto"/>
          </w:divBdr>
          <w:divsChild>
            <w:div w:id="499658099">
              <w:marLeft w:val="0"/>
              <w:marRight w:val="0"/>
              <w:marTop w:val="0"/>
              <w:marBottom w:val="0"/>
              <w:divBdr>
                <w:top w:val="none" w:sz="0" w:space="0" w:color="auto"/>
                <w:left w:val="none" w:sz="0" w:space="0" w:color="auto"/>
                <w:bottom w:val="none" w:sz="0" w:space="0" w:color="auto"/>
                <w:right w:val="none" w:sz="0" w:space="0" w:color="auto"/>
              </w:divBdr>
              <w:divsChild>
                <w:div w:id="15067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4713">
      <w:bodyDiv w:val="1"/>
      <w:marLeft w:val="0"/>
      <w:marRight w:val="0"/>
      <w:marTop w:val="0"/>
      <w:marBottom w:val="0"/>
      <w:divBdr>
        <w:top w:val="none" w:sz="0" w:space="0" w:color="auto"/>
        <w:left w:val="none" w:sz="0" w:space="0" w:color="auto"/>
        <w:bottom w:val="none" w:sz="0" w:space="0" w:color="auto"/>
        <w:right w:val="none" w:sz="0" w:space="0" w:color="auto"/>
      </w:divBdr>
      <w:divsChild>
        <w:div w:id="878128340">
          <w:marLeft w:val="0"/>
          <w:marRight w:val="0"/>
          <w:marTop w:val="0"/>
          <w:marBottom w:val="0"/>
          <w:divBdr>
            <w:top w:val="none" w:sz="0" w:space="0" w:color="auto"/>
            <w:left w:val="none" w:sz="0" w:space="0" w:color="auto"/>
            <w:bottom w:val="none" w:sz="0" w:space="0" w:color="auto"/>
            <w:right w:val="none" w:sz="0" w:space="0" w:color="auto"/>
          </w:divBdr>
          <w:divsChild>
            <w:div w:id="63528995">
              <w:marLeft w:val="0"/>
              <w:marRight w:val="0"/>
              <w:marTop w:val="0"/>
              <w:marBottom w:val="0"/>
              <w:divBdr>
                <w:top w:val="none" w:sz="0" w:space="0" w:color="auto"/>
                <w:left w:val="none" w:sz="0" w:space="0" w:color="auto"/>
                <w:bottom w:val="none" w:sz="0" w:space="0" w:color="auto"/>
                <w:right w:val="none" w:sz="0" w:space="0" w:color="auto"/>
              </w:divBdr>
              <w:divsChild>
                <w:div w:id="2735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5820</Characters>
  <Application>Microsoft Office Word</Application>
  <DocSecurity>0</DocSecurity>
  <Lines>97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ABADON</dc:creator>
  <cp:lastModifiedBy>ABADON</cp:lastModifiedBy>
  <cp:revision>2</cp:revision>
  <cp:lastPrinted>2020-09-17T07:08:00Z</cp:lastPrinted>
  <dcterms:created xsi:type="dcterms:W3CDTF">2020-09-17T07:09:00Z</dcterms:created>
  <dcterms:modified xsi:type="dcterms:W3CDTF">2020-09-17T07:09:00Z</dcterms:modified>
</cp:coreProperties>
</file>