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0D801" w14:textId="2C65D835" w:rsidR="00AA5526" w:rsidRDefault="00434A39" w:rsidP="00F441E3">
      <w:pPr>
        <w:pStyle w:val="Titre"/>
      </w:pPr>
      <w:proofErr w:type="spellStart"/>
      <w:r>
        <w:t>Behavio</w:t>
      </w:r>
      <w:r w:rsidR="00AA5526" w:rsidRPr="00AA5526">
        <w:t>ral</w:t>
      </w:r>
      <w:proofErr w:type="spellEnd"/>
      <w:r w:rsidR="00AA5526" w:rsidRPr="00AA5526">
        <w:t xml:space="preserve"> and trophic segregations help the Tahiti petrel to cope with the abundance of wedge-tailed shearwater when foraging in oligotrophic tropical waters</w:t>
      </w:r>
    </w:p>
    <w:p w14:paraId="4318357B" w14:textId="760D720A" w:rsidR="003B41AE" w:rsidRPr="00AA5526" w:rsidRDefault="003B41AE" w:rsidP="003B41AE">
      <w:pPr>
        <w:spacing w:before="240"/>
        <w:rPr>
          <w:rFonts w:eastAsia="Times New Roman" w:cstheme="minorHAnsi"/>
          <w:b/>
          <w:szCs w:val="24"/>
          <w:bdr w:val="none" w:sz="0" w:space="0" w:color="auto" w:frame="1"/>
          <w:vertAlign w:val="superscript"/>
          <w:lang w:val="fr-FR" w:eastAsia="fr-FR"/>
        </w:rPr>
      </w:pPr>
      <w:r w:rsidRPr="00AA5526">
        <w:rPr>
          <w:rFonts w:cstheme="minorHAnsi"/>
          <w:b/>
          <w:szCs w:val="24"/>
          <w:lang w:val="fr-FR"/>
        </w:rPr>
        <w:t>Andreas Ravache*</w:t>
      </w:r>
      <w:r w:rsidRPr="00AA5526">
        <w:rPr>
          <w:rFonts w:cstheme="minorHAnsi"/>
          <w:b/>
          <w:szCs w:val="24"/>
          <w:vertAlign w:val="superscript"/>
          <w:lang w:val="fr-FR"/>
        </w:rPr>
        <w:t>1,2</w:t>
      </w:r>
      <w:r w:rsidRPr="00AA5526">
        <w:rPr>
          <w:rFonts w:cstheme="minorHAnsi"/>
          <w:b/>
          <w:szCs w:val="24"/>
          <w:lang w:val="fr-FR"/>
        </w:rPr>
        <w:t>, Karen Bourgeois</w:t>
      </w:r>
      <w:r w:rsidRPr="00AA5526">
        <w:rPr>
          <w:rFonts w:cstheme="minorHAnsi"/>
          <w:b/>
          <w:szCs w:val="24"/>
          <w:vertAlign w:val="superscript"/>
          <w:lang w:val="fr-FR"/>
        </w:rPr>
        <w:t>2</w:t>
      </w:r>
      <w:r w:rsidRPr="00AA5526">
        <w:rPr>
          <w:rFonts w:eastAsia="Times New Roman" w:cstheme="minorHAnsi"/>
          <w:b/>
          <w:szCs w:val="24"/>
          <w:bdr w:val="none" w:sz="0" w:space="0" w:color="auto" w:frame="1"/>
          <w:lang w:val="fr-FR" w:eastAsia="fr-FR"/>
        </w:rPr>
        <w:t>, Henri Weimerskirch</w:t>
      </w:r>
      <w:r w:rsidRPr="00AA5526">
        <w:rPr>
          <w:rFonts w:eastAsia="Times New Roman" w:cstheme="minorHAnsi"/>
          <w:b/>
          <w:szCs w:val="24"/>
          <w:bdr w:val="none" w:sz="0" w:space="0" w:color="auto" w:frame="1"/>
          <w:vertAlign w:val="superscript"/>
          <w:lang w:val="fr-FR" w:eastAsia="fr-FR"/>
        </w:rPr>
        <w:t>3</w:t>
      </w:r>
      <w:r w:rsidRPr="00AA5526">
        <w:rPr>
          <w:rFonts w:eastAsia="Times New Roman" w:cstheme="minorHAnsi"/>
          <w:b/>
          <w:szCs w:val="24"/>
          <w:bdr w:val="none" w:sz="0" w:space="0" w:color="auto" w:frame="1"/>
          <w:lang w:val="fr-FR" w:eastAsia="fr-FR"/>
        </w:rPr>
        <w:t>, Angélique Pagenaud</w:t>
      </w:r>
      <w:r w:rsidRPr="00AA5526">
        <w:rPr>
          <w:rFonts w:cstheme="minorHAnsi"/>
          <w:b/>
          <w:szCs w:val="24"/>
          <w:vertAlign w:val="superscript"/>
          <w:lang w:val="fr-FR"/>
        </w:rPr>
        <w:t>1,2</w:t>
      </w:r>
      <w:r w:rsidRPr="00AA5526">
        <w:rPr>
          <w:rFonts w:eastAsia="Times New Roman" w:cstheme="minorHAnsi"/>
          <w:b/>
          <w:szCs w:val="24"/>
          <w:bdr w:val="none" w:sz="0" w:space="0" w:color="auto" w:frame="1"/>
          <w:lang w:val="fr-FR" w:eastAsia="fr-FR"/>
        </w:rPr>
        <w:t>, Sophie de Grissac</w:t>
      </w:r>
      <w:r w:rsidRPr="00AA5526">
        <w:rPr>
          <w:rFonts w:eastAsia="Times New Roman" w:cstheme="minorHAnsi"/>
          <w:b/>
          <w:szCs w:val="24"/>
          <w:bdr w:val="none" w:sz="0" w:space="0" w:color="auto" w:frame="1"/>
          <w:vertAlign w:val="superscript"/>
          <w:lang w:val="fr-FR" w:eastAsia="fr-FR"/>
        </w:rPr>
        <w:t>3</w:t>
      </w:r>
      <w:r w:rsidRPr="00AA5526">
        <w:rPr>
          <w:rFonts w:eastAsia="Times New Roman" w:cstheme="minorHAnsi"/>
          <w:b/>
          <w:szCs w:val="24"/>
          <w:bdr w:val="none" w:sz="0" w:space="0" w:color="auto" w:frame="1"/>
          <w:lang w:val="fr-FR" w:eastAsia="fr-FR"/>
        </w:rPr>
        <w:t>, Mark Miller</w:t>
      </w:r>
      <w:r w:rsidRPr="00AA5526">
        <w:rPr>
          <w:rFonts w:eastAsia="Times New Roman" w:cstheme="minorHAnsi"/>
          <w:b/>
          <w:szCs w:val="24"/>
          <w:bdr w:val="none" w:sz="0" w:space="0" w:color="auto" w:frame="1"/>
          <w:vertAlign w:val="superscript"/>
          <w:lang w:val="fr-FR" w:eastAsia="fr-FR"/>
        </w:rPr>
        <w:t>4</w:t>
      </w:r>
      <w:r w:rsidRPr="00AA5526">
        <w:rPr>
          <w:rFonts w:eastAsia="Times New Roman" w:cstheme="minorHAnsi"/>
          <w:b/>
          <w:szCs w:val="24"/>
          <w:bdr w:val="none" w:sz="0" w:space="0" w:color="auto" w:frame="1"/>
          <w:lang w:val="fr-FR" w:eastAsia="fr-FR"/>
        </w:rPr>
        <w:t>, Sylvain Dromzée</w:t>
      </w:r>
      <w:r w:rsidRPr="00AA5526">
        <w:rPr>
          <w:rFonts w:eastAsia="Times New Roman" w:cstheme="minorHAnsi"/>
          <w:b/>
          <w:szCs w:val="24"/>
          <w:bdr w:val="none" w:sz="0" w:space="0" w:color="auto" w:frame="1"/>
          <w:vertAlign w:val="superscript"/>
          <w:lang w:val="fr-FR" w:eastAsia="fr-FR"/>
        </w:rPr>
        <w:t>2</w:t>
      </w:r>
      <w:r w:rsidRPr="00AA5526">
        <w:rPr>
          <w:rFonts w:eastAsia="Times New Roman" w:cstheme="minorHAnsi"/>
          <w:b/>
          <w:szCs w:val="24"/>
          <w:bdr w:val="none" w:sz="0" w:space="0" w:color="auto" w:frame="1"/>
          <w:lang w:val="fr-FR" w:eastAsia="fr-FR"/>
        </w:rPr>
        <w:t>, Anne Lorrain</w:t>
      </w:r>
      <w:r w:rsidRPr="00AA5526">
        <w:rPr>
          <w:rFonts w:eastAsia="Times New Roman" w:cstheme="minorHAnsi"/>
          <w:b/>
          <w:szCs w:val="24"/>
          <w:bdr w:val="none" w:sz="0" w:space="0" w:color="auto" w:frame="1"/>
          <w:vertAlign w:val="superscript"/>
          <w:lang w:val="fr-FR" w:eastAsia="fr-FR"/>
        </w:rPr>
        <w:t>5</w:t>
      </w:r>
      <w:r w:rsidRPr="00AA5526">
        <w:rPr>
          <w:rFonts w:eastAsia="Times New Roman" w:cstheme="minorHAnsi"/>
          <w:b/>
          <w:szCs w:val="24"/>
          <w:bdr w:val="none" w:sz="0" w:space="0" w:color="auto" w:frame="1"/>
          <w:lang w:val="fr-FR" w:eastAsia="fr-FR"/>
        </w:rPr>
        <w:t>, Valérie Allain</w:t>
      </w:r>
      <w:r w:rsidRPr="00AA5526">
        <w:rPr>
          <w:rFonts w:eastAsia="Times New Roman" w:cstheme="minorHAnsi"/>
          <w:b/>
          <w:szCs w:val="24"/>
          <w:bdr w:val="none" w:sz="0" w:space="0" w:color="auto" w:frame="1"/>
          <w:vertAlign w:val="superscript"/>
          <w:lang w:val="fr-FR" w:eastAsia="fr-FR"/>
        </w:rPr>
        <w:t>6</w:t>
      </w:r>
      <w:r w:rsidRPr="00AA5526">
        <w:rPr>
          <w:rFonts w:eastAsia="Times New Roman" w:cstheme="minorHAnsi"/>
          <w:b/>
          <w:szCs w:val="24"/>
          <w:bdr w:val="none" w:sz="0" w:space="0" w:color="auto" w:frame="1"/>
          <w:lang w:val="fr-FR" w:eastAsia="fr-FR"/>
        </w:rPr>
        <w:t>, Paco Bustamante</w:t>
      </w:r>
      <w:r w:rsidRPr="00AA5526">
        <w:rPr>
          <w:rFonts w:eastAsia="Times New Roman" w:cstheme="minorHAnsi"/>
          <w:b/>
          <w:szCs w:val="24"/>
          <w:bdr w:val="none" w:sz="0" w:space="0" w:color="auto" w:frame="1"/>
          <w:vertAlign w:val="superscript"/>
          <w:lang w:val="fr-FR" w:eastAsia="fr-FR"/>
        </w:rPr>
        <w:t>7,</w:t>
      </w:r>
      <w:r w:rsidRPr="00AA5526">
        <w:rPr>
          <w:b/>
          <w:szCs w:val="24"/>
          <w:vertAlign w:val="superscript"/>
          <w:lang w:val="fr-FR"/>
        </w:rPr>
        <w:t>8</w:t>
      </w:r>
      <w:r w:rsidRPr="00AA5526">
        <w:rPr>
          <w:rFonts w:eastAsia="Times New Roman" w:cstheme="minorHAnsi"/>
          <w:b/>
          <w:szCs w:val="24"/>
          <w:bdr w:val="none" w:sz="0" w:space="0" w:color="auto" w:frame="1"/>
          <w:lang w:val="fr-FR" w:eastAsia="fr-FR"/>
        </w:rPr>
        <w:t>, Jonas Bylemans</w:t>
      </w:r>
      <w:r w:rsidRPr="00AA5526">
        <w:rPr>
          <w:rFonts w:eastAsia="Times New Roman" w:cstheme="minorHAnsi"/>
          <w:b/>
          <w:szCs w:val="24"/>
          <w:bdr w:val="none" w:sz="0" w:space="0" w:color="auto" w:frame="1"/>
          <w:vertAlign w:val="superscript"/>
          <w:lang w:val="fr-FR" w:eastAsia="fr-FR"/>
        </w:rPr>
        <w:t>9,10</w:t>
      </w:r>
      <w:r w:rsidRPr="00AA5526">
        <w:rPr>
          <w:rFonts w:eastAsia="Times New Roman" w:cstheme="minorHAnsi"/>
          <w:b/>
          <w:szCs w:val="24"/>
          <w:bdr w:val="none" w:sz="0" w:space="0" w:color="auto" w:frame="1"/>
          <w:lang w:val="fr-FR" w:eastAsia="fr-FR"/>
        </w:rPr>
        <w:t>, Dianne Gleeson</w:t>
      </w:r>
      <w:r w:rsidRPr="00AA5526">
        <w:rPr>
          <w:rFonts w:eastAsia="Times New Roman" w:cstheme="minorHAnsi"/>
          <w:b/>
          <w:szCs w:val="24"/>
          <w:bdr w:val="none" w:sz="0" w:space="0" w:color="auto" w:frame="1"/>
          <w:vertAlign w:val="superscript"/>
          <w:lang w:val="fr-FR" w:eastAsia="fr-FR"/>
        </w:rPr>
        <w:t>9</w:t>
      </w:r>
      <w:r w:rsidRPr="00AA5526">
        <w:rPr>
          <w:rFonts w:eastAsia="Times New Roman" w:cstheme="minorHAnsi"/>
          <w:b/>
          <w:szCs w:val="24"/>
          <w:bdr w:val="none" w:sz="0" w:space="0" w:color="auto" w:frame="1"/>
          <w:lang w:val="fr-FR" w:eastAsia="fr-FR"/>
        </w:rPr>
        <w:t>, Yves Letourneur</w:t>
      </w:r>
      <w:r w:rsidRPr="00AA5526">
        <w:rPr>
          <w:rFonts w:eastAsia="Times New Roman" w:cstheme="minorHAnsi"/>
          <w:b/>
          <w:szCs w:val="24"/>
          <w:bdr w:val="none" w:sz="0" w:space="0" w:color="auto" w:frame="1"/>
          <w:vertAlign w:val="superscript"/>
          <w:lang w:val="fr-FR" w:eastAsia="fr-FR"/>
        </w:rPr>
        <w:t>1</w:t>
      </w:r>
      <w:r w:rsidR="00F441E3">
        <w:rPr>
          <w:rFonts w:eastAsia="Times New Roman" w:cstheme="minorHAnsi"/>
          <w:b/>
          <w:szCs w:val="24"/>
          <w:bdr w:val="none" w:sz="0" w:space="0" w:color="auto" w:frame="1"/>
          <w:vertAlign w:val="superscript"/>
          <w:lang w:val="fr-FR" w:eastAsia="fr-FR"/>
        </w:rPr>
        <w:t>1</w:t>
      </w:r>
      <w:r w:rsidRPr="00AA5526">
        <w:rPr>
          <w:rFonts w:eastAsia="Times New Roman" w:cstheme="minorHAnsi"/>
          <w:b/>
          <w:szCs w:val="24"/>
          <w:bdr w:val="none" w:sz="0" w:space="0" w:color="auto" w:frame="1"/>
          <w:lang w:val="fr-FR" w:eastAsia="fr-FR"/>
        </w:rPr>
        <w:t>, Éric Vidal</w:t>
      </w:r>
      <w:r w:rsidRPr="00AA5526">
        <w:rPr>
          <w:rFonts w:eastAsia="Times New Roman" w:cstheme="minorHAnsi"/>
          <w:b/>
          <w:szCs w:val="24"/>
          <w:bdr w:val="none" w:sz="0" w:space="0" w:color="auto" w:frame="1"/>
          <w:vertAlign w:val="superscript"/>
          <w:lang w:val="fr-FR" w:eastAsia="fr-FR"/>
        </w:rPr>
        <w:t>1</w:t>
      </w:r>
    </w:p>
    <w:p w14:paraId="12C897FD" w14:textId="77777777" w:rsidR="003B41AE" w:rsidRPr="002665D4" w:rsidRDefault="003B41AE" w:rsidP="003B41AE">
      <w:pPr>
        <w:spacing w:after="0" w:line="240" w:lineRule="auto"/>
        <w:rPr>
          <w:rFonts w:eastAsia="Times New Roman" w:cstheme="minorHAnsi"/>
          <w:sz w:val="20"/>
          <w:szCs w:val="20"/>
          <w:bdr w:val="none" w:sz="0" w:space="0" w:color="auto" w:frame="1"/>
          <w:lang w:val="fr-FR" w:eastAsia="fr-FR"/>
        </w:rPr>
      </w:pPr>
      <w:r w:rsidRPr="00764E63">
        <w:rPr>
          <w:rFonts w:eastAsia="Times New Roman" w:cstheme="minorHAnsi"/>
          <w:sz w:val="20"/>
          <w:szCs w:val="20"/>
          <w:bdr w:val="none" w:sz="0" w:space="0" w:color="auto" w:frame="1"/>
          <w:vertAlign w:val="superscript"/>
          <w:lang w:val="fr-FR" w:eastAsia="fr-FR"/>
        </w:rPr>
        <w:t>1</w:t>
      </w:r>
      <w:r w:rsidRPr="00764E63">
        <w:rPr>
          <w:rFonts w:eastAsia="Times New Roman" w:cstheme="minorHAnsi"/>
          <w:sz w:val="20"/>
          <w:szCs w:val="20"/>
          <w:bdr w:val="none" w:sz="0" w:space="0" w:color="auto" w:frame="1"/>
          <w:lang w:val="fr-FR" w:eastAsia="fr-FR"/>
        </w:rPr>
        <w:t>UMR ENTROPIE (IRD</w:t>
      </w:r>
      <w:r>
        <w:rPr>
          <w:rFonts w:eastAsia="Times New Roman" w:cstheme="minorHAnsi"/>
          <w:sz w:val="20"/>
          <w:szCs w:val="20"/>
          <w:bdr w:val="none" w:sz="0" w:space="0" w:color="auto" w:frame="1"/>
          <w:lang w:val="fr-FR" w:eastAsia="fr-FR"/>
        </w:rPr>
        <w:t xml:space="preserve">, </w:t>
      </w:r>
      <w:r w:rsidRPr="00764E63">
        <w:rPr>
          <w:rFonts w:eastAsia="Times New Roman" w:cstheme="minorHAnsi"/>
          <w:sz w:val="20"/>
          <w:szCs w:val="20"/>
          <w:bdr w:val="none" w:sz="0" w:space="0" w:color="auto" w:frame="1"/>
          <w:lang w:val="fr-FR" w:eastAsia="fr-FR"/>
        </w:rPr>
        <w:t>Université de La Réunion</w:t>
      </w:r>
      <w:r>
        <w:rPr>
          <w:rFonts w:eastAsia="Times New Roman" w:cstheme="minorHAnsi"/>
          <w:sz w:val="20"/>
          <w:szCs w:val="20"/>
          <w:bdr w:val="none" w:sz="0" w:space="0" w:color="auto" w:frame="1"/>
          <w:lang w:val="fr-FR" w:eastAsia="fr-FR"/>
        </w:rPr>
        <w:t xml:space="preserve">, </w:t>
      </w:r>
      <w:r w:rsidRPr="00764E63">
        <w:rPr>
          <w:rFonts w:eastAsia="Times New Roman" w:cstheme="minorHAnsi"/>
          <w:sz w:val="20"/>
          <w:szCs w:val="20"/>
          <w:bdr w:val="none" w:sz="0" w:space="0" w:color="auto" w:frame="1"/>
          <w:lang w:val="fr-FR" w:eastAsia="fr-FR"/>
        </w:rPr>
        <w:t>CNRS</w:t>
      </w:r>
      <w:r>
        <w:rPr>
          <w:rFonts w:eastAsia="Times New Roman" w:cstheme="minorHAnsi"/>
          <w:sz w:val="20"/>
          <w:szCs w:val="20"/>
          <w:bdr w:val="none" w:sz="0" w:space="0" w:color="auto" w:frame="1"/>
          <w:lang w:val="fr-FR" w:eastAsia="fr-FR"/>
        </w:rPr>
        <w:t>, Université de la Nouvelle-Calédonie, Ifremer</w:t>
      </w:r>
      <w:r w:rsidRPr="00764E63">
        <w:rPr>
          <w:rFonts w:eastAsia="Times New Roman" w:cstheme="minorHAnsi"/>
          <w:sz w:val="20"/>
          <w:szCs w:val="20"/>
          <w:bdr w:val="none" w:sz="0" w:space="0" w:color="auto" w:frame="1"/>
          <w:lang w:val="fr-FR" w:eastAsia="fr-FR"/>
        </w:rPr>
        <w:t>)</w:t>
      </w:r>
      <w:r>
        <w:rPr>
          <w:rFonts w:eastAsia="Times New Roman" w:cstheme="minorHAnsi"/>
          <w:sz w:val="20"/>
          <w:szCs w:val="20"/>
          <w:bdr w:val="none" w:sz="0" w:space="0" w:color="auto" w:frame="1"/>
          <w:lang w:val="fr-FR" w:eastAsia="fr-FR"/>
        </w:rPr>
        <w:t xml:space="preserve"> and </w:t>
      </w:r>
      <w:proofErr w:type="spellStart"/>
      <w:r>
        <w:rPr>
          <w:rFonts w:eastAsia="Times New Roman" w:cstheme="minorHAnsi"/>
          <w:sz w:val="20"/>
          <w:szCs w:val="20"/>
          <w:bdr w:val="none" w:sz="0" w:space="0" w:color="auto" w:frame="1"/>
          <w:lang w:val="fr-FR" w:eastAsia="fr-FR"/>
        </w:rPr>
        <w:t>Labex</w:t>
      </w:r>
      <w:proofErr w:type="spellEnd"/>
      <w:r>
        <w:rPr>
          <w:rFonts w:eastAsia="Times New Roman" w:cstheme="minorHAnsi"/>
          <w:sz w:val="20"/>
          <w:szCs w:val="20"/>
          <w:bdr w:val="none" w:sz="0" w:space="0" w:color="auto" w:frame="1"/>
          <w:lang w:val="fr-FR" w:eastAsia="fr-FR"/>
        </w:rPr>
        <w:t xml:space="preserve"> « Corail »</w:t>
      </w:r>
      <w:r w:rsidRPr="00764E63">
        <w:rPr>
          <w:rFonts w:eastAsia="Times New Roman" w:cstheme="minorHAnsi"/>
          <w:sz w:val="20"/>
          <w:szCs w:val="20"/>
          <w:bdr w:val="none" w:sz="0" w:space="0" w:color="auto" w:frame="1"/>
          <w:lang w:val="fr-FR" w:eastAsia="fr-FR"/>
        </w:rPr>
        <w:t xml:space="preserve">, </w:t>
      </w:r>
      <w:r>
        <w:rPr>
          <w:rFonts w:eastAsia="Times New Roman" w:cstheme="minorHAnsi"/>
          <w:sz w:val="20"/>
          <w:szCs w:val="20"/>
          <w:bdr w:val="none" w:sz="0" w:space="0" w:color="auto" w:frame="1"/>
          <w:lang w:val="fr-FR" w:eastAsia="fr-FR"/>
        </w:rPr>
        <w:t>Université de la Nouvelle-Calédonie, BP R4, 98851</w:t>
      </w:r>
      <w:r w:rsidRPr="00764E63">
        <w:rPr>
          <w:rFonts w:eastAsia="Times New Roman" w:cstheme="minorHAnsi"/>
          <w:sz w:val="20"/>
          <w:szCs w:val="20"/>
          <w:bdr w:val="none" w:sz="0" w:space="0" w:color="auto" w:frame="1"/>
          <w:lang w:val="fr-FR" w:eastAsia="fr-FR"/>
        </w:rPr>
        <w:t xml:space="preserve"> Nouméa Cedex, New </w:t>
      </w:r>
      <w:proofErr w:type="spellStart"/>
      <w:r w:rsidRPr="00764E63">
        <w:rPr>
          <w:rFonts w:eastAsia="Times New Roman" w:cstheme="minorHAnsi"/>
          <w:sz w:val="20"/>
          <w:szCs w:val="20"/>
          <w:bdr w:val="none" w:sz="0" w:space="0" w:color="auto" w:frame="1"/>
          <w:lang w:val="fr-FR" w:eastAsia="fr-FR"/>
        </w:rPr>
        <w:t>Caledonia</w:t>
      </w:r>
      <w:proofErr w:type="spellEnd"/>
      <w:r w:rsidRPr="00764E63">
        <w:rPr>
          <w:rFonts w:eastAsia="Times New Roman" w:cstheme="minorHAnsi"/>
          <w:sz w:val="20"/>
          <w:szCs w:val="20"/>
          <w:bdr w:val="none" w:sz="0" w:space="0" w:color="auto" w:frame="1"/>
          <w:lang w:val="fr-FR" w:eastAsia="fr-FR"/>
        </w:rPr>
        <w:t xml:space="preserve">  </w:t>
      </w:r>
    </w:p>
    <w:p w14:paraId="347B7265" w14:textId="77777777" w:rsidR="003B41AE" w:rsidRPr="00764E63" w:rsidRDefault="003B41AE" w:rsidP="003B41AE">
      <w:pPr>
        <w:spacing w:after="0" w:line="240" w:lineRule="auto"/>
        <w:rPr>
          <w:rFonts w:eastAsia="Times New Roman" w:cstheme="minorHAnsi"/>
          <w:sz w:val="20"/>
          <w:szCs w:val="20"/>
          <w:bdr w:val="none" w:sz="0" w:space="0" w:color="auto" w:frame="1"/>
          <w:lang w:val="fr-FR" w:eastAsia="fr-FR"/>
        </w:rPr>
      </w:pPr>
      <w:r>
        <w:rPr>
          <w:rFonts w:eastAsia="Times New Roman" w:cstheme="minorHAnsi"/>
          <w:sz w:val="20"/>
          <w:szCs w:val="20"/>
          <w:bdr w:val="none" w:sz="0" w:space="0" w:color="auto" w:frame="1"/>
          <w:vertAlign w:val="superscript"/>
          <w:lang w:val="fr-FR" w:eastAsia="fr-FR"/>
        </w:rPr>
        <w:t>2</w:t>
      </w:r>
      <w:r w:rsidRPr="00764E63">
        <w:rPr>
          <w:rFonts w:eastAsia="Times New Roman" w:cstheme="minorHAnsi"/>
          <w:sz w:val="20"/>
          <w:szCs w:val="20"/>
          <w:bdr w:val="none" w:sz="0" w:space="0" w:color="auto" w:frame="1"/>
          <w:lang w:val="fr-FR" w:eastAsia="fr-FR"/>
        </w:rPr>
        <w:t>IMBE, Aix-Marseille Université, CNRS, IRD, Avignon Université, Centre IRD Nouméa - BP A5, 98848 Nouméa</w:t>
      </w:r>
      <w:r>
        <w:rPr>
          <w:rFonts w:eastAsia="Times New Roman" w:cstheme="minorHAnsi"/>
          <w:sz w:val="20"/>
          <w:szCs w:val="20"/>
          <w:bdr w:val="none" w:sz="0" w:space="0" w:color="auto" w:frame="1"/>
          <w:lang w:val="fr-FR" w:eastAsia="fr-FR"/>
        </w:rPr>
        <w:t xml:space="preserve"> </w:t>
      </w:r>
      <w:r w:rsidRPr="00764E63">
        <w:rPr>
          <w:rFonts w:eastAsia="Times New Roman" w:cstheme="minorHAnsi"/>
          <w:sz w:val="20"/>
          <w:szCs w:val="20"/>
          <w:bdr w:val="none" w:sz="0" w:space="0" w:color="auto" w:frame="1"/>
          <w:lang w:val="fr-FR" w:eastAsia="fr-FR"/>
        </w:rPr>
        <w:t>Cedex, New</w:t>
      </w:r>
      <w:r>
        <w:rPr>
          <w:rFonts w:eastAsia="Times New Roman" w:cstheme="minorHAnsi"/>
          <w:sz w:val="20"/>
          <w:szCs w:val="20"/>
          <w:bdr w:val="none" w:sz="0" w:space="0" w:color="auto" w:frame="1"/>
          <w:lang w:val="fr-FR" w:eastAsia="fr-FR"/>
        </w:rPr>
        <w:t xml:space="preserve"> </w:t>
      </w:r>
      <w:proofErr w:type="spellStart"/>
      <w:r w:rsidRPr="00764E63">
        <w:rPr>
          <w:rFonts w:eastAsia="Times New Roman" w:cstheme="minorHAnsi"/>
          <w:sz w:val="20"/>
          <w:szCs w:val="20"/>
          <w:bdr w:val="none" w:sz="0" w:space="0" w:color="auto" w:frame="1"/>
          <w:lang w:val="fr-FR" w:eastAsia="fr-FR"/>
        </w:rPr>
        <w:t>Caledonia</w:t>
      </w:r>
      <w:proofErr w:type="spellEnd"/>
    </w:p>
    <w:p w14:paraId="7EE049FB" w14:textId="77777777" w:rsidR="003B41AE" w:rsidRPr="00DF1FB7" w:rsidRDefault="003B41AE" w:rsidP="003B41AE">
      <w:pPr>
        <w:spacing w:after="0" w:line="240" w:lineRule="auto"/>
        <w:rPr>
          <w:rFonts w:eastAsia="Times New Roman" w:cstheme="minorHAnsi"/>
          <w:sz w:val="20"/>
          <w:szCs w:val="20"/>
          <w:bdr w:val="none" w:sz="0" w:space="0" w:color="auto" w:frame="1"/>
          <w:lang w:val="fr-FR" w:eastAsia="fr-FR"/>
        </w:rPr>
      </w:pPr>
      <w:r>
        <w:rPr>
          <w:rFonts w:eastAsia="Times New Roman" w:cstheme="minorHAnsi"/>
          <w:sz w:val="20"/>
          <w:szCs w:val="20"/>
          <w:bdr w:val="none" w:sz="0" w:space="0" w:color="auto" w:frame="1"/>
          <w:vertAlign w:val="superscript"/>
          <w:lang w:val="fr-FR" w:eastAsia="fr-FR"/>
        </w:rPr>
        <w:t>3</w:t>
      </w:r>
      <w:r w:rsidRPr="00764E63">
        <w:rPr>
          <w:rFonts w:eastAsia="Times New Roman" w:cstheme="minorHAnsi"/>
          <w:sz w:val="20"/>
          <w:szCs w:val="20"/>
          <w:bdr w:val="none" w:sz="0" w:space="0" w:color="auto" w:frame="1"/>
          <w:lang w:val="fr-FR" w:eastAsia="fr-FR"/>
        </w:rPr>
        <w:t xml:space="preserve">Centres d’Etudes Biologiques de </w:t>
      </w:r>
      <w:proofErr w:type="spellStart"/>
      <w:r w:rsidRPr="00764E63">
        <w:rPr>
          <w:rFonts w:eastAsia="Times New Roman" w:cstheme="minorHAnsi"/>
          <w:sz w:val="20"/>
          <w:szCs w:val="20"/>
          <w:bdr w:val="none" w:sz="0" w:space="0" w:color="auto" w:frame="1"/>
          <w:lang w:val="fr-FR" w:eastAsia="fr-FR"/>
        </w:rPr>
        <w:t>Chizé</w:t>
      </w:r>
      <w:proofErr w:type="spellEnd"/>
      <w:r w:rsidRPr="00764E63">
        <w:rPr>
          <w:rFonts w:eastAsia="Times New Roman" w:cstheme="minorHAnsi"/>
          <w:sz w:val="20"/>
          <w:szCs w:val="20"/>
          <w:bdr w:val="none" w:sz="0" w:space="0" w:color="auto" w:frame="1"/>
          <w:lang w:val="fr-FR" w:eastAsia="fr-FR"/>
        </w:rPr>
        <w:t xml:space="preserve"> – CNRS, </w:t>
      </w:r>
      <w:r>
        <w:rPr>
          <w:rFonts w:eastAsia="Times New Roman" w:cstheme="minorHAnsi"/>
          <w:sz w:val="20"/>
          <w:szCs w:val="20"/>
          <w:bdr w:val="none" w:sz="0" w:space="0" w:color="auto" w:frame="1"/>
          <w:lang w:val="fr-FR" w:eastAsia="fr-FR"/>
        </w:rPr>
        <w:t>France</w:t>
      </w:r>
    </w:p>
    <w:p w14:paraId="7D831259" w14:textId="77777777" w:rsidR="003B41AE" w:rsidRPr="00DF1FB7" w:rsidRDefault="003B41AE" w:rsidP="003B41AE">
      <w:pPr>
        <w:spacing w:after="0" w:line="240" w:lineRule="auto"/>
        <w:rPr>
          <w:sz w:val="20"/>
          <w:szCs w:val="20"/>
        </w:rPr>
      </w:pPr>
      <w:r w:rsidRPr="00DF1FB7">
        <w:rPr>
          <w:sz w:val="20"/>
          <w:szCs w:val="20"/>
          <w:vertAlign w:val="superscript"/>
        </w:rPr>
        <w:t>4</w:t>
      </w:r>
      <w:r w:rsidRPr="00DF1FB7">
        <w:rPr>
          <w:sz w:val="20"/>
          <w:szCs w:val="20"/>
        </w:rPr>
        <w:t>School of Biology, University of Leeds, UK</w:t>
      </w:r>
      <w:r w:rsidRPr="00DF1FB7">
        <w:rPr>
          <w:sz w:val="20"/>
          <w:szCs w:val="20"/>
        </w:rPr>
        <w:tab/>
      </w:r>
    </w:p>
    <w:p w14:paraId="2863DD64" w14:textId="34897CAB" w:rsidR="003B41AE" w:rsidRPr="002043F3" w:rsidRDefault="003B41AE" w:rsidP="003B41AE">
      <w:pPr>
        <w:spacing w:after="0" w:line="240" w:lineRule="auto"/>
        <w:rPr>
          <w:rFonts w:eastAsia="Times New Roman" w:cstheme="minorHAnsi"/>
          <w:sz w:val="20"/>
          <w:szCs w:val="20"/>
          <w:bdr w:val="none" w:sz="0" w:space="0" w:color="auto" w:frame="1"/>
          <w:lang w:val="fr-FR" w:eastAsia="fr-FR"/>
        </w:rPr>
      </w:pPr>
      <w:r w:rsidRPr="00764E63">
        <w:rPr>
          <w:rFonts w:eastAsia="Times New Roman" w:cstheme="minorHAnsi"/>
          <w:sz w:val="20"/>
          <w:szCs w:val="20"/>
          <w:bdr w:val="none" w:sz="0" w:space="0" w:color="auto" w:frame="1"/>
          <w:vertAlign w:val="superscript"/>
          <w:lang w:val="fr-FR" w:eastAsia="fr-FR"/>
        </w:rPr>
        <w:t xml:space="preserve">5 </w:t>
      </w:r>
      <w:r w:rsidR="002043F3" w:rsidRPr="002043F3">
        <w:rPr>
          <w:rFonts w:eastAsia="Times New Roman" w:cstheme="minorHAnsi"/>
          <w:sz w:val="20"/>
          <w:szCs w:val="20"/>
          <w:bdr w:val="none" w:sz="0" w:space="0" w:color="auto" w:frame="1"/>
          <w:lang w:val="fr-FR" w:eastAsia="fr-FR"/>
        </w:rPr>
        <w:t xml:space="preserve">IRD, </w:t>
      </w:r>
      <w:proofErr w:type="spellStart"/>
      <w:r w:rsidR="002043F3" w:rsidRPr="002043F3">
        <w:rPr>
          <w:rFonts w:eastAsia="Times New Roman" w:cstheme="minorHAnsi"/>
          <w:sz w:val="20"/>
          <w:szCs w:val="20"/>
          <w:bdr w:val="none" w:sz="0" w:space="0" w:color="auto" w:frame="1"/>
          <w:lang w:val="fr-FR" w:eastAsia="fr-FR"/>
        </w:rPr>
        <w:t>Univ</w:t>
      </w:r>
      <w:proofErr w:type="spellEnd"/>
      <w:r w:rsidR="002043F3" w:rsidRPr="002043F3">
        <w:rPr>
          <w:rFonts w:eastAsia="Times New Roman" w:cstheme="minorHAnsi"/>
          <w:sz w:val="20"/>
          <w:szCs w:val="20"/>
          <w:bdr w:val="none" w:sz="0" w:space="0" w:color="auto" w:frame="1"/>
          <w:lang w:val="fr-FR" w:eastAsia="fr-FR"/>
        </w:rPr>
        <w:t xml:space="preserve"> Brest, CNRS, Ifremer, LEMAR, F-29280, Plouzané, France</w:t>
      </w:r>
    </w:p>
    <w:p w14:paraId="1A30FEF3" w14:textId="77777777" w:rsidR="003B41AE" w:rsidRPr="00095413" w:rsidRDefault="003B41AE" w:rsidP="003B41AE">
      <w:pPr>
        <w:spacing w:after="0" w:line="240" w:lineRule="auto"/>
        <w:rPr>
          <w:rFonts w:eastAsia="Times New Roman" w:cstheme="minorHAnsi"/>
          <w:sz w:val="20"/>
          <w:szCs w:val="20"/>
          <w:bdr w:val="none" w:sz="0" w:space="0" w:color="auto" w:frame="1"/>
          <w:lang w:val="en-US" w:eastAsia="fr-FR"/>
        </w:rPr>
      </w:pPr>
      <w:r w:rsidRPr="00095413">
        <w:rPr>
          <w:rFonts w:eastAsia="Times New Roman" w:cstheme="minorHAnsi"/>
          <w:sz w:val="20"/>
          <w:szCs w:val="20"/>
          <w:bdr w:val="none" w:sz="0" w:space="0" w:color="auto" w:frame="1"/>
          <w:vertAlign w:val="superscript"/>
          <w:lang w:val="en-US" w:eastAsia="fr-FR"/>
        </w:rPr>
        <w:t>6</w:t>
      </w:r>
      <w:r w:rsidRPr="00095413">
        <w:rPr>
          <w:rFonts w:eastAsia="Times New Roman" w:cstheme="minorHAnsi"/>
          <w:sz w:val="20"/>
          <w:szCs w:val="20"/>
          <w:bdr w:val="none" w:sz="0" w:space="0" w:color="auto" w:frame="1"/>
          <w:lang w:val="en-US" w:eastAsia="fr-FR"/>
        </w:rPr>
        <w:t xml:space="preserve">Secretariat of the Pacific Community, SPC, BP D5, 98848 </w:t>
      </w:r>
      <w:proofErr w:type="spellStart"/>
      <w:r w:rsidRPr="00095413">
        <w:rPr>
          <w:rFonts w:eastAsia="Times New Roman" w:cstheme="minorHAnsi"/>
          <w:sz w:val="20"/>
          <w:szCs w:val="20"/>
          <w:bdr w:val="none" w:sz="0" w:space="0" w:color="auto" w:frame="1"/>
          <w:lang w:val="en-US" w:eastAsia="fr-FR"/>
        </w:rPr>
        <w:t>Nouméa</w:t>
      </w:r>
      <w:proofErr w:type="spellEnd"/>
      <w:r w:rsidRPr="00095413">
        <w:rPr>
          <w:rFonts w:eastAsia="Times New Roman" w:cstheme="minorHAnsi"/>
          <w:sz w:val="20"/>
          <w:szCs w:val="20"/>
          <w:bdr w:val="none" w:sz="0" w:space="0" w:color="auto" w:frame="1"/>
          <w:lang w:val="en-US" w:eastAsia="fr-FR"/>
        </w:rPr>
        <w:t xml:space="preserve"> </w:t>
      </w:r>
      <w:proofErr w:type="spellStart"/>
      <w:r w:rsidRPr="00095413">
        <w:rPr>
          <w:rFonts w:eastAsia="Times New Roman" w:cstheme="minorHAnsi"/>
          <w:sz w:val="20"/>
          <w:szCs w:val="20"/>
          <w:bdr w:val="none" w:sz="0" w:space="0" w:color="auto" w:frame="1"/>
          <w:lang w:val="en-US" w:eastAsia="fr-FR"/>
        </w:rPr>
        <w:t>Cedex</w:t>
      </w:r>
      <w:proofErr w:type="spellEnd"/>
      <w:r w:rsidRPr="00095413">
        <w:rPr>
          <w:rFonts w:eastAsia="Times New Roman" w:cstheme="minorHAnsi"/>
          <w:sz w:val="20"/>
          <w:szCs w:val="20"/>
          <w:bdr w:val="none" w:sz="0" w:space="0" w:color="auto" w:frame="1"/>
          <w:lang w:val="en-US" w:eastAsia="fr-FR"/>
        </w:rPr>
        <w:t>, New Caledonia</w:t>
      </w:r>
    </w:p>
    <w:p w14:paraId="64B17DE7" w14:textId="0CF03427" w:rsidR="003B41AE" w:rsidRPr="00764E63" w:rsidRDefault="003B41AE" w:rsidP="003B41AE">
      <w:pPr>
        <w:spacing w:after="0" w:line="240" w:lineRule="auto"/>
        <w:rPr>
          <w:sz w:val="20"/>
          <w:szCs w:val="20"/>
          <w:lang w:val="fr-FR"/>
        </w:rPr>
      </w:pPr>
      <w:r w:rsidRPr="00764E63">
        <w:rPr>
          <w:sz w:val="20"/>
          <w:szCs w:val="20"/>
          <w:vertAlign w:val="superscript"/>
          <w:lang w:val="fr-FR"/>
        </w:rPr>
        <w:t>7</w:t>
      </w:r>
      <w:r w:rsidRPr="00764E63">
        <w:rPr>
          <w:sz w:val="20"/>
          <w:szCs w:val="20"/>
          <w:lang w:val="fr-FR"/>
        </w:rPr>
        <w:t>Littoral Environnement et Sociétés (</w:t>
      </w:r>
      <w:proofErr w:type="spellStart"/>
      <w:r w:rsidRPr="00764E63">
        <w:rPr>
          <w:sz w:val="20"/>
          <w:szCs w:val="20"/>
          <w:lang w:val="fr-FR"/>
        </w:rPr>
        <w:t>LIENSs</w:t>
      </w:r>
      <w:proofErr w:type="spellEnd"/>
      <w:r w:rsidRPr="00764E63">
        <w:rPr>
          <w:sz w:val="20"/>
          <w:szCs w:val="20"/>
          <w:lang w:val="fr-FR"/>
        </w:rPr>
        <w:t>), UMR 7266 CNRS - La Rochelle Université, 2 Rue Olympe de Gou</w:t>
      </w:r>
      <w:r w:rsidR="00F441E3">
        <w:rPr>
          <w:sz w:val="20"/>
          <w:szCs w:val="20"/>
          <w:lang w:val="fr-FR"/>
        </w:rPr>
        <w:t>ges, 17000, La Rochelle, France</w:t>
      </w:r>
    </w:p>
    <w:p w14:paraId="0837E7A7" w14:textId="77777777" w:rsidR="003B41AE" w:rsidRDefault="003B41AE" w:rsidP="003B41AE">
      <w:pPr>
        <w:spacing w:after="0" w:line="240" w:lineRule="auto"/>
        <w:rPr>
          <w:sz w:val="20"/>
          <w:szCs w:val="20"/>
          <w:lang w:val="fr-FR"/>
        </w:rPr>
      </w:pPr>
      <w:r w:rsidRPr="00764E63">
        <w:rPr>
          <w:sz w:val="20"/>
          <w:szCs w:val="20"/>
          <w:vertAlign w:val="superscript"/>
          <w:lang w:val="fr-FR"/>
        </w:rPr>
        <w:t>8</w:t>
      </w:r>
      <w:r w:rsidRPr="00764E63">
        <w:rPr>
          <w:sz w:val="20"/>
          <w:szCs w:val="20"/>
          <w:lang w:val="fr-FR"/>
        </w:rPr>
        <w:t xml:space="preserve">Institut Universitaire de France (IUF), 1 rue Descartes 75005 Paris, </w:t>
      </w:r>
      <w:r>
        <w:rPr>
          <w:sz w:val="20"/>
          <w:szCs w:val="20"/>
          <w:lang w:val="fr-FR"/>
        </w:rPr>
        <w:t>France</w:t>
      </w:r>
    </w:p>
    <w:p w14:paraId="63BEB840" w14:textId="77777777" w:rsidR="003B41AE" w:rsidRDefault="003B41AE" w:rsidP="003B41AE">
      <w:pPr>
        <w:spacing w:after="0" w:line="240" w:lineRule="auto"/>
        <w:rPr>
          <w:sz w:val="20"/>
          <w:szCs w:val="20"/>
        </w:rPr>
      </w:pPr>
      <w:r w:rsidRPr="0039349E">
        <w:rPr>
          <w:sz w:val="20"/>
          <w:szCs w:val="20"/>
          <w:vertAlign w:val="superscript"/>
        </w:rPr>
        <w:t>9</w:t>
      </w:r>
      <w:r w:rsidRPr="0039349E">
        <w:rPr>
          <w:sz w:val="20"/>
          <w:szCs w:val="20"/>
        </w:rPr>
        <w:t>Institute for Applied Ecology, University of Canberra, Bruce ACT, Australia</w:t>
      </w:r>
    </w:p>
    <w:p w14:paraId="26AF4D23" w14:textId="77777777" w:rsidR="003B41AE" w:rsidRDefault="003B41AE" w:rsidP="003B41AE">
      <w:pPr>
        <w:spacing w:after="0" w:line="240" w:lineRule="auto"/>
        <w:rPr>
          <w:sz w:val="20"/>
          <w:szCs w:val="20"/>
        </w:rPr>
      </w:pPr>
      <w:r w:rsidRPr="008259BF">
        <w:rPr>
          <w:sz w:val="20"/>
          <w:szCs w:val="20"/>
          <w:vertAlign w:val="superscript"/>
        </w:rPr>
        <w:t>10</w:t>
      </w:r>
      <w:r w:rsidRPr="008259BF">
        <w:rPr>
          <w:sz w:val="20"/>
          <w:szCs w:val="20"/>
        </w:rPr>
        <w:t xml:space="preserve">Department of Ecology and Evolution, </w:t>
      </w:r>
      <w:proofErr w:type="spellStart"/>
      <w:r w:rsidRPr="008259BF">
        <w:rPr>
          <w:sz w:val="20"/>
          <w:szCs w:val="20"/>
        </w:rPr>
        <w:t>Biophore</w:t>
      </w:r>
      <w:proofErr w:type="spellEnd"/>
      <w:r w:rsidRPr="008259BF">
        <w:rPr>
          <w:sz w:val="20"/>
          <w:szCs w:val="20"/>
        </w:rPr>
        <w:t>, University of Lausanne, Lausanne, Switzerland</w:t>
      </w:r>
    </w:p>
    <w:p w14:paraId="04E721F7" w14:textId="79E4BE42" w:rsidR="00F441E3" w:rsidRPr="00455421" w:rsidRDefault="00F441E3" w:rsidP="00F441E3">
      <w:pPr>
        <w:spacing w:after="0" w:line="240" w:lineRule="auto"/>
        <w:jc w:val="left"/>
        <w:rPr>
          <w:sz w:val="20"/>
          <w:szCs w:val="20"/>
          <w:lang w:val="fr-FR"/>
        </w:rPr>
      </w:pPr>
      <w:r>
        <w:rPr>
          <w:sz w:val="20"/>
          <w:szCs w:val="20"/>
          <w:vertAlign w:val="superscript"/>
          <w:lang w:val="fr-FR"/>
        </w:rPr>
        <w:t>11</w:t>
      </w:r>
      <w:r w:rsidRPr="00455421">
        <w:rPr>
          <w:sz w:val="20"/>
          <w:szCs w:val="20"/>
          <w:lang w:val="fr-FR"/>
        </w:rPr>
        <w:t xml:space="preserve">UMR ENTROPIE (IRD, Université de La Réunion, CNRS, Université de la Nouvelle-Calédonie, Ifremer) </w:t>
      </w:r>
      <w:r w:rsidRPr="00AD70A1">
        <w:rPr>
          <w:sz w:val="20"/>
          <w:szCs w:val="20"/>
          <w:lang w:val="fr-FR"/>
        </w:rPr>
        <w:t>Université de la Nouvelle-Calédonie</w:t>
      </w:r>
      <w:r w:rsidRPr="00455421">
        <w:rPr>
          <w:sz w:val="20"/>
          <w:szCs w:val="20"/>
          <w:lang w:val="fr-FR"/>
        </w:rPr>
        <w:t xml:space="preserve">, BP R4, 98851 </w:t>
      </w:r>
      <w:r>
        <w:rPr>
          <w:sz w:val="20"/>
          <w:szCs w:val="20"/>
          <w:lang w:val="fr-FR"/>
        </w:rPr>
        <w:t>N</w:t>
      </w:r>
      <w:r w:rsidRPr="00455421">
        <w:rPr>
          <w:sz w:val="20"/>
          <w:szCs w:val="20"/>
          <w:lang w:val="fr-FR"/>
        </w:rPr>
        <w:t>ouméa cedex</w:t>
      </w:r>
      <w:bookmarkStart w:id="0" w:name="_GoBack"/>
      <w:bookmarkEnd w:id="0"/>
    </w:p>
    <w:p w14:paraId="5B3E6CF7" w14:textId="77777777" w:rsidR="00F441E3" w:rsidRDefault="00F441E3" w:rsidP="003B41AE">
      <w:pPr>
        <w:spacing w:after="0" w:line="240" w:lineRule="auto"/>
        <w:rPr>
          <w:sz w:val="20"/>
          <w:szCs w:val="20"/>
          <w:lang w:val="fr-FR"/>
        </w:rPr>
      </w:pPr>
    </w:p>
    <w:p w14:paraId="7EA1CEFC" w14:textId="77777777" w:rsidR="00F441E3" w:rsidRPr="00DC0F5E" w:rsidRDefault="00F441E3" w:rsidP="00F441E3">
      <w:pPr>
        <w:spacing w:after="0" w:line="240" w:lineRule="auto"/>
        <w:jc w:val="left"/>
        <w:rPr>
          <w:rFonts w:cstheme="minorHAnsi"/>
          <w:sz w:val="20"/>
          <w:szCs w:val="20"/>
          <w:u w:val="single"/>
        </w:rPr>
      </w:pPr>
      <w:r w:rsidRPr="00DC0F5E">
        <w:rPr>
          <w:rFonts w:cstheme="minorHAnsi"/>
          <w:sz w:val="20"/>
          <w:szCs w:val="20"/>
          <w:u w:val="single"/>
        </w:rPr>
        <w:t>Corresponding author:</w:t>
      </w:r>
    </w:p>
    <w:p w14:paraId="208E8645" w14:textId="77777777" w:rsidR="00F441E3" w:rsidRPr="00DC0F5E" w:rsidRDefault="00F441E3" w:rsidP="00F441E3">
      <w:pPr>
        <w:spacing w:after="0" w:line="240" w:lineRule="auto"/>
        <w:jc w:val="left"/>
        <w:rPr>
          <w:rFonts w:cstheme="minorHAnsi"/>
          <w:spacing w:val="2"/>
          <w:sz w:val="20"/>
          <w:shd w:val="clear" w:color="auto" w:fill="FFFFFF"/>
        </w:rPr>
      </w:pPr>
      <w:r w:rsidRPr="00DC0F5E">
        <w:rPr>
          <w:rFonts w:cstheme="minorHAnsi"/>
          <w:spacing w:val="2"/>
          <w:sz w:val="20"/>
          <w:shd w:val="clear" w:color="auto" w:fill="FFFFFF"/>
        </w:rPr>
        <w:t>Andreas Ravache: andreas.ravache@ird.fr</w:t>
      </w:r>
    </w:p>
    <w:p w14:paraId="6FD94E68" w14:textId="77777777" w:rsidR="00F441E3" w:rsidRPr="00F441E3" w:rsidRDefault="00F441E3" w:rsidP="003B41AE">
      <w:pPr>
        <w:spacing w:after="0" w:line="240" w:lineRule="auto"/>
        <w:rPr>
          <w:sz w:val="20"/>
          <w:szCs w:val="20"/>
        </w:rPr>
      </w:pPr>
    </w:p>
    <w:p w14:paraId="487BE1FD" w14:textId="2E2F020C" w:rsidR="003B41AE" w:rsidRPr="00F441E3" w:rsidRDefault="003B41AE">
      <w:pPr>
        <w:spacing w:line="259" w:lineRule="auto"/>
        <w:jc w:val="left"/>
        <w:rPr>
          <w:rFonts w:asciiTheme="majorHAnsi" w:eastAsiaTheme="majorEastAsia" w:hAnsiTheme="majorHAnsi" w:cstheme="majorBidi"/>
          <w:b/>
          <w:color w:val="000000" w:themeColor="text1"/>
          <w:sz w:val="26"/>
          <w:szCs w:val="26"/>
        </w:rPr>
      </w:pPr>
      <w:r w:rsidRPr="00F441E3">
        <w:br w:type="page"/>
      </w:r>
    </w:p>
    <w:p w14:paraId="601718F0" w14:textId="77777777" w:rsidR="00D93113" w:rsidRDefault="00D93113" w:rsidP="00D93113">
      <w:pPr>
        <w:pStyle w:val="Titre2"/>
        <w:spacing w:line="480" w:lineRule="auto"/>
        <w:rPr>
          <w:lang w:val="en-US"/>
        </w:rPr>
      </w:pPr>
      <w:r>
        <w:rPr>
          <w:lang w:val="en-US"/>
        </w:rPr>
        <w:lastRenderedPageBreak/>
        <w:t xml:space="preserve">DNA metabarcoding </w:t>
      </w:r>
    </w:p>
    <w:p w14:paraId="712486A0" w14:textId="77777777" w:rsidR="001661AE" w:rsidRPr="0067145E" w:rsidRDefault="001661AE" w:rsidP="001661AE">
      <w:pPr>
        <w:spacing w:line="480" w:lineRule="auto"/>
        <w:rPr>
          <w:lang w:val="en-US"/>
        </w:rPr>
      </w:pPr>
      <w:r w:rsidRPr="0067145E">
        <w:rPr>
          <w:lang w:val="en-US"/>
        </w:rPr>
        <w:t xml:space="preserve">Regurgitate samples (n = 9) were centrifuged at 7000 rpm for 10 minutes to pellet all the material. The supernatant was removed and the pellet was used for further DNA extraction using a modified </w:t>
      </w:r>
      <w:proofErr w:type="spellStart"/>
      <w:r w:rsidRPr="0067145E">
        <w:rPr>
          <w:lang w:val="en-US"/>
        </w:rPr>
        <w:t>Qiagen</w:t>
      </w:r>
      <w:proofErr w:type="spellEnd"/>
      <w:r w:rsidRPr="0067145E">
        <w:rPr>
          <w:lang w:val="en-US"/>
        </w:rPr>
        <w:t xml:space="preserve"> </w:t>
      </w:r>
      <w:proofErr w:type="spellStart"/>
      <w:r w:rsidRPr="0067145E">
        <w:rPr>
          <w:lang w:val="en-US"/>
        </w:rPr>
        <w:t>DNeasy</w:t>
      </w:r>
      <w:proofErr w:type="spellEnd"/>
      <w:r w:rsidRPr="0067145E">
        <w:rPr>
          <w:lang w:val="en-US"/>
        </w:rPr>
        <w:t xml:space="preserve"> Blood &amp; Tissue protocol. Proteinase K (60 </w:t>
      </w:r>
      <w:r w:rsidRPr="0067145E">
        <w:rPr>
          <w:rFonts w:cstheme="minorHAnsi"/>
          <w:lang w:val="en-US"/>
        </w:rPr>
        <w:t>µ</w:t>
      </w:r>
      <w:r w:rsidRPr="0067145E">
        <w:rPr>
          <w:lang w:val="en-US"/>
        </w:rPr>
        <w:t xml:space="preserve">L) and buffer ATL (560 </w:t>
      </w:r>
      <w:r w:rsidRPr="0067145E">
        <w:rPr>
          <w:rFonts w:cstheme="minorHAnsi"/>
          <w:lang w:val="en-US"/>
        </w:rPr>
        <w:t>µ</w:t>
      </w:r>
      <w:r w:rsidRPr="0067145E">
        <w:rPr>
          <w:lang w:val="en-US"/>
        </w:rPr>
        <w:t>L) were added to the pellet and samples were incubated at 56</w:t>
      </w:r>
      <w:r w:rsidRPr="0067145E">
        <w:rPr>
          <w:rFonts w:cstheme="minorHAnsi"/>
          <w:lang w:val="en-US"/>
        </w:rPr>
        <w:t>°</w:t>
      </w:r>
      <w:r w:rsidRPr="0067145E">
        <w:rPr>
          <w:lang w:val="en-US"/>
        </w:rPr>
        <w:t xml:space="preserve">C for one hour. After digestion, 560 </w:t>
      </w:r>
      <w:r w:rsidRPr="0067145E">
        <w:rPr>
          <w:rFonts w:cstheme="minorHAnsi"/>
          <w:lang w:val="en-US"/>
        </w:rPr>
        <w:t>µ</w:t>
      </w:r>
      <w:r w:rsidRPr="0067145E">
        <w:rPr>
          <w:lang w:val="en-US"/>
        </w:rPr>
        <w:t>L of buffer AL was added to the samples after which the manufacturer’s protocol was followed. For each batch extractions a negative control was included to test for potential cross-contamination.</w:t>
      </w:r>
    </w:p>
    <w:p w14:paraId="214DA75B" w14:textId="4A6DCCCB" w:rsidR="001661AE" w:rsidRPr="0067145E" w:rsidRDefault="001661AE" w:rsidP="001661AE">
      <w:pPr>
        <w:spacing w:line="480" w:lineRule="auto"/>
        <w:rPr>
          <w:lang w:val="en-US"/>
        </w:rPr>
      </w:pPr>
      <w:r w:rsidRPr="0067145E">
        <w:rPr>
          <w:lang w:val="en-US"/>
        </w:rPr>
        <w:t>DNA extracts from the regurgitate samples or negative extraction controls were first screened for PCR inhibition or for the presence of potential contaminant DNA, respectively. A SYBR®-green Real-Time PCR assay and fish specific metabarcoding primers (i.e. MiFish-U</w:t>
      </w:r>
      <w:r w:rsidR="0067145E" w:rsidRPr="0067145E">
        <w:rPr>
          <w:lang w:val="en-US"/>
        </w:rPr>
        <w:fldChar w:fldCharType="begin" w:fldLock="1"/>
      </w:r>
      <w:r w:rsidR="0067145E" w:rsidRPr="0067145E">
        <w:rPr>
          <w:lang w:val="en-US"/>
        </w:rPr>
        <w:instrText>ADDIN CSL_CITATION {"citationItems":[{"id":"ITEM-1","itemData":{"DOI":"https://doi.org/10.1098/rsos.150088","author":[{"dropping-particle":"","family":"Miya","given":"M.","non-dropping-particle":"","parse-names":false,"suffix":""},{"dropping-particle":"","family":"Sato","given":"Y.","non-dropping-particle":"","parse-names":false,"suffix":""},{"dropping-particle":"","family":"Fukunaga","given":"T.","non-dropping-particle":"","parse-names":false,"suffix":""},{"dropping-particle":"","family":"Sado","given":"T.","non-dropping-particle":"","parse-names":false,"suffix":""},{"dropping-particle":"","family":"Poulsen","given":"J.Y.","non-dropping-particle":"","parse-names":false,"suffix":""},{"dropping-particle":"","family":"Sato","given":"K.","non-dropping-particle":"","parse-names":false,"suffix":""},{"dropping-particle":"","family":"Minamoto","given":"T.","non-dropping-particle":"","parse-names":false,"suffix":""},{"dropping-particle":"","family":"Yamamoto","given":"S.","non-dropping-particle":"","parse-names":false,"suffix":""},{"dropping-particle":"","family":"Yamanaka","given":"H.","non-dropping-particle":"","parse-names":false,"suffix":""},{"dropping-particle":"","family":"Araki","given":"H.","non-dropping-particle":"","parse-names":false,"suffix":""},{"dropping-particle":"","family":"Kondoh","given":"M.","non-dropping-particle":"","parse-names":false,"suffix":""},{"dropping-particle":"","family":"Iwasaki","given":"W.","non-dropping-particle":"","parse-names":false,"suffix":""}],"container-title":"Royal Society Open Science","id":"ITEM-1","issued":{"date-parts":[["2015"]]},"page":"150088","title":"MiFish , a set of universal PCR primers for metabarcoding environmental DNA from fishes : detection of more than 230 subtropical marine species","type":"article-journal","volume":"2"},"uris":["http://www.mendeley.com/documents/?uuid=7cdcba83-16f2-4c71-8d99-632f02c3638b"]}],"mendeley":{"formattedCitation":"&lt;sup&gt;1&lt;/sup&gt;","plainTextFormattedCitation":"1","previouslyFormattedCitation":"&lt;sup&gt;1&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1</w:t>
      </w:r>
      <w:r w:rsidR="0067145E" w:rsidRPr="0067145E">
        <w:rPr>
          <w:lang w:val="en-US"/>
        </w:rPr>
        <w:fldChar w:fldCharType="end"/>
      </w:r>
      <w:r w:rsidRPr="0067145E">
        <w:rPr>
          <w:lang w:val="en-US"/>
        </w:rPr>
        <w:t xml:space="preserve">) were used for this initial screening. For all regurgitate samples a 1:10 dilution of the DNA extracts was obtained and a single PCR replicate was run for each sample by dilution (neat and 1:10) combination. For all negative controls a total of three PCR replicates were performed for each undiluted DNA extract to assess the presence of potential contaminant DNA. The chemical constitution of the PCR reactions is consistent with </w:t>
      </w:r>
      <w:proofErr w:type="spellStart"/>
      <w:r w:rsidR="0067145E" w:rsidRPr="0067145E">
        <w:rPr>
          <w:lang w:val="en-US"/>
        </w:rPr>
        <w:t>Bylemans</w:t>
      </w:r>
      <w:proofErr w:type="spellEnd"/>
      <w:r w:rsidR="0067145E" w:rsidRPr="0067145E">
        <w:rPr>
          <w:lang w:val="en-US"/>
        </w:rPr>
        <w:t xml:space="preserve"> et al.</w:t>
      </w:r>
      <w:r w:rsidR="0067145E" w:rsidRPr="0067145E">
        <w:rPr>
          <w:lang w:val="en-US"/>
        </w:rPr>
        <w:fldChar w:fldCharType="begin" w:fldLock="1"/>
      </w:r>
      <w:r w:rsidR="0067145E" w:rsidRPr="0067145E">
        <w:rPr>
          <w:lang w:val="en-US"/>
        </w:rPr>
        <w:instrText>ADDIN CSL_CITATION {"citationItems":[{"id":"ITEM-1","itemData":{"DOI":"10.1002/ece3.4387","ISSN":"20457758","abstract":"High-throughput sequencing of environmental DNA (i.e., eDNA metabarcoding) has become an increasingly popular method for monitoring aquatic biodiversity. At present, such analyses require target-specific primers to amplify DNA barcodes from co-occurring species, and this initial amplification can introduce biases. Understanding the performance of different primers is thus recommended prior to undertaking any metabarcoding initiative. While multiple software programs are available to evaluate metabarcoding primers, all programs have their own strengths and weaknesses. Therefore, a robust in silico workflow for the evaluation of metabarcoding primers will benefit from the use of multiple programs. Furthermore, geographic differences in species biodiversity are likely to influence the performance of metabarcoding primers and further complicate the evaluation process. Here, an in silico workflow is presented that can be used to evaluate the performance of metabarcoding primers on an ecoregion scale. This workflow was used to evaluate the performance of published and newly developed eDNA metabarcoding primers for the freshwater fish biodiversity of the Murray–Darling Basin (Australia). To validate the in silico workflow, a subset of the primers, including one newly designed primer pair, were used in metabarcoding analyses of an artificial DNA community and eDNA samples. The results show that the in silico workflow allows for a robust evaluation of metabarcoding primers and can reveal important trade-offs that need to be considered when selecting the most suitable primer. Additionally, a new primer pair was described and validated that allows for more robust taxonomic assignments and is less influenced by primer biases compared to commonly used fish metabarcoding primers.","author":[{"dropping-particle":"","family":"Bylemans","given":"Jonas","non-dropping-particle":"","parse-names":false,"suffix":""},{"dropping-particle":"","family":"Gleeson","given":"Dianne M.","non-dropping-particle":"","parse-names":false,"suffix":""},{"dropping-particle":"","family":"Hardy","given":"Christopher M.","non-dropping-particle":"","parse-names":false,"suffix":""},{"dropping-particle":"","family":"Furlan","given":"Elise","non-dropping-particle":"","parse-names":false,"suffix":""}],"container-title":"Ecology and Evolution","id":"ITEM-1","issue":"17","issued":{"date-parts":[["2018"]]},"page":"8697-8712","title":"Toward an ecoregion scale evaluation of eDNA metabarcoding primers: A case study for the freshwater fish biodiversity of the Murray–Darling Basin (Australia)","type":"article-journal","volume":"8"},"uris":["http://www.mendeley.com/documents/?uuid=0a34a4cb-c526-4cdd-8e87-ddfe2f257dcd"]}],"mendeley":{"formattedCitation":"&lt;sup&gt;2&lt;/sup&gt;","plainTextFormattedCitation":"2","previouslyFormattedCitation":"&lt;sup&gt;2&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2</w:t>
      </w:r>
      <w:r w:rsidR="0067145E" w:rsidRPr="0067145E">
        <w:rPr>
          <w:lang w:val="en-US"/>
        </w:rPr>
        <w:fldChar w:fldCharType="end"/>
      </w:r>
      <w:r w:rsidRPr="0067145E">
        <w:rPr>
          <w:lang w:val="en-US"/>
        </w:rPr>
        <w:t xml:space="preserve"> and reactions were run on a </w:t>
      </w:r>
      <w:proofErr w:type="spellStart"/>
      <w:r w:rsidRPr="0067145E">
        <w:rPr>
          <w:lang w:val="en-US"/>
        </w:rPr>
        <w:t>BioRad</w:t>
      </w:r>
      <w:proofErr w:type="spellEnd"/>
      <w:r w:rsidRPr="0067145E">
        <w:rPr>
          <w:lang w:val="en-US"/>
        </w:rPr>
        <w:t xml:space="preserve"> CFX96 Real-Time PCR system. Thermal cycling conditions consisted of 5 min at 95°C; 50 3-step cycles of 30 sec at 95°C, 30 sec at </w:t>
      </w:r>
      <w:r w:rsidRPr="0067145E">
        <w:t>61.5</w:t>
      </w:r>
      <w:r w:rsidRPr="0067145E">
        <w:rPr>
          <w:rFonts w:cstheme="minorHAnsi"/>
        </w:rPr>
        <w:t>°</w:t>
      </w:r>
      <w:r w:rsidRPr="0067145E">
        <w:rPr>
          <w:rFonts w:cstheme="majorHAnsi"/>
        </w:rPr>
        <w:t>C</w:t>
      </w:r>
      <w:r w:rsidRPr="0067145E">
        <w:rPr>
          <w:lang w:val="en-US"/>
        </w:rPr>
        <w:t xml:space="preserve"> and 1 min at 72°C; a final extension of 10 min at 72°C and a melting curve with a continuous increase of 0.05°C/sec from 60°C to 95°C. The optimal working solution for the regurgitate samples (i.e. neat or the 1:10 dilution) was determined based on the observed shifts in Ct-values, the shape of the amplification curve and the melt-curves. When positive amplification was observed in the negative extraction controls, those samples were included in the library construction for High-Throughput Sequencing (HTS).</w:t>
      </w:r>
    </w:p>
    <w:p w14:paraId="3B1A1205" w14:textId="429DF929" w:rsidR="001661AE" w:rsidRPr="0067145E" w:rsidRDefault="001661AE" w:rsidP="001661AE">
      <w:pPr>
        <w:spacing w:line="480" w:lineRule="auto"/>
        <w:rPr>
          <w:lang w:val="en-US"/>
        </w:rPr>
      </w:pPr>
      <w:r w:rsidRPr="0067145E">
        <w:rPr>
          <w:lang w:val="en-US"/>
        </w:rPr>
        <w:lastRenderedPageBreak/>
        <w:t>Library construction for HTS used a one-step PCR amplification protocol with fusion tagged primers to simultaneously amplify the barcoding region and add technical sequences for HTS (i.e. sequencing primers and adaptors). For each sample sequencing libraries were constructed using fish (MiFish-U</w:t>
      </w:r>
      <w:r w:rsidR="0067145E" w:rsidRPr="0067145E">
        <w:rPr>
          <w:lang w:val="en-US"/>
        </w:rPr>
        <w:fldChar w:fldCharType="begin" w:fldLock="1"/>
      </w:r>
      <w:r w:rsidR="0067145E" w:rsidRPr="0067145E">
        <w:rPr>
          <w:lang w:val="en-US"/>
        </w:rPr>
        <w:instrText>ADDIN CSL_CITATION {"citationItems":[{"id":"ITEM-1","itemData":{"DOI":"https://doi.org/10.1098/rsos.150088","author":[{"dropping-particle":"","family":"Miya","given":"M.","non-dropping-particle":"","parse-names":false,"suffix":""},{"dropping-particle":"","family":"Sato","given":"Y.","non-dropping-particle":"","parse-names":false,"suffix":""},{"dropping-particle":"","family":"Fukunaga","given":"T.","non-dropping-particle":"","parse-names":false,"suffix":""},{"dropping-particle":"","family":"Sado","given":"T.","non-dropping-particle":"","parse-names":false,"suffix":""},{"dropping-particle":"","family":"Poulsen","given":"J.Y.","non-dropping-particle":"","parse-names":false,"suffix":""},{"dropping-particle":"","family":"Sato","given":"K.","non-dropping-particle":"","parse-names":false,"suffix":""},{"dropping-particle":"","family":"Minamoto","given":"T.","non-dropping-particle":"","parse-names":false,"suffix":""},{"dropping-particle":"","family":"Yamamoto","given":"S.","non-dropping-particle":"","parse-names":false,"suffix":""},{"dropping-particle":"","family":"Yamanaka","given":"H.","non-dropping-particle":"","parse-names":false,"suffix":""},{"dropping-particle":"","family":"Araki","given":"H.","non-dropping-particle":"","parse-names":false,"suffix":""},{"dropping-particle":"","family":"Kondoh","given":"M.","non-dropping-particle":"","parse-names":false,"suffix":""},{"dropping-particle":"","family":"Iwasaki","given":"W.","non-dropping-particle":"","parse-names":false,"suffix":""}],"container-title":"Royal Society Open Science","id":"ITEM-1","issued":{"date-parts":[["2015"]]},"page":"150088","title":"MiFish , a set of universal PCR primers for metabarcoding environmental DNA from fishes : detection of more than 230 subtropical marine species","type":"article-journal","volume":"2"},"uris":["http://www.mendeley.com/documents/?uuid=7cdcba83-16f2-4c71-8d99-632f02c3638b"]}],"mendeley":{"formattedCitation":"&lt;sup&gt;1&lt;/sup&gt;","plainTextFormattedCitation":"1","previouslyFormattedCitation":"&lt;sup&gt;1&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1</w:t>
      </w:r>
      <w:r w:rsidR="0067145E" w:rsidRPr="0067145E">
        <w:rPr>
          <w:lang w:val="en-US"/>
        </w:rPr>
        <w:fldChar w:fldCharType="end"/>
      </w:r>
      <w:r w:rsidRPr="0067145E">
        <w:rPr>
          <w:lang w:val="en-US"/>
        </w:rPr>
        <w:t>), cephalopod (CephMLS</w:t>
      </w:r>
      <w:r w:rsidR="0067145E" w:rsidRPr="0067145E">
        <w:rPr>
          <w:lang w:val="en-US"/>
        </w:rPr>
        <w:fldChar w:fldCharType="begin" w:fldLock="1"/>
      </w:r>
      <w:r w:rsidR="0067145E" w:rsidRPr="0067145E">
        <w:rPr>
          <w:lang w:val="en-US"/>
        </w:rPr>
        <w:instrText>ADDIN CSL_CITATION {"citationItems":[{"id":"ITEM-1","itemData":{"DOI":"https://doi.org/10.1111/j.1471-8286.2005.01172.x","author":[{"dropping-particle":"","family":"Jarman","given":"S.N.","non-dropping-particle":"","parse-names":false,"suffix":""},{"dropping-particle":"","family":"Redd","given":"K.S.","non-dropping-particle":"","parse-names":false,"suffix":""},{"dropping-particle":"","family":"Gales","given":"N.J.","non-dropping-particle":"","parse-names":false,"suffix":""}],"container-title":"Molecular Ecology Notes","id":"ITEM-1","issued":{"date-parts":[["2006"]]},"page":"268-271","title":"Group-specific primers for amplifying DNA sequences that identify Amphipoda, Cephalopoda, Echinodermata, Gastropoda, Isopoda, Ostracoda and Thoracica","type":"article-journal","volume":"6"},"uris":["http://www.mendeley.com/documents/?uuid=e74f5f7b-5aa6-4455-8fb8-684d3d87f1f2"]}],"mendeley":{"formattedCitation":"&lt;sup&gt;3&lt;/sup&gt;","plainTextFormattedCitation":"3","previouslyFormattedCitation":"&lt;sup&gt;3&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3</w:t>
      </w:r>
      <w:r w:rsidR="0067145E" w:rsidRPr="0067145E">
        <w:rPr>
          <w:lang w:val="en-US"/>
        </w:rPr>
        <w:fldChar w:fldCharType="end"/>
      </w:r>
      <w:r w:rsidRPr="0067145E">
        <w:rPr>
          <w:lang w:val="en-US"/>
        </w:rPr>
        <w:t>) and crustacean (CrustMLS</w:t>
      </w:r>
      <w:r w:rsidR="0067145E" w:rsidRPr="0067145E">
        <w:rPr>
          <w:lang w:val="en-US"/>
        </w:rPr>
        <w:fldChar w:fldCharType="begin" w:fldLock="1"/>
      </w:r>
      <w:r w:rsidR="0067145E" w:rsidRPr="0067145E">
        <w:rPr>
          <w:lang w:val="en-US"/>
        </w:rPr>
        <w:instrText>ADDIN CSL_CITATION {"citationItems":[{"id":"ITEM-1","itemData":{"author":[{"dropping-particle":"","family":"Braley","given":"M.","non-dropping-particle":"","parse-names":false,"suffix":""},{"dropping-particle":"","family":"Goldsworthy","given":"S. D.","non-dropping-particle":"","parse-names":false,"suffix":""},{"dropping-particle":"","family":"Page","given":"B.","non-dropping-particle":"","parse-names":false,"suffix":""},{"dropping-particle":"","family":"Steer","given":"M.","non-dropping-particle":"","parse-names":false,"suffix":""},{"dropping-particle":"","family":"Austin","given":"J. J.","non-dropping-particle":"","parse-names":false,"suffix":""}],"container-title":"Molecular Ecology Resources","id":"ITEM-1","issue":"3","issued":{"date-parts":[["2010"]]},"note":"reference for CursMLS (DNA metabarcoding)","page":"466-474","title":"Assessing morphological and DNA‐based diet analysis techniques in a generalist predator, the arrow squid Nototodarus gouldi.","type":"article-journal","volume":"10"},"uris":["http://www.mendeley.com/documents/?uuid=51c5e110-17f3-4c31-b748-93216d4d1f55"]}],"mendeley":{"formattedCitation":"&lt;sup&gt;4&lt;/sup&gt;","plainTextFormattedCitation":"4","previouslyFormattedCitation":"&lt;sup&gt;4&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4</w:t>
      </w:r>
      <w:r w:rsidR="0067145E" w:rsidRPr="0067145E">
        <w:rPr>
          <w:lang w:val="en-US"/>
        </w:rPr>
        <w:fldChar w:fldCharType="end"/>
      </w:r>
      <w:r w:rsidR="0067145E" w:rsidRPr="0067145E">
        <w:rPr>
          <w:lang w:val="en-US"/>
        </w:rPr>
        <w:t>) specific primers.</w:t>
      </w:r>
      <w:r w:rsidRPr="0067145E">
        <w:rPr>
          <w:lang w:val="en-US"/>
        </w:rPr>
        <w:t xml:space="preserve"> Unique combinations of both forward and reverse 7 </w:t>
      </w:r>
      <w:proofErr w:type="spellStart"/>
      <w:r w:rsidRPr="0067145E">
        <w:rPr>
          <w:lang w:val="en-US"/>
        </w:rPr>
        <w:t>bp</w:t>
      </w:r>
      <w:proofErr w:type="spellEnd"/>
      <w:r w:rsidRPr="0067145E">
        <w:rPr>
          <w:lang w:val="en-US"/>
        </w:rPr>
        <w:t xml:space="preserve"> Multiplex Identification (MID-) tag were used to uniquely label PCR amplicons from each sample. Triplicate PCR reactions were run for each sample by primer combination using the reaction conditions described previously</w:t>
      </w:r>
      <w:r w:rsidR="0067145E" w:rsidRPr="0067145E">
        <w:rPr>
          <w:lang w:val="en-US"/>
        </w:rPr>
        <w:fldChar w:fldCharType="begin" w:fldLock="1"/>
      </w:r>
      <w:r w:rsidR="0067145E" w:rsidRPr="0067145E">
        <w:rPr>
          <w:lang w:val="en-US"/>
        </w:rPr>
        <w:instrText>ADDIN CSL_CITATION {"citationItems":[{"id":"ITEM-1","itemData":{"DOI":"10.1002/ece3.4387","ISSN":"20457758","abstract":"High-throughput sequencing of environmental DNA (i.e., eDNA metabarcoding) has become an increasingly popular method for monitoring aquatic biodiversity. At present, such analyses require target-specific primers to amplify DNA barcodes from co-occurring species, and this initial amplification can introduce biases. Understanding the performance of different primers is thus recommended prior to undertaking any metabarcoding initiative. While multiple software programs are available to evaluate metabarcoding primers, all programs have their own strengths and weaknesses. Therefore, a robust in silico workflow for the evaluation of metabarcoding primers will benefit from the use of multiple programs. Furthermore, geographic differences in species biodiversity are likely to influence the performance of metabarcoding primers and further complicate the evaluation process. Here, an in silico workflow is presented that can be used to evaluate the performance of metabarcoding primers on an ecoregion scale. This workflow was used to evaluate the performance of published and newly developed eDNA metabarcoding primers for the freshwater fish biodiversity of the Murray–Darling Basin (Australia). To validate the in silico workflow, a subset of the primers, including one newly designed primer pair, were used in metabarcoding analyses of an artificial DNA community and eDNA samples. The results show that the in silico workflow allows for a robust evaluation of metabarcoding primers and can reveal important trade-offs that need to be considered when selecting the most suitable primer. Additionally, a new primer pair was described and validated that allows for more robust taxonomic assignments and is less influenced by primer biases compared to commonly used fish metabarcoding primers.","author":[{"dropping-particle":"","family":"Bylemans","given":"Jonas","non-dropping-particle":"","parse-names":false,"suffix":""},{"dropping-particle":"","family":"Gleeson","given":"Dianne M.","non-dropping-particle":"","parse-names":false,"suffix":""},{"dropping-particle":"","family":"Hardy","given":"Christopher M.","non-dropping-particle":"","parse-names":false,"suffix":""},{"dropping-particle":"","family":"Furlan","given":"Elise","non-dropping-particle":"","parse-names":false,"suffix":""}],"container-title":"Ecology and Evolution","id":"ITEM-1","issue":"17","issued":{"date-parts":[["2018"]]},"page":"8697-8712","title":"Toward an ecoregion scale evaluation of eDNA metabarcoding primers: A case study for the freshwater fish biodiversity of the Murray–Darling Basin (Australia)","type":"article-journal","volume":"8"},"uris":["http://www.mendeley.com/documents/?uuid=0a34a4cb-c526-4cdd-8e87-ddfe2f257dcd"]}],"mendeley":{"formattedCitation":"&lt;sup&gt;2&lt;/sup&gt;","plainTextFormattedCitation":"2","previouslyFormattedCitation":"&lt;sup&gt;2&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2</w:t>
      </w:r>
      <w:r w:rsidR="0067145E" w:rsidRPr="0067145E">
        <w:rPr>
          <w:lang w:val="en-US"/>
        </w:rPr>
        <w:fldChar w:fldCharType="end"/>
      </w:r>
      <w:r w:rsidRPr="0067145E">
        <w:rPr>
          <w:lang w:val="en-US"/>
        </w:rPr>
        <w:t xml:space="preserve"> and the above described thermal cycling profile adjusted for the primer specific annealing temperatures (i.e. 61.5°C for </w:t>
      </w:r>
      <w:proofErr w:type="spellStart"/>
      <w:r w:rsidRPr="0067145E">
        <w:rPr>
          <w:lang w:val="en-US"/>
        </w:rPr>
        <w:t>MiFish</w:t>
      </w:r>
      <w:proofErr w:type="spellEnd"/>
      <w:r w:rsidRPr="0067145E">
        <w:rPr>
          <w:lang w:val="en-US"/>
        </w:rPr>
        <w:t xml:space="preserve">-U, 52°C for </w:t>
      </w:r>
      <w:proofErr w:type="spellStart"/>
      <w:r w:rsidRPr="0067145E">
        <w:rPr>
          <w:lang w:val="en-US"/>
        </w:rPr>
        <w:t>CephMLS</w:t>
      </w:r>
      <w:proofErr w:type="spellEnd"/>
      <w:r w:rsidRPr="0067145E">
        <w:rPr>
          <w:lang w:val="en-US"/>
        </w:rPr>
        <w:t xml:space="preserve"> and 49°C for </w:t>
      </w:r>
      <w:proofErr w:type="spellStart"/>
      <w:r w:rsidRPr="0067145E">
        <w:rPr>
          <w:lang w:val="en-US"/>
        </w:rPr>
        <w:t>CrustMLS</w:t>
      </w:r>
      <w:proofErr w:type="spellEnd"/>
      <w:r w:rsidRPr="0067145E">
        <w:rPr>
          <w:lang w:val="en-US"/>
        </w:rPr>
        <w:t xml:space="preserve">). For each primer pair, amplicon libraries from 11-12 samples were subsequently pooled based on their average Ct-values. The volumes used to construct amplicon pools were determined based on the total number of positive PCR replicates per sample to ensure an equal representation of the amplicons from each sample. Amplicon library pools were cleaned using </w:t>
      </w:r>
      <w:proofErr w:type="spellStart"/>
      <w:r w:rsidRPr="0067145E">
        <w:rPr>
          <w:lang w:val="en-US"/>
        </w:rPr>
        <w:t>Agencourt</w:t>
      </w:r>
      <w:proofErr w:type="spellEnd"/>
      <w:r w:rsidRPr="0067145E">
        <w:rPr>
          <w:lang w:val="en-US"/>
        </w:rPr>
        <w:t xml:space="preserve"> </w:t>
      </w:r>
      <w:proofErr w:type="spellStart"/>
      <w:r w:rsidRPr="0067145E">
        <w:rPr>
          <w:lang w:val="en-US"/>
        </w:rPr>
        <w:t>AMPure</w:t>
      </w:r>
      <w:proofErr w:type="spellEnd"/>
      <w:r w:rsidRPr="0067145E">
        <w:rPr>
          <w:lang w:val="en-US"/>
        </w:rPr>
        <w:t xml:space="preserve"> XP Beads in a 1:1 volume ratio and amplicon concentrations for each pool were determined using a Qubit HS Assay. Next, a single amplicon library was constructed for each primer pair by combining equal amounts of amplicons from each pool. A final clean-up step was conducted for the three libraries and amplicon concentrations were determined as described previously. Finally, amplicons obtained from the three primer pairs were combined into a single library taking into consideration the numbers of samples for which libraries were constructed, the library concentrations and the expected length of each amplicon library. The final library was sent to the </w:t>
      </w:r>
      <w:proofErr w:type="spellStart"/>
      <w:r w:rsidRPr="0067145E">
        <w:rPr>
          <w:lang w:val="en-US"/>
        </w:rPr>
        <w:t>Ramaciotti</w:t>
      </w:r>
      <w:proofErr w:type="spellEnd"/>
      <w:r w:rsidRPr="0067145E">
        <w:rPr>
          <w:lang w:val="en-US"/>
        </w:rPr>
        <w:t xml:space="preserve"> Centre for Genomics for paired-end sequencing on the </w:t>
      </w:r>
      <w:proofErr w:type="spellStart"/>
      <w:r w:rsidRPr="0067145E">
        <w:rPr>
          <w:lang w:val="en-US"/>
        </w:rPr>
        <w:t>MiSeq</w:t>
      </w:r>
      <w:proofErr w:type="spellEnd"/>
      <w:r w:rsidRPr="0067145E">
        <w:rPr>
          <w:lang w:val="en-US"/>
        </w:rPr>
        <w:t xml:space="preserve"> platform using the v2 2x300bp sequencing kit to obtain approximately 50,000-60,000 reads for each sample by primer combination.</w:t>
      </w:r>
    </w:p>
    <w:p w14:paraId="723219FD" w14:textId="4BD1117C" w:rsidR="00D93113" w:rsidRDefault="001661AE" w:rsidP="001661AE">
      <w:pPr>
        <w:spacing w:line="480" w:lineRule="auto"/>
        <w:rPr>
          <w:lang w:val="en-US"/>
        </w:rPr>
      </w:pPr>
      <w:r w:rsidRPr="0067145E">
        <w:rPr>
          <w:lang w:val="en-US"/>
        </w:rPr>
        <w:lastRenderedPageBreak/>
        <w:t>After HTS, the sequencing adaptors and sequencing primers were trimmed from the reads using Trimmomatic</w:t>
      </w:r>
      <w:r w:rsidR="0067145E" w:rsidRPr="0067145E">
        <w:rPr>
          <w:lang w:val="en-US"/>
        </w:rPr>
        <w:fldChar w:fldCharType="begin" w:fldLock="1"/>
      </w:r>
      <w:r w:rsidR="0067145E" w:rsidRPr="0067145E">
        <w:rPr>
          <w:lang w:val="en-US"/>
        </w:rPr>
        <w:instrText>ADDIN CSL_CITATION {"citationItems":[{"id":"ITEM-1","itemData":{"author":[{"dropping-particle":"","family":"Bolger","given":"A. M.","non-dropping-particle":"","parse-names":false,"suffix":""},{"dropping-particle":"","family":"Lohse","given":"M.","non-dropping-particle":"","parse-names":false,"suffix":""},{"dropping-particle":"","family":"Usadel","given":"B.","non-dropping-particle":"","parse-names":false,"suffix":""}],"container-title":"Bioinformatics","id":"ITEM-1","issue":"15","issued":{"date-parts":[["2014"]]},"note":"ref package trimmomatic","page":"2114-2120","title":"Trimmomatic: a flexible trimmer for Illumina sequence data","type":"article-journal","volume":"30"},"uris":["http://www.mendeley.com/documents/?uuid=681c5ffd-346e-4c71-bb24-a4f3d318615b"]}],"mendeley":{"formattedCitation":"&lt;sup&gt;5&lt;/sup&gt;","plainTextFormattedCitation":"5","previouslyFormattedCitation":"&lt;sup&gt;5&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5</w:t>
      </w:r>
      <w:r w:rsidR="0067145E" w:rsidRPr="0067145E">
        <w:rPr>
          <w:lang w:val="en-US"/>
        </w:rPr>
        <w:fldChar w:fldCharType="end"/>
      </w:r>
      <w:r w:rsidR="0067145E" w:rsidRPr="0067145E">
        <w:rPr>
          <w:lang w:val="en-US"/>
        </w:rPr>
        <w:t xml:space="preserve"> v.0.36.</w:t>
      </w:r>
      <w:r w:rsidRPr="0067145E">
        <w:rPr>
          <w:lang w:val="en-US"/>
        </w:rPr>
        <w:t xml:space="preserve"> The OBITOOLS</w:t>
      </w:r>
      <w:r w:rsidR="0067145E" w:rsidRPr="0067145E">
        <w:rPr>
          <w:lang w:val="en-US"/>
        </w:rPr>
        <w:fldChar w:fldCharType="begin" w:fldLock="1"/>
      </w:r>
      <w:r w:rsidR="0067145E" w:rsidRPr="0067145E">
        <w:rPr>
          <w:lang w:val="en-US"/>
        </w:rPr>
        <w:instrText>ADDIN CSL_CITATION {"citationItems":[{"id":"ITEM-1","itemData":{"author":[{"dropping-particle":"","family":"Boyer","given":"F.","non-dropping-particle":"","parse-names":false,"suffix":""},{"dropping-particle":"","family":"Mercier","given":"C.","non-dropping-particle":"","parse-names":false,"suffix":""},{"dropping-particle":"","family":"Bonin","given":"A.","non-dropping-particle":"","parse-names":false,"suffix":""},{"dropping-particle":"","family":"Bras","given":"Y.","non-dropping-particle":"Le","parse-names":false,"suffix":""},{"dropping-particle":"","family":"Taberlet","given":"P.","non-dropping-particle":"","parse-names":false,"suffix":""},{"dropping-particle":"","family":"Coissac","given":"E","non-dropping-particle":"","parse-names":false,"suffix":""}],"container-title":"Molecular Ecology Resources","id":"ITEM-1","issue":"1","issued":{"date-parts":[["2016"]]},"page":"176-182","title":"obitools: A unix‐inspired software package for DNA metabarcoding","type":"article-journal","volume":"16"},"uris":["http://www.mendeley.com/documents/?uuid=0f9fc8ed-e804-4101-99a8-7892de8cbe63"]}],"mendeley":{"formattedCitation":"&lt;sup&gt;6&lt;/sup&gt;","plainTextFormattedCitation":"6","previouslyFormattedCitation":"&lt;sup&gt;6&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6</w:t>
      </w:r>
      <w:r w:rsidR="0067145E" w:rsidRPr="0067145E">
        <w:rPr>
          <w:lang w:val="en-US"/>
        </w:rPr>
        <w:fldChar w:fldCharType="end"/>
      </w:r>
      <w:r w:rsidRPr="0067145E">
        <w:rPr>
          <w:lang w:val="en-US"/>
        </w:rPr>
        <w:t xml:space="preserve"> software package was used for subsequent filtering of the reads following the general workflow described in</w:t>
      </w:r>
      <w:r w:rsidR="0067145E" w:rsidRPr="0067145E">
        <w:rPr>
          <w:lang w:val="en-US"/>
        </w:rPr>
        <w:t xml:space="preserve"> De Barba et al.</w:t>
      </w:r>
      <w:r w:rsidR="0067145E" w:rsidRPr="0067145E">
        <w:rPr>
          <w:lang w:val="en-US"/>
        </w:rPr>
        <w:fldChar w:fldCharType="begin" w:fldLock="1"/>
      </w:r>
      <w:r w:rsidR="0067145E" w:rsidRPr="0067145E">
        <w:rPr>
          <w:lang w:val="en-US"/>
        </w:rPr>
        <w:instrText>ADDIN CSL_CITATION {"citationItems":[{"id":"ITEM-1","itemData":{"author":[{"dropping-particle":"","family":"Barba","given":"M.","non-dropping-particle":"De","parse-names":false,"suffix":""},{"dropping-particle":"","family":"Miquel","given":"C.","non-dropping-particle":"","parse-names":false,"suffix":""},{"dropping-particle":"","family":"Boyer","given":"F.","non-dropping-particle":"","parse-names":false,"suffix":""},{"dropping-particle":"","family":"Mercier","given":"C.","non-dropping-particle":"","parse-names":false,"suffix":""},{"dropping-particle":"","family":"Rioux","given":"D.","non-dropping-particle":"","parse-names":false,"suffix":""},{"dropping-particle":"","family":"Coissac","given":"E.","non-dropping-particle":"","parse-names":false,"suffix":""},{"dropping-particle":"","family":"Taberlet","given":"P.","non-dropping-particle":"","parse-names":false,"suffix":""}],"container-title":"Molecular Ecology Resources","id":"ITEM-1","issue":"2","issued":{"date-parts":[["2014"]]},"page":"306-323","title":"DNA metabarcoding multiplexing and validation of data accuracy for diet assessment: application to omnivorous diet","type":"article-journal","volume":"14"},"uris":["http://www.mendeley.com/documents/?uuid=8c1d44ff-7a07-4975-bdcb-c9d9a83fd49e"]}],"mendeley":{"formattedCitation":"&lt;sup&gt;7&lt;/sup&gt;","plainTextFormattedCitation":"7","previouslyFormattedCitation":"&lt;sup&gt;7&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7</w:t>
      </w:r>
      <w:r w:rsidR="0067145E" w:rsidRPr="0067145E">
        <w:rPr>
          <w:lang w:val="en-US"/>
        </w:rPr>
        <w:fldChar w:fldCharType="end"/>
      </w:r>
      <w:r w:rsidR="0067145E" w:rsidRPr="0067145E">
        <w:rPr>
          <w:lang w:val="en-US"/>
        </w:rPr>
        <w:t>.</w:t>
      </w:r>
      <w:r w:rsidRPr="0067145E">
        <w:rPr>
          <w:lang w:val="en-US"/>
        </w:rPr>
        <w:t xml:space="preserve">The NGSFILTER script was used to assign sequences to the corresponding samples and the OBISPLIT script was used to create separate files for each sample. Unique sequences were clustered using the OBIUNIQ script before removing short sequences (i.e. remove sequences below 150 </w:t>
      </w:r>
      <w:proofErr w:type="spellStart"/>
      <w:r w:rsidRPr="0067145E">
        <w:rPr>
          <w:lang w:val="en-US"/>
        </w:rPr>
        <w:t>bp</w:t>
      </w:r>
      <w:proofErr w:type="spellEnd"/>
      <w:r w:rsidRPr="0067145E">
        <w:rPr>
          <w:lang w:val="en-US"/>
        </w:rPr>
        <w:t xml:space="preserve"> and 180 </w:t>
      </w:r>
      <w:proofErr w:type="spellStart"/>
      <w:r w:rsidRPr="0067145E">
        <w:rPr>
          <w:lang w:val="en-US"/>
        </w:rPr>
        <w:t>bp</w:t>
      </w:r>
      <w:proofErr w:type="spellEnd"/>
      <w:r w:rsidRPr="0067145E">
        <w:rPr>
          <w:lang w:val="en-US"/>
        </w:rPr>
        <w:t xml:space="preserve"> for the </w:t>
      </w:r>
      <w:proofErr w:type="spellStart"/>
      <w:r w:rsidRPr="0067145E">
        <w:rPr>
          <w:lang w:val="en-US"/>
        </w:rPr>
        <w:t>MiFish</w:t>
      </w:r>
      <w:proofErr w:type="spellEnd"/>
      <w:r w:rsidRPr="0067145E">
        <w:rPr>
          <w:lang w:val="en-US"/>
        </w:rPr>
        <w:t xml:space="preserve">-U and </w:t>
      </w:r>
      <w:proofErr w:type="spellStart"/>
      <w:r w:rsidRPr="0067145E">
        <w:rPr>
          <w:lang w:val="en-US"/>
        </w:rPr>
        <w:t>CephMLS</w:t>
      </w:r>
      <w:proofErr w:type="spellEnd"/>
      <w:r w:rsidRPr="0067145E">
        <w:rPr>
          <w:lang w:val="en-US"/>
        </w:rPr>
        <w:t>/</w:t>
      </w:r>
      <w:proofErr w:type="spellStart"/>
      <w:r w:rsidRPr="0067145E">
        <w:rPr>
          <w:lang w:val="en-US"/>
        </w:rPr>
        <w:t>CrustMLS</w:t>
      </w:r>
      <w:proofErr w:type="spellEnd"/>
      <w:r w:rsidRPr="0067145E">
        <w:rPr>
          <w:lang w:val="en-US"/>
        </w:rPr>
        <w:t xml:space="preserve"> primers respectively) and sequences with low occurrences (i.e. sequences with a count below 100). PCR and sequencing errors were removed using the OBICLEAN and OBIGREP scripts (i.e. remove all sequences identified as ‘internal’ by the OBICLEAN script). Subsequently, all sequences were combined into a single file and unique sequences were clustered while retaining the individual sample information. Finally, the ECOTAG script was used to assign taxonomic information to the sequences using a reference database build using the standard vertebrate and invertebrate sequences from the EMBL data repository. One of the downsides of the OBITOOLS pipeline is that the reference database build for taxonomic assignments requires the sequence information of the primer binding regions</w:t>
      </w:r>
      <w:r w:rsidR="0067145E" w:rsidRPr="0067145E">
        <w:rPr>
          <w:lang w:val="en-US"/>
        </w:rPr>
        <w:fldChar w:fldCharType="begin" w:fldLock="1"/>
      </w:r>
      <w:r w:rsidR="0067145E">
        <w:rPr>
          <w:lang w:val="en-US"/>
        </w:rPr>
        <w:instrText>ADDIN CSL_CITATION {"citationItems":[{"id":"ITEM-1","itemData":{"author":[{"dropping-particle":"","family":"Boyer","given":"F.","non-dropping-particle":"","parse-names":false,"suffix":""},{"dropping-particle":"","family":"Mercier","given":"C.","non-dropping-particle":"","parse-names":false,"suffix":""},{"dropping-particle":"","family":"Bonin","given":"A.","non-dropping-particle":"","parse-names":false,"suffix":""},{"dropping-particle":"","family":"Bras","given":"Y.","non-dropping-particle":"Le","parse-names":false,"suffix":""},{"dropping-particle":"","family":"Taberlet","given":"P.","non-dropping-particle":"","parse-names":false,"suffix":""},{"dropping-particle":"","family":"Coissac","given":"E","non-dropping-particle":"","parse-names":false,"suffix":""}],"container-title":"Molecular Ecology Resources","id":"ITEM-1","issue":"1","issued":{"date-parts":[["2016"]]},"page":"176-182","title":"obitools: A unix‐inspired software package for DNA metabarcoding","type":"article-journal","volume":"16"},"uris":["http://www.mendeley.com/documents/?uuid=0f9fc8ed-e804-4101-99a8-7892de8cbe63"]}],"mendeley":{"formattedCitation":"&lt;sup&gt;6&lt;/sup&gt;","plainTextFormattedCitation":"6","previouslyFormattedCitation":"&lt;sup&gt;6&lt;/sup&gt;"},"properties":{"noteIndex":0},"schema":"https://github.com/citation-style-language/schema/raw/master/csl-citation.json"}</w:instrText>
      </w:r>
      <w:r w:rsidR="0067145E" w:rsidRPr="0067145E">
        <w:rPr>
          <w:lang w:val="en-US"/>
        </w:rPr>
        <w:fldChar w:fldCharType="separate"/>
      </w:r>
      <w:r w:rsidR="0067145E" w:rsidRPr="0067145E">
        <w:rPr>
          <w:noProof/>
          <w:vertAlign w:val="superscript"/>
          <w:lang w:val="en-US"/>
        </w:rPr>
        <w:t>6</w:t>
      </w:r>
      <w:r w:rsidR="0067145E" w:rsidRPr="0067145E">
        <w:rPr>
          <w:lang w:val="en-US"/>
        </w:rPr>
        <w:fldChar w:fldCharType="end"/>
      </w:r>
      <w:r w:rsidRPr="0067145E">
        <w:rPr>
          <w:lang w:val="en-US"/>
        </w:rPr>
        <w:t xml:space="preserve"> When metabarcoding primers overlap with commonly used barcoding primers the primer binding regions are often not available in the public data repositories. Consequently, sequence information for certain species may be missed during the building of the reference database which in turn negatively impacts the taxonomic assignments. To circumvent this problem, a BLAST search was performed for all sequence records using the NCBI nucleotide database. Sequences records were split according to the primers and a BLAST search was performed with the maximum target sequences set to 100 and with a minimum expected threshold of 1 x 10</w:t>
      </w:r>
      <w:r w:rsidRPr="0067145E">
        <w:rPr>
          <w:vertAlign w:val="superscript"/>
          <w:lang w:val="en-US"/>
        </w:rPr>
        <w:t>-60</w:t>
      </w:r>
      <w:r w:rsidRPr="0067145E">
        <w:rPr>
          <w:lang w:val="en-US"/>
        </w:rPr>
        <w:t xml:space="preserve">. BLAST assignments were further restricted to the taxonomic groups of interest for each primer pair (i.e. Actinopterygii, </w:t>
      </w:r>
      <w:proofErr w:type="spellStart"/>
      <w:r w:rsidRPr="0067145E">
        <w:rPr>
          <w:lang w:val="en-US"/>
        </w:rPr>
        <w:lastRenderedPageBreak/>
        <w:t>Cephalopoda</w:t>
      </w:r>
      <w:proofErr w:type="spellEnd"/>
      <w:r w:rsidRPr="0067145E">
        <w:rPr>
          <w:lang w:val="en-US"/>
        </w:rPr>
        <w:t xml:space="preserve"> and Crustacea for the </w:t>
      </w:r>
      <w:proofErr w:type="spellStart"/>
      <w:r w:rsidRPr="0067145E">
        <w:rPr>
          <w:lang w:val="en-US"/>
        </w:rPr>
        <w:t>MiFish</w:t>
      </w:r>
      <w:proofErr w:type="spellEnd"/>
      <w:r w:rsidRPr="0067145E">
        <w:rPr>
          <w:lang w:val="en-US"/>
        </w:rPr>
        <w:t xml:space="preserve">-U, </w:t>
      </w:r>
      <w:proofErr w:type="spellStart"/>
      <w:r w:rsidRPr="0067145E">
        <w:rPr>
          <w:lang w:val="en-US"/>
        </w:rPr>
        <w:t>CephMLS</w:t>
      </w:r>
      <w:proofErr w:type="spellEnd"/>
      <w:r w:rsidRPr="0067145E">
        <w:rPr>
          <w:lang w:val="en-US"/>
        </w:rPr>
        <w:t xml:space="preserve"> and </w:t>
      </w:r>
      <w:proofErr w:type="spellStart"/>
      <w:r w:rsidRPr="0067145E">
        <w:rPr>
          <w:lang w:val="en-US"/>
        </w:rPr>
        <w:t>CrustMLS</w:t>
      </w:r>
      <w:proofErr w:type="spellEnd"/>
      <w:r w:rsidRPr="0067145E">
        <w:rPr>
          <w:lang w:val="en-US"/>
        </w:rPr>
        <w:t xml:space="preserve"> primers respectively). Based on the BLAST search a taxonomy was assigned to the sequences using a lowest common ancestor approach: firstly if a sequence had hits with an identity &gt; 98% and all hits belong to the same species then a species level taxonomy was assigned, second if a sequence had hits with an identity &gt; 95% and all hits belong to the same genus a genus level taxonomy was assigned, finally if a sequence had hits with an identity &gt; 90% and all hits belong to the same family a family level taxonomy was assigned. Afterwards, both the OBITOOLS and BLAST assignments were imported into R version 3.4.1 and the data was merged into a consensus assignment. The taxonomic assignments of both approaches were compared and preference was given to the assignment with the lowest taxonomic rank. If both approaches produced taxonomic assignments with the same rank (e.g. to the species level) but the assignment were inconsistent, then the lowest common ancestor was assigned to the sequence read. Finally, sequence abundance data for the negative controls was evaluated and used to set minimum threshold values for the respective sequences obtained from the associated samples.</w:t>
      </w:r>
    </w:p>
    <w:p w14:paraId="32B42AC3" w14:textId="77777777" w:rsidR="0067145E" w:rsidRDefault="0067145E" w:rsidP="001661AE">
      <w:pPr>
        <w:spacing w:line="480" w:lineRule="auto"/>
        <w:rPr>
          <w:lang w:val="en-US"/>
        </w:rPr>
      </w:pPr>
    </w:p>
    <w:p w14:paraId="5F0F235E" w14:textId="62CCBC6A" w:rsidR="0067145E" w:rsidRPr="003B41AE" w:rsidRDefault="0067145E" w:rsidP="0067145E">
      <w:pPr>
        <w:pStyle w:val="Titre2"/>
        <w:rPr>
          <w:lang w:val="fr-FR"/>
        </w:rPr>
      </w:pPr>
      <w:proofErr w:type="spellStart"/>
      <w:r w:rsidRPr="003B41AE">
        <w:rPr>
          <w:lang w:val="fr-FR"/>
        </w:rPr>
        <w:t>References</w:t>
      </w:r>
      <w:proofErr w:type="spellEnd"/>
    </w:p>
    <w:p w14:paraId="5FAA6B20" w14:textId="7551D08A" w:rsidR="0067145E" w:rsidRPr="0067145E" w:rsidRDefault="0067145E" w:rsidP="0067145E">
      <w:pPr>
        <w:widowControl w:val="0"/>
        <w:autoSpaceDE w:val="0"/>
        <w:autoSpaceDN w:val="0"/>
        <w:adjustRightInd w:val="0"/>
        <w:ind w:left="640" w:hanging="640"/>
        <w:rPr>
          <w:rFonts w:ascii="Calibri" w:hAnsi="Calibri" w:cs="Calibri"/>
          <w:noProof/>
          <w:szCs w:val="24"/>
        </w:rPr>
      </w:pPr>
      <w:r>
        <w:rPr>
          <w:lang w:val="en-US"/>
        </w:rPr>
        <w:fldChar w:fldCharType="begin" w:fldLock="1"/>
      </w:r>
      <w:r w:rsidRPr="003B41AE">
        <w:rPr>
          <w:lang w:val="fr-FR"/>
        </w:rPr>
        <w:instrText xml:space="preserve">ADDIN Mendeley Bibliography CSL_BIBLIOGRAPHY </w:instrText>
      </w:r>
      <w:r>
        <w:rPr>
          <w:lang w:val="en-US"/>
        </w:rPr>
        <w:fldChar w:fldCharType="separate"/>
      </w:r>
      <w:r w:rsidRPr="003B41AE">
        <w:rPr>
          <w:rFonts w:ascii="Calibri" w:hAnsi="Calibri" w:cs="Calibri"/>
          <w:noProof/>
          <w:szCs w:val="24"/>
          <w:lang w:val="fr-FR"/>
        </w:rPr>
        <w:t>1.</w:t>
      </w:r>
      <w:r w:rsidRPr="003B41AE">
        <w:rPr>
          <w:rFonts w:ascii="Calibri" w:hAnsi="Calibri" w:cs="Calibri"/>
          <w:noProof/>
          <w:szCs w:val="24"/>
          <w:lang w:val="fr-FR"/>
        </w:rPr>
        <w:tab/>
        <w:t xml:space="preserve">Miya, M. </w:t>
      </w:r>
      <w:r w:rsidRPr="003B41AE">
        <w:rPr>
          <w:rFonts w:ascii="Calibri" w:hAnsi="Calibri" w:cs="Calibri"/>
          <w:i/>
          <w:iCs/>
          <w:noProof/>
          <w:szCs w:val="24"/>
          <w:lang w:val="fr-FR"/>
        </w:rPr>
        <w:t>et al.</w:t>
      </w:r>
      <w:r w:rsidRPr="003B41AE">
        <w:rPr>
          <w:rFonts w:ascii="Calibri" w:hAnsi="Calibri" w:cs="Calibri"/>
          <w:noProof/>
          <w:szCs w:val="24"/>
          <w:lang w:val="fr-FR"/>
        </w:rPr>
        <w:t xml:space="preserve"> </w:t>
      </w:r>
      <w:r w:rsidRPr="0067145E">
        <w:rPr>
          <w:rFonts w:ascii="Calibri" w:hAnsi="Calibri" w:cs="Calibri"/>
          <w:noProof/>
          <w:szCs w:val="24"/>
        </w:rPr>
        <w:t xml:space="preserve">MiFish , a set of universal PCR primers for metabarcoding environmental DNA from fishes : detection of more than 230 subtropical marine species. </w:t>
      </w:r>
      <w:r w:rsidRPr="0067145E">
        <w:rPr>
          <w:rFonts w:ascii="Calibri" w:hAnsi="Calibri" w:cs="Calibri"/>
          <w:i/>
          <w:iCs/>
          <w:noProof/>
          <w:szCs w:val="24"/>
        </w:rPr>
        <w:t>R. Soc. Open Sci.</w:t>
      </w:r>
      <w:r w:rsidRPr="0067145E">
        <w:rPr>
          <w:rFonts w:ascii="Calibri" w:hAnsi="Calibri" w:cs="Calibri"/>
          <w:noProof/>
          <w:szCs w:val="24"/>
        </w:rPr>
        <w:t xml:space="preserve"> </w:t>
      </w:r>
      <w:r w:rsidRPr="0067145E">
        <w:rPr>
          <w:rFonts w:ascii="Calibri" w:hAnsi="Calibri" w:cs="Calibri"/>
          <w:b/>
          <w:bCs/>
          <w:noProof/>
          <w:szCs w:val="24"/>
        </w:rPr>
        <w:t>2</w:t>
      </w:r>
      <w:r w:rsidRPr="0067145E">
        <w:rPr>
          <w:rFonts w:ascii="Calibri" w:hAnsi="Calibri" w:cs="Calibri"/>
          <w:noProof/>
          <w:szCs w:val="24"/>
        </w:rPr>
        <w:t>, 150088 (2015).</w:t>
      </w:r>
    </w:p>
    <w:p w14:paraId="27DC9686" w14:textId="77777777" w:rsidR="0067145E" w:rsidRPr="0067145E" w:rsidRDefault="0067145E" w:rsidP="0067145E">
      <w:pPr>
        <w:widowControl w:val="0"/>
        <w:autoSpaceDE w:val="0"/>
        <w:autoSpaceDN w:val="0"/>
        <w:adjustRightInd w:val="0"/>
        <w:ind w:left="640" w:hanging="640"/>
        <w:rPr>
          <w:rFonts w:ascii="Calibri" w:hAnsi="Calibri" w:cs="Calibri"/>
          <w:noProof/>
          <w:szCs w:val="24"/>
        </w:rPr>
      </w:pPr>
      <w:r w:rsidRPr="0067145E">
        <w:rPr>
          <w:rFonts w:ascii="Calibri" w:hAnsi="Calibri" w:cs="Calibri"/>
          <w:noProof/>
          <w:szCs w:val="24"/>
        </w:rPr>
        <w:t>2.</w:t>
      </w:r>
      <w:r w:rsidRPr="0067145E">
        <w:rPr>
          <w:rFonts w:ascii="Calibri" w:hAnsi="Calibri" w:cs="Calibri"/>
          <w:noProof/>
          <w:szCs w:val="24"/>
        </w:rPr>
        <w:tab/>
        <w:t xml:space="preserve">Bylemans, J., Gleeson, D. M., Hardy, C. M. &amp; Furlan, E. Toward an ecoregion scale evaluation of eDNA metabarcoding primers: A case study for the freshwater fish biodiversity of the Murray–Darling Basin (Australia). </w:t>
      </w:r>
      <w:r w:rsidRPr="0067145E">
        <w:rPr>
          <w:rFonts w:ascii="Calibri" w:hAnsi="Calibri" w:cs="Calibri"/>
          <w:i/>
          <w:iCs/>
          <w:noProof/>
          <w:szCs w:val="24"/>
        </w:rPr>
        <w:t>Ecol. Evol.</w:t>
      </w:r>
      <w:r w:rsidRPr="0067145E">
        <w:rPr>
          <w:rFonts w:ascii="Calibri" w:hAnsi="Calibri" w:cs="Calibri"/>
          <w:noProof/>
          <w:szCs w:val="24"/>
        </w:rPr>
        <w:t xml:space="preserve"> </w:t>
      </w:r>
      <w:r w:rsidRPr="0067145E">
        <w:rPr>
          <w:rFonts w:ascii="Calibri" w:hAnsi="Calibri" w:cs="Calibri"/>
          <w:b/>
          <w:bCs/>
          <w:noProof/>
          <w:szCs w:val="24"/>
        </w:rPr>
        <w:t>8</w:t>
      </w:r>
      <w:r w:rsidRPr="0067145E">
        <w:rPr>
          <w:rFonts w:ascii="Calibri" w:hAnsi="Calibri" w:cs="Calibri"/>
          <w:noProof/>
          <w:szCs w:val="24"/>
        </w:rPr>
        <w:t>, 8697–8712 (2018).</w:t>
      </w:r>
    </w:p>
    <w:p w14:paraId="54875BBC" w14:textId="77777777" w:rsidR="0067145E" w:rsidRPr="0067145E" w:rsidRDefault="0067145E" w:rsidP="0067145E">
      <w:pPr>
        <w:widowControl w:val="0"/>
        <w:autoSpaceDE w:val="0"/>
        <w:autoSpaceDN w:val="0"/>
        <w:adjustRightInd w:val="0"/>
        <w:ind w:left="640" w:hanging="640"/>
        <w:rPr>
          <w:rFonts w:ascii="Calibri" w:hAnsi="Calibri" w:cs="Calibri"/>
          <w:noProof/>
          <w:szCs w:val="24"/>
        </w:rPr>
      </w:pPr>
      <w:r w:rsidRPr="0067145E">
        <w:rPr>
          <w:rFonts w:ascii="Calibri" w:hAnsi="Calibri" w:cs="Calibri"/>
          <w:noProof/>
          <w:szCs w:val="24"/>
        </w:rPr>
        <w:t>3.</w:t>
      </w:r>
      <w:r w:rsidRPr="0067145E">
        <w:rPr>
          <w:rFonts w:ascii="Calibri" w:hAnsi="Calibri" w:cs="Calibri"/>
          <w:noProof/>
          <w:szCs w:val="24"/>
        </w:rPr>
        <w:tab/>
        <w:t xml:space="preserve">Jarman, S. N., Redd, K. S. &amp; Gales, N. J. Group-specific primers for amplifying DNA sequences that identify Amphipoda, Cephalopoda, Echinodermata, Gastropoda, Isopoda, Ostracoda and Thoracica. </w:t>
      </w:r>
      <w:r w:rsidRPr="0067145E">
        <w:rPr>
          <w:rFonts w:ascii="Calibri" w:hAnsi="Calibri" w:cs="Calibri"/>
          <w:i/>
          <w:iCs/>
          <w:noProof/>
          <w:szCs w:val="24"/>
        </w:rPr>
        <w:t>Mol. Ecol. Notes</w:t>
      </w:r>
      <w:r w:rsidRPr="0067145E">
        <w:rPr>
          <w:rFonts w:ascii="Calibri" w:hAnsi="Calibri" w:cs="Calibri"/>
          <w:noProof/>
          <w:szCs w:val="24"/>
        </w:rPr>
        <w:t xml:space="preserve"> </w:t>
      </w:r>
      <w:r w:rsidRPr="0067145E">
        <w:rPr>
          <w:rFonts w:ascii="Calibri" w:hAnsi="Calibri" w:cs="Calibri"/>
          <w:b/>
          <w:bCs/>
          <w:noProof/>
          <w:szCs w:val="24"/>
        </w:rPr>
        <w:t>6</w:t>
      </w:r>
      <w:r w:rsidRPr="0067145E">
        <w:rPr>
          <w:rFonts w:ascii="Calibri" w:hAnsi="Calibri" w:cs="Calibri"/>
          <w:noProof/>
          <w:szCs w:val="24"/>
        </w:rPr>
        <w:t>, 268–271 (2006).</w:t>
      </w:r>
    </w:p>
    <w:p w14:paraId="67D718F5" w14:textId="77777777" w:rsidR="0067145E" w:rsidRPr="0067145E" w:rsidRDefault="0067145E" w:rsidP="0067145E">
      <w:pPr>
        <w:widowControl w:val="0"/>
        <w:autoSpaceDE w:val="0"/>
        <w:autoSpaceDN w:val="0"/>
        <w:adjustRightInd w:val="0"/>
        <w:ind w:left="640" w:hanging="640"/>
        <w:rPr>
          <w:rFonts w:ascii="Calibri" w:hAnsi="Calibri" w:cs="Calibri"/>
          <w:noProof/>
          <w:szCs w:val="24"/>
        </w:rPr>
      </w:pPr>
      <w:r w:rsidRPr="0067145E">
        <w:rPr>
          <w:rFonts w:ascii="Calibri" w:hAnsi="Calibri" w:cs="Calibri"/>
          <w:noProof/>
          <w:szCs w:val="24"/>
        </w:rPr>
        <w:lastRenderedPageBreak/>
        <w:t>4.</w:t>
      </w:r>
      <w:r w:rsidRPr="0067145E">
        <w:rPr>
          <w:rFonts w:ascii="Calibri" w:hAnsi="Calibri" w:cs="Calibri"/>
          <w:noProof/>
          <w:szCs w:val="24"/>
        </w:rPr>
        <w:tab/>
        <w:t xml:space="preserve">Braley, M., Goldsworthy, S. D., Page, B., Steer, M. &amp; Austin, J. J. Assessing morphological and DNA‐based diet analysis techniques in a generalist predator, the arrow squid Nototodarus gouldi. </w:t>
      </w:r>
      <w:r w:rsidRPr="0067145E">
        <w:rPr>
          <w:rFonts w:ascii="Calibri" w:hAnsi="Calibri" w:cs="Calibri"/>
          <w:i/>
          <w:iCs/>
          <w:noProof/>
          <w:szCs w:val="24"/>
        </w:rPr>
        <w:t>Mol. Ecol. Resour.</w:t>
      </w:r>
      <w:r w:rsidRPr="0067145E">
        <w:rPr>
          <w:rFonts w:ascii="Calibri" w:hAnsi="Calibri" w:cs="Calibri"/>
          <w:noProof/>
          <w:szCs w:val="24"/>
        </w:rPr>
        <w:t xml:space="preserve"> </w:t>
      </w:r>
      <w:r w:rsidRPr="0067145E">
        <w:rPr>
          <w:rFonts w:ascii="Calibri" w:hAnsi="Calibri" w:cs="Calibri"/>
          <w:b/>
          <w:bCs/>
          <w:noProof/>
          <w:szCs w:val="24"/>
        </w:rPr>
        <w:t>10</w:t>
      </w:r>
      <w:r w:rsidRPr="0067145E">
        <w:rPr>
          <w:rFonts w:ascii="Calibri" w:hAnsi="Calibri" w:cs="Calibri"/>
          <w:noProof/>
          <w:szCs w:val="24"/>
        </w:rPr>
        <w:t>, 466–474 (2010).</w:t>
      </w:r>
    </w:p>
    <w:p w14:paraId="41E54ACB" w14:textId="77777777" w:rsidR="0067145E" w:rsidRPr="0067145E" w:rsidRDefault="0067145E" w:rsidP="0067145E">
      <w:pPr>
        <w:widowControl w:val="0"/>
        <w:autoSpaceDE w:val="0"/>
        <w:autoSpaceDN w:val="0"/>
        <w:adjustRightInd w:val="0"/>
        <w:ind w:left="640" w:hanging="640"/>
        <w:rPr>
          <w:rFonts w:ascii="Calibri" w:hAnsi="Calibri" w:cs="Calibri"/>
          <w:noProof/>
          <w:szCs w:val="24"/>
        </w:rPr>
      </w:pPr>
      <w:r w:rsidRPr="0067145E">
        <w:rPr>
          <w:rFonts w:ascii="Calibri" w:hAnsi="Calibri" w:cs="Calibri"/>
          <w:noProof/>
          <w:szCs w:val="24"/>
        </w:rPr>
        <w:t>5.</w:t>
      </w:r>
      <w:r w:rsidRPr="0067145E">
        <w:rPr>
          <w:rFonts w:ascii="Calibri" w:hAnsi="Calibri" w:cs="Calibri"/>
          <w:noProof/>
          <w:szCs w:val="24"/>
        </w:rPr>
        <w:tab/>
        <w:t xml:space="preserve">Bolger, A. M., Lohse, M. &amp; Usadel, B. Trimmomatic: a flexible trimmer for Illumina sequence data. </w:t>
      </w:r>
      <w:r w:rsidRPr="0067145E">
        <w:rPr>
          <w:rFonts w:ascii="Calibri" w:hAnsi="Calibri" w:cs="Calibri"/>
          <w:i/>
          <w:iCs/>
          <w:noProof/>
          <w:szCs w:val="24"/>
        </w:rPr>
        <w:t>Bioinformatics</w:t>
      </w:r>
      <w:r w:rsidRPr="0067145E">
        <w:rPr>
          <w:rFonts w:ascii="Calibri" w:hAnsi="Calibri" w:cs="Calibri"/>
          <w:noProof/>
          <w:szCs w:val="24"/>
        </w:rPr>
        <w:t xml:space="preserve"> </w:t>
      </w:r>
      <w:r w:rsidRPr="0067145E">
        <w:rPr>
          <w:rFonts w:ascii="Calibri" w:hAnsi="Calibri" w:cs="Calibri"/>
          <w:b/>
          <w:bCs/>
          <w:noProof/>
          <w:szCs w:val="24"/>
        </w:rPr>
        <w:t>30</w:t>
      </w:r>
      <w:r w:rsidRPr="0067145E">
        <w:rPr>
          <w:rFonts w:ascii="Calibri" w:hAnsi="Calibri" w:cs="Calibri"/>
          <w:noProof/>
          <w:szCs w:val="24"/>
        </w:rPr>
        <w:t>, 2114–2120 (2014).</w:t>
      </w:r>
    </w:p>
    <w:p w14:paraId="147314C8" w14:textId="77777777" w:rsidR="0067145E" w:rsidRPr="0067145E" w:rsidRDefault="0067145E" w:rsidP="0067145E">
      <w:pPr>
        <w:widowControl w:val="0"/>
        <w:autoSpaceDE w:val="0"/>
        <w:autoSpaceDN w:val="0"/>
        <w:adjustRightInd w:val="0"/>
        <w:ind w:left="640" w:hanging="640"/>
        <w:rPr>
          <w:rFonts w:ascii="Calibri" w:hAnsi="Calibri" w:cs="Calibri"/>
          <w:noProof/>
          <w:szCs w:val="24"/>
        </w:rPr>
      </w:pPr>
      <w:r w:rsidRPr="0067145E">
        <w:rPr>
          <w:rFonts w:ascii="Calibri" w:hAnsi="Calibri" w:cs="Calibri"/>
          <w:noProof/>
          <w:szCs w:val="24"/>
        </w:rPr>
        <w:t>6.</w:t>
      </w:r>
      <w:r w:rsidRPr="0067145E">
        <w:rPr>
          <w:rFonts w:ascii="Calibri" w:hAnsi="Calibri" w:cs="Calibri"/>
          <w:noProof/>
          <w:szCs w:val="24"/>
        </w:rPr>
        <w:tab/>
        <w:t xml:space="preserve">Boyer, F. </w:t>
      </w:r>
      <w:r w:rsidRPr="0067145E">
        <w:rPr>
          <w:rFonts w:ascii="Calibri" w:hAnsi="Calibri" w:cs="Calibri"/>
          <w:i/>
          <w:iCs/>
          <w:noProof/>
          <w:szCs w:val="24"/>
        </w:rPr>
        <w:t>et al.</w:t>
      </w:r>
      <w:r w:rsidRPr="0067145E">
        <w:rPr>
          <w:rFonts w:ascii="Calibri" w:hAnsi="Calibri" w:cs="Calibri"/>
          <w:noProof/>
          <w:szCs w:val="24"/>
        </w:rPr>
        <w:t xml:space="preserve"> obitools: A unix‐inspired software package for DNA metabarcoding. </w:t>
      </w:r>
      <w:r w:rsidRPr="0067145E">
        <w:rPr>
          <w:rFonts w:ascii="Calibri" w:hAnsi="Calibri" w:cs="Calibri"/>
          <w:i/>
          <w:iCs/>
          <w:noProof/>
          <w:szCs w:val="24"/>
        </w:rPr>
        <w:t>Mol. Ecol. Resour.</w:t>
      </w:r>
      <w:r w:rsidRPr="0067145E">
        <w:rPr>
          <w:rFonts w:ascii="Calibri" w:hAnsi="Calibri" w:cs="Calibri"/>
          <w:noProof/>
          <w:szCs w:val="24"/>
        </w:rPr>
        <w:t xml:space="preserve"> </w:t>
      </w:r>
      <w:r w:rsidRPr="0067145E">
        <w:rPr>
          <w:rFonts w:ascii="Calibri" w:hAnsi="Calibri" w:cs="Calibri"/>
          <w:b/>
          <w:bCs/>
          <w:noProof/>
          <w:szCs w:val="24"/>
        </w:rPr>
        <w:t>16</w:t>
      </w:r>
      <w:r w:rsidRPr="0067145E">
        <w:rPr>
          <w:rFonts w:ascii="Calibri" w:hAnsi="Calibri" w:cs="Calibri"/>
          <w:noProof/>
          <w:szCs w:val="24"/>
        </w:rPr>
        <w:t>, 176–182 (2016).</w:t>
      </w:r>
    </w:p>
    <w:p w14:paraId="1DF0F7A1" w14:textId="77777777" w:rsidR="0067145E" w:rsidRPr="0067145E" w:rsidRDefault="0067145E" w:rsidP="0067145E">
      <w:pPr>
        <w:widowControl w:val="0"/>
        <w:autoSpaceDE w:val="0"/>
        <w:autoSpaceDN w:val="0"/>
        <w:adjustRightInd w:val="0"/>
        <w:ind w:left="640" w:hanging="640"/>
        <w:rPr>
          <w:rFonts w:ascii="Calibri" w:hAnsi="Calibri" w:cs="Calibri"/>
          <w:noProof/>
        </w:rPr>
      </w:pPr>
      <w:r w:rsidRPr="0067145E">
        <w:rPr>
          <w:rFonts w:ascii="Calibri" w:hAnsi="Calibri" w:cs="Calibri"/>
          <w:noProof/>
          <w:szCs w:val="24"/>
        </w:rPr>
        <w:t>7.</w:t>
      </w:r>
      <w:r w:rsidRPr="0067145E">
        <w:rPr>
          <w:rFonts w:ascii="Calibri" w:hAnsi="Calibri" w:cs="Calibri"/>
          <w:noProof/>
          <w:szCs w:val="24"/>
        </w:rPr>
        <w:tab/>
        <w:t xml:space="preserve">De Barba, M. </w:t>
      </w:r>
      <w:r w:rsidRPr="0067145E">
        <w:rPr>
          <w:rFonts w:ascii="Calibri" w:hAnsi="Calibri" w:cs="Calibri"/>
          <w:i/>
          <w:iCs/>
          <w:noProof/>
          <w:szCs w:val="24"/>
        </w:rPr>
        <w:t>et al.</w:t>
      </w:r>
      <w:r w:rsidRPr="0067145E">
        <w:rPr>
          <w:rFonts w:ascii="Calibri" w:hAnsi="Calibri" w:cs="Calibri"/>
          <w:noProof/>
          <w:szCs w:val="24"/>
        </w:rPr>
        <w:t xml:space="preserve"> DNA metabarcoding multiplexing and validation of data accuracy for diet assessment: application to omnivorous diet. </w:t>
      </w:r>
      <w:r w:rsidRPr="0067145E">
        <w:rPr>
          <w:rFonts w:ascii="Calibri" w:hAnsi="Calibri" w:cs="Calibri"/>
          <w:i/>
          <w:iCs/>
          <w:noProof/>
          <w:szCs w:val="24"/>
        </w:rPr>
        <w:t>Mol. Ecol. Resour.</w:t>
      </w:r>
      <w:r w:rsidRPr="0067145E">
        <w:rPr>
          <w:rFonts w:ascii="Calibri" w:hAnsi="Calibri" w:cs="Calibri"/>
          <w:noProof/>
          <w:szCs w:val="24"/>
        </w:rPr>
        <w:t xml:space="preserve"> </w:t>
      </w:r>
      <w:r w:rsidRPr="0067145E">
        <w:rPr>
          <w:rFonts w:ascii="Calibri" w:hAnsi="Calibri" w:cs="Calibri"/>
          <w:b/>
          <w:bCs/>
          <w:noProof/>
          <w:szCs w:val="24"/>
        </w:rPr>
        <w:t>14</w:t>
      </w:r>
      <w:r w:rsidRPr="0067145E">
        <w:rPr>
          <w:rFonts w:ascii="Calibri" w:hAnsi="Calibri" w:cs="Calibri"/>
          <w:noProof/>
          <w:szCs w:val="24"/>
        </w:rPr>
        <w:t>, 306–323 (2014).</w:t>
      </w:r>
    </w:p>
    <w:p w14:paraId="6281BBD9" w14:textId="20298EA3" w:rsidR="0067145E" w:rsidRPr="0067145E" w:rsidRDefault="0067145E" w:rsidP="0067145E">
      <w:pPr>
        <w:rPr>
          <w:lang w:val="en-US"/>
        </w:rPr>
      </w:pPr>
      <w:r>
        <w:rPr>
          <w:lang w:val="en-US"/>
        </w:rPr>
        <w:fldChar w:fldCharType="end"/>
      </w:r>
    </w:p>
    <w:p w14:paraId="071BE664" w14:textId="77777777" w:rsidR="0088466B" w:rsidRPr="00D93113" w:rsidRDefault="0088466B" w:rsidP="0088466B">
      <w:pPr>
        <w:rPr>
          <w:lang w:val="en-US"/>
        </w:rPr>
      </w:pPr>
    </w:p>
    <w:sectPr w:rsidR="0088466B" w:rsidRPr="00D93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B6"/>
    <w:rsid w:val="00095044"/>
    <w:rsid w:val="001661AE"/>
    <w:rsid w:val="002043F3"/>
    <w:rsid w:val="003B41AE"/>
    <w:rsid w:val="00434A39"/>
    <w:rsid w:val="004D34BD"/>
    <w:rsid w:val="0067145E"/>
    <w:rsid w:val="0088466B"/>
    <w:rsid w:val="00AA5526"/>
    <w:rsid w:val="00BA1388"/>
    <w:rsid w:val="00C208B6"/>
    <w:rsid w:val="00C64844"/>
    <w:rsid w:val="00D93113"/>
    <w:rsid w:val="00F44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A95"/>
  <w15:chartTrackingRefBased/>
  <w15:docId w15:val="{D9C7248D-D56E-465A-A5E4-7D1474DB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13"/>
    <w:pPr>
      <w:spacing w:line="360" w:lineRule="auto"/>
      <w:jc w:val="both"/>
    </w:pPr>
    <w:rPr>
      <w:sz w:val="24"/>
      <w:lang w:val="en-GB"/>
    </w:rPr>
  </w:style>
  <w:style w:type="paragraph" w:styleId="Titre1">
    <w:name w:val="heading 1"/>
    <w:basedOn w:val="Normal"/>
    <w:next w:val="Normal"/>
    <w:link w:val="Titre1Car"/>
    <w:uiPriority w:val="9"/>
    <w:qFormat/>
    <w:rsid w:val="006714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93113"/>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qFormat/>
    <w:rsid w:val="0067145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466B"/>
    <w:rPr>
      <w:sz w:val="16"/>
      <w:szCs w:val="16"/>
    </w:rPr>
  </w:style>
  <w:style w:type="character" w:customStyle="1" w:styleId="Titre2Car">
    <w:name w:val="Titre 2 Car"/>
    <w:basedOn w:val="Policepardfaut"/>
    <w:link w:val="Titre2"/>
    <w:uiPriority w:val="9"/>
    <w:rsid w:val="00D93113"/>
    <w:rPr>
      <w:rFonts w:asciiTheme="majorHAnsi" w:eastAsiaTheme="majorEastAsia" w:hAnsiTheme="majorHAnsi" w:cstheme="majorBidi"/>
      <w:b/>
      <w:color w:val="000000" w:themeColor="text1"/>
      <w:sz w:val="26"/>
      <w:szCs w:val="26"/>
      <w:lang w:val="en-GB"/>
    </w:rPr>
  </w:style>
  <w:style w:type="paragraph" w:styleId="Commentaire">
    <w:name w:val="annotation text"/>
    <w:basedOn w:val="Normal"/>
    <w:link w:val="CommentaireCar"/>
    <w:uiPriority w:val="99"/>
    <w:unhideWhenUsed/>
    <w:rsid w:val="001661AE"/>
    <w:pPr>
      <w:spacing w:line="240" w:lineRule="auto"/>
    </w:pPr>
    <w:rPr>
      <w:sz w:val="20"/>
      <w:szCs w:val="20"/>
    </w:rPr>
  </w:style>
  <w:style w:type="character" w:customStyle="1" w:styleId="CommentaireCar">
    <w:name w:val="Commentaire Car"/>
    <w:basedOn w:val="Policepardfaut"/>
    <w:link w:val="Commentaire"/>
    <w:uiPriority w:val="99"/>
    <w:rsid w:val="001661AE"/>
    <w:rPr>
      <w:sz w:val="20"/>
      <w:szCs w:val="20"/>
      <w:lang w:val="en-GB"/>
    </w:rPr>
  </w:style>
  <w:style w:type="paragraph" w:styleId="Textedebulles">
    <w:name w:val="Balloon Text"/>
    <w:basedOn w:val="Normal"/>
    <w:link w:val="TextedebullesCar"/>
    <w:uiPriority w:val="99"/>
    <w:semiHidden/>
    <w:unhideWhenUsed/>
    <w:rsid w:val="001661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1AE"/>
    <w:rPr>
      <w:rFonts w:ascii="Segoe UI" w:hAnsi="Segoe UI" w:cs="Segoe UI"/>
      <w:sz w:val="18"/>
      <w:szCs w:val="18"/>
      <w:lang w:val="en-GB"/>
    </w:rPr>
  </w:style>
  <w:style w:type="character" w:customStyle="1" w:styleId="Titre3Car">
    <w:name w:val="Titre 3 Car"/>
    <w:basedOn w:val="Policepardfaut"/>
    <w:link w:val="Titre3"/>
    <w:uiPriority w:val="9"/>
    <w:rsid w:val="0067145E"/>
    <w:rPr>
      <w:rFonts w:asciiTheme="majorHAnsi" w:eastAsiaTheme="majorEastAsia" w:hAnsiTheme="majorHAnsi" w:cstheme="majorBidi"/>
      <w:color w:val="1F4D78" w:themeColor="accent1" w:themeShade="7F"/>
      <w:sz w:val="24"/>
      <w:szCs w:val="24"/>
      <w:lang w:val="en-GB"/>
    </w:rPr>
  </w:style>
  <w:style w:type="character" w:customStyle="1" w:styleId="Titre1Car">
    <w:name w:val="Titre 1 Car"/>
    <w:basedOn w:val="Policepardfaut"/>
    <w:link w:val="Titre1"/>
    <w:uiPriority w:val="9"/>
    <w:rsid w:val="0067145E"/>
    <w:rPr>
      <w:rFonts w:asciiTheme="majorHAnsi" w:eastAsiaTheme="majorEastAsia" w:hAnsiTheme="majorHAnsi" w:cstheme="majorBidi"/>
      <w:color w:val="2E74B5" w:themeColor="accent1" w:themeShade="BF"/>
      <w:sz w:val="32"/>
      <w:szCs w:val="32"/>
      <w:lang w:val="en-GB"/>
    </w:rPr>
  </w:style>
  <w:style w:type="paragraph" w:styleId="Titre">
    <w:name w:val="Title"/>
    <w:basedOn w:val="Normal"/>
    <w:next w:val="Normal"/>
    <w:link w:val="TitreCar"/>
    <w:uiPriority w:val="10"/>
    <w:qFormat/>
    <w:rsid w:val="003B4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41AE"/>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0EC8-A60D-4BBF-9072-49910AC1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6</Pages>
  <Words>4395</Words>
  <Characters>24177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RAVACHE</dc:creator>
  <cp:keywords/>
  <dc:description/>
  <cp:lastModifiedBy>Andreas RAVACHE</cp:lastModifiedBy>
  <cp:revision>11</cp:revision>
  <dcterms:created xsi:type="dcterms:W3CDTF">2020-03-05T17:58:00Z</dcterms:created>
  <dcterms:modified xsi:type="dcterms:W3CDTF">2020-07-21T22:12:00Z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http://www.zotero.org/styles/conservation-biology</vt:lpwstr>
  </property>
  <property fmtid="{D5CDD505-2E9C-101B-9397-08002B2CF9AE}" pid="7" name="Mendeley Recent Style Name 2_1">
    <vt:lpwstr>Conservation Biology</vt:lpwstr>
  </property>
  <property fmtid="{D5CDD505-2E9C-101B-9397-08002B2CF9AE}" pid="8" name="Mendeley Recent Style Id 3_1">
    <vt:lpwstr>http://csl.mendeley.com/styles/485468481/council-of-science-editors-author-date</vt:lpwstr>
  </property>
  <property fmtid="{D5CDD505-2E9C-101B-9397-08002B2CF9AE}" pid="9" name="Mendeley Recent Style Name 3_1">
    <vt:lpwstr>Council of Science Editors, Name-Year (author-date) - Andreas Ravache</vt:lpwstr>
  </property>
  <property fmtid="{D5CDD505-2E9C-101B-9397-08002B2CF9AE}" pid="10" name="Mendeley Recent Style Id 4_1">
    <vt:lpwstr>http://csl.mendeley.com/styles/485468481/Journal-of-exp-bio-and-eco-noDOI</vt:lpwstr>
  </property>
  <property fmtid="{D5CDD505-2E9C-101B-9397-08002B2CF9AE}" pid="11" name="Mendeley Recent Style Name 4_1">
    <vt:lpwstr>Elsevier - Harvard (with titles) - Andreas Ravache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http://www.zotero.org/styles/scientific-reports</vt:lpwstr>
  </property>
  <property fmtid="{D5CDD505-2E9C-101B-9397-08002B2CF9AE}" pid="21" name="Mendeley Recent Style Name 9_1">
    <vt:lpwstr>Scientific Reports</vt:lpwstr>
  </property>
  <property fmtid="{D5CDD505-2E9C-101B-9397-08002B2CF9AE}" pid="22" name="Mendeley Document_1">
    <vt:lpwstr>True</vt:lpwstr>
  </property>
  <property fmtid="{D5CDD505-2E9C-101B-9397-08002B2CF9AE}" pid="23" name="Mendeley Unique User Id_1">
    <vt:lpwstr>6aefdd42-07a4-34ce-bc6b-3bef7831908a</vt:lpwstr>
  </property>
  <property fmtid="{D5CDD505-2E9C-101B-9397-08002B2CF9AE}" pid="24" name="Mendeley Citation Style_1">
    <vt:lpwstr>http://www.zotero.org/styles/scientific-reports</vt:lpwstr>
  </property>
</Properties>
</file>