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0471" w:rsidRPr="00617BE6" w:rsidRDefault="00E50471" w:rsidP="00135F5D">
      <w:pPr>
        <w:jc w:val="both"/>
        <w:rPr>
          <w:b/>
          <w:sz w:val="28"/>
          <w:szCs w:val="28"/>
          <w:lang w:val="en-US"/>
        </w:rPr>
      </w:pPr>
      <w:bookmarkStart w:id="0" w:name="_GoBack"/>
      <w:bookmarkEnd w:id="0"/>
      <w:r w:rsidRPr="00617BE6">
        <w:rPr>
          <w:b/>
          <w:sz w:val="28"/>
          <w:szCs w:val="28"/>
          <w:lang w:val="en-US"/>
        </w:rPr>
        <w:t xml:space="preserve">Irregular BSR: evidence of </w:t>
      </w:r>
      <w:r w:rsidR="00377327" w:rsidRPr="00617BE6">
        <w:rPr>
          <w:b/>
          <w:sz w:val="28"/>
          <w:szCs w:val="28"/>
          <w:lang w:val="en-US"/>
        </w:rPr>
        <w:t>an</w:t>
      </w:r>
      <w:r w:rsidRPr="00617BE6">
        <w:rPr>
          <w:b/>
          <w:sz w:val="28"/>
          <w:szCs w:val="28"/>
          <w:lang w:val="en-US"/>
        </w:rPr>
        <w:t xml:space="preserve"> on-going reequilibrium of a gas hydrate system</w:t>
      </w:r>
    </w:p>
    <w:p w:rsidR="00AA0E92" w:rsidRPr="00617BE6" w:rsidRDefault="00AA0E92" w:rsidP="00E50471">
      <w:pPr>
        <w:jc w:val="center"/>
        <w:rPr>
          <w:b/>
          <w:lang w:val="en-US"/>
        </w:rPr>
      </w:pPr>
    </w:p>
    <w:p w:rsidR="00E50471" w:rsidRPr="00617BE6" w:rsidRDefault="00E50471" w:rsidP="00E50471">
      <w:pPr>
        <w:jc w:val="center"/>
        <w:rPr>
          <w:b/>
          <w:lang w:val="en-US"/>
        </w:rPr>
      </w:pPr>
      <w:r w:rsidRPr="00617BE6">
        <w:rPr>
          <w:b/>
          <w:lang w:val="en-US"/>
        </w:rPr>
        <w:t>F. Colin, S. Ker, V. Riboulot and N. Sultan</w:t>
      </w:r>
    </w:p>
    <w:p w:rsidR="00733C4E" w:rsidRPr="00617BE6" w:rsidRDefault="00733C4E">
      <w:pPr>
        <w:rPr>
          <w:lang w:val="en-US"/>
        </w:rPr>
      </w:pPr>
    </w:p>
    <w:p w:rsidR="00E50471" w:rsidRPr="00617BE6" w:rsidRDefault="00E50471" w:rsidP="00E50471">
      <w:pPr>
        <w:jc w:val="center"/>
        <w:rPr>
          <w:b/>
          <w:sz w:val="40"/>
          <w:szCs w:val="40"/>
          <w:lang w:val="en-US"/>
        </w:rPr>
      </w:pPr>
      <w:r w:rsidRPr="00617BE6">
        <w:rPr>
          <w:b/>
          <w:sz w:val="40"/>
          <w:szCs w:val="40"/>
          <w:lang w:val="en-US"/>
        </w:rPr>
        <w:t>SUPPLEMENTARY MATERIALS</w:t>
      </w:r>
    </w:p>
    <w:p w:rsidR="00FB5F69" w:rsidRPr="00617BE6" w:rsidRDefault="00FB5F69" w:rsidP="00FB5F69">
      <w:pPr>
        <w:pStyle w:val="Sansinterligne"/>
        <w:rPr>
          <w:lang w:val="en-US"/>
        </w:rPr>
      </w:pPr>
    </w:p>
    <w:p w:rsidR="007C04B7" w:rsidRPr="00617BE6" w:rsidRDefault="007C04B7" w:rsidP="000915EF">
      <w:pPr>
        <w:rPr>
          <w:u w:val="single"/>
          <w:lang w:val="en-US"/>
        </w:rPr>
      </w:pPr>
    </w:p>
    <w:p w:rsidR="000915EF" w:rsidRPr="00617BE6" w:rsidRDefault="000915EF" w:rsidP="000915EF">
      <w:pPr>
        <w:rPr>
          <w:u w:val="single"/>
          <w:lang w:val="en-US"/>
        </w:rPr>
      </w:pPr>
      <w:r w:rsidRPr="00617BE6">
        <w:rPr>
          <w:u w:val="single"/>
          <w:lang w:val="en-US"/>
        </w:rPr>
        <w:t>List</w:t>
      </w:r>
      <w:r w:rsidR="00D46423" w:rsidRPr="00617BE6">
        <w:rPr>
          <w:u w:val="single"/>
          <w:lang w:val="en-US"/>
        </w:rPr>
        <w:t xml:space="preserve"> of</w:t>
      </w:r>
      <w:r w:rsidRPr="00617BE6">
        <w:rPr>
          <w:u w:val="single"/>
          <w:lang w:val="en-US"/>
        </w:rPr>
        <w:t xml:space="preserve"> Supplementary</w:t>
      </w:r>
      <w:r w:rsidR="00D46423" w:rsidRPr="00617BE6">
        <w:rPr>
          <w:u w:val="single"/>
          <w:lang w:val="en-US"/>
        </w:rPr>
        <w:t xml:space="preserve"> Figures</w:t>
      </w:r>
      <w:r w:rsidRPr="00617BE6">
        <w:rPr>
          <w:u w:val="single"/>
          <w:lang w:val="en-US"/>
        </w:rPr>
        <w:t>:</w:t>
      </w:r>
    </w:p>
    <w:p w:rsidR="00D06097" w:rsidRPr="00617BE6" w:rsidRDefault="00411F46" w:rsidP="00D06097">
      <w:pPr>
        <w:pStyle w:val="Paragraphedeliste"/>
        <w:numPr>
          <w:ilvl w:val="0"/>
          <w:numId w:val="1"/>
        </w:numPr>
        <w:rPr>
          <w:lang w:val="en-US"/>
        </w:rPr>
      </w:pPr>
      <w:r w:rsidRPr="00617BE6">
        <w:rPr>
          <w:lang w:val="en-US"/>
        </w:rPr>
        <w:fldChar w:fldCharType="begin"/>
      </w:r>
      <w:r w:rsidRPr="00617BE6">
        <w:rPr>
          <w:lang w:val="en-US"/>
        </w:rPr>
        <w:instrText xml:space="preserve"> REF _Ref44057805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1</w:t>
      </w:r>
      <w:r w:rsidRPr="00617BE6">
        <w:rPr>
          <w:lang w:val="en-US"/>
        </w:rPr>
        <w:fldChar w:fldCharType="end"/>
      </w:r>
      <w:r w:rsidR="00D06097" w:rsidRPr="00617BE6">
        <w:rPr>
          <w:lang w:val="en-US"/>
        </w:rPr>
        <w:t>: Positio</w:t>
      </w:r>
      <w:r w:rsidR="00933532" w:rsidRPr="00617BE6">
        <w:rPr>
          <w:lang w:val="en-US"/>
        </w:rPr>
        <w:t>n map of Supplementary profiles</w:t>
      </w:r>
    </w:p>
    <w:p w:rsidR="00D06097" w:rsidRPr="00617BE6" w:rsidRDefault="004076EF" w:rsidP="002C14DC">
      <w:pPr>
        <w:pStyle w:val="Paragraphedeliste"/>
        <w:numPr>
          <w:ilvl w:val="0"/>
          <w:numId w:val="1"/>
        </w:numPr>
        <w:rPr>
          <w:lang w:val="en-US"/>
        </w:rPr>
      </w:pPr>
      <w:r w:rsidRPr="00617BE6">
        <w:rPr>
          <w:lang w:val="en-US"/>
        </w:rPr>
        <w:fldChar w:fldCharType="begin"/>
      </w:r>
      <w:r w:rsidRPr="00617BE6">
        <w:rPr>
          <w:lang w:val="en-US"/>
        </w:rPr>
        <w:instrText xml:space="preserve"> REF _Ref44057818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2</w:t>
      </w:r>
      <w:r w:rsidRPr="00617BE6">
        <w:rPr>
          <w:lang w:val="en-US"/>
        </w:rPr>
        <w:fldChar w:fldCharType="end"/>
      </w:r>
      <w:r w:rsidR="00D06097" w:rsidRPr="00617BE6">
        <w:rPr>
          <w:lang w:val="en-US"/>
        </w:rPr>
        <w:t>: HR 31a      + interpretation</w:t>
      </w:r>
    </w:p>
    <w:p w:rsidR="00D06097" w:rsidRPr="00617BE6" w:rsidRDefault="00411F46" w:rsidP="00411F46">
      <w:pPr>
        <w:pStyle w:val="Paragraphedeliste"/>
        <w:numPr>
          <w:ilvl w:val="0"/>
          <w:numId w:val="1"/>
        </w:numPr>
        <w:rPr>
          <w:lang w:val="en-US"/>
        </w:rPr>
      </w:pPr>
      <w:r w:rsidRPr="00617BE6">
        <w:rPr>
          <w:lang w:val="en-US"/>
        </w:rPr>
        <w:fldChar w:fldCharType="begin"/>
      </w:r>
      <w:r w:rsidRPr="00617BE6">
        <w:rPr>
          <w:lang w:val="en-US"/>
        </w:rPr>
        <w:instrText xml:space="preserve"> REF _Ref44057823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3</w:t>
      </w:r>
      <w:r w:rsidRPr="00617BE6">
        <w:rPr>
          <w:lang w:val="en-US"/>
        </w:rPr>
        <w:fldChar w:fldCharType="end"/>
      </w:r>
      <w:r w:rsidR="00D06097" w:rsidRPr="00617BE6">
        <w:rPr>
          <w:lang w:val="en-US"/>
        </w:rPr>
        <w:t>: PL01PR13 + interpretation</w:t>
      </w:r>
    </w:p>
    <w:p w:rsidR="00D06097" w:rsidRPr="00617BE6" w:rsidRDefault="00411F46" w:rsidP="00D06097">
      <w:pPr>
        <w:pStyle w:val="Paragraphedeliste"/>
        <w:numPr>
          <w:ilvl w:val="0"/>
          <w:numId w:val="1"/>
        </w:numPr>
        <w:rPr>
          <w:lang w:val="en-US"/>
        </w:rPr>
      </w:pPr>
      <w:r w:rsidRPr="00617BE6">
        <w:rPr>
          <w:lang w:val="en-US"/>
        </w:rPr>
        <w:fldChar w:fldCharType="begin"/>
      </w:r>
      <w:r w:rsidRPr="00617BE6">
        <w:rPr>
          <w:lang w:val="en-US"/>
        </w:rPr>
        <w:instrText xml:space="preserve"> REF _Ref44057826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4</w:t>
      </w:r>
      <w:r w:rsidRPr="00617BE6">
        <w:rPr>
          <w:lang w:val="en-US"/>
        </w:rPr>
        <w:fldChar w:fldCharType="end"/>
      </w:r>
      <w:r w:rsidR="00D06097" w:rsidRPr="00617BE6">
        <w:rPr>
          <w:lang w:val="en-US"/>
        </w:rPr>
        <w:t>: PL03PR07 + interpretation</w:t>
      </w:r>
    </w:p>
    <w:p w:rsidR="00D06097" w:rsidRPr="00617BE6" w:rsidRDefault="00411F46" w:rsidP="00D06097">
      <w:pPr>
        <w:pStyle w:val="Paragraphedeliste"/>
        <w:numPr>
          <w:ilvl w:val="0"/>
          <w:numId w:val="1"/>
        </w:numPr>
        <w:rPr>
          <w:lang w:val="en-US"/>
        </w:rPr>
      </w:pPr>
      <w:r w:rsidRPr="00617BE6">
        <w:rPr>
          <w:lang w:val="en-US"/>
        </w:rPr>
        <w:fldChar w:fldCharType="begin"/>
      </w:r>
      <w:r w:rsidRPr="00617BE6">
        <w:rPr>
          <w:lang w:val="en-US"/>
        </w:rPr>
        <w:instrText xml:space="preserve"> REF _Ref44057827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5</w:t>
      </w:r>
      <w:r w:rsidRPr="00617BE6">
        <w:rPr>
          <w:lang w:val="en-US"/>
        </w:rPr>
        <w:fldChar w:fldCharType="end"/>
      </w:r>
      <w:r w:rsidR="00D06097" w:rsidRPr="00617BE6">
        <w:rPr>
          <w:lang w:val="en-US"/>
        </w:rPr>
        <w:t>: PL03PR11 + interpretation</w:t>
      </w:r>
    </w:p>
    <w:p w:rsidR="0009151E" w:rsidRPr="00617BE6" w:rsidRDefault="00411F46" w:rsidP="0009151E">
      <w:pPr>
        <w:pStyle w:val="Paragraphedeliste"/>
        <w:numPr>
          <w:ilvl w:val="0"/>
          <w:numId w:val="1"/>
        </w:numPr>
        <w:rPr>
          <w:lang w:val="en-US"/>
        </w:rPr>
      </w:pPr>
      <w:r w:rsidRPr="00617BE6">
        <w:rPr>
          <w:lang w:val="en-US"/>
        </w:rPr>
        <w:fldChar w:fldCharType="begin"/>
      </w:r>
      <w:r w:rsidRPr="00617BE6">
        <w:rPr>
          <w:lang w:val="en-US"/>
        </w:rPr>
        <w:instrText xml:space="preserve"> REF _Ref44057828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6</w:t>
      </w:r>
      <w:r w:rsidRPr="00617BE6">
        <w:rPr>
          <w:lang w:val="en-US"/>
        </w:rPr>
        <w:fldChar w:fldCharType="end"/>
      </w:r>
      <w:r w:rsidR="0009151E" w:rsidRPr="00617BE6">
        <w:rPr>
          <w:lang w:val="en-US"/>
        </w:rPr>
        <w:t xml:space="preserve">: </w:t>
      </w:r>
      <w:r w:rsidR="00A348D4" w:rsidRPr="00617BE6">
        <w:rPr>
          <w:lang w:val="en-US"/>
        </w:rPr>
        <w:t xml:space="preserve">Salinity anomaly </w:t>
      </w:r>
    </w:p>
    <w:p w:rsidR="000A449D" w:rsidRPr="00617BE6" w:rsidRDefault="00411F46" w:rsidP="000A449D">
      <w:pPr>
        <w:pStyle w:val="Paragraphedeliste"/>
        <w:numPr>
          <w:ilvl w:val="0"/>
          <w:numId w:val="1"/>
        </w:numPr>
        <w:rPr>
          <w:lang w:val="en-US"/>
        </w:rPr>
      </w:pPr>
      <w:r w:rsidRPr="00617BE6">
        <w:rPr>
          <w:lang w:val="en-US"/>
        </w:rPr>
        <w:fldChar w:fldCharType="begin"/>
      </w:r>
      <w:r w:rsidRPr="00617BE6">
        <w:rPr>
          <w:lang w:val="en-US"/>
        </w:rPr>
        <w:instrText xml:space="preserve"> REF _Ref44057830 \h </w:instrText>
      </w:r>
      <w:r w:rsidRPr="00617BE6">
        <w:rPr>
          <w:lang w:val="en-US"/>
        </w:rPr>
      </w:r>
      <w:r w:rsidRPr="00617BE6">
        <w:rPr>
          <w:lang w:val="en-US"/>
        </w:rPr>
        <w:fldChar w:fldCharType="separate"/>
      </w:r>
      <w:r w:rsidR="00632410" w:rsidRPr="00617BE6">
        <w:rPr>
          <w:lang w:val="en-US"/>
        </w:rPr>
        <w:t xml:space="preserve">Supplementary Figure </w:t>
      </w:r>
      <w:r w:rsidR="00632410" w:rsidRPr="00617BE6">
        <w:rPr>
          <w:noProof/>
          <w:lang w:val="en-US"/>
        </w:rPr>
        <w:t>7</w:t>
      </w:r>
      <w:r w:rsidRPr="00617BE6">
        <w:rPr>
          <w:lang w:val="en-US"/>
        </w:rPr>
        <w:fldChar w:fldCharType="end"/>
      </w:r>
      <w:r w:rsidR="000A449D" w:rsidRPr="00617BE6">
        <w:rPr>
          <w:lang w:val="en-US"/>
        </w:rPr>
        <w:t xml:space="preserve">: </w:t>
      </w:r>
      <w:r w:rsidR="00826DD9" w:rsidRPr="00617BE6">
        <w:rPr>
          <w:lang w:val="en-US"/>
        </w:rPr>
        <w:t xml:space="preserve">Steady state BGHSZ </w:t>
      </w:r>
      <w:r w:rsidR="00632410" w:rsidRPr="00617BE6">
        <w:rPr>
          <w:lang w:val="en-US"/>
        </w:rPr>
        <w:t>modeling</w:t>
      </w:r>
    </w:p>
    <w:p w:rsidR="00632410" w:rsidRPr="00617BE6" w:rsidRDefault="00632410" w:rsidP="00632410">
      <w:pPr>
        <w:pStyle w:val="Paragraphedeliste"/>
        <w:numPr>
          <w:ilvl w:val="0"/>
          <w:numId w:val="1"/>
        </w:numPr>
        <w:rPr>
          <w:lang w:val="en-US"/>
        </w:rPr>
      </w:pP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Excess pore pressure</w:t>
      </w:r>
    </w:p>
    <w:p w:rsidR="00D55A35" w:rsidRPr="00617BE6" w:rsidRDefault="001156F3" w:rsidP="00070E4C">
      <w:pPr>
        <w:keepNext/>
        <w:ind w:hanging="567"/>
        <w:jc w:val="center"/>
        <w:rPr>
          <w:lang w:val="en-US"/>
        </w:rPr>
      </w:pPr>
      <w:r w:rsidRPr="00617BE6">
        <w:rPr>
          <w:noProof/>
          <w:lang w:val="en-GB" w:eastAsia="en-GB"/>
        </w:rPr>
        <w:drawing>
          <wp:inline distT="0" distB="0" distL="0" distR="0">
            <wp:extent cx="6220034" cy="328452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PosSupp.png"/>
                    <pic:cNvPicPr/>
                  </pic:nvPicPr>
                  <pic:blipFill rotWithShape="1">
                    <a:blip r:embed="rId6">
                      <a:extLst>
                        <a:ext uri="{28A0092B-C50C-407E-A947-70E740481C1C}">
                          <a14:useLocalDpi xmlns:a14="http://schemas.microsoft.com/office/drawing/2010/main" val="0"/>
                        </a:ext>
                      </a:extLst>
                    </a:blip>
                    <a:srcRect l="5313"/>
                    <a:stretch/>
                  </pic:blipFill>
                  <pic:spPr bwMode="auto">
                    <a:xfrm>
                      <a:off x="0" y="0"/>
                      <a:ext cx="6221600" cy="3285352"/>
                    </a:xfrm>
                    <a:prstGeom prst="rect">
                      <a:avLst/>
                    </a:prstGeom>
                    <a:ln>
                      <a:noFill/>
                    </a:ln>
                    <a:extLst>
                      <a:ext uri="{53640926-AAD7-44D8-BBD7-CCE9431645EC}">
                        <a14:shadowObscured xmlns:a14="http://schemas.microsoft.com/office/drawing/2010/main"/>
                      </a:ext>
                    </a:extLst>
                  </pic:spPr>
                </pic:pic>
              </a:graphicData>
            </a:graphic>
          </wp:inline>
        </w:drawing>
      </w:r>
    </w:p>
    <w:p w:rsidR="00394813" w:rsidRPr="00617BE6" w:rsidRDefault="00A34B9E" w:rsidP="00920A61">
      <w:pPr>
        <w:pStyle w:val="Lgende"/>
        <w:jc w:val="both"/>
        <w:rPr>
          <w:lang w:val="en-US"/>
        </w:rPr>
      </w:pPr>
      <w:bookmarkStart w:id="1" w:name="_Ref44057805"/>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1</w:t>
      </w:r>
      <w:r w:rsidRPr="00617BE6">
        <w:rPr>
          <w:lang w:val="en-US"/>
        </w:rPr>
        <w:fldChar w:fldCharType="end"/>
      </w:r>
      <w:bookmarkEnd w:id="1"/>
      <w:r w:rsidR="00D55A35" w:rsidRPr="00617BE6">
        <w:rPr>
          <w:lang w:val="en-US"/>
        </w:rPr>
        <w:t xml:space="preserve"> </w:t>
      </w:r>
      <w:r w:rsidR="0045559F" w:rsidRPr="00617BE6">
        <w:rPr>
          <w:lang w:val="en-US"/>
        </w:rPr>
        <w:t>–</w:t>
      </w:r>
      <w:r w:rsidR="00D55A35" w:rsidRPr="00617BE6">
        <w:rPr>
          <w:lang w:val="en-US"/>
        </w:rPr>
        <w:t xml:space="preserve"> </w:t>
      </w:r>
      <w:r w:rsidR="0045559F" w:rsidRPr="00617BE6">
        <w:rPr>
          <w:lang w:val="en-US"/>
        </w:rPr>
        <w:t>Map of the study area</w:t>
      </w:r>
      <w:r w:rsidR="00B11C12" w:rsidRPr="00617BE6">
        <w:rPr>
          <w:lang w:val="en-US"/>
        </w:rPr>
        <w:t>.</w:t>
      </w:r>
      <w:r w:rsidR="00790858" w:rsidRPr="00617BE6">
        <w:rPr>
          <w:lang w:val="en-US"/>
        </w:rPr>
        <w:t xml:space="preserve"> The location of the supplementary profiles is shown in black.</w:t>
      </w:r>
      <w:r w:rsidR="00B11C12" w:rsidRPr="00617BE6">
        <w:rPr>
          <w:lang w:val="en-US"/>
        </w:rPr>
        <w:t xml:space="preserve"> The location</w:t>
      </w:r>
      <w:r w:rsidR="00377327" w:rsidRPr="00617BE6">
        <w:rPr>
          <w:lang w:val="en-US"/>
        </w:rPr>
        <w:t xml:space="preserve"> </w:t>
      </w:r>
      <w:r w:rsidR="00360E1B" w:rsidRPr="00617BE6">
        <w:rPr>
          <w:lang w:val="en-US"/>
        </w:rPr>
        <w:t>of</w:t>
      </w:r>
      <w:r w:rsidR="00B11C12" w:rsidRPr="00617BE6">
        <w:rPr>
          <w:lang w:val="en-US"/>
        </w:rPr>
        <w:t xml:space="preserve"> the profiles from the main article </w:t>
      </w:r>
      <w:r w:rsidR="00790858" w:rsidRPr="00617BE6">
        <w:rPr>
          <w:lang w:val="en-US"/>
        </w:rPr>
        <w:t xml:space="preserve">is </w:t>
      </w:r>
      <w:r w:rsidR="00B11C12" w:rsidRPr="00617BE6">
        <w:rPr>
          <w:lang w:val="en-US"/>
        </w:rPr>
        <w:t>shown in grey.</w:t>
      </w:r>
      <w:r w:rsidR="008C4797" w:rsidRPr="00617BE6">
        <w:rPr>
          <w:lang w:val="en-US"/>
        </w:rPr>
        <w:t xml:space="preserve"> </w:t>
      </w:r>
    </w:p>
    <w:p w:rsidR="00394813" w:rsidRPr="00617BE6" w:rsidRDefault="00394813" w:rsidP="007451CC">
      <w:pPr>
        <w:keepNext/>
        <w:ind w:hanging="709"/>
        <w:jc w:val="center"/>
        <w:rPr>
          <w:lang w:val="en-US"/>
        </w:rPr>
      </w:pPr>
    </w:p>
    <w:p w:rsidR="00755BF2" w:rsidRPr="00617BE6" w:rsidRDefault="00755BF2" w:rsidP="004E4D40">
      <w:pPr>
        <w:pStyle w:val="Titre2"/>
        <w:numPr>
          <w:ilvl w:val="0"/>
          <w:numId w:val="3"/>
        </w:numPr>
        <w:rPr>
          <w:lang w:val="en-US"/>
        </w:rPr>
      </w:pPr>
      <w:r w:rsidRPr="00617BE6">
        <w:rPr>
          <w:lang w:val="en-US"/>
        </w:rPr>
        <w:t>HR and VHR seismic data</w:t>
      </w:r>
    </w:p>
    <w:p w:rsidR="002856E5" w:rsidRPr="00617BE6" w:rsidRDefault="00D82D38" w:rsidP="00EF1837">
      <w:pPr>
        <w:jc w:val="both"/>
        <w:rPr>
          <w:lang w:val="en-US"/>
        </w:rPr>
      </w:pPr>
      <w:r w:rsidRPr="00617BE6">
        <w:rPr>
          <w:lang w:val="en-US"/>
        </w:rPr>
        <w:t xml:space="preserve">The workflow used to </w:t>
      </w:r>
      <w:r w:rsidR="00744FEB" w:rsidRPr="00617BE6">
        <w:rPr>
          <w:lang w:val="en-US"/>
        </w:rPr>
        <w:t xml:space="preserve">process the </w:t>
      </w:r>
      <w:r w:rsidR="0093375F" w:rsidRPr="00617BE6">
        <w:rPr>
          <w:lang w:val="en-US"/>
        </w:rPr>
        <w:t>high-resolution (</w:t>
      </w:r>
      <w:r w:rsidR="00744FEB" w:rsidRPr="00617BE6">
        <w:rPr>
          <w:lang w:val="en-US"/>
        </w:rPr>
        <w:t>HR</w:t>
      </w:r>
      <w:r w:rsidR="0093375F" w:rsidRPr="00617BE6">
        <w:rPr>
          <w:lang w:val="en-US"/>
        </w:rPr>
        <w:t>)</w:t>
      </w:r>
      <w:r w:rsidR="00744FEB" w:rsidRPr="00617BE6">
        <w:rPr>
          <w:lang w:val="en-US"/>
        </w:rPr>
        <w:t xml:space="preserve"> and </w:t>
      </w:r>
      <w:r w:rsidR="0093375F" w:rsidRPr="00617BE6">
        <w:rPr>
          <w:lang w:val="en-US"/>
        </w:rPr>
        <w:t>very high resolution (</w:t>
      </w:r>
      <w:r w:rsidR="00744FEB" w:rsidRPr="00617BE6">
        <w:rPr>
          <w:lang w:val="en-US"/>
        </w:rPr>
        <w:t>VHR</w:t>
      </w:r>
      <w:r w:rsidR="0093375F" w:rsidRPr="00617BE6">
        <w:rPr>
          <w:lang w:val="en-US"/>
        </w:rPr>
        <w:t>)</w:t>
      </w:r>
      <w:r w:rsidR="00744FEB" w:rsidRPr="00617BE6">
        <w:rPr>
          <w:lang w:val="en-US"/>
        </w:rPr>
        <w:t xml:space="preserve"> seismic profiles from the GHASS cruise is presented in the main article. More details regarding the processing of the HR data </w:t>
      </w:r>
      <w:r w:rsidR="007E547F" w:rsidRPr="00617BE6">
        <w:rPr>
          <w:lang w:val="en-US"/>
        </w:rPr>
        <w:t xml:space="preserve">can be found </w:t>
      </w:r>
      <w:r w:rsidR="00744FEB" w:rsidRPr="00617BE6">
        <w:rPr>
          <w:lang w:val="en-US"/>
        </w:rPr>
        <w:t xml:space="preserve">in Ker et al. </w:t>
      </w:r>
      <w:r w:rsidR="00744FEB" w:rsidRPr="00617BE6">
        <w:rPr>
          <w:lang w:val="en-US"/>
        </w:rPr>
        <w:fldChar w:fldCharType="begin"/>
      </w:r>
      <w:r w:rsidR="00527F06" w:rsidRPr="00617BE6">
        <w:rPr>
          <w:lang w:val="en-US"/>
        </w:rPr>
        <w:instrText xml:space="preserve"> ADDIN ZOTERO_ITEM CSL_CITATION {"citationID":"RHYKwYQh","properties":{"formattedCitation":"(2019)","plainCitation":"(2019)","noteIndex":0},"citationItems":[{"id":1117,"uris":["http://zotero.org/users/4812901/items/7QVN4V6E"],"uri":["http://zotero.org/users/4812901/items/7QVN4V6E"],"itemData":{"id":1117,"type":"article-journal","abstract":"A comprehensive characterization of the gas hydrate system offshore the western Black Sea was performed through an integrated analysis of geophysical data. We detected the Bottom Simulating Reflector (BSR), which marks, in this area, the base of gas hydrate stability. The observed BSR depth does not fit the theoretical steady-state base of gas hydrate stability zone (BGHSZ). We show that the disparity between the BSR and predicted BGHSZ is the result of a transient state of the hydrate system due to the ongoing re-equilibrium since the Last Glacial Maximum. When gas hydrates are brought outside the stability zone due to changes in temperature and sea level, their dissociation generates an increase in interstitial pore pressure. This process is favorable to the re-crystallization of gas hydrates and delays the upward migration of the hydrate stability zone explaining the anomalously deep BSR. The BSR depth, which is commonly used to derive geothermal gradient values by assuming steady state conditions, is used here to derive the maximum excess pore pressure at the base of the gas hydrate stability zone. Derived excess pore pressure values of 1-2 MPa are probably the result of the low permeability of hydrate-bearing sediments. Higher pore pressure values derived at the location of a fault system could cause hydro-fracturing enabling the free gas to cross the gas hydrate stability zone and emerge at the seafloor, forming the flares observed in close vicinity to where the shallow gas hydrates were sampled.","container-title":"Geochemistry, Geophysics, Geosystems","DOI":"10.1029/2018GC007861","ISSN":"15252027","language":"en","page":"442-459","source":"Crossref","title":"Anomalously deep BSR related to a transient state of the gas hydrate system in the western Black Sea","volume":"20","author":[{"family":"Ker","given":"Stephan"},{"family":"Yannick","given":"Thomas"},{"family":"Sultan","given":"Nabil"},{"family":"Bernard","given":"C."},{"family":"Scalabrin","given":"C."},{"family":"Ion","given":"G."},{"family":"Marsset","given":"Bruno"}],"issued":{"date-parts":[["2019",1,3]]}},"suppress-author":true}],"schema":"https://github.com/citation-style-language/schema/raw/master/csl-citation.json"} </w:instrText>
      </w:r>
      <w:r w:rsidR="00744FEB" w:rsidRPr="00617BE6">
        <w:rPr>
          <w:lang w:val="en-US"/>
        </w:rPr>
        <w:fldChar w:fldCharType="separate"/>
      </w:r>
      <w:r w:rsidR="00744FEB" w:rsidRPr="00617BE6">
        <w:rPr>
          <w:rFonts w:ascii="Calibri" w:hAnsi="Calibri" w:cs="Calibri"/>
          <w:lang w:val="en-US"/>
        </w:rPr>
        <w:t>(2019)</w:t>
      </w:r>
      <w:r w:rsidR="00744FEB" w:rsidRPr="00617BE6">
        <w:rPr>
          <w:lang w:val="en-US"/>
        </w:rPr>
        <w:fldChar w:fldCharType="end"/>
      </w:r>
      <w:r w:rsidR="00744FEB" w:rsidRPr="00617BE6">
        <w:rPr>
          <w:lang w:val="en-US"/>
        </w:rPr>
        <w:t xml:space="preserve"> and regarding the processing of the VHR data in</w:t>
      </w:r>
      <w:r w:rsidR="00527F06" w:rsidRPr="00617BE6">
        <w:rPr>
          <w:lang w:val="en-US"/>
        </w:rPr>
        <w:t xml:space="preserve"> Colin et al. </w:t>
      </w:r>
      <w:r w:rsidR="00527F06" w:rsidRPr="00617BE6">
        <w:rPr>
          <w:lang w:val="en-US"/>
        </w:rPr>
        <w:lastRenderedPageBreak/>
        <w:fldChar w:fldCharType="begin"/>
      </w:r>
      <w:r w:rsidR="00527F06" w:rsidRPr="00617BE6">
        <w:rPr>
          <w:lang w:val="en-US"/>
        </w:rPr>
        <w:instrText xml:space="preserve"> ADDIN ZOTERO_ITEM CSL_CITATION {"citationID":"TW6Rs8QG","properties":{"formattedCitation":"(2020)","plainCitation":"(2020)","noteIndex":0},"citationItems":[{"id":2019,"uris":["http://zotero.org/users/4812901/items/WW2II3DA"],"uri":["http://zotero.org/users/4812901/items/WW2II3DA"],"itemData":{"id":2019,"type":"article-journal","abstract":"Very High-Resolution (VHR) marine seismic reflection helps to identify and characterize potential geohazards occurring in the upper part (300 m) of the sub-seafloor. Whereas the lateral and vertical resolutions achieved in shallow water depth (&lt;200 m) using conventional surface-towed technology are adequate, these resolutions quickly deteriorate at greater water depths. SYSIF (SYstème SIsmique Fond), a multichannel deep-towed seismic system, has been designed to acquire VHR data (frequency bandwidth [220-1050 Hz] and vertical resolution of 0.6 m) at great water depths. However, the processing of deep-towed multichannel data is challenging as both the source and receivers are constantly moving with respect to each other according to the towing configuration. We present a new workflow that allows the application of conventional processing algorithms to extended deep-towed seismic datasets. First, a relocation of the source and receivers is necessary to obtain a sufficiently accurate acquisition geometry. Variations along the profile in the depth of the deep-towed system result in a complex geometry where the source and receiver depth vary separately and do not share the same acquisition datum. We designed a dedicated datuming algorithm to shift the source and receivers to the same datum. The procedure thus allows the application of conventional processing algorithms to perform both velocity analysis and depth imaging and therefore allowing access to the full potential of the seismic system. We successfully applied this methodology to deep-towed multichannel data from the western Black Sea. In particular, the derived velocity model highlights shallow gas charged anticline structures with unrivaled resolution.","container-title":"GEOPHYSICS","DOI":"10.1190/geo2019-0686.1","ISSN":"0016-8033","journalAbbreviation":"GEOPHYSICS","note":"publisher: Society of Exploration Geophysicists","page":"1-50","source":"library.seg.org (Atypon)","title":"Fine-scale velocity distribution revealed by datuming of VHR deep-towed seismic data: example of a shallow gas system from the western Black Sea","title-short":"Fine-scale velocity distribution revealed by datuming of VHR deep-towed seismic data","author":[{"family":"Colin","given":"Florent"},{"family":"Ker","given":"Stéphan"},{"family":"Marsset","given":"Bruno"}],"issued":{"date-parts":[["2020",6,14]]}},"suppress-author":true}],"schema":"https://github.com/citation-style-language/schema/raw/master/csl-citation.json"} </w:instrText>
      </w:r>
      <w:r w:rsidR="00527F06" w:rsidRPr="00617BE6">
        <w:rPr>
          <w:lang w:val="en-US"/>
        </w:rPr>
        <w:fldChar w:fldCharType="separate"/>
      </w:r>
      <w:r w:rsidR="00527F06" w:rsidRPr="00617BE6">
        <w:rPr>
          <w:rFonts w:ascii="Calibri" w:hAnsi="Calibri" w:cs="Calibri"/>
          <w:lang w:val="en-US"/>
        </w:rPr>
        <w:t>(2020)</w:t>
      </w:r>
      <w:r w:rsidR="00527F06" w:rsidRPr="00617BE6">
        <w:rPr>
          <w:lang w:val="en-US"/>
        </w:rPr>
        <w:fldChar w:fldCharType="end"/>
      </w:r>
      <w:r w:rsidR="00BB3C33" w:rsidRPr="00617BE6">
        <w:rPr>
          <w:lang w:val="en-US"/>
        </w:rPr>
        <w:t>.</w:t>
      </w:r>
      <w:r w:rsidR="00EF1837" w:rsidRPr="00617BE6">
        <w:rPr>
          <w:lang w:val="en-US"/>
        </w:rPr>
        <w:t xml:space="preserve"> </w:t>
      </w:r>
      <w:r w:rsidR="00BD2DE9" w:rsidRPr="00617BE6">
        <w:rPr>
          <w:lang w:val="en-US"/>
        </w:rPr>
        <w:fldChar w:fldCharType="begin"/>
      </w:r>
      <w:r w:rsidR="00BD2DE9" w:rsidRPr="00617BE6">
        <w:rPr>
          <w:lang w:val="en-US"/>
        </w:rPr>
        <w:instrText xml:space="preserve"> REF _Ref44057818 \h </w:instrText>
      </w:r>
      <w:r w:rsidR="00BD2DE9" w:rsidRPr="00617BE6">
        <w:rPr>
          <w:lang w:val="en-US"/>
        </w:rPr>
      </w:r>
      <w:r w:rsidR="00BD2DE9" w:rsidRPr="00617BE6">
        <w:rPr>
          <w:lang w:val="en-US"/>
        </w:rPr>
        <w:fldChar w:fldCharType="separate"/>
      </w:r>
      <w:r w:rsidR="00632410" w:rsidRPr="00617BE6">
        <w:rPr>
          <w:lang w:val="en-US"/>
        </w:rPr>
        <w:t xml:space="preserve">Supplementary Figure </w:t>
      </w:r>
      <w:r w:rsidR="00632410" w:rsidRPr="00617BE6">
        <w:rPr>
          <w:noProof/>
          <w:lang w:val="en-US"/>
        </w:rPr>
        <w:t>2</w:t>
      </w:r>
      <w:r w:rsidR="00BD2DE9" w:rsidRPr="00617BE6">
        <w:rPr>
          <w:lang w:val="en-US"/>
        </w:rPr>
        <w:fldChar w:fldCharType="end"/>
      </w:r>
      <w:r w:rsidR="00BD2DE9" w:rsidRPr="00617BE6">
        <w:rPr>
          <w:lang w:val="en-US"/>
        </w:rPr>
        <w:t xml:space="preserve">, </w:t>
      </w:r>
      <w:r w:rsidR="00BD2DE9" w:rsidRPr="00617BE6">
        <w:rPr>
          <w:lang w:val="en-US"/>
        </w:rPr>
        <w:fldChar w:fldCharType="begin"/>
      </w:r>
      <w:r w:rsidR="00BD2DE9" w:rsidRPr="00617BE6">
        <w:rPr>
          <w:lang w:val="en-US"/>
        </w:rPr>
        <w:instrText xml:space="preserve"> REF _Ref44057823 \h </w:instrText>
      </w:r>
      <w:r w:rsidR="00BD2DE9" w:rsidRPr="00617BE6">
        <w:rPr>
          <w:lang w:val="en-US"/>
        </w:rPr>
      </w:r>
      <w:r w:rsidR="00BD2DE9" w:rsidRPr="00617BE6">
        <w:rPr>
          <w:lang w:val="en-US"/>
        </w:rPr>
        <w:fldChar w:fldCharType="separate"/>
      </w:r>
      <w:r w:rsidR="00632410" w:rsidRPr="00617BE6">
        <w:rPr>
          <w:lang w:val="en-US"/>
        </w:rPr>
        <w:t xml:space="preserve">Supplementary Figure </w:t>
      </w:r>
      <w:r w:rsidR="00632410" w:rsidRPr="00617BE6">
        <w:rPr>
          <w:noProof/>
          <w:lang w:val="en-US"/>
        </w:rPr>
        <w:t>3</w:t>
      </w:r>
      <w:r w:rsidR="00BD2DE9" w:rsidRPr="00617BE6">
        <w:rPr>
          <w:lang w:val="en-US"/>
        </w:rPr>
        <w:fldChar w:fldCharType="end"/>
      </w:r>
      <w:r w:rsidR="00BD2DE9" w:rsidRPr="00617BE6">
        <w:rPr>
          <w:lang w:val="en-US"/>
        </w:rPr>
        <w:t xml:space="preserve">, </w:t>
      </w:r>
      <w:r w:rsidR="00BD2DE9" w:rsidRPr="00617BE6">
        <w:rPr>
          <w:lang w:val="en-US"/>
        </w:rPr>
        <w:fldChar w:fldCharType="begin"/>
      </w:r>
      <w:r w:rsidR="00BD2DE9" w:rsidRPr="00617BE6">
        <w:rPr>
          <w:lang w:val="en-US"/>
        </w:rPr>
        <w:instrText xml:space="preserve"> REF _Ref44057826 \h </w:instrText>
      </w:r>
      <w:r w:rsidR="00BD2DE9" w:rsidRPr="00617BE6">
        <w:rPr>
          <w:lang w:val="en-US"/>
        </w:rPr>
      </w:r>
      <w:r w:rsidR="00BD2DE9" w:rsidRPr="00617BE6">
        <w:rPr>
          <w:lang w:val="en-US"/>
        </w:rPr>
        <w:fldChar w:fldCharType="separate"/>
      </w:r>
      <w:r w:rsidR="00632410" w:rsidRPr="00617BE6">
        <w:rPr>
          <w:lang w:val="en-US"/>
        </w:rPr>
        <w:t xml:space="preserve">Supplementary Figure </w:t>
      </w:r>
      <w:r w:rsidR="00632410" w:rsidRPr="00617BE6">
        <w:rPr>
          <w:noProof/>
          <w:lang w:val="en-US"/>
        </w:rPr>
        <w:t>4</w:t>
      </w:r>
      <w:r w:rsidR="00BD2DE9" w:rsidRPr="00617BE6">
        <w:rPr>
          <w:lang w:val="en-US"/>
        </w:rPr>
        <w:fldChar w:fldCharType="end"/>
      </w:r>
      <w:r w:rsidR="00C24664">
        <w:rPr>
          <w:lang w:val="en-US"/>
        </w:rPr>
        <w:t>,</w:t>
      </w:r>
      <w:r w:rsidR="00BD2DE9" w:rsidRPr="00617BE6">
        <w:rPr>
          <w:lang w:val="en-US"/>
        </w:rPr>
        <w:t xml:space="preserve"> and </w:t>
      </w:r>
      <w:r w:rsidR="00BD2DE9" w:rsidRPr="00617BE6">
        <w:rPr>
          <w:lang w:val="en-US"/>
        </w:rPr>
        <w:fldChar w:fldCharType="begin"/>
      </w:r>
      <w:r w:rsidR="00BD2DE9" w:rsidRPr="00617BE6">
        <w:rPr>
          <w:lang w:val="en-US"/>
        </w:rPr>
        <w:instrText xml:space="preserve"> REF _Ref44057827 \h </w:instrText>
      </w:r>
      <w:r w:rsidR="00BD2DE9" w:rsidRPr="00617BE6">
        <w:rPr>
          <w:lang w:val="en-US"/>
        </w:rPr>
      </w:r>
      <w:r w:rsidR="00BD2DE9" w:rsidRPr="00617BE6">
        <w:rPr>
          <w:lang w:val="en-US"/>
        </w:rPr>
        <w:fldChar w:fldCharType="separate"/>
      </w:r>
      <w:r w:rsidR="00632410" w:rsidRPr="00617BE6">
        <w:rPr>
          <w:lang w:val="en-US"/>
        </w:rPr>
        <w:t xml:space="preserve">Supplementary Figure </w:t>
      </w:r>
      <w:r w:rsidR="00632410" w:rsidRPr="00617BE6">
        <w:rPr>
          <w:noProof/>
          <w:lang w:val="en-US"/>
        </w:rPr>
        <w:t>5</w:t>
      </w:r>
      <w:r w:rsidR="00BD2DE9" w:rsidRPr="00617BE6">
        <w:rPr>
          <w:lang w:val="en-US"/>
        </w:rPr>
        <w:fldChar w:fldCharType="end"/>
      </w:r>
      <w:r w:rsidR="00BD2DE9" w:rsidRPr="00617BE6">
        <w:rPr>
          <w:lang w:val="en-US"/>
        </w:rPr>
        <w:t xml:space="preserve"> </w:t>
      </w:r>
      <w:r w:rsidR="00051B60" w:rsidRPr="00617BE6">
        <w:rPr>
          <w:lang w:val="en-US"/>
        </w:rPr>
        <w:t xml:space="preserve">show </w:t>
      </w:r>
      <w:r w:rsidR="0048191E" w:rsidRPr="00617BE6">
        <w:rPr>
          <w:lang w:val="en-US"/>
        </w:rPr>
        <w:t>four</w:t>
      </w:r>
      <w:r w:rsidR="00051B60" w:rsidRPr="00617BE6">
        <w:rPr>
          <w:lang w:val="en-US"/>
        </w:rPr>
        <w:t xml:space="preserve"> examples of the presence of free gas </w:t>
      </w:r>
      <w:r w:rsidR="0048191E" w:rsidRPr="00617BE6">
        <w:rPr>
          <w:lang w:val="en-US"/>
        </w:rPr>
        <w:t xml:space="preserve">above </w:t>
      </w:r>
      <w:r w:rsidR="00051B60" w:rsidRPr="00617BE6">
        <w:rPr>
          <w:lang w:val="en-US"/>
        </w:rPr>
        <w:t xml:space="preserve">the </w:t>
      </w:r>
      <w:r w:rsidR="002E18A2" w:rsidRPr="00617BE6">
        <w:rPr>
          <w:lang w:val="en-US"/>
        </w:rPr>
        <w:t>regional trend of the</w:t>
      </w:r>
      <w:r w:rsidR="0048191E" w:rsidRPr="00617BE6">
        <w:rPr>
          <w:lang w:val="en-US"/>
        </w:rPr>
        <w:t xml:space="preserve"> </w:t>
      </w:r>
      <w:r w:rsidR="00FD121A" w:rsidRPr="00617BE6">
        <w:rPr>
          <w:lang w:val="en-US"/>
        </w:rPr>
        <w:t>bottom-</w:t>
      </w:r>
      <w:r w:rsidR="004160DE" w:rsidRPr="00617BE6">
        <w:rPr>
          <w:lang w:val="en-US"/>
        </w:rPr>
        <w:t>simulating reflector (</w:t>
      </w:r>
      <w:r w:rsidR="00051B60" w:rsidRPr="00617BE6">
        <w:rPr>
          <w:lang w:val="en-US"/>
        </w:rPr>
        <w:t>BSR</w:t>
      </w:r>
      <w:r w:rsidR="004160DE" w:rsidRPr="00617BE6">
        <w:rPr>
          <w:lang w:val="en-US"/>
        </w:rPr>
        <w:t>)</w:t>
      </w:r>
      <w:r w:rsidR="00051B60" w:rsidRPr="00617BE6">
        <w:rPr>
          <w:lang w:val="en-US"/>
        </w:rPr>
        <w:t>.</w:t>
      </w:r>
    </w:p>
    <w:p w:rsidR="00EE6949" w:rsidRPr="00617BE6" w:rsidRDefault="0091434C" w:rsidP="005816EB">
      <w:pPr>
        <w:keepNext/>
        <w:ind w:hanging="709"/>
        <w:jc w:val="center"/>
        <w:rPr>
          <w:lang w:val="en-US"/>
        </w:rPr>
      </w:pPr>
      <w:r w:rsidRPr="00617BE6">
        <w:rPr>
          <w:noProof/>
          <w:lang w:val="en-GB" w:eastAsia="en-GB"/>
        </w:rPr>
        <w:drawing>
          <wp:inline distT="0" distB="0" distL="0" distR="0">
            <wp:extent cx="6678365" cy="3339183"/>
            <wp:effectExtent l="0" t="0" r="825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R31a.png"/>
                    <pic:cNvPicPr/>
                  </pic:nvPicPr>
                  <pic:blipFill>
                    <a:blip r:embed="rId7">
                      <a:extLst>
                        <a:ext uri="{28A0092B-C50C-407E-A947-70E740481C1C}">
                          <a14:useLocalDpi xmlns:a14="http://schemas.microsoft.com/office/drawing/2010/main" val="0"/>
                        </a:ext>
                      </a:extLst>
                    </a:blip>
                    <a:stretch>
                      <a:fillRect/>
                    </a:stretch>
                  </pic:blipFill>
                  <pic:spPr>
                    <a:xfrm>
                      <a:off x="0" y="0"/>
                      <a:ext cx="6678365" cy="3339183"/>
                    </a:xfrm>
                    <a:prstGeom prst="rect">
                      <a:avLst/>
                    </a:prstGeom>
                  </pic:spPr>
                </pic:pic>
              </a:graphicData>
            </a:graphic>
          </wp:inline>
        </w:drawing>
      </w:r>
    </w:p>
    <w:p w:rsidR="00F3563F" w:rsidRPr="00617BE6" w:rsidRDefault="00B8461A" w:rsidP="00920A61">
      <w:pPr>
        <w:pStyle w:val="Lgende"/>
        <w:jc w:val="both"/>
        <w:rPr>
          <w:lang w:val="en-US"/>
        </w:rPr>
      </w:pPr>
      <w:bookmarkStart w:id="2" w:name="_Ref44057818"/>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2</w:t>
      </w:r>
      <w:r w:rsidRPr="00617BE6">
        <w:rPr>
          <w:lang w:val="en-US"/>
        </w:rPr>
        <w:fldChar w:fldCharType="end"/>
      </w:r>
      <w:bookmarkEnd w:id="2"/>
      <w:r w:rsidRPr="00617BE6">
        <w:rPr>
          <w:lang w:val="en-US"/>
        </w:rPr>
        <w:t xml:space="preserve"> </w:t>
      </w:r>
      <w:r w:rsidR="00D4701B" w:rsidRPr="00617BE6">
        <w:rPr>
          <w:lang w:val="en-US"/>
        </w:rPr>
        <w:t xml:space="preserve">– </w:t>
      </w:r>
      <w:r w:rsidR="00F26266" w:rsidRPr="00617BE6">
        <w:rPr>
          <w:lang w:val="en-US"/>
        </w:rPr>
        <w:t>Profile</w:t>
      </w:r>
      <w:r w:rsidR="00EE6949" w:rsidRPr="00617BE6">
        <w:rPr>
          <w:lang w:val="en-US"/>
        </w:rPr>
        <w:t xml:space="preserve"> HR 31a </w:t>
      </w:r>
      <w:r w:rsidR="00EE6949" w:rsidRPr="00617BE6">
        <w:rPr>
          <w:noProof/>
          <w:lang w:val="en-US"/>
        </w:rPr>
        <w:t>from the GHASS cruise</w:t>
      </w:r>
      <w:r w:rsidR="002407A8" w:rsidRPr="00617BE6">
        <w:rPr>
          <w:noProof/>
          <w:lang w:val="en-US"/>
        </w:rPr>
        <w:t xml:space="preserve"> (location in</w:t>
      </w:r>
      <w:r w:rsidR="00CD6656" w:rsidRPr="00617BE6">
        <w:rPr>
          <w:noProof/>
          <w:lang w:val="en-US"/>
        </w:rPr>
        <w:t xml:space="preserve"> </w:t>
      </w:r>
      <w:r w:rsidR="00CD6656" w:rsidRPr="00617BE6">
        <w:rPr>
          <w:noProof/>
          <w:lang w:val="en-US"/>
        </w:rPr>
        <w:fldChar w:fldCharType="begin"/>
      </w:r>
      <w:r w:rsidR="00CD6656" w:rsidRPr="00617BE6">
        <w:rPr>
          <w:noProof/>
          <w:lang w:val="en-US"/>
        </w:rPr>
        <w:instrText xml:space="preserve"> REF _Ref44057805 \h </w:instrText>
      </w:r>
      <w:r w:rsidR="00CD6656" w:rsidRPr="00617BE6">
        <w:rPr>
          <w:noProof/>
          <w:lang w:val="en-US"/>
        </w:rPr>
      </w:r>
      <w:r w:rsidR="00CD6656" w:rsidRPr="00617BE6">
        <w:rPr>
          <w:noProof/>
          <w:lang w:val="en-US"/>
        </w:rPr>
        <w:fldChar w:fldCharType="separate"/>
      </w:r>
      <w:r w:rsidR="00632410" w:rsidRPr="00617BE6">
        <w:rPr>
          <w:lang w:val="en-US"/>
        </w:rPr>
        <w:t xml:space="preserve">Supplementary Figure </w:t>
      </w:r>
      <w:r w:rsidR="00632410" w:rsidRPr="00617BE6">
        <w:rPr>
          <w:noProof/>
          <w:lang w:val="en-US"/>
        </w:rPr>
        <w:t>1</w:t>
      </w:r>
      <w:r w:rsidR="00CD6656" w:rsidRPr="00617BE6">
        <w:rPr>
          <w:noProof/>
          <w:lang w:val="en-US"/>
        </w:rPr>
        <w:fldChar w:fldCharType="end"/>
      </w:r>
      <w:r w:rsidR="002407A8" w:rsidRPr="00617BE6">
        <w:rPr>
          <w:noProof/>
          <w:lang w:val="en-US"/>
        </w:rPr>
        <w:t>)</w:t>
      </w:r>
      <w:r w:rsidR="00EE6949" w:rsidRPr="00617BE6">
        <w:rPr>
          <w:noProof/>
          <w:lang w:val="en-US"/>
        </w:rPr>
        <w:t>.</w:t>
      </w:r>
      <w:r w:rsidR="005816EB" w:rsidRPr="00617BE6">
        <w:rPr>
          <w:noProof/>
          <w:lang w:val="en-US"/>
        </w:rPr>
        <w:t xml:space="preserve"> The profile present</w:t>
      </w:r>
      <w:r w:rsidR="00871C00" w:rsidRPr="00617BE6">
        <w:rPr>
          <w:noProof/>
          <w:lang w:val="en-US"/>
        </w:rPr>
        <w:t>s</w:t>
      </w:r>
      <w:r w:rsidR="005816EB" w:rsidRPr="00617BE6">
        <w:rPr>
          <w:noProof/>
          <w:lang w:val="en-US"/>
        </w:rPr>
        <w:t xml:space="preserve"> the main geological features of the area.</w:t>
      </w:r>
      <w:r w:rsidR="00223E85" w:rsidRPr="00617BE6">
        <w:rPr>
          <w:noProof/>
          <w:lang w:val="en-US"/>
        </w:rPr>
        <w:t xml:space="preserve"> Around 75 meter</w:t>
      </w:r>
      <w:r w:rsidR="00C24664">
        <w:rPr>
          <w:noProof/>
          <w:lang w:val="en-US"/>
        </w:rPr>
        <w:t>s</w:t>
      </w:r>
      <w:r w:rsidR="00223E85" w:rsidRPr="00617BE6">
        <w:rPr>
          <w:noProof/>
          <w:lang w:val="en-US"/>
        </w:rPr>
        <w:t xml:space="preserve"> below seafloor (mbsf), we observe a thick MTD. The top of the free gas occurrence zone is marked by the BSR. The reflector cross-cuts the stratigraphy. </w:t>
      </w:r>
      <w:r w:rsidR="005816EB" w:rsidRPr="00617BE6">
        <w:rPr>
          <w:noProof/>
          <w:lang w:val="en-US"/>
        </w:rPr>
        <w:t xml:space="preserve">The velocity analysis performed to convert this profile to depth was presented in Ker et al. </w:t>
      </w:r>
      <w:r w:rsidR="005816EB" w:rsidRPr="00617BE6">
        <w:rPr>
          <w:noProof/>
          <w:lang w:val="en-US"/>
        </w:rPr>
        <w:fldChar w:fldCharType="begin"/>
      </w:r>
      <w:r w:rsidR="00527F06" w:rsidRPr="00617BE6">
        <w:rPr>
          <w:noProof/>
          <w:lang w:val="en-US"/>
        </w:rPr>
        <w:instrText xml:space="preserve"> ADDIN ZOTERO_ITEM CSL_CITATION {"citationID":"3SAOAkNr","properties":{"formattedCitation":"(2019)","plainCitation":"(2019)","noteIndex":0},"citationItems":[{"id":1117,"uris":["http://zotero.org/users/4812901/items/7QVN4V6E"],"uri":["http://zotero.org/users/4812901/items/7QVN4V6E"],"itemData":{"id":1117,"type":"article-journal","abstract":"A comprehensive characterization of the gas hydrate system offshore the western Black Sea was performed through an integrated analysis of geophysical data. We detected the Bottom Simulating Reflector (BSR), which marks, in this area, the base of gas hydrate stability. The observed BSR depth does not fit the theoretical steady-state base of gas hydrate stability zone (BGHSZ). We show that the disparity between the BSR and predicted BGHSZ is the result of a transient state of the hydrate system due to the ongoing re-equilibrium since the Last Glacial Maximum. When gas hydrates are brought outside the stability zone due to changes in temperature and sea level, their dissociation generates an increase in interstitial pore pressure. This process is favorable to the re-crystallization of gas hydrates and delays the upward migration of the hydrate stability zone explaining the anomalously deep BSR. The BSR depth, which is commonly used to derive geothermal gradient values by assuming steady state conditions, is used here to derive the maximum excess pore pressure at the base of the gas hydrate stability zone. Derived excess pore pressure values of 1-2 MPa are probably the result of the low permeability of hydrate-bearing sediments. Higher pore pressure values derived at the location of a fault system could cause hydro-fracturing enabling the free gas to cross the gas hydrate stability zone and emerge at the seafloor, forming the flares observed in close vicinity to where the shallow gas hydrates were sampled.","container-title":"Geochemistry, Geophysics, Geosystems","DOI":"10.1029/2018GC007861","ISSN":"15252027","language":"en","page":"442-459","source":"Crossref","title":"Anomalously deep BSR related to a transient state of the gas hydrate system in the western Black Sea","volume":"20","author":[{"family":"Ker","given":"Stephan"},{"family":"Yannick","given":"Thomas"},{"family":"Sultan","given":"Nabil"},{"family":"Bernard","given":"C."},{"family":"Scalabrin","given":"C."},{"family":"Ion","given":"G."},{"family":"Marsset","given":"Bruno"}],"issued":{"date-parts":[["2019",1,3]]}},"suppress-author":true}],"schema":"https://github.com/citation-style-language/schema/raw/master/csl-citation.json"} </w:instrText>
      </w:r>
      <w:r w:rsidR="005816EB" w:rsidRPr="00617BE6">
        <w:rPr>
          <w:noProof/>
          <w:lang w:val="en-US"/>
        </w:rPr>
        <w:fldChar w:fldCharType="separate"/>
      </w:r>
      <w:r w:rsidR="005816EB" w:rsidRPr="00617BE6">
        <w:rPr>
          <w:rFonts w:ascii="Calibri" w:hAnsi="Calibri" w:cs="Calibri"/>
          <w:lang w:val="en-US"/>
        </w:rPr>
        <w:t>(2019)</w:t>
      </w:r>
      <w:r w:rsidR="005816EB" w:rsidRPr="00617BE6">
        <w:rPr>
          <w:noProof/>
          <w:lang w:val="en-US"/>
        </w:rPr>
        <w:fldChar w:fldCharType="end"/>
      </w:r>
      <w:r w:rsidR="005816EB" w:rsidRPr="00617BE6">
        <w:rPr>
          <w:noProof/>
          <w:lang w:val="en-US"/>
        </w:rPr>
        <w:t>. Their study al</w:t>
      </w:r>
      <w:r w:rsidR="00617BE6">
        <w:rPr>
          <w:noProof/>
          <w:lang w:val="en-US"/>
        </w:rPr>
        <w:t>s</w:t>
      </w:r>
      <w:r w:rsidR="005816EB" w:rsidRPr="00617BE6">
        <w:rPr>
          <w:noProof/>
          <w:lang w:val="en-US"/>
        </w:rPr>
        <w:t>o rev</w:t>
      </w:r>
      <w:r w:rsidR="00915F91" w:rsidRPr="00617BE6">
        <w:rPr>
          <w:noProof/>
          <w:lang w:val="en-US"/>
        </w:rPr>
        <w:t>eals the extent of the GHOZ (orange</w:t>
      </w:r>
      <w:r w:rsidR="005816EB" w:rsidRPr="00617BE6">
        <w:rPr>
          <w:noProof/>
          <w:lang w:val="en-US"/>
        </w:rPr>
        <w:t xml:space="preserve"> shaded area). We observe the occurrence of enhanced reflections </w:t>
      </w:r>
      <w:r w:rsidR="00871C00" w:rsidRPr="00617BE6">
        <w:rPr>
          <w:noProof/>
          <w:lang w:val="en-US"/>
        </w:rPr>
        <w:t>above</w:t>
      </w:r>
      <w:r w:rsidR="00E96A20">
        <w:rPr>
          <w:noProof/>
          <w:lang w:val="en-US"/>
        </w:rPr>
        <w:t xml:space="preserve"> the regio</w:t>
      </w:r>
      <w:r w:rsidR="005816EB" w:rsidRPr="00617BE6">
        <w:rPr>
          <w:noProof/>
          <w:lang w:val="en-US"/>
        </w:rPr>
        <w:t>nal trend of the BSR (purple reflectors). We can note the presence of a small enhanced reflection on the le</w:t>
      </w:r>
      <w:r w:rsidR="00915F91" w:rsidRPr="00617BE6">
        <w:rPr>
          <w:noProof/>
          <w:lang w:val="en-US"/>
        </w:rPr>
        <w:t>ft side of the black square (orange</w:t>
      </w:r>
      <w:r w:rsidR="005816EB" w:rsidRPr="00617BE6">
        <w:rPr>
          <w:noProof/>
          <w:lang w:val="en-US"/>
        </w:rPr>
        <w:t xml:space="preserve"> reflector). We assume that this reflection is part of the roof of a more concentrated GH layer (mapped in</w:t>
      </w:r>
      <w:r w:rsidR="00CD6656" w:rsidRPr="00617BE6">
        <w:rPr>
          <w:noProof/>
          <w:lang w:val="en-US"/>
        </w:rPr>
        <w:t xml:space="preserve"> </w:t>
      </w:r>
      <w:r w:rsidR="00CD6656" w:rsidRPr="00617BE6">
        <w:rPr>
          <w:noProof/>
          <w:lang w:val="en-US"/>
        </w:rPr>
        <w:fldChar w:fldCharType="begin"/>
      </w:r>
      <w:r w:rsidR="00CD6656" w:rsidRPr="00617BE6">
        <w:rPr>
          <w:noProof/>
          <w:lang w:val="en-US"/>
        </w:rPr>
        <w:instrText xml:space="preserve"> REF _Ref44057805 \h </w:instrText>
      </w:r>
      <w:r w:rsidR="00CD6656" w:rsidRPr="00617BE6">
        <w:rPr>
          <w:noProof/>
          <w:lang w:val="en-US"/>
        </w:rPr>
      </w:r>
      <w:r w:rsidR="00CD6656" w:rsidRPr="00617BE6">
        <w:rPr>
          <w:noProof/>
          <w:lang w:val="en-US"/>
        </w:rPr>
        <w:fldChar w:fldCharType="separate"/>
      </w:r>
      <w:r w:rsidR="00632410" w:rsidRPr="00617BE6">
        <w:rPr>
          <w:lang w:val="en-US"/>
        </w:rPr>
        <w:t xml:space="preserve">Supplementary Figure </w:t>
      </w:r>
      <w:r w:rsidR="00632410" w:rsidRPr="00617BE6">
        <w:rPr>
          <w:noProof/>
          <w:lang w:val="en-US"/>
        </w:rPr>
        <w:t>1</w:t>
      </w:r>
      <w:r w:rsidR="00CD6656" w:rsidRPr="00617BE6">
        <w:rPr>
          <w:noProof/>
          <w:lang w:val="en-US"/>
        </w:rPr>
        <w:fldChar w:fldCharType="end"/>
      </w:r>
      <w:r w:rsidR="00883EB5" w:rsidRPr="00617BE6">
        <w:rPr>
          <w:noProof/>
          <w:lang w:val="en-US"/>
        </w:rPr>
        <w:t>)</w:t>
      </w:r>
      <w:r w:rsidR="005816EB" w:rsidRPr="00617BE6">
        <w:rPr>
          <w:noProof/>
          <w:lang w:val="en-US"/>
        </w:rPr>
        <w:t>.</w:t>
      </w:r>
      <w:r w:rsidR="00F3563F" w:rsidRPr="00617BE6">
        <w:rPr>
          <w:lang w:val="en-US"/>
        </w:rPr>
        <w:t xml:space="preserve"> MTD = mass transport deposit, GHOZ = gas hydrate occurrence zone, BGHSZ = base of the gas hydrate stabil</w:t>
      </w:r>
      <w:r w:rsidR="00F7543C" w:rsidRPr="00617BE6">
        <w:rPr>
          <w:lang w:val="en-US"/>
        </w:rPr>
        <w:t>ity zone, ER = enhanced reflection</w:t>
      </w:r>
      <w:r w:rsidR="00F3563F" w:rsidRPr="00617BE6">
        <w:rPr>
          <w:lang w:val="en-US"/>
        </w:rPr>
        <w:t>, BS</w:t>
      </w:r>
      <w:r w:rsidR="00FD121A" w:rsidRPr="00617BE6">
        <w:rPr>
          <w:lang w:val="en-US"/>
        </w:rPr>
        <w:t>R = bottom-</w:t>
      </w:r>
      <w:r w:rsidR="007B793A" w:rsidRPr="00617BE6">
        <w:rPr>
          <w:lang w:val="en-US"/>
        </w:rPr>
        <w:t>simulating reflector.</w:t>
      </w:r>
    </w:p>
    <w:p w:rsidR="00746F21" w:rsidRPr="00617BE6" w:rsidRDefault="00746F21" w:rsidP="00EE6949">
      <w:pPr>
        <w:pStyle w:val="Lgende"/>
        <w:jc w:val="center"/>
        <w:rPr>
          <w:noProof/>
          <w:lang w:val="en-US"/>
        </w:rPr>
      </w:pPr>
    </w:p>
    <w:p w:rsidR="008764C5" w:rsidRPr="00617BE6" w:rsidRDefault="0091434C" w:rsidP="008764C5">
      <w:pPr>
        <w:keepNext/>
        <w:ind w:hanging="709"/>
        <w:rPr>
          <w:lang w:val="en-US"/>
        </w:rPr>
      </w:pPr>
      <w:r w:rsidRPr="00617BE6">
        <w:rPr>
          <w:noProof/>
          <w:lang w:val="en-GB" w:eastAsia="en-GB"/>
        </w:rPr>
        <w:lastRenderedPageBreak/>
        <w:drawing>
          <wp:inline distT="0" distB="0" distL="0" distR="0">
            <wp:extent cx="6602781" cy="3301391"/>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01PR13.png"/>
                    <pic:cNvPicPr/>
                  </pic:nvPicPr>
                  <pic:blipFill>
                    <a:blip r:embed="rId8">
                      <a:extLst>
                        <a:ext uri="{28A0092B-C50C-407E-A947-70E740481C1C}">
                          <a14:useLocalDpi xmlns:a14="http://schemas.microsoft.com/office/drawing/2010/main" val="0"/>
                        </a:ext>
                      </a:extLst>
                    </a:blip>
                    <a:stretch>
                      <a:fillRect/>
                    </a:stretch>
                  </pic:blipFill>
                  <pic:spPr>
                    <a:xfrm>
                      <a:off x="0" y="0"/>
                      <a:ext cx="6602781" cy="3301391"/>
                    </a:xfrm>
                    <a:prstGeom prst="rect">
                      <a:avLst/>
                    </a:prstGeom>
                  </pic:spPr>
                </pic:pic>
              </a:graphicData>
            </a:graphic>
          </wp:inline>
        </w:drawing>
      </w:r>
    </w:p>
    <w:p w:rsidR="001F2C3F" w:rsidRPr="00617BE6" w:rsidRDefault="005F2FB3" w:rsidP="00920A61">
      <w:pPr>
        <w:pStyle w:val="Lgende"/>
        <w:jc w:val="both"/>
        <w:rPr>
          <w:lang w:val="en-US"/>
        </w:rPr>
      </w:pPr>
      <w:bookmarkStart w:id="3" w:name="_Ref44057823"/>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3</w:t>
      </w:r>
      <w:r w:rsidRPr="00617BE6">
        <w:rPr>
          <w:lang w:val="en-US"/>
        </w:rPr>
        <w:fldChar w:fldCharType="end"/>
      </w:r>
      <w:bookmarkEnd w:id="3"/>
      <w:r w:rsidRPr="00617BE6">
        <w:rPr>
          <w:lang w:val="en-US"/>
        </w:rPr>
        <w:t xml:space="preserve"> </w:t>
      </w:r>
      <w:r w:rsidR="00CC014A" w:rsidRPr="00617BE6">
        <w:rPr>
          <w:lang w:val="en-US"/>
        </w:rPr>
        <w:t xml:space="preserve">– </w:t>
      </w:r>
      <w:r w:rsidR="008764C5" w:rsidRPr="00617BE6">
        <w:rPr>
          <w:lang w:val="en-US"/>
        </w:rPr>
        <w:t xml:space="preserve">VHR profile PL01PR013 </w:t>
      </w:r>
      <w:r w:rsidR="000941DF" w:rsidRPr="00617BE6">
        <w:rPr>
          <w:noProof/>
          <w:lang w:val="en-US"/>
        </w:rPr>
        <w:t>from</w:t>
      </w:r>
      <w:r w:rsidR="008764C5" w:rsidRPr="00617BE6">
        <w:rPr>
          <w:noProof/>
          <w:lang w:val="en-US"/>
        </w:rPr>
        <w:t xml:space="preserve"> the GHASS cruise</w:t>
      </w:r>
      <w:r w:rsidR="002407A8" w:rsidRPr="00617BE6">
        <w:rPr>
          <w:noProof/>
          <w:lang w:val="en-US"/>
        </w:rPr>
        <w:t xml:space="preserve"> (location in </w:t>
      </w:r>
      <w:r w:rsidR="00B82869" w:rsidRPr="00617BE6">
        <w:rPr>
          <w:noProof/>
          <w:lang w:val="en-US"/>
        </w:rPr>
        <w:fldChar w:fldCharType="begin"/>
      </w:r>
      <w:r w:rsidR="00B82869" w:rsidRPr="00617BE6">
        <w:rPr>
          <w:noProof/>
          <w:lang w:val="en-US"/>
        </w:rPr>
        <w:instrText xml:space="preserve"> REF _Ref44057805 \h </w:instrText>
      </w:r>
      <w:r w:rsidR="00B82869" w:rsidRPr="00617BE6">
        <w:rPr>
          <w:noProof/>
          <w:lang w:val="en-US"/>
        </w:rPr>
      </w:r>
      <w:r w:rsidR="00B82869" w:rsidRPr="00617BE6">
        <w:rPr>
          <w:noProof/>
          <w:lang w:val="en-US"/>
        </w:rPr>
        <w:fldChar w:fldCharType="separate"/>
      </w:r>
      <w:r w:rsidR="00632410" w:rsidRPr="00617BE6">
        <w:rPr>
          <w:lang w:val="en-US"/>
        </w:rPr>
        <w:t xml:space="preserve">Supplementary Figure </w:t>
      </w:r>
      <w:r w:rsidR="00632410" w:rsidRPr="00617BE6">
        <w:rPr>
          <w:noProof/>
          <w:lang w:val="en-US"/>
        </w:rPr>
        <w:t>1</w:t>
      </w:r>
      <w:r w:rsidR="00B82869" w:rsidRPr="00617BE6">
        <w:rPr>
          <w:noProof/>
          <w:lang w:val="en-US"/>
        </w:rPr>
        <w:fldChar w:fldCharType="end"/>
      </w:r>
      <w:r w:rsidR="0097142E" w:rsidRPr="00617BE6">
        <w:rPr>
          <w:b/>
          <w:noProof/>
          <w:lang w:val="en-US"/>
        </w:rPr>
        <w:t xml:space="preserve"> </w:t>
      </w:r>
      <w:r w:rsidR="0097142E" w:rsidRPr="00617BE6">
        <w:rPr>
          <w:noProof/>
          <w:lang w:val="en-US"/>
        </w:rPr>
        <w:t>a</w:t>
      </w:r>
      <w:r w:rsidR="00435BF3" w:rsidRPr="00617BE6">
        <w:rPr>
          <w:noProof/>
          <w:lang w:val="en-US"/>
        </w:rPr>
        <w:t>nd</w:t>
      </w:r>
      <w:r w:rsidR="00B82869" w:rsidRPr="00617BE6">
        <w:rPr>
          <w:noProof/>
          <w:lang w:val="en-US"/>
        </w:rPr>
        <w:t xml:space="preserve"> </w:t>
      </w:r>
      <w:r w:rsidR="00B82869" w:rsidRPr="00617BE6">
        <w:rPr>
          <w:noProof/>
          <w:lang w:val="en-US"/>
        </w:rPr>
        <w:fldChar w:fldCharType="begin"/>
      </w:r>
      <w:r w:rsidR="00B82869" w:rsidRPr="00617BE6">
        <w:rPr>
          <w:noProof/>
          <w:lang w:val="en-US"/>
        </w:rPr>
        <w:instrText xml:space="preserve"> REF _Ref44057818 \h </w:instrText>
      </w:r>
      <w:r w:rsidR="00B82869" w:rsidRPr="00617BE6">
        <w:rPr>
          <w:noProof/>
          <w:lang w:val="en-US"/>
        </w:rPr>
      </w:r>
      <w:r w:rsidR="00B82869" w:rsidRPr="00617BE6">
        <w:rPr>
          <w:noProof/>
          <w:lang w:val="en-US"/>
        </w:rPr>
        <w:fldChar w:fldCharType="separate"/>
      </w:r>
      <w:r w:rsidR="00632410" w:rsidRPr="00617BE6">
        <w:rPr>
          <w:lang w:val="en-US"/>
        </w:rPr>
        <w:t xml:space="preserve">Supplementary Figure </w:t>
      </w:r>
      <w:r w:rsidR="00632410" w:rsidRPr="00617BE6">
        <w:rPr>
          <w:noProof/>
          <w:lang w:val="en-US"/>
        </w:rPr>
        <w:t>2</w:t>
      </w:r>
      <w:r w:rsidR="00B82869" w:rsidRPr="00617BE6">
        <w:rPr>
          <w:noProof/>
          <w:lang w:val="en-US"/>
        </w:rPr>
        <w:fldChar w:fldCharType="end"/>
      </w:r>
      <w:r w:rsidR="002407A8" w:rsidRPr="00617BE6">
        <w:rPr>
          <w:noProof/>
          <w:lang w:val="en-US"/>
        </w:rPr>
        <w:t>)</w:t>
      </w:r>
      <w:r w:rsidR="008764C5" w:rsidRPr="00617BE6">
        <w:rPr>
          <w:noProof/>
          <w:lang w:val="en-US"/>
        </w:rPr>
        <w:t>.</w:t>
      </w:r>
      <w:r w:rsidR="003D289B" w:rsidRPr="00617BE6">
        <w:rPr>
          <w:noProof/>
          <w:lang w:val="en-US"/>
        </w:rPr>
        <w:t xml:space="preserve"> This profile offers a higher resolution version of </w:t>
      </w:r>
      <w:r w:rsidR="00DF6B1E" w:rsidRPr="00617BE6">
        <w:rPr>
          <w:noProof/>
          <w:lang w:val="en-US"/>
        </w:rPr>
        <w:fldChar w:fldCharType="begin"/>
      </w:r>
      <w:r w:rsidR="00DF6B1E" w:rsidRPr="00617BE6">
        <w:rPr>
          <w:noProof/>
          <w:lang w:val="en-US"/>
        </w:rPr>
        <w:instrText xml:space="preserve"> REF _Ref44057818 \h </w:instrText>
      </w:r>
      <w:r w:rsidR="00DF6B1E" w:rsidRPr="00617BE6">
        <w:rPr>
          <w:noProof/>
          <w:lang w:val="en-US"/>
        </w:rPr>
      </w:r>
      <w:r w:rsidR="00DF6B1E" w:rsidRPr="00617BE6">
        <w:rPr>
          <w:noProof/>
          <w:lang w:val="en-US"/>
        </w:rPr>
        <w:fldChar w:fldCharType="separate"/>
      </w:r>
      <w:r w:rsidR="00632410" w:rsidRPr="00617BE6">
        <w:rPr>
          <w:lang w:val="en-US"/>
        </w:rPr>
        <w:t xml:space="preserve">Supplementary Figure </w:t>
      </w:r>
      <w:r w:rsidR="00632410" w:rsidRPr="00617BE6">
        <w:rPr>
          <w:noProof/>
          <w:lang w:val="en-US"/>
        </w:rPr>
        <w:t>2</w:t>
      </w:r>
      <w:r w:rsidR="00DF6B1E" w:rsidRPr="00617BE6">
        <w:rPr>
          <w:noProof/>
          <w:lang w:val="en-US"/>
        </w:rPr>
        <w:fldChar w:fldCharType="end"/>
      </w:r>
      <w:r w:rsidR="00F967EA" w:rsidRPr="00617BE6">
        <w:rPr>
          <w:noProof/>
          <w:lang w:val="en-US"/>
        </w:rPr>
        <w:t xml:space="preserve"> </w:t>
      </w:r>
      <w:r w:rsidR="00CA1849" w:rsidRPr="00617BE6">
        <w:rPr>
          <w:noProof/>
          <w:lang w:val="en-US"/>
        </w:rPr>
        <w:t>(black rectangle)</w:t>
      </w:r>
      <w:r w:rsidR="003D289B" w:rsidRPr="00617BE6">
        <w:rPr>
          <w:noProof/>
          <w:lang w:val="en-US"/>
        </w:rPr>
        <w:t>.</w:t>
      </w:r>
      <w:r w:rsidR="00E76387" w:rsidRPr="00617BE6">
        <w:rPr>
          <w:noProof/>
          <w:lang w:val="en-US"/>
        </w:rPr>
        <w:t xml:space="preserve"> The presence of free gas </w:t>
      </w:r>
      <w:r w:rsidR="00871C00" w:rsidRPr="00617BE6">
        <w:rPr>
          <w:noProof/>
          <w:lang w:val="en-US"/>
        </w:rPr>
        <w:t>above</w:t>
      </w:r>
      <w:r w:rsidR="00E76387" w:rsidRPr="00617BE6">
        <w:rPr>
          <w:noProof/>
          <w:lang w:val="en-US"/>
        </w:rPr>
        <w:t xml:space="preserve"> the regional trend of the BSR is mo</w:t>
      </w:r>
      <w:r w:rsidR="003F6BA3" w:rsidRPr="00617BE6">
        <w:rPr>
          <w:noProof/>
          <w:lang w:val="en-US"/>
        </w:rPr>
        <w:t>re apparent (purple reflectors). The GH related enhanced reflection (</w:t>
      </w:r>
      <w:r w:rsidR="00E25CF3" w:rsidRPr="00617BE6">
        <w:rPr>
          <w:noProof/>
          <w:lang w:val="en-US"/>
        </w:rPr>
        <w:t>orange</w:t>
      </w:r>
      <w:r w:rsidR="003F6BA3" w:rsidRPr="00617BE6">
        <w:rPr>
          <w:noProof/>
          <w:lang w:val="en-US"/>
        </w:rPr>
        <w:t xml:space="preserve"> reflector) is more easily discernable.</w:t>
      </w:r>
      <w:r w:rsidR="001F2C3F" w:rsidRPr="00617BE6">
        <w:rPr>
          <w:lang w:val="en-US"/>
        </w:rPr>
        <w:t xml:space="preserve"> MTD = mass transport deposit, GHOZ = gas hydrate occurrence zone, BGHSZ = base of the gas hydrate stabili</w:t>
      </w:r>
      <w:r w:rsidR="00F7543C" w:rsidRPr="00617BE6">
        <w:rPr>
          <w:lang w:val="en-US"/>
        </w:rPr>
        <w:t>ty zone, ER = enhanced reflection</w:t>
      </w:r>
      <w:r w:rsidR="00DF32C5" w:rsidRPr="00617BE6">
        <w:rPr>
          <w:lang w:val="en-US"/>
        </w:rPr>
        <w:t>, BSR = bottom-simulating reflector</w:t>
      </w:r>
      <w:r w:rsidR="001F2C3F" w:rsidRPr="00617BE6">
        <w:rPr>
          <w:lang w:val="en-US"/>
        </w:rPr>
        <w:t>.</w:t>
      </w:r>
    </w:p>
    <w:p w:rsidR="00EE6949" w:rsidRPr="00617BE6" w:rsidRDefault="00EE6949" w:rsidP="006174AC">
      <w:pPr>
        <w:pStyle w:val="Lgende"/>
        <w:jc w:val="both"/>
        <w:rPr>
          <w:noProof/>
          <w:lang w:val="en-US"/>
        </w:rPr>
      </w:pPr>
    </w:p>
    <w:p w:rsidR="0003669F" w:rsidRPr="00617BE6" w:rsidRDefault="0091434C" w:rsidP="0003669F">
      <w:pPr>
        <w:keepNext/>
        <w:ind w:hanging="851"/>
        <w:rPr>
          <w:lang w:val="en-US"/>
        </w:rPr>
      </w:pPr>
      <w:r w:rsidRPr="00617BE6">
        <w:rPr>
          <w:noProof/>
          <w:lang w:val="en-GB" w:eastAsia="en-GB"/>
        </w:rPr>
        <w:drawing>
          <wp:inline distT="0" distB="0" distL="0" distR="0">
            <wp:extent cx="6953245" cy="3476623"/>
            <wp:effectExtent l="0" t="0" r="63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03PR07.png"/>
                    <pic:cNvPicPr/>
                  </pic:nvPicPr>
                  <pic:blipFill>
                    <a:blip r:embed="rId9">
                      <a:extLst>
                        <a:ext uri="{28A0092B-C50C-407E-A947-70E740481C1C}">
                          <a14:useLocalDpi xmlns:a14="http://schemas.microsoft.com/office/drawing/2010/main" val="0"/>
                        </a:ext>
                      </a:extLst>
                    </a:blip>
                    <a:stretch>
                      <a:fillRect/>
                    </a:stretch>
                  </pic:blipFill>
                  <pic:spPr>
                    <a:xfrm>
                      <a:off x="0" y="0"/>
                      <a:ext cx="6953245" cy="3476623"/>
                    </a:xfrm>
                    <a:prstGeom prst="rect">
                      <a:avLst/>
                    </a:prstGeom>
                  </pic:spPr>
                </pic:pic>
              </a:graphicData>
            </a:graphic>
          </wp:inline>
        </w:drawing>
      </w:r>
    </w:p>
    <w:p w:rsidR="008764C5" w:rsidRPr="00617BE6" w:rsidRDefault="005F2FB3" w:rsidP="00920A61">
      <w:pPr>
        <w:pStyle w:val="Lgende"/>
        <w:jc w:val="both"/>
        <w:rPr>
          <w:lang w:val="en-US"/>
        </w:rPr>
      </w:pPr>
      <w:bookmarkStart w:id="4" w:name="_Ref44057826"/>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4</w:t>
      </w:r>
      <w:r w:rsidRPr="00617BE6">
        <w:rPr>
          <w:lang w:val="en-US"/>
        </w:rPr>
        <w:fldChar w:fldCharType="end"/>
      </w:r>
      <w:bookmarkEnd w:id="4"/>
      <w:r w:rsidRPr="00617BE6">
        <w:rPr>
          <w:lang w:val="en-US"/>
        </w:rPr>
        <w:t xml:space="preserve"> </w:t>
      </w:r>
      <w:r w:rsidR="00F8021F" w:rsidRPr="00617BE6">
        <w:rPr>
          <w:lang w:val="en-US"/>
        </w:rPr>
        <w:t xml:space="preserve">– </w:t>
      </w:r>
      <w:r w:rsidR="0003669F" w:rsidRPr="00617BE6">
        <w:rPr>
          <w:lang w:val="en-US"/>
        </w:rPr>
        <w:t>VHR profile PL03PR07 from the GHASS cruise</w:t>
      </w:r>
      <w:r w:rsidR="002407A8" w:rsidRPr="00617BE6">
        <w:rPr>
          <w:noProof/>
          <w:lang w:val="en-US"/>
        </w:rPr>
        <w:t xml:space="preserve"> (location in </w:t>
      </w:r>
      <w:r w:rsidR="00DF6B1E" w:rsidRPr="00617BE6">
        <w:rPr>
          <w:noProof/>
          <w:lang w:val="en-US"/>
        </w:rPr>
        <w:fldChar w:fldCharType="begin"/>
      </w:r>
      <w:r w:rsidR="00DF6B1E" w:rsidRPr="00617BE6">
        <w:rPr>
          <w:noProof/>
          <w:lang w:val="en-US"/>
        </w:rPr>
        <w:instrText xml:space="preserve"> REF _Ref44057805 \h </w:instrText>
      </w:r>
      <w:r w:rsidR="00DF6B1E" w:rsidRPr="00617BE6">
        <w:rPr>
          <w:noProof/>
          <w:lang w:val="en-US"/>
        </w:rPr>
      </w:r>
      <w:r w:rsidR="00DF6B1E" w:rsidRPr="00617BE6">
        <w:rPr>
          <w:noProof/>
          <w:lang w:val="en-US"/>
        </w:rPr>
        <w:fldChar w:fldCharType="separate"/>
      </w:r>
      <w:r w:rsidR="00632410" w:rsidRPr="00617BE6">
        <w:rPr>
          <w:lang w:val="en-US"/>
        </w:rPr>
        <w:t xml:space="preserve">Supplementary Figure </w:t>
      </w:r>
      <w:r w:rsidR="00632410" w:rsidRPr="00617BE6">
        <w:rPr>
          <w:noProof/>
          <w:lang w:val="en-US"/>
        </w:rPr>
        <w:t>1</w:t>
      </w:r>
      <w:r w:rsidR="00DF6B1E" w:rsidRPr="00617BE6">
        <w:rPr>
          <w:noProof/>
          <w:lang w:val="en-US"/>
        </w:rPr>
        <w:fldChar w:fldCharType="end"/>
      </w:r>
      <w:r w:rsidR="002407A8" w:rsidRPr="00617BE6">
        <w:rPr>
          <w:noProof/>
          <w:lang w:val="en-US"/>
        </w:rPr>
        <w:t>)</w:t>
      </w:r>
      <w:r w:rsidR="0003669F" w:rsidRPr="00617BE6">
        <w:rPr>
          <w:lang w:val="en-US"/>
        </w:rPr>
        <w:t>.</w:t>
      </w:r>
      <w:r w:rsidR="00950CB6" w:rsidRPr="00617BE6">
        <w:rPr>
          <w:lang w:val="en-US"/>
        </w:rPr>
        <w:t xml:space="preserve"> This profile </w:t>
      </w:r>
      <w:r w:rsidR="00036330" w:rsidRPr="00617BE6">
        <w:rPr>
          <w:lang w:val="en-US"/>
        </w:rPr>
        <w:t xml:space="preserve">is </w:t>
      </w:r>
      <w:r w:rsidR="00950CB6" w:rsidRPr="00617BE6">
        <w:rPr>
          <w:lang w:val="en-US"/>
        </w:rPr>
        <w:t xml:space="preserve">crossing profile PL01PR12 presented in </w:t>
      </w:r>
      <w:r w:rsidR="00950CB6" w:rsidRPr="00C87438">
        <w:rPr>
          <w:lang w:val="en-US"/>
        </w:rPr>
        <w:t>Figure 3</w:t>
      </w:r>
      <w:r w:rsidR="00E2756D" w:rsidRPr="00C87438">
        <w:rPr>
          <w:lang w:val="en-US"/>
        </w:rPr>
        <w:t xml:space="preserve"> of the article</w:t>
      </w:r>
      <w:r w:rsidR="005A5AAD" w:rsidRPr="00617BE6">
        <w:rPr>
          <w:lang w:val="en-US"/>
        </w:rPr>
        <w:t xml:space="preserve">. As such, we observe the same </w:t>
      </w:r>
      <w:r w:rsidR="00F066D6" w:rsidRPr="00617BE6">
        <w:rPr>
          <w:lang w:val="en-US"/>
        </w:rPr>
        <w:t xml:space="preserve">geological </w:t>
      </w:r>
      <w:r w:rsidR="005A5AAD" w:rsidRPr="00617BE6">
        <w:rPr>
          <w:lang w:val="en-US"/>
        </w:rPr>
        <w:t>features</w:t>
      </w:r>
      <w:r w:rsidR="00A27003" w:rsidRPr="00617BE6">
        <w:rPr>
          <w:lang w:val="en-US"/>
        </w:rPr>
        <w:t xml:space="preserve"> are imaged</w:t>
      </w:r>
      <w:r w:rsidR="005A5AAD" w:rsidRPr="00617BE6">
        <w:rPr>
          <w:lang w:val="en-US"/>
        </w:rPr>
        <w:t>. However, the different bearing of the profile allow</w:t>
      </w:r>
      <w:r w:rsidR="00C24664">
        <w:rPr>
          <w:lang w:val="en-US"/>
        </w:rPr>
        <w:t>s</w:t>
      </w:r>
      <w:r w:rsidR="005A5AAD" w:rsidRPr="00617BE6">
        <w:rPr>
          <w:lang w:val="en-US"/>
        </w:rPr>
        <w:t xml:space="preserve"> us to confirm that the features observed are unlikely to be imaging </w:t>
      </w:r>
      <w:r w:rsidR="00C24664" w:rsidRPr="00617BE6">
        <w:rPr>
          <w:lang w:val="en-US"/>
        </w:rPr>
        <w:t>art</w:t>
      </w:r>
      <w:r w:rsidR="00C24664">
        <w:rPr>
          <w:lang w:val="en-US"/>
        </w:rPr>
        <w:t>i</w:t>
      </w:r>
      <w:r w:rsidR="00C24664" w:rsidRPr="00617BE6">
        <w:rPr>
          <w:lang w:val="en-US"/>
        </w:rPr>
        <w:t>facts</w:t>
      </w:r>
      <w:r w:rsidR="005A5AAD" w:rsidRPr="00617BE6">
        <w:rPr>
          <w:lang w:val="en-US"/>
        </w:rPr>
        <w:t>.</w:t>
      </w:r>
      <w:r w:rsidR="008C2691" w:rsidRPr="00617BE6">
        <w:rPr>
          <w:lang w:val="en-US"/>
        </w:rPr>
        <w:t xml:space="preserve"> MTD = mass transport deposit, GHOZ = gas hydrate occurrence zone, BGHSZ = base of the gas hydrate stabil</w:t>
      </w:r>
      <w:r w:rsidR="00F7543C" w:rsidRPr="00617BE6">
        <w:rPr>
          <w:lang w:val="en-US"/>
        </w:rPr>
        <w:t>ity zone, ER = enhanced reflection</w:t>
      </w:r>
      <w:r w:rsidR="00FD121A" w:rsidRPr="00617BE6">
        <w:rPr>
          <w:lang w:val="en-US"/>
        </w:rPr>
        <w:t>, BSR = bottom-simulating reflector.</w:t>
      </w:r>
    </w:p>
    <w:p w:rsidR="00390FAB" w:rsidRPr="00617BE6" w:rsidRDefault="00390FAB" w:rsidP="00390FAB">
      <w:pPr>
        <w:rPr>
          <w:lang w:val="en-US"/>
        </w:rPr>
      </w:pPr>
    </w:p>
    <w:p w:rsidR="00390FAB" w:rsidRPr="00617BE6" w:rsidRDefault="0091434C" w:rsidP="00390FAB">
      <w:pPr>
        <w:keepNext/>
        <w:ind w:hanging="851"/>
        <w:rPr>
          <w:lang w:val="en-US"/>
        </w:rPr>
      </w:pPr>
      <w:r w:rsidRPr="00617BE6">
        <w:rPr>
          <w:noProof/>
          <w:lang w:val="en-GB" w:eastAsia="en-GB"/>
        </w:rPr>
        <w:drawing>
          <wp:inline distT="0" distB="0" distL="0" distR="0">
            <wp:extent cx="6859379" cy="342969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L03PR11.png"/>
                    <pic:cNvPicPr/>
                  </pic:nvPicPr>
                  <pic:blipFill>
                    <a:blip r:embed="rId10">
                      <a:extLst>
                        <a:ext uri="{28A0092B-C50C-407E-A947-70E740481C1C}">
                          <a14:useLocalDpi xmlns:a14="http://schemas.microsoft.com/office/drawing/2010/main" val="0"/>
                        </a:ext>
                      </a:extLst>
                    </a:blip>
                    <a:stretch>
                      <a:fillRect/>
                    </a:stretch>
                  </pic:blipFill>
                  <pic:spPr>
                    <a:xfrm>
                      <a:off x="0" y="0"/>
                      <a:ext cx="6859379" cy="3429690"/>
                    </a:xfrm>
                    <a:prstGeom prst="rect">
                      <a:avLst/>
                    </a:prstGeom>
                  </pic:spPr>
                </pic:pic>
              </a:graphicData>
            </a:graphic>
          </wp:inline>
        </w:drawing>
      </w:r>
    </w:p>
    <w:p w:rsidR="002856E5" w:rsidRPr="00617BE6" w:rsidRDefault="005F2FB3" w:rsidP="00920A61">
      <w:pPr>
        <w:pStyle w:val="Lgende"/>
        <w:jc w:val="both"/>
        <w:rPr>
          <w:lang w:val="en-US"/>
        </w:rPr>
      </w:pPr>
      <w:bookmarkStart w:id="5" w:name="_Ref44057827"/>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5</w:t>
      </w:r>
      <w:r w:rsidRPr="00617BE6">
        <w:rPr>
          <w:lang w:val="en-US"/>
        </w:rPr>
        <w:fldChar w:fldCharType="end"/>
      </w:r>
      <w:bookmarkEnd w:id="5"/>
      <w:r w:rsidRPr="00617BE6">
        <w:rPr>
          <w:lang w:val="en-US"/>
        </w:rPr>
        <w:t xml:space="preserve"> </w:t>
      </w:r>
      <w:r w:rsidR="000B6FCE" w:rsidRPr="00617BE6">
        <w:rPr>
          <w:lang w:val="en-US"/>
        </w:rPr>
        <w:t xml:space="preserve">– </w:t>
      </w:r>
      <w:r w:rsidR="00390FAB" w:rsidRPr="00617BE6">
        <w:rPr>
          <w:lang w:val="en-US"/>
        </w:rPr>
        <w:t>VHR profile PL03PR11 from the GHASS cruise</w:t>
      </w:r>
      <w:r w:rsidR="002407A8" w:rsidRPr="00617BE6">
        <w:rPr>
          <w:noProof/>
          <w:lang w:val="en-US"/>
        </w:rPr>
        <w:t xml:space="preserve"> (location in </w:t>
      </w:r>
      <w:r w:rsidR="00AA70DA" w:rsidRPr="00617BE6">
        <w:rPr>
          <w:noProof/>
          <w:lang w:val="en-US"/>
        </w:rPr>
        <w:fldChar w:fldCharType="begin"/>
      </w:r>
      <w:r w:rsidR="00AA70DA" w:rsidRPr="00617BE6">
        <w:rPr>
          <w:noProof/>
          <w:lang w:val="en-US"/>
        </w:rPr>
        <w:instrText xml:space="preserve"> REF _Ref44057805 \h </w:instrText>
      </w:r>
      <w:r w:rsidR="00AA70DA" w:rsidRPr="00617BE6">
        <w:rPr>
          <w:noProof/>
          <w:lang w:val="en-US"/>
        </w:rPr>
      </w:r>
      <w:r w:rsidR="00AA70DA" w:rsidRPr="00617BE6">
        <w:rPr>
          <w:noProof/>
          <w:lang w:val="en-US"/>
        </w:rPr>
        <w:fldChar w:fldCharType="separate"/>
      </w:r>
      <w:r w:rsidR="00632410" w:rsidRPr="00617BE6">
        <w:rPr>
          <w:lang w:val="en-US"/>
        </w:rPr>
        <w:t xml:space="preserve">Supplementary Figure </w:t>
      </w:r>
      <w:r w:rsidR="00632410" w:rsidRPr="00617BE6">
        <w:rPr>
          <w:noProof/>
          <w:lang w:val="en-US"/>
        </w:rPr>
        <w:t>1</w:t>
      </w:r>
      <w:r w:rsidR="00AA70DA" w:rsidRPr="00617BE6">
        <w:rPr>
          <w:noProof/>
          <w:lang w:val="en-US"/>
        </w:rPr>
        <w:fldChar w:fldCharType="end"/>
      </w:r>
      <w:r w:rsidR="002407A8" w:rsidRPr="00617BE6">
        <w:rPr>
          <w:noProof/>
          <w:lang w:val="en-US"/>
        </w:rPr>
        <w:t>)</w:t>
      </w:r>
      <w:r w:rsidR="00390FAB" w:rsidRPr="00617BE6">
        <w:rPr>
          <w:lang w:val="en-US"/>
        </w:rPr>
        <w:t>.</w:t>
      </w:r>
      <w:r w:rsidR="00EF0ED0" w:rsidRPr="00617BE6">
        <w:rPr>
          <w:lang w:val="en-US"/>
        </w:rPr>
        <w:t xml:space="preserve"> In this profile, we observe a single gas patch </w:t>
      </w:r>
      <w:r w:rsidR="00871C00" w:rsidRPr="00617BE6">
        <w:rPr>
          <w:lang w:val="en-US"/>
        </w:rPr>
        <w:t>above</w:t>
      </w:r>
      <w:r w:rsidR="00EF0ED0" w:rsidRPr="00617BE6">
        <w:rPr>
          <w:lang w:val="en-US"/>
        </w:rPr>
        <w:t xml:space="preserve"> the </w:t>
      </w:r>
      <w:r w:rsidR="00DF32C5" w:rsidRPr="00617BE6">
        <w:rPr>
          <w:lang w:val="en-US"/>
        </w:rPr>
        <w:t>BSR</w:t>
      </w:r>
      <w:r w:rsidR="00FD121A" w:rsidRPr="00617BE6">
        <w:rPr>
          <w:lang w:val="en-US"/>
        </w:rPr>
        <w:t xml:space="preserve"> </w:t>
      </w:r>
      <w:r w:rsidR="00EF0ED0" w:rsidRPr="00617BE6">
        <w:rPr>
          <w:lang w:val="en-US"/>
        </w:rPr>
        <w:t>(purple reflectors). We also observe the widest</w:t>
      </w:r>
      <w:r w:rsidR="00051B60" w:rsidRPr="00617BE6">
        <w:rPr>
          <w:lang w:val="en-US"/>
        </w:rPr>
        <w:t xml:space="preserve"> imaged</w:t>
      </w:r>
      <w:r w:rsidR="00EF0ED0" w:rsidRPr="00617BE6">
        <w:rPr>
          <w:lang w:val="en-US"/>
        </w:rPr>
        <w:t xml:space="preserve"> extent of the reflector marking the roof of a more concentrated GH layer (</w:t>
      </w:r>
      <w:r w:rsidR="00B61F2E" w:rsidRPr="00617BE6">
        <w:rPr>
          <w:lang w:val="en-US"/>
        </w:rPr>
        <w:t>orange</w:t>
      </w:r>
      <w:r w:rsidR="00397F54" w:rsidRPr="00617BE6">
        <w:rPr>
          <w:lang w:val="en-US"/>
        </w:rPr>
        <w:t xml:space="preserve"> reflector). </w:t>
      </w:r>
      <w:r w:rsidR="00051B60" w:rsidRPr="00617BE6">
        <w:rPr>
          <w:lang w:val="en-US"/>
        </w:rPr>
        <w:t xml:space="preserve">We </w:t>
      </w:r>
      <w:r w:rsidR="00EF0ED0" w:rsidRPr="00617BE6">
        <w:rPr>
          <w:lang w:val="en-US"/>
        </w:rPr>
        <w:t xml:space="preserve">observe a contact between </w:t>
      </w:r>
      <w:r w:rsidR="00051B60" w:rsidRPr="00617BE6">
        <w:rPr>
          <w:lang w:val="en-US"/>
        </w:rPr>
        <w:t>a gas</w:t>
      </w:r>
      <w:r w:rsidR="00CC71DC" w:rsidRPr="00617BE6">
        <w:rPr>
          <w:lang w:val="en-US"/>
        </w:rPr>
        <w:t>-</w:t>
      </w:r>
      <w:r w:rsidR="00EF0ED0" w:rsidRPr="00617BE6">
        <w:rPr>
          <w:lang w:val="en-US"/>
        </w:rPr>
        <w:t xml:space="preserve">charged layer </w:t>
      </w:r>
      <w:r w:rsidR="00871C00" w:rsidRPr="00617BE6">
        <w:rPr>
          <w:lang w:val="en-US"/>
        </w:rPr>
        <w:t>above</w:t>
      </w:r>
      <w:r w:rsidR="00EF0ED0" w:rsidRPr="00617BE6">
        <w:rPr>
          <w:lang w:val="en-US"/>
        </w:rPr>
        <w:t xml:space="preserve"> the BSR and the reflector marking the roof of a more concentrated GH layer.</w:t>
      </w:r>
      <w:r w:rsidR="0007043B" w:rsidRPr="00617BE6">
        <w:rPr>
          <w:lang w:val="en-US"/>
        </w:rPr>
        <w:t xml:space="preserve"> MTD = mass transport deposit, GHOZ = gas hydrate occurrence zone, BGHSZ = base of the gas hydrate stability zone, ER = enhanced reflect</w:t>
      </w:r>
      <w:r w:rsidR="00F7543C" w:rsidRPr="00617BE6">
        <w:rPr>
          <w:lang w:val="en-US"/>
        </w:rPr>
        <w:t>ion</w:t>
      </w:r>
      <w:r w:rsidR="00DF32C5" w:rsidRPr="00617BE6">
        <w:rPr>
          <w:lang w:val="en-US"/>
        </w:rPr>
        <w:t>, BSR = bottom-simulating reflector.</w:t>
      </w:r>
    </w:p>
    <w:p w:rsidR="00E73B42" w:rsidRPr="00617BE6" w:rsidRDefault="00E73B42" w:rsidP="002856E5">
      <w:pPr>
        <w:jc w:val="both"/>
        <w:rPr>
          <w:lang w:val="en-US"/>
        </w:rPr>
      </w:pPr>
    </w:p>
    <w:p w:rsidR="00F6736D" w:rsidRPr="00617BE6" w:rsidRDefault="00F6736D" w:rsidP="00F6736D">
      <w:pPr>
        <w:pStyle w:val="Titre2"/>
        <w:numPr>
          <w:ilvl w:val="0"/>
          <w:numId w:val="3"/>
        </w:numPr>
        <w:rPr>
          <w:lang w:val="en-US"/>
        </w:rPr>
      </w:pPr>
      <w:r w:rsidRPr="00617BE6">
        <w:rPr>
          <w:lang w:val="en-US"/>
        </w:rPr>
        <w:t>Steady state system: salinity anomaly</w:t>
      </w:r>
    </w:p>
    <w:p w:rsidR="00F6736D" w:rsidRPr="00617BE6" w:rsidRDefault="00F6736D" w:rsidP="00F6736D">
      <w:pPr>
        <w:jc w:val="both"/>
        <w:rPr>
          <w:lang w:val="en-US"/>
        </w:rPr>
      </w:pPr>
      <w:r w:rsidRPr="00617BE6">
        <w:rPr>
          <w:lang w:val="en-US"/>
        </w:rPr>
        <w:t xml:space="preserve">The model presented in </w:t>
      </w:r>
      <w:r w:rsidR="00A820B1" w:rsidRPr="00617BE6">
        <w:rPr>
          <w:lang w:val="en-US"/>
        </w:rPr>
        <w:fldChar w:fldCharType="begin"/>
      </w:r>
      <w:r w:rsidR="00A820B1" w:rsidRPr="00617BE6">
        <w:rPr>
          <w:lang w:val="en-US"/>
        </w:rPr>
        <w:instrText xml:space="preserve"> REF _Ref44057828 \h </w:instrText>
      </w:r>
      <w:r w:rsidR="00A820B1" w:rsidRPr="00617BE6">
        <w:rPr>
          <w:lang w:val="en-US"/>
        </w:rPr>
      </w:r>
      <w:r w:rsidR="00A820B1" w:rsidRPr="00617BE6">
        <w:rPr>
          <w:lang w:val="en-US"/>
        </w:rPr>
        <w:fldChar w:fldCharType="separate"/>
      </w:r>
      <w:r w:rsidR="00632410" w:rsidRPr="00617BE6">
        <w:rPr>
          <w:lang w:val="en-US"/>
        </w:rPr>
        <w:t xml:space="preserve">Supplementary Figure </w:t>
      </w:r>
      <w:r w:rsidR="00632410" w:rsidRPr="00617BE6">
        <w:rPr>
          <w:noProof/>
          <w:lang w:val="en-US"/>
        </w:rPr>
        <w:t>6</w:t>
      </w:r>
      <w:r w:rsidR="00A820B1" w:rsidRPr="00617BE6">
        <w:rPr>
          <w:lang w:val="en-US"/>
        </w:rPr>
        <w:fldChar w:fldCharType="end"/>
      </w:r>
      <w:r w:rsidR="00A820B1" w:rsidRPr="00617BE6">
        <w:rPr>
          <w:lang w:val="en-US"/>
        </w:rPr>
        <w:t xml:space="preserve"> </w:t>
      </w:r>
      <w:r w:rsidRPr="00617BE6">
        <w:rPr>
          <w:lang w:val="en-US"/>
        </w:rPr>
        <w:t>explore</w:t>
      </w:r>
      <w:r w:rsidR="00C24664">
        <w:rPr>
          <w:lang w:val="en-US"/>
        </w:rPr>
        <w:t>s</w:t>
      </w:r>
      <w:r w:rsidRPr="00617BE6">
        <w:rPr>
          <w:lang w:val="en-US"/>
        </w:rPr>
        <w:t xml:space="preserve"> the possibility that salinity anomalies could cause </w:t>
      </w:r>
      <w:r w:rsidR="008D6506" w:rsidRPr="00617BE6">
        <w:rPr>
          <w:lang w:val="en-US"/>
        </w:rPr>
        <w:t>gas hydrates (</w:t>
      </w:r>
      <w:r w:rsidRPr="00617BE6">
        <w:rPr>
          <w:lang w:val="en-US"/>
        </w:rPr>
        <w:t>GH</w:t>
      </w:r>
      <w:r w:rsidR="008D6506" w:rsidRPr="00617BE6">
        <w:rPr>
          <w:lang w:val="en-US"/>
        </w:rPr>
        <w:t>)</w:t>
      </w:r>
      <w:r w:rsidRPr="00617BE6">
        <w:rPr>
          <w:lang w:val="en-US"/>
        </w:rPr>
        <w:t xml:space="preserve"> dissociation in particular layers at the base of the GH stability zone (GHSZ) in a steady state system. The geothermal gradient is set at 18.5 °K/km so that, at equilibrium,</w:t>
      </w:r>
      <w:r w:rsidR="00CC71DC" w:rsidRPr="00617BE6">
        <w:rPr>
          <w:lang w:val="en-US"/>
        </w:rPr>
        <w:t xml:space="preserve"> the free gas-GH boundary</w:t>
      </w:r>
      <w:r w:rsidRPr="00617BE6">
        <w:rPr>
          <w:lang w:val="en-US"/>
        </w:rPr>
        <w:t xml:space="preserve"> fits the observed depth in our study area (~1020 m</w:t>
      </w:r>
      <w:r w:rsidR="00EE52B9" w:rsidRPr="00617BE6">
        <w:rPr>
          <w:lang w:val="en-US"/>
        </w:rPr>
        <w:t>eters below sea level (m</w:t>
      </w:r>
      <w:r w:rsidRPr="00617BE6">
        <w:rPr>
          <w:lang w:val="en-US"/>
        </w:rPr>
        <w:t>bsl</w:t>
      </w:r>
      <w:r w:rsidR="00EE52B9" w:rsidRPr="00617BE6">
        <w:rPr>
          <w:lang w:val="en-US"/>
        </w:rPr>
        <w:t>)</w:t>
      </w:r>
      <w:r w:rsidRPr="00617BE6">
        <w:rPr>
          <w:lang w:val="en-US"/>
        </w:rPr>
        <w:t xml:space="preserve"> in 800 m water depth). The salinity profile is typical of the study area: from 22 psu to one psu in the first 25 mbsf and constant at one psu below that. However, a strong salinity anomaly of 22 psu (same as seawater) is added at 150 mbsf (</w:t>
      </w:r>
      <w:r w:rsidR="00C46DCE" w:rsidRPr="00617BE6">
        <w:rPr>
          <w:lang w:val="en-US"/>
        </w:rPr>
        <w:fldChar w:fldCharType="begin"/>
      </w:r>
      <w:r w:rsidR="00C46DCE" w:rsidRPr="00617BE6">
        <w:rPr>
          <w:lang w:val="en-US"/>
        </w:rPr>
        <w:instrText xml:space="preserve"> REF _Ref44057828 \h </w:instrText>
      </w:r>
      <w:r w:rsidR="00C46DCE" w:rsidRPr="00617BE6">
        <w:rPr>
          <w:lang w:val="en-US"/>
        </w:rPr>
      </w:r>
      <w:r w:rsidR="00C46DCE" w:rsidRPr="00617BE6">
        <w:rPr>
          <w:lang w:val="en-US"/>
        </w:rPr>
        <w:fldChar w:fldCharType="separate"/>
      </w:r>
      <w:r w:rsidR="00632410" w:rsidRPr="00617BE6">
        <w:rPr>
          <w:lang w:val="en-US"/>
        </w:rPr>
        <w:t xml:space="preserve">Supplementary Figure </w:t>
      </w:r>
      <w:r w:rsidR="00632410" w:rsidRPr="00617BE6">
        <w:rPr>
          <w:noProof/>
          <w:lang w:val="en-US"/>
        </w:rPr>
        <w:t>6</w:t>
      </w:r>
      <w:r w:rsidR="00C46DCE" w:rsidRPr="00617BE6">
        <w:rPr>
          <w:lang w:val="en-US"/>
        </w:rPr>
        <w:fldChar w:fldCharType="end"/>
      </w:r>
      <w:r w:rsidRPr="00617BE6">
        <w:rPr>
          <w:lang w:val="en-US"/>
        </w:rPr>
        <w:t xml:space="preserve">, right </w:t>
      </w:r>
      <w:r w:rsidR="00C46DCE" w:rsidRPr="00617BE6">
        <w:rPr>
          <w:lang w:val="en-US"/>
        </w:rPr>
        <w:t>figure</w:t>
      </w:r>
      <w:r w:rsidRPr="00617BE6">
        <w:rPr>
          <w:lang w:val="en-US"/>
        </w:rPr>
        <w:t xml:space="preserve">). The left diagram from </w:t>
      </w:r>
      <w:r w:rsidR="00C46DCE" w:rsidRPr="00617BE6">
        <w:rPr>
          <w:lang w:val="en-US"/>
        </w:rPr>
        <w:fldChar w:fldCharType="begin"/>
      </w:r>
      <w:r w:rsidR="00C46DCE" w:rsidRPr="00617BE6">
        <w:rPr>
          <w:lang w:val="en-US"/>
        </w:rPr>
        <w:instrText xml:space="preserve"> REF _Ref44057828 \h </w:instrText>
      </w:r>
      <w:r w:rsidR="00C46DCE" w:rsidRPr="00617BE6">
        <w:rPr>
          <w:lang w:val="en-US"/>
        </w:rPr>
      </w:r>
      <w:r w:rsidR="00C46DCE" w:rsidRPr="00617BE6">
        <w:rPr>
          <w:lang w:val="en-US"/>
        </w:rPr>
        <w:fldChar w:fldCharType="separate"/>
      </w:r>
      <w:r w:rsidR="00632410" w:rsidRPr="00617BE6">
        <w:rPr>
          <w:lang w:val="en-US"/>
        </w:rPr>
        <w:t xml:space="preserve">Supplementary Figure </w:t>
      </w:r>
      <w:r w:rsidR="00632410" w:rsidRPr="00617BE6">
        <w:rPr>
          <w:noProof/>
          <w:lang w:val="en-US"/>
        </w:rPr>
        <w:t>6</w:t>
      </w:r>
      <w:r w:rsidR="00C46DCE" w:rsidRPr="00617BE6">
        <w:rPr>
          <w:lang w:val="en-US"/>
        </w:rPr>
        <w:fldChar w:fldCharType="end"/>
      </w:r>
      <w:r w:rsidR="00C46DCE" w:rsidRPr="00617BE6">
        <w:rPr>
          <w:lang w:val="en-US"/>
        </w:rPr>
        <w:t xml:space="preserve"> (left figure)</w:t>
      </w:r>
      <w:r w:rsidRPr="00617BE6">
        <w:rPr>
          <w:lang w:val="en-US"/>
        </w:rPr>
        <w:t xml:space="preserve"> presents the phase boundary as a function of temperature and depth. GH</w:t>
      </w:r>
      <w:r w:rsidR="00C24664">
        <w:rPr>
          <w:lang w:val="en-US"/>
        </w:rPr>
        <w:t>s</w:t>
      </w:r>
      <w:r w:rsidRPr="00617BE6">
        <w:rPr>
          <w:lang w:val="en-US"/>
        </w:rPr>
        <w:t xml:space="preserve"> </w:t>
      </w:r>
      <w:r w:rsidR="00C24664">
        <w:rPr>
          <w:lang w:val="en-US"/>
        </w:rPr>
        <w:t>is</w:t>
      </w:r>
      <w:r w:rsidR="00C24664" w:rsidRPr="00617BE6">
        <w:rPr>
          <w:lang w:val="en-US"/>
        </w:rPr>
        <w:t xml:space="preserve"> </w:t>
      </w:r>
      <w:r w:rsidRPr="00617BE6">
        <w:rPr>
          <w:lang w:val="en-US"/>
        </w:rPr>
        <w:t>stable when the temperature profile is below the phase boundary (i.e., between 800 m below sea level (mbsl) and 945 mbsl and between 955 mbsl and 1000 mbsl). The high salinity anomaly causes the required temperature for stable GH</w:t>
      </w:r>
      <w:r w:rsidR="00C24664">
        <w:rPr>
          <w:lang w:val="en-US"/>
        </w:rPr>
        <w:t>s</w:t>
      </w:r>
      <w:r w:rsidRPr="00617BE6">
        <w:rPr>
          <w:lang w:val="en-US"/>
        </w:rPr>
        <w:t xml:space="preserve"> to drop by 0.8 °K. If the layer with the salinity anomaly is located close to the BGHSZ, as is the case in this model, the required temperature for GH</w:t>
      </w:r>
      <w:r w:rsidR="00C24664">
        <w:rPr>
          <w:lang w:val="en-US"/>
        </w:rPr>
        <w:t>s</w:t>
      </w:r>
      <w:r w:rsidRPr="00617BE6">
        <w:rPr>
          <w:lang w:val="en-US"/>
        </w:rPr>
        <w:t xml:space="preserve"> can drop below the sediment temperature, thus leading to the incapacity to form GH</w:t>
      </w:r>
      <w:r w:rsidR="00C24664">
        <w:rPr>
          <w:lang w:val="en-US"/>
        </w:rPr>
        <w:t>s</w:t>
      </w:r>
      <w:r w:rsidRPr="00617BE6">
        <w:rPr>
          <w:lang w:val="en-US"/>
        </w:rPr>
        <w:t>. Therefore, we show that a strong salinity anomaly can theoretically prevent the formation of GH</w:t>
      </w:r>
      <w:r w:rsidR="00C24664">
        <w:rPr>
          <w:lang w:val="en-US"/>
        </w:rPr>
        <w:t>s</w:t>
      </w:r>
      <w:r w:rsidRPr="00617BE6">
        <w:rPr>
          <w:lang w:val="en-US"/>
        </w:rPr>
        <w:t xml:space="preserve">. </w:t>
      </w:r>
    </w:p>
    <w:p w:rsidR="00F6736D" w:rsidRPr="00617BE6" w:rsidRDefault="00F6736D" w:rsidP="00F6736D">
      <w:pPr>
        <w:jc w:val="both"/>
        <w:rPr>
          <w:lang w:val="en-US"/>
        </w:rPr>
      </w:pPr>
      <w:r w:rsidRPr="00617BE6">
        <w:rPr>
          <w:lang w:val="en-US"/>
        </w:rPr>
        <w:t>However, in the studied case, we observe six free gas charged layers above the regional trend of the BSR within a 140 m interval (</w:t>
      </w:r>
      <w:r w:rsidRPr="00C87438">
        <w:rPr>
          <w:lang w:val="en-US"/>
        </w:rPr>
        <w:t>Figure 3 of the article</w:t>
      </w:r>
      <w:r w:rsidRPr="00617BE6">
        <w:rPr>
          <w:lang w:val="en-US"/>
        </w:rPr>
        <w:t xml:space="preserve">). Therefore, six distinct strong salinity anomalies are necessary to explain the different </w:t>
      </w:r>
      <w:r w:rsidR="00C24664" w:rsidRPr="00617BE6">
        <w:rPr>
          <w:lang w:val="en-US"/>
        </w:rPr>
        <w:t>gas</w:t>
      </w:r>
      <w:r w:rsidR="00C24664">
        <w:rPr>
          <w:lang w:val="en-US"/>
        </w:rPr>
        <w:t>-</w:t>
      </w:r>
      <w:r w:rsidRPr="00617BE6">
        <w:rPr>
          <w:lang w:val="en-US"/>
        </w:rPr>
        <w:t xml:space="preserve">charged reflectors. We argue that no such anomalies have been reported in the literature. Calvert et Batchelor </w:t>
      </w:r>
      <w:r w:rsidRPr="00617BE6">
        <w:rPr>
          <w:lang w:val="en-US"/>
        </w:rPr>
        <w:fldChar w:fldCharType="begin"/>
      </w:r>
      <w:r w:rsidRPr="00617BE6">
        <w:rPr>
          <w:lang w:val="en-US"/>
        </w:rPr>
        <w:instrText xml:space="preserve"> ADDIN ZOTERO_ITEM CSL_CITATION {"citationID":"jmUfFqLR","properties":{"formattedCitation":"(1978)","plainCitation":"(1978)","noteIndex":0},"citationItems":[{"id":1538,"uris":["http://zotero.org/users/4812901/items/KXLFRGKW"],"uri":["http://zotero.org/users/4812901/items/KXLFRGKW"],"itemData":{"id":1538,"type":"article-journal","container-title":"Initial Reports of the Deep Sea Drilling Project","DOI":"10.2973/dsdp.proc.42-2.1978","language":"en","page":"527-541","source":"DOI.org (Crossref)","title":"Major and minor element geochemistry of sediments from Hole 379a, Leg 42b, Deep Sea Drilling Project","volume":"42","author":[{"family":"Calvert","given":"S. E."},{"family":"Batchelor","given":"C. H."}],"issued":{"date-parts":[["1978",4]]}},"suppress-author":true}],"schema":"https://github.com/citation-style-language/schema/raw/master/csl-citation.json"} </w:instrText>
      </w:r>
      <w:r w:rsidRPr="00617BE6">
        <w:rPr>
          <w:lang w:val="en-US"/>
        </w:rPr>
        <w:fldChar w:fldCharType="separate"/>
      </w:r>
      <w:r w:rsidRPr="00617BE6">
        <w:rPr>
          <w:rFonts w:ascii="Calibri" w:hAnsi="Calibri" w:cs="Calibri"/>
          <w:lang w:val="en-US"/>
        </w:rPr>
        <w:t>(1978)</w:t>
      </w:r>
      <w:r w:rsidRPr="00617BE6">
        <w:rPr>
          <w:lang w:val="en-US"/>
        </w:rPr>
        <w:fldChar w:fldCharType="end"/>
      </w:r>
      <w:r w:rsidRPr="00617BE6">
        <w:rPr>
          <w:lang w:val="en-US"/>
        </w:rPr>
        <w:t xml:space="preserve"> report two punctual (albeit more than 20 m thick) salinity anomalies at DSDP hole 379A showing an </w:t>
      </w:r>
      <w:r w:rsidR="00C24664" w:rsidRPr="00617BE6">
        <w:rPr>
          <w:lang w:val="en-US"/>
        </w:rPr>
        <w:t>increas</w:t>
      </w:r>
      <w:r w:rsidR="00C24664">
        <w:rPr>
          <w:lang w:val="en-US"/>
        </w:rPr>
        <w:t>e</w:t>
      </w:r>
      <w:r w:rsidR="00C24664" w:rsidRPr="00617BE6">
        <w:rPr>
          <w:lang w:val="en-US"/>
        </w:rPr>
        <w:t xml:space="preserve"> </w:t>
      </w:r>
      <w:r w:rsidRPr="00617BE6">
        <w:rPr>
          <w:lang w:val="en-US"/>
        </w:rPr>
        <w:t xml:space="preserve">of only 3-4 psu. In higher sampled </w:t>
      </w:r>
      <w:r w:rsidRPr="00617BE6">
        <w:rPr>
          <w:lang w:val="en-US"/>
        </w:rPr>
        <w:lastRenderedPageBreak/>
        <w:t xml:space="preserve">data, Riedel et al. </w:t>
      </w:r>
      <w:r w:rsidRPr="00617BE6">
        <w:rPr>
          <w:lang w:val="en-US"/>
        </w:rPr>
        <w:fldChar w:fldCharType="begin"/>
      </w:r>
      <w:r w:rsidRPr="00617BE6">
        <w:rPr>
          <w:lang w:val="en-US"/>
        </w:rPr>
        <w:instrText xml:space="preserve"> ADDIN ZOTERO_ITEM CSL_CITATION {"citationID":"ObKY0KtO","properties":{"formattedCitation":"(2020)","plainCitation":"(2020)","noteIndex":0},"citationItems":[{"id":1462,"uris":["http://zotero.org/users/4812901/items/54DIBXLQ"],"uri":["http://zotero.org/users/4812901/items/54DIBXLQ"],"itemData":{"id":1462,"type":"article-journal","container-title":"Marine and Petroleum Geology","DOI":"10.1016/j.marpetgeo.2019.104192","ISSN":"02648172","journalAbbreviation":"Marine and Petroleum Geology","language":"en","page":"104192","source":"DOI.org (Crossref)","title":"Physical properties and core-log seismic integration from drilling at the Danube deep-sea fan, Black Sea","author":[{"family":"Riedel","given":"Michael"},{"family":"Freudenthal","given":"T."},{"family":"Bergenthal","given":"M."},{"family":"Haeckel","given":"M."},{"family":"Wallmann","given":"K."},{"family":"Spangenberg","given":"E."},{"family":"Bialas","given":"J."},{"family":"Bohrmann","given":"G."}],"issued":{"date-parts":[["2020",4]]}},"suppress-author":true}],"schema":"https://github.com/citation-style-language/schema/raw/master/csl-citation.json"} </w:instrText>
      </w:r>
      <w:r w:rsidRPr="00617BE6">
        <w:rPr>
          <w:lang w:val="en-US"/>
        </w:rPr>
        <w:fldChar w:fldCharType="separate"/>
      </w:r>
      <w:r w:rsidRPr="00617BE6">
        <w:rPr>
          <w:rFonts w:ascii="Calibri" w:hAnsi="Calibri" w:cs="Calibri"/>
          <w:lang w:val="en-US"/>
        </w:rPr>
        <w:t>(2020)</w:t>
      </w:r>
      <w:r w:rsidRPr="00617BE6">
        <w:rPr>
          <w:lang w:val="en-US"/>
        </w:rPr>
        <w:fldChar w:fldCharType="end"/>
      </w:r>
      <w:r w:rsidRPr="00617BE6">
        <w:rPr>
          <w:lang w:val="en-US"/>
        </w:rPr>
        <w:t xml:space="preserve"> show no anomalies. In addition, salt diffusion would decrease the amplitude of the salinity anomalies well below the seawater level during the burial of sediment. We find that the possibility of free gas presence above the regional trend of the BSR is theoretically </w:t>
      </w:r>
      <w:r w:rsidR="00C24664" w:rsidRPr="00617BE6">
        <w:rPr>
          <w:lang w:val="en-US"/>
        </w:rPr>
        <w:t>possibl</w:t>
      </w:r>
      <w:r w:rsidR="00C24664">
        <w:rPr>
          <w:lang w:val="en-US"/>
        </w:rPr>
        <w:t>e</w:t>
      </w:r>
      <w:r w:rsidR="00C24664" w:rsidRPr="00617BE6">
        <w:rPr>
          <w:lang w:val="en-US"/>
        </w:rPr>
        <w:t xml:space="preserve"> </w:t>
      </w:r>
      <w:r w:rsidRPr="00617BE6">
        <w:rPr>
          <w:lang w:val="en-US"/>
        </w:rPr>
        <w:t>in a steady state system but highly unlikely given the salinity anomalies required.</w:t>
      </w:r>
    </w:p>
    <w:p w:rsidR="00F6736D" w:rsidRPr="00617BE6" w:rsidRDefault="00F6736D" w:rsidP="00F6736D">
      <w:pPr>
        <w:jc w:val="both"/>
        <w:rPr>
          <w:lang w:val="en-US"/>
        </w:rPr>
      </w:pPr>
    </w:p>
    <w:p w:rsidR="00F6736D" w:rsidRPr="00617BE6" w:rsidRDefault="00F6736D" w:rsidP="00F6736D">
      <w:pPr>
        <w:keepNext/>
        <w:ind w:hanging="567"/>
        <w:jc w:val="center"/>
        <w:rPr>
          <w:lang w:val="en-US"/>
        </w:rPr>
      </w:pPr>
      <w:r w:rsidRPr="00617BE6">
        <w:rPr>
          <w:noProof/>
          <w:lang w:val="en-GB" w:eastAsia="en-GB"/>
        </w:rPr>
        <w:drawing>
          <wp:inline distT="0" distB="0" distL="0" distR="0" wp14:anchorId="1DC22004" wp14:editId="3B52F76B">
            <wp:extent cx="6401729" cy="3019749"/>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in_GHST-BlackSea-800m_v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6401729" cy="3019749"/>
                    </a:xfrm>
                    <a:prstGeom prst="rect">
                      <a:avLst/>
                    </a:prstGeom>
                    <a:noFill/>
                    <a:ln>
                      <a:noFill/>
                    </a:ln>
                  </pic:spPr>
                </pic:pic>
              </a:graphicData>
            </a:graphic>
          </wp:inline>
        </w:drawing>
      </w:r>
    </w:p>
    <w:p w:rsidR="00F6736D" w:rsidRPr="00617BE6" w:rsidRDefault="005F2FB3" w:rsidP="00920A61">
      <w:pPr>
        <w:pStyle w:val="Lgende"/>
        <w:jc w:val="both"/>
        <w:rPr>
          <w:lang w:val="en-US"/>
        </w:rPr>
      </w:pPr>
      <w:bookmarkStart w:id="6" w:name="_Ref44057828"/>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6</w:t>
      </w:r>
      <w:r w:rsidRPr="00617BE6">
        <w:rPr>
          <w:lang w:val="en-US"/>
        </w:rPr>
        <w:fldChar w:fldCharType="end"/>
      </w:r>
      <w:bookmarkEnd w:id="6"/>
      <w:r w:rsidRPr="00617BE6">
        <w:rPr>
          <w:lang w:val="en-US"/>
        </w:rPr>
        <w:t xml:space="preserve"> </w:t>
      </w:r>
      <w:r w:rsidR="00F6736D" w:rsidRPr="00617BE6">
        <w:rPr>
          <w:lang w:val="en-US"/>
        </w:rPr>
        <w:t xml:space="preserve">– A sediment layer where high salinity is present at 150 mbsf. The increased salinity at this depth brings the sediment outside the GHSZ. In this figure, we use a geothermal gradient of 18.5 °K/km to reproduce a free gas-GH boundary at a depth comparable to the observed BSR on SYSIF profile PL01PR12. </w:t>
      </w:r>
    </w:p>
    <w:p w:rsidR="00411709" w:rsidRPr="00617BE6" w:rsidRDefault="00411709" w:rsidP="00411709">
      <w:pPr>
        <w:rPr>
          <w:lang w:val="en-US"/>
        </w:rPr>
      </w:pPr>
    </w:p>
    <w:p w:rsidR="00F6736D" w:rsidRPr="00617BE6" w:rsidRDefault="00F6736D" w:rsidP="00F6736D">
      <w:pPr>
        <w:pStyle w:val="Titre2"/>
        <w:numPr>
          <w:ilvl w:val="0"/>
          <w:numId w:val="3"/>
        </w:numPr>
        <w:rPr>
          <w:lang w:val="en-US"/>
        </w:rPr>
      </w:pPr>
      <w:r w:rsidRPr="00617BE6">
        <w:rPr>
          <w:lang w:val="en-US"/>
        </w:rPr>
        <w:t>Gas hydrate stability modeling</w:t>
      </w:r>
    </w:p>
    <w:p w:rsidR="00F6736D" w:rsidRPr="00617BE6" w:rsidRDefault="00F6736D" w:rsidP="00F6736D">
      <w:pPr>
        <w:jc w:val="both"/>
        <w:rPr>
          <w:rFonts w:eastAsiaTheme="majorEastAsia"/>
          <w:lang w:val="en-US"/>
        </w:rPr>
      </w:pPr>
      <w:r w:rsidRPr="00617BE6">
        <w:rPr>
          <w:lang w:val="en-US"/>
        </w:rPr>
        <w:t>We compute the base of the gas hydrate stability zone (BGHSZ) in steady state conditions using the 2D gas hydrate (GH) stability model developed by Sultan et al.</w:t>
      </w:r>
      <w:r w:rsidRPr="00617BE6">
        <w:rPr>
          <w:i/>
          <w:lang w:val="en-US"/>
        </w:rPr>
        <w:t xml:space="preserve"> </w:t>
      </w:r>
      <w:r w:rsidRPr="00617BE6">
        <w:rPr>
          <w:i/>
          <w:lang w:val="en-US"/>
        </w:rPr>
        <w:fldChar w:fldCharType="begin"/>
      </w:r>
      <w:r w:rsidRPr="00617BE6">
        <w:rPr>
          <w:i/>
          <w:lang w:val="en-US"/>
        </w:rPr>
        <w:instrText xml:space="preserve"> ADDIN ZOTERO_ITEM CSL_CITATION {"citationID":"2gZADZ31","properties":{"formattedCitation":"(2010)","plainCitation":"(2010)","noteIndex":0},"citationItems":[{"id":814,"uris":["http://zotero.org/users/4812901/items/6WT5AGT5"],"uri":["http://zotero.org/users/4812901/items/6WT5AGT5"],"itemData":{"id":814,"type":"article-journal","container-title":"Journal of Geophysical Research","DOI":"10.1029/2010JB007453","ISSN":"0148-0227","issue":"B8101","language":"en","page":"1-33","source":"Crossref","title":"Hydrate dissolution as a potential mechanism for pockmark formation in the Niger delta","volume":"115","author":[{"family":"Sultan","given":"Nabil"},{"family":"Marsset","given":"Bruno"},{"family":"Ker","given":"Stephan"},{"family":"Marsset","given":"Tania"},{"family":"Voisset","given":"Michel"},{"family":"Vernant","given":"A. M."},{"family":"Bayon","given":"Germain"},{"family":"Cauquil","given":"E."},{"family":"Adamy","given":"J."},{"family":"Colliat","given":"J. L."},{"family":"Drapeau","given":"D."}],"issued":{"date-parts":[["2010",8,11]]}},"suppress-author":true}],"schema":"https://github.com/citation-style-language/schema/raw/master/csl-citation.json"} </w:instrText>
      </w:r>
      <w:r w:rsidRPr="00617BE6">
        <w:rPr>
          <w:i/>
          <w:lang w:val="en-US"/>
        </w:rPr>
        <w:fldChar w:fldCharType="separate"/>
      </w:r>
      <w:r w:rsidRPr="00617BE6">
        <w:rPr>
          <w:rFonts w:ascii="Calibri" w:hAnsi="Calibri" w:cs="Calibri"/>
          <w:lang w:val="en-US"/>
        </w:rPr>
        <w:t>(2010)</w:t>
      </w:r>
      <w:r w:rsidRPr="00617BE6">
        <w:rPr>
          <w:i/>
          <w:lang w:val="en-US"/>
        </w:rPr>
        <w:fldChar w:fldCharType="end"/>
      </w:r>
      <w:r w:rsidRPr="00617BE6">
        <w:rPr>
          <w:i/>
          <w:lang w:val="en-US"/>
        </w:rPr>
        <w:t>.</w:t>
      </w:r>
      <w:r w:rsidRPr="00617BE6">
        <w:rPr>
          <w:lang w:val="en-US"/>
        </w:rPr>
        <w:t xml:space="preserve"> As in Ker et al. </w:t>
      </w:r>
      <w:r w:rsidRPr="00617BE6">
        <w:rPr>
          <w:lang w:val="en-US"/>
        </w:rPr>
        <w:fldChar w:fldCharType="begin"/>
      </w:r>
      <w:r w:rsidR="00527F06" w:rsidRPr="00617BE6">
        <w:rPr>
          <w:lang w:val="en-US"/>
        </w:rPr>
        <w:instrText xml:space="preserve"> ADDIN ZOTERO_ITEM CSL_CITATION {"citationID":"bFnyV8Ja","properties":{"formattedCitation":"(2019)","plainCitation":"(2019)","noteIndex":0},"citationItems":[{"id":1117,"uris":["http://zotero.org/users/4812901/items/7QVN4V6E"],"uri":["http://zotero.org/users/4812901/items/7QVN4V6E"],"itemData":{"id":1117,"type":"article-journal","abstract":"A comprehensive characterization of the gas hydrate system offshore the western Black Sea was performed through an integrated analysis of geophysical data. We detected the Bottom Simulating Reflector (BSR), which marks, in this area, the base of gas hydrate stability. The observed BSR depth does not fit the theoretical steady-state base of gas hydrate stability zone (BGHSZ). We show that the disparity between the BSR and predicted BGHSZ is the result of a transient state of the hydrate system due to the ongoing re-equilibrium since the Last Glacial Maximum. When gas hydrates are brought outside the stability zone due to changes in temperature and sea level, their dissociation generates an increase in interstitial pore pressure. This process is favorable to the re-crystallization of gas hydrates and delays the upward migration of the hydrate stability zone explaining the anomalously deep BSR. The BSR depth, which is commonly used to derive geothermal gradient values by assuming steady state conditions, is used here to derive the maximum excess pore pressure at the base of the gas hydrate stability zone. Derived excess pore pressure values of 1-2 MPa are probably the result of the low permeability of hydrate-bearing sediments. Higher pore pressure values derived at the location of a fault system could cause hydro-fracturing enabling the free gas to cross the gas hydrate stability zone and emerge at the seafloor, forming the flares observed in close vicinity to where the shallow gas hydrates were sampled.","container-title":"Geochemistry, Geophysics, Geosystems","DOI":"10.1029/2018GC007861","ISSN":"15252027","language":"en","page":"442-459","source":"Crossref","title":"Anomalously deep BSR related to a transient state of the gas hydrate system in the western Black Sea","volume":"20","author":[{"family":"Ker","given":"Stephan"},{"family":"Yannick","given":"Thomas"},{"family":"Sultan","given":"Nabil"},{"family":"Bernard","given":"C."},{"family":"Scalabrin","given":"C."},{"family":"Ion","given":"G."},{"family":"Marsset","given":"Bruno"}],"issued":{"date-parts":[["2019",1,3]]}},"suppress-author":true}],"schema":"https://github.com/citation-style-language/schema/raw/master/csl-citation.json"} </w:instrText>
      </w:r>
      <w:r w:rsidRPr="00617BE6">
        <w:rPr>
          <w:lang w:val="en-US"/>
        </w:rPr>
        <w:fldChar w:fldCharType="separate"/>
      </w:r>
      <w:r w:rsidRPr="00617BE6">
        <w:rPr>
          <w:rFonts w:ascii="Calibri" w:hAnsi="Calibri" w:cs="Calibri"/>
          <w:lang w:val="en-US"/>
        </w:rPr>
        <w:t>(2019)</w:t>
      </w:r>
      <w:r w:rsidRPr="00617BE6">
        <w:rPr>
          <w:lang w:val="en-US"/>
        </w:rPr>
        <w:fldChar w:fldCharType="end"/>
      </w:r>
      <w:r w:rsidRPr="00617BE6">
        <w:rPr>
          <w:lang w:val="en-US"/>
        </w:rPr>
        <w:t>, we consider pure s‐I methane</w:t>
      </w:r>
      <w:r w:rsidR="00883EC3" w:rsidRPr="00617BE6">
        <w:rPr>
          <w:lang w:val="en-US"/>
        </w:rPr>
        <w:t xml:space="preserve"> hydrates</w:t>
      </w:r>
      <w:r w:rsidRPr="00617BE6">
        <w:rPr>
          <w:lang w:val="en-US"/>
        </w:rPr>
        <w:t xml:space="preserve">. The forthcoming parameters control methane hydrate stability. The pore pressure </w:t>
      </w:r>
      <w:r w:rsidR="00C24664">
        <w:rPr>
          <w:lang w:val="en-US"/>
        </w:rPr>
        <w:t xml:space="preserve">is </w:t>
      </w:r>
      <w:r w:rsidRPr="00617BE6">
        <w:rPr>
          <w:lang w:val="en-US"/>
        </w:rPr>
        <w:t>given by the hydrostatic c</w:t>
      </w:r>
      <w:r w:rsidR="002134E0" w:rsidRPr="00617BE6">
        <w:rPr>
          <w:lang w:val="en-US"/>
        </w:rPr>
        <w:t>ondition with a gradient of 9.97</w:t>
      </w:r>
      <w:r w:rsidRPr="00617BE6">
        <w:rPr>
          <w:lang w:val="en-US"/>
        </w:rPr>
        <w:t xml:space="preserve"> kPa/m. The temperature at </w:t>
      </w:r>
      <w:r w:rsidR="00C24664">
        <w:rPr>
          <w:lang w:val="en-US"/>
        </w:rPr>
        <w:t xml:space="preserve">the </w:t>
      </w:r>
      <w:r w:rsidRPr="00617BE6">
        <w:rPr>
          <w:lang w:val="en-US"/>
        </w:rPr>
        <w:t xml:space="preserve">seafloor is 282 °K and increases with depth with a measured geothermal gradient of 24.5 °K/km </w:t>
      </w:r>
      <w:r w:rsidRPr="00617BE6">
        <w:rPr>
          <w:lang w:val="en-US"/>
        </w:rPr>
        <w:fldChar w:fldCharType="begin"/>
      </w:r>
      <w:r w:rsidRPr="00617BE6">
        <w:rPr>
          <w:lang w:val="en-US"/>
        </w:rPr>
        <w:instrText xml:space="preserve"> ADDIN ZOTERO_ITEM CSL_CITATION {"citationID":"KC3VzdLN","properties":{"formattedCitation":"(Riboulot et al., 2018)","plainCitation":"(Riboulot et al., 2018)","noteIndex":0},"citationItems":[{"id":1303,"uris":["http://zotero.org/users/4812901/items/AKMS7KP2"],"uri":["http://zotero.org/users/4812901/items/AKMS7KP2"],"itemData":{"id":1303,"type":"article-journal","abstract":"Gas hydrates, a solid established by water and gas molecules, are widespread along the continental margins of the world. Their dynamics have mainly been regarded through the lens of temperature-pressure conditions. A fluctuation in one of these parameters may cause destabilization of gas hydrate-bearing sediments below the seafloor with implications in ocean acidification and eventually in global warming. Here we show throughout an example of the Black Sea, the world’s most isolated sea, evidence that extensive gas hydrate dissociation may occur in the future due to recent salinity changes of the sea water. Recent and forthcoming salt diffusion within the sediment will destabilize gas hydrates by reducing the extension and thickness of their thermodynamic stability zone in a region covering at least 2800 square kilometers which focus seepages at the observed sites. We suspect this process to occur in other world regions (e.g., Caspian Sea, Sea of Marmara).","container-title":"Nature Communications","DOI":"10.1038/s41467-017-02271-z","ISSN":"2041-1723","issue":"1","journalAbbreviation":"Nature Communications","page":"1-8","title":"Freshwater lake to salt-water sea causing widespread hydrate dissociation in the Black Sea","volume":"9","author":[{"family":"Riboulot","given":"Vincent"},{"family":"Ker","given":"Stephan"},{"family":"Sultan","given":"Nabil"},{"family":"Thomas","given":"Yannick"},{"family":"Marsset","given":"Bruno"},{"family":"Scalabrin","given":"Carla"},{"family":"Ruffine","given":"Livio"},{"family":"Boulart","given":"Cédric"},{"family":"Ion","given":"Gabriel"}],"issued":{"date-parts":[["2018",1,9]]}}}],"schema":"https://github.com/citation-style-language/schema/raw/master/csl-citation.json"} </w:instrText>
      </w:r>
      <w:r w:rsidRPr="00617BE6">
        <w:rPr>
          <w:lang w:val="en-US"/>
        </w:rPr>
        <w:fldChar w:fldCharType="separate"/>
      </w:r>
      <w:r w:rsidRPr="00617BE6">
        <w:rPr>
          <w:rFonts w:ascii="Calibri" w:hAnsi="Calibri" w:cs="Calibri"/>
          <w:lang w:val="en-US"/>
        </w:rPr>
        <w:t>(Riboulot et al., 2018)</w:t>
      </w:r>
      <w:r w:rsidRPr="00617BE6">
        <w:rPr>
          <w:lang w:val="en-US"/>
        </w:rPr>
        <w:fldChar w:fldCharType="end"/>
      </w:r>
      <w:r w:rsidRPr="00617BE6">
        <w:rPr>
          <w:lang w:val="en-US"/>
        </w:rPr>
        <w:t xml:space="preserve">. </w:t>
      </w:r>
      <w:r w:rsidRPr="00617BE6">
        <w:rPr>
          <w:rFonts w:eastAsiaTheme="majorEastAsia"/>
          <w:lang w:val="en-US"/>
        </w:rPr>
        <w:t xml:space="preserve">The porosity is set constant at 0.42, according to the average value at </w:t>
      </w:r>
      <w:r w:rsidR="00C24664">
        <w:rPr>
          <w:rFonts w:eastAsiaTheme="majorEastAsia"/>
          <w:lang w:val="en-US"/>
        </w:rPr>
        <w:t xml:space="preserve">a </w:t>
      </w:r>
      <w:r w:rsidRPr="00617BE6">
        <w:rPr>
          <w:rFonts w:eastAsiaTheme="majorEastAsia"/>
          <w:lang w:val="en-US"/>
        </w:rPr>
        <w:t xml:space="preserve">depth greater than 20 m from the MeBo drilling </w:t>
      </w:r>
      <w:r w:rsidRPr="00617BE6">
        <w:rPr>
          <w:rFonts w:eastAsiaTheme="majorEastAsia"/>
          <w:lang w:val="en-US"/>
        </w:rPr>
        <w:fldChar w:fldCharType="begin"/>
      </w:r>
      <w:r w:rsidRPr="00617BE6">
        <w:rPr>
          <w:rFonts w:eastAsiaTheme="majorEastAsia"/>
          <w:lang w:val="en-US"/>
        </w:rPr>
        <w:instrText xml:space="preserve"> ADDIN ZOTERO_ITEM CSL_CITATION {"citationID":"Jvk6FFZ5","properties":{"formattedCitation":"(Riedel et al., 2020)","plainCitation":"(Riedel et al., 2020)","noteIndex":0},"citationItems":[{"id":1462,"uris":["http://zotero.org/users/4812901/items/54DIBXLQ"],"uri":["http://zotero.org/users/4812901/items/54DIBXLQ"],"itemData":{"id":1462,"type":"article-journal","container-title":"Marine and Petroleum Geology","DOI":"10.1016/j.marpetgeo.2019.104192","ISSN":"02648172","journalAbbreviation":"Marine and Petroleum Geology","language":"en","page":"104192","source":"DOI.org (Crossref)","title":"Physical properties and core-log seismic integration from drilling at the Danube deep-sea fan, Black Sea","author":[{"family":"Riedel","given":"Michael"},{"family":"Freudenthal","given":"T."},{"family":"Bergenthal","given":"M."},{"family":"Haeckel","given":"M."},{"family":"Wallmann","given":"K."},{"family":"Spangenberg","given":"E."},{"family":"Bialas","given":"J."},{"family":"Bohrmann","given":"G."}],"issued":{"date-parts":[["2020",4]]}}}],"schema":"https://github.com/citation-style-language/schema/raw/master/csl-citation.json"} </w:instrText>
      </w:r>
      <w:r w:rsidRPr="00617BE6">
        <w:rPr>
          <w:rFonts w:eastAsiaTheme="majorEastAsia"/>
          <w:lang w:val="en-US"/>
        </w:rPr>
        <w:fldChar w:fldCharType="separate"/>
      </w:r>
      <w:r w:rsidRPr="00617BE6">
        <w:rPr>
          <w:rFonts w:ascii="Calibri" w:hAnsi="Calibri" w:cs="Calibri"/>
          <w:lang w:val="en-US"/>
        </w:rPr>
        <w:t>(Riedel et al., 2020)</w:t>
      </w:r>
      <w:r w:rsidRPr="00617BE6">
        <w:rPr>
          <w:rFonts w:eastAsiaTheme="majorEastAsia"/>
          <w:lang w:val="en-US"/>
        </w:rPr>
        <w:fldChar w:fldCharType="end"/>
      </w:r>
      <w:r w:rsidRPr="00617BE6">
        <w:rPr>
          <w:rFonts w:eastAsiaTheme="majorEastAsia"/>
          <w:lang w:val="en-US"/>
        </w:rPr>
        <w:t xml:space="preserve">. In accordance, thermal diffusivity is set constant at 3.35 </w:t>
      </w:r>
      <w:r w:rsidRPr="00617BE6">
        <w:rPr>
          <w:rFonts w:eastAsiaTheme="majorEastAsia" w:cstheme="minorHAnsi"/>
          <w:lang w:val="en-US"/>
        </w:rPr>
        <w:t>· 10</w:t>
      </w:r>
      <w:r w:rsidRPr="00617BE6">
        <w:rPr>
          <w:rFonts w:eastAsiaTheme="majorEastAsia" w:cstheme="minorHAnsi"/>
          <w:vertAlign w:val="superscript"/>
          <w:lang w:val="en-US"/>
        </w:rPr>
        <w:t>-7</w:t>
      </w:r>
      <w:r w:rsidRPr="00617BE6">
        <w:rPr>
          <w:rFonts w:eastAsiaTheme="majorEastAsia" w:cstheme="minorHAnsi"/>
          <w:lang w:val="en-US"/>
        </w:rPr>
        <w:t xml:space="preserve"> m</w:t>
      </w:r>
      <w:r w:rsidRPr="00617BE6">
        <w:rPr>
          <w:rFonts w:eastAsiaTheme="majorEastAsia" w:cstheme="minorHAnsi"/>
          <w:vertAlign w:val="superscript"/>
          <w:lang w:val="en-US"/>
        </w:rPr>
        <w:t>2</w:t>
      </w:r>
      <w:r w:rsidRPr="00617BE6">
        <w:rPr>
          <w:rFonts w:eastAsiaTheme="majorEastAsia" w:cstheme="minorHAnsi"/>
          <w:lang w:val="en-US"/>
        </w:rPr>
        <w:t xml:space="preserve">/s. </w:t>
      </w:r>
      <w:r w:rsidRPr="00617BE6">
        <w:rPr>
          <w:lang w:val="en-US"/>
        </w:rPr>
        <w:t xml:space="preserve">The salinity derived from the measured chloride profile down to 25 m below seafloor (mbsf) that decreases from 22 psu (practical salinity unit) at the seafloor to 2 psu at 25 mbsf </w:t>
      </w:r>
      <w:r w:rsidRPr="00617BE6">
        <w:rPr>
          <w:lang w:val="en-US"/>
        </w:rPr>
        <w:fldChar w:fldCharType="begin"/>
      </w:r>
      <w:r w:rsidRPr="00617BE6">
        <w:rPr>
          <w:lang w:val="en-US"/>
        </w:rPr>
        <w:instrText xml:space="preserve"> ADDIN ZOTERO_ITEM CSL_CITATION {"citationID":"cQojInPz","properties":{"formattedCitation":"(Riboulot et al., 2018)","plainCitation":"(Riboulot et al., 2018)","noteIndex":0},"citationItems":[{"id":1303,"uris":["http://zotero.org/users/4812901/items/AKMS7KP2"],"uri":["http://zotero.org/users/4812901/items/AKMS7KP2"],"itemData":{"id":1303,"type":"article-journal","abstract":"Gas hydrates, a solid established by water and gas molecules, are widespread along the continental margins of the world. Their dynamics have mainly been regarded through the lens of temperature-pressure conditions. A fluctuation in one of these parameters may cause destabilization of gas hydrate-bearing sediments below the seafloor with implications in ocean acidification and eventually in global warming. Here we show throughout an example of the Black Sea, the world’s most isolated sea, evidence that extensive gas hydrate dissociation may occur in the future due to recent salinity changes of the sea water. Recent and forthcoming salt diffusion within the sediment will destabilize gas hydrates by reducing the extension and thickness of their thermodynamic stability zone in a region covering at least 2800 square kilometers which focus seepages at the observed sites. We suspect this process to occur in other world regions (e.g., Caspian Sea, Sea of Marmara).","container-title":"Nature Communications","DOI":"10.1038/s41467-017-02271-z","ISSN":"2041-1723","issue":"1","journalAbbreviation":"Nature Communications","page":"1-8","title":"Freshwater lake to salt-water sea causing widespread hydrate dissociation in the Black Sea","volume":"9","author":[{"family":"Riboulot","given":"Vincent"},{"family":"Ker","given":"Stephan"},{"family":"Sultan","given":"Nabil"},{"family":"Thomas","given":"Yannick"},{"family":"Marsset","given":"Bruno"},{"family":"Scalabrin","given":"Carla"},{"family":"Ruffine","given":"Livio"},{"family":"Boulart","given":"Cédric"},{"family":"Ion","given":"Gabriel"}],"issued":{"date-parts":[["2018",1,9]]}}}],"schema":"https://github.com/citation-style-language/schema/raw/master/csl-citation.json"} </w:instrText>
      </w:r>
      <w:r w:rsidRPr="00617BE6">
        <w:rPr>
          <w:lang w:val="en-US"/>
        </w:rPr>
        <w:fldChar w:fldCharType="separate"/>
      </w:r>
      <w:r w:rsidRPr="00617BE6">
        <w:rPr>
          <w:rFonts w:ascii="Calibri" w:hAnsi="Calibri" w:cs="Calibri"/>
          <w:lang w:val="en-US"/>
        </w:rPr>
        <w:t>(Riboulot et al., 2018)</w:t>
      </w:r>
      <w:r w:rsidRPr="00617BE6">
        <w:rPr>
          <w:lang w:val="en-US"/>
        </w:rPr>
        <w:fldChar w:fldCharType="end"/>
      </w:r>
      <w:r w:rsidRPr="00617BE6">
        <w:rPr>
          <w:lang w:val="en-US"/>
        </w:rPr>
        <w:t>.</w:t>
      </w:r>
    </w:p>
    <w:p w:rsidR="00F6736D" w:rsidRPr="00617BE6" w:rsidRDefault="00F6736D" w:rsidP="00F6736D">
      <w:pPr>
        <w:jc w:val="both"/>
        <w:rPr>
          <w:lang w:val="en-US"/>
        </w:rPr>
      </w:pPr>
      <w:r w:rsidRPr="00617BE6">
        <w:rPr>
          <w:lang w:val="en-US"/>
        </w:rPr>
        <w:t xml:space="preserve">We also compute the predicted BGHSZ for past conditions during the last glacial maximum (LGM) period. At this period, the Black Sea was a lake </w:t>
      </w:r>
      <w:r w:rsidRPr="00617BE6">
        <w:rPr>
          <w:lang w:val="en-US"/>
        </w:rPr>
        <w:fldChar w:fldCharType="begin"/>
      </w:r>
      <w:r w:rsidRPr="00617BE6">
        <w:rPr>
          <w:lang w:val="en-US"/>
        </w:rPr>
        <w:instrText xml:space="preserve"> ADDIN ZOTERO_ITEM CSL_CITATION {"citationID":"PCk2j8t4","properties":{"formattedCitation":"(Constantinescu et al., 2015)","plainCitation":"(Constantinescu et al., 2015)","noteIndex":0},"citationItems":[{"id":1837,"uris":["http://zotero.org/users/4812901/items/EW9CBH7H"],"uri":["http://zotero.org/users/4812901/items/EW9CBH7H"],"itemData":{"id":1837,"type":"article-journal","abstract":"The Danube Deep-Sea Fan (NW Black Sea) is one of the most developed deep-sea sediment depositional systems in Europe. Although the morphology and the architecture have been widely described in the past years, little is known about the stratigraphy of this depositional system. For the late Quaternary, this results from the lack of significant stratigraphic markers, the scarcity of radiocarbon ages and the difficulty in constraining reservoir ages. Recent robust quantification of reservoir ages has allowed the construction of a new stratigraphic framework for the Black Sea from the end of the last glacial period to the Holocene, thus giving the opportunity to correlate sedimentological and geochemical features previously described on the NW Black Sea margin with climatic events identified in the Northern Hemisphere. Based on this approach, we propose an improved chrono-lithostratigraphic framework for the Danube Deep-Sea Fan channel–levees since the Last Glacial Maximum. We show that the Danube Deep-Sea Fan was active during the Last Glacial Maximum until the Younger Dryas–Early Holocene transition ca. 11,700cal a. BP, when the turbidite activity abruptly terminated in the whole system. Throughout this period, the Danube River was the main source of the deep depositional system, except between ca. 17,200cal a. BP and 15,700±300cal a. BP. At that time, the deposition of ‘red turbidites’ in the deep basin, concomitant with the deposition of the so-called ‘Red Layers’ onto the continental shelf and the upper slope, emphasises the direct impact of the increased meltwater runoff of the Dnieper River as far as the Danube Deep-Sea Fan. Some significant changes in the location of the depocentre of the Danube Deep-Sea Fan occurred through time. The main change in depocentre location occurred at ca. 28,000cal a. BP, with the northward avulsion leading to the formation of the Middle Channel. Although the Middle and Northern Channel became the preferential turbidite depocentres after this event, the deposition of turbidites has persisted in the Southern channel–levee until 14,700cal a. BP, indicating that the Southern Channel was definitely not abandoned after the upstream northward avulsion. Unsurprisingly, water-level fluctuations and river sediment flux acted as the main forcings on the evolution of the Danube Deep-Sea Fan. Based on these results, and on the morphology of the Danube Canyon, we propose that (i) lowstand conditions (≤−110m) prevailed during the Last Glacial Maximum, and possibly between 15,700±300cal a. BP and 14,700cal a. BP, (ii) water-level ranged from ≥−110 and ≤−70m between 14,700 and 11,700cal a. BP, and (iii) water-level ranged from ≥−70 and ≤−30m from 11,700cal a. BP and until the reconnection of the Black Sea ‘Lake’ with the global ocean at ca. 9000cal a. BP.","container-title":"Marine Geology","DOI":"10.1016/j.margeo.2015.05.007","ISSN":"0025-3227","journalAbbreviation":"Marine Geology","language":"en","page":"50-68","source":"ScienceDirect","title":"Evolution of the Danube Deep-Sea Fan since the Last Glacial Maximum: new insights into Black Sea water-level fluctuations","title-short":"Evolution of the Danube Deep-Sea Fan since the Last Glacial Maximum","volume":"367","author":[{"family":"Constantinescu","given":"A. M."},{"family":"Toucanne","given":"S."},{"family":"Dennielou","given":"B."},{"family":"Jorry","given":"S. J."},{"family":"Mulder","given":"T."},{"family":"Lericolais","given":"Gilles"}],"issued":{"date-parts":[["2015",9,1]]}}}],"schema":"https://github.com/citation-style-language/schema/raw/master/csl-citation.json"} </w:instrText>
      </w:r>
      <w:r w:rsidRPr="00617BE6">
        <w:rPr>
          <w:lang w:val="en-US"/>
        </w:rPr>
        <w:fldChar w:fldCharType="separate"/>
      </w:r>
      <w:r w:rsidRPr="00617BE6">
        <w:rPr>
          <w:rFonts w:ascii="Calibri" w:hAnsi="Calibri" w:cs="Calibri"/>
          <w:lang w:val="en-US"/>
        </w:rPr>
        <w:t>(Constantinescu et al., 2015)</w:t>
      </w:r>
      <w:r w:rsidRPr="00617BE6">
        <w:rPr>
          <w:lang w:val="en-US"/>
        </w:rPr>
        <w:fldChar w:fldCharType="end"/>
      </w:r>
      <w:r w:rsidRPr="00617BE6">
        <w:rPr>
          <w:lang w:val="en-US"/>
        </w:rPr>
        <w:t xml:space="preserve"> with a water temperature at the seafloor estimated to be 277 °K by Soulet et al. </w:t>
      </w:r>
      <w:r w:rsidRPr="00617BE6">
        <w:rPr>
          <w:lang w:val="en-US"/>
        </w:rPr>
        <w:fldChar w:fldCharType="begin"/>
      </w:r>
      <w:r w:rsidRPr="00617BE6">
        <w:rPr>
          <w:lang w:val="en-US"/>
        </w:rPr>
        <w:instrText xml:space="preserve"> ADDIN ZOTERO_ITEM CSL_CITATION {"citationID":"gwrOm6kw","properties":{"formattedCitation":"(2011)","plainCitation":"(2011)","noteIndex":0},"citationItems":[{"id":1759,"uris":["http://zotero.org/users/4812901/items/LXZRMHPR"],"uri":["http://zotero.org/users/4812901/items/LXZRMHPR"],"itemData":{"id":1759,"type":"article-journal","abstract":"During the last decade, a debate arose regarding the timing and pattern of the last reconnection of the Black Sea “Lake” with the global ocean. On a geochemical basis, the radiocarbon age of Black Sea “Lake” surface water, during the time of reconnection, was determined to be w8400 14C a. BP. Despite the potential bias induced by the hard water effect in lakes, the reconnection age was calibrated without any reservoir age correction, which led to an estimate of w9400 cal a. BP. Since knowledge for the actual calendar age has important hydrologic implications that would provide new insights regarding the mechanism of reconnection, determining the actual calendar age for the last reconnection remains important.","container-title":"Quaternary Science Reviews","DOI":"10.1016/j.quascirev.2011.03.001","ISSN":"02773791","issue":"9-10","journalAbbreviation":"Quaternary Science Reviews","language":"en","page":"1019-1026","source":"DOI.org (Crossref)","title":"A revised calendar age for the last reconnection of the Black Sea to the global ocean","volume":"30","author":[{"family":"Soulet","given":"G."},{"family":"Ménot","given":"G."},{"family":"Lericolais","given":"Gilles"},{"family":"Bard","given":"E."}],"issued":{"date-parts":[["2011",5]]}},"suppress-author":true}],"schema":"https://github.com/citation-style-language/schema/raw/master/csl-citation.json"} </w:instrText>
      </w:r>
      <w:r w:rsidRPr="00617BE6">
        <w:rPr>
          <w:lang w:val="en-US"/>
        </w:rPr>
        <w:fldChar w:fldCharType="separate"/>
      </w:r>
      <w:r w:rsidRPr="00617BE6">
        <w:rPr>
          <w:rFonts w:ascii="Calibri" w:hAnsi="Calibri" w:cs="Calibri"/>
          <w:lang w:val="en-US"/>
        </w:rPr>
        <w:t>(2011)</w:t>
      </w:r>
      <w:r w:rsidRPr="00617BE6">
        <w:rPr>
          <w:lang w:val="en-US"/>
        </w:rPr>
        <w:fldChar w:fldCharType="end"/>
      </w:r>
      <w:r w:rsidRPr="00617BE6">
        <w:rPr>
          <w:lang w:val="en-US"/>
        </w:rPr>
        <w:t xml:space="preserve">. The sea level was 94 m lower than </w:t>
      </w:r>
      <w:r w:rsidR="00C24664">
        <w:rPr>
          <w:lang w:val="en-US"/>
        </w:rPr>
        <w:t xml:space="preserve">the </w:t>
      </w:r>
      <w:r w:rsidRPr="00617BE6">
        <w:rPr>
          <w:lang w:val="en-US"/>
        </w:rPr>
        <w:t>current</w:t>
      </w:r>
      <w:r w:rsidR="00C24664">
        <w:rPr>
          <w:lang w:val="en-US"/>
        </w:rPr>
        <w:t xml:space="preserve"> one</w:t>
      </w:r>
      <w:r w:rsidRPr="00617BE6">
        <w:rPr>
          <w:lang w:val="en-US"/>
        </w:rPr>
        <w:t xml:space="preserve"> </w:t>
      </w:r>
      <w:r w:rsidRPr="00617BE6">
        <w:rPr>
          <w:lang w:val="en-US"/>
        </w:rPr>
        <w:fldChar w:fldCharType="begin"/>
      </w:r>
      <w:r w:rsidRPr="00617BE6">
        <w:rPr>
          <w:lang w:val="en-US"/>
        </w:rPr>
        <w:instrText xml:space="preserve"> ADDIN ZOTERO_ITEM CSL_CITATION {"citationID":"uamXSxgQ","properties":{"formattedCitation":"(Lericolais et al., 2009)","plainCitation":"(Lericolais et al., 2009)","noteIndex":0},"citationItems":[{"id":1616,"uris":["http://zotero.org/users/4812901/items/6SMXTJFX"],"uri":["http://zotero.org/users/4812901/items/6SMXTJFX"],"itemData":{"id":1616,"type":"article-journal","abstract":"This paper presents a 3D geometric interpretation of very high resolution seismic Chirp proﬁles acquired on the Romanian shelf during ASSEMBLAGE European Project. The results provide a solid record of the Black Sea Last Glacial Maximum (LGM) water level ﬂuctuations. This pseudo-3D seismic interpretation shows that the Black Sea lacustrine shelf deposits form a signiﬁcant basinward-prograding wedge system. On top of these prograding sequences is a set of sand dunes that delineates a wave cut-terrace like feature around the isobath −100 m. Landward of this dune ﬁeld are small depressions containing barkhan-like bodies. The upper part of the last prograding sequence is incised by anastomosed channels which end in the Danube (Viteaz) canyon which are also built on the lacustrine prograding wedge. Ten stratigraphic units were distinguished and correlated with analyses of cores retrieved from this area. The results demonstrate that the ﬁrst eight sequences represent lacustrine prograding wedges, the ninth sequence is the dune system itself and the tenth is a marine mud drape which covers the entire continental shelf. The lacustrine prograding wedges represent a lowstand deposit characterised by forced regression-like reﬂectors mapped from the pseudo-3D seismic data. Their hinge point corresponds to the wave erosion surface mapped around −100 m isobath on the multibeam mosaic. Dated cores give age control on this lowstand period, which lasted from 11 to 8.5 kyr 14C BP as implied by: (1) the continuously dry climatic conditions in the region inferred by high percentages of herbs and steppe elements determined from ASSEMBLAGE cores and, (2) the formation of dunes between 10 and 8.5 kyr 14C BP on the desiccated north-western Black Sea shelf at −100 m and (3) all of these covered by a marine mud drape conﬁrming that the dune system is no longer active. The buried, anastomosed ﬂuvial channels that suddenly disappear below 90 m depth, and a unique wave-cut terrace between 95 and 100 mbsl on the outer shelf are also consistent with a major lowstand base-level at around −100 m water depth. Preservation of sand dunes and the occurrence of small, buried incised valleys mark a rapid transgression within less than a century during which ravinement processes related to the water level rise had no time to signiﬁcantly erode the seaﬂoor.","container-title":"Global and Planetary Change","DOI":"10.1016/j.gloplacha.2008.03.010","ISSN":"09218181","issue":"1-2","journalAbbreviation":"Global and Planetary Change","language":"en","page":"65-75","source":"DOI.org (Crossref)","title":"High frequency sea level fluctuations recorded in the Black Sea since the LGM","volume":"66","author":[{"family":"Lericolais","given":"Gilles"},{"family":"Bulois","given":"C."},{"family":"Gillet","given":"H."},{"family":"Guichard","given":"F."}],"issued":{"date-parts":[["2009",3]]}}}],"schema":"https://github.com/citation-style-language/schema/raw/master/csl-citation.json"} </w:instrText>
      </w:r>
      <w:r w:rsidRPr="00617BE6">
        <w:rPr>
          <w:lang w:val="en-US"/>
        </w:rPr>
        <w:fldChar w:fldCharType="separate"/>
      </w:r>
      <w:r w:rsidRPr="00617BE6">
        <w:rPr>
          <w:rFonts w:ascii="Calibri" w:hAnsi="Calibri" w:cs="Calibri"/>
          <w:lang w:val="en-US"/>
        </w:rPr>
        <w:t>(Lericolais et al., 2009)</w:t>
      </w:r>
      <w:r w:rsidRPr="00617BE6">
        <w:rPr>
          <w:lang w:val="en-US"/>
        </w:rPr>
        <w:fldChar w:fldCharType="end"/>
      </w:r>
      <w:r w:rsidRPr="00617BE6">
        <w:rPr>
          <w:lang w:val="en-US"/>
        </w:rPr>
        <w:t xml:space="preserve">. The salinity profile is considered constant at </w:t>
      </w:r>
      <w:r w:rsidR="001A7533" w:rsidRPr="00617BE6">
        <w:rPr>
          <w:lang w:val="en-US"/>
        </w:rPr>
        <w:t>1</w:t>
      </w:r>
      <w:r w:rsidRPr="00617BE6">
        <w:rPr>
          <w:lang w:val="en-US"/>
        </w:rPr>
        <w:t xml:space="preserve"> psu to compute the limit of stability.</w:t>
      </w:r>
    </w:p>
    <w:p w:rsidR="00F6736D" w:rsidRPr="00617BE6" w:rsidRDefault="00F6736D" w:rsidP="00F6736D">
      <w:pPr>
        <w:jc w:val="both"/>
        <w:rPr>
          <w:lang w:val="en-US"/>
        </w:rPr>
      </w:pPr>
      <w:r w:rsidRPr="00617BE6">
        <w:rPr>
          <w:lang w:val="en-US"/>
        </w:rPr>
        <w:t xml:space="preserve">The modeling of the BGHSZ at the </w:t>
      </w:r>
      <w:r w:rsidR="002B6885" w:rsidRPr="00617BE6">
        <w:rPr>
          <w:lang w:val="en-US"/>
        </w:rPr>
        <w:t>last glacial maximum (</w:t>
      </w:r>
      <w:r w:rsidRPr="00617BE6">
        <w:rPr>
          <w:lang w:val="en-US"/>
        </w:rPr>
        <w:t>LGM</w:t>
      </w:r>
      <w:r w:rsidR="002B6885" w:rsidRPr="00617BE6">
        <w:rPr>
          <w:lang w:val="en-US"/>
        </w:rPr>
        <w:t>)</w:t>
      </w:r>
      <w:r w:rsidRPr="00617BE6">
        <w:rPr>
          <w:lang w:val="en-US"/>
        </w:rPr>
        <w:t xml:space="preserve"> and at present time show</w:t>
      </w:r>
      <w:r w:rsidR="00C24664">
        <w:rPr>
          <w:lang w:val="en-US"/>
        </w:rPr>
        <w:t>s</w:t>
      </w:r>
      <w:r w:rsidRPr="00617BE6">
        <w:rPr>
          <w:lang w:val="en-US"/>
        </w:rPr>
        <w:t xml:space="preserve"> that the current BSR is located between the modeled depth of the BGHSZ at the LGM and the present one</w:t>
      </w:r>
      <w:r w:rsidR="00687E13" w:rsidRPr="00617BE6">
        <w:rPr>
          <w:lang w:val="en-US"/>
        </w:rPr>
        <w:t xml:space="preserve"> (</w:t>
      </w:r>
      <w:r w:rsidR="00687E13" w:rsidRPr="00617BE6">
        <w:rPr>
          <w:lang w:val="en-US"/>
        </w:rPr>
        <w:fldChar w:fldCharType="begin"/>
      </w:r>
      <w:r w:rsidR="00687E13" w:rsidRPr="00617BE6">
        <w:rPr>
          <w:lang w:val="en-US"/>
        </w:rPr>
        <w:instrText xml:space="preserve"> REF _Ref44057830 \h </w:instrText>
      </w:r>
      <w:r w:rsidR="00687E13" w:rsidRPr="00617BE6">
        <w:rPr>
          <w:lang w:val="en-US"/>
        </w:rPr>
      </w:r>
      <w:r w:rsidR="00687E13" w:rsidRPr="00617BE6">
        <w:rPr>
          <w:lang w:val="en-US"/>
        </w:rPr>
        <w:fldChar w:fldCharType="separate"/>
      </w:r>
      <w:r w:rsidR="00632410" w:rsidRPr="00617BE6">
        <w:rPr>
          <w:lang w:val="en-US"/>
        </w:rPr>
        <w:t xml:space="preserve">Supplementary Figure </w:t>
      </w:r>
      <w:r w:rsidR="00632410" w:rsidRPr="00617BE6">
        <w:rPr>
          <w:noProof/>
          <w:lang w:val="en-US"/>
        </w:rPr>
        <w:t>7</w:t>
      </w:r>
      <w:r w:rsidR="00687E13" w:rsidRPr="00617BE6">
        <w:rPr>
          <w:lang w:val="en-US"/>
        </w:rPr>
        <w:fldChar w:fldCharType="end"/>
      </w:r>
      <w:r w:rsidR="00687E13" w:rsidRPr="00617BE6">
        <w:rPr>
          <w:lang w:val="en-US"/>
        </w:rPr>
        <w:t>)</w:t>
      </w:r>
      <w:r w:rsidRPr="00617BE6">
        <w:rPr>
          <w:lang w:val="en-US"/>
        </w:rPr>
        <w:t>.</w:t>
      </w:r>
    </w:p>
    <w:p w:rsidR="00F6736D" w:rsidRPr="00617BE6" w:rsidRDefault="00F6736D" w:rsidP="004E3450">
      <w:pPr>
        <w:keepNext/>
        <w:ind w:hanging="426"/>
        <w:jc w:val="both"/>
        <w:rPr>
          <w:lang w:val="en-US"/>
        </w:rPr>
      </w:pPr>
      <w:r w:rsidRPr="00617BE6">
        <w:rPr>
          <w:noProof/>
          <w:lang w:val="en-GB" w:eastAsia="en-GB"/>
        </w:rPr>
        <w:lastRenderedPageBreak/>
        <w:drawing>
          <wp:inline distT="0" distB="0" distL="0" distR="0" wp14:anchorId="4450A457" wp14:editId="64BD6B9B">
            <wp:extent cx="6217920" cy="2068605"/>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GHSZmodelling.png"/>
                    <pic:cNvPicPr/>
                  </pic:nvPicPr>
                  <pic:blipFill rotWithShape="1">
                    <a:blip r:embed="rId12">
                      <a:extLst>
                        <a:ext uri="{28A0092B-C50C-407E-A947-70E740481C1C}">
                          <a14:useLocalDpi xmlns:a14="http://schemas.microsoft.com/office/drawing/2010/main" val="0"/>
                        </a:ext>
                      </a:extLst>
                    </a:blip>
                    <a:srcRect l="9962" t="6937" r="8769" b="39151"/>
                    <a:stretch/>
                  </pic:blipFill>
                  <pic:spPr bwMode="auto">
                    <a:xfrm>
                      <a:off x="0" y="0"/>
                      <a:ext cx="6227517" cy="2071798"/>
                    </a:xfrm>
                    <a:prstGeom prst="rect">
                      <a:avLst/>
                    </a:prstGeom>
                    <a:ln>
                      <a:noFill/>
                    </a:ln>
                    <a:extLst>
                      <a:ext uri="{53640926-AAD7-44D8-BBD7-CCE9431645EC}">
                        <a14:shadowObscured xmlns:a14="http://schemas.microsoft.com/office/drawing/2010/main"/>
                      </a:ext>
                    </a:extLst>
                  </pic:spPr>
                </pic:pic>
              </a:graphicData>
            </a:graphic>
          </wp:inline>
        </w:drawing>
      </w:r>
    </w:p>
    <w:p w:rsidR="00F6736D" w:rsidRPr="00617BE6" w:rsidRDefault="005F2FB3" w:rsidP="00920A61">
      <w:pPr>
        <w:pStyle w:val="Lgende"/>
        <w:jc w:val="both"/>
        <w:rPr>
          <w:lang w:val="en-US"/>
        </w:rPr>
      </w:pPr>
      <w:bookmarkStart w:id="7" w:name="_Ref44057830"/>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00632410" w:rsidRPr="00617BE6">
        <w:rPr>
          <w:noProof/>
          <w:lang w:val="en-US"/>
        </w:rPr>
        <w:t>7</w:t>
      </w:r>
      <w:r w:rsidRPr="00617BE6">
        <w:rPr>
          <w:lang w:val="en-US"/>
        </w:rPr>
        <w:fldChar w:fldCharType="end"/>
      </w:r>
      <w:bookmarkEnd w:id="7"/>
      <w:r w:rsidR="00F6736D" w:rsidRPr="00617BE6">
        <w:rPr>
          <w:lang w:val="en-US"/>
        </w:rPr>
        <w:t xml:space="preserve"> – Results of the </w:t>
      </w:r>
      <w:r w:rsidR="009B2776" w:rsidRPr="00617BE6">
        <w:rPr>
          <w:lang w:val="en-US"/>
        </w:rPr>
        <w:t>modeling</w:t>
      </w:r>
      <w:r w:rsidR="00F6736D" w:rsidRPr="00617BE6">
        <w:rPr>
          <w:lang w:val="en-US"/>
        </w:rPr>
        <w:t xml:space="preserve"> of the BGHSZ at the LGM (dashed black line) and present (black line) for profile Bla1-7. </w:t>
      </w:r>
      <w:r w:rsidR="004B25F8" w:rsidRPr="00617BE6">
        <w:rPr>
          <w:lang w:val="en-US"/>
        </w:rPr>
        <w:t>LGM = last glacial maximum, BGHSZ = base of the gas hydrates stability zone.</w:t>
      </w:r>
    </w:p>
    <w:p w:rsidR="00D57BBE" w:rsidRPr="00617BE6" w:rsidRDefault="00D57BBE" w:rsidP="00D57BBE">
      <w:pPr>
        <w:rPr>
          <w:lang w:val="en-US"/>
        </w:rPr>
      </w:pPr>
    </w:p>
    <w:p w:rsidR="00632410" w:rsidRPr="00617BE6" w:rsidRDefault="00632410" w:rsidP="008E3FA5">
      <w:pPr>
        <w:pStyle w:val="Titre2"/>
        <w:numPr>
          <w:ilvl w:val="0"/>
          <w:numId w:val="3"/>
        </w:numPr>
        <w:rPr>
          <w:lang w:val="en-US"/>
        </w:rPr>
      </w:pPr>
      <w:r w:rsidRPr="00617BE6">
        <w:rPr>
          <w:lang w:val="en-US"/>
        </w:rPr>
        <w:t>Steady state system: hydrofracturing</w:t>
      </w:r>
    </w:p>
    <w:p w:rsidR="00632410" w:rsidRPr="00617BE6" w:rsidRDefault="00632410" w:rsidP="00632410">
      <w:pPr>
        <w:jc w:val="both"/>
        <w:rPr>
          <w:lang w:val="en-US"/>
        </w:rPr>
      </w:pPr>
      <w:r w:rsidRPr="00617BE6">
        <w:rPr>
          <w:lang w:val="en-US"/>
        </w:rPr>
        <w:t>To verify our hypothesis concerning the absence of hydrofracturing during hydrate decomposition, we calculate the maximum excess pore pressure generated by GH</w:t>
      </w:r>
      <w:r w:rsidR="00C24664">
        <w:rPr>
          <w:lang w:val="en-US"/>
        </w:rPr>
        <w:t>s</w:t>
      </w:r>
      <w:r w:rsidRPr="00617BE6">
        <w:rPr>
          <w:lang w:val="en-US"/>
        </w:rPr>
        <w:t xml:space="preserve"> dissociating in the presented system. The calculations follow the methodology presented by Sultan </w:t>
      </w:r>
      <w:r w:rsidRPr="00617BE6">
        <w:rPr>
          <w:lang w:val="en-US"/>
        </w:rPr>
        <w:fldChar w:fldCharType="begin"/>
      </w:r>
      <w:r w:rsidRPr="00617BE6">
        <w:rPr>
          <w:lang w:val="en-US"/>
        </w:rPr>
        <w:instrText xml:space="preserve"> ADDIN ZOTERO_ITEM CSL_CITATION {"citationID":"TQqFn2bC","properties":{"formattedCitation":"(2007)","plainCitation":"(2007)","noteIndex":0},"citationItems":[{"id":1874,"uris":["http://zotero.org/users/4812901/items/LBZIFPDH"],"uri":["http://zotero.org/users/4812901/items/LBZIFPDH"],"itemData":{"id":1874,"type":"paper-conference","abstract":"Parameters affecting gas hydrate formation include temperature, pore pressure, gas chemistry, and pore-water salinity. Any change in the equilibrium of these parameters may result in dissociation (gas-hydrate turns into free gas/water mixture) and/or dissolution (gas-hydrate becomes mixture of water and dissolved gas) of the gas hydrate. While, gas-hydrate dissociation at the base of the Gas Hydrate Occurrence Zone (GHOZ) is often considered as a major cause of sediment deformation and submarine slope failures the consequence in terms of pore pressure and sediment deformation of the dissolution of the gas hydrate at the top of the GHOZ remains neglected. In this study, we quantify and compare the excess pore pressure resulting from gas hydrate dissociation and dissolution. Based on theoretical development it is demonstrated that excess pore pressure and shear discontinuities generated by hydrate dissociation is unlikely to be a hazardous factor. In natural environment, the excess pore pressure generated by hydrate dissociation is bounded by the gas hydrate stability law inducing for a natural temperature increase a limited amount of excess pore pressure and limited shear discontinuities at the base of the GHOZ. On the other hand, we show that under natural temperature changes hydrate dissolution at the top of the gas hydrate stability zone, which can occur at a regional scale, is a hazardous process that can lead to catastrophic landslides.","container-title":"Offshore Technology Conference","DOI":"10.4043/18532-MS","event":"Offshore Technology Conference","event-place":"Houston, Texas, U.S.A.","language":"en","publisher":"Offshore Technology Conference","publisher-place":"Houston, Texas, U.S.A.","source":"DOI.org (Crossref)","title":"Excess Pore Pressure and Slope Failures Resulting From Gas-Hydrates Dissociation and Dissolution","URL":"http://www.onepetro.org/doi/10.4043/18532-MS","author":[{"family":"Sultan","given":"Nabil"}],"accessed":{"date-parts":[["2020",5,12]]},"issued":{"date-parts":[["2007"]]}},"suppress-author":true}],"schema":"https://github.com/citation-style-language/schema/raw/master/csl-citation.json"} </w:instrText>
      </w:r>
      <w:r w:rsidRPr="00617BE6">
        <w:rPr>
          <w:lang w:val="en-US"/>
        </w:rPr>
        <w:fldChar w:fldCharType="separate"/>
      </w:r>
      <w:r w:rsidRPr="00617BE6">
        <w:rPr>
          <w:rFonts w:ascii="Calibri" w:hAnsi="Calibri" w:cs="Calibri"/>
          <w:lang w:val="en-US"/>
        </w:rPr>
        <w:t>(2007)</w:t>
      </w:r>
      <w:r w:rsidRPr="00617BE6">
        <w:rPr>
          <w:lang w:val="en-US"/>
        </w:rPr>
        <w:fldChar w:fldCharType="end"/>
      </w:r>
      <w:r w:rsidRPr="00617BE6">
        <w:rPr>
          <w:lang w:val="en-US"/>
        </w:rPr>
        <w:t xml:space="preserve">. We use the porosity profile presented in Riedel et al. </w:t>
      </w:r>
      <w:r w:rsidRPr="00617BE6">
        <w:rPr>
          <w:lang w:val="en-US"/>
        </w:rPr>
        <w:fldChar w:fldCharType="begin"/>
      </w:r>
      <w:r w:rsidRPr="00617BE6">
        <w:rPr>
          <w:lang w:val="en-US"/>
        </w:rPr>
        <w:instrText xml:space="preserve"> ADDIN ZOTERO_ITEM CSL_CITATION {"citationID":"Qz1YjMqf","properties":{"formattedCitation":"(2020)","plainCitation":"(2020)","noteIndex":0},"citationItems":[{"id":1462,"uris":["http://zotero.org/users/4812901/items/54DIBXLQ"],"uri":["http://zotero.org/users/4812901/items/54DIBXLQ"],"itemData":{"id":1462,"type":"article-journal","container-title":"Marine and Petroleum Geology","DOI":"10.1016/j.marpetgeo.2019.104192","ISSN":"02648172","journalAbbreviation":"Marine and Petroleum Geology","language":"en","page":"104192","source":"DOI.org (Crossref)","title":"Physical properties and core-log seismic integration from drilling at the Danube deep-sea fan, Black Sea","author":[{"family":"Riedel","given":"Michael"},{"family":"Freudenthal","given":"T."},{"family":"Bergenthal","given":"M."},{"family":"Haeckel","given":"M."},{"family":"Wallmann","given":"K."},{"family":"Spangenberg","given":"E."},{"family":"Bialas","given":"J."},{"family":"Bohrmann","given":"G."}],"issued":{"date-parts":[["2020",4]]}},"suppress-author":true}],"schema":"https://github.com/citation-style-language/schema/raw/master/csl-citation.json"} </w:instrText>
      </w:r>
      <w:r w:rsidRPr="00617BE6">
        <w:rPr>
          <w:lang w:val="en-US"/>
        </w:rPr>
        <w:fldChar w:fldCharType="separate"/>
      </w:r>
      <w:r w:rsidRPr="00617BE6">
        <w:rPr>
          <w:rFonts w:ascii="Calibri" w:hAnsi="Calibri" w:cs="Calibri"/>
          <w:lang w:val="en-US"/>
        </w:rPr>
        <w:t>(2020)</w:t>
      </w:r>
      <w:r w:rsidRPr="00617BE6">
        <w:rPr>
          <w:lang w:val="en-US"/>
        </w:rPr>
        <w:fldChar w:fldCharType="end"/>
      </w:r>
      <w:r w:rsidRPr="00617BE6">
        <w:rPr>
          <w:lang w:val="en-US"/>
        </w:rPr>
        <w:t xml:space="preserve"> from a neighboring area, the bulk density varies with the porosity but is taken constant at 2000 kg/m</w:t>
      </w:r>
      <w:r w:rsidRPr="00617BE6">
        <w:rPr>
          <w:vertAlign w:val="superscript"/>
          <w:lang w:val="en-US"/>
        </w:rPr>
        <w:t>3</w:t>
      </w:r>
      <w:r w:rsidRPr="00617BE6">
        <w:rPr>
          <w:lang w:val="en-US"/>
        </w:rPr>
        <w:t xml:space="preserve"> deeper than 85 mbsf, coherent with the values measured by Riedel et al. </w:t>
      </w:r>
      <w:r w:rsidRPr="00617BE6">
        <w:rPr>
          <w:lang w:val="en-US"/>
        </w:rPr>
        <w:fldChar w:fldCharType="begin"/>
      </w:r>
      <w:r w:rsidRPr="00617BE6">
        <w:rPr>
          <w:lang w:val="en-US"/>
        </w:rPr>
        <w:instrText xml:space="preserve"> ADDIN ZOTERO_ITEM CSL_CITATION {"citationID":"8rGJip7M","properties":{"formattedCitation":"(2020)","plainCitation":"(2020)","noteIndex":0},"citationItems":[{"id":1462,"uris":["http://zotero.org/users/4812901/items/54DIBXLQ"],"uri":["http://zotero.org/users/4812901/items/54DIBXLQ"],"itemData":{"id":1462,"type":"article-journal","container-title":"Marine and Petroleum Geology","DOI":"10.1016/j.marpetgeo.2019.104192","ISSN":"02648172","journalAbbreviation":"Marine and Petroleum Geology","language":"en","page":"104192","source":"DOI.org (Crossref)","title":"Physical properties and core-log seismic integration from drilling at the Danube deep-sea fan, Black Sea","author":[{"family":"Riedel","given":"Michael"},{"family":"Freudenthal","given":"T."},{"family":"Bergenthal","given":"M."},{"family":"Haeckel","given":"M."},{"family":"Wallmann","given":"K."},{"family":"Spangenberg","given":"E."},{"family":"Bialas","given":"J."},{"family":"Bohrmann","given":"G."}],"issued":{"date-parts":[["2020",4]]}},"suppress-author":true}],"schema":"https://github.com/citation-style-language/schema/raw/master/csl-citation.json"} </w:instrText>
      </w:r>
      <w:r w:rsidRPr="00617BE6">
        <w:rPr>
          <w:lang w:val="en-US"/>
        </w:rPr>
        <w:fldChar w:fldCharType="separate"/>
      </w:r>
      <w:r w:rsidRPr="00617BE6">
        <w:rPr>
          <w:rFonts w:ascii="Calibri" w:hAnsi="Calibri" w:cs="Calibri"/>
          <w:lang w:val="en-US"/>
        </w:rPr>
        <w:t>(2020)</w:t>
      </w:r>
      <w:r w:rsidRPr="00617BE6">
        <w:rPr>
          <w:lang w:val="en-US"/>
        </w:rPr>
        <w:fldChar w:fldCharType="end"/>
      </w:r>
      <w:r w:rsidRPr="00617BE6">
        <w:rPr>
          <w:lang w:val="en-US"/>
        </w:rPr>
        <w:t xml:space="preserve">. The threshold for hydrofracturing to occur is set at 95 % of the effective pressure </w:t>
      </w:r>
      <w:r w:rsidRPr="00617BE6">
        <w:rPr>
          <w:lang w:val="en-US"/>
        </w:rPr>
        <w:fldChar w:fldCharType="begin"/>
      </w:r>
      <w:r w:rsidRPr="00617BE6">
        <w:rPr>
          <w:lang w:val="en-US"/>
        </w:rPr>
        <w:instrText xml:space="preserve"> ADDIN ZOTERO_ITEM CSL_CITATION {"citationID":"PUWLCiMw","properties":{"formattedCitation":"(Sultan, 2007)","plainCitation":"(Sultan, 2007)","noteIndex":0},"citationItems":[{"id":1874,"uris":["http://zotero.org/users/4812901/items/LBZIFPDH"],"uri":["http://zotero.org/users/4812901/items/LBZIFPDH"],"itemData":{"id":1874,"type":"paper-conference","abstract":"Parameters affecting gas hydrate formation include temperature, pore pressure, gas chemistry, and pore-water salinity. Any change in the equilibrium of these parameters may result in dissociation (gas-hydrate turns into free gas/water mixture) and/or dissolution (gas-hydrate becomes mixture of water and dissolved gas) of the gas hydrate. While, gas-hydrate dissociation at the base of the Gas Hydrate Occurrence Zone (GHOZ) is often considered as a major cause of sediment deformation and submarine slope failures the consequence in terms of pore pressure and sediment deformation of the dissolution of the gas hydrate at the top of the GHOZ remains neglected. In this study, we quantify and compare the excess pore pressure resulting from gas hydrate dissociation and dissolution. Based on theoretical development it is demonstrated that excess pore pressure and shear discontinuities generated by hydrate dissociation is unlikely to be a hazardous factor. In natural environment, the excess pore pressure generated by hydrate dissociation is bounded by the gas hydrate stability law inducing for a natural temperature increase a limited amount of excess pore pressure and limited shear discontinuities at the base of the GHOZ. On the other hand, we show that under natural temperature changes hydrate dissolution at the top of the gas hydrate stability zone, which can occur at a regional scale, is a hazardous process that can lead to catastrophic landslides.","container-title":"Offshore Technology Conference","DOI":"10.4043/18532-MS","event":"Offshore Technology Conference","event-place":"Houston, Texas, U.S.A.","language":"en","publisher":"Offshore Technology Conference","publisher-place":"Houston, Texas, U.S.A.","source":"DOI.org (Crossref)","title":"Excess Pore Pressure and Slope Failures Resulting From Gas-Hydrates Dissociation and Dissolution","URL":"http://www.onepetro.org/doi/10.4043/18532-MS","author":[{"family":"Sultan","given":"Nabil"}],"accessed":{"date-parts":[["2020",5,12]]},"issued":{"date-parts":[["2007"]]}}}],"schema":"https://github.com/citation-style-language/schema/raw/master/csl-citation.json"} </w:instrText>
      </w:r>
      <w:r w:rsidRPr="00617BE6">
        <w:rPr>
          <w:lang w:val="en-US"/>
        </w:rPr>
        <w:fldChar w:fldCharType="separate"/>
      </w:r>
      <w:r w:rsidRPr="00617BE6">
        <w:rPr>
          <w:rFonts w:ascii="Calibri" w:hAnsi="Calibri" w:cs="Calibri"/>
          <w:lang w:val="en-US"/>
        </w:rPr>
        <w:t>(Sultan, 2007)</w:t>
      </w:r>
      <w:r w:rsidRPr="00617BE6">
        <w:rPr>
          <w:lang w:val="en-US"/>
        </w:rPr>
        <w:fldChar w:fldCharType="end"/>
      </w:r>
      <w:r w:rsidRPr="00617BE6">
        <w:rPr>
          <w:lang w:val="en-US"/>
        </w:rPr>
        <w:t xml:space="preserve">.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a presents the interpreted section of profile PL01PR12, the GH occurrence zone (GHOZ) is represented in orange and the free gas occurrence zone is represented in light blue. The regional trend of the BSR is indicated by the dotted blue line, whereas the local trend of the free gas termination above the BSR is indicated by the dotted purple line. The do</w:t>
      </w:r>
      <w:r w:rsidR="00C24664">
        <w:rPr>
          <w:lang w:val="en-US"/>
        </w:rPr>
        <w:t>t</w:t>
      </w:r>
      <w:r w:rsidRPr="00617BE6">
        <w:rPr>
          <w:lang w:val="en-US"/>
        </w:rPr>
        <w:t>ted black line show</w:t>
      </w:r>
      <w:r w:rsidR="00C24664">
        <w:rPr>
          <w:lang w:val="en-US"/>
        </w:rPr>
        <w:t>s</w:t>
      </w:r>
      <w:r w:rsidRPr="00617BE6">
        <w:rPr>
          <w:lang w:val="en-US"/>
        </w:rPr>
        <w:t xml:space="preserve"> the steady state modeling of the base of the GHSZ (BGHSZ). The maximum excess pore pressure generated by GH dissociation, </w:t>
      </w:r>
      <w:r w:rsidRPr="00617BE6">
        <w:rPr>
          <w:rFonts w:cstheme="minorHAnsi"/>
          <w:lang w:val="en-US"/>
        </w:rPr>
        <w:t>Δ</w:t>
      </w:r>
      <w:r w:rsidRPr="00617BE6">
        <w:rPr>
          <w:lang w:val="en-US"/>
        </w:rPr>
        <w:t xml:space="preserve">u, is estimated at two boundaries: the regional trend of the BSR and the local trend of the free gas termination above the BSR. The results are summarized in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xml:space="preserve">b and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xml:space="preserve">c.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xml:space="preserve">b presents the vertical profile at the position indicated by the dashed black line in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xml:space="preserve">a. The GH equilibrium pressure curve decreases for the first five meters below </w:t>
      </w:r>
      <w:r w:rsidR="00C24664">
        <w:rPr>
          <w:lang w:val="en-US"/>
        </w:rPr>
        <w:t xml:space="preserve">the </w:t>
      </w:r>
      <w:r w:rsidRPr="00617BE6">
        <w:rPr>
          <w:lang w:val="en-US"/>
        </w:rPr>
        <w:t xml:space="preserve">seafloor before increasing with depth. The decrease of the equilibrium pressure is caused by the sharp decrease of the salinity in the first 25 m below seafloor, in the Black Sea. The maximum excess pore pressure generated by GH dissociation </w:t>
      </w:r>
      <w:r w:rsidR="00C24664">
        <w:rPr>
          <w:lang w:val="en-US"/>
        </w:rPr>
        <w:t>is</w:t>
      </w:r>
      <w:r w:rsidR="00C24664" w:rsidRPr="00617BE6">
        <w:rPr>
          <w:lang w:val="en-US"/>
        </w:rPr>
        <w:t xml:space="preserve"> </w:t>
      </w:r>
      <w:r w:rsidRPr="00617BE6">
        <w:rPr>
          <w:lang w:val="en-US"/>
        </w:rPr>
        <w:t xml:space="preserve">indicated by the blue </w:t>
      </w:r>
      <w:r w:rsidRPr="00617BE6">
        <w:rPr>
          <w:rFonts w:cs="Calibri"/>
          <w:lang w:val="en-US"/>
        </w:rPr>
        <w:t>Δ</w:t>
      </w:r>
      <w:r w:rsidRPr="00617BE6">
        <w:rPr>
          <w:lang w:val="en-US"/>
        </w:rPr>
        <w:t xml:space="preserve">u for the depth of the BSR and by the purple </w:t>
      </w:r>
      <w:r w:rsidRPr="00617BE6">
        <w:rPr>
          <w:rFonts w:cs="Calibri"/>
          <w:lang w:val="en-US"/>
        </w:rPr>
        <w:t>Δ</w:t>
      </w:r>
      <w:r w:rsidRPr="00617BE6">
        <w:rPr>
          <w:lang w:val="en-US"/>
        </w:rPr>
        <w:t xml:space="preserve">u for the top of the free gas above the BSR. </w:t>
      </w:r>
      <w:r w:rsidRPr="00617BE6">
        <w:rPr>
          <w:lang w:val="en-US"/>
        </w:rPr>
        <w:fldChar w:fldCharType="begin"/>
      </w:r>
      <w:r w:rsidRPr="00617BE6">
        <w:rPr>
          <w:lang w:val="en-US"/>
        </w:rPr>
        <w:instrText xml:space="preserve"> REF _Ref44057829 \h </w:instrText>
      </w:r>
      <w:r w:rsidRPr="00617BE6">
        <w:rPr>
          <w:lang w:val="en-US"/>
        </w:rPr>
      </w:r>
      <w:r w:rsidRPr="00617BE6">
        <w:rPr>
          <w:lang w:val="en-US"/>
        </w:rPr>
        <w:fldChar w:fldCharType="separate"/>
      </w:r>
      <w:r w:rsidRPr="00617BE6">
        <w:rPr>
          <w:lang w:val="en-US"/>
        </w:rPr>
        <w:t xml:space="preserve">Supplementary Figure </w:t>
      </w:r>
      <w:r w:rsidRPr="00617BE6">
        <w:rPr>
          <w:noProof/>
          <w:lang w:val="en-US"/>
        </w:rPr>
        <w:t>8</w:t>
      </w:r>
      <w:r w:rsidRPr="00617BE6">
        <w:rPr>
          <w:lang w:val="en-US"/>
        </w:rPr>
        <w:fldChar w:fldCharType="end"/>
      </w:r>
      <w:r w:rsidRPr="00617BE6">
        <w:rPr>
          <w:lang w:val="en-US"/>
        </w:rPr>
        <w:t xml:space="preserve">c presents the </w:t>
      </w:r>
      <w:r w:rsidRPr="00617BE6">
        <w:rPr>
          <w:rFonts w:cs="Calibri"/>
          <w:lang w:val="en-US"/>
        </w:rPr>
        <w:t>Δ</w:t>
      </w:r>
      <w:r w:rsidRPr="00617BE6">
        <w:rPr>
          <w:lang w:val="en-US"/>
        </w:rPr>
        <w:t xml:space="preserve">u curves for the studied profile as well as the curves corresponding to 95 % of Peff. The maximum excess pore pressure generated by GH dissociation does not exceed the 95 % effective pressure threshold for the free gas above the BSR (purple curves). </w:t>
      </w:r>
      <w:r w:rsidRPr="00617BE6">
        <w:rPr>
          <w:rFonts w:cs="Calibri"/>
          <w:lang w:val="en-US"/>
        </w:rPr>
        <w:t>Δ</w:t>
      </w:r>
      <w:r w:rsidRPr="00617BE6">
        <w:rPr>
          <w:lang w:val="en-US"/>
        </w:rPr>
        <w:t xml:space="preserve">u is greater than 95% of Peff at the depth of the BSR close to the fault. We conclude that hydrofracturing is unlikely to occur in this area because of GH dissociation. </w:t>
      </w:r>
    </w:p>
    <w:p w:rsidR="00632410" w:rsidRPr="00617BE6" w:rsidRDefault="00632410" w:rsidP="00632410">
      <w:pPr>
        <w:rPr>
          <w:lang w:val="en-US"/>
        </w:rPr>
      </w:pPr>
    </w:p>
    <w:p w:rsidR="00632410" w:rsidRPr="00617BE6" w:rsidRDefault="00632410" w:rsidP="00632410">
      <w:pPr>
        <w:keepNext/>
        <w:ind w:hanging="709"/>
        <w:jc w:val="center"/>
        <w:rPr>
          <w:lang w:val="en-US"/>
        </w:rPr>
      </w:pPr>
      <w:r w:rsidRPr="00617BE6">
        <w:rPr>
          <w:noProof/>
          <w:lang w:val="en-GB" w:eastAsia="en-GB"/>
        </w:rPr>
        <w:lastRenderedPageBreak/>
        <w:drawing>
          <wp:inline distT="0" distB="0" distL="0" distR="0" wp14:anchorId="302C5383" wp14:editId="2F8CA713">
            <wp:extent cx="5338045" cy="4437002"/>
            <wp:effectExtent l="0" t="0" r="0" b="19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orePressure.png"/>
                    <pic:cNvPicPr/>
                  </pic:nvPicPr>
                  <pic:blipFill>
                    <a:blip r:embed="rId13">
                      <a:extLst>
                        <a:ext uri="{28A0092B-C50C-407E-A947-70E740481C1C}">
                          <a14:useLocalDpi xmlns:a14="http://schemas.microsoft.com/office/drawing/2010/main" val="0"/>
                        </a:ext>
                      </a:extLst>
                    </a:blip>
                    <a:stretch>
                      <a:fillRect/>
                    </a:stretch>
                  </pic:blipFill>
                  <pic:spPr>
                    <a:xfrm>
                      <a:off x="0" y="0"/>
                      <a:ext cx="5338045" cy="4437002"/>
                    </a:xfrm>
                    <a:prstGeom prst="rect">
                      <a:avLst/>
                    </a:prstGeom>
                  </pic:spPr>
                </pic:pic>
              </a:graphicData>
            </a:graphic>
          </wp:inline>
        </w:drawing>
      </w:r>
    </w:p>
    <w:p w:rsidR="00632410" w:rsidRPr="00617BE6" w:rsidRDefault="00632410" w:rsidP="00D57BBE">
      <w:pPr>
        <w:pStyle w:val="Lgende"/>
        <w:jc w:val="both"/>
        <w:rPr>
          <w:lang w:val="en-US"/>
        </w:rPr>
      </w:pPr>
      <w:bookmarkStart w:id="8" w:name="_Ref44057829"/>
      <w:r w:rsidRPr="00617BE6">
        <w:rPr>
          <w:lang w:val="en-US"/>
        </w:rPr>
        <w:t xml:space="preserve">Supplementary Figure </w:t>
      </w:r>
      <w:r w:rsidRPr="00617BE6">
        <w:rPr>
          <w:lang w:val="en-US"/>
        </w:rPr>
        <w:fldChar w:fldCharType="begin"/>
      </w:r>
      <w:r w:rsidRPr="00617BE6">
        <w:rPr>
          <w:lang w:val="en-US"/>
        </w:rPr>
        <w:instrText xml:space="preserve"> SEQ Supplementary_Figure \* ARABIC </w:instrText>
      </w:r>
      <w:r w:rsidRPr="00617BE6">
        <w:rPr>
          <w:lang w:val="en-US"/>
        </w:rPr>
        <w:fldChar w:fldCharType="separate"/>
      </w:r>
      <w:r w:rsidRPr="00617BE6">
        <w:rPr>
          <w:noProof/>
          <w:lang w:val="en-US"/>
        </w:rPr>
        <w:t>8</w:t>
      </w:r>
      <w:r w:rsidRPr="00617BE6">
        <w:rPr>
          <w:lang w:val="en-US"/>
        </w:rPr>
        <w:fldChar w:fldCharType="end"/>
      </w:r>
      <w:bookmarkEnd w:id="8"/>
      <w:r w:rsidRPr="00617BE6">
        <w:rPr>
          <w:lang w:val="en-US"/>
        </w:rPr>
        <w:t xml:space="preserve"> – Maximum excess pore pressure generated by GH dissociation. a) Interpretation of SYSIF profile PL01PR12. The dotted light blue line indicates the regional trend of the BSR. The dotted purple line indicates the local trend of the presence of free gas above the BSR. The modeling of the present steady state BGHSZ is shown (dotted black line). The vertical dashed black line indicates the position of the pressure profile in b). b) Hydrostatic pressure (Ph, red), sum of Ph</w:t>
      </w:r>
      <w:r w:rsidR="00C24664">
        <w:rPr>
          <w:lang w:val="en-US"/>
        </w:rPr>
        <w:t>,</w:t>
      </w:r>
      <w:r w:rsidRPr="00617BE6">
        <w:rPr>
          <w:lang w:val="en-US"/>
        </w:rPr>
        <w:t xml:space="preserve"> and 95% of the effective pressure (Peff) and GH stability pressure law (black). 95% of Peff corresponds to the chosen threshold for hydrofracturing </w:t>
      </w:r>
      <w:r w:rsidRPr="00617BE6">
        <w:rPr>
          <w:lang w:val="en-US"/>
        </w:rPr>
        <w:fldChar w:fldCharType="begin"/>
      </w:r>
      <w:r w:rsidRPr="00617BE6">
        <w:rPr>
          <w:lang w:val="en-US"/>
        </w:rPr>
        <w:instrText xml:space="preserve"> ADDIN ZOTERO_ITEM CSL_CITATION {"citationID":"ZaP93Wow","properties":{"formattedCitation":"(Sultan, 2007)","plainCitation":"(Sultan, 2007)","noteIndex":0},"citationItems":[{"id":1874,"uris":["http://zotero.org/users/4812901/items/LBZIFPDH"],"uri":["http://zotero.org/users/4812901/items/LBZIFPDH"],"itemData":{"id":1874,"type":"paper-conference","abstract":"Parameters affecting gas hydrate formation include temperature, pore pressure, gas chemistry, and pore-water salinity. Any change in the equilibrium of these parameters may result in dissociation (gas-hydrate turns into free gas/water mixture) and/or dissolution (gas-hydrate becomes mixture of water and dissolved gas) of the gas hydrate. While, gas-hydrate dissociation at the base of the Gas Hydrate Occurrence Zone (GHOZ) is often considered as a major cause of sediment deformation and submarine slope failures the consequence in terms of pore pressure and sediment deformation of the dissolution of the gas hydrate at the top of the GHOZ remains neglected. In this study, we quantify and compare the excess pore pressure resulting from gas hydrate dissociation and dissolution. Based on theoretical development it is demonstrated that excess pore pressure and shear discontinuities generated by hydrate dissociation is unlikely to be a hazardous factor. In natural environment, the excess pore pressure generated by hydrate dissociation is bounded by the gas hydrate stability law inducing for a natural temperature increase a limited amount of excess pore pressure and limited shear discontinuities at the base of the GHOZ. On the other hand, we show that under natural temperature changes hydrate dissolution at the top of the gas hydrate stability zone, which can occur at a regional scale, is a hazardous process that can lead to catastrophic landslides.","container-title":"Offshore Technology Conference","DOI":"10.4043/18532-MS","event":"Offshore Technology Conference","event-place":"Houston, Texas, U.S.A.","language":"en","publisher":"Offshore Technology Conference","publisher-place":"Houston, Texas, U.S.A.","source":"DOI.org (Crossref)","title":"Excess Pore Pressure and Slope Failures Resulting From Gas-Hydrates Dissociation and Dissolution","URL":"http://www.onepetro.org/doi/10.4043/18532-MS","author":[{"family":"Sultan","given":"Nabil"}],"accessed":{"date-parts":[["2020",5,12]]},"issued":{"date-parts":[["2007"]]}}}],"schema":"https://github.com/citation-style-language/schema/raw/master/csl-citation.json"} </w:instrText>
      </w:r>
      <w:r w:rsidRPr="00617BE6">
        <w:rPr>
          <w:lang w:val="en-US"/>
        </w:rPr>
        <w:fldChar w:fldCharType="separate"/>
      </w:r>
      <w:r w:rsidRPr="00617BE6">
        <w:rPr>
          <w:rFonts w:ascii="Calibri" w:hAnsi="Calibri" w:cs="Calibri"/>
          <w:lang w:val="en-US"/>
        </w:rPr>
        <w:t>(Sultan, 2007)</w:t>
      </w:r>
      <w:r w:rsidRPr="00617BE6">
        <w:rPr>
          <w:lang w:val="en-US"/>
        </w:rPr>
        <w:fldChar w:fldCharType="end"/>
      </w:r>
      <w:r w:rsidRPr="00617BE6">
        <w:rPr>
          <w:lang w:val="en-US"/>
        </w:rPr>
        <w:t xml:space="preserve">. The maximum excess pore pressure generated by GH dissociation at the BSR depth is indicated by the blue </w:t>
      </w:r>
      <w:r w:rsidRPr="00617BE6">
        <w:rPr>
          <w:rFonts w:cstheme="minorHAnsi"/>
          <w:lang w:val="en-US"/>
        </w:rPr>
        <w:t>Δ</w:t>
      </w:r>
      <w:r w:rsidRPr="00617BE6">
        <w:rPr>
          <w:lang w:val="en-US"/>
        </w:rPr>
        <w:t>u and at the top of the free gas reflector above the BSR by the purple</w:t>
      </w:r>
      <w:r w:rsidRPr="00617BE6">
        <w:rPr>
          <w:rFonts w:cstheme="minorHAnsi"/>
          <w:lang w:val="en-US"/>
        </w:rPr>
        <w:t xml:space="preserve"> Δ</w:t>
      </w:r>
      <w:r w:rsidRPr="00617BE6">
        <w:rPr>
          <w:lang w:val="en-US"/>
        </w:rPr>
        <w:t>u. c) Maximum excess pore pressure generated by GH dissociation (plain lines) and 95% pf Peff (dashed lines). We observe that the maximum excess pore pressure generated by GH dissociation do</w:t>
      </w:r>
      <w:r w:rsidR="00C24664">
        <w:rPr>
          <w:lang w:val="en-US"/>
        </w:rPr>
        <w:t>es</w:t>
      </w:r>
      <w:r w:rsidRPr="00617BE6">
        <w:rPr>
          <w:lang w:val="en-US"/>
        </w:rPr>
        <w:t xml:space="preserve"> not exceed 95% of Peff. It only does so at the depth of the BSR and close to the fault.</w:t>
      </w:r>
    </w:p>
    <w:p w:rsidR="00632410" w:rsidRPr="00617BE6" w:rsidRDefault="00632410" w:rsidP="00A937E8">
      <w:pPr>
        <w:jc w:val="both"/>
        <w:rPr>
          <w:vertAlign w:val="superscript"/>
          <w:lang w:val="en-US"/>
        </w:rPr>
      </w:pPr>
    </w:p>
    <w:p w:rsidR="00AA0F1A" w:rsidRPr="00617BE6" w:rsidRDefault="00AA0F1A" w:rsidP="00AA0F1A">
      <w:pPr>
        <w:pStyle w:val="Titre2"/>
        <w:rPr>
          <w:lang w:val="en-US"/>
        </w:rPr>
      </w:pPr>
      <w:r w:rsidRPr="00617BE6">
        <w:rPr>
          <w:lang w:val="en-US"/>
        </w:rPr>
        <w:t>Bibliography</w:t>
      </w:r>
    </w:p>
    <w:p w:rsidR="00527F06" w:rsidRPr="00617BE6" w:rsidRDefault="00AA0F1A" w:rsidP="00BF7A0C">
      <w:pPr>
        <w:pStyle w:val="Bibliographie"/>
        <w:spacing w:before="240" w:line="240" w:lineRule="auto"/>
        <w:rPr>
          <w:rFonts w:ascii="Calibri" w:hAnsi="Calibri" w:cs="Calibri"/>
          <w:lang w:val="en-US"/>
        </w:rPr>
      </w:pPr>
      <w:r w:rsidRPr="00617BE6">
        <w:rPr>
          <w:b/>
          <w:szCs w:val="40"/>
          <w:lang w:val="en-US"/>
        </w:rPr>
        <w:fldChar w:fldCharType="begin"/>
      </w:r>
      <w:r w:rsidR="00CC71DC" w:rsidRPr="00617BE6">
        <w:rPr>
          <w:b/>
          <w:szCs w:val="40"/>
          <w:lang w:val="en-US"/>
        </w:rPr>
        <w:instrText xml:space="preserve"> ADDIN ZOTERO_BIBL {"uncited":[],"omitted":[],"custom":[]} CSL_BIBLIOGRAPHY </w:instrText>
      </w:r>
      <w:r w:rsidRPr="00617BE6">
        <w:rPr>
          <w:b/>
          <w:szCs w:val="40"/>
          <w:lang w:val="en-US"/>
        </w:rPr>
        <w:fldChar w:fldCharType="separate"/>
      </w:r>
      <w:r w:rsidR="00527F06" w:rsidRPr="00617BE6">
        <w:rPr>
          <w:rFonts w:ascii="Calibri" w:hAnsi="Calibri" w:cs="Calibri"/>
          <w:lang w:val="en-US"/>
        </w:rPr>
        <w:t xml:space="preserve">Calvert, S. E., &amp; Batchelor, C. H. (1978). Major and minor element geochemistry of sediments from Hole 379a, Leg 42b, Deep Sea Drilling Project. </w:t>
      </w:r>
      <w:r w:rsidR="00527F06" w:rsidRPr="00617BE6">
        <w:rPr>
          <w:rFonts w:ascii="Calibri" w:hAnsi="Calibri" w:cs="Calibri"/>
          <w:i/>
          <w:iCs/>
          <w:lang w:val="en-US"/>
        </w:rPr>
        <w:t>Initial Reports of the Deep Sea Drilling Project</w:t>
      </w:r>
      <w:r w:rsidR="00527F06" w:rsidRPr="00617BE6">
        <w:rPr>
          <w:rFonts w:ascii="Calibri" w:hAnsi="Calibri" w:cs="Calibri"/>
          <w:lang w:val="en-US"/>
        </w:rPr>
        <w:t xml:space="preserve">, </w:t>
      </w:r>
      <w:r w:rsidR="00527F06" w:rsidRPr="00617BE6">
        <w:rPr>
          <w:rFonts w:ascii="Calibri" w:hAnsi="Calibri" w:cs="Calibri"/>
          <w:i/>
          <w:iCs/>
          <w:lang w:val="en-US"/>
        </w:rPr>
        <w:t>42</w:t>
      </w:r>
      <w:r w:rsidR="00527F06" w:rsidRPr="00617BE6">
        <w:rPr>
          <w:rFonts w:ascii="Calibri" w:hAnsi="Calibri" w:cs="Calibri"/>
          <w:lang w:val="en-US"/>
        </w:rPr>
        <w:t>, 527–541. https://doi.org/10.2973/dsdp.proc.42-2.1978</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Colin, F., Ker, S., &amp; Marsset, B. (2020). Fine-scale velocity distribution revealed by datuming of VHR deep-towed seismic data: Example of a shallow gas system from the western Black Sea. </w:t>
      </w:r>
      <w:r w:rsidRPr="00617BE6">
        <w:rPr>
          <w:rFonts w:ascii="Calibri" w:hAnsi="Calibri" w:cs="Calibri"/>
          <w:i/>
          <w:iCs/>
          <w:lang w:val="en-US"/>
        </w:rPr>
        <w:t>GEOPHYSICS</w:t>
      </w:r>
      <w:r w:rsidRPr="00617BE6">
        <w:rPr>
          <w:rFonts w:ascii="Calibri" w:hAnsi="Calibri" w:cs="Calibri"/>
          <w:lang w:val="en-US"/>
        </w:rPr>
        <w:t>, 1–50. https://doi.org/10.1190/geo2019-0686.1</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Constantinescu, A. M., Toucanne, S., Dennielou, B., Jorry, S. J., Mulder, T., &amp; Lericolais, G. (2015). Evolution of the Danube Deep-Sea Fan since the Last Glacial Maximum: New insights into Black Sea water-level fluctuations. </w:t>
      </w:r>
      <w:r w:rsidRPr="00617BE6">
        <w:rPr>
          <w:rFonts w:ascii="Calibri" w:hAnsi="Calibri" w:cs="Calibri"/>
          <w:i/>
          <w:iCs/>
          <w:lang w:val="en-US"/>
        </w:rPr>
        <w:t>Marine Geology</w:t>
      </w:r>
      <w:r w:rsidRPr="00617BE6">
        <w:rPr>
          <w:rFonts w:ascii="Calibri" w:hAnsi="Calibri" w:cs="Calibri"/>
          <w:lang w:val="en-US"/>
        </w:rPr>
        <w:t xml:space="preserve">, </w:t>
      </w:r>
      <w:r w:rsidRPr="00617BE6">
        <w:rPr>
          <w:rFonts w:ascii="Calibri" w:hAnsi="Calibri" w:cs="Calibri"/>
          <w:i/>
          <w:iCs/>
          <w:lang w:val="en-US"/>
        </w:rPr>
        <w:t>367</w:t>
      </w:r>
      <w:r w:rsidRPr="00617BE6">
        <w:rPr>
          <w:rFonts w:ascii="Calibri" w:hAnsi="Calibri" w:cs="Calibri"/>
          <w:lang w:val="en-US"/>
        </w:rPr>
        <w:t>, 50–68. https://doi.org/10.1016/j.margeo.2015.05.007</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lastRenderedPageBreak/>
        <w:t xml:space="preserve">Ker, S., Yannick, T., Sultan, N., Bernard, C., Scalabrin, C., Ion, G., &amp; Marsset, B. (2019). Anomalously deep BSR related to a transient state of the gas hydrate system in the western Black Sea. </w:t>
      </w:r>
      <w:r w:rsidRPr="00617BE6">
        <w:rPr>
          <w:rFonts w:ascii="Calibri" w:hAnsi="Calibri" w:cs="Calibri"/>
          <w:i/>
          <w:iCs/>
          <w:lang w:val="en-US"/>
        </w:rPr>
        <w:t>Geochemistry, Geophysics, Geosystems</w:t>
      </w:r>
      <w:r w:rsidRPr="00617BE6">
        <w:rPr>
          <w:rFonts w:ascii="Calibri" w:hAnsi="Calibri" w:cs="Calibri"/>
          <w:lang w:val="en-US"/>
        </w:rPr>
        <w:t xml:space="preserve">, </w:t>
      </w:r>
      <w:r w:rsidRPr="00617BE6">
        <w:rPr>
          <w:rFonts w:ascii="Calibri" w:hAnsi="Calibri" w:cs="Calibri"/>
          <w:i/>
          <w:iCs/>
          <w:lang w:val="en-US"/>
        </w:rPr>
        <w:t>20</w:t>
      </w:r>
      <w:r w:rsidRPr="00617BE6">
        <w:rPr>
          <w:rFonts w:ascii="Calibri" w:hAnsi="Calibri" w:cs="Calibri"/>
          <w:lang w:val="en-US"/>
        </w:rPr>
        <w:t>, 442–459. https://doi.org/10.1029/2018GC007861</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Lericolais, G., Bulois, C., Gillet, H., &amp; Guichard, F. (2009). High frequency sea level fluctuations recorded in the Black Sea since the LGM. </w:t>
      </w:r>
      <w:r w:rsidRPr="00617BE6">
        <w:rPr>
          <w:rFonts w:ascii="Calibri" w:hAnsi="Calibri" w:cs="Calibri"/>
          <w:i/>
          <w:iCs/>
          <w:lang w:val="en-US"/>
        </w:rPr>
        <w:t>Global and Planetary Change</w:t>
      </w:r>
      <w:r w:rsidRPr="00617BE6">
        <w:rPr>
          <w:rFonts w:ascii="Calibri" w:hAnsi="Calibri" w:cs="Calibri"/>
          <w:lang w:val="en-US"/>
        </w:rPr>
        <w:t xml:space="preserve">, </w:t>
      </w:r>
      <w:r w:rsidRPr="00617BE6">
        <w:rPr>
          <w:rFonts w:ascii="Calibri" w:hAnsi="Calibri" w:cs="Calibri"/>
          <w:i/>
          <w:iCs/>
          <w:lang w:val="en-US"/>
        </w:rPr>
        <w:t>66</w:t>
      </w:r>
      <w:r w:rsidRPr="00617BE6">
        <w:rPr>
          <w:rFonts w:ascii="Calibri" w:hAnsi="Calibri" w:cs="Calibri"/>
          <w:lang w:val="en-US"/>
        </w:rPr>
        <w:t>(1–2), 65–75. https://doi.org/10.1016/j.gloplacha.2008.03.010</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Riboulot, V., Ker, S., Sultan, N., Thomas, Y., Marsset, B., Scalabrin, C., Ruffine, L., Boulart, C., &amp; Ion, G. (2018). Freshwater lake to salt-water sea causing widespread hydrate dissociation in the Black Sea. </w:t>
      </w:r>
      <w:r w:rsidRPr="00617BE6">
        <w:rPr>
          <w:rFonts w:ascii="Calibri" w:hAnsi="Calibri" w:cs="Calibri"/>
          <w:i/>
          <w:iCs/>
          <w:lang w:val="en-US"/>
        </w:rPr>
        <w:t>Nature Communications</w:t>
      </w:r>
      <w:r w:rsidRPr="00617BE6">
        <w:rPr>
          <w:rFonts w:ascii="Calibri" w:hAnsi="Calibri" w:cs="Calibri"/>
          <w:lang w:val="en-US"/>
        </w:rPr>
        <w:t xml:space="preserve">, </w:t>
      </w:r>
      <w:r w:rsidRPr="00617BE6">
        <w:rPr>
          <w:rFonts w:ascii="Calibri" w:hAnsi="Calibri" w:cs="Calibri"/>
          <w:i/>
          <w:iCs/>
          <w:lang w:val="en-US"/>
        </w:rPr>
        <w:t>9</w:t>
      </w:r>
      <w:r w:rsidRPr="00617BE6">
        <w:rPr>
          <w:rFonts w:ascii="Calibri" w:hAnsi="Calibri" w:cs="Calibri"/>
          <w:lang w:val="en-US"/>
        </w:rPr>
        <w:t>(1), 1–8. https://doi.org/10.1038/s41467-017-02271-z</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Riedel, M., Freudenthal, T., Bergenthal, M., Haeckel, M., Wallmann, K., Spangenberg, E., Bialas, J., &amp; Bohrmann, G. (2020). Physical properties and core-log seismic integration from drilling at the Danube deep-sea fan, Black Sea. </w:t>
      </w:r>
      <w:r w:rsidRPr="00617BE6">
        <w:rPr>
          <w:rFonts w:ascii="Calibri" w:hAnsi="Calibri" w:cs="Calibri"/>
          <w:i/>
          <w:iCs/>
          <w:lang w:val="en-US"/>
        </w:rPr>
        <w:t>Marine and Petroleum Geology</w:t>
      </w:r>
      <w:r w:rsidRPr="00617BE6">
        <w:rPr>
          <w:rFonts w:ascii="Calibri" w:hAnsi="Calibri" w:cs="Calibri"/>
          <w:lang w:val="en-US"/>
        </w:rPr>
        <w:t>, 104192. https://doi.org/10.1016/j.marpetgeo.2019.104192</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Soulet, G., Ménot, G., Lericolais, G., &amp; Bard, E. (2011). A revised calendar age for the last reconnection of the Black Sea to the global ocean. </w:t>
      </w:r>
      <w:r w:rsidRPr="00617BE6">
        <w:rPr>
          <w:rFonts w:ascii="Calibri" w:hAnsi="Calibri" w:cs="Calibri"/>
          <w:i/>
          <w:iCs/>
          <w:lang w:val="en-US"/>
        </w:rPr>
        <w:t>Quaternary Science Reviews</w:t>
      </w:r>
      <w:r w:rsidRPr="00617BE6">
        <w:rPr>
          <w:rFonts w:ascii="Calibri" w:hAnsi="Calibri" w:cs="Calibri"/>
          <w:lang w:val="en-US"/>
        </w:rPr>
        <w:t xml:space="preserve">, </w:t>
      </w:r>
      <w:r w:rsidRPr="00617BE6">
        <w:rPr>
          <w:rFonts w:ascii="Calibri" w:hAnsi="Calibri" w:cs="Calibri"/>
          <w:i/>
          <w:iCs/>
          <w:lang w:val="en-US"/>
        </w:rPr>
        <w:t>30</w:t>
      </w:r>
      <w:r w:rsidRPr="00617BE6">
        <w:rPr>
          <w:rFonts w:ascii="Calibri" w:hAnsi="Calibri" w:cs="Calibri"/>
          <w:lang w:val="en-US"/>
        </w:rPr>
        <w:t>(9–10), 1019–1026. https://doi.org/10.1016/j.quascirev.2011.03.001</w:t>
      </w:r>
    </w:p>
    <w:p w:rsidR="00527F06" w:rsidRPr="00617BE6" w:rsidRDefault="00527F06" w:rsidP="00BF7A0C">
      <w:pPr>
        <w:pStyle w:val="Bibliographie"/>
        <w:spacing w:before="240" w:line="240" w:lineRule="auto"/>
        <w:rPr>
          <w:rFonts w:ascii="Calibri" w:hAnsi="Calibri" w:cs="Calibri"/>
          <w:lang w:val="en-US"/>
        </w:rPr>
      </w:pPr>
      <w:r w:rsidRPr="00617BE6">
        <w:rPr>
          <w:rFonts w:ascii="Calibri" w:hAnsi="Calibri" w:cs="Calibri"/>
          <w:lang w:val="en-US"/>
        </w:rPr>
        <w:t xml:space="preserve">Sultan, N. (2007). Excess Pore Pressure and Slope Failures Resulting From Gas-Hydrates Dissociation and Dissolution. </w:t>
      </w:r>
      <w:r w:rsidRPr="00617BE6">
        <w:rPr>
          <w:rFonts w:ascii="Calibri" w:hAnsi="Calibri" w:cs="Calibri"/>
          <w:i/>
          <w:iCs/>
          <w:lang w:val="en-US"/>
        </w:rPr>
        <w:t>Offshore Technology Conference</w:t>
      </w:r>
      <w:r w:rsidRPr="00617BE6">
        <w:rPr>
          <w:rFonts w:ascii="Calibri" w:hAnsi="Calibri" w:cs="Calibri"/>
          <w:lang w:val="en-US"/>
        </w:rPr>
        <w:t>. Offshore Technology Conference, Houston, Texas, U.S.A. https://doi.org/10.4043/18532-MS</w:t>
      </w:r>
    </w:p>
    <w:p w:rsidR="00527F06" w:rsidRPr="00617BE6" w:rsidRDefault="00527F06" w:rsidP="00BF7A0C">
      <w:pPr>
        <w:pStyle w:val="Bibliographie"/>
        <w:spacing w:before="240" w:line="240" w:lineRule="auto"/>
        <w:rPr>
          <w:rFonts w:ascii="Calibri" w:hAnsi="Calibri" w:cs="Calibri"/>
          <w:lang w:val="en-US"/>
        </w:rPr>
      </w:pPr>
      <w:r w:rsidRPr="003F35D7">
        <w:rPr>
          <w:rFonts w:ascii="Calibri" w:hAnsi="Calibri" w:cs="Calibri"/>
        </w:rPr>
        <w:t xml:space="preserve">Sultan, N., Marsset, B., Ker, S., Marsset, T., Voisset, M., Vernant, A. M., Bayon, G., Cauquil, E., Adamy, J., Colliat, J. L., &amp; Drapeau, D. (2010). </w:t>
      </w:r>
      <w:r w:rsidRPr="00617BE6">
        <w:rPr>
          <w:rFonts w:ascii="Calibri" w:hAnsi="Calibri" w:cs="Calibri"/>
          <w:lang w:val="en-US"/>
        </w:rPr>
        <w:t xml:space="preserve">Hydrate dissolution as a potential mechanism for pockmark formation in the Niger delta. </w:t>
      </w:r>
      <w:r w:rsidRPr="00617BE6">
        <w:rPr>
          <w:rFonts w:ascii="Calibri" w:hAnsi="Calibri" w:cs="Calibri"/>
          <w:i/>
          <w:iCs/>
          <w:lang w:val="en-US"/>
        </w:rPr>
        <w:t>Journal of Geophysical Research</w:t>
      </w:r>
      <w:r w:rsidRPr="00617BE6">
        <w:rPr>
          <w:rFonts w:ascii="Calibri" w:hAnsi="Calibri" w:cs="Calibri"/>
          <w:lang w:val="en-US"/>
        </w:rPr>
        <w:t xml:space="preserve">, </w:t>
      </w:r>
      <w:r w:rsidRPr="00617BE6">
        <w:rPr>
          <w:rFonts w:ascii="Calibri" w:hAnsi="Calibri" w:cs="Calibri"/>
          <w:i/>
          <w:iCs/>
          <w:lang w:val="en-US"/>
        </w:rPr>
        <w:t>115</w:t>
      </w:r>
      <w:r w:rsidRPr="00617BE6">
        <w:rPr>
          <w:rFonts w:ascii="Calibri" w:hAnsi="Calibri" w:cs="Calibri"/>
          <w:lang w:val="en-US"/>
        </w:rPr>
        <w:t>(B8101), 1–33. https://doi.org/10.1029/2010JB007453</w:t>
      </w:r>
    </w:p>
    <w:p w:rsidR="00FA214F" w:rsidRPr="00617BE6" w:rsidRDefault="00AA0F1A" w:rsidP="00BF7A0C">
      <w:pPr>
        <w:spacing w:before="240" w:line="240" w:lineRule="auto"/>
        <w:jc w:val="both"/>
        <w:rPr>
          <w:b/>
          <w:szCs w:val="40"/>
          <w:lang w:val="en-US"/>
        </w:rPr>
      </w:pPr>
      <w:r w:rsidRPr="00617BE6">
        <w:rPr>
          <w:b/>
          <w:szCs w:val="40"/>
          <w:lang w:val="en-US"/>
        </w:rPr>
        <w:fldChar w:fldCharType="end"/>
      </w:r>
      <w:r w:rsidRPr="00617BE6">
        <w:rPr>
          <w:b/>
          <w:szCs w:val="40"/>
          <w:lang w:val="en-US"/>
        </w:rPr>
        <w:t xml:space="preserve"> </w:t>
      </w:r>
    </w:p>
    <w:sectPr w:rsidR="00FA214F" w:rsidRPr="00617BE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8A7436"/>
    <w:multiLevelType w:val="hybridMultilevel"/>
    <w:tmpl w:val="138098F2"/>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 w15:restartNumberingAfterBreak="0">
    <w:nsid w:val="29EE52D7"/>
    <w:multiLevelType w:val="hybridMultilevel"/>
    <w:tmpl w:val="74FA26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EA02E03"/>
    <w:multiLevelType w:val="hybridMultilevel"/>
    <w:tmpl w:val="0326275A"/>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3" w15:restartNumberingAfterBreak="0">
    <w:nsid w:val="401828FA"/>
    <w:multiLevelType w:val="hybridMultilevel"/>
    <w:tmpl w:val="138098F2"/>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4" w15:restartNumberingAfterBreak="0">
    <w:nsid w:val="462F2F88"/>
    <w:multiLevelType w:val="hybridMultilevel"/>
    <w:tmpl w:val="DAD013D0"/>
    <w:lvl w:ilvl="0" w:tplc="0809000F">
      <w:start w:val="1"/>
      <w:numFmt w:val="decimal"/>
      <w:lvlText w:val="%1."/>
      <w:lvlJc w:val="lef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5" w15:restartNumberingAfterBreak="0">
    <w:nsid w:val="740D5BD8"/>
    <w:multiLevelType w:val="hybridMultilevel"/>
    <w:tmpl w:val="3B520EB2"/>
    <w:lvl w:ilvl="0" w:tplc="59B28776">
      <w:start w:val="2"/>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0"/>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E3sARCc3NzSwNTUyUdpeDU4uLM/DyQArNaADsHmQssAAAA"/>
  </w:docVars>
  <w:rsids>
    <w:rsidRoot w:val="00E50471"/>
    <w:rsid w:val="000022E2"/>
    <w:rsid w:val="000258DC"/>
    <w:rsid w:val="00035AF6"/>
    <w:rsid w:val="00036330"/>
    <w:rsid w:val="0003669F"/>
    <w:rsid w:val="00041725"/>
    <w:rsid w:val="00050CB3"/>
    <w:rsid w:val="00051B60"/>
    <w:rsid w:val="00056F29"/>
    <w:rsid w:val="00061668"/>
    <w:rsid w:val="00061E4E"/>
    <w:rsid w:val="000623F2"/>
    <w:rsid w:val="0007043B"/>
    <w:rsid w:val="00070E4C"/>
    <w:rsid w:val="00070F68"/>
    <w:rsid w:val="00071FD1"/>
    <w:rsid w:val="0008269B"/>
    <w:rsid w:val="0009151E"/>
    <w:rsid w:val="000915EF"/>
    <w:rsid w:val="000941DF"/>
    <w:rsid w:val="000A449D"/>
    <w:rsid w:val="000B0660"/>
    <w:rsid w:val="000B15B7"/>
    <w:rsid w:val="000B5A3A"/>
    <w:rsid w:val="000B6FCE"/>
    <w:rsid w:val="000C7FCB"/>
    <w:rsid w:val="000D15BF"/>
    <w:rsid w:val="000D1AD0"/>
    <w:rsid w:val="000D1F39"/>
    <w:rsid w:val="000D430A"/>
    <w:rsid w:val="000E42CE"/>
    <w:rsid w:val="000E5282"/>
    <w:rsid w:val="000F459C"/>
    <w:rsid w:val="000F76B1"/>
    <w:rsid w:val="00103725"/>
    <w:rsid w:val="00113119"/>
    <w:rsid w:val="0011542C"/>
    <w:rsid w:val="001156F3"/>
    <w:rsid w:val="00135F5D"/>
    <w:rsid w:val="00147FE2"/>
    <w:rsid w:val="001501E0"/>
    <w:rsid w:val="00152B55"/>
    <w:rsid w:val="00153090"/>
    <w:rsid w:val="00177FD0"/>
    <w:rsid w:val="00190800"/>
    <w:rsid w:val="00193E89"/>
    <w:rsid w:val="00197E93"/>
    <w:rsid w:val="001A6B82"/>
    <w:rsid w:val="001A7533"/>
    <w:rsid w:val="001B2126"/>
    <w:rsid w:val="001C2BF5"/>
    <w:rsid w:val="001C2C2F"/>
    <w:rsid w:val="001C6769"/>
    <w:rsid w:val="001E049C"/>
    <w:rsid w:val="001F2C3F"/>
    <w:rsid w:val="0020041C"/>
    <w:rsid w:val="00201F4F"/>
    <w:rsid w:val="00207551"/>
    <w:rsid w:val="002134E0"/>
    <w:rsid w:val="00222A8E"/>
    <w:rsid w:val="00223E85"/>
    <w:rsid w:val="002322BD"/>
    <w:rsid w:val="002337A8"/>
    <w:rsid w:val="002407A8"/>
    <w:rsid w:val="00283C88"/>
    <w:rsid w:val="002856E5"/>
    <w:rsid w:val="00286009"/>
    <w:rsid w:val="002B1407"/>
    <w:rsid w:val="002B6885"/>
    <w:rsid w:val="002C3022"/>
    <w:rsid w:val="002D4B84"/>
    <w:rsid w:val="002E06FC"/>
    <w:rsid w:val="002E18A2"/>
    <w:rsid w:val="002E2F09"/>
    <w:rsid w:val="00312C81"/>
    <w:rsid w:val="00313CF6"/>
    <w:rsid w:val="00316E90"/>
    <w:rsid w:val="00323467"/>
    <w:rsid w:val="003256B1"/>
    <w:rsid w:val="003305CB"/>
    <w:rsid w:val="00341617"/>
    <w:rsid w:val="00345334"/>
    <w:rsid w:val="00352A4A"/>
    <w:rsid w:val="00360E1B"/>
    <w:rsid w:val="00362A23"/>
    <w:rsid w:val="00374E06"/>
    <w:rsid w:val="003764AD"/>
    <w:rsid w:val="00377327"/>
    <w:rsid w:val="0038479B"/>
    <w:rsid w:val="00386048"/>
    <w:rsid w:val="00387E7C"/>
    <w:rsid w:val="00390FAB"/>
    <w:rsid w:val="00392F6B"/>
    <w:rsid w:val="00394813"/>
    <w:rsid w:val="00396A95"/>
    <w:rsid w:val="0039772E"/>
    <w:rsid w:val="00397F54"/>
    <w:rsid w:val="003A3251"/>
    <w:rsid w:val="003A643A"/>
    <w:rsid w:val="003A7661"/>
    <w:rsid w:val="003D01FD"/>
    <w:rsid w:val="003D289B"/>
    <w:rsid w:val="003D74B5"/>
    <w:rsid w:val="003E6B29"/>
    <w:rsid w:val="003F35D7"/>
    <w:rsid w:val="003F6BA3"/>
    <w:rsid w:val="004027A9"/>
    <w:rsid w:val="004076EF"/>
    <w:rsid w:val="00411709"/>
    <w:rsid w:val="00411F46"/>
    <w:rsid w:val="004160DE"/>
    <w:rsid w:val="004315B2"/>
    <w:rsid w:val="0043311C"/>
    <w:rsid w:val="00435BF3"/>
    <w:rsid w:val="0045559F"/>
    <w:rsid w:val="00463DC5"/>
    <w:rsid w:val="00465B14"/>
    <w:rsid w:val="0048191E"/>
    <w:rsid w:val="004918DE"/>
    <w:rsid w:val="004A5967"/>
    <w:rsid w:val="004A7C2E"/>
    <w:rsid w:val="004B25F8"/>
    <w:rsid w:val="004C5C74"/>
    <w:rsid w:val="004D563E"/>
    <w:rsid w:val="004E3450"/>
    <w:rsid w:val="004E3E9E"/>
    <w:rsid w:val="004E3F3D"/>
    <w:rsid w:val="004E4D40"/>
    <w:rsid w:val="004E6BC4"/>
    <w:rsid w:val="00514186"/>
    <w:rsid w:val="00514B56"/>
    <w:rsid w:val="00515AF4"/>
    <w:rsid w:val="00521481"/>
    <w:rsid w:val="00524F01"/>
    <w:rsid w:val="00527F06"/>
    <w:rsid w:val="00542FF3"/>
    <w:rsid w:val="00565A13"/>
    <w:rsid w:val="005675EB"/>
    <w:rsid w:val="00572E39"/>
    <w:rsid w:val="00573225"/>
    <w:rsid w:val="0057639B"/>
    <w:rsid w:val="005801B6"/>
    <w:rsid w:val="005816EB"/>
    <w:rsid w:val="0058530C"/>
    <w:rsid w:val="005A4BC7"/>
    <w:rsid w:val="005A5AAD"/>
    <w:rsid w:val="005D6BF1"/>
    <w:rsid w:val="005F2BB1"/>
    <w:rsid w:val="005F2FB3"/>
    <w:rsid w:val="0060188C"/>
    <w:rsid w:val="006174AC"/>
    <w:rsid w:val="00617BE6"/>
    <w:rsid w:val="00621335"/>
    <w:rsid w:val="006274AE"/>
    <w:rsid w:val="00631C84"/>
    <w:rsid w:val="00632410"/>
    <w:rsid w:val="00640A94"/>
    <w:rsid w:val="00642208"/>
    <w:rsid w:val="006445DA"/>
    <w:rsid w:val="00652114"/>
    <w:rsid w:val="0065350F"/>
    <w:rsid w:val="006564DD"/>
    <w:rsid w:val="0065712C"/>
    <w:rsid w:val="0068625C"/>
    <w:rsid w:val="0068787B"/>
    <w:rsid w:val="00687E13"/>
    <w:rsid w:val="00694C25"/>
    <w:rsid w:val="00696E77"/>
    <w:rsid w:val="006A3AC9"/>
    <w:rsid w:val="006B3034"/>
    <w:rsid w:val="006D298A"/>
    <w:rsid w:val="006D51DA"/>
    <w:rsid w:val="006F5760"/>
    <w:rsid w:val="00714DD2"/>
    <w:rsid w:val="00720176"/>
    <w:rsid w:val="00723C41"/>
    <w:rsid w:val="0072529F"/>
    <w:rsid w:val="00732D93"/>
    <w:rsid w:val="00733C4E"/>
    <w:rsid w:val="00744FEB"/>
    <w:rsid w:val="007451CC"/>
    <w:rsid w:val="0074671A"/>
    <w:rsid w:val="00746F21"/>
    <w:rsid w:val="007503A6"/>
    <w:rsid w:val="00755BF2"/>
    <w:rsid w:val="00790858"/>
    <w:rsid w:val="00793292"/>
    <w:rsid w:val="00794D77"/>
    <w:rsid w:val="007A3CEF"/>
    <w:rsid w:val="007B1A01"/>
    <w:rsid w:val="007B793A"/>
    <w:rsid w:val="007C04B7"/>
    <w:rsid w:val="007C5F60"/>
    <w:rsid w:val="007D5886"/>
    <w:rsid w:val="007D6C81"/>
    <w:rsid w:val="007E547F"/>
    <w:rsid w:val="007E6B39"/>
    <w:rsid w:val="007E7276"/>
    <w:rsid w:val="007F505D"/>
    <w:rsid w:val="00807C12"/>
    <w:rsid w:val="00811F54"/>
    <w:rsid w:val="00812169"/>
    <w:rsid w:val="00826DD9"/>
    <w:rsid w:val="00840A76"/>
    <w:rsid w:val="00861D28"/>
    <w:rsid w:val="0086423A"/>
    <w:rsid w:val="00871C00"/>
    <w:rsid w:val="008764C5"/>
    <w:rsid w:val="00883EB5"/>
    <w:rsid w:val="00883EC3"/>
    <w:rsid w:val="008A099D"/>
    <w:rsid w:val="008A426A"/>
    <w:rsid w:val="008B0E7A"/>
    <w:rsid w:val="008B1185"/>
    <w:rsid w:val="008B553B"/>
    <w:rsid w:val="008B6481"/>
    <w:rsid w:val="008C042B"/>
    <w:rsid w:val="008C2194"/>
    <w:rsid w:val="008C2691"/>
    <w:rsid w:val="008C31AB"/>
    <w:rsid w:val="008C4797"/>
    <w:rsid w:val="008D5DE3"/>
    <w:rsid w:val="008D6506"/>
    <w:rsid w:val="008E3FA5"/>
    <w:rsid w:val="008E67FD"/>
    <w:rsid w:val="008E7560"/>
    <w:rsid w:val="008F152C"/>
    <w:rsid w:val="009004A3"/>
    <w:rsid w:val="00903465"/>
    <w:rsid w:val="0091434C"/>
    <w:rsid w:val="00915F91"/>
    <w:rsid w:val="00920A61"/>
    <w:rsid w:val="00921B7E"/>
    <w:rsid w:val="00925CE5"/>
    <w:rsid w:val="00925F83"/>
    <w:rsid w:val="00930FA1"/>
    <w:rsid w:val="00933532"/>
    <w:rsid w:val="0093375F"/>
    <w:rsid w:val="0094384D"/>
    <w:rsid w:val="00950CB6"/>
    <w:rsid w:val="00953BC7"/>
    <w:rsid w:val="00954BED"/>
    <w:rsid w:val="00965619"/>
    <w:rsid w:val="0097142E"/>
    <w:rsid w:val="009749B3"/>
    <w:rsid w:val="0098156E"/>
    <w:rsid w:val="009B2776"/>
    <w:rsid w:val="009D0B17"/>
    <w:rsid w:val="009D2972"/>
    <w:rsid w:val="009D3D73"/>
    <w:rsid w:val="009F3E19"/>
    <w:rsid w:val="009F6DCE"/>
    <w:rsid w:val="00A02C49"/>
    <w:rsid w:val="00A0343F"/>
    <w:rsid w:val="00A10B09"/>
    <w:rsid w:val="00A14EEE"/>
    <w:rsid w:val="00A27003"/>
    <w:rsid w:val="00A34219"/>
    <w:rsid w:val="00A348D4"/>
    <w:rsid w:val="00A34B9E"/>
    <w:rsid w:val="00A3596C"/>
    <w:rsid w:val="00A3716B"/>
    <w:rsid w:val="00A37FE2"/>
    <w:rsid w:val="00A54849"/>
    <w:rsid w:val="00A62F44"/>
    <w:rsid w:val="00A74505"/>
    <w:rsid w:val="00A820B1"/>
    <w:rsid w:val="00A937E8"/>
    <w:rsid w:val="00AA0E92"/>
    <w:rsid w:val="00AA0F1A"/>
    <w:rsid w:val="00AA70DA"/>
    <w:rsid w:val="00AB4DBB"/>
    <w:rsid w:val="00AB6D4E"/>
    <w:rsid w:val="00AC15BF"/>
    <w:rsid w:val="00AD366A"/>
    <w:rsid w:val="00AD680C"/>
    <w:rsid w:val="00AF1532"/>
    <w:rsid w:val="00AF65E3"/>
    <w:rsid w:val="00B01050"/>
    <w:rsid w:val="00B059D7"/>
    <w:rsid w:val="00B077DB"/>
    <w:rsid w:val="00B11C12"/>
    <w:rsid w:val="00B11E43"/>
    <w:rsid w:val="00B26690"/>
    <w:rsid w:val="00B2783E"/>
    <w:rsid w:val="00B378A3"/>
    <w:rsid w:val="00B5514E"/>
    <w:rsid w:val="00B61F2E"/>
    <w:rsid w:val="00B74C80"/>
    <w:rsid w:val="00B82869"/>
    <w:rsid w:val="00B8461A"/>
    <w:rsid w:val="00B937A4"/>
    <w:rsid w:val="00B9625B"/>
    <w:rsid w:val="00BB2CC5"/>
    <w:rsid w:val="00BB3C33"/>
    <w:rsid w:val="00BB7BC1"/>
    <w:rsid w:val="00BC2324"/>
    <w:rsid w:val="00BD2DE9"/>
    <w:rsid w:val="00BE1688"/>
    <w:rsid w:val="00BE45D8"/>
    <w:rsid w:val="00BE46B6"/>
    <w:rsid w:val="00BF21AE"/>
    <w:rsid w:val="00BF7A0C"/>
    <w:rsid w:val="00C16F88"/>
    <w:rsid w:val="00C22569"/>
    <w:rsid w:val="00C24664"/>
    <w:rsid w:val="00C411FF"/>
    <w:rsid w:val="00C42770"/>
    <w:rsid w:val="00C42CFF"/>
    <w:rsid w:val="00C46DCE"/>
    <w:rsid w:val="00C47D91"/>
    <w:rsid w:val="00C75FFA"/>
    <w:rsid w:val="00C87438"/>
    <w:rsid w:val="00CA1849"/>
    <w:rsid w:val="00CA5792"/>
    <w:rsid w:val="00CC014A"/>
    <w:rsid w:val="00CC71DC"/>
    <w:rsid w:val="00CD6656"/>
    <w:rsid w:val="00CE1BDB"/>
    <w:rsid w:val="00CE48CB"/>
    <w:rsid w:val="00CF40FD"/>
    <w:rsid w:val="00CF61A4"/>
    <w:rsid w:val="00CF69AB"/>
    <w:rsid w:val="00D05C68"/>
    <w:rsid w:val="00D06097"/>
    <w:rsid w:val="00D06185"/>
    <w:rsid w:val="00D1190A"/>
    <w:rsid w:val="00D407E2"/>
    <w:rsid w:val="00D46423"/>
    <w:rsid w:val="00D4701B"/>
    <w:rsid w:val="00D55A35"/>
    <w:rsid w:val="00D56657"/>
    <w:rsid w:val="00D57BBE"/>
    <w:rsid w:val="00D60532"/>
    <w:rsid w:val="00D816ED"/>
    <w:rsid w:val="00D82D38"/>
    <w:rsid w:val="00D90956"/>
    <w:rsid w:val="00D92FBE"/>
    <w:rsid w:val="00D96D5B"/>
    <w:rsid w:val="00DA3CA6"/>
    <w:rsid w:val="00DB5D9B"/>
    <w:rsid w:val="00DB7C50"/>
    <w:rsid w:val="00DE0CD9"/>
    <w:rsid w:val="00DE114C"/>
    <w:rsid w:val="00DE519B"/>
    <w:rsid w:val="00DF32C5"/>
    <w:rsid w:val="00DF6B1E"/>
    <w:rsid w:val="00E054AD"/>
    <w:rsid w:val="00E14148"/>
    <w:rsid w:val="00E17526"/>
    <w:rsid w:val="00E21B0D"/>
    <w:rsid w:val="00E25CF3"/>
    <w:rsid w:val="00E2616E"/>
    <w:rsid w:val="00E2756D"/>
    <w:rsid w:val="00E362E3"/>
    <w:rsid w:val="00E37304"/>
    <w:rsid w:val="00E50471"/>
    <w:rsid w:val="00E70763"/>
    <w:rsid w:val="00E73B42"/>
    <w:rsid w:val="00E75721"/>
    <w:rsid w:val="00E76387"/>
    <w:rsid w:val="00E82E6A"/>
    <w:rsid w:val="00E856EC"/>
    <w:rsid w:val="00E96A20"/>
    <w:rsid w:val="00E96DBB"/>
    <w:rsid w:val="00EA1E9D"/>
    <w:rsid w:val="00EA6E00"/>
    <w:rsid w:val="00EE52B9"/>
    <w:rsid w:val="00EE6949"/>
    <w:rsid w:val="00EE7FD2"/>
    <w:rsid w:val="00EF0ED0"/>
    <w:rsid w:val="00EF1837"/>
    <w:rsid w:val="00EF38C2"/>
    <w:rsid w:val="00F066D6"/>
    <w:rsid w:val="00F232EF"/>
    <w:rsid w:val="00F26266"/>
    <w:rsid w:val="00F3563F"/>
    <w:rsid w:val="00F63239"/>
    <w:rsid w:val="00F6736D"/>
    <w:rsid w:val="00F71370"/>
    <w:rsid w:val="00F732F2"/>
    <w:rsid w:val="00F7543C"/>
    <w:rsid w:val="00F8021F"/>
    <w:rsid w:val="00F967EA"/>
    <w:rsid w:val="00FA214F"/>
    <w:rsid w:val="00FA6130"/>
    <w:rsid w:val="00FB5F69"/>
    <w:rsid w:val="00FB6400"/>
    <w:rsid w:val="00FC0B95"/>
    <w:rsid w:val="00FD121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D44E25AA-CA89-4DA3-8BE2-EBDC95B3C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0471"/>
  </w:style>
  <w:style w:type="paragraph" w:styleId="Titre2">
    <w:name w:val="heading 2"/>
    <w:basedOn w:val="Normal"/>
    <w:next w:val="Normal"/>
    <w:link w:val="Titre2Car"/>
    <w:uiPriority w:val="9"/>
    <w:unhideWhenUsed/>
    <w:qFormat/>
    <w:rsid w:val="00FA214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E362E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FA214F"/>
    <w:rPr>
      <w:rFonts w:asciiTheme="majorHAnsi" w:eastAsiaTheme="majorEastAsia" w:hAnsiTheme="majorHAnsi" w:cstheme="majorBidi"/>
      <w:color w:val="2E74B5" w:themeColor="accent1" w:themeShade="BF"/>
      <w:sz w:val="26"/>
      <w:szCs w:val="26"/>
    </w:rPr>
  </w:style>
  <w:style w:type="paragraph" w:styleId="Bibliographie">
    <w:name w:val="Bibliography"/>
    <w:basedOn w:val="Normal"/>
    <w:next w:val="Normal"/>
    <w:uiPriority w:val="37"/>
    <w:unhideWhenUsed/>
    <w:rsid w:val="007A3CEF"/>
    <w:pPr>
      <w:spacing w:after="0" w:line="480" w:lineRule="auto"/>
      <w:ind w:left="720" w:hanging="720"/>
    </w:pPr>
  </w:style>
  <w:style w:type="paragraph" w:styleId="Sansinterligne">
    <w:name w:val="No Spacing"/>
    <w:uiPriority w:val="1"/>
    <w:qFormat/>
    <w:rsid w:val="007A3CEF"/>
    <w:pPr>
      <w:spacing w:after="0" w:line="240" w:lineRule="auto"/>
    </w:pPr>
  </w:style>
  <w:style w:type="paragraph" w:styleId="Paragraphedeliste">
    <w:name w:val="List Paragraph"/>
    <w:basedOn w:val="Normal"/>
    <w:uiPriority w:val="34"/>
    <w:qFormat/>
    <w:rsid w:val="000915EF"/>
    <w:pPr>
      <w:ind w:left="720"/>
      <w:contextualSpacing/>
    </w:pPr>
  </w:style>
  <w:style w:type="paragraph" w:styleId="Lgende">
    <w:name w:val="caption"/>
    <w:basedOn w:val="Normal"/>
    <w:next w:val="Normal"/>
    <w:uiPriority w:val="35"/>
    <w:unhideWhenUsed/>
    <w:qFormat/>
    <w:rsid w:val="00EE6949"/>
    <w:pPr>
      <w:spacing w:after="200" w:line="240" w:lineRule="auto"/>
    </w:pPr>
    <w:rPr>
      <w:i/>
      <w:iCs/>
      <w:color w:val="44546A" w:themeColor="text2"/>
      <w:sz w:val="18"/>
      <w:szCs w:val="18"/>
    </w:rPr>
  </w:style>
  <w:style w:type="character" w:styleId="Marquedecommentaire">
    <w:name w:val="annotation reference"/>
    <w:basedOn w:val="Policepardfaut"/>
    <w:uiPriority w:val="99"/>
    <w:semiHidden/>
    <w:unhideWhenUsed/>
    <w:rsid w:val="003764AD"/>
    <w:rPr>
      <w:sz w:val="16"/>
      <w:szCs w:val="16"/>
    </w:rPr>
  </w:style>
  <w:style w:type="paragraph" w:styleId="Commentaire">
    <w:name w:val="annotation text"/>
    <w:basedOn w:val="Normal"/>
    <w:link w:val="CommentaireCar"/>
    <w:uiPriority w:val="99"/>
    <w:semiHidden/>
    <w:unhideWhenUsed/>
    <w:rsid w:val="003764AD"/>
    <w:pPr>
      <w:spacing w:line="240" w:lineRule="auto"/>
    </w:pPr>
    <w:rPr>
      <w:sz w:val="20"/>
      <w:szCs w:val="20"/>
    </w:rPr>
  </w:style>
  <w:style w:type="character" w:customStyle="1" w:styleId="CommentaireCar">
    <w:name w:val="Commentaire Car"/>
    <w:basedOn w:val="Policepardfaut"/>
    <w:link w:val="Commentaire"/>
    <w:uiPriority w:val="99"/>
    <w:semiHidden/>
    <w:rsid w:val="003764AD"/>
    <w:rPr>
      <w:sz w:val="20"/>
      <w:szCs w:val="20"/>
    </w:rPr>
  </w:style>
  <w:style w:type="paragraph" w:styleId="Objetducommentaire">
    <w:name w:val="annotation subject"/>
    <w:basedOn w:val="Commentaire"/>
    <w:next w:val="Commentaire"/>
    <w:link w:val="ObjetducommentaireCar"/>
    <w:uiPriority w:val="99"/>
    <w:semiHidden/>
    <w:unhideWhenUsed/>
    <w:rsid w:val="003764AD"/>
    <w:rPr>
      <w:b/>
      <w:bCs/>
    </w:rPr>
  </w:style>
  <w:style w:type="character" w:customStyle="1" w:styleId="ObjetducommentaireCar">
    <w:name w:val="Objet du commentaire Car"/>
    <w:basedOn w:val="CommentaireCar"/>
    <w:link w:val="Objetducommentaire"/>
    <w:uiPriority w:val="99"/>
    <w:semiHidden/>
    <w:rsid w:val="003764AD"/>
    <w:rPr>
      <w:b/>
      <w:bCs/>
      <w:sz w:val="20"/>
      <w:szCs w:val="20"/>
    </w:rPr>
  </w:style>
  <w:style w:type="paragraph" w:styleId="Textedebulles">
    <w:name w:val="Balloon Text"/>
    <w:basedOn w:val="Normal"/>
    <w:link w:val="TextedebullesCar"/>
    <w:uiPriority w:val="99"/>
    <w:semiHidden/>
    <w:unhideWhenUsed/>
    <w:rsid w:val="003764A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764AD"/>
    <w:rPr>
      <w:rFonts w:ascii="Segoe UI" w:hAnsi="Segoe UI" w:cs="Segoe UI"/>
      <w:sz w:val="18"/>
      <w:szCs w:val="18"/>
    </w:rPr>
  </w:style>
  <w:style w:type="character" w:customStyle="1" w:styleId="Titre3Car">
    <w:name w:val="Titre 3 Car"/>
    <w:basedOn w:val="Policepardfaut"/>
    <w:link w:val="Titre3"/>
    <w:uiPriority w:val="9"/>
    <w:rsid w:val="00E362E3"/>
    <w:rPr>
      <w:rFonts w:asciiTheme="majorHAnsi" w:eastAsiaTheme="majorEastAsia" w:hAnsiTheme="majorHAnsi" w:cstheme="majorBidi"/>
      <w:color w:val="1F4D78" w:themeColor="accent1" w:themeShade="7F"/>
      <w:sz w:val="24"/>
      <w:szCs w:val="24"/>
    </w:rPr>
  </w:style>
  <w:style w:type="paragraph" w:styleId="Tabledesillustrations">
    <w:name w:val="table of figures"/>
    <w:basedOn w:val="Normal"/>
    <w:next w:val="Normal"/>
    <w:uiPriority w:val="99"/>
    <w:unhideWhenUsed/>
    <w:rsid w:val="007C04B7"/>
    <w:pPr>
      <w:spacing w:after="0"/>
    </w:pPr>
  </w:style>
  <w:style w:type="character" w:styleId="Lienhypertexte">
    <w:name w:val="Hyperlink"/>
    <w:basedOn w:val="Policepardfaut"/>
    <w:uiPriority w:val="99"/>
    <w:unhideWhenUsed/>
    <w:rsid w:val="007C04B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9F333B-4DE9-4013-A9C8-41C3D6B1A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3001</TotalTime>
  <Pages>8</Pages>
  <Words>8037</Words>
  <Characters>45811</Characters>
  <Application>Microsoft Office Word</Application>
  <DocSecurity>0</DocSecurity>
  <Lines>381</Lines>
  <Paragraphs>107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 COLIN, Ifremer Brest PDG-REM-GM-LAD These</dc:creator>
  <cp:keywords/>
  <dc:description/>
  <cp:lastModifiedBy>Florent COLIN, Ifremer Brest PDG-REM-GM-LAD These</cp:lastModifiedBy>
  <cp:revision>382</cp:revision>
  <dcterms:created xsi:type="dcterms:W3CDTF">2020-05-14T09:53:00Z</dcterms:created>
  <dcterms:modified xsi:type="dcterms:W3CDTF">2020-09-22T14:28:00Z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zotero-version="5.0.88"&gt;&lt;session id="WNn3EGMa"/&gt;&lt;style id="http://www.zotero.org/styles/apa" locale="en-US" hasBibliography="1" bibliographyStyleHasBeenSet="1"/&gt;&lt;prefs&gt;&lt;pref name="fieldType" value="Field"/&gt;&lt;/prefs&gt;&lt;/data&gt;</vt:lpwstr>
  </property>
</Properties>
</file>