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A276" w14:textId="5BC35E2C" w:rsidR="00C036CC" w:rsidRDefault="008E4EAE" w:rsidP="0019720B">
      <w:pPr>
        <w:pStyle w:val="Default"/>
        <w:jc w:val="center"/>
      </w:pPr>
      <w:r>
        <w:rPr>
          <w:noProof/>
          <w:sz w:val="36"/>
          <w:szCs w:val="36"/>
        </w:rPr>
        <w:drawing>
          <wp:inline distT="0" distB="0" distL="0" distR="0" wp14:anchorId="71009B91" wp14:editId="3F5D04DC">
            <wp:extent cx="3200400" cy="609600"/>
            <wp:effectExtent l="0" t="0" r="0" b="0"/>
            <wp:docPr id="8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F2547" w14:textId="06C8A0F2" w:rsidR="008E4EAE" w:rsidRPr="00BF1BF9" w:rsidRDefault="00ED312E" w:rsidP="0019720B">
      <w:pPr>
        <w:spacing w:before="100" w:beforeAutospacing="1" w:after="100" w:afterAutospacing="1"/>
        <w:jc w:val="center"/>
        <w:rPr>
          <w:rFonts w:ascii="Myriad Pro" w:hAnsi="Myriad Pro"/>
          <w:i/>
          <w:sz w:val="22"/>
        </w:rPr>
      </w:pPr>
      <w:hyperlink r:id="rId7" w:tgtFrame="_blank" w:history="1">
        <w:r w:rsidR="00F73E43" w:rsidRPr="00F73E43">
          <w:rPr>
            <w:rFonts w:ascii="Myriad Pro" w:hAnsi="Myriad Pro"/>
            <w:i/>
            <w:sz w:val="22"/>
          </w:rPr>
          <w:t xml:space="preserve">Journal of Geophysical Research - </w:t>
        </w:r>
        <w:r w:rsidR="00F73E43" w:rsidRPr="00F73E43">
          <w:rPr>
            <w:rFonts w:ascii="Myriad Pro" w:hAnsi="Myriad Pro"/>
            <w:sz w:val="22"/>
          </w:rPr>
          <w:t>Oceans</w:t>
        </w:r>
      </w:hyperlink>
    </w:p>
    <w:p w14:paraId="756B25F7" w14:textId="77777777" w:rsidR="00421516" w:rsidRDefault="00540A89" w:rsidP="00421516">
      <w:pPr>
        <w:spacing w:before="100" w:beforeAutospacing="1" w:after="100" w:afterAutospacing="1"/>
        <w:jc w:val="center"/>
        <w:rPr>
          <w:rFonts w:ascii="Myriad Pro" w:hAnsi="Myriad Pro"/>
          <w:sz w:val="22"/>
        </w:rPr>
      </w:pPr>
      <w:bookmarkStart w:id="0" w:name="_Hlk529459505"/>
      <w:r w:rsidRPr="00540A89">
        <w:rPr>
          <w:rFonts w:ascii="Myriad Pro" w:hAnsi="Myriad Pro"/>
          <w:sz w:val="22"/>
        </w:rPr>
        <w:t>Supp</w:t>
      </w:r>
      <w:r w:rsidR="00F73E43">
        <w:rPr>
          <w:rFonts w:ascii="Myriad Pro" w:hAnsi="Myriad Pro"/>
          <w:sz w:val="22"/>
        </w:rPr>
        <w:t>orting</w:t>
      </w:r>
      <w:r w:rsidR="008E4EAE" w:rsidRPr="00CE6EAA">
        <w:rPr>
          <w:rFonts w:ascii="Myriad Pro" w:hAnsi="Myriad Pro"/>
          <w:sz w:val="22"/>
        </w:rPr>
        <w:t xml:space="preserve"> Information</w:t>
      </w:r>
      <w:bookmarkEnd w:id="0"/>
      <w:r w:rsidR="008E4EAE" w:rsidRPr="00CE6EAA">
        <w:rPr>
          <w:rFonts w:ascii="Myriad Pro" w:hAnsi="Myriad Pro"/>
          <w:sz w:val="22"/>
        </w:rPr>
        <w:t xml:space="preserve"> for</w:t>
      </w:r>
      <w:bookmarkStart w:id="1" w:name="_Hlk12266372"/>
    </w:p>
    <w:p w14:paraId="6C3638DE" w14:textId="0D545C6C" w:rsidR="0019720B" w:rsidRPr="00421516" w:rsidRDefault="00421516" w:rsidP="00421516">
      <w:pPr>
        <w:spacing w:before="100" w:beforeAutospacing="1" w:after="100" w:afterAutospacing="1"/>
        <w:jc w:val="center"/>
        <w:rPr>
          <w:rFonts w:ascii="Myriad Pro" w:hAnsi="Myriad Pro"/>
          <w:sz w:val="22"/>
        </w:rPr>
      </w:pPr>
      <w:r w:rsidRPr="00421516">
        <w:rPr>
          <w:b/>
          <w:bCs/>
          <w:color w:val="000000" w:themeColor="text1"/>
          <w:sz w:val="28"/>
          <w:szCs w:val="28"/>
        </w:rPr>
        <w:t xml:space="preserve">Eddy-induced acceleration of </w:t>
      </w:r>
      <w:proofErr w:type="spellStart"/>
      <w:r w:rsidRPr="00421516">
        <w:rPr>
          <w:b/>
          <w:bCs/>
          <w:color w:val="000000" w:themeColor="text1"/>
          <w:sz w:val="28"/>
          <w:szCs w:val="28"/>
        </w:rPr>
        <w:t>Lagrangian</w:t>
      </w:r>
      <w:proofErr w:type="spellEnd"/>
      <w:r w:rsidRPr="00421516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fl</w:t>
      </w:r>
      <w:r w:rsidRPr="00421516">
        <w:rPr>
          <w:b/>
          <w:bCs/>
          <w:color w:val="000000" w:themeColor="text1"/>
          <w:sz w:val="28"/>
          <w:szCs w:val="28"/>
        </w:rPr>
        <w:t>oats</w:t>
      </w:r>
      <w:bookmarkEnd w:id="1"/>
    </w:p>
    <w:p w14:paraId="600998E2" w14:textId="314B3F8B" w:rsidR="00EB00A0" w:rsidRPr="00F37FD0" w:rsidRDefault="00421516" w:rsidP="00280903">
      <w:pPr>
        <w:autoSpaceDE w:val="0"/>
        <w:autoSpaceDN w:val="0"/>
        <w:adjustRightInd w:val="0"/>
        <w:spacing w:line="480" w:lineRule="auto"/>
      </w:pPr>
      <w:proofErr w:type="spellStart"/>
      <w:r w:rsidRPr="00F37FD0">
        <w:t>Tianyu</w:t>
      </w:r>
      <w:proofErr w:type="spellEnd"/>
      <w:r w:rsidRPr="00F37FD0">
        <w:t xml:space="preserve"> Wang</w:t>
      </w:r>
      <w:r w:rsidRPr="00F37FD0">
        <w:rPr>
          <w:vertAlign w:val="superscript"/>
        </w:rPr>
        <w:t>1,2,3</w:t>
      </w:r>
      <w:r w:rsidR="00F806DC" w:rsidRPr="00F37FD0">
        <w:t>,</w:t>
      </w:r>
      <w:r w:rsidRPr="00F37FD0">
        <w:t xml:space="preserve"> Sarah T. Gille</w:t>
      </w:r>
      <w:r w:rsidR="00F806DC">
        <w:rPr>
          <w:vertAlign w:val="superscript"/>
        </w:rPr>
        <w:t>4</w:t>
      </w:r>
      <w:r w:rsidR="00F806DC" w:rsidRPr="00F37FD0">
        <w:t>,</w:t>
      </w:r>
      <w:r w:rsidRPr="00F37FD0">
        <w:t xml:space="preserve"> Matthew R. Mazloff</w:t>
      </w:r>
      <w:r w:rsidR="00F806DC">
        <w:rPr>
          <w:vertAlign w:val="superscript"/>
        </w:rPr>
        <w:t>4</w:t>
      </w:r>
      <w:r w:rsidR="00F806DC" w:rsidRPr="00F37FD0">
        <w:t>,</w:t>
      </w:r>
      <w:r w:rsidRPr="00F37FD0">
        <w:t xml:space="preserve"> Nathalie V.</w:t>
      </w:r>
      <w:r w:rsidR="00EB00A0" w:rsidRPr="00F37FD0">
        <w:rPr>
          <w:rFonts w:hint="eastAsia"/>
        </w:rPr>
        <w:t xml:space="preserve"> </w:t>
      </w:r>
      <w:r w:rsidRPr="00F37FD0">
        <w:t>Zilberman</w:t>
      </w:r>
      <w:r w:rsidR="00F806DC">
        <w:rPr>
          <w:vertAlign w:val="superscript"/>
        </w:rPr>
        <w:t>4</w:t>
      </w:r>
      <w:r w:rsidRPr="00F37FD0">
        <w:t>, and Yan Du</w:t>
      </w:r>
      <w:r w:rsidRPr="00F37FD0">
        <w:rPr>
          <w:vertAlign w:val="superscript"/>
        </w:rPr>
        <w:t>1,2</w:t>
      </w:r>
      <w:r w:rsidR="00F806DC">
        <w:rPr>
          <w:vertAlign w:val="superscript"/>
        </w:rPr>
        <w:t>,3</w:t>
      </w:r>
    </w:p>
    <w:p w14:paraId="3D255678" w14:textId="77777777" w:rsidR="00F37FD0" w:rsidRDefault="00F37FD0" w:rsidP="00280903">
      <w:pPr>
        <w:suppressLineNumbers/>
        <w:spacing w:line="480" w:lineRule="auto"/>
        <w:rPr>
          <w:color w:val="0000FF"/>
        </w:rPr>
      </w:pPr>
    </w:p>
    <w:p w14:paraId="17C565A1" w14:textId="77777777" w:rsidR="00F37FD0" w:rsidRDefault="00F37FD0" w:rsidP="00280903">
      <w:pPr>
        <w:suppressLineNumbers/>
        <w:spacing w:line="480" w:lineRule="auto"/>
        <w:rPr>
          <w:color w:val="0000FF"/>
        </w:rPr>
      </w:pPr>
    </w:p>
    <w:p w14:paraId="1B07BC04" w14:textId="529EAF9F" w:rsidR="00EB00A0" w:rsidRPr="00F37FD0" w:rsidRDefault="00EB00A0" w:rsidP="00280903">
      <w:pPr>
        <w:autoSpaceDE w:val="0"/>
        <w:autoSpaceDN w:val="0"/>
        <w:adjustRightInd w:val="0"/>
        <w:spacing w:line="480" w:lineRule="auto"/>
      </w:pPr>
      <w:r w:rsidRPr="00F37FD0">
        <w:rPr>
          <w:vertAlign w:val="superscript"/>
        </w:rPr>
        <w:t>1</w:t>
      </w:r>
      <w:r w:rsidRPr="00F37FD0">
        <w:t>State Key Laboratory of Tropical</w:t>
      </w:r>
      <w:r w:rsidRPr="00F37FD0">
        <w:rPr>
          <w:rFonts w:hint="eastAsia"/>
        </w:rPr>
        <w:t xml:space="preserve"> </w:t>
      </w:r>
      <w:r w:rsidRPr="00F37FD0">
        <w:t>Oceanography, South China Sea Institute of</w:t>
      </w:r>
      <w:r w:rsidRPr="00F37FD0">
        <w:rPr>
          <w:rFonts w:hint="eastAsia"/>
        </w:rPr>
        <w:t xml:space="preserve"> </w:t>
      </w:r>
      <w:r w:rsidRPr="00F37FD0">
        <w:t>Oceanology, Chinese Academy of Sciences,</w:t>
      </w:r>
      <w:r w:rsidRPr="00F37FD0">
        <w:rPr>
          <w:rFonts w:hint="eastAsia"/>
        </w:rPr>
        <w:t xml:space="preserve"> </w:t>
      </w:r>
      <w:r w:rsidRPr="00F37FD0">
        <w:t>Guangzhou, China.</w:t>
      </w:r>
    </w:p>
    <w:p w14:paraId="1FD77E56" w14:textId="157C0B10" w:rsidR="00EB00A0" w:rsidRDefault="00EB00A0" w:rsidP="00280903">
      <w:pPr>
        <w:autoSpaceDE w:val="0"/>
        <w:autoSpaceDN w:val="0"/>
        <w:adjustRightInd w:val="0"/>
        <w:spacing w:line="480" w:lineRule="auto"/>
      </w:pPr>
      <w:r w:rsidRPr="00F37FD0">
        <w:rPr>
          <w:vertAlign w:val="superscript"/>
        </w:rPr>
        <w:t>2</w:t>
      </w:r>
      <w:r w:rsidRPr="00F37FD0">
        <w:t>University of Chinese Academy of</w:t>
      </w:r>
      <w:r w:rsidRPr="00F37FD0">
        <w:rPr>
          <w:rFonts w:hint="eastAsia"/>
        </w:rPr>
        <w:t xml:space="preserve"> </w:t>
      </w:r>
      <w:r w:rsidRPr="00F37FD0">
        <w:t>Sciences, Beijing, China.</w:t>
      </w:r>
    </w:p>
    <w:p w14:paraId="52C11F7B" w14:textId="0C653233" w:rsidR="00F806DC" w:rsidRPr="00F37FD0" w:rsidRDefault="001139CC" w:rsidP="00280903">
      <w:pPr>
        <w:autoSpaceDE w:val="0"/>
        <w:autoSpaceDN w:val="0"/>
        <w:adjustRightInd w:val="0"/>
        <w:spacing w:line="480" w:lineRule="auto"/>
      </w:pPr>
      <w:r>
        <w:rPr>
          <w:vertAlign w:val="superscript"/>
        </w:rPr>
        <w:t>3</w:t>
      </w:r>
      <w:r w:rsidRPr="001139CC">
        <w:t>Southern Marine Science and Engineering Guangdong Laboratory</w:t>
      </w:r>
      <w:r>
        <w:t xml:space="preserve">, </w:t>
      </w:r>
      <w:r w:rsidRPr="001139CC">
        <w:t>Guangzhou</w:t>
      </w:r>
      <w:r>
        <w:t>, China</w:t>
      </w:r>
    </w:p>
    <w:p w14:paraId="523676E7" w14:textId="1F59BA86" w:rsidR="00EB00A0" w:rsidRPr="00F37FD0" w:rsidRDefault="00F806DC" w:rsidP="00280903">
      <w:pPr>
        <w:autoSpaceDE w:val="0"/>
        <w:autoSpaceDN w:val="0"/>
        <w:adjustRightInd w:val="0"/>
        <w:spacing w:line="480" w:lineRule="auto"/>
      </w:pPr>
      <w:r>
        <w:rPr>
          <w:vertAlign w:val="superscript"/>
        </w:rPr>
        <w:t>4</w:t>
      </w:r>
      <w:r w:rsidR="00EB00A0" w:rsidRPr="00F37FD0">
        <w:t>Scripps Institution of Oceanography,</w:t>
      </w:r>
      <w:r w:rsidR="00EB00A0" w:rsidRPr="00F37FD0">
        <w:rPr>
          <w:rFonts w:hint="eastAsia"/>
        </w:rPr>
        <w:t xml:space="preserve"> </w:t>
      </w:r>
      <w:r w:rsidR="00EB00A0" w:rsidRPr="00F37FD0">
        <w:t>University of California San Diego, La Jolla,</w:t>
      </w:r>
      <w:r w:rsidR="00EB00A0" w:rsidRPr="00F37FD0">
        <w:rPr>
          <w:rFonts w:hint="eastAsia"/>
        </w:rPr>
        <w:t xml:space="preserve"> </w:t>
      </w:r>
      <w:r w:rsidR="00EB00A0" w:rsidRPr="00F37FD0">
        <w:t>CA, USA.</w:t>
      </w:r>
    </w:p>
    <w:p w14:paraId="1E3A88F4" w14:textId="5F076062" w:rsidR="007010E6" w:rsidRDefault="007010E6" w:rsidP="00280903">
      <w:pPr>
        <w:suppressLineNumbers/>
        <w:spacing w:line="480" w:lineRule="auto"/>
        <w:rPr>
          <w:color w:val="0000FF"/>
        </w:rPr>
      </w:pPr>
    </w:p>
    <w:p w14:paraId="390982C4" w14:textId="3FDDD428" w:rsidR="00EB00A0" w:rsidRDefault="00EB00A0" w:rsidP="00280903">
      <w:pPr>
        <w:suppressLineNumbers/>
        <w:spacing w:line="480" w:lineRule="auto"/>
        <w:rPr>
          <w:color w:val="0000FF"/>
        </w:rPr>
      </w:pPr>
    </w:p>
    <w:p w14:paraId="3C20E18A" w14:textId="5EE6CB33" w:rsidR="00EB00A0" w:rsidRDefault="00EB00A0" w:rsidP="00280903">
      <w:pPr>
        <w:suppressLineNumbers/>
        <w:spacing w:line="480" w:lineRule="auto"/>
        <w:rPr>
          <w:color w:val="0000FF"/>
        </w:rPr>
      </w:pPr>
    </w:p>
    <w:p w14:paraId="4ACD77F5" w14:textId="77777777" w:rsidR="00EB00A0" w:rsidRDefault="00EB00A0" w:rsidP="00DC1029">
      <w:pPr>
        <w:suppressLineNumbers/>
        <w:rPr>
          <w:color w:val="0000FF"/>
        </w:rPr>
      </w:pPr>
    </w:p>
    <w:p w14:paraId="00860B16" w14:textId="77777777" w:rsidR="008E4EAE" w:rsidRPr="00181AD1" w:rsidRDefault="008E4EAE" w:rsidP="00DC1029">
      <w:pPr>
        <w:spacing w:line="480" w:lineRule="auto"/>
        <w:rPr>
          <w:b/>
        </w:rPr>
      </w:pPr>
      <w:r w:rsidRPr="00181AD1">
        <w:rPr>
          <w:b/>
        </w:rPr>
        <w:t xml:space="preserve">Contents of this file </w:t>
      </w:r>
    </w:p>
    <w:p w14:paraId="3164036A" w14:textId="6DD03161" w:rsidR="008E4EAE" w:rsidRPr="00181AD1" w:rsidRDefault="008E4EAE" w:rsidP="00DC1029">
      <w:pPr>
        <w:spacing w:line="480" w:lineRule="auto"/>
        <w:ind w:left="720"/>
      </w:pPr>
      <w:r w:rsidRPr="00181AD1">
        <w:lastRenderedPageBreak/>
        <w:t>Text S1</w:t>
      </w:r>
    </w:p>
    <w:p w14:paraId="64E3CABB" w14:textId="4C15C8F5" w:rsidR="008E4EAE" w:rsidRPr="00181AD1" w:rsidRDefault="008E4EAE" w:rsidP="00DC1029">
      <w:pPr>
        <w:spacing w:line="480" w:lineRule="auto"/>
        <w:ind w:left="720"/>
      </w:pPr>
      <w:r w:rsidRPr="00181AD1">
        <w:t>Figure</w:t>
      </w:r>
      <w:r w:rsidR="005C568F">
        <w:t>s S</w:t>
      </w:r>
      <w:r w:rsidRPr="00181AD1">
        <w:t>1</w:t>
      </w:r>
      <w:r w:rsidR="00E24E8C">
        <w:t>-S2</w:t>
      </w:r>
    </w:p>
    <w:p w14:paraId="0D058FDA" w14:textId="296C6228" w:rsidR="007010E6" w:rsidRPr="008E4EAE" w:rsidRDefault="007010E6" w:rsidP="00DC1029">
      <w:pPr>
        <w:suppressLineNumbers/>
        <w:rPr>
          <w:color w:val="0000FF"/>
        </w:rPr>
      </w:pPr>
    </w:p>
    <w:p w14:paraId="1A940118" w14:textId="16F14AEF" w:rsidR="00280903" w:rsidRPr="00FA1C20" w:rsidRDefault="00280903" w:rsidP="00FA1C20">
      <w:pPr>
        <w:suppressLineNumbers/>
        <w:rPr>
          <w:color w:val="0000FF"/>
        </w:rPr>
      </w:pPr>
    </w:p>
    <w:p w14:paraId="24C00E66" w14:textId="3D724556" w:rsidR="00F876BE" w:rsidRPr="00F57B30" w:rsidRDefault="00F57B30" w:rsidP="00F876BE">
      <w:pPr>
        <w:autoSpaceDE w:val="0"/>
        <w:autoSpaceDN w:val="0"/>
        <w:adjustRightInd w:val="0"/>
        <w:spacing w:line="480" w:lineRule="auto"/>
        <w:rPr>
          <w:b/>
        </w:rPr>
      </w:pPr>
      <w:r w:rsidRPr="00F57B30">
        <w:rPr>
          <w:b/>
        </w:rPr>
        <w:t>Text</w:t>
      </w:r>
      <w:r w:rsidR="00280903" w:rsidRPr="00F57B30">
        <w:rPr>
          <w:b/>
        </w:rPr>
        <w:t xml:space="preserve"> S1. </w:t>
      </w:r>
      <w:r w:rsidR="006B2BAF">
        <w:rPr>
          <w:b/>
        </w:rPr>
        <w:t>M</w:t>
      </w:r>
      <w:r w:rsidRPr="005D070D">
        <w:rPr>
          <w:b/>
        </w:rPr>
        <w:t>etrics</w:t>
      </w:r>
      <w:r w:rsidRPr="00F57B30">
        <w:rPr>
          <w:b/>
        </w:rPr>
        <w:t xml:space="preserve"> </w:t>
      </w:r>
      <w:r w:rsidR="006B2BAF">
        <w:rPr>
          <w:b/>
        </w:rPr>
        <w:t>to assess</w:t>
      </w:r>
      <w:r w:rsidRPr="00F57B30">
        <w:rPr>
          <w:b/>
        </w:rPr>
        <w:t xml:space="preserve"> sensitivity </w:t>
      </w:r>
      <w:r w:rsidR="006B2BAF">
        <w:rPr>
          <w:b/>
        </w:rPr>
        <w:t>to</w:t>
      </w:r>
      <w:r w:rsidRPr="00F57B30">
        <w:rPr>
          <w:b/>
        </w:rPr>
        <w:t xml:space="preserve"> </w:t>
      </w:r>
      <w:r>
        <w:rPr>
          <w:b/>
        </w:rPr>
        <w:t>isotropic diffusivity</w:t>
      </w:r>
      <w:r w:rsidRPr="00F57B30">
        <w:rPr>
          <w:b/>
        </w:rPr>
        <w:t xml:space="preserve"> </w:t>
      </w:r>
    </w:p>
    <w:p w14:paraId="0FAA8C5C" w14:textId="6B4B77F9" w:rsidR="00F57B30" w:rsidRPr="0090388E" w:rsidRDefault="0090388E" w:rsidP="0090388E">
      <w:pPr>
        <w:autoSpaceDE w:val="0"/>
        <w:autoSpaceDN w:val="0"/>
        <w:adjustRightInd w:val="0"/>
        <w:spacing w:line="480" w:lineRule="auto"/>
      </w:pPr>
      <w:r w:rsidRPr="0090388E">
        <w:t>To quantify the effect of the horizontal and vertical viscosity of 10</w:t>
      </w:r>
      <w:r w:rsidRPr="0053058D">
        <w:rPr>
          <w:vertAlign w:val="superscript"/>
        </w:rPr>
        <w:t>-5</w:t>
      </w:r>
      <w:r w:rsidR="001139CC">
        <w:rPr>
          <w:vertAlign w:val="superscript"/>
        </w:rPr>
        <w:t xml:space="preserve"> </w:t>
      </w:r>
      <w:r w:rsidR="001139CC" w:rsidRPr="001139CC">
        <w:t>m</w:t>
      </w:r>
      <w:r w:rsidR="001139CC">
        <w:rPr>
          <w:vertAlign w:val="superscript"/>
        </w:rPr>
        <w:t>2</w:t>
      </w:r>
      <w:r w:rsidR="001139CC" w:rsidRPr="001139CC">
        <w:t xml:space="preserve"> s</w:t>
      </w:r>
      <w:r w:rsidR="001139CC">
        <w:rPr>
          <w:vertAlign w:val="superscript"/>
        </w:rPr>
        <w:t>-2</w:t>
      </w:r>
      <w:r w:rsidR="00EB4093" w:rsidRPr="00EB4093">
        <w:t>,</w:t>
      </w:r>
      <w:r w:rsidRPr="0090388E">
        <w:t xml:space="preserve"> we evaluate the</w:t>
      </w:r>
      <w:r w:rsidRPr="0090388E">
        <w:rPr>
          <w:rFonts w:hint="eastAsia"/>
        </w:rPr>
        <w:t xml:space="preserve"> </w:t>
      </w:r>
      <w:r w:rsidRPr="0090388E">
        <w:t xml:space="preserve">dispersion of </w:t>
      </w:r>
      <w:r w:rsidR="00EB4093">
        <w:t xml:space="preserve">particle acceleration </w:t>
      </w:r>
      <w:r w:rsidRPr="0090388E">
        <w:t>with varying isotropic diffusivities (</w:t>
      </w:r>
      <w:proofErr w:type="spellStart"/>
      <w:r w:rsidRPr="0090388E">
        <w:t>K</w:t>
      </w:r>
      <w:r w:rsidRPr="00E24E8C">
        <w:rPr>
          <w:vertAlign w:val="subscript"/>
        </w:rPr>
        <w:t>h</w:t>
      </w:r>
      <w:proofErr w:type="spellEnd"/>
      <w:r w:rsidRPr="0090388E">
        <w:t xml:space="preserve">) </w:t>
      </w:r>
      <w:r w:rsidR="00EB4093">
        <w:t xml:space="preserve">relative to particle acceleration when </w:t>
      </w:r>
      <w:proofErr w:type="spellStart"/>
      <w:r w:rsidRPr="0090388E">
        <w:t>K</w:t>
      </w:r>
      <w:r w:rsidRPr="00E24E8C">
        <w:rPr>
          <w:vertAlign w:val="subscript"/>
        </w:rPr>
        <w:t>h</w:t>
      </w:r>
      <w:proofErr w:type="spellEnd"/>
      <w:r w:rsidRPr="0090388E">
        <w:t xml:space="preserve"> =0</w:t>
      </w:r>
      <w:r w:rsidR="001139CC" w:rsidRPr="001139CC">
        <w:t xml:space="preserve"> </w:t>
      </w:r>
      <w:r w:rsidR="001139CC" w:rsidRPr="001139CC">
        <w:t>m</w:t>
      </w:r>
      <w:r w:rsidR="001139CC">
        <w:rPr>
          <w:vertAlign w:val="superscript"/>
        </w:rPr>
        <w:t>2</w:t>
      </w:r>
      <w:r w:rsidR="001139CC" w:rsidRPr="001139CC">
        <w:t xml:space="preserve"> s</w:t>
      </w:r>
      <w:r w:rsidR="001139CC">
        <w:rPr>
          <w:vertAlign w:val="superscript"/>
        </w:rPr>
        <w:t>-2</w:t>
      </w:r>
      <w:r w:rsidRPr="0090388E">
        <w:t xml:space="preserve">. </w:t>
      </w:r>
      <w:r w:rsidR="00EB4093">
        <w:t xml:space="preserve"> Here we</w:t>
      </w:r>
      <w:r w:rsidR="00EB4093" w:rsidRPr="0090388E">
        <w:t xml:space="preserve"> define </w:t>
      </w:r>
      <w:r w:rsidR="00EB4093">
        <w:t xml:space="preserve">dispersion based on </w:t>
      </w:r>
      <w:r w:rsidR="00EB4093" w:rsidRPr="0090388E">
        <w:t xml:space="preserve">the difference </w:t>
      </w:r>
      <w:r w:rsidR="00EB4093">
        <w:t>in acceleration.</w:t>
      </w:r>
      <w:r w:rsidR="00EB4093" w:rsidRPr="0090388E">
        <w:t xml:space="preserve"> </w:t>
      </w:r>
      <w:r w:rsidRPr="0090388E">
        <w:t>The values indicate</w:t>
      </w:r>
      <w:r w:rsidRPr="0090388E">
        <w:rPr>
          <w:rFonts w:hint="eastAsia"/>
        </w:rPr>
        <w:t xml:space="preserve"> </w:t>
      </w:r>
      <w:r w:rsidRPr="0090388E">
        <w:t xml:space="preserve">the impact of </w:t>
      </w:r>
      <w:proofErr w:type="spellStart"/>
      <w:r w:rsidRPr="0090388E">
        <w:t>K</w:t>
      </w:r>
      <w:r w:rsidRPr="00E24E8C">
        <w:rPr>
          <w:vertAlign w:val="subscript"/>
        </w:rPr>
        <w:t>h</w:t>
      </w:r>
      <w:proofErr w:type="spellEnd"/>
      <w:r w:rsidRPr="0090388E">
        <w:t xml:space="preserve"> on the </w:t>
      </w:r>
      <w:r w:rsidR="00EB4093">
        <w:t>particle</w:t>
      </w:r>
      <w:r w:rsidR="00EB4093" w:rsidRPr="0090388E">
        <w:t xml:space="preserve"> </w:t>
      </w:r>
      <w:r w:rsidRPr="0090388E">
        <w:t xml:space="preserve">motion. We expect the dispersion to rise for large </w:t>
      </w:r>
      <w:proofErr w:type="spellStart"/>
      <w:r w:rsidRPr="0090388E">
        <w:t>K</w:t>
      </w:r>
      <w:r w:rsidRPr="00E24E8C">
        <w:rPr>
          <w:vertAlign w:val="subscript"/>
        </w:rPr>
        <w:t>h</w:t>
      </w:r>
      <w:proofErr w:type="spellEnd"/>
      <w:r w:rsidRPr="0090388E">
        <w:t xml:space="preserve">, since </w:t>
      </w:r>
      <w:r w:rsidR="00EB4093">
        <w:t xml:space="preserve">this will </w:t>
      </w:r>
      <w:r w:rsidR="006B2BAF">
        <w:t>replicate the effect of</w:t>
      </w:r>
      <w:r w:rsidRPr="0090388E">
        <w:t xml:space="preserve"> a</w:t>
      </w:r>
      <w:r w:rsidR="00EB4093">
        <w:t xml:space="preserve"> large</w:t>
      </w:r>
      <w:r w:rsidRPr="0090388E">
        <w:t xml:space="preserve"> random walk (Hunter et al. 1993). The results </w:t>
      </w:r>
      <w:r w:rsidR="0053058D">
        <w:t xml:space="preserve">(shown in </w:t>
      </w:r>
      <w:r w:rsidR="00EB4093">
        <w:t>F</w:t>
      </w:r>
      <w:r w:rsidR="0053058D">
        <w:t xml:space="preserve">igure S2) </w:t>
      </w:r>
      <w:r w:rsidRPr="0090388E">
        <w:t>indicate</w:t>
      </w:r>
      <w:r w:rsidRPr="0090388E">
        <w:rPr>
          <w:rFonts w:hint="eastAsia"/>
        </w:rPr>
        <w:t xml:space="preserve"> </w:t>
      </w:r>
      <w:r w:rsidRPr="0090388E">
        <w:t xml:space="preserve">that </w:t>
      </w:r>
      <w:proofErr w:type="spellStart"/>
      <w:r w:rsidRPr="0090388E">
        <w:t>K</w:t>
      </w:r>
      <w:r w:rsidRPr="00E24E8C">
        <w:rPr>
          <w:vertAlign w:val="subscript"/>
        </w:rPr>
        <w:t>h</w:t>
      </w:r>
      <w:proofErr w:type="spellEnd"/>
      <w:r w:rsidRPr="0090388E">
        <w:t xml:space="preserve"> must be larger than 10</w:t>
      </w:r>
      <w:r w:rsidR="001139CC" w:rsidRPr="001139CC">
        <w:t xml:space="preserve"> </w:t>
      </w:r>
      <w:r w:rsidR="001139CC" w:rsidRPr="001139CC">
        <w:t>m</w:t>
      </w:r>
      <w:r w:rsidR="001139CC">
        <w:rPr>
          <w:vertAlign w:val="superscript"/>
        </w:rPr>
        <w:t>2</w:t>
      </w:r>
      <w:r w:rsidR="001139CC" w:rsidRPr="001139CC">
        <w:t xml:space="preserve"> s</w:t>
      </w:r>
      <w:r w:rsidR="001139CC">
        <w:rPr>
          <w:vertAlign w:val="superscript"/>
        </w:rPr>
        <w:t>-2</w:t>
      </w:r>
      <w:r w:rsidRPr="0090388E">
        <w:t xml:space="preserve"> to have a dominant influence on the flow. When</w:t>
      </w:r>
      <w:r w:rsidRPr="0090388E">
        <w:rPr>
          <w:rFonts w:hint="eastAsia"/>
        </w:rPr>
        <w:t xml:space="preserve"> </w:t>
      </w:r>
      <w:proofErr w:type="spellStart"/>
      <w:r w:rsidRPr="0090388E">
        <w:t>K</w:t>
      </w:r>
      <w:r w:rsidRPr="00E24E8C">
        <w:rPr>
          <w:vertAlign w:val="subscript"/>
        </w:rPr>
        <w:t>h</w:t>
      </w:r>
      <w:proofErr w:type="spellEnd"/>
      <w:r w:rsidRPr="0090388E">
        <w:t>=10</w:t>
      </w:r>
      <w:r w:rsidRPr="00E24E8C">
        <w:rPr>
          <w:vertAlign w:val="superscript"/>
        </w:rPr>
        <w:t>5</w:t>
      </w:r>
      <w:r w:rsidR="001139CC" w:rsidRPr="001139CC">
        <w:t xml:space="preserve"> </w:t>
      </w:r>
      <w:r w:rsidR="001139CC" w:rsidRPr="001139CC">
        <w:t>m</w:t>
      </w:r>
      <w:r w:rsidR="001139CC">
        <w:rPr>
          <w:vertAlign w:val="superscript"/>
        </w:rPr>
        <w:t>2</w:t>
      </w:r>
      <w:r w:rsidR="001139CC" w:rsidRPr="001139CC">
        <w:t xml:space="preserve"> s</w:t>
      </w:r>
      <w:r w:rsidR="001139CC">
        <w:rPr>
          <w:vertAlign w:val="superscript"/>
        </w:rPr>
        <w:t>-2</w:t>
      </w:r>
      <w:r w:rsidRPr="0090388E">
        <w:t xml:space="preserve">, the trajectories are completely dominated by </w:t>
      </w:r>
      <w:r w:rsidR="00EB4093">
        <w:t>viscous</w:t>
      </w:r>
      <w:r w:rsidR="00EB4093" w:rsidRPr="0090388E">
        <w:t xml:space="preserve"> </w:t>
      </w:r>
      <w:r w:rsidRPr="0090388E">
        <w:t>processes</w:t>
      </w:r>
      <w:r w:rsidR="00EB4093">
        <w:t xml:space="preserve">, leading to large differences in particle acceleration rates.  </w:t>
      </w:r>
      <w:r w:rsidRPr="0090388E">
        <w:t xml:space="preserve">However, when </w:t>
      </w:r>
      <w:proofErr w:type="spellStart"/>
      <w:r w:rsidRPr="0090388E">
        <w:t>K</w:t>
      </w:r>
      <w:r w:rsidRPr="00E24E8C">
        <w:rPr>
          <w:vertAlign w:val="subscript"/>
        </w:rPr>
        <w:t>h</w:t>
      </w:r>
      <w:proofErr w:type="spellEnd"/>
      <w:r w:rsidRPr="0090388E">
        <w:t xml:space="preserve"> is</w:t>
      </w:r>
      <w:r w:rsidRPr="0090388E">
        <w:rPr>
          <w:rFonts w:hint="eastAsia"/>
        </w:rPr>
        <w:t xml:space="preserve"> </w:t>
      </w:r>
      <w:r w:rsidR="00EB4093">
        <w:t>&lt;</w:t>
      </w:r>
      <w:r w:rsidRPr="0090388E">
        <w:t>1</w:t>
      </w:r>
      <w:r w:rsidR="001139CC" w:rsidRPr="001139CC">
        <w:t xml:space="preserve"> </w:t>
      </w:r>
      <w:r w:rsidR="001139CC" w:rsidRPr="001139CC">
        <w:t>m</w:t>
      </w:r>
      <w:r w:rsidR="001139CC">
        <w:rPr>
          <w:vertAlign w:val="superscript"/>
        </w:rPr>
        <w:t>2</w:t>
      </w:r>
      <w:r w:rsidR="001139CC" w:rsidRPr="001139CC">
        <w:t xml:space="preserve"> s</w:t>
      </w:r>
      <w:r w:rsidR="001139CC">
        <w:rPr>
          <w:vertAlign w:val="superscript"/>
        </w:rPr>
        <w:t>-2</w:t>
      </w:r>
      <w:r w:rsidRPr="0090388E">
        <w:t xml:space="preserve">, particle trajectories are dominated by the </w:t>
      </w:r>
      <w:r w:rsidR="00EB4093">
        <w:t>background advective</w:t>
      </w:r>
      <w:r w:rsidR="00EB4093" w:rsidRPr="0090388E">
        <w:t xml:space="preserve"> </w:t>
      </w:r>
      <w:r w:rsidRPr="0090388E">
        <w:t>flow. Therefore, the results at</w:t>
      </w:r>
      <w:r w:rsidRPr="0090388E">
        <w:rPr>
          <w:rFonts w:hint="eastAsia"/>
        </w:rPr>
        <w:t xml:space="preserve"> </w:t>
      </w:r>
      <w:proofErr w:type="spellStart"/>
      <w:r w:rsidRPr="0090388E">
        <w:t>K</w:t>
      </w:r>
      <w:r w:rsidRPr="00E24E8C">
        <w:rPr>
          <w:vertAlign w:val="subscript"/>
        </w:rPr>
        <w:t>h</w:t>
      </w:r>
      <w:proofErr w:type="spellEnd"/>
      <w:r w:rsidRPr="0090388E">
        <w:t>=10</w:t>
      </w:r>
      <w:r w:rsidRPr="00E24E8C">
        <w:rPr>
          <w:vertAlign w:val="superscript"/>
        </w:rPr>
        <w:t>-5</w:t>
      </w:r>
      <w:r w:rsidR="001139CC" w:rsidRPr="001139CC">
        <w:t xml:space="preserve"> </w:t>
      </w:r>
      <w:r w:rsidR="001139CC" w:rsidRPr="001139CC">
        <w:t>m</w:t>
      </w:r>
      <w:r w:rsidR="001139CC">
        <w:rPr>
          <w:vertAlign w:val="superscript"/>
        </w:rPr>
        <w:t>2</w:t>
      </w:r>
      <w:r w:rsidR="001139CC" w:rsidRPr="001139CC">
        <w:t xml:space="preserve"> s</w:t>
      </w:r>
      <w:r w:rsidR="001139CC">
        <w:rPr>
          <w:vertAlign w:val="superscript"/>
        </w:rPr>
        <w:t>-2</w:t>
      </w:r>
      <w:r w:rsidRPr="0090388E">
        <w:t xml:space="preserve"> and </w:t>
      </w:r>
      <w:proofErr w:type="spellStart"/>
      <w:r w:rsidRPr="0090388E">
        <w:t>K</w:t>
      </w:r>
      <w:r w:rsidRPr="00E24E8C">
        <w:rPr>
          <w:vertAlign w:val="subscript"/>
        </w:rPr>
        <w:t>h</w:t>
      </w:r>
      <w:proofErr w:type="spellEnd"/>
      <w:r w:rsidRPr="0090388E">
        <w:t>=0</w:t>
      </w:r>
      <w:r w:rsidR="001139CC" w:rsidRPr="001139CC">
        <w:t xml:space="preserve"> </w:t>
      </w:r>
      <w:r w:rsidR="001139CC" w:rsidRPr="001139CC">
        <w:t>m</w:t>
      </w:r>
      <w:r w:rsidR="001139CC">
        <w:rPr>
          <w:vertAlign w:val="superscript"/>
        </w:rPr>
        <w:t>2</w:t>
      </w:r>
      <w:r w:rsidR="001139CC" w:rsidRPr="001139CC">
        <w:t xml:space="preserve"> s</w:t>
      </w:r>
      <w:r w:rsidR="001139CC">
        <w:rPr>
          <w:vertAlign w:val="superscript"/>
        </w:rPr>
        <w:t>-2</w:t>
      </w:r>
      <w:r w:rsidRPr="0090388E">
        <w:t xml:space="preserve"> are inferred to be statistically equivalent. Though the effect </w:t>
      </w:r>
      <w:r w:rsidR="00EB4093">
        <w:t xml:space="preserve">of a non-zero </w:t>
      </w:r>
      <w:proofErr w:type="spellStart"/>
      <w:r w:rsidR="00EB4093">
        <w:t>K</w:t>
      </w:r>
      <w:r w:rsidR="00EB4093" w:rsidRPr="00E24E8C">
        <w:rPr>
          <w:vertAlign w:val="subscript"/>
        </w:rPr>
        <w:t>h</w:t>
      </w:r>
      <w:proofErr w:type="spellEnd"/>
      <w:r w:rsidR="00EB4093">
        <w:t xml:space="preserve"> </w:t>
      </w:r>
      <w:r w:rsidRPr="0090388E">
        <w:t>is statistically</w:t>
      </w:r>
      <w:r w:rsidRPr="0090388E">
        <w:rPr>
          <w:rFonts w:hint="eastAsia"/>
        </w:rPr>
        <w:t xml:space="preserve"> </w:t>
      </w:r>
      <w:r w:rsidR="00EB4093">
        <w:t>small, it</w:t>
      </w:r>
      <w:r w:rsidRPr="0090388E">
        <w:t xml:space="preserve"> is nevertheless important: the diffusion term represents</w:t>
      </w:r>
      <w:r w:rsidRPr="0090388E">
        <w:rPr>
          <w:rFonts w:hint="eastAsia"/>
        </w:rPr>
        <w:t xml:space="preserve"> </w:t>
      </w:r>
      <w:r w:rsidRPr="0090388E">
        <w:t>sub-grid-scale eddy motions and therefore allows floats to deviate from a purely deterministic</w:t>
      </w:r>
      <w:r w:rsidRPr="0090388E">
        <w:rPr>
          <w:rFonts w:hint="eastAsia"/>
        </w:rPr>
        <w:t xml:space="preserve"> </w:t>
      </w:r>
      <w:r w:rsidRPr="0090388E">
        <w:t xml:space="preserve">trajectory. </w:t>
      </w:r>
    </w:p>
    <w:p w14:paraId="466B72EC" w14:textId="466409E4" w:rsidR="00F57B30" w:rsidRDefault="00F57B30" w:rsidP="00C7469C">
      <w:pPr>
        <w:suppressLineNumbers/>
        <w:autoSpaceDE w:val="0"/>
        <w:autoSpaceDN w:val="0"/>
        <w:adjustRightInd w:val="0"/>
        <w:spacing w:line="480" w:lineRule="auto"/>
        <w:rPr>
          <w:rFonts w:eastAsiaTheme="minorEastAsia"/>
        </w:rPr>
      </w:pPr>
    </w:p>
    <w:p w14:paraId="06DC3BCF" w14:textId="45BB4864" w:rsidR="00F57B30" w:rsidRDefault="00F57B30" w:rsidP="00C7469C">
      <w:pPr>
        <w:suppressLineNumbers/>
        <w:autoSpaceDE w:val="0"/>
        <w:autoSpaceDN w:val="0"/>
        <w:adjustRightInd w:val="0"/>
        <w:spacing w:line="480" w:lineRule="auto"/>
        <w:rPr>
          <w:rFonts w:eastAsiaTheme="minorEastAsia"/>
        </w:rPr>
      </w:pPr>
    </w:p>
    <w:p w14:paraId="3CD50044" w14:textId="4F23802C" w:rsidR="00F57B30" w:rsidRDefault="00F57B30" w:rsidP="00C7469C">
      <w:pPr>
        <w:suppressLineNumbers/>
        <w:autoSpaceDE w:val="0"/>
        <w:autoSpaceDN w:val="0"/>
        <w:adjustRightInd w:val="0"/>
        <w:spacing w:line="480" w:lineRule="auto"/>
        <w:rPr>
          <w:rFonts w:eastAsiaTheme="minorEastAsia"/>
        </w:rPr>
      </w:pPr>
    </w:p>
    <w:p w14:paraId="1FF907B4" w14:textId="7C16FF4A" w:rsidR="00F57B30" w:rsidRDefault="00F57B30" w:rsidP="00C7469C">
      <w:pPr>
        <w:suppressLineNumbers/>
        <w:autoSpaceDE w:val="0"/>
        <w:autoSpaceDN w:val="0"/>
        <w:adjustRightInd w:val="0"/>
        <w:spacing w:line="480" w:lineRule="auto"/>
        <w:rPr>
          <w:rFonts w:eastAsiaTheme="minorEastAsia"/>
        </w:rPr>
      </w:pPr>
    </w:p>
    <w:p w14:paraId="061D998A" w14:textId="77777777" w:rsidR="0090388E" w:rsidRPr="00F57B30" w:rsidRDefault="0090388E" w:rsidP="00C7469C">
      <w:pPr>
        <w:suppressLineNumbers/>
        <w:autoSpaceDE w:val="0"/>
        <w:autoSpaceDN w:val="0"/>
        <w:adjustRightInd w:val="0"/>
        <w:spacing w:line="480" w:lineRule="auto"/>
        <w:rPr>
          <w:rFonts w:eastAsiaTheme="minorEastAsia"/>
        </w:rPr>
      </w:pPr>
    </w:p>
    <w:p w14:paraId="791290F8" w14:textId="77777777" w:rsidR="00F57B30" w:rsidRPr="00FA1C20" w:rsidRDefault="00F57B30" w:rsidP="00F57B30">
      <w:pPr>
        <w:suppressLineNumbers/>
        <w:rPr>
          <w:color w:val="0000FF"/>
        </w:rPr>
      </w:pPr>
      <w:r>
        <w:rPr>
          <w:noProof/>
        </w:rPr>
        <w:drawing>
          <wp:inline distT="0" distB="0" distL="0" distR="0" wp14:anchorId="21681342" wp14:editId="30B7807A">
            <wp:extent cx="5274310" cy="27374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8F26" w14:textId="52229CEA" w:rsidR="00F57B30" w:rsidRPr="00F57B30" w:rsidRDefault="00F57B30" w:rsidP="00F876BE">
      <w:pPr>
        <w:autoSpaceDE w:val="0"/>
        <w:autoSpaceDN w:val="0"/>
        <w:adjustRightInd w:val="0"/>
        <w:spacing w:line="480" w:lineRule="auto"/>
        <w:rPr>
          <w:rFonts w:eastAsiaTheme="minorEastAsia"/>
        </w:rPr>
      </w:pPr>
      <w:r w:rsidRPr="00280903">
        <w:t xml:space="preserve">Figure </w:t>
      </w:r>
      <w:r>
        <w:t>S1</w:t>
      </w:r>
      <w:r w:rsidRPr="00280903">
        <w:t>. Speed differences (unit: cm/s) between B-C derived velocities V</w:t>
      </w:r>
      <w:r w:rsidRPr="00280903">
        <w:rPr>
          <w:vertAlign w:val="subscript"/>
        </w:rPr>
        <w:t>B-C</w:t>
      </w:r>
      <w:r w:rsidRPr="00280903">
        <w:t xml:space="preserve"> and A-D</w:t>
      </w:r>
      <w:r>
        <w:rPr>
          <w:rFonts w:eastAsiaTheme="minorEastAsia" w:hint="eastAsia"/>
        </w:rPr>
        <w:t xml:space="preserve"> </w:t>
      </w:r>
      <w:r w:rsidRPr="00280903">
        <w:t>derived velocities V</w:t>
      </w:r>
      <w:r w:rsidRPr="00280903">
        <w:rPr>
          <w:vertAlign w:val="subscript"/>
        </w:rPr>
        <w:t>A-D</w:t>
      </w:r>
      <w:r w:rsidRPr="00280903">
        <w:t>. Black dots denote regions where the mean speed differences are greater than 10% of the mean velocity.</w:t>
      </w:r>
    </w:p>
    <w:p w14:paraId="08B7EF19" w14:textId="3BC11F7F" w:rsidR="007010E6" w:rsidRDefault="007010E6" w:rsidP="00DC1029">
      <w:pPr>
        <w:suppressLineNumbers/>
        <w:rPr>
          <w:rFonts w:eastAsiaTheme="minorEastAsia"/>
          <w:color w:val="0000FF"/>
        </w:rPr>
      </w:pPr>
    </w:p>
    <w:p w14:paraId="7AE22114" w14:textId="77777777" w:rsidR="00E24E8C" w:rsidRPr="005D070D" w:rsidRDefault="00E24E8C" w:rsidP="00DC1029">
      <w:pPr>
        <w:suppressLineNumbers/>
        <w:rPr>
          <w:rFonts w:eastAsiaTheme="minorEastAsia"/>
          <w:color w:val="0000FF"/>
        </w:rPr>
      </w:pPr>
    </w:p>
    <w:p w14:paraId="5B1FA890" w14:textId="1704A4A0" w:rsidR="00091531" w:rsidRPr="00091531" w:rsidRDefault="00E24E8C" w:rsidP="00DC1029">
      <w:pPr>
        <w:suppressLineNumbers/>
        <w:rPr>
          <w:rFonts w:eastAsiaTheme="minorEastAsia"/>
          <w:color w:val="0000FF"/>
        </w:rPr>
      </w:pPr>
      <w:r>
        <w:rPr>
          <w:noProof/>
        </w:rPr>
        <w:drawing>
          <wp:inline distT="0" distB="0" distL="0" distR="0" wp14:anchorId="24C63649" wp14:editId="067E4FE0">
            <wp:extent cx="5274310" cy="28581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F9D4" w14:textId="59EF6ECE" w:rsidR="00075C5F" w:rsidRPr="00F57B30" w:rsidRDefault="00E24E8C" w:rsidP="001139CC">
      <w:r w:rsidRPr="00280903">
        <w:lastRenderedPageBreak/>
        <w:t xml:space="preserve">Figure </w:t>
      </w:r>
      <w:r>
        <w:t>S2</w:t>
      </w:r>
      <w:r w:rsidRPr="00280903">
        <w:t>.</w:t>
      </w:r>
      <w:r>
        <w:t xml:space="preserve"> </w:t>
      </w:r>
      <w:r w:rsidRPr="00E24E8C">
        <w:t xml:space="preserve">Acceleration dispersion (defined by the difference </w:t>
      </w:r>
      <w:r w:rsidR="001139CC">
        <w:t>between</w:t>
      </w:r>
      <w:r w:rsidRPr="00E24E8C">
        <w:t xml:space="preserve"> the acceleration at a specified</w:t>
      </w:r>
      <w:r>
        <w:t xml:space="preserve"> </w:t>
      </w:r>
      <w:proofErr w:type="spellStart"/>
      <w:r w:rsidRPr="00E24E8C">
        <w:t>K</w:t>
      </w:r>
      <w:r w:rsidRPr="00E24E8C">
        <w:rPr>
          <w:vertAlign w:val="subscript"/>
        </w:rPr>
        <w:t>h</w:t>
      </w:r>
      <w:proofErr w:type="spellEnd"/>
      <w:r>
        <w:t xml:space="preserve"> </w:t>
      </w:r>
      <w:r w:rsidRPr="00E24E8C">
        <w:t>and that at</w:t>
      </w:r>
      <w:r>
        <w:t xml:space="preserve"> </w:t>
      </w:r>
      <w:proofErr w:type="spellStart"/>
      <w:r w:rsidRPr="00E24E8C">
        <w:t>K</w:t>
      </w:r>
      <w:r w:rsidRPr="00E24E8C">
        <w:rPr>
          <w:vertAlign w:val="subscript"/>
        </w:rPr>
        <w:t>h</w:t>
      </w:r>
      <w:proofErr w:type="spellEnd"/>
      <w:r w:rsidRPr="00E24E8C">
        <w:t>=0</w:t>
      </w:r>
      <w:r w:rsidR="001139CC">
        <w:t xml:space="preserve"> </w:t>
      </w:r>
      <w:r w:rsidR="001139CC">
        <w:t>m</w:t>
      </w:r>
      <w:r w:rsidR="001139CC">
        <w:rPr>
          <w:vertAlign w:val="superscript"/>
        </w:rPr>
        <w:t>2</w:t>
      </w:r>
      <w:r w:rsidR="001139CC">
        <w:t xml:space="preserve"> s</w:t>
      </w:r>
      <w:r w:rsidR="001139CC">
        <w:rPr>
          <w:vertAlign w:val="superscript"/>
        </w:rPr>
        <w:t>−1</w:t>
      </w:r>
      <w:r w:rsidRPr="00E24E8C">
        <w:t xml:space="preserve">) as </w:t>
      </w:r>
      <w:r w:rsidR="001139CC">
        <w:t>a</w:t>
      </w:r>
      <w:r w:rsidRPr="00E24E8C">
        <w:t xml:space="preserve"> function of</w:t>
      </w:r>
      <w:r>
        <w:t xml:space="preserve"> </w:t>
      </w:r>
      <w:proofErr w:type="spellStart"/>
      <w:r w:rsidRPr="00E24E8C">
        <w:t>K</w:t>
      </w:r>
      <w:r w:rsidRPr="00E24E8C">
        <w:rPr>
          <w:vertAlign w:val="subscript"/>
        </w:rPr>
        <w:t>h</w:t>
      </w:r>
      <w:proofErr w:type="spellEnd"/>
      <w:r w:rsidRPr="00E24E8C">
        <w:t>. The inset shows the same quantity on a log-log axis</w:t>
      </w:r>
    </w:p>
    <w:sectPr w:rsidR="00075C5F" w:rsidRPr="00F57B30" w:rsidSect="008B1568">
      <w:pgSz w:w="12240" w:h="15840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F5079" w14:textId="77777777" w:rsidR="00ED312E" w:rsidRDefault="00ED312E" w:rsidP="00157613">
      <w:r>
        <w:separator/>
      </w:r>
    </w:p>
  </w:endnote>
  <w:endnote w:type="continuationSeparator" w:id="0">
    <w:p w14:paraId="157C9AD3" w14:textId="77777777" w:rsidR="00ED312E" w:rsidRDefault="00ED312E" w:rsidP="0015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3F4C" w14:textId="77777777" w:rsidR="00ED312E" w:rsidRDefault="00ED312E" w:rsidP="00157613">
      <w:r>
        <w:separator/>
      </w:r>
    </w:p>
  </w:footnote>
  <w:footnote w:type="continuationSeparator" w:id="0">
    <w:p w14:paraId="1851E59F" w14:textId="77777777" w:rsidR="00ED312E" w:rsidRDefault="00ED312E" w:rsidP="0015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36"/>
    <w:rsid w:val="00051FEC"/>
    <w:rsid w:val="0006455B"/>
    <w:rsid w:val="0007310E"/>
    <w:rsid w:val="00075C5F"/>
    <w:rsid w:val="00091531"/>
    <w:rsid w:val="000B0C3D"/>
    <w:rsid w:val="000B1275"/>
    <w:rsid w:val="000C32EB"/>
    <w:rsid w:val="000F2C00"/>
    <w:rsid w:val="001139CC"/>
    <w:rsid w:val="00137A2B"/>
    <w:rsid w:val="00157613"/>
    <w:rsid w:val="00173B66"/>
    <w:rsid w:val="00180DBC"/>
    <w:rsid w:val="00181AD1"/>
    <w:rsid w:val="00181E23"/>
    <w:rsid w:val="001930F9"/>
    <w:rsid w:val="00194834"/>
    <w:rsid w:val="0019720B"/>
    <w:rsid w:val="001A2A78"/>
    <w:rsid w:val="001C7355"/>
    <w:rsid w:val="0020664D"/>
    <w:rsid w:val="00214C8F"/>
    <w:rsid w:val="0024049C"/>
    <w:rsid w:val="002754B8"/>
    <w:rsid w:val="00280903"/>
    <w:rsid w:val="002B4A8A"/>
    <w:rsid w:val="0032309C"/>
    <w:rsid w:val="00323696"/>
    <w:rsid w:val="003266EC"/>
    <w:rsid w:val="0033471C"/>
    <w:rsid w:val="0034172B"/>
    <w:rsid w:val="003468F9"/>
    <w:rsid w:val="00370C8B"/>
    <w:rsid w:val="003D606F"/>
    <w:rsid w:val="003E6991"/>
    <w:rsid w:val="00421516"/>
    <w:rsid w:val="00474736"/>
    <w:rsid w:val="004A25AB"/>
    <w:rsid w:val="004D6894"/>
    <w:rsid w:val="004F146D"/>
    <w:rsid w:val="00513A80"/>
    <w:rsid w:val="005263E2"/>
    <w:rsid w:val="0053058D"/>
    <w:rsid w:val="00540A89"/>
    <w:rsid w:val="005B1BF5"/>
    <w:rsid w:val="005B4732"/>
    <w:rsid w:val="005C568F"/>
    <w:rsid w:val="005C5C9F"/>
    <w:rsid w:val="005D070D"/>
    <w:rsid w:val="005D0C74"/>
    <w:rsid w:val="005E3833"/>
    <w:rsid w:val="0062486A"/>
    <w:rsid w:val="00632599"/>
    <w:rsid w:val="00643F89"/>
    <w:rsid w:val="006730AF"/>
    <w:rsid w:val="006B2BAF"/>
    <w:rsid w:val="006F6CBF"/>
    <w:rsid w:val="007010E6"/>
    <w:rsid w:val="00726C29"/>
    <w:rsid w:val="007438BB"/>
    <w:rsid w:val="00764FE1"/>
    <w:rsid w:val="0077069C"/>
    <w:rsid w:val="0078761C"/>
    <w:rsid w:val="00792AE7"/>
    <w:rsid w:val="007A2DBA"/>
    <w:rsid w:val="007B75FC"/>
    <w:rsid w:val="007D6312"/>
    <w:rsid w:val="007E3A20"/>
    <w:rsid w:val="00806335"/>
    <w:rsid w:val="008223A2"/>
    <w:rsid w:val="00845D3E"/>
    <w:rsid w:val="008A17E8"/>
    <w:rsid w:val="008B1568"/>
    <w:rsid w:val="008B4B36"/>
    <w:rsid w:val="008B6F0F"/>
    <w:rsid w:val="008E4EAE"/>
    <w:rsid w:val="00900AC1"/>
    <w:rsid w:val="0090388E"/>
    <w:rsid w:val="00952B52"/>
    <w:rsid w:val="00973D53"/>
    <w:rsid w:val="00985A24"/>
    <w:rsid w:val="00987D72"/>
    <w:rsid w:val="00AD4749"/>
    <w:rsid w:val="00AD7F8A"/>
    <w:rsid w:val="00B67D52"/>
    <w:rsid w:val="00B81E93"/>
    <w:rsid w:val="00C036CC"/>
    <w:rsid w:val="00C46EB6"/>
    <w:rsid w:val="00C7469C"/>
    <w:rsid w:val="00D33A6F"/>
    <w:rsid w:val="00D94C5E"/>
    <w:rsid w:val="00DC1029"/>
    <w:rsid w:val="00DC659C"/>
    <w:rsid w:val="00DD0787"/>
    <w:rsid w:val="00DE005C"/>
    <w:rsid w:val="00E070FF"/>
    <w:rsid w:val="00E24E8C"/>
    <w:rsid w:val="00E46358"/>
    <w:rsid w:val="00E5343E"/>
    <w:rsid w:val="00E81677"/>
    <w:rsid w:val="00E94810"/>
    <w:rsid w:val="00EB00A0"/>
    <w:rsid w:val="00EB4093"/>
    <w:rsid w:val="00ED0076"/>
    <w:rsid w:val="00ED1446"/>
    <w:rsid w:val="00ED312E"/>
    <w:rsid w:val="00F12633"/>
    <w:rsid w:val="00F37FD0"/>
    <w:rsid w:val="00F57B30"/>
    <w:rsid w:val="00F6791E"/>
    <w:rsid w:val="00F73E43"/>
    <w:rsid w:val="00F806DC"/>
    <w:rsid w:val="00F876BE"/>
    <w:rsid w:val="00F92866"/>
    <w:rsid w:val="00F95CBF"/>
    <w:rsid w:val="00F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C05C"/>
  <w15:chartTrackingRefBased/>
  <w15:docId w15:val="{57317B07-1701-4B39-BCB7-D3E14C15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CC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6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576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761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57613"/>
    <w:rPr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576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13"/>
    <w:pPr>
      <w:widowControl w:val="0"/>
      <w:jc w:val="both"/>
    </w:pPr>
    <w:rPr>
      <w:rFonts w:ascii="Calibri" w:eastAsia="SimSun" w:hAnsi="Calibri"/>
      <w:kern w:val="2"/>
      <w:lang w:val="x-none" w:eastAsia="zh-CN"/>
    </w:rPr>
  </w:style>
  <w:style w:type="character" w:customStyle="1" w:styleId="a">
    <w:name w:val="批注文字 字符"/>
    <w:basedOn w:val="DefaultParagraphFont"/>
    <w:uiPriority w:val="99"/>
    <w:semiHidden/>
    <w:rsid w:val="00157613"/>
    <w:rPr>
      <w:rFonts w:ascii="Calibri" w:eastAsia="SimSun" w:hAnsi="Calibri" w:cs="Times New Roman"/>
    </w:rPr>
  </w:style>
  <w:style w:type="character" w:customStyle="1" w:styleId="CommentTextChar">
    <w:name w:val="Comment Text Char"/>
    <w:link w:val="CommentText"/>
    <w:uiPriority w:val="99"/>
    <w:semiHidden/>
    <w:rsid w:val="00157613"/>
    <w:rPr>
      <w:rFonts w:ascii="Calibri" w:eastAsia="SimSun" w:hAnsi="Calibri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13"/>
    <w:rPr>
      <w:rFonts w:ascii="Calibri" w:eastAsia="SimSun" w:hAnsi="Calibri" w:cs="Times New Roman"/>
      <w:sz w:val="18"/>
      <w:szCs w:val="18"/>
    </w:rPr>
  </w:style>
  <w:style w:type="paragraph" w:customStyle="1" w:styleId="Default">
    <w:name w:val="Default"/>
    <w:rsid w:val="00C036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Char">
    <w:name w:val="批注文字 Char"/>
    <w:uiPriority w:val="99"/>
    <w:semiHidden/>
    <w:rsid w:val="000B0C3D"/>
    <w:rPr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D070D"/>
    <w:pPr>
      <w:ind w:firstLineChars="200" w:firstLine="420"/>
    </w:pPr>
    <w:rPr>
      <w:rFonts w:ascii="SimSun" w:eastAsia="SimSun" w:hAnsi="SimSun" w:cs="SimSu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73E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73E4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0731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93"/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93"/>
    <w:rPr>
      <w:rFonts w:ascii="Calibri" w:eastAsia="SimSun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NmlglFmIorzMyslS2ePtEX2UXtN51T5iXktr_-2n6ydfOO23g_cERSL7xEcoLTS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天宇 王</dc:creator>
  <cp:keywords/>
  <dc:description/>
  <cp:lastModifiedBy>Gille, Sarah</cp:lastModifiedBy>
  <cp:revision>2</cp:revision>
  <cp:lastPrinted>2020-09-20T04:53:00Z</cp:lastPrinted>
  <dcterms:created xsi:type="dcterms:W3CDTF">2020-10-10T18:52:00Z</dcterms:created>
  <dcterms:modified xsi:type="dcterms:W3CDTF">2020-10-10T18:52:00Z</dcterms:modified>
</cp:coreProperties>
</file>