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16D1C" w14:textId="77777777" w:rsidR="0019073C" w:rsidRPr="00ED07E6" w:rsidRDefault="0019073C" w:rsidP="0019073C">
      <w:pPr>
        <w:pBdr>
          <w:bottom w:val="single" w:sz="4" w:space="1" w:color="auto"/>
        </w:pBdr>
        <w:tabs>
          <w:tab w:val="left" w:pos="7320"/>
        </w:tabs>
        <w:spacing w:line="240" w:lineRule="auto"/>
        <w:jc w:val="center"/>
        <w:rPr>
          <w:rFonts w:asciiTheme="majorHAnsi" w:eastAsiaTheme="majorEastAsia" w:hAnsiTheme="majorHAnsi" w:cstheme="majorBidi"/>
          <w:spacing w:val="-10"/>
          <w:kern w:val="28"/>
          <w:sz w:val="44"/>
          <w:szCs w:val="56"/>
        </w:rPr>
      </w:pPr>
      <w:bookmarkStart w:id="0" w:name="_Hlk33090772"/>
      <w:r>
        <w:rPr>
          <w:rFonts w:asciiTheme="majorHAnsi" w:eastAsiaTheme="majorEastAsia" w:hAnsiTheme="majorHAnsi" w:cstheme="majorBidi"/>
          <w:spacing w:val="-10"/>
          <w:kern w:val="28"/>
          <w:sz w:val="44"/>
          <w:szCs w:val="56"/>
        </w:rPr>
        <w:t xml:space="preserve">Complementarity and </w:t>
      </w:r>
      <w:r w:rsidRPr="00CC05BC">
        <w:rPr>
          <w:rFonts w:asciiTheme="majorHAnsi" w:eastAsiaTheme="majorEastAsia" w:hAnsiTheme="majorHAnsi" w:cstheme="majorBidi"/>
          <w:spacing w:val="-10"/>
          <w:kern w:val="28"/>
          <w:sz w:val="44"/>
          <w:szCs w:val="56"/>
        </w:rPr>
        <w:t>discriminatory power of gen</w:t>
      </w:r>
      <w:r>
        <w:rPr>
          <w:rFonts w:asciiTheme="majorHAnsi" w:eastAsiaTheme="majorEastAsia" w:hAnsiTheme="majorHAnsi" w:cstheme="majorBidi"/>
          <w:spacing w:val="-10"/>
          <w:kern w:val="28"/>
          <w:sz w:val="44"/>
          <w:szCs w:val="56"/>
        </w:rPr>
        <w:t xml:space="preserve">otype and </w:t>
      </w:r>
      <w:r w:rsidRPr="00CC05BC">
        <w:rPr>
          <w:rFonts w:asciiTheme="majorHAnsi" w:eastAsiaTheme="majorEastAsia" w:hAnsiTheme="majorHAnsi" w:cstheme="majorBidi"/>
          <w:spacing w:val="-10"/>
          <w:kern w:val="28"/>
          <w:sz w:val="44"/>
          <w:szCs w:val="56"/>
        </w:rPr>
        <w:t xml:space="preserve">otolith shape in describing </w:t>
      </w:r>
      <w:r>
        <w:rPr>
          <w:rFonts w:asciiTheme="majorHAnsi" w:eastAsiaTheme="majorEastAsia" w:hAnsiTheme="majorHAnsi" w:cstheme="majorBidi"/>
          <w:spacing w:val="-10"/>
          <w:kern w:val="28"/>
          <w:sz w:val="44"/>
          <w:szCs w:val="56"/>
        </w:rPr>
        <w:t xml:space="preserve">the </w:t>
      </w:r>
      <w:r w:rsidRPr="00CC05BC">
        <w:rPr>
          <w:rFonts w:asciiTheme="majorHAnsi" w:eastAsiaTheme="majorEastAsia" w:hAnsiTheme="majorHAnsi" w:cstheme="majorBidi"/>
          <w:spacing w:val="-10"/>
          <w:kern w:val="28"/>
          <w:sz w:val="44"/>
          <w:szCs w:val="56"/>
        </w:rPr>
        <w:t xml:space="preserve">fine-scale population structure of </w:t>
      </w:r>
      <w:r>
        <w:rPr>
          <w:rFonts w:asciiTheme="majorHAnsi" w:eastAsiaTheme="majorEastAsia" w:hAnsiTheme="majorHAnsi" w:cstheme="majorBidi"/>
          <w:spacing w:val="-10"/>
          <w:kern w:val="28"/>
          <w:sz w:val="44"/>
          <w:szCs w:val="56"/>
        </w:rPr>
        <w:t>an exploited fish, the common sole of the Eastern English Channel</w:t>
      </w:r>
      <w:bookmarkEnd w:id="0"/>
    </w:p>
    <w:p w14:paraId="63A3CF6B" w14:textId="77777777" w:rsidR="0019073C" w:rsidRDefault="0019073C" w:rsidP="0019073C">
      <w:pPr>
        <w:tabs>
          <w:tab w:val="left" w:pos="7320"/>
        </w:tabs>
        <w:spacing w:line="480" w:lineRule="auto"/>
      </w:pPr>
    </w:p>
    <w:p w14:paraId="1E592CA4" w14:textId="77777777" w:rsidR="0019073C" w:rsidRPr="00B85E49" w:rsidRDefault="0019073C" w:rsidP="0019073C">
      <w:pPr>
        <w:spacing w:line="480" w:lineRule="auto"/>
        <w:jc w:val="both"/>
      </w:pPr>
      <w:r w:rsidRPr="00B85E49">
        <w:rPr>
          <w:b/>
        </w:rPr>
        <w:t>RANDON</w:t>
      </w:r>
      <w:r w:rsidRPr="00B85E49">
        <w:t xml:space="preserve"> Marine</w:t>
      </w:r>
      <w:r w:rsidRPr="00B85E49">
        <w:rPr>
          <w:vertAlign w:val="superscript"/>
        </w:rPr>
        <w:t>1*</w:t>
      </w:r>
      <w:r w:rsidRPr="00B85E49">
        <w:t xml:space="preserve">, </w:t>
      </w:r>
      <w:r w:rsidRPr="00B85E49">
        <w:rPr>
          <w:b/>
        </w:rPr>
        <w:t>LE PAPE</w:t>
      </w:r>
      <w:r w:rsidRPr="00B85E49">
        <w:t xml:space="preserve"> Olivier</w:t>
      </w:r>
      <w:r w:rsidRPr="00B85E49">
        <w:rPr>
          <w:vertAlign w:val="superscript"/>
        </w:rPr>
        <w:t>1</w:t>
      </w:r>
      <w:r w:rsidRPr="00B85E49">
        <w:t xml:space="preserve">, </w:t>
      </w:r>
      <w:r w:rsidRPr="00B85E49">
        <w:rPr>
          <w:b/>
        </w:rPr>
        <w:t>ERNANDE</w:t>
      </w:r>
      <w:r w:rsidRPr="00B85E49">
        <w:t xml:space="preserve"> Bruno</w:t>
      </w:r>
      <w:r w:rsidRPr="00B85E49">
        <w:rPr>
          <w:vertAlign w:val="superscript"/>
        </w:rPr>
        <w:t>2,3</w:t>
      </w:r>
      <w:r w:rsidRPr="00B85E49">
        <w:t xml:space="preserve">, </w:t>
      </w:r>
      <w:r w:rsidRPr="00B85E49">
        <w:rPr>
          <w:b/>
        </w:rPr>
        <w:t>MAHE</w:t>
      </w:r>
      <w:r w:rsidRPr="00B85E49">
        <w:t xml:space="preserve"> Kélig</w:t>
      </w:r>
      <w:r w:rsidRPr="00B85E49">
        <w:rPr>
          <w:vertAlign w:val="superscript"/>
        </w:rPr>
        <w:t>2</w:t>
      </w:r>
      <w:r w:rsidRPr="00B85E49">
        <w:t xml:space="preserve">, </w:t>
      </w:r>
      <w:r w:rsidRPr="00B85E49">
        <w:rPr>
          <w:b/>
        </w:rPr>
        <w:t>VOLCKAERT</w:t>
      </w:r>
      <w:r w:rsidRPr="00B85E49">
        <w:t xml:space="preserve"> Filip A.M.</w:t>
      </w:r>
      <w:r w:rsidRPr="00B85E49">
        <w:rPr>
          <w:vertAlign w:val="superscript"/>
        </w:rPr>
        <w:t>4</w:t>
      </w:r>
      <w:r w:rsidRPr="00B85E49">
        <w:t xml:space="preserve">, </w:t>
      </w:r>
      <w:r w:rsidRPr="00B85E49">
        <w:rPr>
          <w:b/>
        </w:rPr>
        <w:t>PETIT</w:t>
      </w:r>
      <w:r w:rsidRPr="00B85E49">
        <w:t xml:space="preserve"> Eric J.</w:t>
      </w:r>
      <w:r w:rsidRPr="00B85E49">
        <w:rPr>
          <w:vertAlign w:val="superscript"/>
        </w:rPr>
        <w:t>1</w:t>
      </w:r>
      <w:r w:rsidRPr="00B85E49">
        <w:t xml:space="preserve">, </w:t>
      </w:r>
      <w:r w:rsidRPr="00B85E49">
        <w:rPr>
          <w:b/>
        </w:rPr>
        <w:t>LASSALLE</w:t>
      </w:r>
      <w:r w:rsidRPr="00B85E49">
        <w:t xml:space="preserve"> Gilles</w:t>
      </w:r>
      <w:r w:rsidRPr="00B85E49">
        <w:rPr>
          <w:vertAlign w:val="superscript"/>
        </w:rPr>
        <w:t>1</w:t>
      </w:r>
      <w:r w:rsidRPr="00B85E49">
        <w:t xml:space="preserve">, </w:t>
      </w:r>
      <w:r w:rsidRPr="00B85E49">
        <w:rPr>
          <w:b/>
        </w:rPr>
        <w:t>LE BERRE</w:t>
      </w:r>
      <w:r w:rsidRPr="00B85E49">
        <w:t xml:space="preserve"> Thomas</w:t>
      </w:r>
      <w:r w:rsidRPr="00B85E49">
        <w:rPr>
          <w:vertAlign w:val="superscript"/>
        </w:rPr>
        <w:t>1</w:t>
      </w:r>
      <w:r>
        <w:t xml:space="preserve"> </w:t>
      </w:r>
      <w:r w:rsidRPr="00B85E49">
        <w:t xml:space="preserve">and </w:t>
      </w:r>
      <w:r w:rsidRPr="00B85E49">
        <w:rPr>
          <w:b/>
        </w:rPr>
        <w:t>RÉVEILLAC</w:t>
      </w:r>
      <w:r w:rsidRPr="00B85E49">
        <w:t xml:space="preserve"> Elodie</w:t>
      </w:r>
      <w:r w:rsidRPr="00B85E49">
        <w:rPr>
          <w:vertAlign w:val="superscript"/>
        </w:rPr>
        <w:t>1,5</w:t>
      </w:r>
    </w:p>
    <w:p w14:paraId="5E125137" w14:textId="77777777" w:rsidR="0019073C" w:rsidRPr="00B85E49" w:rsidRDefault="0019073C" w:rsidP="0019073C">
      <w:pPr>
        <w:tabs>
          <w:tab w:val="center" w:pos="4536"/>
        </w:tabs>
        <w:rPr>
          <w:sz w:val="32"/>
        </w:rPr>
      </w:pPr>
    </w:p>
    <w:p w14:paraId="7FC28950" w14:textId="0C37AFDA" w:rsidR="0019073C" w:rsidRDefault="0019073C" w:rsidP="0019073C">
      <w:pPr>
        <w:pStyle w:val="Titre"/>
        <w:pBdr>
          <w:top w:val="single" w:sz="4" w:space="1" w:color="auto"/>
          <w:left w:val="single" w:sz="4" w:space="4" w:color="auto"/>
          <w:bottom w:val="single" w:sz="4" w:space="1" w:color="auto"/>
          <w:right w:val="single" w:sz="4" w:space="4" w:color="auto"/>
        </w:pBdr>
        <w:jc w:val="center"/>
        <w:rPr>
          <w:sz w:val="44"/>
        </w:rPr>
      </w:pPr>
      <w:r>
        <w:rPr>
          <w:sz w:val="44"/>
        </w:rPr>
        <w:t>S2 - Appendix</w:t>
      </w:r>
    </w:p>
    <w:p w14:paraId="651AB633" w14:textId="77777777" w:rsidR="0019073C" w:rsidRPr="00F11CAA" w:rsidRDefault="0019073C" w:rsidP="0019073C"/>
    <w:p w14:paraId="05B95525" w14:textId="77777777" w:rsidR="00FB3475" w:rsidRDefault="000E20EC" w:rsidP="000E20EC">
      <w:pPr>
        <w:jc w:val="both"/>
      </w:pPr>
      <w:r>
        <w:t xml:space="preserve">In this Appendix, we provided some complementary information on fish and otolith metrics. </w:t>
      </w:r>
    </w:p>
    <w:p w14:paraId="6235DC10" w14:textId="25869A28" w:rsidR="005A05B3" w:rsidRDefault="000E20EC" w:rsidP="000E20EC">
      <w:pPr>
        <w:jc w:val="both"/>
      </w:pPr>
      <w:r>
        <w:t xml:space="preserve">In Table S2.1. we detailed the sampling.  </w:t>
      </w:r>
    </w:p>
    <w:p w14:paraId="6C6661AF" w14:textId="2EBE62FF" w:rsidR="000E20EC" w:rsidRDefault="000E20EC" w:rsidP="0019073C"/>
    <w:p w14:paraId="6FEF66DA" w14:textId="3622A8BF" w:rsidR="000E20EC" w:rsidRPr="000E20EC" w:rsidRDefault="000E20EC" w:rsidP="000E20EC">
      <w:pPr>
        <w:jc w:val="both"/>
        <w:rPr>
          <w:rFonts w:cstheme="minorHAnsi"/>
        </w:rPr>
      </w:pPr>
      <w:r w:rsidRPr="000E20EC">
        <w:rPr>
          <w:rFonts w:cstheme="minorHAnsi"/>
          <w:b/>
          <w:bCs/>
        </w:rPr>
        <w:t>Table S2.1</w:t>
      </w:r>
      <w:r w:rsidRPr="000E20EC">
        <w:rPr>
          <w:rFonts w:cstheme="minorHAnsi"/>
        </w:rPr>
        <w:t xml:space="preserve">. Proportion of females (F), males (M) and undetermined sex (U), mean otolith length, mean fish length and mean fish age for each data set, year and subunit. Sd indicates standard deviation. </w:t>
      </w:r>
    </w:p>
    <w:tbl>
      <w:tblPr>
        <w:tblStyle w:val="Grilledutableau"/>
        <w:tblW w:w="0" w:type="auto"/>
        <w:jc w:val="center"/>
        <w:tblBorders>
          <w:insideV w:val="none" w:sz="0" w:space="0" w:color="auto"/>
        </w:tblBorders>
        <w:tblLook w:val="04A0" w:firstRow="1" w:lastRow="0" w:firstColumn="1" w:lastColumn="0" w:noHBand="0" w:noVBand="1"/>
      </w:tblPr>
      <w:tblGrid>
        <w:gridCol w:w="1001"/>
        <w:gridCol w:w="695"/>
        <w:gridCol w:w="851"/>
        <w:gridCol w:w="850"/>
        <w:gridCol w:w="851"/>
        <w:gridCol w:w="850"/>
        <w:gridCol w:w="1418"/>
        <w:gridCol w:w="1224"/>
      </w:tblGrid>
      <w:tr w:rsidR="000E20EC" w:rsidRPr="00972C39" w14:paraId="579AFC00" w14:textId="77777777" w:rsidTr="000E20EC">
        <w:trPr>
          <w:jc w:val="center"/>
        </w:trPr>
        <w:tc>
          <w:tcPr>
            <w:tcW w:w="1001" w:type="dxa"/>
          </w:tcPr>
          <w:p w14:paraId="4E49B9D9" w14:textId="77777777" w:rsidR="000E20EC" w:rsidRPr="00972C39" w:rsidRDefault="000E20EC" w:rsidP="00F83C72">
            <w:pPr>
              <w:jc w:val="both"/>
              <w:rPr>
                <w:rFonts w:asciiTheme="majorHAnsi" w:hAnsiTheme="majorHAnsi" w:cstheme="majorHAnsi"/>
                <w:b/>
                <w:bCs/>
                <w:sz w:val="18"/>
                <w:szCs w:val="18"/>
              </w:rPr>
            </w:pPr>
            <w:r w:rsidRPr="00972C39">
              <w:rPr>
                <w:rFonts w:asciiTheme="majorHAnsi" w:hAnsiTheme="majorHAnsi" w:cstheme="majorHAnsi"/>
                <w:b/>
                <w:bCs/>
                <w:sz w:val="18"/>
                <w:szCs w:val="18"/>
              </w:rPr>
              <w:t>Tracer</w:t>
            </w:r>
          </w:p>
        </w:tc>
        <w:tc>
          <w:tcPr>
            <w:tcW w:w="695" w:type="dxa"/>
          </w:tcPr>
          <w:p w14:paraId="7D6B8F06" w14:textId="77777777" w:rsidR="000E20EC" w:rsidRPr="00972C39" w:rsidRDefault="000E20EC" w:rsidP="00F83C72">
            <w:pPr>
              <w:jc w:val="both"/>
              <w:rPr>
                <w:rFonts w:asciiTheme="majorHAnsi" w:hAnsiTheme="majorHAnsi" w:cstheme="majorHAnsi"/>
                <w:b/>
                <w:bCs/>
                <w:sz w:val="18"/>
                <w:szCs w:val="18"/>
              </w:rPr>
            </w:pPr>
            <w:r w:rsidRPr="00972C39">
              <w:rPr>
                <w:rFonts w:asciiTheme="majorHAnsi" w:hAnsiTheme="majorHAnsi" w:cstheme="majorHAnsi"/>
                <w:b/>
                <w:bCs/>
                <w:sz w:val="18"/>
                <w:szCs w:val="18"/>
              </w:rPr>
              <w:t>Year</w:t>
            </w:r>
          </w:p>
        </w:tc>
        <w:tc>
          <w:tcPr>
            <w:tcW w:w="851" w:type="dxa"/>
          </w:tcPr>
          <w:p w14:paraId="225AC72D" w14:textId="77777777" w:rsidR="000E20EC" w:rsidRPr="00972C39" w:rsidRDefault="000E20EC" w:rsidP="00F83C72">
            <w:pPr>
              <w:jc w:val="both"/>
              <w:rPr>
                <w:rFonts w:asciiTheme="majorHAnsi" w:hAnsiTheme="majorHAnsi" w:cstheme="majorHAnsi"/>
                <w:b/>
                <w:bCs/>
                <w:sz w:val="18"/>
                <w:szCs w:val="18"/>
              </w:rPr>
            </w:pPr>
            <w:r w:rsidRPr="00972C39">
              <w:rPr>
                <w:rFonts w:asciiTheme="majorHAnsi" w:hAnsiTheme="majorHAnsi" w:cstheme="majorHAnsi"/>
                <w:b/>
                <w:bCs/>
                <w:sz w:val="18"/>
                <w:szCs w:val="18"/>
              </w:rPr>
              <w:t>Subunit</w:t>
            </w:r>
          </w:p>
        </w:tc>
        <w:tc>
          <w:tcPr>
            <w:tcW w:w="850" w:type="dxa"/>
          </w:tcPr>
          <w:p w14:paraId="0F97D5B4" w14:textId="77777777" w:rsidR="000E20EC" w:rsidRPr="00972C39" w:rsidRDefault="000E20EC" w:rsidP="00F83C72">
            <w:pPr>
              <w:jc w:val="both"/>
              <w:rPr>
                <w:rFonts w:asciiTheme="majorHAnsi" w:hAnsiTheme="majorHAnsi" w:cstheme="majorHAnsi"/>
                <w:b/>
                <w:bCs/>
                <w:sz w:val="18"/>
                <w:szCs w:val="18"/>
              </w:rPr>
            </w:pPr>
            <w:r w:rsidRPr="00972C39">
              <w:rPr>
                <w:rFonts w:asciiTheme="majorHAnsi" w:hAnsiTheme="majorHAnsi" w:cstheme="majorHAnsi"/>
                <w:b/>
                <w:bCs/>
                <w:sz w:val="18"/>
                <w:szCs w:val="18"/>
              </w:rPr>
              <w:t>% F</w:t>
            </w:r>
          </w:p>
        </w:tc>
        <w:tc>
          <w:tcPr>
            <w:tcW w:w="851" w:type="dxa"/>
          </w:tcPr>
          <w:p w14:paraId="4EEE1163" w14:textId="77777777" w:rsidR="000E20EC" w:rsidRPr="00972C39" w:rsidRDefault="000E20EC" w:rsidP="00F83C72">
            <w:pPr>
              <w:jc w:val="both"/>
              <w:rPr>
                <w:rFonts w:asciiTheme="majorHAnsi" w:hAnsiTheme="majorHAnsi" w:cstheme="majorHAnsi"/>
                <w:b/>
                <w:bCs/>
                <w:sz w:val="18"/>
                <w:szCs w:val="18"/>
              </w:rPr>
            </w:pPr>
            <w:r w:rsidRPr="00972C39">
              <w:rPr>
                <w:rFonts w:asciiTheme="majorHAnsi" w:hAnsiTheme="majorHAnsi" w:cstheme="majorHAnsi"/>
                <w:b/>
                <w:bCs/>
                <w:sz w:val="18"/>
                <w:szCs w:val="18"/>
              </w:rPr>
              <w:t>% M</w:t>
            </w:r>
          </w:p>
        </w:tc>
        <w:tc>
          <w:tcPr>
            <w:tcW w:w="850" w:type="dxa"/>
          </w:tcPr>
          <w:p w14:paraId="1E1DE93F" w14:textId="77777777" w:rsidR="000E20EC" w:rsidRPr="00972C39" w:rsidRDefault="000E20EC" w:rsidP="00F83C72">
            <w:pPr>
              <w:jc w:val="both"/>
              <w:rPr>
                <w:rFonts w:asciiTheme="majorHAnsi" w:hAnsiTheme="majorHAnsi" w:cstheme="majorHAnsi"/>
                <w:b/>
                <w:bCs/>
                <w:sz w:val="18"/>
                <w:szCs w:val="18"/>
              </w:rPr>
            </w:pPr>
            <w:r w:rsidRPr="00972C39">
              <w:rPr>
                <w:rFonts w:asciiTheme="majorHAnsi" w:hAnsiTheme="majorHAnsi" w:cstheme="majorHAnsi"/>
                <w:b/>
                <w:bCs/>
                <w:sz w:val="18"/>
                <w:szCs w:val="18"/>
              </w:rPr>
              <w:t>% U</w:t>
            </w:r>
          </w:p>
        </w:tc>
        <w:tc>
          <w:tcPr>
            <w:tcW w:w="1418" w:type="dxa"/>
          </w:tcPr>
          <w:p w14:paraId="4CA5AA77" w14:textId="77777777" w:rsidR="000E20EC" w:rsidRPr="00972C39" w:rsidRDefault="000E20EC" w:rsidP="00F83C72">
            <w:pPr>
              <w:jc w:val="both"/>
              <w:rPr>
                <w:rFonts w:asciiTheme="majorHAnsi" w:hAnsiTheme="majorHAnsi" w:cstheme="majorHAnsi"/>
                <w:b/>
                <w:bCs/>
                <w:sz w:val="18"/>
                <w:szCs w:val="18"/>
              </w:rPr>
            </w:pPr>
            <w:r w:rsidRPr="00972C39">
              <w:rPr>
                <w:rFonts w:asciiTheme="majorHAnsi" w:hAnsiTheme="majorHAnsi" w:cstheme="majorHAnsi"/>
                <w:b/>
                <w:bCs/>
                <w:sz w:val="18"/>
                <w:szCs w:val="18"/>
              </w:rPr>
              <w:t>Mean fish length ± sd</w:t>
            </w:r>
            <w:r>
              <w:rPr>
                <w:rFonts w:asciiTheme="majorHAnsi" w:hAnsiTheme="majorHAnsi" w:cstheme="majorHAnsi"/>
                <w:b/>
                <w:bCs/>
                <w:sz w:val="18"/>
                <w:szCs w:val="18"/>
              </w:rPr>
              <w:t xml:space="preserve"> (cm)</w:t>
            </w:r>
          </w:p>
        </w:tc>
        <w:tc>
          <w:tcPr>
            <w:tcW w:w="1224" w:type="dxa"/>
          </w:tcPr>
          <w:p w14:paraId="0A897D5C" w14:textId="77777777" w:rsidR="000E20EC" w:rsidRPr="00972C39" w:rsidRDefault="000E20EC" w:rsidP="00F83C72">
            <w:pPr>
              <w:jc w:val="both"/>
              <w:rPr>
                <w:rFonts w:asciiTheme="majorHAnsi" w:hAnsiTheme="majorHAnsi" w:cstheme="majorHAnsi"/>
                <w:b/>
                <w:bCs/>
                <w:sz w:val="18"/>
                <w:szCs w:val="18"/>
              </w:rPr>
            </w:pPr>
            <w:r w:rsidRPr="00972C39">
              <w:rPr>
                <w:rFonts w:asciiTheme="majorHAnsi" w:hAnsiTheme="majorHAnsi" w:cstheme="majorHAnsi"/>
                <w:b/>
                <w:bCs/>
                <w:sz w:val="18"/>
                <w:szCs w:val="18"/>
              </w:rPr>
              <w:t>Mean fish age ± sd</w:t>
            </w:r>
            <w:r>
              <w:rPr>
                <w:rFonts w:asciiTheme="majorHAnsi" w:hAnsiTheme="majorHAnsi" w:cstheme="majorHAnsi"/>
                <w:b/>
                <w:bCs/>
                <w:sz w:val="18"/>
                <w:szCs w:val="18"/>
              </w:rPr>
              <w:t xml:space="preserve"> (year)</w:t>
            </w:r>
          </w:p>
        </w:tc>
      </w:tr>
      <w:tr w:rsidR="000E20EC" w:rsidRPr="00972C39" w14:paraId="6A2078FB" w14:textId="77777777" w:rsidTr="000E20EC">
        <w:trPr>
          <w:jc w:val="center"/>
        </w:trPr>
        <w:tc>
          <w:tcPr>
            <w:tcW w:w="1001" w:type="dxa"/>
            <w:vMerge w:val="restart"/>
          </w:tcPr>
          <w:p w14:paraId="6FC27413"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Genetic</w:t>
            </w:r>
          </w:p>
        </w:tc>
        <w:tc>
          <w:tcPr>
            <w:tcW w:w="695" w:type="dxa"/>
            <w:vMerge w:val="restart"/>
          </w:tcPr>
          <w:p w14:paraId="11EBE235"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2017</w:t>
            </w:r>
          </w:p>
        </w:tc>
        <w:tc>
          <w:tcPr>
            <w:tcW w:w="851" w:type="dxa"/>
          </w:tcPr>
          <w:p w14:paraId="2151D4E9"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SW</w:t>
            </w:r>
          </w:p>
        </w:tc>
        <w:tc>
          <w:tcPr>
            <w:tcW w:w="850" w:type="dxa"/>
          </w:tcPr>
          <w:p w14:paraId="5B61B753"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67.4</w:t>
            </w:r>
          </w:p>
        </w:tc>
        <w:tc>
          <w:tcPr>
            <w:tcW w:w="851" w:type="dxa"/>
          </w:tcPr>
          <w:p w14:paraId="4EC2CC55"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8.70</w:t>
            </w:r>
          </w:p>
        </w:tc>
        <w:tc>
          <w:tcPr>
            <w:tcW w:w="850" w:type="dxa"/>
          </w:tcPr>
          <w:p w14:paraId="2225C946"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23.9</w:t>
            </w:r>
          </w:p>
        </w:tc>
        <w:tc>
          <w:tcPr>
            <w:tcW w:w="1418" w:type="dxa"/>
          </w:tcPr>
          <w:p w14:paraId="1272386F"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28.1 ± 3.13</w:t>
            </w:r>
          </w:p>
        </w:tc>
        <w:tc>
          <w:tcPr>
            <w:tcW w:w="1224" w:type="dxa"/>
          </w:tcPr>
          <w:p w14:paraId="42EBC63A"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4.61 ± 1.24</w:t>
            </w:r>
          </w:p>
        </w:tc>
      </w:tr>
      <w:tr w:rsidR="000E20EC" w:rsidRPr="00972C39" w14:paraId="4D64C054" w14:textId="77777777" w:rsidTr="000E20EC">
        <w:trPr>
          <w:jc w:val="center"/>
        </w:trPr>
        <w:tc>
          <w:tcPr>
            <w:tcW w:w="1001" w:type="dxa"/>
            <w:vMerge/>
          </w:tcPr>
          <w:p w14:paraId="7ACE342F" w14:textId="77777777" w:rsidR="000E20EC" w:rsidRPr="00972C39" w:rsidRDefault="000E20EC" w:rsidP="00F83C72">
            <w:pPr>
              <w:jc w:val="both"/>
              <w:rPr>
                <w:rFonts w:asciiTheme="majorHAnsi" w:hAnsiTheme="majorHAnsi" w:cstheme="majorHAnsi"/>
                <w:sz w:val="18"/>
                <w:szCs w:val="18"/>
              </w:rPr>
            </w:pPr>
          </w:p>
        </w:tc>
        <w:tc>
          <w:tcPr>
            <w:tcW w:w="695" w:type="dxa"/>
            <w:vMerge/>
          </w:tcPr>
          <w:p w14:paraId="53B4EAB4" w14:textId="77777777" w:rsidR="000E20EC" w:rsidRPr="00972C39" w:rsidRDefault="000E20EC" w:rsidP="00F83C72">
            <w:pPr>
              <w:jc w:val="both"/>
              <w:rPr>
                <w:rFonts w:asciiTheme="majorHAnsi" w:hAnsiTheme="majorHAnsi" w:cstheme="majorHAnsi"/>
                <w:sz w:val="18"/>
                <w:szCs w:val="18"/>
              </w:rPr>
            </w:pPr>
          </w:p>
        </w:tc>
        <w:tc>
          <w:tcPr>
            <w:tcW w:w="851" w:type="dxa"/>
          </w:tcPr>
          <w:p w14:paraId="5E9CF081"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NE</w:t>
            </w:r>
          </w:p>
        </w:tc>
        <w:tc>
          <w:tcPr>
            <w:tcW w:w="850" w:type="dxa"/>
          </w:tcPr>
          <w:p w14:paraId="45C35B08"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25.8</w:t>
            </w:r>
          </w:p>
        </w:tc>
        <w:tc>
          <w:tcPr>
            <w:tcW w:w="851" w:type="dxa"/>
          </w:tcPr>
          <w:p w14:paraId="72881766"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9.70</w:t>
            </w:r>
          </w:p>
        </w:tc>
        <w:tc>
          <w:tcPr>
            <w:tcW w:w="850" w:type="dxa"/>
          </w:tcPr>
          <w:p w14:paraId="69F6878F"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64.5</w:t>
            </w:r>
          </w:p>
        </w:tc>
        <w:tc>
          <w:tcPr>
            <w:tcW w:w="1418" w:type="dxa"/>
          </w:tcPr>
          <w:p w14:paraId="7BA5D291"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26.3 ± 2.07</w:t>
            </w:r>
          </w:p>
        </w:tc>
        <w:tc>
          <w:tcPr>
            <w:tcW w:w="1224" w:type="dxa"/>
          </w:tcPr>
          <w:p w14:paraId="238C033B"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4.07 ± 1.49</w:t>
            </w:r>
          </w:p>
        </w:tc>
      </w:tr>
      <w:tr w:rsidR="000E20EC" w:rsidRPr="00972C39" w14:paraId="6EF3C0FD" w14:textId="77777777" w:rsidTr="000E20EC">
        <w:trPr>
          <w:jc w:val="center"/>
        </w:trPr>
        <w:tc>
          <w:tcPr>
            <w:tcW w:w="1001" w:type="dxa"/>
            <w:vMerge/>
          </w:tcPr>
          <w:p w14:paraId="2D3344D0" w14:textId="77777777" w:rsidR="000E20EC" w:rsidRPr="00972C39" w:rsidRDefault="000E20EC" w:rsidP="00F83C72">
            <w:pPr>
              <w:jc w:val="both"/>
              <w:rPr>
                <w:rFonts w:asciiTheme="majorHAnsi" w:hAnsiTheme="majorHAnsi" w:cstheme="majorHAnsi"/>
                <w:sz w:val="18"/>
                <w:szCs w:val="18"/>
              </w:rPr>
            </w:pPr>
          </w:p>
        </w:tc>
        <w:tc>
          <w:tcPr>
            <w:tcW w:w="695" w:type="dxa"/>
            <w:vMerge/>
          </w:tcPr>
          <w:p w14:paraId="22E3A16D" w14:textId="77777777" w:rsidR="000E20EC" w:rsidRPr="00972C39" w:rsidRDefault="000E20EC" w:rsidP="00F83C72">
            <w:pPr>
              <w:jc w:val="both"/>
              <w:rPr>
                <w:rFonts w:asciiTheme="majorHAnsi" w:hAnsiTheme="majorHAnsi" w:cstheme="majorHAnsi"/>
                <w:sz w:val="18"/>
                <w:szCs w:val="18"/>
              </w:rPr>
            </w:pPr>
          </w:p>
        </w:tc>
        <w:tc>
          <w:tcPr>
            <w:tcW w:w="851" w:type="dxa"/>
          </w:tcPr>
          <w:p w14:paraId="11B49F7A"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UK</w:t>
            </w:r>
          </w:p>
        </w:tc>
        <w:tc>
          <w:tcPr>
            <w:tcW w:w="850" w:type="dxa"/>
          </w:tcPr>
          <w:p w14:paraId="5956CCBB"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42.9</w:t>
            </w:r>
          </w:p>
        </w:tc>
        <w:tc>
          <w:tcPr>
            <w:tcW w:w="851" w:type="dxa"/>
          </w:tcPr>
          <w:p w14:paraId="71F911B9"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4.76</w:t>
            </w:r>
          </w:p>
        </w:tc>
        <w:tc>
          <w:tcPr>
            <w:tcW w:w="850" w:type="dxa"/>
          </w:tcPr>
          <w:p w14:paraId="7B29E6B5"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51.8</w:t>
            </w:r>
          </w:p>
        </w:tc>
        <w:tc>
          <w:tcPr>
            <w:tcW w:w="1418" w:type="dxa"/>
          </w:tcPr>
          <w:p w14:paraId="274981D3"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27.9 ± 1.46</w:t>
            </w:r>
          </w:p>
        </w:tc>
        <w:tc>
          <w:tcPr>
            <w:tcW w:w="1224" w:type="dxa"/>
          </w:tcPr>
          <w:p w14:paraId="4A064E39"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4.73 ± 1.35</w:t>
            </w:r>
          </w:p>
        </w:tc>
      </w:tr>
      <w:tr w:rsidR="000E20EC" w:rsidRPr="00972C39" w14:paraId="3B0D98CA" w14:textId="77777777" w:rsidTr="000E20EC">
        <w:trPr>
          <w:jc w:val="center"/>
        </w:trPr>
        <w:tc>
          <w:tcPr>
            <w:tcW w:w="1001" w:type="dxa"/>
            <w:vMerge/>
          </w:tcPr>
          <w:p w14:paraId="183F9369" w14:textId="77777777" w:rsidR="000E20EC" w:rsidRPr="00972C39" w:rsidRDefault="000E20EC" w:rsidP="00F83C72">
            <w:pPr>
              <w:jc w:val="both"/>
              <w:rPr>
                <w:rFonts w:asciiTheme="majorHAnsi" w:hAnsiTheme="majorHAnsi" w:cstheme="majorHAnsi"/>
                <w:sz w:val="18"/>
                <w:szCs w:val="18"/>
              </w:rPr>
            </w:pPr>
          </w:p>
        </w:tc>
        <w:tc>
          <w:tcPr>
            <w:tcW w:w="695" w:type="dxa"/>
            <w:vMerge w:val="restart"/>
          </w:tcPr>
          <w:p w14:paraId="5A06F364"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2018</w:t>
            </w:r>
          </w:p>
        </w:tc>
        <w:tc>
          <w:tcPr>
            <w:tcW w:w="851" w:type="dxa"/>
          </w:tcPr>
          <w:p w14:paraId="57B431C5"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SW</w:t>
            </w:r>
          </w:p>
        </w:tc>
        <w:tc>
          <w:tcPr>
            <w:tcW w:w="850" w:type="dxa"/>
          </w:tcPr>
          <w:p w14:paraId="36E648BB"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41.7</w:t>
            </w:r>
          </w:p>
        </w:tc>
        <w:tc>
          <w:tcPr>
            <w:tcW w:w="851" w:type="dxa"/>
          </w:tcPr>
          <w:p w14:paraId="3B80F292"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33.3</w:t>
            </w:r>
          </w:p>
        </w:tc>
        <w:tc>
          <w:tcPr>
            <w:tcW w:w="850" w:type="dxa"/>
          </w:tcPr>
          <w:p w14:paraId="5CE68D33"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25</w:t>
            </w:r>
          </w:p>
        </w:tc>
        <w:tc>
          <w:tcPr>
            <w:tcW w:w="1418" w:type="dxa"/>
          </w:tcPr>
          <w:p w14:paraId="589A6915"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30.0 ± 5.10</w:t>
            </w:r>
          </w:p>
        </w:tc>
        <w:tc>
          <w:tcPr>
            <w:tcW w:w="1224" w:type="dxa"/>
          </w:tcPr>
          <w:p w14:paraId="36BE3BEC"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4.92 ± 2.07</w:t>
            </w:r>
          </w:p>
        </w:tc>
      </w:tr>
      <w:tr w:rsidR="000E20EC" w:rsidRPr="00972C39" w14:paraId="28C14747" w14:textId="77777777" w:rsidTr="000E20EC">
        <w:trPr>
          <w:jc w:val="center"/>
        </w:trPr>
        <w:tc>
          <w:tcPr>
            <w:tcW w:w="1001" w:type="dxa"/>
            <w:vMerge/>
          </w:tcPr>
          <w:p w14:paraId="13AB3EE0" w14:textId="77777777" w:rsidR="000E20EC" w:rsidRPr="00972C39" w:rsidRDefault="000E20EC" w:rsidP="00F83C72">
            <w:pPr>
              <w:jc w:val="both"/>
              <w:rPr>
                <w:rFonts w:asciiTheme="majorHAnsi" w:hAnsiTheme="majorHAnsi" w:cstheme="majorHAnsi"/>
                <w:sz w:val="18"/>
                <w:szCs w:val="18"/>
              </w:rPr>
            </w:pPr>
          </w:p>
        </w:tc>
        <w:tc>
          <w:tcPr>
            <w:tcW w:w="695" w:type="dxa"/>
            <w:vMerge/>
          </w:tcPr>
          <w:p w14:paraId="2B97C169" w14:textId="77777777" w:rsidR="000E20EC" w:rsidRPr="00972C39" w:rsidRDefault="000E20EC" w:rsidP="00F83C72">
            <w:pPr>
              <w:jc w:val="both"/>
              <w:rPr>
                <w:rFonts w:asciiTheme="majorHAnsi" w:hAnsiTheme="majorHAnsi" w:cstheme="majorHAnsi"/>
                <w:sz w:val="18"/>
                <w:szCs w:val="18"/>
              </w:rPr>
            </w:pPr>
          </w:p>
        </w:tc>
        <w:tc>
          <w:tcPr>
            <w:tcW w:w="851" w:type="dxa"/>
          </w:tcPr>
          <w:p w14:paraId="77E3AF29"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NE</w:t>
            </w:r>
          </w:p>
        </w:tc>
        <w:tc>
          <w:tcPr>
            <w:tcW w:w="850" w:type="dxa"/>
          </w:tcPr>
          <w:p w14:paraId="74C3A5D0"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62.2</w:t>
            </w:r>
          </w:p>
        </w:tc>
        <w:tc>
          <w:tcPr>
            <w:tcW w:w="851" w:type="dxa"/>
          </w:tcPr>
          <w:p w14:paraId="10BD0863"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33.4</w:t>
            </w:r>
          </w:p>
        </w:tc>
        <w:tc>
          <w:tcPr>
            <w:tcW w:w="850" w:type="dxa"/>
          </w:tcPr>
          <w:p w14:paraId="3EF78020"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4.4</w:t>
            </w:r>
          </w:p>
        </w:tc>
        <w:tc>
          <w:tcPr>
            <w:tcW w:w="1418" w:type="dxa"/>
          </w:tcPr>
          <w:p w14:paraId="3B151E2B"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26.1 ± 8.83</w:t>
            </w:r>
          </w:p>
        </w:tc>
        <w:tc>
          <w:tcPr>
            <w:tcW w:w="1224" w:type="dxa"/>
          </w:tcPr>
          <w:p w14:paraId="3433228D"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4.24 ± 1.92</w:t>
            </w:r>
          </w:p>
        </w:tc>
      </w:tr>
      <w:tr w:rsidR="000E20EC" w:rsidRPr="00972C39" w14:paraId="5C484523" w14:textId="77777777" w:rsidTr="000E20EC">
        <w:trPr>
          <w:jc w:val="center"/>
        </w:trPr>
        <w:tc>
          <w:tcPr>
            <w:tcW w:w="1001" w:type="dxa"/>
            <w:vMerge/>
          </w:tcPr>
          <w:p w14:paraId="19D83048" w14:textId="77777777" w:rsidR="000E20EC" w:rsidRPr="00972C39" w:rsidRDefault="000E20EC" w:rsidP="00F83C72">
            <w:pPr>
              <w:jc w:val="both"/>
              <w:rPr>
                <w:rFonts w:asciiTheme="majorHAnsi" w:hAnsiTheme="majorHAnsi" w:cstheme="majorHAnsi"/>
                <w:sz w:val="18"/>
                <w:szCs w:val="18"/>
              </w:rPr>
            </w:pPr>
          </w:p>
        </w:tc>
        <w:tc>
          <w:tcPr>
            <w:tcW w:w="695" w:type="dxa"/>
            <w:vMerge/>
          </w:tcPr>
          <w:p w14:paraId="15C10A8F" w14:textId="77777777" w:rsidR="000E20EC" w:rsidRPr="00972C39" w:rsidRDefault="000E20EC" w:rsidP="00F83C72">
            <w:pPr>
              <w:jc w:val="both"/>
              <w:rPr>
                <w:rFonts w:asciiTheme="majorHAnsi" w:hAnsiTheme="majorHAnsi" w:cstheme="majorHAnsi"/>
                <w:sz w:val="18"/>
                <w:szCs w:val="18"/>
              </w:rPr>
            </w:pPr>
          </w:p>
        </w:tc>
        <w:tc>
          <w:tcPr>
            <w:tcW w:w="851" w:type="dxa"/>
          </w:tcPr>
          <w:p w14:paraId="29BEBF9B"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UK</w:t>
            </w:r>
          </w:p>
        </w:tc>
        <w:tc>
          <w:tcPr>
            <w:tcW w:w="850" w:type="dxa"/>
          </w:tcPr>
          <w:p w14:paraId="15C964DE"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42.1</w:t>
            </w:r>
          </w:p>
        </w:tc>
        <w:tc>
          <w:tcPr>
            <w:tcW w:w="851" w:type="dxa"/>
          </w:tcPr>
          <w:p w14:paraId="6A2F5E08"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55.2</w:t>
            </w:r>
          </w:p>
        </w:tc>
        <w:tc>
          <w:tcPr>
            <w:tcW w:w="850" w:type="dxa"/>
          </w:tcPr>
          <w:p w14:paraId="36373A64"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2.70</w:t>
            </w:r>
          </w:p>
        </w:tc>
        <w:tc>
          <w:tcPr>
            <w:tcW w:w="1418" w:type="dxa"/>
          </w:tcPr>
          <w:p w14:paraId="2F3198B0"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25.1 ± 2.24</w:t>
            </w:r>
          </w:p>
        </w:tc>
        <w:tc>
          <w:tcPr>
            <w:tcW w:w="1224" w:type="dxa"/>
          </w:tcPr>
          <w:p w14:paraId="1CBB6617"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2.93 ± 1.11</w:t>
            </w:r>
          </w:p>
        </w:tc>
      </w:tr>
      <w:tr w:rsidR="000E20EC" w:rsidRPr="00972C39" w14:paraId="285CC910" w14:textId="77777777" w:rsidTr="000E20EC">
        <w:trPr>
          <w:jc w:val="center"/>
        </w:trPr>
        <w:tc>
          <w:tcPr>
            <w:tcW w:w="1001" w:type="dxa"/>
            <w:vMerge w:val="restart"/>
          </w:tcPr>
          <w:p w14:paraId="5B91462D"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Otolith shape</w:t>
            </w:r>
          </w:p>
        </w:tc>
        <w:tc>
          <w:tcPr>
            <w:tcW w:w="695" w:type="dxa"/>
            <w:vMerge w:val="restart"/>
          </w:tcPr>
          <w:p w14:paraId="6F3E0CDA"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2016</w:t>
            </w:r>
          </w:p>
        </w:tc>
        <w:tc>
          <w:tcPr>
            <w:tcW w:w="851" w:type="dxa"/>
          </w:tcPr>
          <w:p w14:paraId="3A80059A"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SW</w:t>
            </w:r>
          </w:p>
        </w:tc>
        <w:tc>
          <w:tcPr>
            <w:tcW w:w="850" w:type="dxa"/>
          </w:tcPr>
          <w:p w14:paraId="5C63A8E7" w14:textId="77777777" w:rsidR="000E20EC" w:rsidRPr="00972C39" w:rsidRDefault="000E20EC" w:rsidP="00F83C72">
            <w:pPr>
              <w:jc w:val="both"/>
              <w:rPr>
                <w:rFonts w:asciiTheme="majorHAnsi" w:hAnsiTheme="majorHAnsi" w:cstheme="majorHAnsi"/>
                <w:sz w:val="18"/>
                <w:szCs w:val="18"/>
              </w:rPr>
            </w:pPr>
            <w:r>
              <w:rPr>
                <w:rFonts w:asciiTheme="majorHAnsi" w:hAnsiTheme="majorHAnsi" w:cstheme="majorHAnsi"/>
                <w:sz w:val="18"/>
                <w:szCs w:val="18"/>
              </w:rPr>
              <w:t>78.1</w:t>
            </w:r>
          </w:p>
        </w:tc>
        <w:tc>
          <w:tcPr>
            <w:tcW w:w="851" w:type="dxa"/>
          </w:tcPr>
          <w:p w14:paraId="76539C74" w14:textId="77777777" w:rsidR="000E20EC" w:rsidRPr="00972C39" w:rsidRDefault="000E20EC" w:rsidP="00F83C72">
            <w:pPr>
              <w:jc w:val="both"/>
              <w:rPr>
                <w:rFonts w:asciiTheme="majorHAnsi" w:hAnsiTheme="majorHAnsi" w:cstheme="majorHAnsi"/>
                <w:sz w:val="18"/>
                <w:szCs w:val="18"/>
              </w:rPr>
            </w:pPr>
            <w:r>
              <w:rPr>
                <w:rFonts w:asciiTheme="majorHAnsi" w:hAnsiTheme="majorHAnsi" w:cstheme="majorHAnsi"/>
                <w:sz w:val="18"/>
                <w:szCs w:val="18"/>
              </w:rPr>
              <w:t>21.9</w:t>
            </w:r>
          </w:p>
        </w:tc>
        <w:tc>
          <w:tcPr>
            <w:tcW w:w="850" w:type="dxa"/>
          </w:tcPr>
          <w:p w14:paraId="00A5F59F" w14:textId="77777777" w:rsidR="000E20EC" w:rsidRPr="00972C39" w:rsidRDefault="000E20EC" w:rsidP="00F83C72">
            <w:pPr>
              <w:jc w:val="both"/>
              <w:rPr>
                <w:rFonts w:asciiTheme="majorHAnsi" w:hAnsiTheme="majorHAnsi" w:cstheme="majorHAnsi"/>
                <w:sz w:val="18"/>
                <w:szCs w:val="18"/>
              </w:rPr>
            </w:pPr>
            <w:r>
              <w:rPr>
                <w:rFonts w:asciiTheme="majorHAnsi" w:hAnsiTheme="majorHAnsi" w:cstheme="majorHAnsi"/>
                <w:sz w:val="18"/>
                <w:szCs w:val="18"/>
              </w:rPr>
              <w:t>0</w:t>
            </w:r>
          </w:p>
        </w:tc>
        <w:tc>
          <w:tcPr>
            <w:tcW w:w="1418" w:type="dxa"/>
          </w:tcPr>
          <w:p w14:paraId="35B327EC"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29.5 ± 3.22</w:t>
            </w:r>
          </w:p>
        </w:tc>
        <w:tc>
          <w:tcPr>
            <w:tcW w:w="1224" w:type="dxa"/>
          </w:tcPr>
          <w:p w14:paraId="350F55D6"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3.50 ± 0.83</w:t>
            </w:r>
          </w:p>
        </w:tc>
      </w:tr>
      <w:tr w:rsidR="000E20EC" w:rsidRPr="00972C39" w14:paraId="3ECE55F5" w14:textId="77777777" w:rsidTr="000E20EC">
        <w:trPr>
          <w:jc w:val="center"/>
        </w:trPr>
        <w:tc>
          <w:tcPr>
            <w:tcW w:w="1001" w:type="dxa"/>
            <w:vMerge/>
          </w:tcPr>
          <w:p w14:paraId="0A9A27E2" w14:textId="77777777" w:rsidR="000E20EC" w:rsidRPr="00972C39" w:rsidRDefault="000E20EC" w:rsidP="00F83C72">
            <w:pPr>
              <w:jc w:val="both"/>
              <w:rPr>
                <w:rFonts w:asciiTheme="majorHAnsi" w:hAnsiTheme="majorHAnsi" w:cstheme="majorHAnsi"/>
                <w:sz w:val="18"/>
                <w:szCs w:val="18"/>
              </w:rPr>
            </w:pPr>
          </w:p>
        </w:tc>
        <w:tc>
          <w:tcPr>
            <w:tcW w:w="695" w:type="dxa"/>
            <w:vMerge/>
          </w:tcPr>
          <w:p w14:paraId="56F8BE00" w14:textId="77777777" w:rsidR="000E20EC" w:rsidRPr="00972C39" w:rsidRDefault="000E20EC" w:rsidP="00F83C72">
            <w:pPr>
              <w:jc w:val="both"/>
              <w:rPr>
                <w:rFonts w:asciiTheme="majorHAnsi" w:hAnsiTheme="majorHAnsi" w:cstheme="majorHAnsi"/>
                <w:sz w:val="18"/>
                <w:szCs w:val="18"/>
              </w:rPr>
            </w:pPr>
          </w:p>
        </w:tc>
        <w:tc>
          <w:tcPr>
            <w:tcW w:w="851" w:type="dxa"/>
          </w:tcPr>
          <w:p w14:paraId="1F9DE8FC"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NE</w:t>
            </w:r>
          </w:p>
        </w:tc>
        <w:tc>
          <w:tcPr>
            <w:tcW w:w="850" w:type="dxa"/>
          </w:tcPr>
          <w:p w14:paraId="07FFBD01" w14:textId="77777777" w:rsidR="000E20EC" w:rsidRPr="00972C39" w:rsidRDefault="000E20EC" w:rsidP="00F83C72">
            <w:pPr>
              <w:jc w:val="both"/>
              <w:rPr>
                <w:rFonts w:asciiTheme="majorHAnsi" w:hAnsiTheme="majorHAnsi" w:cstheme="majorHAnsi"/>
                <w:sz w:val="18"/>
                <w:szCs w:val="18"/>
              </w:rPr>
            </w:pPr>
            <w:r>
              <w:rPr>
                <w:rFonts w:asciiTheme="majorHAnsi" w:hAnsiTheme="majorHAnsi" w:cstheme="majorHAnsi"/>
                <w:sz w:val="18"/>
                <w:szCs w:val="18"/>
              </w:rPr>
              <w:t>75.1</w:t>
            </w:r>
          </w:p>
        </w:tc>
        <w:tc>
          <w:tcPr>
            <w:tcW w:w="851" w:type="dxa"/>
          </w:tcPr>
          <w:p w14:paraId="79027E57" w14:textId="77777777" w:rsidR="000E20EC" w:rsidRPr="00972C39" w:rsidRDefault="000E20EC" w:rsidP="00F83C72">
            <w:pPr>
              <w:jc w:val="both"/>
              <w:rPr>
                <w:rFonts w:asciiTheme="majorHAnsi" w:hAnsiTheme="majorHAnsi" w:cstheme="majorHAnsi"/>
                <w:sz w:val="18"/>
                <w:szCs w:val="18"/>
              </w:rPr>
            </w:pPr>
            <w:r>
              <w:rPr>
                <w:rFonts w:asciiTheme="majorHAnsi" w:hAnsiTheme="majorHAnsi" w:cstheme="majorHAnsi"/>
                <w:sz w:val="18"/>
                <w:szCs w:val="18"/>
              </w:rPr>
              <w:t>24.9</w:t>
            </w:r>
          </w:p>
        </w:tc>
        <w:tc>
          <w:tcPr>
            <w:tcW w:w="850" w:type="dxa"/>
          </w:tcPr>
          <w:p w14:paraId="6FB5CB89" w14:textId="77777777" w:rsidR="000E20EC" w:rsidRPr="00972C39" w:rsidRDefault="000E20EC" w:rsidP="00F83C72">
            <w:pPr>
              <w:jc w:val="both"/>
              <w:rPr>
                <w:rFonts w:asciiTheme="majorHAnsi" w:hAnsiTheme="majorHAnsi" w:cstheme="majorHAnsi"/>
                <w:sz w:val="18"/>
                <w:szCs w:val="18"/>
              </w:rPr>
            </w:pPr>
            <w:r>
              <w:rPr>
                <w:rFonts w:asciiTheme="majorHAnsi" w:hAnsiTheme="majorHAnsi" w:cstheme="majorHAnsi"/>
                <w:sz w:val="18"/>
                <w:szCs w:val="18"/>
              </w:rPr>
              <w:t>0</w:t>
            </w:r>
          </w:p>
        </w:tc>
        <w:tc>
          <w:tcPr>
            <w:tcW w:w="1418" w:type="dxa"/>
          </w:tcPr>
          <w:p w14:paraId="4EC9B573"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29.1 ± 2.28</w:t>
            </w:r>
          </w:p>
        </w:tc>
        <w:tc>
          <w:tcPr>
            <w:tcW w:w="1224" w:type="dxa"/>
          </w:tcPr>
          <w:p w14:paraId="2B42DABD"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3.91 ± 1.21</w:t>
            </w:r>
          </w:p>
        </w:tc>
      </w:tr>
      <w:tr w:rsidR="000E20EC" w:rsidRPr="00972C39" w14:paraId="2A1E01A4" w14:textId="77777777" w:rsidTr="000E20EC">
        <w:trPr>
          <w:jc w:val="center"/>
        </w:trPr>
        <w:tc>
          <w:tcPr>
            <w:tcW w:w="1001" w:type="dxa"/>
            <w:vMerge/>
          </w:tcPr>
          <w:p w14:paraId="0CC474EB" w14:textId="77777777" w:rsidR="000E20EC" w:rsidRPr="00972C39" w:rsidRDefault="000E20EC" w:rsidP="00F83C72">
            <w:pPr>
              <w:jc w:val="both"/>
              <w:rPr>
                <w:rFonts w:asciiTheme="majorHAnsi" w:hAnsiTheme="majorHAnsi" w:cstheme="majorHAnsi"/>
                <w:sz w:val="18"/>
                <w:szCs w:val="18"/>
              </w:rPr>
            </w:pPr>
          </w:p>
        </w:tc>
        <w:tc>
          <w:tcPr>
            <w:tcW w:w="695" w:type="dxa"/>
            <w:vMerge/>
          </w:tcPr>
          <w:p w14:paraId="67C617D6" w14:textId="77777777" w:rsidR="000E20EC" w:rsidRPr="00972C39" w:rsidRDefault="000E20EC" w:rsidP="00F83C72">
            <w:pPr>
              <w:jc w:val="both"/>
              <w:rPr>
                <w:rFonts w:asciiTheme="majorHAnsi" w:hAnsiTheme="majorHAnsi" w:cstheme="majorHAnsi"/>
                <w:sz w:val="18"/>
                <w:szCs w:val="18"/>
              </w:rPr>
            </w:pPr>
          </w:p>
        </w:tc>
        <w:tc>
          <w:tcPr>
            <w:tcW w:w="851" w:type="dxa"/>
          </w:tcPr>
          <w:p w14:paraId="358D5CFC"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UK</w:t>
            </w:r>
          </w:p>
        </w:tc>
        <w:tc>
          <w:tcPr>
            <w:tcW w:w="850" w:type="dxa"/>
          </w:tcPr>
          <w:p w14:paraId="0B350D23" w14:textId="77777777" w:rsidR="000E20EC" w:rsidRPr="00972C39" w:rsidRDefault="000E20EC" w:rsidP="00F83C72">
            <w:pPr>
              <w:jc w:val="both"/>
              <w:rPr>
                <w:rFonts w:asciiTheme="majorHAnsi" w:hAnsiTheme="majorHAnsi" w:cstheme="majorHAnsi"/>
                <w:sz w:val="18"/>
                <w:szCs w:val="18"/>
              </w:rPr>
            </w:pPr>
            <w:r>
              <w:rPr>
                <w:rFonts w:asciiTheme="majorHAnsi" w:hAnsiTheme="majorHAnsi" w:cstheme="majorHAnsi"/>
                <w:sz w:val="18"/>
                <w:szCs w:val="18"/>
              </w:rPr>
              <w:t>50.0</w:t>
            </w:r>
          </w:p>
        </w:tc>
        <w:tc>
          <w:tcPr>
            <w:tcW w:w="851" w:type="dxa"/>
          </w:tcPr>
          <w:p w14:paraId="0D45A62C" w14:textId="77777777" w:rsidR="000E20EC" w:rsidRPr="00972C39" w:rsidRDefault="000E20EC" w:rsidP="00F83C72">
            <w:pPr>
              <w:jc w:val="both"/>
              <w:rPr>
                <w:rFonts w:asciiTheme="majorHAnsi" w:hAnsiTheme="majorHAnsi" w:cstheme="majorHAnsi"/>
                <w:sz w:val="18"/>
                <w:szCs w:val="18"/>
              </w:rPr>
            </w:pPr>
            <w:r>
              <w:rPr>
                <w:rFonts w:asciiTheme="majorHAnsi" w:hAnsiTheme="majorHAnsi" w:cstheme="majorHAnsi"/>
                <w:sz w:val="18"/>
                <w:szCs w:val="18"/>
              </w:rPr>
              <w:t>50.0</w:t>
            </w:r>
          </w:p>
        </w:tc>
        <w:tc>
          <w:tcPr>
            <w:tcW w:w="850" w:type="dxa"/>
          </w:tcPr>
          <w:p w14:paraId="4404B123" w14:textId="77777777" w:rsidR="000E20EC" w:rsidRPr="00972C39" w:rsidRDefault="000E20EC" w:rsidP="00F83C72">
            <w:pPr>
              <w:jc w:val="both"/>
              <w:rPr>
                <w:rFonts w:asciiTheme="majorHAnsi" w:hAnsiTheme="majorHAnsi" w:cstheme="majorHAnsi"/>
                <w:sz w:val="18"/>
                <w:szCs w:val="18"/>
              </w:rPr>
            </w:pPr>
            <w:r>
              <w:rPr>
                <w:rFonts w:asciiTheme="majorHAnsi" w:hAnsiTheme="majorHAnsi" w:cstheme="majorHAnsi"/>
                <w:sz w:val="18"/>
                <w:szCs w:val="18"/>
              </w:rPr>
              <w:t>0</w:t>
            </w:r>
          </w:p>
        </w:tc>
        <w:tc>
          <w:tcPr>
            <w:tcW w:w="1418" w:type="dxa"/>
          </w:tcPr>
          <w:p w14:paraId="0EB1DDFA"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26.7 ± 2.77</w:t>
            </w:r>
          </w:p>
        </w:tc>
        <w:tc>
          <w:tcPr>
            <w:tcW w:w="1224" w:type="dxa"/>
          </w:tcPr>
          <w:p w14:paraId="589D6AFB"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4.17 ± 1.19</w:t>
            </w:r>
          </w:p>
        </w:tc>
      </w:tr>
      <w:tr w:rsidR="000E20EC" w:rsidRPr="00972C39" w14:paraId="5304DC4F" w14:textId="77777777" w:rsidTr="000E20EC">
        <w:trPr>
          <w:jc w:val="center"/>
        </w:trPr>
        <w:tc>
          <w:tcPr>
            <w:tcW w:w="1001" w:type="dxa"/>
            <w:vMerge/>
          </w:tcPr>
          <w:p w14:paraId="5C31BDFA" w14:textId="77777777" w:rsidR="000E20EC" w:rsidRPr="00972C39" w:rsidRDefault="000E20EC" w:rsidP="00F83C72">
            <w:pPr>
              <w:jc w:val="both"/>
              <w:rPr>
                <w:rFonts w:asciiTheme="majorHAnsi" w:hAnsiTheme="majorHAnsi" w:cstheme="majorHAnsi"/>
                <w:sz w:val="18"/>
                <w:szCs w:val="18"/>
              </w:rPr>
            </w:pPr>
          </w:p>
        </w:tc>
        <w:tc>
          <w:tcPr>
            <w:tcW w:w="695" w:type="dxa"/>
            <w:vMerge w:val="restart"/>
          </w:tcPr>
          <w:p w14:paraId="7B521202"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2017</w:t>
            </w:r>
          </w:p>
        </w:tc>
        <w:tc>
          <w:tcPr>
            <w:tcW w:w="851" w:type="dxa"/>
          </w:tcPr>
          <w:p w14:paraId="1689D00A"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SW</w:t>
            </w:r>
          </w:p>
        </w:tc>
        <w:tc>
          <w:tcPr>
            <w:tcW w:w="850" w:type="dxa"/>
          </w:tcPr>
          <w:p w14:paraId="3FFEC61B" w14:textId="77777777" w:rsidR="000E20EC" w:rsidRPr="00972C39" w:rsidRDefault="000E20EC" w:rsidP="00F83C72">
            <w:pPr>
              <w:jc w:val="both"/>
              <w:rPr>
                <w:rFonts w:asciiTheme="majorHAnsi" w:hAnsiTheme="majorHAnsi" w:cstheme="majorHAnsi"/>
                <w:sz w:val="18"/>
                <w:szCs w:val="18"/>
              </w:rPr>
            </w:pPr>
            <w:r>
              <w:rPr>
                <w:rFonts w:asciiTheme="majorHAnsi" w:hAnsiTheme="majorHAnsi" w:cstheme="majorHAnsi"/>
                <w:sz w:val="18"/>
                <w:szCs w:val="18"/>
              </w:rPr>
              <w:t>55.4</w:t>
            </w:r>
          </w:p>
        </w:tc>
        <w:tc>
          <w:tcPr>
            <w:tcW w:w="851" w:type="dxa"/>
          </w:tcPr>
          <w:p w14:paraId="2C02D5AC" w14:textId="77777777" w:rsidR="000E20EC" w:rsidRPr="00972C39" w:rsidRDefault="000E20EC" w:rsidP="00F83C72">
            <w:pPr>
              <w:jc w:val="both"/>
              <w:rPr>
                <w:rFonts w:asciiTheme="majorHAnsi" w:hAnsiTheme="majorHAnsi" w:cstheme="majorHAnsi"/>
                <w:sz w:val="18"/>
                <w:szCs w:val="18"/>
              </w:rPr>
            </w:pPr>
            <w:r>
              <w:rPr>
                <w:rFonts w:asciiTheme="majorHAnsi" w:hAnsiTheme="majorHAnsi" w:cstheme="majorHAnsi"/>
                <w:sz w:val="18"/>
                <w:szCs w:val="18"/>
              </w:rPr>
              <w:t>26.8</w:t>
            </w:r>
          </w:p>
        </w:tc>
        <w:tc>
          <w:tcPr>
            <w:tcW w:w="850" w:type="dxa"/>
          </w:tcPr>
          <w:p w14:paraId="03CBF57D" w14:textId="77777777" w:rsidR="000E20EC" w:rsidRPr="00972C39" w:rsidRDefault="000E20EC" w:rsidP="00F83C72">
            <w:pPr>
              <w:jc w:val="both"/>
              <w:rPr>
                <w:rFonts w:asciiTheme="majorHAnsi" w:hAnsiTheme="majorHAnsi" w:cstheme="majorHAnsi"/>
                <w:sz w:val="18"/>
                <w:szCs w:val="18"/>
              </w:rPr>
            </w:pPr>
            <w:r>
              <w:rPr>
                <w:rFonts w:asciiTheme="majorHAnsi" w:hAnsiTheme="majorHAnsi" w:cstheme="majorHAnsi"/>
                <w:sz w:val="18"/>
                <w:szCs w:val="18"/>
              </w:rPr>
              <w:t>17.8</w:t>
            </w:r>
          </w:p>
        </w:tc>
        <w:tc>
          <w:tcPr>
            <w:tcW w:w="1418" w:type="dxa"/>
          </w:tcPr>
          <w:p w14:paraId="7A738350"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29.2 ± 3.09</w:t>
            </w:r>
          </w:p>
        </w:tc>
        <w:tc>
          <w:tcPr>
            <w:tcW w:w="1224" w:type="dxa"/>
          </w:tcPr>
          <w:p w14:paraId="3C819A2F"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4.37 ± 1.41</w:t>
            </w:r>
          </w:p>
        </w:tc>
      </w:tr>
      <w:tr w:rsidR="000E20EC" w:rsidRPr="00972C39" w14:paraId="173DEF55" w14:textId="77777777" w:rsidTr="000E20EC">
        <w:trPr>
          <w:jc w:val="center"/>
        </w:trPr>
        <w:tc>
          <w:tcPr>
            <w:tcW w:w="1001" w:type="dxa"/>
            <w:vMerge/>
          </w:tcPr>
          <w:p w14:paraId="7C84975D" w14:textId="77777777" w:rsidR="000E20EC" w:rsidRPr="00972C39" w:rsidRDefault="000E20EC" w:rsidP="00F83C72">
            <w:pPr>
              <w:jc w:val="both"/>
              <w:rPr>
                <w:rFonts w:asciiTheme="majorHAnsi" w:hAnsiTheme="majorHAnsi" w:cstheme="majorHAnsi"/>
                <w:sz w:val="18"/>
                <w:szCs w:val="18"/>
              </w:rPr>
            </w:pPr>
          </w:p>
        </w:tc>
        <w:tc>
          <w:tcPr>
            <w:tcW w:w="695" w:type="dxa"/>
            <w:vMerge/>
          </w:tcPr>
          <w:p w14:paraId="05AFD4BB" w14:textId="77777777" w:rsidR="000E20EC" w:rsidRPr="00972C39" w:rsidRDefault="000E20EC" w:rsidP="00F83C72">
            <w:pPr>
              <w:jc w:val="both"/>
              <w:rPr>
                <w:rFonts w:asciiTheme="majorHAnsi" w:hAnsiTheme="majorHAnsi" w:cstheme="majorHAnsi"/>
                <w:sz w:val="18"/>
                <w:szCs w:val="18"/>
              </w:rPr>
            </w:pPr>
          </w:p>
        </w:tc>
        <w:tc>
          <w:tcPr>
            <w:tcW w:w="851" w:type="dxa"/>
          </w:tcPr>
          <w:p w14:paraId="4580CCD8"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NE</w:t>
            </w:r>
          </w:p>
        </w:tc>
        <w:tc>
          <w:tcPr>
            <w:tcW w:w="850" w:type="dxa"/>
          </w:tcPr>
          <w:p w14:paraId="793F5C2C" w14:textId="77777777" w:rsidR="000E20EC" w:rsidRPr="00972C39" w:rsidRDefault="000E20EC" w:rsidP="00F83C72">
            <w:pPr>
              <w:jc w:val="both"/>
              <w:rPr>
                <w:rFonts w:asciiTheme="majorHAnsi" w:hAnsiTheme="majorHAnsi" w:cstheme="majorHAnsi"/>
                <w:sz w:val="18"/>
                <w:szCs w:val="18"/>
              </w:rPr>
            </w:pPr>
            <w:r>
              <w:rPr>
                <w:rFonts w:asciiTheme="majorHAnsi" w:hAnsiTheme="majorHAnsi" w:cstheme="majorHAnsi"/>
                <w:sz w:val="18"/>
                <w:szCs w:val="18"/>
              </w:rPr>
              <w:t>65.9</w:t>
            </w:r>
          </w:p>
        </w:tc>
        <w:tc>
          <w:tcPr>
            <w:tcW w:w="851" w:type="dxa"/>
          </w:tcPr>
          <w:p w14:paraId="0EBFFECC" w14:textId="77777777" w:rsidR="000E20EC" w:rsidRPr="00972C39" w:rsidRDefault="000E20EC" w:rsidP="00F83C72">
            <w:pPr>
              <w:jc w:val="both"/>
              <w:rPr>
                <w:rFonts w:asciiTheme="majorHAnsi" w:hAnsiTheme="majorHAnsi" w:cstheme="majorHAnsi"/>
                <w:sz w:val="18"/>
                <w:szCs w:val="18"/>
              </w:rPr>
            </w:pPr>
            <w:r>
              <w:rPr>
                <w:rFonts w:asciiTheme="majorHAnsi" w:hAnsiTheme="majorHAnsi" w:cstheme="majorHAnsi"/>
                <w:sz w:val="18"/>
                <w:szCs w:val="18"/>
              </w:rPr>
              <w:t>18.8</w:t>
            </w:r>
          </w:p>
        </w:tc>
        <w:tc>
          <w:tcPr>
            <w:tcW w:w="850" w:type="dxa"/>
          </w:tcPr>
          <w:p w14:paraId="769E807E" w14:textId="77777777" w:rsidR="000E20EC" w:rsidRPr="00972C39" w:rsidRDefault="000E20EC" w:rsidP="00F83C72">
            <w:pPr>
              <w:jc w:val="both"/>
              <w:rPr>
                <w:rFonts w:asciiTheme="majorHAnsi" w:hAnsiTheme="majorHAnsi" w:cstheme="majorHAnsi"/>
                <w:sz w:val="18"/>
                <w:szCs w:val="18"/>
              </w:rPr>
            </w:pPr>
            <w:r>
              <w:rPr>
                <w:rFonts w:asciiTheme="majorHAnsi" w:hAnsiTheme="majorHAnsi" w:cstheme="majorHAnsi"/>
                <w:sz w:val="18"/>
                <w:szCs w:val="18"/>
              </w:rPr>
              <w:t>15.3</w:t>
            </w:r>
          </w:p>
        </w:tc>
        <w:tc>
          <w:tcPr>
            <w:tcW w:w="1418" w:type="dxa"/>
          </w:tcPr>
          <w:p w14:paraId="5792ABFA"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26.8 ± 2.92</w:t>
            </w:r>
          </w:p>
        </w:tc>
        <w:tc>
          <w:tcPr>
            <w:tcW w:w="1224" w:type="dxa"/>
          </w:tcPr>
          <w:p w14:paraId="30DC8743"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4.34 ± 1.38</w:t>
            </w:r>
          </w:p>
        </w:tc>
      </w:tr>
      <w:tr w:rsidR="000E20EC" w:rsidRPr="00972C39" w14:paraId="2B3003A0" w14:textId="77777777" w:rsidTr="000E20EC">
        <w:trPr>
          <w:jc w:val="center"/>
        </w:trPr>
        <w:tc>
          <w:tcPr>
            <w:tcW w:w="1001" w:type="dxa"/>
            <w:vMerge/>
          </w:tcPr>
          <w:p w14:paraId="3E134920" w14:textId="77777777" w:rsidR="000E20EC" w:rsidRPr="00972C39" w:rsidRDefault="000E20EC" w:rsidP="00F83C72">
            <w:pPr>
              <w:jc w:val="both"/>
              <w:rPr>
                <w:rFonts w:asciiTheme="majorHAnsi" w:hAnsiTheme="majorHAnsi" w:cstheme="majorHAnsi"/>
                <w:sz w:val="18"/>
                <w:szCs w:val="18"/>
              </w:rPr>
            </w:pPr>
          </w:p>
        </w:tc>
        <w:tc>
          <w:tcPr>
            <w:tcW w:w="695" w:type="dxa"/>
            <w:vMerge/>
          </w:tcPr>
          <w:p w14:paraId="04E921C7" w14:textId="77777777" w:rsidR="000E20EC" w:rsidRPr="00972C39" w:rsidRDefault="000E20EC" w:rsidP="00F83C72">
            <w:pPr>
              <w:jc w:val="both"/>
              <w:rPr>
                <w:rFonts w:asciiTheme="majorHAnsi" w:hAnsiTheme="majorHAnsi" w:cstheme="majorHAnsi"/>
                <w:sz w:val="18"/>
                <w:szCs w:val="18"/>
              </w:rPr>
            </w:pPr>
          </w:p>
        </w:tc>
        <w:tc>
          <w:tcPr>
            <w:tcW w:w="851" w:type="dxa"/>
          </w:tcPr>
          <w:p w14:paraId="7EC177E7"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UK</w:t>
            </w:r>
          </w:p>
        </w:tc>
        <w:tc>
          <w:tcPr>
            <w:tcW w:w="850" w:type="dxa"/>
          </w:tcPr>
          <w:p w14:paraId="5F21C3FD" w14:textId="77777777" w:rsidR="000E20EC" w:rsidRPr="00972C39" w:rsidRDefault="000E20EC" w:rsidP="00F83C72">
            <w:pPr>
              <w:jc w:val="both"/>
              <w:rPr>
                <w:rFonts w:asciiTheme="majorHAnsi" w:hAnsiTheme="majorHAnsi" w:cstheme="majorHAnsi"/>
                <w:sz w:val="18"/>
                <w:szCs w:val="18"/>
              </w:rPr>
            </w:pPr>
            <w:r>
              <w:rPr>
                <w:rFonts w:asciiTheme="majorHAnsi" w:hAnsiTheme="majorHAnsi" w:cstheme="majorHAnsi"/>
                <w:sz w:val="18"/>
                <w:szCs w:val="18"/>
              </w:rPr>
              <w:t>52.1</w:t>
            </w:r>
          </w:p>
        </w:tc>
        <w:tc>
          <w:tcPr>
            <w:tcW w:w="851" w:type="dxa"/>
          </w:tcPr>
          <w:p w14:paraId="2D68B07B" w14:textId="77777777" w:rsidR="000E20EC" w:rsidRPr="00972C39" w:rsidRDefault="000E20EC" w:rsidP="00F83C72">
            <w:pPr>
              <w:jc w:val="both"/>
              <w:rPr>
                <w:rFonts w:asciiTheme="majorHAnsi" w:hAnsiTheme="majorHAnsi" w:cstheme="majorHAnsi"/>
                <w:sz w:val="18"/>
                <w:szCs w:val="18"/>
              </w:rPr>
            </w:pPr>
            <w:r>
              <w:rPr>
                <w:rFonts w:asciiTheme="majorHAnsi" w:hAnsiTheme="majorHAnsi" w:cstheme="majorHAnsi"/>
                <w:sz w:val="18"/>
                <w:szCs w:val="18"/>
              </w:rPr>
              <w:t>5.6</w:t>
            </w:r>
          </w:p>
        </w:tc>
        <w:tc>
          <w:tcPr>
            <w:tcW w:w="850" w:type="dxa"/>
          </w:tcPr>
          <w:p w14:paraId="244723EB" w14:textId="77777777" w:rsidR="000E20EC" w:rsidRPr="00972C39" w:rsidRDefault="000E20EC" w:rsidP="00F83C72">
            <w:pPr>
              <w:jc w:val="both"/>
              <w:rPr>
                <w:rFonts w:asciiTheme="majorHAnsi" w:hAnsiTheme="majorHAnsi" w:cstheme="majorHAnsi"/>
                <w:sz w:val="18"/>
                <w:szCs w:val="18"/>
              </w:rPr>
            </w:pPr>
            <w:r>
              <w:rPr>
                <w:rFonts w:asciiTheme="majorHAnsi" w:hAnsiTheme="majorHAnsi" w:cstheme="majorHAnsi"/>
                <w:sz w:val="18"/>
                <w:szCs w:val="18"/>
              </w:rPr>
              <w:t>42.3</w:t>
            </w:r>
          </w:p>
        </w:tc>
        <w:tc>
          <w:tcPr>
            <w:tcW w:w="1418" w:type="dxa"/>
          </w:tcPr>
          <w:p w14:paraId="3AD11C27"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28.1 ± 1.46</w:t>
            </w:r>
          </w:p>
        </w:tc>
        <w:tc>
          <w:tcPr>
            <w:tcW w:w="1224" w:type="dxa"/>
          </w:tcPr>
          <w:p w14:paraId="0331DE76"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4.63 ± 1.39</w:t>
            </w:r>
          </w:p>
        </w:tc>
      </w:tr>
      <w:tr w:rsidR="000E20EC" w:rsidRPr="00972C39" w14:paraId="36F8D4AE" w14:textId="77777777" w:rsidTr="000E20EC">
        <w:trPr>
          <w:jc w:val="center"/>
        </w:trPr>
        <w:tc>
          <w:tcPr>
            <w:tcW w:w="1001" w:type="dxa"/>
            <w:vMerge/>
          </w:tcPr>
          <w:p w14:paraId="6C07D1CA" w14:textId="77777777" w:rsidR="000E20EC" w:rsidRPr="00972C39" w:rsidRDefault="000E20EC" w:rsidP="00F83C72">
            <w:pPr>
              <w:jc w:val="both"/>
              <w:rPr>
                <w:rFonts w:asciiTheme="majorHAnsi" w:hAnsiTheme="majorHAnsi" w:cstheme="majorHAnsi"/>
                <w:sz w:val="18"/>
                <w:szCs w:val="18"/>
              </w:rPr>
            </w:pPr>
          </w:p>
        </w:tc>
        <w:tc>
          <w:tcPr>
            <w:tcW w:w="695" w:type="dxa"/>
            <w:vMerge w:val="restart"/>
          </w:tcPr>
          <w:p w14:paraId="030819DD"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2018</w:t>
            </w:r>
          </w:p>
        </w:tc>
        <w:tc>
          <w:tcPr>
            <w:tcW w:w="851" w:type="dxa"/>
          </w:tcPr>
          <w:p w14:paraId="68D4E0EA"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SW</w:t>
            </w:r>
          </w:p>
        </w:tc>
        <w:tc>
          <w:tcPr>
            <w:tcW w:w="850" w:type="dxa"/>
          </w:tcPr>
          <w:p w14:paraId="49C5629A" w14:textId="77777777" w:rsidR="000E20EC" w:rsidRPr="00972C39" w:rsidRDefault="000E20EC" w:rsidP="00F83C72">
            <w:pPr>
              <w:jc w:val="both"/>
              <w:rPr>
                <w:rFonts w:asciiTheme="majorHAnsi" w:hAnsiTheme="majorHAnsi" w:cstheme="majorHAnsi"/>
                <w:sz w:val="18"/>
                <w:szCs w:val="18"/>
              </w:rPr>
            </w:pPr>
            <w:r>
              <w:rPr>
                <w:rFonts w:asciiTheme="majorHAnsi" w:hAnsiTheme="majorHAnsi" w:cstheme="majorHAnsi"/>
                <w:sz w:val="18"/>
                <w:szCs w:val="18"/>
              </w:rPr>
              <w:t>70.8</w:t>
            </w:r>
          </w:p>
        </w:tc>
        <w:tc>
          <w:tcPr>
            <w:tcW w:w="851" w:type="dxa"/>
          </w:tcPr>
          <w:p w14:paraId="34648683" w14:textId="77777777" w:rsidR="000E20EC" w:rsidRPr="00972C39" w:rsidRDefault="000E20EC" w:rsidP="00F83C72">
            <w:pPr>
              <w:jc w:val="both"/>
              <w:rPr>
                <w:rFonts w:asciiTheme="majorHAnsi" w:hAnsiTheme="majorHAnsi" w:cstheme="majorHAnsi"/>
                <w:sz w:val="18"/>
                <w:szCs w:val="18"/>
              </w:rPr>
            </w:pPr>
            <w:r>
              <w:rPr>
                <w:rFonts w:asciiTheme="majorHAnsi" w:hAnsiTheme="majorHAnsi" w:cstheme="majorHAnsi"/>
                <w:sz w:val="18"/>
                <w:szCs w:val="18"/>
              </w:rPr>
              <w:t>29.2</w:t>
            </w:r>
          </w:p>
        </w:tc>
        <w:tc>
          <w:tcPr>
            <w:tcW w:w="850" w:type="dxa"/>
          </w:tcPr>
          <w:p w14:paraId="0F891DE5" w14:textId="77777777" w:rsidR="000E20EC" w:rsidRPr="00972C39" w:rsidRDefault="000E20EC" w:rsidP="00F83C72">
            <w:pPr>
              <w:jc w:val="both"/>
              <w:rPr>
                <w:rFonts w:asciiTheme="majorHAnsi" w:hAnsiTheme="majorHAnsi" w:cstheme="majorHAnsi"/>
                <w:sz w:val="18"/>
                <w:szCs w:val="18"/>
              </w:rPr>
            </w:pPr>
            <w:r>
              <w:rPr>
                <w:rFonts w:asciiTheme="majorHAnsi" w:hAnsiTheme="majorHAnsi" w:cstheme="majorHAnsi"/>
                <w:sz w:val="18"/>
                <w:szCs w:val="18"/>
              </w:rPr>
              <w:t>0</w:t>
            </w:r>
          </w:p>
        </w:tc>
        <w:tc>
          <w:tcPr>
            <w:tcW w:w="1418" w:type="dxa"/>
          </w:tcPr>
          <w:p w14:paraId="04D29715"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31.0 ± 5.49</w:t>
            </w:r>
          </w:p>
        </w:tc>
        <w:tc>
          <w:tcPr>
            <w:tcW w:w="1224" w:type="dxa"/>
          </w:tcPr>
          <w:p w14:paraId="1DFABB86"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5.54 ± 1.33</w:t>
            </w:r>
          </w:p>
        </w:tc>
      </w:tr>
      <w:tr w:rsidR="000E20EC" w:rsidRPr="00972C39" w14:paraId="4F17F5A7" w14:textId="77777777" w:rsidTr="000E20EC">
        <w:trPr>
          <w:jc w:val="center"/>
        </w:trPr>
        <w:tc>
          <w:tcPr>
            <w:tcW w:w="1001" w:type="dxa"/>
            <w:vMerge/>
          </w:tcPr>
          <w:p w14:paraId="0303D841" w14:textId="77777777" w:rsidR="000E20EC" w:rsidRPr="00972C39" w:rsidRDefault="000E20EC" w:rsidP="00F83C72">
            <w:pPr>
              <w:jc w:val="both"/>
              <w:rPr>
                <w:rFonts w:asciiTheme="majorHAnsi" w:hAnsiTheme="majorHAnsi" w:cstheme="majorHAnsi"/>
                <w:sz w:val="18"/>
                <w:szCs w:val="18"/>
              </w:rPr>
            </w:pPr>
          </w:p>
        </w:tc>
        <w:tc>
          <w:tcPr>
            <w:tcW w:w="695" w:type="dxa"/>
            <w:vMerge/>
          </w:tcPr>
          <w:p w14:paraId="458BDC34" w14:textId="77777777" w:rsidR="000E20EC" w:rsidRPr="00972C39" w:rsidRDefault="000E20EC" w:rsidP="00F83C72">
            <w:pPr>
              <w:jc w:val="both"/>
              <w:rPr>
                <w:rFonts w:asciiTheme="majorHAnsi" w:hAnsiTheme="majorHAnsi" w:cstheme="majorHAnsi"/>
                <w:sz w:val="18"/>
                <w:szCs w:val="18"/>
              </w:rPr>
            </w:pPr>
          </w:p>
        </w:tc>
        <w:tc>
          <w:tcPr>
            <w:tcW w:w="851" w:type="dxa"/>
          </w:tcPr>
          <w:p w14:paraId="218B7F47"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NE</w:t>
            </w:r>
          </w:p>
        </w:tc>
        <w:tc>
          <w:tcPr>
            <w:tcW w:w="850" w:type="dxa"/>
          </w:tcPr>
          <w:p w14:paraId="7F9E7CBD" w14:textId="77777777" w:rsidR="000E20EC" w:rsidRPr="00972C39" w:rsidRDefault="000E20EC" w:rsidP="00F83C72">
            <w:pPr>
              <w:jc w:val="both"/>
              <w:rPr>
                <w:rFonts w:asciiTheme="majorHAnsi" w:hAnsiTheme="majorHAnsi" w:cstheme="majorHAnsi"/>
                <w:sz w:val="18"/>
                <w:szCs w:val="18"/>
              </w:rPr>
            </w:pPr>
            <w:r>
              <w:rPr>
                <w:rFonts w:asciiTheme="majorHAnsi" w:hAnsiTheme="majorHAnsi" w:cstheme="majorHAnsi"/>
                <w:sz w:val="18"/>
                <w:szCs w:val="18"/>
              </w:rPr>
              <w:t>53.8</w:t>
            </w:r>
          </w:p>
        </w:tc>
        <w:tc>
          <w:tcPr>
            <w:tcW w:w="851" w:type="dxa"/>
          </w:tcPr>
          <w:p w14:paraId="7E245678" w14:textId="77777777" w:rsidR="000E20EC" w:rsidRPr="00972C39" w:rsidRDefault="000E20EC" w:rsidP="00F83C72">
            <w:pPr>
              <w:jc w:val="both"/>
              <w:rPr>
                <w:rFonts w:asciiTheme="majorHAnsi" w:hAnsiTheme="majorHAnsi" w:cstheme="majorHAnsi"/>
                <w:sz w:val="18"/>
                <w:szCs w:val="18"/>
              </w:rPr>
            </w:pPr>
            <w:r>
              <w:rPr>
                <w:rFonts w:asciiTheme="majorHAnsi" w:hAnsiTheme="majorHAnsi" w:cstheme="majorHAnsi"/>
                <w:sz w:val="18"/>
                <w:szCs w:val="18"/>
              </w:rPr>
              <w:t>30.8</w:t>
            </w:r>
          </w:p>
        </w:tc>
        <w:tc>
          <w:tcPr>
            <w:tcW w:w="850" w:type="dxa"/>
          </w:tcPr>
          <w:p w14:paraId="53162484" w14:textId="77777777" w:rsidR="000E20EC" w:rsidRPr="00972C39" w:rsidRDefault="000E20EC" w:rsidP="00F83C72">
            <w:pPr>
              <w:jc w:val="both"/>
              <w:rPr>
                <w:rFonts w:asciiTheme="majorHAnsi" w:hAnsiTheme="majorHAnsi" w:cstheme="majorHAnsi"/>
                <w:sz w:val="18"/>
                <w:szCs w:val="18"/>
              </w:rPr>
            </w:pPr>
            <w:r>
              <w:rPr>
                <w:rFonts w:asciiTheme="majorHAnsi" w:hAnsiTheme="majorHAnsi" w:cstheme="majorHAnsi"/>
                <w:sz w:val="18"/>
                <w:szCs w:val="18"/>
              </w:rPr>
              <w:t>15.4</w:t>
            </w:r>
          </w:p>
        </w:tc>
        <w:tc>
          <w:tcPr>
            <w:tcW w:w="1418" w:type="dxa"/>
          </w:tcPr>
          <w:p w14:paraId="400CF0F8"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26.8 ± 3.23</w:t>
            </w:r>
          </w:p>
        </w:tc>
        <w:tc>
          <w:tcPr>
            <w:tcW w:w="1224" w:type="dxa"/>
          </w:tcPr>
          <w:p w14:paraId="4B852CE4"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5.29 ± 1.66</w:t>
            </w:r>
          </w:p>
        </w:tc>
      </w:tr>
      <w:tr w:rsidR="000E20EC" w:rsidRPr="00972C39" w14:paraId="3CCA9D71" w14:textId="77777777" w:rsidTr="000E20EC">
        <w:trPr>
          <w:jc w:val="center"/>
        </w:trPr>
        <w:tc>
          <w:tcPr>
            <w:tcW w:w="1001" w:type="dxa"/>
            <w:vMerge/>
          </w:tcPr>
          <w:p w14:paraId="6537E4CD" w14:textId="77777777" w:rsidR="000E20EC" w:rsidRPr="00972C39" w:rsidRDefault="000E20EC" w:rsidP="00F83C72">
            <w:pPr>
              <w:jc w:val="both"/>
              <w:rPr>
                <w:rFonts w:asciiTheme="majorHAnsi" w:hAnsiTheme="majorHAnsi" w:cstheme="majorHAnsi"/>
                <w:sz w:val="18"/>
                <w:szCs w:val="18"/>
              </w:rPr>
            </w:pPr>
          </w:p>
        </w:tc>
        <w:tc>
          <w:tcPr>
            <w:tcW w:w="695" w:type="dxa"/>
            <w:vMerge/>
          </w:tcPr>
          <w:p w14:paraId="2C518436" w14:textId="77777777" w:rsidR="000E20EC" w:rsidRPr="00972C39" w:rsidRDefault="000E20EC" w:rsidP="00F83C72">
            <w:pPr>
              <w:jc w:val="both"/>
              <w:rPr>
                <w:rFonts w:asciiTheme="majorHAnsi" w:hAnsiTheme="majorHAnsi" w:cstheme="majorHAnsi"/>
                <w:sz w:val="18"/>
                <w:szCs w:val="18"/>
              </w:rPr>
            </w:pPr>
          </w:p>
        </w:tc>
        <w:tc>
          <w:tcPr>
            <w:tcW w:w="851" w:type="dxa"/>
          </w:tcPr>
          <w:p w14:paraId="4E49C922"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UK</w:t>
            </w:r>
          </w:p>
        </w:tc>
        <w:tc>
          <w:tcPr>
            <w:tcW w:w="850" w:type="dxa"/>
          </w:tcPr>
          <w:p w14:paraId="7FB5FC0F" w14:textId="77777777" w:rsidR="000E20EC" w:rsidRPr="00972C39" w:rsidRDefault="000E20EC" w:rsidP="00F83C72">
            <w:pPr>
              <w:jc w:val="both"/>
              <w:rPr>
                <w:rFonts w:asciiTheme="majorHAnsi" w:hAnsiTheme="majorHAnsi" w:cstheme="majorHAnsi"/>
                <w:sz w:val="18"/>
                <w:szCs w:val="18"/>
              </w:rPr>
            </w:pPr>
            <w:r>
              <w:rPr>
                <w:rFonts w:asciiTheme="majorHAnsi" w:hAnsiTheme="majorHAnsi" w:cstheme="majorHAnsi"/>
                <w:sz w:val="18"/>
                <w:szCs w:val="18"/>
              </w:rPr>
              <w:t>28.6</w:t>
            </w:r>
          </w:p>
        </w:tc>
        <w:tc>
          <w:tcPr>
            <w:tcW w:w="851" w:type="dxa"/>
          </w:tcPr>
          <w:p w14:paraId="0393BC12" w14:textId="77777777" w:rsidR="000E20EC" w:rsidRPr="00972C39" w:rsidRDefault="000E20EC" w:rsidP="00F83C72">
            <w:pPr>
              <w:jc w:val="both"/>
              <w:rPr>
                <w:rFonts w:asciiTheme="majorHAnsi" w:hAnsiTheme="majorHAnsi" w:cstheme="majorHAnsi"/>
                <w:sz w:val="18"/>
                <w:szCs w:val="18"/>
              </w:rPr>
            </w:pPr>
            <w:r>
              <w:rPr>
                <w:rFonts w:asciiTheme="majorHAnsi" w:hAnsiTheme="majorHAnsi" w:cstheme="majorHAnsi"/>
                <w:sz w:val="18"/>
                <w:szCs w:val="18"/>
              </w:rPr>
              <w:t>71.4</w:t>
            </w:r>
          </w:p>
        </w:tc>
        <w:tc>
          <w:tcPr>
            <w:tcW w:w="850" w:type="dxa"/>
          </w:tcPr>
          <w:p w14:paraId="55A2B250" w14:textId="77777777" w:rsidR="000E20EC" w:rsidRPr="00972C39" w:rsidRDefault="000E20EC" w:rsidP="00F83C72">
            <w:pPr>
              <w:jc w:val="both"/>
              <w:rPr>
                <w:rFonts w:asciiTheme="majorHAnsi" w:hAnsiTheme="majorHAnsi" w:cstheme="majorHAnsi"/>
                <w:sz w:val="18"/>
                <w:szCs w:val="18"/>
              </w:rPr>
            </w:pPr>
            <w:r>
              <w:rPr>
                <w:rFonts w:asciiTheme="majorHAnsi" w:hAnsiTheme="majorHAnsi" w:cstheme="majorHAnsi"/>
                <w:sz w:val="18"/>
                <w:szCs w:val="18"/>
              </w:rPr>
              <w:t>0</w:t>
            </w:r>
          </w:p>
        </w:tc>
        <w:tc>
          <w:tcPr>
            <w:tcW w:w="1418" w:type="dxa"/>
          </w:tcPr>
          <w:p w14:paraId="4E14ED94"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25.5 ± 2.60</w:t>
            </w:r>
          </w:p>
        </w:tc>
        <w:tc>
          <w:tcPr>
            <w:tcW w:w="1224" w:type="dxa"/>
          </w:tcPr>
          <w:p w14:paraId="13EB167E" w14:textId="77777777" w:rsidR="000E20EC" w:rsidRPr="00972C39" w:rsidRDefault="000E20EC" w:rsidP="00F83C72">
            <w:pPr>
              <w:jc w:val="both"/>
              <w:rPr>
                <w:rFonts w:asciiTheme="majorHAnsi" w:hAnsiTheme="majorHAnsi" w:cstheme="majorHAnsi"/>
                <w:sz w:val="18"/>
                <w:szCs w:val="18"/>
              </w:rPr>
            </w:pPr>
            <w:r w:rsidRPr="00972C39">
              <w:rPr>
                <w:rFonts w:asciiTheme="majorHAnsi" w:hAnsiTheme="majorHAnsi" w:cstheme="majorHAnsi"/>
                <w:sz w:val="18"/>
                <w:szCs w:val="18"/>
              </w:rPr>
              <w:t>4.86 ± 0.66</w:t>
            </w:r>
          </w:p>
        </w:tc>
      </w:tr>
    </w:tbl>
    <w:p w14:paraId="4406BE55" w14:textId="77777777" w:rsidR="000E20EC" w:rsidRPr="00272ACA" w:rsidRDefault="000E20EC" w:rsidP="000E20EC">
      <w:pPr>
        <w:jc w:val="both"/>
        <w:rPr>
          <w:rFonts w:asciiTheme="majorHAnsi" w:hAnsiTheme="majorHAnsi" w:cstheme="majorHAnsi"/>
          <w:color w:val="0070C0"/>
        </w:rPr>
      </w:pPr>
      <w:r w:rsidRPr="00272ACA">
        <w:rPr>
          <w:rFonts w:asciiTheme="majorHAnsi" w:hAnsiTheme="majorHAnsi" w:cstheme="majorHAnsi"/>
          <w:color w:val="0070C0"/>
        </w:rPr>
        <w:t xml:space="preserve"> </w:t>
      </w:r>
    </w:p>
    <w:p w14:paraId="51C0AB41" w14:textId="77777777" w:rsidR="000E20EC" w:rsidRDefault="000E20EC" w:rsidP="000E20EC">
      <w:pPr>
        <w:jc w:val="both"/>
      </w:pPr>
    </w:p>
    <w:p w14:paraId="6776B76D" w14:textId="4A5BB1DE" w:rsidR="000E20EC" w:rsidRDefault="007C29E5" w:rsidP="007C29E5">
      <w:pPr>
        <w:jc w:val="both"/>
        <w:rPr>
          <w:rFonts w:cstheme="minorHAnsi"/>
        </w:rPr>
      </w:pPr>
      <w:r w:rsidRPr="007C29E5">
        <w:rPr>
          <w:rFonts w:cstheme="minorHAnsi"/>
        </w:rPr>
        <w:lastRenderedPageBreak/>
        <w:t>W</w:t>
      </w:r>
      <w:r w:rsidR="000E20EC" w:rsidRPr="007C29E5">
        <w:rPr>
          <w:rFonts w:cstheme="minorHAnsi"/>
        </w:rPr>
        <w:t xml:space="preserve">e </w:t>
      </w:r>
      <w:r w:rsidRPr="007C29E5">
        <w:rPr>
          <w:rFonts w:cstheme="minorHAnsi"/>
        </w:rPr>
        <w:t xml:space="preserve">also </w:t>
      </w:r>
      <w:r w:rsidR="000E20EC" w:rsidRPr="007C29E5">
        <w:rPr>
          <w:rFonts w:cstheme="minorHAnsi"/>
        </w:rPr>
        <w:t xml:space="preserve">provided </w:t>
      </w:r>
      <w:r w:rsidRPr="007C29E5">
        <w:rPr>
          <w:rFonts w:cstheme="minorHAnsi"/>
        </w:rPr>
        <w:t>the distributions of</w:t>
      </w:r>
      <w:r w:rsidR="000E20EC" w:rsidRPr="007C29E5">
        <w:rPr>
          <w:rFonts w:cstheme="minorHAnsi"/>
        </w:rPr>
        <w:t xml:space="preserve"> the otolith </w:t>
      </w:r>
      <w:r w:rsidR="00FB3475">
        <w:rPr>
          <w:rFonts w:cstheme="minorHAnsi"/>
        </w:rPr>
        <w:t>shape indices</w:t>
      </w:r>
      <w:r w:rsidR="000E20EC" w:rsidRPr="007C29E5">
        <w:rPr>
          <w:rFonts w:cstheme="minorHAnsi"/>
        </w:rPr>
        <w:t xml:space="preserve"> per year and subunit (</w:t>
      </w:r>
      <w:r w:rsidR="000E20EC" w:rsidRPr="007C29E5">
        <w:rPr>
          <w:rFonts w:cstheme="minorHAnsi"/>
          <w:b/>
          <w:bCs/>
        </w:rPr>
        <w:t xml:space="preserve">Figure </w:t>
      </w:r>
      <w:r w:rsidRPr="007C29E5">
        <w:rPr>
          <w:rFonts w:cstheme="minorHAnsi"/>
          <w:b/>
          <w:bCs/>
        </w:rPr>
        <w:t>S2.1.</w:t>
      </w:r>
      <w:r w:rsidR="000E20EC" w:rsidRPr="007C29E5">
        <w:rPr>
          <w:rFonts w:cstheme="minorHAnsi"/>
        </w:rPr>
        <w:t xml:space="preserve">). Otolith length, width, perimeter and area (and fish total length in general) were higher in the SW compared to other subunits. It was likely due to the highest growth of fish in the SW subunit </w:t>
      </w:r>
      <w:r w:rsidR="000E20EC" w:rsidRPr="007C29E5">
        <w:rPr>
          <w:rFonts w:cstheme="minorHAnsi"/>
        </w:rPr>
        <w:fldChar w:fldCharType="begin"/>
      </w:r>
      <w:r>
        <w:rPr>
          <w:rFonts w:cstheme="minorHAnsi"/>
        </w:rPr>
        <w:instrText xml:space="preserve"> ADDIN ZOTERO_ITEM CSL_CITATION {"citationID":"WdKTrAIh","properties":{"formattedCitation":"[1,2]","plainCitation":"[1,2]","noteIndex":0},"citationItems":[{"id":747,"uris":["http://zotero.org/users/2638566/items/LABGKJV6"],"uri":["http://zotero.org/users/2638566/items/LABGKJV6"],"itemData":{"id":747,"type":"article-journal","abstract":"An accurate representation of the spatial structure of marine fish populations is a prerequisite for unbiased stock assessment, to build appropriate management measures. The common sole (Solea solea, L.) of the Eastern English Channel (EEC) is a commercial flatfish species, whose stock is currently assessed as a single homogeneous population and has been overexploited over the last decade. Previous studies have highlighted the stock's low connectivity and the lack of understanding in sub-adults and adults mixing between putative subunits, raising the issue of a potential spatial structure of this stock. Here, we examined evidence of spatial structure by analyzing spatiotemporal patterns of length and density-at-age using time series (1989–2015) obtained from a scientific survey (UK-BTS). We tested for various hypotheses of spatial structure, based on both scientific and expert knowledge, including three isolated subunits, their combination, and no spatial structure. We combined two sets of analyses: (1) a selection of the von Bertalanffy growth model with spatial effects capturing the most accurate spatial structure of the stock and the analysis of long-term spatial patterns (gradients, trends, synchrony) in growth parameters; and (2) an analysis of the synchrony among density-at-age time series between spatial subunits. Growth analysis revealed a spatial structure in three subunits (i.e. the southwestern, northeastern and English parts of the EEC) and an overall decline of length-at-age, suggesting Fishery-Induced Evolution. The synchrony analysis revealed high spatiotemporal integrity at the level of the southwestern subunit of the EEC. Our two analyses thus detected a lasting signal of spatial stock structure with a probable isolation of the southwestern subunit from the rest of the EEC. Future research should build on our study by investigating the connectivity of sole throughout its entire life cycle, to improve stock assessment and fishery management.","container-title":"Journal of Sea Research","DOI":"10.1016/j.seares.2018.09.012","ISSN":"1385-1101","journalAbbreviation":"Journal of Sea Research","page":"91-100","source":"ScienceDirect","title":"Could we consider a single stock when spatial sub-units present lasting patterns in growth and asynchrony in cohort densities? A flatfish case study","title-short":"Could we consider a single stock when spatial sub-units present lasting patterns in growth and asynchrony in cohort densities?","volume":"142","author":[{"family":"Randon","given":"Marine"},{"family":"Réveillac","given":"Elodie"},{"family":"Rivot","given":"Etienne"},{"family":"Du Pontavice","given":"Hubert"},{"family":"Le Pape","given":"Olivier"}],"issued":{"date-parts":[["2018",12,1]]}}},{"id":778,"uris":["http://zotero.org/users/2638566/items/HYRH3MZU"],"uri":["http://zotero.org/users/2638566/items/HYRH3MZU"],"itemData":{"id":778,"type":"article-journal","abstract":"In fisheries science, a mismatch between the delineation of a fish stock and the underlying biological population can lead to inaccurate assessment and management. Previous results suggested a potential spatial structuration of the Eastern English Channel (EEC) stock of common sole, Solea solea, in three sub-populations. In this article, we propose to investigate the spatial population structure of common sole in the EEC using the von Bertalanffy Growth Function parameters as indicators of population segregation. In order to test the sub-population hypothesis and evaluate its robustness to data sources, we developed three models, all including an area effect on growth parameters. The first model was aimed at testing a potential data source effect (in addition to the area effect) using commercial and scientific survey data jointly. The two other models used either scientific survey or commercial fishery data and focused on spatial differences in growth parameters. Our results showed that the growth parameter estimates indeed differed depending on the type of data used, with higher estimated asymptotic length and length at age two (L2) using commercial data. They also highlighted spatial differences in asymptotic length, consistent between models, which tend to confirm a spatial structuration of sole in the EEC. While these results need to be strengthened by marking and genetic studies, they constitute a first step towards a better understanding of the population spatial structuration of common sole in the EEC.","container-title":"Fisheries Research","DOI":"10.1016/j.fishres.2018.05.009","ISSN":"0165-7836","journalAbbreviation":"Fisheries Research","page":"28-36","source":"ScienceDirect","title":"Investigating spatial heterogeneity of von Bertalanffy growth parameters to inform the stock structuration of common sole, Solea solea, in the Eastern English Channel","volume":"207","author":[{"family":"Du Pontavice","given":"Hubert"},{"family":"Randon","given":"Marine"},{"family":"Lehuta","given":"Sigrid"},{"family":"Vermard","given":"Youen"},{"family":"Savina-Rolland","given":"Marie"}],"issued":{"date-parts":[["2018",11]]}}}],"schema":"https://github.com/citation-style-language/schema/raw/master/csl-citation.json"} </w:instrText>
      </w:r>
      <w:r w:rsidR="000E20EC" w:rsidRPr="007C29E5">
        <w:rPr>
          <w:rFonts w:cstheme="minorHAnsi"/>
        </w:rPr>
        <w:fldChar w:fldCharType="separate"/>
      </w:r>
      <w:r w:rsidRPr="007C29E5">
        <w:rPr>
          <w:rFonts w:ascii="Calibri" w:hAnsi="Calibri" w:cs="Calibri"/>
        </w:rPr>
        <w:t>[1,2]</w:t>
      </w:r>
      <w:r w:rsidR="000E20EC" w:rsidRPr="007C29E5">
        <w:rPr>
          <w:rFonts w:cstheme="minorHAnsi"/>
        </w:rPr>
        <w:fldChar w:fldCharType="end"/>
      </w:r>
      <w:r w:rsidR="000E20EC" w:rsidRPr="007C29E5">
        <w:rPr>
          <w:rFonts w:cstheme="minorHAnsi"/>
        </w:rPr>
        <w:t xml:space="preserve"> since mean age of fish were sensibly the same in each case (except for the 2018 otolith data set where fish were a little bit older in average in the SW and NE subunits compared to the UK). </w:t>
      </w:r>
      <w:r w:rsidR="00001B40">
        <w:rPr>
          <w:rFonts w:cstheme="minorHAnsi"/>
        </w:rPr>
        <w:t>Standardized to fish length, th</w:t>
      </w:r>
      <w:r w:rsidR="000E20EC" w:rsidRPr="007C29E5">
        <w:rPr>
          <w:rFonts w:cstheme="minorHAnsi"/>
        </w:rPr>
        <w:t>e spatial patterns of otolith shape metrics were maintained over the sampling year for each tracer. This result confirmed that, even if temporal variations in otolith shape exist</w:t>
      </w:r>
      <w:r w:rsidR="00001B40">
        <w:rPr>
          <w:rFonts w:cstheme="minorHAnsi"/>
        </w:rPr>
        <w:t>ed</w:t>
      </w:r>
      <w:r w:rsidR="000E20EC" w:rsidRPr="007C29E5">
        <w:rPr>
          <w:rFonts w:cstheme="minorHAnsi"/>
        </w:rPr>
        <w:t>, spatial variations</w:t>
      </w:r>
      <w:r w:rsidR="00125C75">
        <w:rPr>
          <w:rFonts w:cstheme="minorHAnsi"/>
        </w:rPr>
        <w:t xml:space="preserve"> were maintained</w:t>
      </w:r>
      <w:r w:rsidR="000E20EC" w:rsidRPr="007C29E5">
        <w:rPr>
          <w:rFonts w:cstheme="minorHAnsi"/>
        </w:rPr>
        <w:t xml:space="preserve">.   </w:t>
      </w:r>
    </w:p>
    <w:p w14:paraId="2890FC1A" w14:textId="77777777" w:rsidR="007C29E5" w:rsidRPr="007C29E5" w:rsidRDefault="007C29E5" w:rsidP="007C29E5">
      <w:pPr>
        <w:jc w:val="both"/>
        <w:rPr>
          <w:rFonts w:cstheme="minorHAnsi"/>
        </w:rPr>
      </w:pPr>
    </w:p>
    <w:p w14:paraId="5067B021" w14:textId="77777777" w:rsidR="000E20EC" w:rsidRDefault="000E20EC" w:rsidP="000E20EC">
      <w:pPr>
        <w:jc w:val="center"/>
      </w:pPr>
      <w:r>
        <w:rPr>
          <w:noProof/>
          <w:lang w:val="fr-FR" w:eastAsia="fr-FR"/>
        </w:rPr>
        <w:drawing>
          <wp:inline distT="0" distB="0" distL="0" distR="0" wp14:anchorId="60B6CE7D" wp14:editId="601C8147">
            <wp:extent cx="5731510" cy="5731510"/>
            <wp:effectExtent l="0" t="0" r="2540"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14:paraId="34DCD288" w14:textId="3E629638" w:rsidR="000E20EC" w:rsidRPr="007C29E5" w:rsidRDefault="007C29E5" w:rsidP="007C29E5">
      <w:pPr>
        <w:jc w:val="both"/>
        <w:rPr>
          <w:rFonts w:cstheme="minorHAnsi"/>
        </w:rPr>
      </w:pPr>
      <w:r w:rsidRPr="007C29E5">
        <w:rPr>
          <w:rFonts w:cstheme="minorHAnsi"/>
          <w:b/>
          <w:bCs/>
        </w:rPr>
        <w:t>Figure S2.1.</w:t>
      </w:r>
      <w:r w:rsidR="000E20EC" w:rsidRPr="007C29E5">
        <w:rPr>
          <w:rFonts w:cstheme="minorHAnsi"/>
        </w:rPr>
        <w:t xml:space="preserve"> Boxplot of the otolith length (a, b), width (c, d), perimeter (e, f) and area (g, h) distributions per year and subunit for the otolith shape (left panels) and genetic (right panels) data sets.</w:t>
      </w:r>
    </w:p>
    <w:p w14:paraId="58E8A42E" w14:textId="416E0EB6" w:rsidR="000E20EC" w:rsidRPr="007C29E5" w:rsidRDefault="007C29E5" w:rsidP="0019073C">
      <w:pPr>
        <w:rPr>
          <w:b/>
          <w:bCs/>
        </w:rPr>
      </w:pPr>
      <w:r w:rsidRPr="007C29E5">
        <w:rPr>
          <w:b/>
          <w:bCs/>
        </w:rPr>
        <w:lastRenderedPageBreak/>
        <w:t>References</w:t>
      </w:r>
    </w:p>
    <w:p w14:paraId="1EF74AC6" w14:textId="77777777" w:rsidR="007C29E5" w:rsidRPr="007C29E5" w:rsidRDefault="007C29E5" w:rsidP="007C29E5">
      <w:pPr>
        <w:pStyle w:val="Bibliographie"/>
        <w:jc w:val="both"/>
        <w:rPr>
          <w:rFonts w:ascii="Calibri" w:hAnsi="Calibri" w:cs="Calibri"/>
        </w:rPr>
      </w:pPr>
      <w:r>
        <w:fldChar w:fldCharType="begin"/>
      </w:r>
      <w:r>
        <w:instrText xml:space="preserve"> ADDIN ZOTERO_BIBL {"uncited":[],"omitted":[],"custom":[]} CSL_BIBLIOGRAPHY </w:instrText>
      </w:r>
      <w:r>
        <w:fldChar w:fldCharType="separate"/>
      </w:r>
      <w:r w:rsidRPr="007C29E5">
        <w:rPr>
          <w:rFonts w:ascii="Calibri" w:hAnsi="Calibri" w:cs="Calibri"/>
        </w:rPr>
        <w:t xml:space="preserve">1. </w:t>
      </w:r>
      <w:r w:rsidRPr="007C29E5">
        <w:rPr>
          <w:rFonts w:ascii="Calibri" w:hAnsi="Calibri" w:cs="Calibri"/>
        </w:rPr>
        <w:tab/>
        <w:t>Randon M, Réveillac E, Rivot E, Du Pontavice H, Le Pape O. Could we consider a single stock when spatial sub-units present lasting patterns in growth and asynchrony in cohort densities? A flatfish case study. J Sea Res. 2018;142: 91–100. doi:10.1016/j.seares.2018.09.012</w:t>
      </w:r>
    </w:p>
    <w:p w14:paraId="0FFC42AF" w14:textId="77777777" w:rsidR="007C29E5" w:rsidRPr="007C29E5" w:rsidRDefault="007C29E5" w:rsidP="007C29E5">
      <w:pPr>
        <w:pStyle w:val="Bibliographie"/>
        <w:jc w:val="both"/>
        <w:rPr>
          <w:rFonts w:ascii="Calibri" w:hAnsi="Calibri" w:cs="Calibri"/>
        </w:rPr>
      </w:pPr>
      <w:r w:rsidRPr="007C29E5">
        <w:rPr>
          <w:rFonts w:ascii="Calibri" w:hAnsi="Calibri" w:cs="Calibri"/>
        </w:rPr>
        <w:t xml:space="preserve">2. </w:t>
      </w:r>
      <w:r w:rsidRPr="007C29E5">
        <w:rPr>
          <w:rFonts w:ascii="Calibri" w:hAnsi="Calibri" w:cs="Calibri"/>
        </w:rPr>
        <w:tab/>
        <w:t xml:space="preserve">Du Pontavice H, Randon M, Lehuta S, Vermard Y, Savina-Rolland M. Investigating spatial heterogeneity of von Bertalanffy growth parameters to inform the stock structuration of common sole, </w:t>
      </w:r>
      <w:r w:rsidRPr="007C29E5">
        <w:rPr>
          <w:rFonts w:ascii="Calibri" w:hAnsi="Calibri" w:cs="Calibri"/>
          <w:i/>
          <w:iCs/>
        </w:rPr>
        <w:t>Solea solea</w:t>
      </w:r>
      <w:r w:rsidRPr="007C29E5">
        <w:rPr>
          <w:rFonts w:ascii="Calibri" w:hAnsi="Calibri" w:cs="Calibri"/>
        </w:rPr>
        <w:t>, in the Eastern English Channel. Fish Res. 2018;207: 28–36. doi:10.1016/j.fishres.2018.05.009</w:t>
      </w:r>
    </w:p>
    <w:p w14:paraId="363742FF" w14:textId="39FD1614" w:rsidR="007C29E5" w:rsidRDefault="007C29E5" w:rsidP="0019073C">
      <w:r>
        <w:fldChar w:fldCharType="end"/>
      </w:r>
    </w:p>
    <w:sectPr w:rsidR="007C29E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C0C5E"/>
    <w:multiLevelType w:val="hybridMultilevel"/>
    <w:tmpl w:val="0B147C86"/>
    <w:lvl w:ilvl="0" w:tplc="7CCADB1A">
      <w:numFmt w:val="bullet"/>
      <w:lvlText w:val=""/>
      <w:lvlJc w:val="left"/>
      <w:pPr>
        <w:ind w:left="720" w:hanging="360"/>
      </w:pPr>
      <w:rPr>
        <w:rFonts w:ascii="Wingdings" w:eastAsiaTheme="minorHAnsi" w:hAnsi="Wingdings" w:cstheme="minorBidi"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73C"/>
    <w:rsid w:val="00001B40"/>
    <w:rsid w:val="000E20EC"/>
    <w:rsid w:val="00125C75"/>
    <w:rsid w:val="0019073C"/>
    <w:rsid w:val="002B7B26"/>
    <w:rsid w:val="00611DD5"/>
    <w:rsid w:val="007C29E5"/>
    <w:rsid w:val="00931508"/>
    <w:rsid w:val="00F7417E"/>
    <w:rsid w:val="00FB34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AF6D3"/>
  <w15:docId w15:val="{E80714DB-7C9B-E74D-9CC3-408F6754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73C"/>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907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9073C"/>
    <w:rPr>
      <w:rFonts w:asciiTheme="majorHAnsi" w:eastAsiaTheme="majorEastAsia" w:hAnsiTheme="majorHAnsi" w:cstheme="majorBidi"/>
      <w:spacing w:val="-10"/>
      <w:kern w:val="28"/>
      <w:sz w:val="56"/>
      <w:szCs w:val="56"/>
      <w:lang w:val="en-US"/>
    </w:rPr>
  </w:style>
  <w:style w:type="paragraph" w:styleId="Paragraphedeliste">
    <w:name w:val="List Paragraph"/>
    <w:basedOn w:val="Normal"/>
    <w:uiPriority w:val="34"/>
    <w:qFormat/>
    <w:rsid w:val="000E20EC"/>
    <w:pPr>
      <w:ind w:left="720"/>
      <w:contextualSpacing/>
    </w:pPr>
    <w:rPr>
      <w:lang w:val="en-GB"/>
    </w:rPr>
  </w:style>
  <w:style w:type="table" w:styleId="Grilledutableau">
    <w:name w:val="Table Grid"/>
    <w:basedOn w:val="TableauNormal"/>
    <w:uiPriority w:val="39"/>
    <w:rsid w:val="000E20E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E20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20EC"/>
    <w:rPr>
      <w:rFonts w:ascii="Segoe UI" w:hAnsi="Segoe UI" w:cs="Segoe UI"/>
      <w:sz w:val="18"/>
      <w:szCs w:val="18"/>
      <w:lang w:val="en-US"/>
    </w:rPr>
  </w:style>
  <w:style w:type="paragraph" w:styleId="Bibliographie">
    <w:name w:val="Bibliography"/>
    <w:basedOn w:val="Normal"/>
    <w:next w:val="Normal"/>
    <w:uiPriority w:val="37"/>
    <w:unhideWhenUsed/>
    <w:rsid w:val="007C29E5"/>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1327</Words>
  <Characters>7302</Characters>
  <Application>Microsoft Office Word</Application>
  <DocSecurity>0</DocSecurity>
  <Lines>60</Lines>
  <Paragraphs>17</Paragraphs>
  <ScaleCrop>false</ScaleCrop>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randon</dc:creator>
  <cp:keywords/>
  <dc:description/>
  <cp:lastModifiedBy>marine randon</cp:lastModifiedBy>
  <cp:revision>8</cp:revision>
  <dcterms:created xsi:type="dcterms:W3CDTF">2020-08-21T22:29:00Z</dcterms:created>
  <dcterms:modified xsi:type="dcterms:W3CDTF">2020-08-25T17:51:00Z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id="soBiPX6I"/&gt;&lt;style id="http://www.zotero.org/styles/plos-one" hasBibliography="1" bibliographyStyleHasBeenSet="1"/&gt;&lt;prefs&gt;&lt;pref name="fieldType" value="Field"/&gt;&lt;pref name="automaticJournalAbbrevia</vt:lpwstr>
  </property>
  <property fmtid="{D5CDD505-2E9C-101B-9397-08002B2CF9AE}" pid="3" name="ZOTERO_PREF_2">
    <vt:lpwstr>tions" value="true"/&gt;&lt;/prefs&gt;&lt;/data&gt;</vt:lpwstr>
  </property>
</Properties>
</file>