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D01E" w14:textId="2C77BC13" w:rsidR="006F2678" w:rsidRPr="006F2678" w:rsidRDefault="000C0FAD" w:rsidP="00DA7749">
      <w:pPr>
        <w:pStyle w:val="Titre1"/>
        <w:jc w:val="center"/>
      </w:pPr>
      <w:r>
        <w:t>Appendix</w:t>
      </w:r>
      <w:r w:rsidR="00D870B7">
        <w:t xml:space="preserve"> </w:t>
      </w:r>
      <w:r w:rsidR="0056628C">
        <w:t>A</w:t>
      </w:r>
      <w:r>
        <w:t xml:space="preserve">: </w:t>
      </w:r>
      <w:r w:rsidR="00CE16AD">
        <w:t>Fisheries observer</w:t>
      </w:r>
      <w:r w:rsidR="00CE16AD" w:rsidRPr="00A73F33">
        <w:t xml:space="preserve"> data</w:t>
      </w:r>
    </w:p>
    <w:p w14:paraId="4E9BBCB2" w14:textId="77777777" w:rsidR="00471609" w:rsidRDefault="00471609" w:rsidP="00471609">
      <w:pPr>
        <w:jc w:val="center"/>
      </w:pPr>
      <w:r w:rsidRPr="00471609">
        <w:rPr>
          <w:noProof/>
          <w:lang w:val="fr-FR" w:eastAsia="fr-FR"/>
        </w:rPr>
        <w:drawing>
          <wp:inline distT="0" distB="0" distL="0" distR="0" wp14:anchorId="39732168" wp14:editId="491387DD">
            <wp:extent cx="4183758" cy="3749040"/>
            <wp:effectExtent l="0" t="0" r="7620" b="3810"/>
            <wp:docPr id="6" name="Image 6" descr="E:\IRD\HabitatModeling\exploration_sets_in_hull\map_all_sets_locations_quarters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D\HabitatModeling\exploration_sets_in_hull\map_all_sets_locations_quarters_at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58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684F" w14:textId="4A7D93CB" w:rsidR="00264B65" w:rsidRDefault="00471609" w:rsidP="00471609">
      <w:pPr>
        <w:jc w:val="center"/>
      </w:pPr>
      <w:r w:rsidRPr="00471609">
        <w:rPr>
          <w:noProof/>
          <w:lang w:val="fr-FR" w:eastAsia="fr-FR"/>
        </w:rPr>
        <w:drawing>
          <wp:inline distT="0" distB="0" distL="0" distR="0" wp14:anchorId="243CC954" wp14:editId="19C1FA9C">
            <wp:extent cx="4183758" cy="3749040"/>
            <wp:effectExtent l="0" t="0" r="7620" b="3810"/>
            <wp:docPr id="7" name="Image 7" descr="E:\IRD\HabitatModeling\exploration_sets_in_hull\map_all_sets_locations_quarters_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RD\HabitatModeling\exploration_sets_in_hull\map_all_sets_locations_quarters_i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58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29E2" w14:textId="1D1026DD" w:rsidR="00643CDC" w:rsidRDefault="00C91CB7" w:rsidP="005947C0">
      <w:pPr>
        <w:rPr>
          <w:rFonts w:cs="AdvPS_TINR"/>
        </w:rPr>
      </w:pPr>
      <w:r>
        <w:t xml:space="preserve">Figure </w:t>
      </w:r>
      <w:r w:rsidR="00EF005E">
        <w:t>A</w:t>
      </w:r>
      <w:r>
        <w:t>-1</w:t>
      </w:r>
      <w:r w:rsidR="00F80C8F">
        <w:t xml:space="preserve">: </w:t>
      </w:r>
      <w:proofErr w:type="spellStart"/>
      <w:r w:rsidR="00F80C8F">
        <w:t>Spatio</w:t>
      </w:r>
      <w:proofErr w:type="spellEnd"/>
      <w:r w:rsidR="00F80C8F">
        <w:t>-temporal</w:t>
      </w:r>
      <w:r w:rsidR="005947C0">
        <w:t xml:space="preserve"> distribution of </w:t>
      </w:r>
      <w:r w:rsidR="003E2CE3">
        <w:t xml:space="preserve">observed </w:t>
      </w:r>
      <w:r w:rsidR="005947C0">
        <w:t xml:space="preserve">fishing sets </w:t>
      </w:r>
      <w:r w:rsidR="008A28B5">
        <w:t xml:space="preserve">on floating objects (FOBs) </w:t>
      </w:r>
      <w:r w:rsidR="003D49C3">
        <w:t xml:space="preserve">(black dots) </w:t>
      </w:r>
      <w:r w:rsidR="005947C0">
        <w:t xml:space="preserve">in the </w:t>
      </w:r>
      <w:r>
        <w:t>Atlantic and Indian o</w:t>
      </w:r>
      <w:r w:rsidR="005947C0">
        <w:t>cean</w:t>
      </w:r>
      <w:r>
        <w:t>s</w:t>
      </w:r>
      <w:r w:rsidR="00195919">
        <w:t>. B</w:t>
      </w:r>
      <w:r w:rsidR="005947C0">
        <w:t xml:space="preserve">lack polygons </w:t>
      </w:r>
      <w:r w:rsidR="00B73E03">
        <w:t xml:space="preserve">represent </w:t>
      </w:r>
      <w:r w:rsidR="005947C0">
        <w:t xml:space="preserve">convex hulls around the </w:t>
      </w:r>
      <w:r w:rsidR="00D31E3A">
        <w:t>fisheries</w:t>
      </w:r>
      <w:r w:rsidR="005E0206">
        <w:t xml:space="preserve"> observer </w:t>
      </w:r>
      <w:r w:rsidR="005947C0">
        <w:t>data</w:t>
      </w:r>
      <w:r w:rsidR="00A56C64">
        <w:t xml:space="preserve"> in each quarter</w:t>
      </w:r>
      <w:r w:rsidR="005947C0">
        <w:t>.</w:t>
      </w:r>
      <w:r w:rsidR="00643CDC">
        <w:t xml:space="preserve"> </w:t>
      </w:r>
      <w:r w:rsidR="00643CDC">
        <w:rPr>
          <w:rFonts w:cs="AdvPS_TINR"/>
        </w:rPr>
        <w:t>There were</w:t>
      </w:r>
      <w:r w:rsidR="00643CDC" w:rsidRPr="00A73F33">
        <w:rPr>
          <w:rFonts w:cs="AdvPS_TINR"/>
        </w:rPr>
        <w:t xml:space="preserve"> </w:t>
      </w:r>
      <w:r w:rsidR="00643CDC" w:rsidRPr="00A73F33">
        <w:t xml:space="preserve">4331 </w:t>
      </w:r>
      <w:r w:rsidR="00643CDC">
        <w:t xml:space="preserve">and </w:t>
      </w:r>
      <w:r w:rsidR="00643CDC" w:rsidRPr="00A73F33">
        <w:t xml:space="preserve">6154 </w:t>
      </w:r>
      <w:r w:rsidR="00D34234">
        <w:t xml:space="preserve">FOBs </w:t>
      </w:r>
      <w:r w:rsidR="00643CDC" w:rsidRPr="00A73F33">
        <w:t>fishing sets</w:t>
      </w:r>
      <w:r w:rsidR="00643CDC" w:rsidRPr="009113B1">
        <w:rPr>
          <w:rFonts w:cs="AdvPS_TINR"/>
        </w:rPr>
        <w:t xml:space="preserve"> </w:t>
      </w:r>
      <w:r w:rsidR="00643CDC">
        <w:rPr>
          <w:rFonts w:cs="AdvPS_TINR"/>
        </w:rPr>
        <w:t>i</w:t>
      </w:r>
      <w:r w:rsidR="00643CDC" w:rsidRPr="00A73F33">
        <w:rPr>
          <w:rFonts w:cs="AdvPS_TINR"/>
        </w:rPr>
        <w:t xml:space="preserve">n the </w:t>
      </w:r>
      <w:r w:rsidR="00643CDC">
        <w:rPr>
          <w:rFonts w:cs="AdvPS_TINR"/>
        </w:rPr>
        <w:t>Atlantic and Indian oceans, respectively.</w:t>
      </w:r>
    </w:p>
    <w:p w14:paraId="738C963D" w14:textId="3AE109FD" w:rsidR="00891A08" w:rsidRDefault="008D24E1" w:rsidP="00891A08">
      <w:pPr>
        <w:jc w:val="center"/>
      </w:pPr>
      <w:r w:rsidRPr="00891A08">
        <w:rPr>
          <w:noProof/>
          <w:lang w:val="fr-FR" w:eastAsia="fr-FR"/>
        </w:rPr>
        <w:lastRenderedPageBreak/>
        <w:drawing>
          <wp:inline distT="0" distB="0" distL="0" distR="0" wp14:anchorId="17F5A6A3" wp14:editId="5E4241A3">
            <wp:extent cx="2866887" cy="2926080"/>
            <wp:effectExtent l="0" t="0" r="0" b="7620"/>
            <wp:docPr id="8" name="Image 8" descr="D:\IRD\HabitatModeling\exploration_sets_in_hull\barplot_percentage_sets_with_presence_bycatch_species_sup_1_atl_com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D\HabitatModeling\exploration_sets_in_hull\barplot_percentage_sets_with_presence_bycatch_species_sup_1_atl_comm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 t="336"/>
                    <a:stretch/>
                  </pic:blipFill>
                  <pic:spPr bwMode="auto">
                    <a:xfrm>
                      <a:off x="0" y="0"/>
                      <a:ext cx="2866887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1A08">
        <w:rPr>
          <w:noProof/>
          <w:lang w:val="fr-FR" w:eastAsia="fr-FR"/>
        </w:rPr>
        <w:drawing>
          <wp:inline distT="0" distB="0" distL="0" distR="0" wp14:anchorId="6648FE8F" wp14:editId="092AEBE6">
            <wp:extent cx="2857254" cy="2926080"/>
            <wp:effectExtent l="0" t="0" r="635" b="7620"/>
            <wp:docPr id="1" name="Image 1" descr="D:\IRD\HabitatModeling\exploration_sets_in_hull\barplot_percentage_sets_with_presence_bycatch_species_sup_1_ind_com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D\HabitatModeling\exploration_sets_in_hull\barplot_percentage_sets_with_presence_bycatch_species_sup_1_ind_comm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/>
                    <a:stretch/>
                  </pic:blipFill>
                  <pic:spPr bwMode="auto">
                    <a:xfrm>
                      <a:off x="0" y="0"/>
                      <a:ext cx="2857254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28575" w14:textId="3293A770" w:rsidR="008D24E1" w:rsidRDefault="00891A08" w:rsidP="00891A08">
      <w:r w:rsidRPr="009E6804">
        <w:t>Figure </w:t>
      </w:r>
      <w:r>
        <w:t xml:space="preserve">A-2: Ranked occurrence of species in </w:t>
      </w:r>
      <w:r w:rsidR="00485D03">
        <w:t xml:space="preserve">the bycatch at </w:t>
      </w:r>
      <w:r>
        <w:t xml:space="preserve">FOBs in the Atlantic </w:t>
      </w:r>
      <w:r w:rsidR="008D24E1">
        <w:t>and Indian o</w:t>
      </w:r>
      <w:r>
        <w:t>cean</w:t>
      </w:r>
      <w:r w:rsidR="008D24E1">
        <w:t>s</w:t>
      </w:r>
      <w:r w:rsidR="00FF68AB">
        <w:t xml:space="preserve"> (only species </w:t>
      </w:r>
      <w:r w:rsidR="00B162E2">
        <w:t>that occurred</w:t>
      </w:r>
      <w:r w:rsidR="00FF68AB">
        <w:t xml:space="preserve"> in &gt; </w:t>
      </w:r>
      <w:proofErr w:type="gramStart"/>
      <w:r w:rsidR="00FF68AB">
        <w:t>1%</w:t>
      </w:r>
      <w:proofErr w:type="gramEnd"/>
      <w:r w:rsidR="00FF68AB">
        <w:t xml:space="preserve"> of observed sets </w:t>
      </w:r>
      <w:r w:rsidR="00B162E2">
        <w:t>were</w:t>
      </w:r>
      <w:r w:rsidR="00FF68AB">
        <w:t xml:space="preserve"> included)</w:t>
      </w:r>
      <w:r>
        <w:t>.</w:t>
      </w:r>
      <w:r w:rsidR="00290977">
        <w:t xml:space="preserve"> S</w:t>
      </w:r>
      <w:r w:rsidR="008D24E1">
        <w:t xml:space="preserve">ilky shark, oceanic triggerfish, rainbow runner, wahoo, and dolphinfish </w:t>
      </w:r>
      <w:r w:rsidR="00766A9F">
        <w:t xml:space="preserve">were the dominant species </w:t>
      </w:r>
      <w:r w:rsidR="00195919">
        <w:t>in</w:t>
      </w:r>
      <w:r w:rsidR="008D24E1">
        <w:t xml:space="preserve"> both oceans</w:t>
      </w:r>
      <w:r w:rsidR="00290977">
        <w:t xml:space="preserve"> (the blue </w:t>
      </w:r>
      <w:r w:rsidR="00B3287D">
        <w:t xml:space="preserve">runner </w:t>
      </w:r>
      <w:r w:rsidR="002E5210">
        <w:t xml:space="preserve">is </w:t>
      </w:r>
      <w:bookmarkStart w:id="0" w:name="_GoBack"/>
      <w:bookmarkEnd w:id="0"/>
      <w:r w:rsidR="00290977">
        <w:t>endemic to the Atlantic)</w:t>
      </w:r>
      <w:r w:rsidR="008D24E1">
        <w:t xml:space="preserve">. </w:t>
      </w:r>
    </w:p>
    <w:p w14:paraId="174FC5C4" w14:textId="1F8BBB76" w:rsidR="005670F5" w:rsidRDefault="005670F5" w:rsidP="001808DC">
      <w:pPr>
        <w:jc w:val="center"/>
      </w:pPr>
    </w:p>
    <w:p w14:paraId="24CD5170" w14:textId="1FCD48BA" w:rsidR="006F2678" w:rsidRDefault="00FA46D3" w:rsidP="001808DC">
      <w:pPr>
        <w:jc w:val="center"/>
      </w:pPr>
      <w:r w:rsidRPr="00FA46D3">
        <w:rPr>
          <w:noProof/>
          <w:lang w:val="fr-FR" w:eastAsia="fr-FR"/>
        </w:rPr>
        <w:drawing>
          <wp:inline distT="0" distB="0" distL="0" distR="0" wp14:anchorId="2C52CB0B" wp14:editId="7C92348E">
            <wp:extent cx="4511615" cy="3590168"/>
            <wp:effectExtent l="0" t="0" r="3810" b="0"/>
            <wp:docPr id="2" name="Image 2" descr="E:\IRD\HabitatModeling\exploration_sets_in_hull\barplot_percentage_sets_with_presence_main_bycatch_species_comm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D\HabitatModeling\exploration_sets_in_hull\barplot_percentage_sets_with_presence_main_bycatch_species_commo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80" cy="359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46A3" w14:textId="3F2C83A9" w:rsidR="0099047A" w:rsidRDefault="00370044" w:rsidP="003824DD">
      <w:r w:rsidRPr="009E6804">
        <w:t>Figure </w:t>
      </w:r>
      <w:r w:rsidR="00EF005E">
        <w:t>A</w:t>
      </w:r>
      <w:r w:rsidR="00E82043">
        <w:t>-</w:t>
      </w:r>
      <w:r w:rsidR="00F375AB">
        <w:t>3</w:t>
      </w:r>
      <w:r w:rsidR="004A2065">
        <w:t>:</w:t>
      </w:r>
      <w:r w:rsidR="00E76BA4">
        <w:t xml:space="preserve"> </w:t>
      </w:r>
      <w:r w:rsidR="00095513">
        <w:t xml:space="preserve">Comparison of </w:t>
      </w:r>
      <w:r w:rsidR="00195919">
        <w:t xml:space="preserve">study species </w:t>
      </w:r>
      <w:r w:rsidR="00095513">
        <w:t xml:space="preserve">occurrences </w:t>
      </w:r>
      <w:r w:rsidR="00A438B7">
        <w:t xml:space="preserve">in </w:t>
      </w:r>
      <w:r w:rsidR="00FF68AB">
        <w:t xml:space="preserve">the bycatch at FOBs </w:t>
      </w:r>
      <w:r w:rsidR="00095513">
        <w:t>between</w:t>
      </w:r>
      <w:r w:rsidR="009E505E">
        <w:t xml:space="preserve"> Atlantic and Indian</w:t>
      </w:r>
      <w:r w:rsidR="00FF68AB">
        <w:t xml:space="preserve"> oceans</w:t>
      </w:r>
      <w:r w:rsidR="001742AE">
        <w:t>.</w:t>
      </w:r>
      <w:r w:rsidR="00FB04C2">
        <w:t xml:space="preserve"> </w:t>
      </w:r>
    </w:p>
    <w:p w14:paraId="443EECF1" w14:textId="01CF806C" w:rsidR="00DA7749" w:rsidRDefault="0099047A" w:rsidP="003824DD">
      <w:r>
        <w:br w:type="page"/>
      </w:r>
    </w:p>
    <w:p w14:paraId="03831A61" w14:textId="77777777" w:rsidR="00DA7749" w:rsidRDefault="00DA7749" w:rsidP="0099047A">
      <w:pPr>
        <w:jc w:val="center"/>
      </w:pPr>
      <w:r w:rsidRPr="00330AD6">
        <w:rPr>
          <w:noProof/>
          <w:lang w:val="fr-FR" w:eastAsia="fr-FR"/>
        </w:rPr>
        <w:lastRenderedPageBreak/>
        <w:drawing>
          <wp:inline distT="0" distB="0" distL="0" distR="0" wp14:anchorId="5C2BE00A" wp14:editId="7F1A6BA2">
            <wp:extent cx="5242560" cy="3931920"/>
            <wp:effectExtent l="0" t="0" r="0" b="0"/>
            <wp:docPr id="13" name="Image 13" descr="E:\IRD\HabitatModeling\exploration_grids\map_ao_nb_sets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D\HabitatModeling\exploration_grids\map_ao_nb_sets_quart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ABA4" w14:textId="77777777" w:rsidR="00DA7749" w:rsidRDefault="00DA7749" w:rsidP="0099047A">
      <w:pPr>
        <w:jc w:val="center"/>
      </w:pPr>
      <w:r w:rsidRPr="00330AD6">
        <w:rPr>
          <w:noProof/>
          <w:lang w:val="fr-FR" w:eastAsia="fr-FR"/>
        </w:rPr>
        <w:drawing>
          <wp:inline distT="0" distB="0" distL="0" distR="0" wp14:anchorId="751314F8" wp14:editId="179C637A">
            <wp:extent cx="5242560" cy="3931920"/>
            <wp:effectExtent l="0" t="0" r="0" b="0"/>
            <wp:docPr id="15" name="Image 15" descr="E:\IRD\HabitatModeling\exploration_grids\map_io_nb_sets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RD\HabitatModeling\exploration_grids\map_io_nb_sets_quart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0798" w14:textId="7494EDF9" w:rsidR="00DA7749" w:rsidRDefault="00DA7749" w:rsidP="003824DD">
      <w:r w:rsidRPr="009E6804">
        <w:t>Figure </w:t>
      </w:r>
      <w:r w:rsidR="00EF005E">
        <w:t>A</w:t>
      </w:r>
      <w:r w:rsidR="0099047A">
        <w:t>-</w:t>
      </w:r>
      <w:r w:rsidR="00F375AB">
        <w:t>4</w:t>
      </w:r>
      <w:r>
        <w:t xml:space="preserve">: Number of observed </w:t>
      </w:r>
      <w:r w:rsidR="00C111C8">
        <w:t xml:space="preserve">FOBs </w:t>
      </w:r>
      <w:r>
        <w:t>fishing sets per 1</w:t>
      </w:r>
      <w:r>
        <w:rPr>
          <w:rFonts w:eastAsia="Times New Roman" w:cs="Calibri"/>
          <w:color w:val="000000"/>
          <w:lang w:eastAsia="fr-FR"/>
        </w:rPr>
        <w:t>°</w:t>
      </w:r>
      <w:r>
        <w:t xml:space="preserve"> x 1</w:t>
      </w:r>
      <w:r>
        <w:rPr>
          <w:rFonts w:eastAsia="Times New Roman" w:cs="Calibri"/>
          <w:color w:val="000000"/>
          <w:lang w:eastAsia="fr-FR"/>
        </w:rPr>
        <w:t>°</w:t>
      </w:r>
      <w:r>
        <w:t xml:space="preserve"> </w:t>
      </w:r>
      <w:r w:rsidR="00A56BE1">
        <w:t>x month strata</w:t>
      </w:r>
      <w:r>
        <w:t xml:space="preserve"> </w:t>
      </w:r>
      <w:r w:rsidR="005F66F9">
        <w:t xml:space="preserve">aggregated </w:t>
      </w:r>
      <w:r w:rsidR="00BB0353">
        <w:t xml:space="preserve">per quarter </w:t>
      </w:r>
      <w:r>
        <w:t>in the Atlantic and Indian oceans</w:t>
      </w:r>
      <w:r w:rsidR="001742AE">
        <w:t>. T</w:t>
      </w:r>
      <w:r w:rsidR="001742AE" w:rsidRPr="00291B57">
        <w:t xml:space="preserve">here were 1132 </w:t>
      </w:r>
      <w:r w:rsidR="001742AE">
        <w:t>1</w:t>
      </w:r>
      <w:r w:rsidR="001742AE">
        <w:rPr>
          <w:rFonts w:eastAsia="Times New Roman" w:cs="Calibri"/>
          <w:color w:val="000000"/>
          <w:lang w:eastAsia="fr-FR"/>
        </w:rPr>
        <w:t>°</w:t>
      </w:r>
      <w:r w:rsidR="001742AE">
        <w:t xml:space="preserve"> x 1</w:t>
      </w:r>
      <w:r w:rsidR="001742AE">
        <w:rPr>
          <w:rFonts w:eastAsia="Times New Roman" w:cs="Calibri"/>
          <w:color w:val="000000"/>
          <w:lang w:eastAsia="fr-FR"/>
        </w:rPr>
        <w:t>°</w:t>
      </w:r>
      <w:r w:rsidR="001742AE">
        <w:t xml:space="preserve"> x month strata </w:t>
      </w:r>
      <w:r w:rsidR="001742AE" w:rsidRPr="00291B57">
        <w:t xml:space="preserve">occupied by fishing sets in the </w:t>
      </w:r>
      <w:r w:rsidR="001742AE">
        <w:t>Atlantic</w:t>
      </w:r>
      <w:r w:rsidR="001742AE" w:rsidRPr="00291B57">
        <w:t xml:space="preserve"> </w:t>
      </w:r>
      <w:r w:rsidR="00AF7EAD">
        <w:t xml:space="preserve">Ocean </w:t>
      </w:r>
      <w:r w:rsidR="001742AE" w:rsidRPr="00291B57">
        <w:t xml:space="preserve">and </w:t>
      </w:r>
      <w:r w:rsidR="00AF7EAD" w:rsidRPr="00291B57">
        <w:t>2001</w:t>
      </w:r>
      <w:r w:rsidR="00AF7EAD">
        <w:t xml:space="preserve"> in the</w:t>
      </w:r>
      <w:r w:rsidR="00AF7EAD" w:rsidRPr="00291B57">
        <w:t xml:space="preserve"> </w:t>
      </w:r>
      <w:r w:rsidR="001742AE">
        <w:t>I</w:t>
      </w:r>
      <w:r w:rsidR="00AF7EAD">
        <w:t>ndian Ocean</w:t>
      </w:r>
      <w:r w:rsidR="001742AE">
        <w:t>.</w:t>
      </w:r>
    </w:p>
    <w:p w14:paraId="6D0BBFF1" w14:textId="54DA9CE6" w:rsidR="003824DD" w:rsidRDefault="004F4150" w:rsidP="0099047A">
      <w:pPr>
        <w:jc w:val="center"/>
      </w:pPr>
      <w:r w:rsidRPr="004F4150">
        <w:rPr>
          <w:noProof/>
          <w:lang w:val="fr-FR" w:eastAsia="fr-FR"/>
        </w:rPr>
        <w:lastRenderedPageBreak/>
        <w:drawing>
          <wp:inline distT="0" distB="0" distL="0" distR="0" wp14:anchorId="0ED025EE" wp14:editId="2635D428">
            <wp:extent cx="5247903" cy="3931920"/>
            <wp:effectExtent l="0" t="0" r="0" b="0"/>
            <wp:docPr id="3" name="Image 3" descr="C:\Users\lmannocc\Desktop\new2\map_ao_Carcharhinus_falciformis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occ\Desktop\new2\map_ao_Carcharhinus_falciformis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150">
        <w:rPr>
          <w:noProof/>
          <w:lang w:val="fr-FR" w:eastAsia="fr-FR"/>
        </w:rPr>
        <w:drawing>
          <wp:inline distT="0" distB="0" distL="0" distR="0" wp14:anchorId="5C2A2681" wp14:editId="509F8E40">
            <wp:extent cx="5247903" cy="3931920"/>
            <wp:effectExtent l="0" t="0" r="0" b="0"/>
            <wp:docPr id="5" name="Image 5" descr="C:\Users\lmannocc\Desktop\new2\map_io_Carcharhinus_falciformis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annocc\Desktop\new2\map_io_Carcharhinus_falciformis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2047" w14:textId="2B3A3BAA" w:rsidR="003824DD" w:rsidRDefault="004A0033" w:rsidP="003824DD">
      <w:r>
        <w:t xml:space="preserve">Figure </w:t>
      </w:r>
      <w:r w:rsidR="00EF005E">
        <w:t>A</w:t>
      </w:r>
      <w:r>
        <w:t>-</w:t>
      </w:r>
      <w:r w:rsidR="00F375AB">
        <w:t>5</w:t>
      </w:r>
      <w:r w:rsidR="003824DD">
        <w:t xml:space="preserve">: Observed </w:t>
      </w:r>
      <w:r w:rsidR="003F0A24">
        <w:t xml:space="preserve">captured </w:t>
      </w:r>
      <w:r w:rsidR="006A3DE7">
        <w:t xml:space="preserve">numbers of </w:t>
      </w:r>
      <w:r w:rsidR="003824DD">
        <w:t>silky shark</w:t>
      </w:r>
      <w:r w:rsidR="006A3DE7">
        <w:t>s</w:t>
      </w:r>
      <w:r w:rsidR="003824DD" w:rsidRPr="0072302E">
        <w:t xml:space="preserve"> </w:t>
      </w:r>
      <w:r w:rsidR="00A43F43">
        <w:t xml:space="preserve">(FAL) </w:t>
      </w:r>
      <w:r w:rsidR="003824DD" w:rsidRPr="0072302E">
        <w:t xml:space="preserve">per </w:t>
      </w:r>
      <w:r w:rsidR="007B3C2A">
        <w:t xml:space="preserve">FOB fishing </w:t>
      </w:r>
      <w:r w:rsidR="003824DD" w:rsidRPr="0072302E">
        <w:t xml:space="preserve">set </w:t>
      </w:r>
      <w:r w:rsidR="003824DD">
        <w:t xml:space="preserve">per </w:t>
      </w:r>
      <w:r w:rsidR="00B15545">
        <w:t>1 x 1</w:t>
      </w:r>
      <w:r w:rsidR="007849E2">
        <w:rPr>
          <w:rFonts w:cstheme="minorHAnsi"/>
        </w:rPr>
        <w:t>°</w:t>
      </w:r>
      <w:r w:rsidR="007849E2">
        <w:t xml:space="preserve"> </w:t>
      </w:r>
      <w:r w:rsidR="00A56BE1">
        <w:t>x month strata</w:t>
      </w:r>
      <w:r w:rsidR="007849E2">
        <w:t xml:space="preserve"> </w:t>
      </w:r>
      <w:r w:rsidR="005F66F9">
        <w:t xml:space="preserve">aggregated </w:t>
      </w:r>
      <w:r w:rsidR="00BB0353">
        <w:t xml:space="preserve">per quarter </w:t>
      </w:r>
      <w:r w:rsidR="003824DD" w:rsidRPr="0072302E">
        <w:t xml:space="preserve">in </w:t>
      </w:r>
      <w:r w:rsidR="003824DD">
        <w:t xml:space="preserve">each ocean. Observation maps use the same color scales as their corresponding </w:t>
      </w:r>
      <w:r w:rsidR="00ED6331">
        <w:t xml:space="preserve">prediction </w:t>
      </w:r>
      <w:r w:rsidR="00B15545">
        <w:t xml:space="preserve">maps in </w:t>
      </w:r>
      <w:r w:rsidR="00195919">
        <w:t>Appendix D</w:t>
      </w:r>
      <w:r w:rsidR="00ED6331">
        <w:t>,</w:t>
      </w:r>
      <w:r w:rsidR="003824DD">
        <w:t xml:space="preserve"> with observed values squeezed </w:t>
      </w:r>
      <w:r w:rsidR="003824DD" w:rsidRPr="00CD571E">
        <w:t xml:space="preserve">into the range </w:t>
      </w:r>
      <w:r w:rsidR="003824DD">
        <w:t>of predictions values to facilitate visual comparison.</w:t>
      </w:r>
    </w:p>
    <w:p w14:paraId="7E9F98FC" w14:textId="77777777" w:rsidR="004F4150" w:rsidRDefault="004F4150" w:rsidP="0099047A">
      <w:pPr>
        <w:jc w:val="center"/>
      </w:pPr>
      <w:r w:rsidRPr="004F4150">
        <w:rPr>
          <w:noProof/>
          <w:lang w:val="fr-FR" w:eastAsia="fr-FR"/>
        </w:rPr>
        <w:lastRenderedPageBreak/>
        <w:drawing>
          <wp:inline distT="0" distB="0" distL="0" distR="0" wp14:anchorId="2AFD6C37" wp14:editId="0408226D">
            <wp:extent cx="5247903" cy="3931920"/>
            <wp:effectExtent l="0" t="0" r="0" b="0"/>
            <wp:docPr id="17" name="Image 17" descr="C:\Users\lmannocc\Desktop\new2\map_ao_Canthidermis_maculata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annocc\Desktop\new2\map_ao_Canthidermis_maculata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0F65" w14:textId="53A1BB69" w:rsidR="003824DD" w:rsidRDefault="004F4150" w:rsidP="0099047A">
      <w:pPr>
        <w:jc w:val="center"/>
      </w:pPr>
      <w:r w:rsidRPr="004F4150">
        <w:rPr>
          <w:noProof/>
          <w:lang w:val="fr-FR" w:eastAsia="fr-FR"/>
        </w:rPr>
        <w:drawing>
          <wp:inline distT="0" distB="0" distL="0" distR="0" wp14:anchorId="572D3ACB" wp14:editId="44C3797D">
            <wp:extent cx="5247903" cy="3931920"/>
            <wp:effectExtent l="0" t="0" r="0" b="0"/>
            <wp:docPr id="14" name="Image 14" descr="C:\Users\lmannocc\Desktop\new2\map_io_Canthidermis_maculata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nnocc\Desktop\new2\map_io_Canthidermis_maculata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9BFB" w14:textId="19FFCC66" w:rsidR="003824DD" w:rsidRDefault="004A0033" w:rsidP="00DF5A28">
      <w:r>
        <w:t xml:space="preserve">Figure </w:t>
      </w:r>
      <w:r w:rsidR="00EF005E">
        <w:t>A</w:t>
      </w:r>
      <w:r>
        <w:t>-</w:t>
      </w:r>
      <w:r w:rsidR="00F375AB">
        <w:t>6</w:t>
      </w:r>
      <w:r w:rsidR="003824DD">
        <w:t xml:space="preserve">: </w:t>
      </w:r>
      <w:r w:rsidR="006A3DE7">
        <w:t xml:space="preserve">Observed </w:t>
      </w:r>
      <w:r w:rsidR="003F0A24">
        <w:t xml:space="preserve">captured </w:t>
      </w:r>
      <w:r w:rsidR="006A3DE7">
        <w:t>numbers of oceanic triggerfishes</w:t>
      </w:r>
      <w:r w:rsidR="006A3DE7" w:rsidRPr="0072302E">
        <w:t xml:space="preserve"> </w:t>
      </w:r>
      <w:r w:rsidR="00A43F43">
        <w:t xml:space="preserve">(CNT) </w:t>
      </w:r>
      <w:r w:rsidR="006A3DE7" w:rsidRPr="0072302E">
        <w:t xml:space="preserve">per </w:t>
      </w:r>
      <w:r w:rsidR="007B3C2A">
        <w:t xml:space="preserve">FOB fishing </w:t>
      </w:r>
      <w:r w:rsidR="006A3DE7" w:rsidRPr="0072302E">
        <w:t xml:space="preserve">set </w:t>
      </w:r>
      <w:r w:rsidR="006A3DE7">
        <w:t xml:space="preserve">per </w:t>
      </w:r>
      <w:r w:rsidR="00B15545">
        <w:t>1 x 1</w:t>
      </w:r>
      <w:r w:rsidR="006A3DE7">
        <w:rPr>
          <w:rFonts w:cstheme="minorHAnsi"/>
        </w:rPr>
        <w:t>°</w:t>
      </w:r>
      <w:r w:rsidR="006A3DE7">
        <w:t xml:space="preserve"> </w:t>
      </w:r>
      <w:r w:rsidR="00A56BE1">
        <w:t xml:space="preserve">x month strata </w:t>
      </w:r>
      <w:r w:rsidR="005F66F9">
        <w:t xml:space="preserve">aggregated </w:t>
      </w:r>
      <w:r w:rsidR="00BB0353">
        <w:t xml:space="preserve">per quarter </w:t>
      </w:r>
      <w:r w:rsidR="003824DD" w:rsidRPr="0072302E">
        <w:t xml:space="preserve">in </w:t>
      </w:r>
      <w:r w:rsidR="003824DD">
        <w:t xml:space="preserve">each ocean. Observation maps use the same color scales as their corresponding </w:t>
      </w:r>
      <w:r w:rsidR="00B15545">
        <w:t xml:space="preserve">prediction maps in </w:t>
      </w:r>
      <w:r w:rsidR="00195919">
        <w:t>Appendix D</w:t>
      </w:r>
      <w:r w:rsidR="00ED6331">
        <w:t>,</w:t>
      </w:r>
      <w:r w:rsidR="003824DD">
        <w:t xml:space="preserve"> with observed values squeezed </w:t>
      </w:r>
      <w:r w:rsidR="003824DD" w:rsidRPr="00CD571E">
        <w:t xml:space="preserve">into the range </w:t>
      </w:r>
      <w:r w:rsidR="003824DD">
        <w:t>of predictions values to facilitate visual comparison.</w:t>
      </w:r>
    </w:p>
    <w:p w14:paraId="6FC40B21" w14:textId="77777777" w:rsidR="004F4150" w:rsidRDefault="004F4150" w:rsidP="0099047A">
      <w:pPr>
        <w:jc w:val="center"/>
      </w:pPr>
      <w:r w:rsidRPr="004F4150">
        <w:rPr>
          <w:noProof/>
          <w:lang w:val="fr-FR" w:eastAsia="fr-FR"/>
        </w:rPr>
        <w:lastRenderedPageBreak/>
        <w:drawing>
          <wp:inline distT="0" distB="0" distL="0" distR="0" wp14:anchorId="7A19D394" wp14:editId="15058FD5">
            <wp:extent cx="5247903" cy="3931920"/>
            <wp:effectExtent l="0" t="0" r="0" b="0"/>
            <wp:docPr id="19" name="Image 19" descr="C:\Users\lmannocc\Desktop\new2\map_ao_Elagatis_bipinnulata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annocc\Desktop\new2\map_ao_Elagatis_bipinnulata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193E" w14:textId="588B36D9" w:rsidR="00DF5A28" w:rsidRDefault="004F4150" w:rsidP="0099047A">
      <w:pPr>
        <w:jc w:val="center"/>
      </w:pPr>
      <w:r w:rsidRPr="004F4150">
        <w:rPr>
          <w:noProof/>
          <w:lang w:val="fr-FR" w:eastAsia="fr-FR"/>
        </w:rPr>
        <w:drawing>
          <wp:inline distT="0" distB="0" distL="0" distR="0" wp14:anchorId="4BD6C4A2" wp14:editId="021F10D0">
            <wp:extent cx="5247903" cy="3931920"/>
            <wp:effectExtent l="0" t="0" r="0" b="0"/>
            <wp:docPr id="18" name="Image 18" descr="C:\Users\lmannocc\Desktop\new2\map_io_Elagatis_bipinnulata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annocc\Desktop\new2\map_io_Elagatis_bipinnulata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B6FD" w14:textId="1285F253" w:rsidR="003824DD" w:rsidRDefault="00DF5A28" w:rsidP="00DF5A28">
      <w:r>
        <w:t xml:space="preserve">Figure </w:t>
      </w:r>
      <w:r w:rsidR="00EF005E">
        <w:t>A</w:t>
      </w:r>
      <w:r w:rsidR="004A0033">
        <w:t>-</w:t>
      </w:r>
      <w:r w:rsidR="00F375AB">
        <w:t>7</w:t>
      </w:r>
      <w:r>
        <w:t xml:space="preserve">: </w:t>
      </w:r>
      <w:r w:rsidR="006A3DE7">
        <w:t xml:space="preserve">Observed </w:t>
      </w:r>
      <w:r w:rsidR="003F0A24">
        <w:t xml:space="preserve">captured </w:t>
      </w:r>
      <w:r w:rsidR="006A3DE7">
        <w:t>numbers of rainbow runners</w:t>
      </w:r>
      <w:r w:rsidR="006A3DE7" w:rsidRPr="0072302E">
        <w:t xml:space="preserve"> </w:t>
      </w:r>
      <w:r w:rsidR="007E0B3D">
        <w:t xml:space="preserve">(RRU) </w:t>
      </w:r>
      <w:r w:rsidR="006A3DE7" w:rsidRPr="0072302E">
        <w:t xml:space="preserve">per </w:t>
      </w:r>
      <w:r w:rsidR="007B3C2A">
        <w:t xml:space="preserve">FOB fishing </w:t>
      </w:r>
      <w:r w:rsidR="006A3DE7" w:rsidRPr="0072302E">
        <w:t xml:space="preserve">set </w:t>
      </w:r>
      <w:r w:rsidR="006A3DE7">
        <w:t xml:space="preserve">per </w:t>
      </w:r>
      <w:r w:rsidR="00B15545">
        <w:t>1 x 1</w:t>
      </w:r>
      <w:r w:rsidR="006A3DE7">
        <w:rPr>
          <w:rFonts w:cstheme="minorHAnsi"/>
        </w:rPr>
        <w:t>°</w:t>
      </w:r>
      <w:r w:rsidR="006A3DE7">
        <w:t xml:space="preserve"> </w:t>
      </w:r>
      <w:r w:rsidR="00A56BE1">
        <w:t xml:space="preserve">x month strata </w:t>
      </w:r>
      <w:r w:rsidR="005F66F9">
        <w:t xml:space="preserve">aggregated </w:t>
      </w:r>
      <w:r w:rsidR="00BB0353">
        <w:t>per quarter</w:t>
      </w:r>
      <w:r w:rsidR="006A3DE7">
        <w:t xml:space="preserve"> </w:t>
      </w:r>
      <w:r w:rsidRPr="0072302E">
        <w:t xml:space="preserve">in </w:t>
      </w:r>
      <w:r>
        <w:t xml:space="preserve">each </w:t>
      </w:r>
      <w:r w:rsidR="00FD35A6">
        <w:t xml:space="preserve">ocean. Observation maps use </w:t>
      </w:r>
      <w:r>
        <w:t>the same color scales as their corresponding prediction maps</w:t>
      </w:r>
      <w:r w:rsidR="00B15545">
        <w:t xml:space="preserve"> in </w:t>
      </w:r>
      <w:r w:rsidR="00195919">
        <w:t>Appendix D</w:t>
      </w:r>
      <w:r>
        <w:t xml:space="preserve">, with observed values squeezed </w:t>
      </w:r>
      <w:r w:rsidRPr="00CD571E">
        <w:t xml:space="preserve">into the range </w:t>
      </w:r>
      <w:r>
        <w:t>of predictions values to facilitate visual comparison.</w:t>
      </w:r>
    </w:p>
    <w:p w14:paraId="62C27BE9" w14:textId="77777777" w:rsidR="004F4150" w:rsidRDefault="004F4150" w:rsidP="0099047A">
      <w:pPr>
        <w:jc w:val="center"/>
      </w:pPr>
      <w:r w:rsidRPr="004F4150">
        <w:rPr>
          <w:noProof/>
          <w:lang w:val="fr-FR" w:eastAsia="fr-FR"/>
        </w:rPr>
        <w:lastRenderedPageBreak/>
        <w:drawing>
          <wp:inline distT="0" distB="0" distL="0" distR="0" wp14:anchorId="1DB41C03" wp14:editId="5EDCF22D">
            <wp:extent cx="5247903" cy="3931920"/>
            <wp:effectExtent l="0" t="0" r="0" b="0"/>
            <wp:docPr id="21" name="Image 21" descr="C:\Users\lmannocc\Desktop\new2\map_ao_Acanthocybium_solandri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annocc\Desktop\new2\map_ao_Acanthocybium_solandri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66E2" w14:textId="6207DD52" w:rsidR="00DF5A28" w:rsidRDefault="004F4150" w:rsidP="0099047A">
      <w:pPr>
        <w:jc w:val="center"/>
      </w:pPr>
      <w:r w:rsidRPr="004F4150">
        <w:rPr>
          <w:noProof/>
          <w:lang w:val="fr-FR" w:eastAsia="fr-FR"/>
        </w:rPr>
        <w:drawing>
          <wp:inline distT="0" distB="0" distL="0" distR="0" wp14:anchorId="21A36094" wp14:editId="18E36ED4">
            <wp:extent cx="5247903" cy="3931920"/>
            <wp:effectExtent l="0" t="0" r="0" b="0"/>
            <wp:docPr id="20" name="Image 20" descr="C:\Users\lmannocc\Desktop\new2\map_io_Acanthocybium_solandri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annocc\Desktop\new2\map_io_Acanthocybium_solandri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8723" w14:textId="2B536AE7" w:rsidR="003824DD" w:rsidRDefault="00DF5A28" w:rsidP="003824DD">
      <w:r>
        <w:t xml:space="preserve">Figure </w:t>
      </w:r>
      <w:r w:rsidR="00EF005E">
        <w:t>A</w:t>
      </w:r>
      <w:r w:rsidR="004A0033">
        <w:t>-</w:t>
      </w:r>
      <w:r w:rsidR="00F375AB">
        <w:t>8</w:t>
      </w:r>
      <w:r>
        <w:t xml:space="preserve">: </w:t>
      </w:r>
      <w:r w:rsidR="006A3DE7">
        <w:t xml:space="preserve">Observed </w:t>
      </w:r>
      <w:r w:rsidR="003F0A24">
        <w:t xml:space="preserve">captured </w:t>
      </w:r>
      <w:r w:rsidR="006A3DE7">
        <w:t xml:space="preserve">numbers of </w:t>
      </w:r>
      <w:proofErr w:type="spellStart"/>
      <w:r w:rsidR="006A3DE7">
        <w:t>wahoos</w:t>
      </w:r>
      <w:proofErr w:type="spellEnd"/>
      <w:r w:rsidR="006A3DE7" w:rsidRPr="0072302E">
        <w:t xml:space="preserve"> </w:t>
      </w:r>
      <w:r w:rsidR="007E0B3D">
        <w:t xml:space="preserve">(WAH) </w:t>
      </w:r>
      <w:r w:rsidR="006A3DE7" w:rsidRPr="0072302E">
        <w:t xml:space="preserve">per </w:t>
      </w:r>
      <w:r w:rsidR="007B3C2A">
        <w:t xml:space="preserve">FOB fishing </w:t>
      </w:r>
      <w:r w:rsidR="006A3DE7" w:rsidRPr="0072302E">
        <w:t xml:space="preserve">set </w:t>
      </w:r>
      <w:r w:rsidR="006A3DE7">
        <w:t xml:space="preserve">per </w:t>
      </w:r>
      <w:r w:rsidR="00B15545">
        <w:t>1 x 1</w:t>
      </w:r>
      <w:r w:rsidR="006A3DE7">
        <w:rPr>
          <w:rFonts w:cstheme="minorHAnsi"/>
        </w:rPr>
        <w:t>°</w:t>
      </w:r>
      <w:r w:rsidR="006A3DE7">
        <w:t xml:space="preserve"> </w:t>
      </w:r>
      <w:r w:rsidR="00A56BE1">
        <w:t xml:space="preserve">x month strata </w:t>
      </w:r>
      <w:r w:rsidR="005F66F9">
        <w:t xml:space="preserve">aggregated </w:t>
      </w:r>
      <w:r w:rsidR="00BB0353">
        <w:t xml:space="preserve">per quarter </w:t>
      </w:r>
      <w:r w:rsidRPr="0072302E">
        <w:t xml:space="preserve">in </w:t>
      </w:r>
      <w:r>
        <w:t xml:space="preserve">each ocean. Observation maps use the same color scales as their corresponding </w:t>
      </w:r>
      <w:r w:rsidR="00B15545">
        <w:t xml:space="preserve">prediction maps in </w:t>
      </w:r>
      <w:r w:rsidR="00195919">
        <w:t>Appendix D</w:t>
      </w:r>
      <w:r w:rsidR="00ED6331">
        <w:t>,</w:t>
      </w:r>
      <w:r>
        <w:t xml:space="preserve"> with observed values squeezed </w:t>
      </w:r>
      <w:r w:rsidRPr="00CD571E">
        <w:t xml:space="preserve">into the range </w:t>
      </w:r>
      <w:r>
        <w:t>of predictions values to facilitate visual comparison.</w:t>
      </w:r>
    </w:p>
    <w:p w14:paraId="44C32BEB" w14:textId="77777777" w:rsidR="004F4150" w:rsidRDefault="004F4150" w:rsidP="0099047A">
      <w:pPr>
        <w:jc w:val="center"/>
      </w:pPr>
      <w:r w:rsidRPr="004F4150">
        <w:rPr>
          <w:noProof/>
          <w:lang w:val="fr-FR" w:eastAsia="fr-FR"/>
        </w:rPr>
        <w:lastRenderedPageBreak/>
        <w:drawing>
          <wp:inline distT="0" distB="0" distL="0" distR="0" wp14:anchorId="42FBEC4E" wp14:editId="225F3BAE">
            <wp:extent cx="5247903" cy="3931920"/>
            <wp:effectExtent l="0" t="0" r="0" b="0"/>
            <wp:docPr id="23" name="Image 23" descr="C:\Users\lmannocc\Desktop\new2\map_ao_Coryphaena_hippurus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mannocc\Desktop\new2\map_ao_Coryphaena_hippurus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46B2" w14:textId="5DA958DE" w:rsidR="003824DD" w:rsidRDefault="004F4150" w:rsidP="0099047A">
      <w:pPr>
        <w:jc w:val="center"/>
      </w:pPr>
      <w:r w:rsidRPr="004F4150">
        <w:rPr>
          <w:noProof/>
          <w:lang w:val="fr-FR" w:eastAsia="fr-FR"/>
        </w:rPr>
        <w:drawing>
          <wp:inline distT="0" distB="0" distL="0" distR="0" wp14:anchorId="55A5522A" wp14:editId="718273FB">
            <wp:extent cx="5247903" cy="3931920"/>
            <wp:effectExtent l="0" t="0" r="0" b="0"/>
            <wp:docPr id="22" name="Image 22" descr="C:\Users\lmannocc\Desktop\new2\map_io_Coryphaena_hippurus_nb_per_set_quar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mannocc\Desktop\new2\map_io_Coryphaena_hippurus_nb_per_set_quarter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3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D8C3" w14:textId="3584E827" w:rsidR="000C0FAD" w:rsidRPr="009642D3" w:rsidRDefault="0099047A" w:rsidP="00DA7749">
      <w:pPr>
        <w:rPr>
          <w:rStyle w:val="Titre1C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Figure </w:t>
      </w:r>
      <w:r w:rsidR="00EF005E">
        <w:t>A</w:t>
      </w:r>
      <w:r>
        <w:t>-</w:t>
      </w:r>
      <w:r w:rsidR="00F375AB">
        <w:t>9</w:t>
      </w:r>
      <w:r w:rsidR="003824DD">
        <w:t xml:space="preserve">: </w:t>
      </w:r>
      <w:r w:rsidR="006A3DE7">
        <w:t xml:space="preserve">Observed </w:t>
      </w:r>
      <w:r w:rsidR="003F0A24">
        <w:t xml:space="preserve">captured </w:t>
      </w:r>
      <w:r w:rsidR="006A3DE7">
        <w:t xml:space="preserve">numbers of </w:t>
      </w:r>
      <w:r w:rsidR="00810EA1">
        <w:t xml:space="preserve">dolphinfishes </w:t>
      </w:r>
      <w:r w:rsidR="004D64F0">
        <w:t xml:space="preserve">(DOL) </w:t>
      </w:r>
      <w:r w:rsidR="006A3DE7" w:rsidRPr="0072302E">
        <w:t xml:space="preserve">per </w:t>
      </w:r>
      <w:r w:rsidR="007B3C2A">
        <w:t xml:space="preserve">FOB fishing </w:t>
      </w:r>
      <w:r w:rsidR="006A3DE7" w:rsidRPr="0072302E">
        <w:t xml:space="preserve">set </w:t>
      </w:r>
      <w:r w:rsidR="006A3DE7">
        <w:t xml:space="preserve">per </w:t>
      </w:r>
      <w:r w:rsidR="00B15545">
        <w:t>1 x 1</w:t>
      </w:r>
      <w:r w:rsidR="006A3DE7">
        <w:rPr>
          <w:rFonts w:cstheme="minorHAnsi"/>
        </w:rPr>
        <w:t>°</w:t>
      </w:r>
      <w:r w:rsidR="006A3DE7">
        <w:t xml:space="preserve"> </w:t>
      </w:r>
      <w:r w:rsidR="00A56BE1">
        <w:t xml:space="preserve">x month strata </w:t>
      </w:r>
      <w:r w:rsidR="005F66F9">
        <w:t xml:space="preserve">aggregated </w:t>
      </w:r>
      <w:r w:rsidR="00BB0353">
        <w:t xml:space="preserve">per quarter </w:t>
      </w:r>
      <w:r w:rsidR="003824DD" w:rsidRPr="0072302E">
        <w:t xml:space="preserve">in </w:t>
      </w:r>
      <w:r w:rsidR="003824DD">
        <w:t xml:space="preserve">each ocean. Observation maps use the same color scales as their corresponding </w:t>
      </w:r>
      <w:r w:rsidR="00ED6331">
        <w:t xml:space="preserve">prediction maps </w:t>
      </w:r>
      <w:r w:rsidR="00B15545">
        <w:t xml:space="preserve">in </w:t>
      </w:r>
      <w:r w:rsidR="00195919">
        <w:t>Appendix D</w:t>
      </w:r>
      <w:r w:rsidR="00B15545">
        <w:t>,</w:t>
      </w:r>
      <w:r w:rsidR="003824DD">
        <w:t xml:space="preserve"> with observed values squeezed </w:t>
      </w:r>
      <w:r w:rsidR="003824DD" w:rsidRPr="00CD571E">
        <w:t xml:space="preserve">into the range </w:t>
      </w:r>
      <w:r w:rsidR="003824DD">
        <w:t>of predictions values to facilitate visual comparison.</w:t>
      </w:r>
    </w:p>
    <w:sectPr w:rsidR="000C0FAD" w:rsidRPr="009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_TIN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AD"/>
    <w:rsid w:val="00023E8A"/>
    <w:rsid w:val="00046C68"/>
    <w:rsid w:val="00066F06"/>
    <w:rsid w:val="000837E3"/>
    <w:rsid w:val="00090103"/>
    <w:rsid w:val="00095513"/>
    <w:rsid w:val="000C0FAD"/>
    <w:rsid w:val="000E097C"/>
    <w:rsid w:val="001351ED"/>
    <w:rsid w:val="00143523"/>
    <w:rsid w:val="001675F8"/>
    <w:rsid w:val="00171A5D"/>
    <w:rsid w:val="001742AE"/>
    <w:rsid w:val="001808DC"/>
    <w:rsid w:val="00195919"/>
    <w:rsid w:val="001E7A50"/>
    <w:rsid w:val="00264B65"/>
    <w:rsid w:val="00264E08"/>
    <w:rsid w:val="00275E7B"/>
    <w:rsid w:val="002762CB"/>
    <w:rsid w:val="00290083"/>
    <w:rsid w:val="00290977"/>
    <w:rsid w:val="002E5210"/>
    <w:rsid w:val="0031459C"/>
    <w:rsid w:val="00324D99"/>
    <w:rsid w:val="00330AD6"/>
    <w:rsid w:val="0033653C"/>
    <w:rsid w:val="00345041"/>
    <w:rsid w:val="00353CC3"/>
    <w:rsid w:val="00354C39"/>
    <w:rsid w:val="00370044"/>
    <w:rsid w:val="003824DD"/>
    <w:rsid w:val="003B3052"/>
    <w:rsid w:val="003B38E8"/>
    <w:rsid w:val="003C1E4A"/>
    <w:rsid w:val="003D2C5B"/>
    <w:rsid w:val="003D49C3"/>
    <w:rsid w:val="003E2CE3"/>
    <w:rsid w:val="003F0A24"/>
    <w:rsid w:val="003F3DD4"/>
    <w:rsid w:val="00407F20"/>
    <w:rsid w:val="00435150"/>
    <w:rsid w:val="00471609"/>
    <w:rsid w:val="00485D03"/>
    <w:rsid w:val="004A0033"/>
    <w:rsid w:val="004A2065"/>
    <w:rsid w:val="004A3317"/>
    <w:rsid w:val="004D2664"/>
    <w:rsid w:val="004D64F0"/>
    <w:rsid w:val="004F4150"/>
    <w:rsid w:val="00501464"/>
    <w:rsid w:val="00503EE9"/>
    <w:rsid w:val="0055305A"/>
    <w:rsid w:val="0056628C"/>
    <w:rsid w:val="005670F5"/>
    <w:rsid w:val="0058403C"/>
    <w:rsid w:val="005947C0"/>
    <w:rsid w:val="005B17EF"/>
    <w:rsid w:val="005B5192"/>
    <w:rsid w:val="005E0206"/>
    <w:rsid w:val="005E3D68"/>
    <w:rsid w:val="005F66F9"/>
    <w:rsid w:val="006211B1"/>
    <w:rsid w:val="00643BE1"/>
    <w:rsid w:val="00643CDC"/>
    <w:rsid w:val="006602E1"/>
    <w:rsid w:val="006645B4"/>
    <w:rsid w:val="0067169E"/>
    <w:rsid w:val="006A3DE7"/>
    <w:rsid w:val="006A4F78"/>
    <w:rsid w:val="006C3424"/>
    <w:rsid w:val="006F2678"/>
    <w:rsid w:val="006F5825"/>
    <w:rsid w:val="007038D3"/>
    <w:rsid w:val="00710F57"/>
    <w:rsid w:val="0071260D"/>
    <w:rsid w:val="00725BA2"/>
    <w:rsid w:val="007405B1"/>
    <w:rsid w:val="00741D48"/>
    <w:rsid w:val="00766A9F"/>
    <w:rsid w:val="00774825"/>
    <w:rsid w:val="007849E2"/>
    <w:rsid w:val="00790002"/>
    <w:rsid w:val="007B3C2A"/>
    <w:rsid w:val="007C58B7"/>
    <w:rsid w:val="007E0B3D"/>
    <w:rsid w:val="007E3774"/>
    <w:rsid w:val="008020BE"/>
    <w:rsid w:val="00810EA1"/>
    <w:rsid w:val="008116A7"/>
    <w:rsid w:val="00813FC1"/>
    <w:rsid w:val="00836AC1"/>
    <w:rsid w:val="00837C03"/>
    <w:rsid w:val="00846FE6"/>
    <w:rsid w:val="00860E33"/>
    <w:rsid w:val="00865D56"/>
    <w:rsid w:val="00891A08"/>
    <w:rsid w:val="008A28B5"/>
    <w:rsid w:val="008A34CA"/>
    <w:rsid w:val="008B171B"/>
    <w:rsid w:val="008C3EBE"/>
    <w:rsid w:val="008D24E1"/>
    <w:rsid w:val="0093073B"/>
    <w:rsid w:val="00934470"/>
    <w:rsid w:val="009455F8"/>
    <w:rsid w:val="009548D6"/>
    <w:rsid w:val="00963C5C"/>
    <w:rsid w:val="009642D3"/>
    <w:rsid w:val="00976F8B"/>
    <w:rsid w:val="0099047A"/>
    <w:rsid w:val="009A3485"/>
    <w:rsid w:val="009B2DE4"/>
    <w:rsid w:val="009B5BC8"/>
    <w:rsid w:val="009B6426"/>
    <w:rsid w:val="009C3270"/>
    <w:rsid w:val="009D774C"/>
    <w:rsid w:val="009D7F02"/>
    <w:rsid w:val="009E505E"/>
    <w:rsid w:val="00A03752"/>
    <w:rsid w:val="00A108C2"/>
    <w:rsid w:val="00A12326"/>
    <w:rsid w:val="00A14CB5"/>
    <w:rsid w:val="00A2199F"/>
    <w:rsid w:val="00A438B7"/>
    <w:rsid w:val="00A43F43"/>
    <w:rsid w:val="00A56BE1"/>
    <w:rsid w:val="00A56C64"/>
    <w:rsid w:val="00A803EF"/>
    <w:rsid w:val="00A844B0"/>
    <w:rsid w:val="00AA2302"/>
    <w:rsid w:val="00AC2B16"/>
    <w:rsid w:val="00AD19DF"/>
    <w:rsid w:val="00AD757F"/>
    <w:rsid w:val="00AF7EAD"/>
    <w:rsid w:val="00B10C3E"/>
    <w:rsid w:val="00B15545"/>
    <w:rsid w:val="00B162E2"/>
    <w:rsid w:val="00B24FE4"/>
    <w:rsid w:val="00B259E4"/>
    <w:rsid w:val="00B3287D"/>
    <w:rsid w:val="00B464BA"/>
    <w:rsid w:val="00B73E03"/>
    <w:rsid w:val="00B843DB"/>
    <w:rsid w:val="00BA38CF"/>
    <w:rsid w:val="00BB0353"/>
    <w:rsid w:val="00BD66AE"/>
    <w:rsid w:val="00BE0E3D"/>
    <w:rsid w:val="00BE10AE"/>
    <w:rsid w:val="00BE72D1"/>
    <w:rsid w:val="00BF4F8B"/>
    <w:rsid w:val="00C111C8"/>
    <w:rsid w:val="00C70F53"/>
    <w:rsid w:val="00C71ABB"/>
    <w:rsid w:val="00C75942"/>
    <w:rsid w:val="00C82DF5"/>
    <w:rsid w:val="00C90584"/>
    <w:rsid w:val="00C91CB7"/>
    <w:rsid w:val="00CA1222"/>
    <w:rsid w:val="00CC3EB9"/>
    <w:rsid w:val="00CD571E"/>
    <w:rsid w:val="00CE16AD"/>
    <w:rsid w:val="00D30804"/>
    <w:rsid w:val="00D31E3A"/>
    <w:rsid w:val="00D34234"/>
    <w:rsid w:val="00D66F75"/>
    <w:rsid w:val="00D75DCB"/>
    <w:rsid w:val="00D82EF9"/>
    <w:rsid w:val="00D870B7"/>
    <w:rsid w:val="00DA7749"/>
    <w:rsid w:val="00DD3D9D"/>
    <w:rsid w:val="00DD518B"/>
    <w:rsid w:val="00DF5A28"/>
    <w:rsid w:val="00E13D4D"/>
    <w:rsid w:val="00E4482C"/>
    <w:rsid w:val="00E676EC"/>
    <w:rsid w:val="00E76BA4"/>
    <w:rsid w:val="00E82043"/>
    <w:rsid w:val="00E823DA"/>
    <w:rsid w:val="00EA1A01"/>
    <w:rsid w:val="00EC74D4"/>
    <w:rsid w:val="00ED6331"/>
    <w:rsid w:val="00ED6570"/>
    <w:rsid w:val="00EF005E"/>
    <w:rsid w:val="00EF7A2E"/>
    <w:rsid w:val="00F06518"/>
    <w:rsid w:val="00F320E6"/>
    <w:rsid w:val="00F375AB"/>
    <w:rsid w:val="00F7112A"/>
    <w:rsid w:val="00F716CA"/>
    <w:rsid w:val="00F80C8F"/>
    <w:rsid w:val="00FA46D3"/>
    <w:rsid w:val="00FB04C2"/>
    <w:rsid w:val="00FC21ED"/>
    <w:rsid w:val="00FC239F"/>
    <w:rsid w:val="00FD35A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912F"/>
  <w15:chartTrackingRefBased/>
  <w15:docId w15:val="{B27D69F9-82CB-4387-9B0C-782749B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AD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0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0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0F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C0F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Textedelespacerserv">
    <w:name w:val="Placeholder Text"/>
    <w:basedOn w:val="Policepardfaut"/>
    <w:uiPriority w:val="99"/>
    <w:semiHidden/>
    <w:rsid w:val="009D774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E7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A50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A50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A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Laura Mannocci</cp:lastModifiedBy>
  <cp:revision>196</cp:revision>
  <dcterms:created xsi:type="dcterms:W3CDTF">2019-06-19T08:53:00Z</dcterms:created>
  <dcterms:modified xsi:type="dcterms:W3CDTF">2020-08-12T09:47:00Z</dcterms:modified>
</cp:coreProperties>
</file>