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83D39" w14:textId="77777777" w:rsidR="00FA1481" w:rsidRDefault="00664A12" w:rsidP="00E40896">
      <w:pPr>
        <w:jc w:val="center"/>
        <w:rPr>
          <w:sz w:val="36"/>
          <w:szCs w:val="36"/>
        </w:rPr>
      </w:pPr>
      <w:r>
        <w:rPr>
          <w:noProof/>
          <w:sz w:val="36"/>
          <w:szCs w:val="36"/>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310752EF" w:rsidR="00CE6EAA" w:rsidRPr="00BF1BF9" w:rsidRDefault="00DB5FEB" w:rsidP="00FF3503">
      <w:pPr>
        <w:spacing w:before="100" w:beforeAutospacing="1" w:after="100" w:afterAutospacing="1"/>
        <w:jc w:val="center"/>
        <w:rPr>
          <w:rFonts w:ascii="Myriad Pro" w:hAnsi="Myriad Pro"/>
          <w:i/>
          <w:sz w:val="22"/>
          <w:szCs w:val="22"/>
        </w:rPr>
      </w:pPr>
      <w:r>
        <w:rPr>
          <w:i/>
        </w:rPr>
        <w:t>JGR-Oceans SOCCOM Special Issu</w:t>
      </w:r>
      <w:r>
        <w:rPr>
          <w:rFonts w:ascii="Myriad Pro" w:hAnsi="Myriad Pro"/>
          <w:i/>
          <w:sz w:val="22"/>
          <w:szCs w:val="22"/>
        </w:rPr>
        <w:t>e</w:t>
      </w:r>
    </w:p>
    <w:p w14:paraId="2CB29489" w14:textId="77777777" w:rsidR="00FF3503" w:rsidRPr="00800875" w:rsidRDefault="00FF3503" w:rsidP="00FF3503">
      <w:pPr>
        <w:spacing w:before="100" w:beforeAutospacing="1" w:after="100" w:afterAutospacing="1"/>
        <w:jc w:val="center"/>
        <w:rPr>
          <w:szCs w:val="22"/>
        </w:rPr>
      </w:pPr>
      <w:r w:rsidRPr="00800875">
        <w:rPr>
          <w:szCs w:val="22"/>
        </w:rPr>
        <w:t>Supporting Information for</w:t>
      </w:r>
    </w:p>
    <w:p w14:paraId="59F910A1" w14:textId="1E51F639" w:rsidR="00FF3503" w:rsidRPr="00B77E40" w:rsidRDefault="00F074C2" w:rsidP="00FF3503">
      <w:pPr>
        <w:spacing w:before="100" w:beforeAutospacing="1" w:after="100" w:afterAutospacing="1"/>
        <w:jc w:val="center"/>
        <w:rPr>
          <w:rFonts w:ascii="Myriad Pro" w:hAnsi="Myriad Pro"/>
          <w:b/>
          <w:sz w:val="22"/>
          <w:szCs w:val="22"/>
        </w:rPr>
      </w:pPr>
      <w:r>
        <w:t xml:space="preserve">Metrics </w:t>
      </w:r>
      <w:r w:rsidRPr="00257AAE">
        <w:t>for the Evaluation of the Southern Ocean in Coupled Climate Models and Earth System Models</w:t>
      </w:r>
    </w:p>
    <w:p w14:paraId="40F9003E" w14:textId="742E68A1" w:rsidR="00800875" w:rsidRDefault="00800875" w:rsidP="00800875">
      <w:pPr>
        <w:spacing w:before="120" w:after="360"/>
        <w:rPr>
          <w:b/>
        </w:rPr>
      </w:pPr>
      <w:r>
        <w:rPr>
          <w:b/>
        </w:rPr>
        <w:t>Joellen L. Russell</w:t>
      </w:r>
      <w:r>
        <w:rPr>
          <w:b/>
          <w:vertAlign w:val="superscript"/>
        </w:rPr>
        <w:t>1</w:t>
      </w:r>
      <w:r>
        <w:rPr>
          <w:b/>
        </w:rPr>
        <w:t>, Igor Kamenkovich</w:t>
      </w:r>
      <w:r>
        <w:rPr>
          <w:b/>
          <w:vertAlign w:val="superscript"/>
        </w:rPr>
        <w:t>2</w:t>
      </w:r>
      <w:r>
        <w:rPr>
          <w:b/>
        </w:rPr>
        <w:t>, Cecilia Bitz</w:t>
      </w:r>
      <w:r>
        <w:rPr>
          <w:b/>
          <w:vertAlign w:val="superscript"/>
        </w:rPr>
        <w:t>3</w:t>
      </w:r>
      <w:r>
        <w:rPr>
          <w:b/>
        </w:rPr>
        <w:t>, Raffaele Ferrari</w:t>
      </w:r>
      <w:r>
        <w:rPr>
          <w:b/>
          <w:vertAlign w:val="superscript"/>
        </w:rPr>
        <w:t>4</w:t>
      </w:r>
      <w:r>
        <w:rPr>
          <w:b/>
        </w:rPr>
        <w:t>, Sarah T. Gille</w:t>
      </w:r>
      <w:r>
        <w:rPr>
          <w:b/>
          <w:vertAlign w:val="superscript"/>
        </w:rPr>
        <w:t>5</w:t>
      </w:r>
      <w:r>
        <w:rPr>
          <w:b/>
        </w:rPr>
        <w:t>, Paul J. Goodman</w:t>
      </w:r>
      <w:r>
        <w:rPr>
          <w:b/>
          <w:vertAlign w:val="superscript"/>
        </w:rPr>
        <w:t>1</w:t>
      </w:r>
      <w:r>
        <w:rPr>
          <w:b/>
        </w:rPr>
        <w:t>, Robert Hallberg</w:t>
      </w:r>
      <w:r>
        <w:rPr>
          <w:b/>
          <w:vertAlign w:val="superscript"/>
        </w:rPr>
        <w:t>6</w:t>
      </w:r>
      <w:r>
        <w:rPr>
          <w:b/>
        </w:rPr>
        <w:t>, Kenneth Johnson</w:t>
      </w:r>
      <w:r>
        <w:rPr>
          <w:b/>
          <w:vertAlign w:val="superscript"/>
        </w:rPr>
        <w:t>7</w:t>
      </w:r>
      <w:r>
        <w:rPr>
          <w:b/>
        </w:rPr>
        <w:t xml:space="preserve">, </w:t>
      </w:r>
      <w:r w:rsidR="00B23629">
        <w:rPr>
          <w:b/>
        </w:rPr>
        <w:t>Karina Khazmutdinova</w:t>
      </w:r>
      <w:r w:rsidR="00B23629" w:rsidRPr="009E210E">
        <w:rPr>
          <w:b/>
          <w:vertAlign w:val="superscript"/>
        </w:rPr>
        <w:t>10</w:t>
      </w:r>
      <w:r w:rsidR="00B23629">
        <w:rPr>
          <w:b/>
        </w:rPr>
        <w:t xml:space="preserve">, </w:t>
      </w:r>
      <w:r>
        <w:rPr>
          <w:b/>
        </w:rPr>
        <w:t>Irina Marinov</w:t>
      </w:r>
      <w:r>
        <w:rPr>
          <w:b/>
          <w:vertAlign w:val="superscript"/>
        </w:rPr>
        <w:t>8</w:t>
      </w:r>
      <w:r>
        <w:rPr>
          <w:b/>
        </w:rPr>
        <w:t>, Matthew Mazloff</w:t>
      </w:r>
      <w:r>
        <w:rPr>
          <w:b/>
          <w:vertAlign w:val="superscript"/>
        </w:rPr>
        <w:t>5</w:t>
      </w:r>
      <w:r>
        <w:rPr>
          <w:b/>
        </w:rPr>
        <w:t>, Stephen Riser</w:t>
      </w:r>
      <w:r>
        <w:rPr>
          <w:b/>
          <w:vertAlign w:val="superscript"/>
        </w:rPr>
        <w:t>3</w:t>
      </w:r>
      <w:r>
        <w:rPr>
          <w:b/>
        </w:rPr>
        <w:t>, Jorge L. Sarmiento</w:t>
      </w:r>
      <w:r>
        <w:rPr>
          <w:b/>
          <w:vertAlign w:val="superscript"/>
        </w:rPr>
        <w:t>9</w:t>
      </w:r>
      <w:r>
        <w:rPr>
          <w:b/>
        </w:rPr>
        <w:t>, Kevin Speer</w:t>
      </w:r>
      <w:r>
        <w:rPr>
          <w:b/>
          <w:vertAlign w:val="superscript"/>
        </w:rPr>
        <w:t>10</w:t>
      </w:r>
      <w:r>
        <w:rPr>
          <w:b/>
        </w:rPr>
        <w:t>, Lynne D. Talley</w:t>
      </w:r>
      <w:r>
        <w:rPr>
          <w:b/>
          <w:vertAlign w:val="superscript"/>
        </w:rPr>
        <w:t>5</w:t>
      </w:r>
      <w:r>
        <w:rPr>
          <w:b/>
        </w:rPr>
        <w:t xml:space="preserve"> and Rik Wanninkhof</w:t>
      </w:r>
      <w:r>
        <w:rPr>
          <w:b/>
          <w:vertAlign w:val="superscript"/>
        </w:rPr>
        <w:t>11</w:t>
      </w:r>
    </w:p>
    <w:p w14:paraId="2B8B1BD2" w14:textId="77777777" w:rsidR="00800875" w:rsidRDefault="00800875" w:rsidP="00800875">
      <w:pPr>
        <w:spacing w:before="120"/>
      </w:pPr>
      <w:r>
        <w:rPr>
          <w:vertAlign w:val="superscript"/>
        </w:rPr>
        <w:t>1</w:t>
      </w:r>
      <w:r>
        <w:t xml:space="preserve">University of Arizona, Tucson, Arizona, </w:t>
      </w:r>
      <w:r>
        <w:rPr>
          <w:vertAlign w:val="superscript"/>
        </w:rPr>
        <w:t>2</w:t>
      </w:r>
      <w:r>
        <w:t xml:space="preserve">Rosenstiel School of Marine and Atmospheric Science, University of Miami, Miami, Florida, </w:t>
      </w:r>
      <w:r>
        <w:rPr>
          <w:vertAlign w:val="superscript"/>
        </w:rPr>
        <w:t>3</w:t>
      </w:r>
      <w:r>
        <w:t xml:space="preserve">University of Washington, Seattle, Washington, </w:t>
      </w:r>
      <w:r>
        <w:rPr>
          <w:vertAlign w:val="superscript"/>
        </w:rPr>
        <w:t>4</w:t>
      </w:r>
      <w:r>
        <w:t xml:space="preserve">Massachusetts Institute of Technology, Cambridge, Massachusetts, </w:t>
      </w:r>
      <w:r>
        <w:rPr>
          <w:vertAlign w:val="superscript"/>
        </w:rPr>
        <w:t>5</w:t>
      </w:r>
      <w:r>
        <w:t xml:space="preserve">Scripps Institution of Oceanography, University of California, San Diego, La Jolla, California, </w:t>
      </w:r>
      <w:r>
        <w:rPr>
          <w:vertAlign w:val="superscript"/>
        </w:rPr>
        <w:t>6</w:t>
      </w:r>
      <w:r>
        <w:t xml:space="preserve">National Oceanic and Atmospheric Administration, Geophysical Fluid Dynamics Laboratory, Princeton, New Jersey, </w:t>
      </w:r>
      <w:r>
        <w:rPr>
          <w:vertAlign w:val="superscript"/>
        </w:rPr>
        <w:t>7</w:t>
      </w:r>
      <w:r>
        <w:t xml:space="preserve">Monterey Bay Aquarium Research Institute, Moss Landing, California, </w:t>
      </w:r>
      <w:r>
        <w:rPr>
          <w:vertAlign w:val="superscript"/>
        </w:rPr>
        <w:t>8</w:t>
      </w:r>
      <w:r>
        <w:t xml:space="preserve">University of Pennsylvania, Philadelphia, Pennsylvania, </w:t>
      </w:r>
      <w:r>
        <w:rPr>
          <w:vertAlign w:val="superscript"/>
        </w:rPr>
        <w:t>9</w:t>
      </w:r>
      <w:r>
        <w:t xml:space="preserve">Princeton University, Princeton, New Jersey, </w:t>
      </w:r>
      <w:r>
        <w:rPr>
          <w:vertAlign w:val="superscript"/>
        </w:rPr>
        <w:t>10</w:t>
      </w:r>
      <w:r>
        <w:t xml:space="preserve">Florida State University, Tallahassee, Florida, </w:t>
      </w:r>
      <w:r>
        <w:rPr>
          <w:vertAlign w:val="superscript"/>
        </w:rPr>
        <w:t>11</w:t>
      </w:r>
      <w:r>
        <w:t>National Oceanic and Atmospheric Administration, Atlantic Oceanographic and Meteorological Laboratory, Miami, Florida.</w:t>
      </w:r>
    </w:p>
    <w:p w14:paraId="12B72434" w14:textId="77777777" w:rsidR="00800875" w:rsidRDefault="00800875" w:rsidP="00800875"/>
    <w:p w14:paraId="71891EDF" w14:textId="59A4C9DD" w:rsidR="00094365" w:rsidRPr="00800875" w:rsidRDefault="00800875" w:rsidP="00800875">
      <w:pPr>
        <w:outlineLvl w:val="0"/>
      </w:pPr>
      <w:r>
        <w:t>Corresponding author: Joellen Russell (</w:t>
      </w:r>
      <w:hyperlink r:id="rId9">
        <w:r>
          <w:rPr>
            <w:color w:val="0000FF"/>
            <w:u w:val="single"/>
          </w:rPr>
          <w:t>jrussell@email.arizona.edu)</w:t>
        </w:r>
      </w:hyperlink>
      <w:r>
        <w:t xml:space="preserve"> </w:t>
      </w:r>
      <w:r w:rsidR="00A50033" w:rsidRPr="00CE6EAA" w:rsidDel="00A50033">
        <w:rPr>
          <w:rFonts w:ascii="Myriad Pro" w:hAnsi="Myriad Pro"/>
          <w:sz w:val="22"/>
          <w:szCs w:val="22"/>
        </w:rPr>
        <w:t xml:space="preserve"> </w:t>
      </w:r>
    </w:p>
    <w:p w14:paraId="347237BD" w14:textId="77777777" w:rsidR="00094365" w:rsidRPr="00CE6EAA" w:rsidRDefault="00094365" w:rsidP="000B2E64">
      <w:pPr>
        <w:spacing w:before="100" w:beforeAutospacing="1" w:after="100" w:afterAutospacing="1"/>
        <w:jc w:val="center"/>
        <w:rPr>
          <w:rFonts w:ascii="Myriad Pro" w:hAnsi="Myriad Pro"/>
          <w:sz w:val="22"/>
          <w:szCs w:val="22"/>
        </w:rPr>
      </w:pPr>
    </w:p>
    <w:p w14:paraId="1CD128B3" w14:textId="77777777" w:rsidR="00111843" w:rsidRPr="00D66F9C" w:rsidRDefault="00111843" w:rsidP="00111843">
      <w:pPr>
        <w:rPr>
          <w:b/>
          <w:szCs w:val="24"/>
        </w:rPr>
      </w:pPr>
      <w:r w:rsidRPr="00D66F9C">
        <w:rPr>
          <w:b/>
          <w:szCs w:val="24"/>
        </w:rPr>
        <w:t>Contents of this file</w:t>
      </w:r>
      <w:r w:rsidR="00E43D2D" w:rsidRPr="00D66F9C">
        <w:rPr>
          <w:b/>
          <w:szCs w:val="24"/>
        </w:rPr>
        <w:t xml:space="preserve"> </w:t>
      </w:r>
    </w:p>
    <w:p w14:paraId="1F13291B" w14:textId="77777777" w:rsidR="00E43D2D" w:rsidRPr="00D66F9C" w:rsidRDefault="00E43D2D" w:rsidP="00111843">
      <w:pPr>
        <w:rPr>
          <w:szCs w:val="24"/>
        </w:rPr>
      </w:pPr>
    </w:p>
    <w:p w14:paraId="10640459" w14:textId="407B1A8D" w:rsidR="00111843" w:rsidRPr="00D66F9C" w:rsidRDefault="00BE5E81" w:rsidP="00111843">
      <w:pPr>
        <w:ind w:left="720"/>
        <w:rPr>
          <w:szCs w:val="24"/>
        </w:rPr>
      </w:pPr>
      <w:r w:rsidRPr="00D66F9C">
        <w:rPr>
          <w:szCs w:val="24"/>
        </w:rPr>
        <w:t>Figures S1 to S15</w:t>
      </w:r>
    </w:p>
    <w:p w14:paraId="0363B503" w14:textId="77777777" w:rsidR="00111843" w:rsidRPr="00D66F9C" w:rsidRDefault="00111843" w:rsidP="00111843">
      <w:pPr>
        <w:ind w:left="720"/>
        <w:rPr>
          <w:szCs w:val="24"/>
        </w:rPr>
      </w:pPr>
    </w:p>
    <w:p w14:paraId="2323E638" w14:textId="77777777" w:rsidR="00111843" w:rsidRPr="00D66F9C" w:rsidRDefault="00111843" w:rsidP="00111843">
      <w:pPr>
        <w:rPr>
          <w:b/>
          <w:szCs w:val="24"/>
        </w:rPr>
      </w:pPr>
      <w:r w:rsidRPr="00D66F9C">
        <w:rPr>
          <w:b/>
          <w:szCs w:val="24"/>
        </w:rPr>
        <w:t>Additional Supporting Information (Files uploaded separately)</w:t>
      </w:r>
    </w:p>
    <w:p w14:paraId="3343B9AD" w14:textId="77777777" w:rsidR="00111843" w:rsidRPr="00D66F9C" w:rsidRDefault="00111843" w:rsidP="00111843">
      <w:pPr>
        <w:rPr>
          <w:b/>
          <w:szCs w:val="24"/>
        </w:rPr>
      </w:pPr>
    </w:p>
    <w:p w14:paraId="4836F8B0" w14:textId="77777777" w:rsidR="00111843" w:rsidRPr="00D66F9C" w:rsidRDefault="00111843" w:rsidP="00111843">
      <w:pPr>
        <w:ind w:left="720"/>
        <w:rPr>
          <w:szCs w:val="24"/>
        </w:rPr>
      </w:pPr>
      <w:r w:rsidRPr="00D66F9C">
        <w:rPr>
          <w:szCs w:val="24"/>
        </w:rPr>
        <w:t xml:space="preserve">Captions for Datasets S1 to </w:t>
      </w:r>
      <w:proofErr w:type="spellStart"/>
      <w:r w:rsidRPr="00D66F9C">
        <w:rPr>
          <w:szCs w:val="24"/>
        </w:rPr>
        <w:t>Sx</w:t>
      </w:r>
      <w:proofErr w:type="spellEnd"/>
    </w:p>
    <w:p w14:paraId="7FEF65C7" w14:textId="77777777" w:rsidR="00111843" w:rsidRPr="00D66F9C" w:rsidRDefault="00111843" w:rsidP="00111843">
      <w:pPr>
        <w:ind w:left="720"/>
        <w:rPr>
          <w:szCs w:val="24"/>
        </w:rPr>
      </w:pPr>
      <w:r w:rsidRPr="00D66F9C">
        <w:rPr>
          <w:szCs w:val="24"/>
        </w:rPr>
        <w:t xml:space="preserve">Captions for Tables S1 to </w:t>
      </w:r>
      <w:proofErr w:type="spellStart"/>
      <w:r w:rsidRPr="00D66F9C">
        <w:rPr>
          <w:szCs w:val="24"/>
        </w:rPr>
        <w:t>Sx</w:t>
      </w:r>
      <w:proofErr w:type="spellEnd"/>
      <w:r w:rsidRPr="00D66F9C">
        <w:rPr>
          <w:szCs w:val="24"/>
        </w:rPr>
        <w:t xml:space="preserve"> (if larger than 1 page, upload as separate file)</w:t>
      </w:r>
    </w:p>
    <w:p w14:paraId="1E208E70" w14:textId="77777777" w:rsidR="00111843" w:rsidRPr="00D66F9C" w:rsidRDefault="00111843" w:rsidP="00111843">
      <w:pPr>
        <w:ind w:left="720"/>
        <w:rPr>
          <w:szCs w:val="24"/>
        </w:rPr>
      </w:pPr>
      <w:r w:rsidRPr="00D66F9C">
        <w:rPr>
          <w:szCs w:val="24"/>
        </w:rPr>
        <w:t xml:space="preserve">Captions for Movies S1 to </w:t>
      </w:r>
      <w:proofErr w:type="spellStart"/>
      <w:r w:rsidRPr="00D66F9C">
        <w:rPr>
          <w:szCs w:val="24"/>
        </w:rPr>
        <w:t>Sx</w:t>
      </w:r>
      <w:proofErr w:type="spellEnd"/>
    </w:p>
    <w:p w14:paraId="62051E00" w14:textId="77777777" w:rsidR="00111843" w:rsidRPr="00D66F9C" w:rsidRDefault="00111843" w:rsidP="00111843">
      <w:pPr>
        <w:ind w:left="720"/>
        <w:rPr>
          <w:szCs w:val="24"/>
        </w:rPr>
      </w:pPr>
      <w:r w:rsidRPr="00D66F9C">
        <w:rPr>
          <w:szCs w:val="24"/>
        </w:rPr>
        <w:t xml:space="preserve">Captions for Audio S1 to </w:t>
      </w:r>
      <w:proofErr w:type="spellStart"/>
      <w:r w:rsidRPr="00D66F9C">
        <w:rPr>
          <w:szCs w:val="24"/>
        </w:rPr>
        <w:t>Sx</w:t>
      </w:r>
      <w:proofErr w:type="spellEnd"/>
    </w:p>
    <w:p w14:paraId="795CD27E" w14:textId="77777777" w:rsidR="00111843" w:rsidRDefault="00111843" w:rsidP="00FF3503">
      <w:pPr>
        <w:spacing w:before="100" w:beforeAutospacing="1" w:after="100" w:afterAutospacing="1"/>
        <w:rPr>
          <w:rFonts w:ascii="Myriad Pro" w:hAnsi="Myriad Pro"/>
          <w:b/>
          <w:bCs/>
          <w:szCs w:val="24"/>
        </w:rPr>
      </w:pPr>
    </w:p>
    <w:p w14:paraId="3DA11041" w14:textId="77777777" w:rsidR="007A021D" w:rsidRDefault="007A021D">
      <w:pPr>
        <w:rPr>
          <w:rFonts w:ascii="Myriad Pro" w:hAnsi="Myriad Pro"/>
          <w:b/>
          <w:bCs/>
          <w:szCs w:val="24"/>
        </w:rPr>
      </w:pPr>
      <w:r>
        <w:rPr>
          <w:rFonts w:ascii="Myriad Pro" w:hAnsi="Myriad Pro"/>
          <w:b/>
          <w:bCs/>
          <w:szCs w:val="24"/>
        </w:rPr>
        <w:br w:type="page"/>
      </w:r>
    </w:p>
    <w:p w14:paraId="79042C92" w14:textId="2DCA1C01" w:rsidR="00FF3503" w:rsidRPr="00797623" w:rsidRDefault="00FF3503" w:rsidP="00FF3503">
      <w:pPr>
        <w:spacing w:before="100" w:beforeAutospacing="1" w:after="100" w:afterAutospacing="1"/>
        <w:rPr>
          <w:b/>
          <w:szCs w:val="24"/>
        </w:rPr>
      </w:pPr>
      <w:r w:rsidRPr="00797623">
        <w:rPr>
          <w:b/>
          <w:bCs/>
          <w:szCs w:val="24"/>
        </w:rPr>
        <w:lastRenderedPageBreak/>
        <w:t>Introduction</w:t>
      </w:r>
      <w:r w:rsidRPr="00797623">
        <w:rPr>
          <w:b/>
          <w:szCs w:val="24"/>
        </w:rPr>
        <w:t xml:space="preserve"> </w:t>
      </w:r>
    </w:p>
    <w:p w14:paraId="516E0BA3" w14:textId="78BEAEAA" w:rsidR="0020183F" w:rsidRDefault="007A021D" w:rsidP="00860448">
      <w:pPr>
        <w:pStyle w:val="Text"/>
        <w:spacing w:before="0"/>
        <w:ind w:firstLine="0"/>
      </w:pPr>
      <w:r>
        <w:t xml:space="preserve">As part of our work, we created/designed many other metrics that have proven useful to us and other researchers, but were not essential for inclusion in the current study. We present several of these here as a record of our thoughts and deliberations and experience. The following figures and captions are “free standing” and are presented </w:t>
      </w:r>
      <w:r w:rsidR="005C604B">
        <w:t>with minimal</w:t>
      </w:r>
      <w:r>
        <w:t xml:space="preserve"> discussion.</w:t>
      </w:r>
    </w:p>
    <w:p w14:paraId="5B24EEFE" w14:textId="77777777" w:rsidR="007A021D" w:rsidRDefault="007A021D" w:rsidP="007A021D">
      <w:pPr>
        <w:pStyle w:val="Text"/>
        <w:spacing w:before="0"/>
        <w:ind w:firstLine="0"/>
      </w:pPr>
    </w:p>
    <w:p w14:paraId="32F16E33" w14:textId="77777777" w:rsidR="007A021D" w:rsidRDefault="007A021D" w:rsidP="007A021D">
      <w:pPr>
        <w:pStyle w:val="Text"/>
        <w:spacing w:before="0"/>
        <w:ind w:firstLine="0"/>
      </w:pPr>
    </w:p>
    <w:p w14:paraId="1B2AA642" w14:textId="645A7731" w:rsidR="007A021D" w:rsidRDefault="007A021D" w:rsidP="007A021D">
      <w:pPr>
        <w:pStyle w:val="Normal1"/>
      </w:pPr>
      <w:r>
        <w:rPr>
          <w:rFonts w:ascii="Times New Roman" w:eastAsia="Times New Roman" w:hAnsi="Times New Roman" w:cs="Times New Roman"/>
          <w:b/>
          <w:sz w:val="20"/>
          <w:szCs w:val="20"/>
        </w:rPr>
        <w:t>Figure S1:</w:t>
      </w:r>
      <w:r>
        <w:rPr>
          <w:rFonts w:ascii="Times New Roman" w:eastAsia="Times New Roman" w:hAnsi="Times New Roman" w:cs="Times New Roman"/>
          <w:sz w:val="20"/>
          <w:szCs w:val="20"/>
        </w:rPr>
        <w:t xml:space="preserve"> Annual-mean cloud fraction (percent) from the </w:t>
      </w:r>
      <w:r w:rsidR="002857B9">
        <w:rPr>
          <w:rFonts w:ascii="Times New Roman" w:eastAsia="Times New Roman" w:hAnsi="Times New Roman" w:cs="Times New Roman"/>
          <w:sz w:val="20"/>
          <w:szCs w:val="20"/>
        </w:rPr>
        <w:t>reanalysis</w:t>
      </w:r>
      <w:r>
        <w:rPr>
          <w:rFonts w:ascii="Times New Roman" w:eastAsia="Times New Roman" w:hAnsi="Times New Roman" w:cs="Times New Roman"/>
          <w:sz w:val="20"/>
          <w:szCs w:val="20"/>
        </w:rPr>
        <w:t xml:space="preserve"> and from several of the coupled climate models submitted as part of the CMIP5/IPCC-AR5 process. All model figures cover the simulated years 1986-2005 from the HISTORICAL forcing scenario. Panel a) CFSR dataset; b) CanESM2; c) CSIRO-Mk3.6; d) GFDL-ESM2M; e) HadGEM2-ES; f) MIROC-ESM; and g) MRI-ESM1. Panel H) shows the zonal mean for each of the seven maps.</w:t>
      </w:r>
    </w:p>
    <w:p w14:paraId="5671B6DC" w14:textId="681A2A3D" w:rsidR="005C604B" w:rsidRPr="00860448" w:rsidRDefault="005C604B" w:rsidP="007A021D">
      <w:pPr>
        <w:pStyle w:val="Normal1"/>
        <w:rPr>
          <w:rFonts w:ascii="Times New Roman" w:hAnsi="Times New Roman" w:cs="Times New Roman"/>
        </w:rPr>
      </w:pPr>
      <w:r w:rsidRPr="00860448">
        <w:rPr>
          <w:rFonts w:ascii="Times New Roman" w:hAnsi="Times New Roman" w:cs="Times New Roman"/>
        </w:rPr>
        <w:t xml:space="preserve">Figure S1 shows the annual-mean cloud coverage </w:t>
      </w:r>
      <w:r w:rsidR="00BF38AF">
        <w:rPr>
          <w:rFonts w:ascii="Times New Roman" w:hAnsi="Times New Roman" w:cs="Times New Roman"/>
        </w:rPr>
        <w:t xml:space="preserve">(as a percentage) </w:t>
      </w:r>
      <w:r w:rsidRPr="00860448">
        <w:rPr>
          <w:rFonts w:ascii="Times New Roman" w:hAnsi="Times New Roman" w:cs="Times New Roman"/>
        </w:rPr>
        <w:t>among all cloud types (high, medium and low cloud amount)</w:t>
      </w:r>
      <w:r w:rsidR="00163E1F" w:rsidRPr="00860448">
        <w:rPr>
          <w:rFonts w:ascii="Times New Roman" w:hAnsi="Times New Roman" w:cs="Times New Roman"/>
        </w:rPr>
        <w:t>, averaged over all months</w:t>
      </w:r>
      <w:r w:rsidR="003F611A">
        <w:rPr>
          <w:rFonts w:ascii="Times New Roman" w:hAnsi="Times New Roman" w:cs="Times New Roman"/>
        </w:rPr>
        <w:t xml:space="preserve"> in the period of record</w:t>
      </w:r>
      <w:r w:rsidR="00163E1F" w:rsidRPr="00860448">
        <w:rPr>
          <w:rFonts w:ascii="Times New Roman" w:hAnsi="Times New Roman" w:cs="Times New Roman"/>
        </w:rPr>
        <w:t xml:space="preserve">. Cloud cover affects </w:t>
      </w:r>
      <w:r w:rsidR="00860448" w:rsidRPr="00860448">
        <w:rPr>
          <w:rFonts w:ascii="Times New Roman" w:hAnsi="Times New Roman" w:cs="Times New Roman"/>
        </w:rPr>
        <w:t>heat and fresh water fluxes over the Southern Ocean</w:t>
      </w:r>
      <w:r w:rsidR="00860448">
        <w:rPr>
          <w:rFonts w:ascii="Times New Roman" w:hAnsi="Times New Roman" w:cs="Times New Roman"/>
        </w:rPr>
        <w:t>.</w:t>
      </w:r>
      <w:r w:rsidR="00BF38AF">
        <w:rPr>
          <w:rFonts w:ascii="Times New Roman" w:hAnsi="Times New Roman" w:cs="Times New Roman"/>
        </w:rPr>
        <w:t xml:space="preserve"> Except for CSIRO, the models generally have less cloud cover than is seen in the reanalysis.</w:t>
      </w:r>
    </w:p>
    <w:p w14:paraId="313C6255" w14:textId="77777777" w:rsidR="007312D0" w:rsidRDefault="007312D0">
      <w:pPr>
        <w:rPr>
          <w:b/>
          <w:color w:val="000000"/>
          <w:sz w:val="20"/>
        </w:rPr>
      </w:pPr>
      <w:r>
        <w:rPr>
          <w:b/>
          <w:sz w:val="20"/>
        </w:rPr>
        <w:lastRenderedPageBreak/>
        <w:br w:type="page"/>
      </w:r>
    </w:p>
    <w:p w14:paraId="7BA43852" w14:textId="2626955A" w:rsidR="007A021D" w:rsidRDefault="007A021D" w:rsidP="007A021D">
      <w:pPr>
        <w:pStyle w:val="Normal1"/>
      </w:pPr>
      <w:bookmarkStart w:id="0" w:name="_GoBack"/>
      <w:bookmarkEnd w:id="0"/>
      <w:r>
        <w:rPr>
          <w:rFonts w:ascii="Times New Roman" w:eastAsia="Times New Roman" w:hAnsi="Times New Roman" w:cs="Times New Roman"/>
          <w:b/>
          <w:sz w:val="20"/>
          <w:szCs w:val="20"/>
        </w:rPr>
        <w:t>Figure S2:</w:t>
      </w:r>
      <w:r>
        <w:rPr>
          <w:rFonts w:ascii="Times New Roman" w:eastAsia="Times New Roman" w:hAnsi="Times New Roman" w:cs="Times New Roman"/>
          <w:sz w:val="20"/>
          <w:szCs w:val="20"/>
        </w:rPr>
        <w:t xml:space="preserve"> </w:t>
      </w:r>
      <w:r w:rsidR="007B5A34">
        <w:rPr>
          <w:rFonts w:ascii="Times New Roman" w:eastAsia="Times New Roman" w:hAnsi="Times New Roman" w:cs="Times New Roman"/>
          <w:sz w:val="20"/>
          <w:szCs w:val="20"/>
        </w:rPr>
        <w:t xml:space="preserve">Annual cycle (latitude vs time) of the zonal-mean </w:t>
      </w:r>
      <w:r>
        <w:rPr>
          <w:rFonts w:ascii="Times New Roman" w:eastAsia="Times New Roman" w:hAnsi="Times New Roman" w:cs="Times New Roman"/>
          <w:sz w:val="20"/>
          <w:szCs w:val="20"/>
        </w:rPr>
        <w:t xml:space="preserve">cloud fraction (percent) from the </w:t>
      </w:r>
      <w:r w:rsidR="002857B9">
        <w:rPr>
          <w:rFonts w:ascii="Times New Roman" w:eastAsia="Times New Roman" w:hAnsi="Times New Roman" w:cs="Times New Roman"/>
          <w:sz w:val="20"/>
          <w:szCs w:val="20"/>
        </w:rPr>
        <w:t>reanalysis</w:t>
      </w:r>
      <w:r>
        <w:rPr>
          <w:rFonts w:ascii="Times New Roman" w:eastAsia="Times New Roman" w:hAnsi="Times New Roman" w:cs="Times New Roman"/>
          <w:sz w:val="20"/>
          <w:szCs w:val="20"/>
        </w:rPr>
        <w:t xml:space="preserve"> and from several of the coupled climate models submitted as part of the CMIP5/IPCC-AR5 process. Note that 2 repeated calendar years are shown. All model figures cover the simulated years 1986-2005 from the HISTORICAL forcing scenario. Panel a) CFSR dataset; b) CanESM2; c) CSIRO-Mk3.6; d) GFDL-ESM2M; e) HadGEM2-ES; f) MIROC-ESM; and g) MRI-ESM1. </w:t>
      </w:r>
    </w:p>
    <w:p w14:paraId="0C12585C" w14:textId="2A15C5AB" w:rsidR="007B5A34" w:rsidRPr="007B5A34" w:rsidRDefault="00B2231C" w:rsidP="007A021D">
      <w:pPr>
        <w:pStyle w:val="Normal1"/>
        <w:rPr>
          <w:rFonts w:ascii="Times New Roman" w:hAnsi="Times New Roman" w:cs="Times New Roman"/>
        </w:rPr>
      </w:pPr>
      <w:r w:rsidRPr="007B5A34">
        <w:rPr>
          <w:rFonts w:ascii="Times New Roman" w:hAnsi="Times New Roman" w:cs="Times New Roman"/>
        </w:rPr>
        <w:t xml:space="preserve">Figure S2 </w:t>
      </w:r>
      <w:r w:rsidR="004177B7" w:rsidRPr="007B5A34">
        <w:rPr>
          <w:rFonts w:ascii="Times New Roman" w:hAnsi="Times New Roman" w:cs="Times New Roman"/>
        </w:rPr>
        <w:t>shows the zonally-averaged</w:t>
      </w:r>
      <w:r w:rsidR="007B5A34">
        <w:rPr>
          <w:rFonts w:ascii="Times New Roman" w:hAnsi="Times New Roman" w:cs="Times New Roman"/>
        </w:rPr>
        <w:t>,</w:t>
      </w:r>
      <w:r w:rsidR="004177B7" w:rsidRPr="007B5A34">
        <w:rPr>
          <w:rFonts w:ascii="Times New Roman" w:hAnsi="Times New Roman" w:cs="Times New Roman"/>
        </w:rPr>
        <w:t xml:space="preserve"> annual climatology of the cloud coverage </w:t>
      </w:r>
      <w:r w:rsidR="00BF38AF">
        <w:rPr>
          <w:rFonts w:ascii="Times New Roman" w:hAnsi="Times New Roman" w:cs="Times New Roman"/>
        </w:rPr>
        <w:t xml:space="preserve">(as a percentage) </w:t>
      </w:r>
      <w:r w:rsidR="004177B7" w:rsidRPr="007B5A34">
        <w:rPr>
          <w:rFonts w:ascii="Times New Roman" w:hAnsi="Times New Roman" w:cs="Times New Roman"/>
        </w:rPr>
        <w:t>over the Southern Ocean. The same year is repeated twice</w:t>
      </w:r>
      <w:r w:rsidR="007B5A34">
        <w:rPr>
          <w:rFonts w:ascii="Times New Roman" w:hAnsi="Times New Roman" w:cs="Times New Roman"/>
        </w:rPr>
        <w:t xml:space="preserve"> in each panel. Climatologies a</w:t>
      </w:r>
      <w:r w:rsidR="004177B7" w:rsidRPr="007B5A34">
        <w:rPr>
          <w:rFonts w:ascii="Times New Roman" w:hAnsi="Times New Roman" w:cs="Times New Roman"/>
        </w:rPr>
        <w:t>re created by averaging all similar months in the period of record (</w:t>
      </w:r>
      <w:r w:rsidR="007B5A34">
        <w:rPr>
          <w:rFonts w:ascii="Times New Roman" w:hAnsi="Times New Roman" w:cs="Times New Roman"/>
        </w:rPr>
        <w:t xml:space="preserve">e.g. </w:t>
      </w:r>
      <w:r w:rsidR="004177B7" w:rsidRPr="007B5A34">
        <w:rPr>
          <w:rFonts w:ascii="Times New Roman" w:hAnsi="Times New Roman" w:cs="Times New Roman"/>
        </w:rPr>
        <w:t xml:space="preserve">all Januarys were averaged to create the January climatology, etc.), </w:t>
      </w:r>
      <w:r w:rsidR="007B5A34">
        <w:rPr>
          <w:rFonts w:ascii="Times New Roman" w:hAnsi="Times New Roman" w:cs="Times New Roman"/>
        </w:rPr>
        <w:t xml:space="preserve">and the months were compiled </w:t>
      </w:r>
      <w:r w:rsidR="004177B7" w:rsidRPr="007B5A34">
        <w:rPr>
          <w:rFonts w:ascii="Times New Roman" w:hAnsi="Times New Roman" w:cs="Times New Roman"/>
        </w:rPr>
        <w:t xml:space="preserve">to create the annual climatology. From this dataset, we then </w:t>
      </w:r>
      <w:r w:rsidR="007B5A34">
        <w:rPr>
          <w:rFonts w:ascii="Times New Roman" w:hAnsi="Times New Roman" w:cs="Times New Roman"/>
        </w:rPr>
        <w:t>zonally-average</w:t>
      </w:r>
      <w:r w:rsidR="004177B7" w:rsidRPr="007B5A34">
        <w:rPr>
          <w:rFonts w:ascii="Times New Roman" w:hAnsi="Times New Roman" w:cs="Times New Roman"/>
        </w:rPr>
        <w:t xml:space="preserve"> along each latitude to create the zonal average climatologies above. </w:t>
      </w:r>
      <w:r w:rsidR="007B5A34">
        <w:rPr>
          <w:rFonts w:ascii="Times New Roman" w:hAnsi="Times New Roman" w:cs="Times New Roman"/>
        </w:rPr>
        <w:t>The reanalysis indicates the peak cloud coverage occurs in winter (JJA) at all latitudes, but several of the models have their peak cloud cover in summer (DJF) over the ACC.</w:t>
      </w:r>
    </w:p>
    <w:p w14:paraId="0E002AF7" w14:textId="77777777" w:rsidR="007B5A34" w:rsidRPr="007B5A34" w:rsidRDefault="007B5A34" w:rsidP="007A021D">
      <w:pPr>
        <w:pStyle w:val="Normal1"/>
        <w:rPr>
          <w:rFonts w:ascii="Times New Roman" w:hAnsi="Times New Roman" w:cs="Times New Roman"/>
        </w:rPr>
      </w:pPr>
    </w:p>
    <w:p w14:paraId="6611A357" w14:textId="36D46A56" w:rsidR="007A021D" w:rsidRDefault="004177B7" w:rsidP="007A021D">
      <w:pPr>
        <w:pStyle w:val="Normal1"/>
      </w:pPr>
      <w:r>
        <w:t xml:space="preserve"> </w:t>
      </w:r>
      <w:r w:rsidR="007A021D">
        <w:br w:type="page"/>
      </w:r>
    </w:p>
    <w:p w14:paraId="11BD9536" w14:textId="362B963B" w:rsidR="007A021D" w:rsidRDefault="007A021D" w:rsidP="007A021D">
      <w:pPr>
        <w:pStyle w:val="Normal1"/>
      </w:pPr>
      <w:r>
        <w:rPr>
          <w:rFonts w:ascii="Times New Roman" w:eastAsia="Times New Roman" w:hAnsi="Times New Roman" w:cs="Times New Roman"/>
          <w:b/>
          <w:sz w:val="20"/>
          <w:szCs w:val="20"/>
        </w:rPr>
        <w:lastRenderedPageBreak/>
        <w:t>Figure S3:</w:t>
      </w:r>
      <w:r>
        <w:rPr>
          <w:rFonts w:ascii="Times New Roman" w:eastAsia="Times New Roman" w:hAnsi="Times New Roman" w:cs="Times New Roman"/>
          <w:sz w:val="20"/>
          <w:szCs w:val="20"/>
        </w:rPr>
        <w:t xml:space="preserve"> Annual cycle (latitude vs time) of the total heat flux (zonally-averaged) over the Southern Ocean from the </w:t>
      </w:r>
      <w:r w:rsidR="002857B9">
        <w:rPr>
          <w:rFonts w:ascii="Times New Roman" w:eastAsia="Times New Roman" w:hAnsi="Times New Roman" w:cs="Times New Roman"/>
          <w:sz w:val="20"/>
          <w:szCs w:val="20"/>
        </w:rPr>
        <w:t>reanalysis</w:t>
      </w:r>
      <w:r>
        <w:rPr>
          <w:rFonts w:ascii="Times New Roman" w:eastAsia="Times New Roman" w:hAnsi="Times New Roman" w:cs="Times New Roman"/>
          <w:sz w:val="20"/>
          <w:szCs w:val="20"/>
        </w:rPr>
        <w:t xml:space="preserve"> and from several of the coupled climate models submitted as part of the CMIP5/IPCC-AR5 process. Positive contours (red shading) indicate a net input of heat into the ocean and negative contours (blue shading) indicate a net loss of heat by the ocean. All model figures cover the simulated years 1986-2005 from the HISTORICAL forcing scenario. Panel a) NCEP2 dataset; b) CanESM2; c) CSIRO-Mk3.6; d) GFDL-ESM2M; e) HadGEM2-ES; f) MIROC-ESM; and g) MRI-ESM1. The total heat flux is obtained by summing the net shortwave radiative flux at the surface, the net longwave radiative flux at the surface, the latent heat and the sensible heat terms. </w:t>
      </w:r>
      <w:r w:rsidR="00653AD4">
        <w:rPr>
          <w:rFonts w:ascii="Times New Roman" w:eastAsia="Times New Roman" w:hAnsi="Times New Roman" w:cs="Times New Roman"/>
          <w:sz w:val="20"/>
          <w:szCs w:val="20"/>
        </w:rPr>
        <w:t>Panel H shows the area-weighted average heat flux</w:t>
      </w:r>
      <w:r w:rsidR="00380385">
        <w:rPr>
          <w:rFonts w:ascii="Times New Roman" w:eastAsia="Times New Roman" w:hAnsi="Times New Roman" w:cs="Times New Roman"/>
          <w:sz w:val="20"/>
          <w:szCs w:val="20"/>
        </w:rPr>
        <w:t xml:space="preserve"> over the entire Southern Ocean (80°S-30°S).</w:t>
      </w:r>
    </w:p>
    <w:p w14:paraId="3111E31A" w14:textId="77777777" w:rsidR="007A021D" w:rsidRDefault="007A021D" w:rsidP="007A021D">
      <w:pPr>
        <w:pStyle w:val="Normal1"/>
      </w:pPr>
    </w:p>
    <w:p w14:paraId="5A48D646" w14:textId="6C92BDDC" w:rsidR="007B5A34" w:rsidRDefault="007B5A34" w:rsidP="007A021D">
      <w:pPr>
        <w:pStyle w:val="Normal1"/>
      </w:pPr>
      <w:r>
        <w:rPr>
          <w:rFonts w:ascii="Times New Roman" w:hAnsi="Times New Roman" w:cs="Times New Roman"/>
        </w:rPr>
        <w:t>Figure S3</w:t>
      </w:r>
      <w:r w:rsidRPr="007B5A34">
        <w:rPr>
          <w:rFonts w:ascii="Times New Roman" w:hAnsi="Times New Roman" w:cs="Times New Roman"/>
        </w:rPr>
        <w:t xml:space="preserve"> shows the zonally-averaged</w:t>
      </w:r>
      <w:r>
        <w:rPr>
          <w:rFonts w:ascii="Times New Roman" w:hAnsi="Times New Roman" w:cs="Times New Roman"/>
        </w:rPr>
        <w:t>,</w:t>
      </w:r>
      <w:r w:rsidRPr="007B5A34">
        <w:rPr>
          <w:rFonts w:ascii="Times New Roman" w:hAnsi="Times New Roman" w:cs="Times New Roman"/>
        </w:rPr>
        <w:t xml:space="preserve"> annual climatology of the </w:t>
      </w:r>
      <w:r w:rsidR="00460B43">
        <w:rPr>
          <w:rFonts w:ascii="Times New Roman" w:hAnsi="Times New Roman" w:cs="Times New Roman"/>
        </w:rPr>
        <w:t>atmosphere</w:t>
      </w:r>
      <w:r>
        <w:rPr>
          <w:rFonts w:ascii="Times New Roman" w:hAnsi="Times New Roman" w:cs="Times New Roman"/>
        </w:rPr>
        <w:t>-to-ocean heat flux</w:t>
      </w:r>
      <w:r w:rsidRPr="007B5A34">
        <w:rPr>
          <w:rFonts w:ascii="Times New Roman" w:hAnsi="Times New Roman" w:cs="Times New Roman"/>
        </w:rPr>
        <w:t xml:space="preserve"> </w:t>
      </w:r>
      <w:r w:rsidR="00460B43">
        <w:rPr>
          <w:rFonts w:ascii="Times New Roman" w:hAnsi="Times New Roman" w:cs="Times New Roman"/>
        </w:rPr>
        <w:t>(</w:t>
      </w:r>
      <w:r w:rsidR="00BF38AF">
        <w:rPr>
          <w:rFonts w:ascii="Times New Roman" w:hAnsi="Times New Roman" w:cs="Times New Roman"/>
        </w:rPr>
        <w:t>in W/m</w:t>
      </w:r>
      <w:r w:rsidR="00BF38AF" w:rsidRPr="00BF38AF">
        <w:rPr>
          <w:rFonts w:ascii="Times New Roman" w:hAnsi="Times New Roman" w:cs="Times New Roman"/>
          <w:vertAlign w:val="superscript"/>
        </w:rPr>
        <w:t>2</w:t>
      </w:r>
      <w:r w:rsidR="00BF38AF">
        <w:rPr>
          <w:rFonts w:ascii="Times New Roman" w:hAnsi="Times New Roman" w:cs="Times New Roman"/>
        </w:rPr>
        <w:t xml:space="preserve">, </w:t>
      </w:r>
      <w:r w:rsidR="00460B43">
        <w:rPr>
          <w:rFonts w:ascii="Times New Roman" w:hAnsi="Times New Roman" w:cs="Times New Roman"/>
        </w:rPr>
        <w:t xml:space="preserve">positive is down, warming the ocean) </w:t>
      </w:r>
      <w:r w:rsidRPr="007B5A34">
        <w:rPr>
          <w:rFonts w:ascii="Times New Roman" w:hAnsi="Times New Roman" w:cs="Times New Roman"/>
        </w:rPr>
        <w:t>over the Southern Ocean. The same year is repeated twice</w:t>
      </w:r>
      <w:r>
        <w:rPr>
          <w:rFonts w:ascii="Times New Roman" w:hAnsi="Times New Roman" w:cs="Times New Roman"/>
        </w:rPr>
        <w:t xml:space="preserve"> in each panel. Climatologies a</w:t>
      </w:r>
      <w:r w:rsidRPr="007B5A34">
        <w:rPr>
          <w:rFonts w:ascii="Times New Roman" w:hAnsi="Times New Roman" w:cs="Times New Roman"/>
        </w:rPr>
        <w:t>re created by averaging all similar months in the period of record (</w:t>
      </w:r>
      <w:r>
        <w:rPr>
          <w:rFonts w:ascii="Times New Roman" w:hAnsi="Times New Roman" w:cs="Times New Roman"/>
        </w:rPr>
        <w:t xml:space="preserve">e.g. </w:t>
      </w:r>
      <w:r w:rsidRPr="007B5A34">
        <w:rPr>
          <w:rFonts w:ascii="Times New Roman" w:hAnsi="Times New Roman" w:cs="Times New Roman"/>
        </w:rPr>
        <w:t xml:space="preserve">all Januarys were averaged to create the January climatology, etc.), </w:t>
      </w:r>
      <w:r>
        <w:rPr>
          <w:rFonts w:ascii="Times New Roman" w:hAnsi="Times New Roman" w:cs="Times New Roman"/>
        </w:rPr>
        <w:t xml:space="preserve">and the months were compiled </w:t>
      </w:r>
      <w:r w:rsidRPr="007B5A34">
        <w:rPr>
          <w:rFonts w:ascii="Times New Roman" w:hAnsi="Times New Roman" w:cs="Times New Roman"/>
        </w:rPr>
        <w:t xml:space="preserve">to create the annual climatology. From this dataset, we then </w:t>
      </w:r>
      <w:r>
        <w:rPr>
          <w:rFonts w:ascii="Times New Roman" w:hAnsi="Times New Roman" w:cs="Times New Roman"/>
        </w:rPr>
        <w:t>zonally-average</w:t>
      </w:r>
      <w:r w:rsidRPr="007B5A34">
        <w:rPr>
          <w:rFonts w:ascii="Times New Roman" w:hAnsi="Times New Roman" w:cs="Times New Roman"/>
        </w:rPr>
        <w:t xml:space="preserve"> along each latitude to create the zonal average climatologies above. </w:t>
      </w:r>
      <w:r>
        <w:rPr>
          <w:rFonts w:ascii="Times New Roman" w:hAnsi="Times New Roman" w:cs="Times New Roman"/>
        </w:rPr>
        <w:t xml:space="preserve">The reanalysis indicates the peak </w:t>
      </w:r>
      <w:r w:rsidR="00460B43">
        <w:rPr>
          <w:rFonts w:ascii="Times New Roman" w:hAnsi="Times New Roman" w:cs="Times New Roman"/>
        </w:rPr>
        <w:t xml:space="preserve">heat input </w:t>
      </w:r>
      <w:r>
        <w:rPr>
          <w:rFonts w:ascii="Times New Roman" w:hAnsi="Times New Roman" w:cs="Times New Roman"/>
        </w:rPr>
        <w:t xml:space="preserve">occurs in </w:t>
      </w:r>
      <w:r w:rsidR="00460B43">
        <w:rPr>
          <w:rFonts w:ascii="Times New Roman" w:hAnsi="Times New Roman" w:cs="Times New Roman"/>
        </w:rPr>
        <w:t xml:space="preserve">summer (DJF) </w:t>
      </w:r>
      <w:r>
        <w:rPr>
          <w:rFonts w:ascii="Times New Roman" w:hAnsi="Times New Roman" w:cs="Times New Roman"/>
        </w:rPr>
        <w:t xml:space="preserve">at all latitudes, </w:t>
      </w:r>
      <w:r w:rsidR="005E0256">
        <w:rPr>
          <w:rFonts w:ascii="Times New Roman" w:hAnsi="Times New Roman" w:cs="Times New Roman"/>
        </w:rPr>
        <w:t xml:space="preserve">as expected. </w:t>
      </w:r>
      <w:r w:rsidR="004118F5">
        <w:rPr>
          <w:rFonts w:ascii="Times New Roman" w:hAnsi="Times New Roman" w:cs="Times New Roman"/>
        </w:rPr>
        <w:t>The northward slant of the -20 W/m</w:t>
      </w:r>
      <w:r w:rsidR="004118F5" w:rsidRPr="004118F5">
        <w:rPr>
          <w:rFonts w:ascii="Times New Roman" w:hAnsi="Times New Roman" w:cs="Times New Roman"/>
          <w:vertAlign w:val="superscript"/>
        </w:rPr>
        <w:t>2</w:t>
      </w:r>
      <w:r w:rsidR="004118F5">
        <w:rPr>
          <w:rFonts w:ascii="Times New Roman" w:hAnsi="Times New Roman" w:cs="Times New Roman"/>
        </w:rPr>
        <w:t xml:space="preserve"> contour from 70°S in March to ~65°S in September is associated with the reduction in heat </w:t>
      </w:r>
      <w:r w:rsidR="00680862">
        <w:rPr>
          <w:rFonts w:ascii="Times New Roman" w:hAnsi="Times New Roman" w:cs="Times New Roman"/>
        </w:rPr>
        <w:t>loss from the ocean</w:t>
      </w:r>
      <w:r w:rsidR="004118F5">
        <w:rPr>
          <w:rFonts w:ascii="Times New Roman" w:hAnsi="Times New Roman" w:cs="Times New Roman"/>
        </w:rPr>
        <w:t xml:space="preserve"> due to the growth of sea ice – some of the models have different slants and some have displaced </w:t>
      </w:r>
      <w:r w:rsidR="00680862">
        <w:rPr>
          <w:rFonts w:ascii="Times New Roman" w:hAnsi="Times New Roman" w:cs="Times New Roman"/>
        </w:rPr>
        <w:t>ice edges.</w:t>
      </w:r>
      <w:r w:rsidR="005F0F1B">
        <w:rPr>
          <w:rFonts w:ascii="Times New Roman" w:hAnsi="Times New Roman" w:cs="Times New Roman"/>
        </w:rPr>
        <w:t xml:space="preserve"> All of the models overestimate the net amount of heat lost by the ocean in winter (</w:t>
      </w:r>
      <w:r w:rsidR="00EA3884">
        <w:rPr>
          <w:rFonts w:ascii="Times New Roman" w:hAnsi="Times New Roman" w:cs="Times New Roman"/>
        </w:rPr>
        <w:t>M</w:t>
      </w:r>
      <w:r w:rsidR="005F0F1B">
        <w:rPr>
          <w:rFonts w:ascii="Times New Roman" w:hAnsi="Times New Roman" w:cs="Times New Roman"/>
        </w:rPr>
        <w:t>JJA).</w:t>
      </w:r>
    </w:p>
    <w:p w14:paraId="051B00D8" w14:textId="41026A10" w:rsidR="007A021D" w:rsidRDefault="007A021D" w:rsidP="007A021D">
      <w:pPr>
        <w:pStyle w:val="Normal1"/>
      </w:pPr>
      <w:r>
        <w:br w:type="page"/>
      </w:r>
    </w:p>
    <w:p w14:paraId="198EC204" w14:textId="1F17C091" w:rsidR="007A021D" w:rsidRDefault="007A021D" w:rsidP="007A021D">
      <w:pPr>
        <w:pStyle w:val="Normal1"/>
      </w:pPr>
      <w:r>
        <w:rPr>
          <w:rFonts w:ascii="Times New Roman" w:eastAsia="Times New Roman" w:hAnsi="Times New Roman" w:cs="Times New Roman"/>
          <w:b/>
          <w:sz w:val="20"/>
          <w:szCs w:val="20"/>
        </w:rPr>
        <w:lastRenderedPageBreak/>
        <w:t>Figure S4:</w:t>
      </w:r>
      <w:r>
        <w:rPr>
          <w:rFonts w:ascii="Times New Roman" w:eastAsia="Times New Roman" w:hAnsi="Times New Roman" w:cs="Times New Roman"/>
          <w:sz w:val="20"/>
          <w:szCs w:val="20"/>
        </w:rPr>
        <w:t xml:space="preserve"> Annual mean difference between evaporation and precipitation (E-P, m/</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negative values or blue shading indicate addition of freshwater through the surface) from the </w:t>
      </w:r>
      <w:r w:rsidR="002857B9">
        <w:rPr>
          <w:rFonts w:ascii="Times New Roman" w:eastAsia="Times New Roman" w:hAnsi="Times New Roman" w:cs="Times New Roman"/>
          <w:sz w:val="20"/>
          <w:szCs w:val="20"/>
        </w:rPr>
        <w:t>reanalysis</w:t>
      </w:r>
      <w:r>
        <w:rPr>
          <w:rFonts w:ascii="Times New Roman" w:eastAsia="Times New Roman" w:hAnsi="Times New Roman" w:cs="Times New Roman"/>
          <w:sz w:val="20"/>
          <w:szCs w:val="20"/>
        </w:rPr>
        <w:t xml:space="preserve"> and from several of the coupled climate models submitted as part of the CMIP5/IPCC-AR5 process. All model figures cover the simulated years 1986-2005 from the HISTORICAL forcing scenario. Panel a) CFSR dataset; b) CanESM2; c) CSIRO-Mk3.6; d) GFDL-ESM2M; e) HadGEM2-ES; f) MIROC-ESM; and g) MRI-ESM1. Panel H shows the zonally-integrated annual mean, net evaporation minus precipitation (in 10</w:t>
      </w:r>
      <w:r>
        <w:rPr>
          <w:rFonts w:ascii="Times New Roman" w:eastAsia="Times New Roman" w:hAnsi="Times New Roman" w:cs="Times New Roman"/>
          <w:sz w:val="20"/>
          <w:szCs w:val="20"/>
          <w:vertAlign w:val="superscript"/>
        </w:rPr>
        <w:t>6</w:t>
      </w:r>
      <w:r>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for each of the other seven panels.</w:t>
      </w:r>
    </w:p>
    <w:p w14:paraId="14ABBA03" w14:textId="77777777" w:rsidR="001104C2" w:rsidRDefault="001104C2" w:rsidP="007A021D">
      <w:pPr>
        <w:pStyle w:val="Normal1"/>
      </w:pPr>
    </w:p>
    <w:p w14:paraId="1B0BC289" w14:textId="0C9EAC0F" w:rsidR="001104C2" w:rsidRPr="002857B9" w:rsidRDefault="002857B9" w:rsidP="007A021D">
      <w:pPr>
        <w:pStyle w:val="Normal1"/>
        <w:rPr>
          <w:rFonts w:ascii="Times New Roman" w:hAnsi="Times New Roman" w:cs="Times New Roman"/>
        </w:rPr>
      </w:pPr>
      <w:r w:rsidRPr="002857B9">
        <w:rPr>
          <w:rFonts w:ascii="Times New Roman" w:hAnsi="Times New Roman" w:cs="Times New Roman"/>
        </w:rPr>
        <w:t>Figure S4 shows the</w:t>
      </w:r>
      <w:r>
        <w:rPr>
          <w:rFonts w:ascii="Times New Roman" w:hAnsi="Times New Roman" w:cs="Times New Roman"/>
        </w:rPr>
        <w:t xml:space="preserve"> annual mean water flux at the surface due to evaporation and precipitation</w:t>
      </w:r>
      <w:r w:rsidR="00B21205">
        <w:rPr>
          <w:rFonts w:ascii="Times New Roman" w:hAnsi="Times New Roman" w:cs="Times New Roman"/>
        </w:rPr>
        <w:t xml:space="preserve"> in m/yr</w:t>
      </w:r>
      <w:r>
        <w:rPr>
          <w:rFonts w:ascii="Times New Roman" w:hAnsi="Times New Roman" w:cs="Times New Roman"/>
        </w:rPr>
        <w:t xml:space="preserve">. </w:t>
      </w:r>
      <w:r w:rsidR="00CE06E0">
        <w:rPr>
          <w:rFonts w:ascii="Times New Roman" w:hAnsi="Times New Roman" w:cs="Times New Roman"/>
        </w:rPr>
        <w:t>The monthly precipitation flux was subtracted from the monthly evaporation flux, and then all months in the period of record were averaged together</w:t>
      </w:r>
      <w:r w:rsidR="00B21205">
        <w:rPr>
          <w:rFonts w:ascii="Times New Roman" w:hAnsi="Times New Roman" w:cs="Times New Roman"/>
        </w:rPr>
        <w:t>. The flux in kg/m</w:t>
      </w:r>
      <w:r w:rsidR="00B21205" w:rsidRPr="00B21205">
        <w:rPr>
          <w:rFonts w:ascii="Times New Roman" w:hAnsi="Times New Roman" w:cs="Times New Roman"/>
          <w:vertAlign w:val="superscript"/>
        </w:rPr>
        <w:t>2</w:t>
      </w:r>
      <w:r w:rsidR="00B21205">
        <w:rPr>
          <w:rFonts w:ascii="Times New Roman" w:hAnsi="Times New Roman" w:cs="Times New Roman"/>
        </w:rPr>
        <w:t>/s was then converted to m/</w:t>
      </w:r>
      <w:proofErr w:type="spellStart"/>
      <w:r w:rsidR="00B21205">
        <w:rPr>
          <w:rFonts w:ascii="Times New Roman" w:hAnsi="Times New Roman" w:cs="Times New Roman"/>
        </w:rPr>
        <w:t>yr</w:t>
      </w:r>
      <w:proofErr w:type="spellEnd"/>
      <w:r w:rsidR="00B21205">
        <w:rPr>
          <w:rFonts w:ascii="Times New Roman" w:hAnsi="Times New Roman" w:cs="Times New Roman"/>
        </w:rPr>
        <w:t xml:space="preserve"> by dividing by the density of water (1000 kg/m</w:t>
      </w:r>
      <w:r w:rsidR="00B21205" w:rsidRPr="00B21205">
        <w:rPr>
          <w:rFonts w:ascii="Times New Roman" w:hAnsi="Times New Roman" w:cs="Times New Roman"/>
          <w:vertAlign w:val="superscript"/>
        </w:rPr>
        <w:t>3</w:t>
      </w:r>
      <w:r w:rsidR="00B21205">
        <w:rPr>
          <w:rFonts w:ascii="Times New Roman" w:hAnsi="Times New Roman" w:cs="Times New Roman"/>
        </w:rPr>
        <w:t>)</w:t>
      </w:r>
      <w:r w:rsidR="00CE06E0">
        <w:rPr>
          <w:rFonts w:ascii="Times New Roman" w:hAnsi="Times New Roman" w:cs="Times New Roman"/>
        </w:rPr>
        <w:t xml:space="preserve">. </w:t>
      </w:r>
      <w:r>
        <w:rPr>
          <w:rFonts w:ascii="Times New Roman" w:hAnsi="Times New Roman" w:cs="Times New Roman"/>
        </w:rPr>
        <w:t>Positive values (</w:t>
      </w:r>
      <w:r w:rsidR="00B21205">
        <w:rPr>
          <w:rFonts w:ascii="Times New Roman" w:hAnsi="Times New Roman" w:cs="Times New Roman"/>
        </w:rPr>
        <w:t xml:space="preserve">E – P &gt; 0, </w:t>
      </w:r>
      <w:r>
        <w:rPr>
          <w:rFonts w:ascii="Times New Roman" w:hAnsi="Times New Roman" w:cs="Times New Roman"/>
        </w:rPr>
        <w:t>yellow/brown) indicate a net flux of water fr</w:t>
      </w:r>
      <w:r w:rsidR="00B21205">
        <w:rPr>
          <w:rFonts w:ascii="Times New Roman" w:hAnsi="Times New Roman" w:cs="Times New Roman"/>
        </w:rPr>
        <w:t>om the ocean to the atmosphere</w:t>
      </w:r>
      <w:r w:rsidR="000922A6">
        <w:rPr>
          <w:rFonts w:ascii="Times New Roman" w:hAnsi="Times New Roman" w:cs="Times New Roman"/>
        </w:rPr>
        <w:t xml:space="preserve"> and an increase in local salinity</w:t>
      </w:r>
      <w:r>
        <w:rPr>
          <w:rFonts w:ascii="Times New Roman" w:hAnsi="Times New Roman" w:cs="Times New Roman"/>
        </w:rPr>
        <w:t xml:space="preserve">, while </w:t>
      </w:r>
      <w:r w:rsidR="009106A8">
        <w:rPr>
          <w:rFonts w:ascii="Times New Roman" w:hAnsi="Times New Roman" w:cs="Times New Roman"/>
        </w:rPr>
        <w:t>negative values (</w:t>
      </w:r>
      <w:r w:rsidR="00B21205">
        <w:rPr>
          <w:rFonts w:ascii="Times New Roman" w:hAnsi="Times New Roman" w:cs="Times New Roman"/>
        </w:rPr>
        <w:t xml:space="preserve">E – P &lt; 0, </w:t>
      </w:r>
      <w:r w:rsidR="009106A8">
        <w:rPr>
          <w:rFonts w:ascii="Times New Roman" w:hAnsi="Times New Roman" w:cs="Times New Roman"/>
        </w:rPr>
        <w:t>blue) indicate a net addition of water to the ocean and a reduction in local salinity</w:t>
      </w:r>
      <w:r w:rsidR="008654FB">
        <w:rPr>
          <w:rFonts w:ascii="Times New Roman" w:hAnsi="Times New Roman" w:cs="Times New Roman"/>
        </w:rPr>
        <w:t xml:space="preserve">. </w:t>
      </w:r>
      <w:r w:rsidR="00B21205">
        <w:rPr>
          <w:rFonts w:ascii="Times New Roman" w:hAnsi="Times New Roman" w:cs="Times New Roman"/>
        </w:rPr>
        <w:t xml:space="preserve">Panel H show the zonal integral of the other seven panels (over the ocean only). </w:t>
      </w:r>
      <w:r w:rsidR="004F1D3A">
        <w:rPr>
          <w:rFonts w:ascii="Times New Roman" w:hAnsi="Times New Roman" w:cs="Times New Roman"/>
        </w:rPr>
        <w:t>None of the models capture the intense band of precipitation seen in the reanalysis at 65°S</w:t>
      </w:r>
      <w:r w:rsidR="00C16566">
        <w:rPr>
          <w:rFonts w:ascii="Times New Roman" w:hAnsi="Times New Roman" w:cs="Times New Roman"/>
        </w:rPr>
        <w:t xml:space="preserve"> in Panel H.</w:t>
      </w:r>
      <w:r w:rsidR="003309CF">
        <w:rPr>
          <w:rFonts w:ascii="Times New Roman" w:hAnsi="Times New Roman" w:cs="Times New Roman"/>
        </w:rPr>
        <w:t xml:space="preserve"> The models show reasonably good agreement with each other, although the MIROC model has much more precipitation between 50°S and 45°S that the other models do.</w:t>
      </w:r>
    </w:p>
    <w:p w14:paraId="4036C9CC" w14:textId="77777777" w:rsidR="007312D0" w:rsidRDefault="007312D0">
      <w:pPr>
        <w:rPr>
          <w:b/>
          <w:color w:val="000000"/>
          <w:sz w:val="20"/>
        </w:rPr>
      </w:pPr>
      <w:r>
        <w:rPr>
          <w:b/>
          <w:sz w:val="20"/>
        </w:rPr>
        <w:lastRenderedPageBreak/>
        <w:br w:type="page"/>
      </w:r>
    </w:p>
    <w:p w14:paraId="1D2763ED" w14:textId="2717341B" w:rsidR="007A021D" w:rsidRDefault="007A021D" w:rsidP="007A021D">
      <w:pPr>
        <w:pStyle w:val="Normal1"/>
      </w:pPr>
      <w:r>
        <w:rPr>
          <w:rFonts w:ascii="Times New Roman" w:eastAsia="Times New Roman" w:hAnsi="Times New Roman" w:cs="Times New Roman"/>
          <w:b/>
          <w:sz w:val="20"/>
          <w:szCs w:val="20"/>
        </w:rPr>
        <w:t xml:space="preserve">Figure S5: </w:t>
      </w:r>
      <w:r>
        <w:rPr>
          <w:rFonts w:ascii="Times New Roman" w:eastAsia="Times New Roman" w:hAnsi="Times New Roman" w:cs="Times New Roman"/>
          <w:sz w:val="20"/>
          <w:szCs w:val="20"/>
        </w:rPr>
        <w:t>Annual-mean sea surface height (cm) from the observations and from several of the coupled climate models submitted as part of the CMIP5/IPCC-AR5 process. All model figures cover the simulated years 1986-2005 from the HISTORICAL forcing scenario. Panel a) AVISO dataset; b) CanESM2; c) CSIRO-Mk3.6; d) GFDL-ESM2M; e) HadGEM2-ES; f) MIROC-ESM; and g) MRI-ESM1. Panel H) shows the zonal mean for each of the seven maps. The area-mean sea surface height in the Southern Ocean (90°S-30°S) was subtracted from each model.</w:t>
      </w:r>
    </w:p>
    <w:p w14:paraId="60942591" w14:textId="77777777" w:rsidR="00A04B02" w:rsidRDefault="00A04B02" w:rsidP="007A021D">
      <w:pPr>
        <w:pStyle w:val="Normal1"/>
      </w:pPr>
    </w:p>
    <w:p w14:paraId="2E720E95" w14:textId="046B9532" w:rsidR="00A04B02" w:rsidRPr="009A5DB6" w:rsidRDefault="0068606E" w:rsidP="007A021D">
      <w:pPr>
        <w:pStyle w:val="Normal1"/>
        <w:rPr>
          <w:rFonts w:ascii="Times New Roman" w:hAnsi="Times New Roman" w:cs="Times New Roman"/>
        </w:rPr>
      </w:pPr>
      <w:r w:rsidRPr="009A5DB6">
        <w:rPr>
          <w:rFonts w:ascii="Times New Roman" w:hAnsi="Times New Roman" w:cs="Times New Roman"/>
        </w:rPr>
        <w:t xml:space="preserve">Figure </w:t>
      </w:r>
      <w:r w:rsidR="009A5DB6">
        <w:rPr>
          <w:rFonts w:ascii="Times New Roman" w:hAnsi="Times New Roman" w:cs="Times New Roman"/>
        </w:rPr>
        <w:t xml:space="preserve">S5 shows the annual mean sea surface height </w:t>
      </w:r>
      <w:r w:rsidR="007F789E">
        <w:rPr>
          <w:rFonts w:ascii="Times New Roman" w:hAnsi="Times New Roman" w:cs="Times New Roman"/>
        </w:rPr>
        <w:t xml:space="preserve">(in cm), averaged over all the months in the period of record. In order to make the maps </w:t>
      </w:r>
      <w:r w:rsidR="001C0F43">
        <w:rPr>
          <w:rFonts w:ascii="Times New Roman" w:hAnsi="Times New Roman" w:cs="Times New Roman"/>
        </w:rPr>
        <w:t xml:space="preserve">directly </w:t>
      </w:r>
      <w:r w:rsidR="007F789E">
        <w:rPr>
          <w:rFonts w:ascii="Times New Roman" w:hAnsi="Times New Roman" w:cs="Times New Roman"/>
        </w:rPr>
        <w:t xml:space="preserve">comparable, the area-weighted average sea surface height over the entire Southern Ocean </w:t>
      </w:r>
      <w:r w:rsidR="001C0F43">
        <w:rPr>
          <w:rFonts w:ascii="Times New Roman" w:hAnsi="Times New Roman" w:cs="Times New Roman"/>
        </w:rPr>
        <w:t xml:space="preserve">(south of 30°S) </w:t>
      </w:r>
      <w:r w:rsidR="007F789E">
        <w:rPr>
          <w:rFonts w:ascii="Times New Roman" w:hAnsi="Times New Roman" w:cs="Times New Roman"/>
        </w:rPr>
        <w:t xml:space="preserve">was linearly removed from each point. The slope of the sea surface across the Antarctic Circumpolar Current is directly related to the strength of the barotropic transport in the ACC. The models generally agree with each other, and the models with smallest difference in height across the current (MRI and CSIRO) </w:t>
      </w:r>
      <w:r w:rsidR="001C0F43">
        <w:rPr>
          <w:rFonts w:ascii="Times New Roman" w:hAnsi="Times New Roman" w:cs="Times New Roman"/>
        </w:rPr>
        <w:t>have the weakest transports through Drake Passage.</w:t>
      </w:r>
    </w:p>
    <w:p w14:paraId="0B314E7F" w14:textId="77777777" w:rsidR="007A021D" w:rsidRDefault="007A021D" w:rsidP="007A021D">
      <w:pPr>
        <w:pStyle w:val="Normal1"/>
      </w:pPr>
      <w:r>
        <w:br w:type="page"/>
      </w:r>
    </w:p>
    <w:p w14:paraId="0EADDAB8" w14:textId="77777777" w:rsidR="007A021D" w:rsidRDefault="007A021D" w:rsidP="007A021D">
      <w:pPr>
        <w:pStyle w:val="Normal1"/>
      </w:pPr>
      <w:r>
        <w:rPr>
          <w:rFonts w:ascii="Times New Roman" w:eastAsia="Times New Roman" w:hAnsi="Times New Roman" w:cs="Times New Roman"/>
          <w:b/>
          <w:sz w:val="20"/>
          <w:szCs w:val="20"/>
        </w:rPr>
        <w:lastRenderedPageBreak/>
        <w:t>Figure S6:</w:t>
      </w:r>
      <w:r>
        <w:rPr>
          <w:rFonts w:ascii="Times New Roman" w:eastAsia="Times New Roman" w:hAnsi="Times New Roman" w:cs="Times New Roman"/>
          <w:sz w:val="20"/>
          <w:szCs w:val="20"/>
        </w:rPr>
        <w:t xml:space="preserve"> The winter (JJAS) maximum mixed layer depth (MLD) over the Southern Ocean from the observations and the model simulations. MLD was defined similarly to the original Levitus 1982 definition: the depth at which the density has increased from its surface value by 0.125 kg/m</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 (Levitus, 1982, Monterey and Levitus 1997). All model figures cover the simulated years 1986-2005 from the HISTORICAL forcing scenario. Panel a) WOA2013 dataset; b) CanESM2; c) CSIRO-Mk3.6; d) GFDL-ESM2M; e) HadGEM2-ES; f) MIROC-ESM; and g) MRI-ESM1. In panel G) for the MRI simulation, the white area around 60°S in the Indian Ocean sector has persistent convection down to the bottom, so the density at every depth are less than 0.125 kg/m</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 different from the surface value, making the MLD undefined in this area.</w:t>
      </w:r>
    </w:p>
    <w:p w14:paraId="3EAC72ED" w14:textId="2CB2C2EE" w:rsidR="007A021D" w:rsidRPr="00CE17AE" w:rsidRDefault="003803CE" w:rsidP="007A021D">
      <w:pPr>
        <w:pStyle w:val="Normal1"/>
        <w:rPr>
          <w:rFonts w:ascii="Times New Roman" w:hAnsi="Times New Roman" w:cs="Times New Roman"/>
        </w:rPr>
      </w:pPr>
      <w:r w:rsidRPr="003803CE">
        <w:rPr>
          <w:rFonts w:ascii="Times New Roman" w:hAnsi="Times New Roman" w:cs="Times New Roman"/>
        </w:rPr>
        <w:t xml:space="preserve">Figure S6 </w:t>
      </w:r>
      <w:r>
        <w:rPr>
          <w:rFonts w:ascii="Times New Roman" w:hAnsi="Times New Roman" w:cs="Times New Roman"/>
        </w:rPr>
        <w:t xml:space="preserve">shows the maximum winter (JJAS) mixed layer depth (MLD) in meters. The MLD is defined as the depth at which the </w:t>
      </w:r>
      <w:r w:rsidR="00E81375">
        <w:rPr>
          <w:rFonts w:ascii="Times New Roman" w:hAnsi="Times New Roman" w:cs="Times New Roman"/>
        </w:rPr>
        <w:t xml:space="preserve">potential </w:t>
      </w:r>
      <w:r>
        <w:rPr>
          <w:rFonts w:ascii="Times New Roman" w:hAnsi="Times New Roman" w:cs="Times New Roman"/>
        </w:rPr>
        <w:t xml:space="preserve">density </w:t>
      </w:r>
      <w:r w:rsidR="00E81375">
        <w:rPr>
          <w:rFonts w:ascii="Times New Roman" w:hAnsi="Times New Roman" w:cs="Times New Roman"/>
        </w:rPr>
        <w:t xml:space="preserve">(referenced to the surface, </w:t>
      </w:r>
      <w:r w:rsidR="00E81375" w:rsidRPr="00445E6C">
        <w:rPr>
          <w:rFonts w:ascii="Symbol" w:hAnsi="Symbol" w:cs="Times New Roman"/>
        </w:rPr>
        <w:t></w:t>
      </w:r>
      <w:r w:rsidR="00E81375" w:rsidRPr="00445E6C">
        <w:rPr>
          <w:rFonts w:ascii="Symbol" w:hAnsi="Symbol" w:cs="Times New Roman"/>
          <w:vertAlign w:val="subscript"/>
        </w:rPr>
        <w:t></w:t>
      </w:r>
      <w:r w:rsidR="00E81375">
        <w:rPr>
          <w:rFonts w:ascii="Times New Roman" w:hAnsi="Times New Roman" w:cs="Times New Roman"/>
        </w:rPr>
        <w:t xml:space="preserve">) </w:t>
      </w:r>
      <w:r>
        <w:rPr>
          <w:rFonts w:ascii="Times New Roman" w:hAnsi="Times New Roman" w:cs="Times New Roman"/>
        </w:rPr>
        <w:t>is 0.125 kg/m</w:t>
      </w:r>
      <w:r w:rsidRPr="00445E6C">
        <w:rPr>
          <w:rFonts w:ascii="Times New Roman" w:hAnsi="Times New Roman" w:cs="Times New Roman"/>
          <w:vertAlign w:val="superscript"/>
        </w:rPr>
        <w:t>3</w:t>
      </w:r>
      <w:r>
        <w:rPr>
          <w:rFonts w:ascii="Times New Roman" w:hAnsi="Times New Roman" w:cs="Times New Roman"/>
        </w:rPr>
        <w:t xml:space="preserve"> larger than the surface value at that location, based the definition given by Levitus (1982) and Monterey</w:t>
      </w:r>
      <w:r w:rsidR="007A7A97">
        <w:rPr>
          <w:rFonts w:ascii="Times New Roman" w:hAnsi="Times New Roman" w:cs="Times New Roman"/>
        </w:rPr>
        <w:t xml:space="preserve"> and Levitus (1997). Much finer-scale</w:t>
      </w:r>
      <w:r>
        <w:rPr>
          <w:rFonts w:ascii="Times New Roman" w:hAnsi="Times New Roman" w:cs="Times New Roman"/>
        </w:rPr>
        <w:t xml:space="preserve"> definitions of the MLD are used for </w:t>
      </w:r>
      <w:r w:rsidR="007A7A97">
        <w:rPr>
          <w:rFonts w:ascii="Times New Roman" w:hAnsi="Times New Roman" w:cs="Times New Roman"/>
        </w:rPr>
        <w:t>measurements from individual profiles</w:t>
      </w:r>
      <w:r>
        <w:rPr>
          <w:rFonts w:ascii="Times New Roman" w:hAnsi="Times New Roman" w:cs="Times New Roman"/>
        </w:rPr>
        <w:t xml:space="preserve"> and higher resolution (in space and t</w:t>
      </w:r>
      <w:r w:rsidR="00E81375">
        <w:rPr>
          <w:rFonts w:ascii="Times New Roman" w:hAnsi="Times New Roman" w:cs="Times New Roman"/>
        </w:rPr>
        <w:t>i</w:t>
      </w:r>
      <w:r>
        <w:rPr>
          <w:rFonts w:ascii="Times New Roman" w:hAnsi="Times New Roman" w:cs="Times New Roman"/>
        </w:rPr>
        <w:t xml:space="preserve">me) data, </w:t>
      </w:r>
      <w:r w:rsidR="00E81375">
        <w:rPr>
          <w:rFonts w:ascii="Times New Roman" w:hAnsi="Times New Roman" w:cs="Times New Roman"/>
        </w:rPr>
        <w:t xml:space="preserve">but for monthly averages on a coarse-to-moderate grid, this definition is appropriate. The potential density was determined from the climatological temperature and salinity each month and then the depth of the deepest MLD in any of the winter months is shown. </w:t>
      </w:r>
      <w:r w:rsidR="00F46966">
        <w:rPr>
          <w:rFonts w:ascii="Times New Roman" w:hAnsi="Times New Roman" w:cs="Times New Roman"/>
        </w:rPr>
        <w:t xml:space="preserve">The simulations </w:t>
      </w:r>
      <w:r w:rsidR="007D706D">
        <w:rPr>
          <w:rFonts w:ascii="Times New Roman" w:hAnsi="Times New Roman" w:cs="Times New Roman"/>
        </w:rPr>
        <w:t xml:space="preserve">capture the basic pattern of maximum MLD along the Subantarctic Front (not shown), although the MLD in the </w:t>
      </w:r>
      <w:proofErr w:type="spellStart"/>
      <w:r w:rsidR="007D706D">
        <w:rPr>
          <w:rFonts w:ascii="Times New Roman" w:hAnsi="Times New Roman" w:cs="Times New Roman"/>
        </w:rPr>
        <w:t>HadGEM</w:t>
      </w:r>
      <w:proofErr w:type="spellEnd"/>
      <w:r w:rsidR="007D706D">
        <w:rPr>
          <w:rFonts w:ascii="Times New Roman" w:hAnsi="Times New Roman" w:cs="Times New Roman"/>
        </w:rPr>
        <w:t xml:space="preserve"> simulation is significantly shallower than observed. Two of the models, ESM2M in the Weddell Sea and MRI </w:t>
      </w:r>
      <w:r w:rsidR="00CE17AE">
        <w:rPr>
          <w:rFonts w:ascii="Times New Roman" w:hAnsi="Times New Roman" w:cs="Times New Roman"/>
        </w:rPr>
        <w:t>south of the Kerguelen Plateau have persistent convection down to the bottom, so the density in those locations is always close to the surface value and the MLD is undefined (at the bottom).</w:t>
      </w:r>
      <w:r w:rsidR="007A021D">
        <w:br w:type="page"/>
      </w:r>
    </w:p>
    <w:p w14:paraId="3B73C721" w14:textId="21C4E79E" w:rsidR="007A021D" w:rsidRDefault="007A021D" w:rsidP="007A021D">
      <w:pPr>
        <w:pStyle w:val="Normal1"/>
      </w:pPr>
      <w:r>
        <w:rPr>
          <w:rFonts w:ascii="Times New Roman" w:eastAsia="Times New Roman" w:hAnsi="Times New Roman" w:cs="Times New Roman"/>
          <w:b/>
          <w:sz w:val="20"/>
          <w:szCs w:val="20"/>
        </w:rPr>
        <w:lastRenderedPageBreak/>
        <w:t>Figure S7:</w:t>
      </w:r>
      <w:r>
        <w:rPr>
          <w:rFonts w:ascii="Times New Roman" w:eastAsia="Times New Roman" w:hAnsi="Times New Roman" w:cs="Times New Roman"/>
          <w:sz w:val="20"/>
          <w:szCs w:val="20"/>
        </w:rPr>
        <w:t xml:space="preserve"> </w:t>
      </w:r>
      <w:r w:rsidR="00EA5E2D">
        <w:rPr>
          <w:rFonts w:ascii="Times New Roman" w:eastAsia="Times New Roman" w:hAnsi="Times New Roman" w:cs="Times New Roman"/>
          <w:sz w:val="20"/>
          <w:szCs w:val="20"/>
        </w:rPr>
        <w:t>U</w:t>
      </w:r>
      <w:r>
        <w:rPr>
          <w:rFonts w:ascii="Times New Roman" w:eastAsia="Times New Roman" w:hAnsi="Times New Roman" w:cs="Times New Roman"/>
          <w:sz w:val="20"/>
          <w:szCs w:val="20"/>
        </w:rPr>
        <w:t xml:space="preserve">pper </w:t>
      </w:r>
      <w:proofErr w:type="gramStart"/>
      <w:r>
        <w:rPr>
          <w:rFonts w:ascii="Times New Roman" w:eastAsia="Times New Roman" w:hAnsi="Times New Roman" w:cs="Times New Roman"/>
          <w:sz w:val="20"/>
          <w:szCs w:val="20"/>
        </w:rPr>
        <w:t>ocean</w:t>
      </w:r>
      <w:proofErr w:type="gramEnd"/>
      <w:r>
        <w:rPr>
          <w:rFonts w:ascii="Times New Roman" w:eastAsia="Times New Roman" w:hAnsi="Times New Roman" w:cs="Times New Roman"/>
          <w:sz w:val="20"/>
          <w:szCs w:val="20"/>
        </w:rPr>
        <w:t xml:space="preserve"> heat content in the top 400m (units of 10</w:t>
      </w:r>
      <w:r>
        <w:rPr>
          <w:rFonts w:ascii="Times New Roman" w:eastAsia="Times New Roman" w:hAnsi="Times New Roman" w:cs="Times New Roman"/>
          <w:sz w:val="20"/>
          <w:szCs w:val="20"/>
          <w:vertAlign w:val="superscript"/>
        </w:rPr>
        <w:t>9</w:t>
      </w:r>
      <w:r>
        <w:rPr>
          <w:rFonts w:ascii="Times New Roman" w:eastAsia="Times New Roman" w:hAnsi="Times New Roman" w:cs="Times New Roman"/>
          <w:sz w:val="20"/>
          <w:szCs w:val="20"/>
        </w:rPr>
        <w:t xml:space="preserve"> J/m</w:t>
      </w:r>
      <w:r>
        <w:rPr>
          <w:rFonts w:ascii="Times New Roman" w:eastAsia="Times New Roman" w:hAnsi="Times New Roman" w:cs="Times New Roman"/>
          <w:sz w:val="20"/>
          <w:szCs w:val="20"/>
          <w:vertAlign w:val="superscript"/>
        </w:rPr>
        <w:t>2</w:t>
      </w:r>
      <w:r w:rsidR="0003128F">
        <w:rPr>
          <w:rFonts w:ascii="Times New Roman" w:eastAsia="Times New Roman" w:hAnsi="Times New Roman" w:cs="Times New Roman"/>
          <w:sz w:val="20"/>
          <w:szCs w:val="20"/>
        </w:rPr>
        <w:t>) from the observations (WOA13</w:t>
      </w:r>
      <w:r>
        <w:rPr>
          <w:rFonts w:ascii="Times New Roman" w:eastAsia="Times New Roman" w:hAnsi="Times New Roman" w:cs="Times New Roman"/>
          <w:sz w:val="20"/>
          <w:szCs w:val="20"/>
        </w:rPr>
        <w:t>) and the simulated differences for each of the models. Heat content is calculated by integrating the temperature over the top 400m and then multiplying by the specific heat (3895 J/kg-K) and a reference density (1030 kg/m</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as in Stephenson et al., 2012). All model figures cover the simulated years 1986-2005 from the HISTORICAL fo</w:t>
      </w:r>
      <w:r w:rsidR="0003128F">
        <w:rPr>
          <w:rFonts w:ascii="Times New Roman" w:eastAsia="Times New Roman" w:hAnsi="Times New Roman" w:cs="Times New Roman"/>
          <w:sz w:val="20"/>
          <w:szCs w:val="20"/>
        </w:rPr>
        <w:t>rcing scenario. Panel a) WOA2013</w:t>
      </w:r>
      <w:r>
        <w:rPr>
          <w:rFonts w:ascii="Times New Roman" w:eastAsia="Times New Roman" w:hAnsi="Times New Roman" w:cs="Times New Roman"/>
          <w:sz w:val="20"/>
          <w:szCs w:val="20"/>
        </w:rPr>
        <w:t xml:space="preserve"> dataset; b) CanESM2; c) CSIRO-Mk3.6; d) GFDL-ESM2M; e) HadGEM2-ES; f) MIROC-ESM; and g) MRI-ESM1.</w:t>
      </w:r>
    </w:p>
    <w:p w14:paraId="32BB3AD4" w14:textId="77777777" w:rsidR="0003128F" w:rsidRDefault="0003128F" w:rsidP="007A021D">
      <w:pPr>
        <w:pStyle w:val="Normal1"/>
      </w:pPr>
    </w:p>
    <w:p w14:paraId="53CC94D5" w14:textId="47798961" w:rsidR="0003128F" w:rsidRPr="0003128F" w:rsidRDefault="0003128F" w:rsidP="007A021D">
      <w:pPr>
        <w:pStyle w:val="Normal1"/>
        <w:rPr>
          <w:rFonts w:ascii="Times New Roman" w:hAnsi="Times New Roman" w:cs="Times New Roman"/>
        </w:rPr>
      </w:pPr>
      <w:r w:rsidRPr="0003128F">
        <w:rPr>
          <w:rFonts w:ascii="Times New Roman" w:hAnsi="Times New Roman" w:cs="Times New Roman"/>
        </w:rPr>
        <w:t xml:space="preserve">Figure S7 shows the </w:t>
      </w:r>
      <w:r w:rsidR="007B10B6">
        <w:rPr>
          <w:rFonts w:ascii="Times New Roman" w:hAnsi="Times New Roman" w:cs="Times New Roman"/>
        </w:rPr>
        <w:t xml:space="preserve">annual-mean </w:t>
      </w:r>
      <w:r w:rsidRPr="0003128F">
        <w:rPr>
          <w:rFonts w:ascii="Times New Roman" w:hAnsi="Times New Roman" w:cs="Times New Roman"/>
        </w:rPr>
        <w:t xml:space="preserve">upper </w:t>
      </w:r>
      <w:r>
        <w:rPr>
          <w:rFonts w:ascii="Times New Roman" w:hAnsi="Times New Roman" w:cs="Times New Roman"/>
        </w:rPr>
        <w:t xml:space="preserve">ocean heat content </w:t>
      </w:r>
      <w:r w:rsidR="00F57299">
        <w:rPr>
          <w:rFonts w:ascii="Times New Roman" w:hAnsi="Times New Roman" w:cs="Times New Roman"/>
        </w:rPr>
        <w:t>(in 10</w:t>
      </w:r>
      <w:r w:rsidR="00F57299" w:rsidRPr="00F57299">
        <w:rPr>
          <w:rFonts w:ascii="Times New Roman" w:hAnsi="Times New Roman" w:cs="Times New Roman"/>
          <w:vertAlign w:val="superscript"/>
        </w:rPr>
        <w:t>9</w:t>
      </w:r>
      <w:r w:rsidR="00F57299">
        <w:rPr>
          <w:rFonts w:ascii="Times New Roman" w:hAnsi="Times New Roman" w:cs="Times New Roman"/>
        </w:rPr>
        <w:t xml:space="preserve"> J/m</w:t>
      </w:r>
      <w:r w:rsidR="00F57299" w:rsidRPr="00F57299">
        <w:rPr>
          <w:rFonts w:ascii="Times New Roman" w:hAnsi="Times New Roman" w:cs="Times New Roman"/>
          <w:vertAlign w:val="superscript"/>
        </w:rPr>
        <w:t>2</w:t>
      </w:r>
      <w:r w:rsidR="00F57299">
        <w:rPr>
          <w:rFonts w:ascii="Times New Roman" w:hAnsi="Times New Roman" w:cs="Times New Roman"/>
        </w:rPr>
        <w:t xml:space="preserve">) </w:t>
      </w:r>
      <w:r w:rsidR="007B10B6">
        <w:rPr>
          <w:rFonts w:ascii="Times New Roman" w:hAnsi="Times New Roman" w:cs="Times New Roman"/>
        </w:rPr>
        <w:t>from the WOA13 dataset, and the difference (anomaly/bias/error) in each of the model simulations</w:t>
      </w:r>
      <w:r w:rsidR="00877D5F">
        <w:rPr>
          <w:rFonts w:ascii="Times New Roman" w:hAnsi="Times New Roman" w:cs="Times New Roman"/>
        </w:rPr>
        <w:t xml:space="preserve"> calculated by averaging all months in the period of record</w:t>
      </w:r>
      <w:r w:rsidR="007B10B6">
        <w:rPr>
          <w:rFonts w:ascii="Times New Roman" w:hAnsi="Times New Roman" w:cs="Times New Roman"/>
        </w:rPr>
        <w:t xml:space="preserve">. Heat content is calculated by integrating the temperature (in K) from 0-400m and then multiplying by the </w:t>
      </w:r>
      <w:r w:rsidR="00F57299">
        <w:rPr>
          <w:rFonts w:ascii="Times New Roman" w:hAnsi="Times New Roman" w:cs="Times New Roman"/>
        </w:rPr>
        <w:t>specific heat and a reference density</w:t>
      </w:r>
      <w:r w:rsidR="00A829DC">
        <w:rPr>
          <w:rFonts w:ascii="Times New Roman" w:hAnsi="Times New Roman" w:cs="Times New Roman"/>
        </w:rPr>
        <w:t xml:space="preserve">. </w:t>
      </w:r>
      <w:r w:rsidR="00877D5F">
        <w:rPr>
          <w:rFonts w:ascii="Times New Roman" w:hAnsi="Times New Roman" w:cs="Times New Roman"/>
        </w:rPr>
        <w:t xml:space="preserve">In order to determine the difference from observed for the models, each simulation was </w:t>
      </w:r>
      <w:proofErr w:type="spellStart"/>
      <w:r w:rsidR="00877D5F">
        <w:rPr>
          <w:rFonts w:ascii="Times New Roman" w:hAnsi="Times New Roman" w:cs="Times New Roman"/>
        </w:rPr>
        <w:t>regridded</w:t>
      </w:r>
      <w:proofErr w:type="spellEnd"/>
      <w:r w:rsidR="00877D5F">
        <w:rPr>
          <w:rFonts w:ascii="Times New Roman" w:hAnsi="Times New Roman" w:cs="Times New Roman"/>
        </w:rPr>
        <w:t xml:space="preserve"> onto the standard 1°-by-1° grid of WOA13: values at the standard points on the new grid are determined by linearly interpolating from the nearest 4 points on the old grid.</w:t>
      </w:r>
      <w:r w:rsidR="00B00EA1">
        <w:rPr>
          <w:rFonts w:ascii="Times New Roman" w:hAnsi="Times New Roman" w:cs="Times New Roman"/>
        </w:rPr>
        <w:t xml:space="preserve"> </w:t>
      </w:r>
      <w:r w:rsidR="00652E67">
        <w:rPr>
          <w:rFonts w:ascii="Times New Roman" w:hAnsi="Times New Roman" w:cs="Times New Roman"/>
        </w:rPr>
        <w:t>Common features in the models include warm biases downstream from</w:t>
      </w:r>
      <w:r w:rsidR="002C7263">
        <w:rPr>
          <w:rFonts w:ascii="Times New Roman" w:hAnsi="Times New Roman" w:cs="Times New Roman"/>
        </w:rPr>
        <w:t xml:space="preserve"> Africa in the South Indian and downstream from</w:t>
      </w:r>
      <w:r w:rsidR="00652E67">
        <w:rPr>
          <w:rFonts w:ascii="Times New Roman" w:hAnsi="Times New Roman" w:cs="Times New Roman"/>
        </w:rPr>
        <w:t xml:space="preserve"> New Zealand in the South Pacific</w:t>
      </w:r>
      <w:r w:rsidR="00B137F7">
        <w:rPr>
          <w:rFonts w:ascii="Times New Roman" w:hAnsi="Times New Roman" w:cs="Times New Roman"/>
        </w:rPr>
        <w:t>, generally accompanied by cool biases to the south over the ACC. These indicate too little mixing of subtropical gyre water into the northern flank of the ACC. The South Atlantic around 30°S is generally cooler than observed</w:t>
      </w:r>
      <w:r w:rsidR="002C7263">
        <w:rPr>
          <w:rFonts w:ascii="Times New Roman" w:hAnsi="Times New Roman" w:cs="Times New Roman"/>
        </w:rPr>
        <w:t>.</w:t>
      </w:r>
      <w:r w:rsidR="00877D5F">
        <w:rPr>
          <w:rFonts w:ascii="Times New Roman" w:hAnsi="Times New Roman" w:cs="Times New Roman"/>
        </w:rPr>
        <w:t xml:space="preserve">  </w:t>
      </w:r>
    </w:p>
    <w:p w14:paraId="6A768399" w14:textId="77777777" w:rsidR="0003128F" w:rsidRPr="0003128F" w:rsidRDefault="0003128F" w:rsidP="007A021D">
      <w:pPr>
        <w:pStyle w:val="Normal1"/>
        <w:rPr>
          <w:rFonts w:ascii="Times New Roman" w:hAnsi="Times New Roman" w:cs="Times New Roman"/>
        </w:rPr>
      </w:pPr>
    </w:p>
    <w:p w14:paraId="63AB16AD" w14:textId="036D0821" w:rsidR="007A021D" w:rsidRDefault="007A021D" w:rsidP="007A021D">
      <w:pPr>
        <w:pStyle w:val="Normal1"/>
      </w:pPr>
    </w:p>
    <w:p w14:paraId="33C91C69" w14:textId="77777777" w:rsidR="003175CE" w:rsidRDefault="003175CE">
      <w:pPr>
        <w:rPr>
          <w:b/>
          <w:color w:val="000000"/>
          <w:sz w:val="20"/>
        </w:rPr>
      </w:pPr>
      <w:r>
        <w:rPr>
          <w:b/>
          <w:sz w:val="20"/>
        </w:rPr>
        <w:br w:type="page"/>
      </w:r>
    </w:p>
    <w:p w14:paraId="3591D4F2" w14:textId="762991BE" w:rsidR="007A021D" w:rsidRDefault="007A021D" w:rsidP="007A021D">
      <w:pPr>
        <w:pStyle w:val="Normal1"/>
      </w:pPr>
      <w:r>
        <w:rPr>
          <w:rFonts w:ascii="Times New Roman" w:eastAsia="Times New Roman" w:hAnsi="Times New Roman" w:cs="Times New Roman"/>
          <w:b/>
          <w:sz w:val="20"/>
          <w:szCs w:val="20"/>
        </w:rPr>
        <w:t>Figure S8:</w:t>
      </w:r>
      <w:r>
        <w:rPr>
          <w:rFonts w:ascii="Times New Roman" w:eastAsia="Times New Roman" w:hAnsi="Times New Roman" w:cs="Times New Roman"/>
          <w:sz w:val="20"/>
          <w:szCs w:val="20"/>
        </w:rPr>
        <w:t xml:space="preserve"> </w:t>
      </w:r>
      <w:r w:rsidR="00EA5E2D">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eridional slope of the annual-mean depth of the </w:t>
      </w:r>
      <w:proofErr w:type="spellStart"/>
      <w:r w:rsidRPr="00445E6C">
        <w:rPr>
          <w:rFonts w:ascii="Times New Roman" w:eastAsia="Times New Roman" w:hAnsi="Times New Roman" w:cs="Times New Roman"/>
          <w:sz w:val="22"/>
          <w:szCs w:val="20"/>
        </w:rPr>
        <w:t>σ</w:t>
      </w:r>
      <w:r>
        <w:rPr>
          <w:rFonts w:ascii="Times New Roman" w:eastAsia="Times New Roman" w:hAnsi="Times New Roman" w:cs="Times New Roman"/>
          <w:vertAlign w:val="subscript"/>
        </w:rPr>
        <w:t>θ</w:t>
      </w:r>
      <w:proofErr w:type="spellEnd"/>
      <w:r>
        <w:rPr>
          <w:rFonts w:ascii="Times New Roman" w:eastAsia="Times New Roman" w:hAnsi="Times New Roman" w:cs="Times New Roman"/>
          <w:sz w:val="20"/>
          <w:szCs w:val="20"/>
        </w:rPr>
        <w:t>=27.6 isopycnal surface from the World Ocean Atlas 2013 in meters per degree of latitude. Red shading indicates a deepening of the isopycnal toward the north (away from Antarctica). All model figures cover the simulated years 1986-2005 from the HISTORICAL forcing scenario. Panel a) WOA2013 dataset; b) CanESM2; c) CSIRO-Mk3.6; d) GFDL-ESM2M; e) HadGEM2-ES; f) MIROC-ESM; and g) MRI-ESM1.</w:t>
      </w:r>
    </w:p>
    <w:p w14:paraId="36A3298C" w14:textId="77777777" w:rsidR="007A021D" w:rsidRDefault="007A021D" w:rsidP="007A021D">
      <w:pPr>
        <w:pStyle w:val="Normal1"/>
      </w:pPr>
    </w:p>
    <w:p w14:paraId="277ACBD6" w14:textId="77809B5F" w:rsidR="00445E6C" w:rsidRPr="00445E6C" w:rsidRDefault="00445E6C" w:rsidP="007A021D">
      <w:pPr>
        <w:pStyle w:val="Normal1"/>
        <w:rPr>
          <w:rFonts w:ascii="Times New Roman" w:hAnsi="Times New Roman" w:cs="Times New Roman"/>
        </w:rPr>
      </w:pPr>
      <w:r w:rsidRPr="00445E6C">
        <w:rPr>
          <w:rFonts w:ascii="Times New Roman" w:hAnsi="Times New Roman" w:cs="Times New Roman"/>
        </w:rPr>
        <w:t xml:space="preserve">Figure S8 shows the meridional slope of the </w:t>
      </w:r>
      <w:proofErr w:type="spellStart"/>
      <w:r w:rsidRPr="00445E6C">
        <w:rPr>
          <w:rFonts w:ascii="Times New Roman" w:eastAsia="Times New Roman" w:hAnsi="Times New Roman" w:cs="Times New Roman"/>
          <w:sz w:val="28"/>
        </w:rPr>
        <w:t>σ</w:t>
      </w:r>
      <w:r w:rsidRPr="00445E6C">
        <w:rPr>
          <w:rFonts w:ascii="Times New Roman" w:eastAsia="Times New Roman" w:hAnsi="Times New Roman" w:cs="Times New Roman"/>
          <w:vertAlign w:val="subscript"/>
        </w:rPr>
        <w:t>θ</w:t>
      </w:r>
      <w:proofErr w:type="spellEnd"/>
      <w:r>
        <w:rPr>
          <w:rFonts w:ascii="Times New Roman" w:eastAsia="Times New Roman" w:hAnsi="Times New Roman" w:cs="Times New Roman"/>
          <w:vertAlign w:val="subscript"/>
        </w:rPr>
        <w:t xml:space="preserve"> </w:t>
      </w:r>
      <w:r>
        <w:rPr>
          <w:rFonts w:ascii="Times New Roman" w:eastAsia="Times New Roman" w:hAnsi="Times New Roman" w:cs="Times New Roman"/>
          <w:sz w:val="20"/>
          <w:szCs w:val="20"/>
        </w:rPr>
        <w:t xml:space="preserve">= </w:t>
      </w:r>
      <w:r w:rsidRPr="00445E6C">
        <w:rPr>
          <w:rFonts w:ascii="Times New Roman" w:hAnsi="Times New Roman" w:cs="Times New Roman"/>
        </w:rPr>
        <w:t>27.6</w:t>
      </w:r>
      <w:r>
        <w:rPr>
          <w:rFonts w:ascii="Times New Roman" w:hAnsi="Times New Roman" w:cs="Times New Roman"/>
        </w:rPr>
        <w:t xml:space="preserve"> isopycnal surface in meters of depth per degree of latitude. </w:t>
      </w:r>
      <w:r w:rsidR="003B4626">
        <w:rPr>
          <w:rFonts w:ascii="Times New Roman" w:eastAsia="Times New Roman" w:hAnsi="Times New Roman" w:cs="Times New Roman"/>
        </w:rPr>
        <w:t>S</w:t>
      </w:r>
      <w:r w:rsidR="00DD3C9C">
        <w:rPr>
          <w:rFonts w:ascii="Times New Roman" w:eastAsia="Times New Roman" w:hAnsi="Times New Roman" w:cs="Times New Roman"/>
        </w:rPr>
        <w:t xml:space="preserve">teeper isopycnals can be expected to lead to more energetic eddy fields through enhanced baroclinic instability and higher levels of the available potential energy. </w:t>
      </w:r>
      <w:r w:rsidR="003B4626">
        <w:rPr>
          <w:rFonts w:ascii="Times New Roman" w:eastAsia="Times New Roman" w:hAnsi="Times New Roman" w:cs="Times New Roman"/>
        </w:rPr>
        <w:t>Intense upwelling around Antarctica, driven by the surface Ekman divergence leads to sharply sloping isopycnals and presumably high levels of eddy activity. The isopycnal slopes are therefore an important proxy for internal ACC dynamics and eddy-induced transports.</w:t>
      </w:r>
      <w:r w:rsidR="003B4626" w:rsidRPr="003B4626">
        <w:rPr>
          <w:rFonts w:ascii="Times New Roman" w:eastAsia="Times New Roman" w:hAnsi="Times New Roman" w:cs="Times New Roman"/>
        </w:rPr>
        <w:t xml:space="preserve"> </w:t>
      </w:r>
      <w:r w:rsidR="003B4626">
        <w:rPr>
          <w:rFonts w:ascii="Times New Roman" w:eastAsia="Times New Roman" w:hAnsi="Times New Roman" w:cs="Times New Roman"/>
        </w:rPr>
        <w:t xml:space="preserve">Meridional eddy-induced heat transports play a key role in the ventilation along isopycnals that outcrop in the ACC. The meridional slopes also control the baroclinic part of the ACC, through the thermal-wind balance. </w:t>
      </w:r>
      <w:r w:rsidR="003B4626">
        <w:rPr>
          <w:rFonts w:ascii="Times New Roman" w:hAnsi="Times New Roman" w:cs="Times New Roman"/>
        </w:rPr>
        <w:t>In</w:t>
      </w:r>
      <w:r w:rsidR="00AF3D3B">
        <w:rPr>
          <w:rFonts w:ascii="Times New Roman" w:hAnsi="Times New Roman" w:cs="Times New Roman"/>
        </w:rPr>
        <w:t xml:space="preserve"> order to create the figure, we first determined the depth of the isopycnal</w:t>
      </w:r>
      <w:r w:rsidR="00C81626">
        <w:rPr>
          <w:rFonts w:ascii="Times New Roman" w:hAnsi="Times New Roman" w:cs="Times New Roman"/>
        </w:rPr>
        <w:t xml:space="preserve"> </w:t>
      </w:r>
      <w:r w:rsidR="003B4626">
        <w:rPr>
          <w:rFonts w:ascii="Times New Roman" w:hAnsi="Times New Roman" w:cs="Times New Roman"/>
        </w:rPr>
        <w:t xml:space="preserve">surface </w:t>
      </w:r>
      <w:r w:rsidR="00C81626">
        <w:rPr>
          <w:rFonts w:ascii="Times New Roman" w:hAnsi="Times New Roman" w:cs="Times New Roman"/>
        </w:rPr>
        <w:t>and then took the meridional derivative of this field</w:t>
      </w:r>
      <w:r w:rsidR="00B21FA3">
        <w:rPr>
          <w:rFonts w:ascii="Times New Roman" w:hAnsi="Times New Roman" w:cs="Times New Roman"/>
        </w:rPr>
        <w:t xml:space="preserve">. </w:t>
      </w:r>
      <w:r w:rsidR="00B21FA3">
        <w:rPr>
          <w:rFonts w:ascii="Times New Roman" w:eastAsia="Times New Roman" w:hAnsi="Times New Roman" w:cs="Times New Roman"/>
        </w:rPr>
        <w:t xml:space="preserve">The steepest sloping isopycnals generally occur over bottom topography (Drake Passage and the Scotia Arc, the Eltanin and </w:t>
      </w:r>
      <w:proofErr w:type="spellStart"/>
      <w:r w:rsidR="00B21FA3">
        <w:rPr>
          <w:rFonts w:ascii="Times New Roman" w:eastAsia="Times New Roman" w:hAnsi="Times New Roman" w:cs="Times New Roman"/>
        </w:rPr>
        <w:t>Udintsev</w:t>
      </w:r>
      <w:proofErr w:type="spellEnd"/>
      <w:r w:rsidR="00B21FA3">
        <w:rPr>
          <w:rFonts w:ascii="Times New Roman" w:eastAsia="Times New Roman" w:hAnsi="Times New Roman" w:cs="Times New Roman"/>
        </w:rPr>
        <w:t xml:space="preserve"> Fracture Zones, south of the Campbell Plateau, near Kerguelen, etc.)</w:t>
      </w:r>
    </w:p>
    <w:p w14:paraId="2C7DAD56" w14:textId="77777777" w:rsidR="007A021D" w:rsidRDefault="007A021D" w:rsidP="007A021D">
      <w:pPr>
        <w:pStyle w:val="Normal1"/>
      </w:pPr>
      <w:r>
        <w:br w:type="page"/>
      </w:r>
    </w:p>
    <w:p w14:paraId="0ECF4176" w14:textId="1F896D8C" w:rsidR="007A021D" w:rsidRDefault="007A021D" w:rsidP="007A021D">
      <w:pPr>
        <w:pStyle w:val="Normal1"/>
      </w:pPr>
      <w:r>
        <w:rPr>
          <w:rFonts w:ascii="Times New Roman" w:eastAsia="Times New Roman" w:hAnsi="Times New Roman" w:cs="Times New Roman"/>
          <w:b/>
          <w:sz w:val="20"/>
          <w:szCs w:val="20"/>
        </w:rPr>
        <w:lastRenderedPageBreak/>
        <w:t>Figure S9:</w:t>
      </w:r>
      <w:r>
        <w:rPr>
          <w:rFonts w:ascii="Times New Roman" w:eastAsia="Times New Roman" w:hAnsi="Times New Roman" w:cs="Times New Roman"/>
          <w:sz w:val="20"/>
          <w:szCs w:val="20"/>
        </w:rPr>
        <w:t xml:space="preserve"> </w:t>
      </w:r>
      <w:r w:rsidR="00EA5E2D">
        <w:rPr>
          <w:rFonts w:ascii="Times New Roman" w:eastAsia="Times New Roman" w:hAnsi="Times New Roman" w:cs="Times New Roman"/>
          <w:sz w:val="20"/>
          <w:szCs w:val="20"/>
        </w:rPr>
        <w:t>S</w:t>
      </w:r>
      <w:r>
        <w:rPr>
          <w:rFonts w:ascii="Times New Roman" w:eastAsia="Times New Roman" w:hAnsi="Times New Roman" w:cs="Times New Roman"/>
          <w:sz w:val="20"/>
          <w:szCs w:val="20"/>
        </w:rPr>
        <w:t>imulated annual density (</w:t>
      </w:r>
      <w:proofErr w:type="spellStart"/>
      <w:r>
        <w:rPr>
          <w:rFonts w:ascii="Times New Roman" w:eastAsia="Times New Roman" w:hAnsi="Times New Roman" w:cs="Times New Roman"/>
          <w:sz w:val="20"/>
          <w:szCs w:val="20"/>
        </w:rPr>
        <w:t>σ</w:t>
      </w:r>
      <w:r>
        <w:rPr>
          <w:rFonts w:ascii="Times New Roman" w:eastAsia="Times New Roman" w:hAnsi="Times New Roman" w:cs="Times New Roman"/>
          <w:sz w:val="20"/>
          <w:szCs w:val="20"/>
          <w:vertAlign w:val="subscript"/>
        </w:rPr>
        <w:t>θ</w:t>
      </w:r>
      <w:proofErr w:type="spellEnd"/>
      <w:r>
        <w:rPr>
          <w:rFonts w:ascii="Times New Roman" w:eastAsia="Times New Roman" w:hAnsi="Times New Roman" w:cs="Times New Roman"/>
          <w:sz w:val="20"/>
          <w:szCs w:val="20"/>
        </w:rPr>
        <w:t>) averaged from 32°-30°S in each of the IPCC models and the observations. All model figures cover the simulated years 1986-2005 from the HISTORICAL fo</w:t>
      </w:r>
      <w:r w:rsidR="00F46751">
        <w:rPr>
          <w:rFonts w:ascii="Times New Roman" w:eastAsia="Times New Roman" w:hAnsi="Times New Roman" w:cs="Times New Roman"/>
          <w:sz w:val="20"/>
          <w:szCs w:val="20"/>
        </w:rPr>
        <w:t>rcing scenario. Panel a) WOA2013</w:t>
      </w:r>
      <w:r>
        <w:rPr>
          <w:rFonts w:ascii="Times New Roman" w:eastAsia="Times New Roman" w:hAnsi="Times New Roman" w:cs="Times New Roman"/>
          <w:sz w:val="20"/>
          <w:szCs w:val="20"/>
        </w:rPr>
        <w:t xml:space="preserve"> dataset; b) CanESM2; c) CSIRO-Mk3.6; d) GFDL-ESM2M; e) HadGEM2-ES; f) MIROC-ESM; and g) MRI-ESM1.</w:t>
      </w:r>
      <w:r w:rsidR="004454A1">
        <w:rPr>
          <w:rFonts w:ascii="Times New Roman" w:eastAsia="Times New Roman" w:hAnsi="Times New Roman" w:cs="Times New Roman"/>
          <w:sz w:val="20"/>
          <w:szCs w:val="20"/>
        </w:rPr>
        <w:t xml:space="preserve"> Panels H, I and J show the zonal-mean simulated annual potential density, in each of the Indian, Pacific and Atlantic basin</w:t>
      </w:r>
      <w:r w:rsidR="005D0405">
        <w:rPr>
          <w:rFonts w:ascii="Times New Roman" w:eastAsia="Times New Roman" w:hAnsi="Times New Roman" w:cs="Times New Roman"/>
          <w:sz w:val="20"/>
          <w:szCs w:val="20"/>
        </w:rPr>
        <w:t>s, respectively</w:t>
      </w:r>
      <w:r w:rsidR="004454A1">
        <w:rPr>
          <w:rFonts w:ascii="Times New Roman" w:eastAsia="Times New Roman" w:hAnsi="Times New Roman" w:cs="Times New Roman"/>
          <w:sz w:val="20"/>
          <w:szCs w:val="20"/>
        </w:rPr>
        <w:t>. Profiles include: WOA2013 (black); CanESM2 (pink); CSIRO-Mk3.6 (red); GFDL-ESM2M (blue); HadGEM2-ES (green); MIROC-ESM (magenta); and MRI-ESM1 (cyan).</w:t>
      </w:r>
    </w:p>
    <w:p w14:paraId="1BD57889" w14:textId="77777777" w:rsidR="00B21FA3" w:rsidRPr="00F46751" w:rsidRDefault="00B21FA3" w:rsidP="007A021D">
      <w:pPr>
        <w:pStyle w:val="Normal1"/>
        <w:rPr>
          <w:rFonts w:ascii="Times New Roman" w:hAnsi="Times New Roman" w:cs="Times New Roman"/>
        </w:rPr>
      </w:pPr>
    </w:p>
    <w:p w14:paraId="4893A5FB" w14:textId="77777777" w:rsidR="005D0405" w:rsidRDefault="00F46751" w:rsidP="005D0405">
      <w:pPr>
        <w:pStyle w:val="Normal1"/>
        <w:rPr>
          <w:rFonts w:ascii="Times New Roman" w:eastAsia="Times New Roman" w:hAnsi="Times New Roman" w:cs="Times New Roman"/>
        </w:rPr>
      </w:pPr>
      <w:r w:rsidRPr="00F46751">
        <w:rPr>
          <w:rFonts w:ascii="Times New Roman" w:hAnsi="Times New Roman" w:cs="Times New Roman"/>
        </w:rPr>
        <w:t xml:space="preserve">Figure S9 shows the annual mean density </w:t>
      </w:r>
      <w:r>
        <w:rPr>
          <w:rFonts w:ascii="Times New Roman" w:hAnsi="Times New Roman" w:cs="Times New Roman"/>
        </w:rPr>
        <w:t xml:space="preserve">(again </w:t>
      </w:r>
      <w:proofErr w:type="spellStart"/>
      <w:r w:rsidRPr="00445E6C">
        <w:rPr>
          <w:rFonts w:ascii="Times New Roman" w:eastAsia="Times New Roman" w:hAnsi="Times New Roman" w:cs="Times New Roman"/>
          <w:sz w:val="28"/>
        </w:rPr>
        <w:t>σ</w:t>
      </w:r>
      <w:r w:rsidRPr="00445E6C">
        <w:rPr>
          <w:rFonts w:ascii="Times New Roman" w:eastAsia="Times New Roman" w:hAnsi="Times New Roman" w:cs="Times New Roman"/>
          <w:vertAlign w:val="subscript"/>
        </w:rPr>
        <w:t>θ</w:t>
      </w:r>
      <w:proofErr w:type="spellEnd"/>
      <w:r>
        <w:rPr>
          <w:rFonts w:ascii="Times New Roman" w:eastAsia="Times New Roman" w:hAnsi="Times New Roman" w:cs="Times New Roman"/>
          <w:szCs w:val="20"/>
        </w:rPr>
        <w:t>,</w:t>
      </w:r>
      <w:r w:rsidRPr="00F46751">
        <w:rPr>
          <w:rFonts w:ascii="Times New Roman" w:eastAsia="Times New Roman" w:hAnsi="Times New Roman" w:cs="Times New Roman"/>
          <w:szCs w:val="20"/>
        </w:rPr>
        <w:t xml:space="preserve"> referenced to the surface) </w:t>
      </w:r>
      <w:r w:rsidRPr="00F46751">
        <w:rPr>
          <w:rFonts w:ascii="Times New Roman" w:hAnsi="Times New Roman" w:cs="Times New Roman"/>
        </w:rPr>
        <w:t>averaged between 32°S and 30°S at the northern edge of the Southern Ocean.</w:t>
      </w:r>
      <w:r>
        <w:rPr>
          <w:rFonts w:ascii="Times New Roman" w:hAnsi="Times New Roman" w:cs="Times New Roman"/>
        </w:rPr>
        <w:t xml:space="preserve"> Isopycnal depths here </w:t>
      </w:r>
      <w:r>
        <w:rPr>
          <w:rFonts w:ascii="Times New Roman" w:eastAsia="Times New Roman" w:hAnsi="Times New Roman" w:cs="Times New Roman"/>
        </w:rPr>
        <w:t xml:space="preserve">are an important indicator of the stratification and water mass properties. Isopycnals that outcrop to the surface effectively link the Southern Ocean mixed layer and the deeper layers at mid- and low-latitudes. Along-isopycnal transports of heat and biogeochemical tracers can therefore supply these quantities to the intermediate and deep layers in the Pacific, Atlantic and Indian basins. Stratification at 30°S is an important metric that determines the penetration depth of heat and </w:t>
      </w:r>
      <w:r>
        <w:rPr>
          <w:rFonts w:ascii="Times New Roman" w:eastAsia="Times New Roman" w:hAnsi="Times New Roman" w:cs="Times New Roman"/>
        </w:rPr>
        <w:lastRenderedPageBreak/>
        <w:t>carbon anomalies and helps to interpret biases in the lateral fluxes across this section.</w:t>
      </w:r>
      <w:r w:rsidR="004454A1">
        <w:rPr>
          <w:rFonts w:ascii="Times New Roman" w:eastAsia="Times New Roman" w:hAnsi="Times New Roman" w:cs="Times New Roman"/>
        </w:rPr>
        <w:t xml:space="preserve"> It is clear that the model simulations are consistently too weakly stratified at 30°S near the surface, and all of the models have consistently too-light water between 100-700m in the Indian and between 300-800m in the Pacific.</w:t>
      </w:r>
      <w:r w:rsidR="00E7475D">
        <w:rPr>
          <w:rFonts w:ascii="Times New Roman" w:eastAsia="Times New Roman" w:hAnsi="Times New Roman" w:cs="Times New Roman"/>
        </w:rPr>
        <w:t xml:space="preserve"> Weak stratification can also be caused by overestimated vertical diffusion, including spurious numerical </w:t>
      </w:r>
      <w:proofErr w:type="spellStart"/>
      <w:r w:rsidR="00E7475D">
        <w:rPr>
          <w:rFonts w:ascii="Times New Roman" w:eastAsia="Times New Roman" w:hAnsi="Times New Roman" w:cs="Times New Roman"/>
        </w:rPr>
        <w:t>diapycnal</w:t>
      </w:r>
      <w:proofErr w:type="spellEnd"/>
      <w:r w:rsidR="00E7475D">
        <w:rPr>
          <w:rFonts w:ascii="Times New Roman" w:eastAsia="Times New Roman" w:hAnsi="Times New Roman" w:cs="Times New Roman"/>
        </w:rPr>
        <w:t xml:space="preserve"> mixing which is difficult to control in these z-coordinate models. The depth 27.5 isopycnals, which in the real ocean corresponds to the upper part of CDW, is simulated accurately in all models. Simulations in the deep ocean tend to straddle the observations, primarily due to different bottom water temperatures.</w:t>
      </w:r>
    </w:p>
    <w:p w14:paraId="10BC4C03" w14:textId="77777777" w:rsidR="005D0405" w:rsidRDefault="005D0405" w:rsidP="005D0405">
      <w:pPr>
        <w:pStyle w:val="Normal1"/>
        <w:rPr>
          <w:rFonts w:ascii="Times New Roman" w:eastAsia="Times New Roman" w:hAnsi="Times New Roman" w:cs="Times New Roman"/>
        </w:rPr>
      </w:pPr>
    </w:p>
    <w:p w14:paraId="62E13428" w14:textId="17297CF2" w:rsidR="007A021D" w:rsidRPr="005D0405" w:rsidRDefault="007A021D" w:rsidP="005D0405">
      <w:pPr>
        <w:pStyle w:val="Normal1"/>
        <w:rPr>
          <w:rFonts w:ascii="Times New Roman" w:hAnsi="Times New Roman" w:cs="Times New Roman"/>
        </w:rPr>
      </w:pPr>
      <w:r>
        <w:rPr>
          <w:rFonts w:ascii="Times New Roman" w:eastAsia="Times New Roman" w:hAnsi="Times New Roman" w:cs="Times New Roman"/>
        </w:rPr>
        <w:t xml:space="preserve"> </w:t>
      </w:r>
    </w:p>
    <w:p w14:paraId="599C2BAF" w14:textId="77777777" w:rsidR="003175CE" w:rsidRDefault="003175CE">
      <w:pPr>
        <w:rPr>
          <w:b/>
          <w:color w:val="000000"/>
          <w:sz w:val="20"/>
        </w:rPr>
      </w:pPr>
      <w:r>
        <w:rPr>
          <w:b/>
          <w:sz w:val="20"/>
        </w:rPr>
        <w:br w:type="page"/>
      </w:r>
    </w:p>
    <w:p w14:paraId="749AC13D" w14:textId="462A2361" w:rsidR="007A021D" w:rsidRDefault="005D0405" w:rsidP="007A021D">
      <w:pPr>
        <w:pStyle w:val="Normal1"/>
      </w:pPr>
      <w:r>
        <w:rPr>
          <w:rFonts w:ascii="Times New Roman" w:eastAsia="Times New Roman" w:hAnsi="Times New Roman" w:cs="Times New Roman"/>
          <w:b/>
          <w:sz w:val="20"/>
          <w:szCs w:val="20"/>
        </w:rPr>
        <w:lastRenderedPageBreak/>
        <w:t>Figure S10</w:t>
      </w:r>
      <w:r w:rsidR="007A021D">
        <w:rPr>
          <w:rFonts w:ascii="Times New Roman" w:eastAsia="Times New Roman" w:hAnsi="Times New Roman" w:cs="Times New Roman"/>
          <w:b/>
          <w:sz w:val="20"/>
          <w:szCs w:val="20"/>
        </w:rPr>
        <w:t>:</w:t>
      </w:r>
      <w:r w:rsidR="007A021D">
        <w:rPr>
          <w:rFonts w:ascii="Times New Roman" w:eastAsia="Times New Roman" w:hAnsi="Times New Roman" w:cs="Times New Roman"/>
          <w:sz w:val="20"/>
          <w:szCs w:val="20"/>
        </w:rPr>
        <w:t xml:space="preserve"> </w:t>
      </w:r>
      <w:r w:rsidR="00EA5E2D">
        <w:rPr>
          <w:rFonts w:ascii="Times New Roman" w:eastAsia="Times New Roman" w:hAnsi="Times New Roman" w:cs="Times New Roman"/>
          <w:sz w:val="20"/>
          <w:szCs w:val="20"/>
        </w:rPr>
        <w:t>S</w:t>
      </w:r>
      <w:r w:rsidR="00040216">
        <w:rPr>
          <w:rFonts w:ascii="Times New Roman" w:eastAsia="Times New Roman" w:hAnsi="Times New Roman" w:cs="Times New Roman"/>
          <w:sz w:val="20"/>
          <w:szCs w:val="20"/>
        </w:rPr>
        <w:t xml:space="preserve">urface pH (at the </w:t>
      </w:r>
      <w:proofErr w:type="spellStart"/>
      <w:r w:rsidR="00040216">
        <w:rPr>
          <w:rFonts w:ascii="Times New Roman" w:eastAsia="Times New Roman" w:hAnsi="Times New Roman" w:cs="Times New Roman"/>
          <w:sz w:val="20"/>
          <w:szCs w:val="20"/>
        </w:rPr>
        <w:t>in</w:t>
      </w:r>
      <w:r w:rsidR="007A021D">
        <w:rPr>
          <w:rFonts w:ascii="Times New Roman" w:eastAsia="Times New Roman" w:hAnsi="Times New Roman" w:cs="Times New Roman"/>
          <w:sz w:val="20"/>
          <w:szCs w:val="20"/>
        </w:rPr>
        <w:t>situ</w:t>
      </w:r>
      <w:proofErr w:type="spellEnd"/>
      <w:r w:rsidR="007A021D">
        <w:rPr>
          <w:rFonts w:ascii="Times New Roman" w:eastAsia="Times New Roman" w:hAnsi="Times New Roman" w:cs="Times New Roman"/>
          <w:sz w:val="20"/>
          <w:szCs w:val="20"/>
        </w:rPr>
        <w:t xml:space="preserve"> temperature and total scale) calculated from </w:t>
      </w:r>
      <w:r w:rsidR="00040216">
        <w:rPr>
          <w:rFonts w:ascii="Times New Roman" w:eastAsia="Times New Roman" w:hAnsi="Times New Roman" w:cs="Times New Roman"/>
          <w:sz w:val="20"/>
          <w:szCs w:val="20"/>
        </w:rPr>
        <w:t>the dissolved inorganic carbon (DIC) and potential a</w:t>
      </w:r>
      <w:r w:rsidR="007A021D">
        <w:rPr>
          <w:rFonts w:ascii="Times New Roman" w:eastAsia="Times New Roman" w:hAnsi="Times New Roman" w:cs="Times New Roman"/>
          <w:sz w:val="20"/>
          <w:szCs w:val="20"/>
        </w:rPr>
        <w:t xml:space="preserve">lkalinity observations and the model simulations. </w:t>
      </w:r>
      <w:r w:rsidR="00040216">
        <w:rPr>
          <w:rFonts w:ascii="Times New Roman" w:eastAsia="Times New Roman" w:hAnsi="Times New Roman" w:cs="Times New Roman"/>
          <w:sz w:val="20"/>
          <w:szCs w:val="20"/>
        </w:rPr>
        <w:t xml:space="preserve">On the left are the wintertime values (JAS), and the right panel shows the summertime values (JFM). </w:t>
      </w:r>
      <w:r w:rsidR="007A021D">
        <w:rPr>
          <w:rFonts w:ascii="Times New Roman" w:eastAsia="Times New Roman" w:hAnsi="Times New Roman" w:cs="Times New Roman"/>
          <w:sz w:val="20"/>
          <w:szCs w:val="20"/>
        </w:rPr>
        <w:t xml:space="preserve">The calculated pH are taken from the recent Takahashi et al. (2014) climatology for reference year 2005, available through CDIAC, which has a fairly coarse 5°-by-5° resolution. All model figures cover the simulated years 1986-2005 from the HISTORICAL forcing scenario. Panel a) CDIAC; b) CanESM2; c) CSIRO-Mk3.6; d) GFDL-ESM2M; e) HadGEM2-ES; f) MIROC-ESM; and g) MRI-ESM1. Note that the CSIRO model is a coupled climate model, not an Earth System model and therefore does not simulate the </w:t>
      </w:r>
      <w:proofErr w:type="spellStart"/>
      <w:r w:rsidR="007A021D">
        <w:rPr>
          <w:rFonts w:ascii="Times New Roman" w:eastAsia="Times New Roman" w:hAnsi="Times New Roman" w:cs="Times New Roman"/>
          <w:sz w:val="20"/>
          <w:szCs w:val="20"/>
        </w:rPr>
        <w:t>pH.</w:t>
      </w:r>
      <w:proofErr w:type="spellEnd"/>
      <w:r w:rsidR="007A021D">
        <w:rPr>
          <w:rFonts w:ascii="Times New Roman" w:eastAsia="Times New Roman" w:hAnsi="Times New Roman" w:cs="Times New Roman"/>
          <w:sz w:val="20"/>
          <w:szCs w:val="20"/>
        </w:rPr>
        <w:t xml:space="preserve"> The MIROC model only has annual mean data available through PCMDI. The pH observations are based on surface water </w:t>
      </w:r>
      <w:r w:rsidR="003E1B3A">
        <w:rPr>
          <w:rFonts w:ascii="Times New Roman" w:eastAsia="Times New Roman" w:hAnsi="Times New Roman" w:cs="Times New Roman"/>
          <w:sz w:val="20"/>
          <w:szCs w:val="20"/>
        </w:rPr>
        <w:t>DIC</w:t>
      </w:r>
      <w:r w:rsidR="007A021D">
        <w:rPr>
          <w:rFonts w:ascii="Times New Roman" w:eastAsia="Times New Roman" w:hAnsi="Times New Roman" w:cs="Times New Roman"/>
          <w:sz w:val="20"/>
          <w:szCs w:val="20"/>
        </w:rPr>
        <w:t xml:space="preserve">, nitrate, and alkalinity data primarily from the GLODAP, CARINA, and LDEO databases taken from the top 50m of the water column. </w:t>
      </w:r>
    </w:p>
    <w:p w14:paraId="12FEB058" w14:textId="77777777" w:rsidR="00231CB9" w:rsidRDefault="00231CB9" w:rsidP="007A021D"/>
    <w:p w14:paraId="4FBFCCED" w14:textId="65AF5F18" w:rsidR="00231CB9" w:rsidRDefault="00231CB9" w:rsidP="007A021D">
      <w:pPr>
        <w:rPr>
          <w:color w:val="000000"/>
          <w:szCs w:val="24"/>
        </w:rPr>
      </w:pPr>
      <w:r>
        <w:rPr>
          <w:color w:val="000000"/>
          <w:szCs w:val="24"/>
        </w:rPr>
        <w:t xml:space="preserve">Figure S10 shows the surface (0-50m average) pH in the winter (JAS, left) and summer (JFM) </w:t>
      </w:r>
      <w:r w:rsidR="00D51F7D">
        <w:t>Climatologies a</w:t>
      </w:r>
      <w:r w:rsidR="00D51F7D" w:rsidRPr="007B5A34">
        <w:t>re created by averaging all similar months in the period of record (</w:t>
      </w:r>
      <w:r w:rsidR="00D51F7D">
        <w:t xml:space="preserve">e.g. </w:t>
      </w:r>
      <w:r w:rsidR="00D51F7D" w:rsidRPr="007B5A34">
        <w:t xml:space="preserve">all Januarys were averaged to create the January climatology, etc.), </w:t>
      </w:r>
      <w:r w:rsidR="00D51F7D">
        <w:t xml:space="preserve">and the months were compiled </w:t>
      </w:r>
      <w:r w:rsidR="00D51F7D" w:rsidRPr="007B5A34">
        <w:t xml:space="preserve">to create the annual climatology. </w:t>
      </w:r>
      <w:r>
        <w:rPr>
          <w:color w:val="000000"/>
          <w:szCs w:val="24"/>
        </w:rPr>
        <w:t xml:space="preserve">The Ekman-driven surface divergence brings old, carbon-rich, low pH water to the surface: this is generally captured by the models with some differences between the specific pH values present. Several of the simulations have excessively alkaline waters north of the ACC and several have too acidic water in the upwelling region. The seasonal differences seen in the observations are also clearly seen in the </w:t>
      </w:r>
      <w:proofErr w:type="spellStart"/>
      <w:r>
        <w:rPr>
          <w:color w:val="000000"/>
          <w:szCs w:val="24"/>
        </w:rPr>
        <w:t>HadGEM</w:t>
      </w:r>
      <w:proofErr w:type="spellEnd"/>
      <w:r>
        <w:rPr>
          <w:color w:val="000000"/>
          <w:szCs w:val="24"/>
        </w:rPr>
        <w:t xml:space="preserve"> simulation and possibly in ESM2M. The MRI simulation clearly has more acidic (lower pH) water at the surface during the summer.</w:t>
      </w:r>
    </w:p>
    <w:p w14:paraId="6FF431C6" w14:textId="77777777" w:rsidR="007A021D" w:rsidRDefault="007A021D" w:rsidP="007A021D">
      <w:r>
        <w:br w:type="page"/>
      </w:r>
    </w:p>
    <w:p w14:paraId="6E0DD3F7" w14:textId="0A748FFF" w:rsidR="007A021D" w:rsidRDefault="003508A4" w:rsidP="007A021D">
      <w:pPr>
        <w:pStyle w:val="Normal1"/>
      </w:pPr>
      <w:r>
        <w:rPr>
          <w:rFonts w:ascii="Times New Roman" w:eastAsia="Times New Roman" w:hAnsi="Times New Roman" w:cs="Times New Roman"/>
          <w:b/>
          <w:sz w:val="20"/>
          <w:szCs w:val="20"/>
        </w:rPr>
        <w:lastRenderedPageBreak/>
        <w:t>Figure S11</w:t>
      </w:r>
      <w:r w:rsidR="007A021D">
        <w:rPr>
          <w:rFonts w:ascii="Times New Roman" w:eastAsia="Times New Roman" w:hAnsi="Times New Roman" w:cs="Times New Roman"/>
          <w:b/>
          <w:sz w:val="20"/>
          <w:szCs w:val="20"/>
        </w:rPr>
        <w:t>:</w:t>
      </w:r>
      <w:r w:rsidR="007A021D">
        <w:rPr>
          <w:rFonts w:ascii="Times New Roman" w:eastAsia="Times New Roman" w:hAnsi="Times New Roman" w:cs="Times New Roman"/>
          <w:sz w:val="20"/>
          <w:szCs w:val="20"/>
        </w:rPr>
        <w:t xml:space="preserve"> </w:t>
      </w:r>
      <w:r w:rsidR="00EA5E2D">
        <w:rPr>
          <w:rFonts w:ascii="Times New Roman" w:eastAsia="Times New Roman" w:hAnsi="Times New Roman" w:cs="Times New Roman"/>
          <w:sz w:val="20"/>
          <w:szCs w:val="20"/>
        </w:rPr>
        <w:t>(TOP PANELS) S</w:t>
      </w:r>
      <w:r w:rsidR="007A021D">
        <w:rPr>
          <w:rFonts w:ascii="Times New Roman" w:eastAsia="Times New Roman" w:hAnsi="Times New Roman" w:cs="Times New Roman"/>
          <w:sz w:val="20"/>
          <w:szCs w:val="20"/>
        </w:rPr>
        <w:t>urface (0-100m), (LOWER LEFT) zonal mean Atlantic, and (LOWER RIGHT) zonal mean Pacific concentrations of dissolved inorganic carbon (DIC) from the observations and the model simulations. The observations are from the GLODAP</w:t>
      </w:r>
      <w:r w:rsidR="00D51F7D">
        <w:rPr>
          <w:rFonts w:ascii="Times New Roman" w:eastAsia="Times New Roman" w:hAnsi="Times New Roman" w:cs="Times New Roman"/>
          <w:sz w:val="20"/>
          <w:szCs w:val="20"/>
        </w:rPr>
        <w:t>v2</w:t>
      </w:r>
      <w:r w:rsidR="007A021D">
        <w:rPr>
          <w:rFonts w:ascii="Times New Roman" w:eastAsia="Times New Roman" w:hAnsi="Times New Roman" w:cs="Times New Roman"/>
          <w:sz w:val="20"/>
          <w:szCs w:val="20"/>
        </w:rPr>
        <w:t xml:space="preserve"> dataset. All model figures cover the simulated years 1986-2005 from the HISTORICAL forcing scenario. Panel a) GLODAP; b) CanESM2; </w:t>
      </w:r>
      <w:r w:rsidR="00E7759E">
        <w:rPr>
          <w:rFonts w:ascii="Times New Roman" w:eastAsia="Times New Roman" w:hAnsi="Times New Roman" w:cs="Times New Roman"/>
          <w:sz w:val="20"/>
          <w:szCs w:val="20"/>
        </w:rPr>
        <w:t>c) GFDL-ESM2M; d) HadGEM2-ES; e) MIROC-ESM; and f</w:t>
      </w:r>
      <w:r w:rsidR="007A021D">
        <w:rPr>
          <w:rFonts w:ascii="Times New Roman" w:eastAsia="Times New Roman" w:hAnsi="Times New Roman" w:cs="Times New Roman"/>
          <w:sz w:val="20"/>
          <w:szCs w:val="20"/>
        </w:rPr>
        <w:t xml:space="preserve">) MRI-ESM1. </w:t>
      </w:r>
      <w:r w:rsidR="00E7759E">
        <w:rPr>
          <w:rFonts w:ascii="Times New Roman" w:eastAsia="Times New Roman" w:hAnsi="Times New Roman" w:cs="Times New Roman"/>
          <w:sz w:val="20"/>
          <w:szCs w:val="20"/>
        </w:rPr>
        <w:t>Note that the color scale is different for the surface (upper panels) than for the zonal averages in each basin (lower panels).</w:t>
      </w:r>
    </w:p>
    <w:p w14:paraId="1B6DE562" w14:textId="77777777" w:rsidR="008D51C8" w:rsidRDefault="008D51C8" w:rsidP="007A021D"/>
    <w:p w14:paraId="6205A229" w14:textId="632F7A1C" w:rsidR="008D51C8" w:rsidRDefault="003508A4" w:rsidP="007A021D">
      <w:r>
        <w:rPr>
          <w:color w:val="000000"/>
          <w:szCs w:val="24"/>
        </w:rPr>
        <w:t>Figure S11</w:t>
      </w:r>
      <w:r w:rsidR="004D43C8">
        <w:rPr>
          <w:color w:val="000000"/>
          <w:szCs w:val="24"/>
        </w:rPr>
        <w:t xml:space="preserve"> shows the </w:t>
      </w:r>
      <w:r w:rsidR="00DF042C">
        <w:rPr>
          <w:color w:val="000000"/>
          <w:szCs w:val="24"/>
        </w:rPr>
        <w:t xml:space="preserve">annual mean </w:t>
      </w:r>
      <w:r w:rsidR="004D43C8">
        <w:rPr>
          <w:color w:val="000000"/>
          <w:szCs w:val="24"/>
        </w:rPr>
        <w:t xml:space="preserve">concentration of dissolved inorganic carbon (DIC, in </w:t>
      </w:r>
      <w:r w:rsidR="004D43C8" w:rsidRPr="004D43C8">
        <w:rPr>
          <w:rFonts w:ascii="Symbol" w:hAnsi="Symbol"/>
          <w:color w:val="000000"/>
          <w:szCs w:val="24"/>
        </w:rPr>
        <w:t></w:t>
      </w:r>
      <w:proofErr w:type="spellStart"/>
      <w:r w:rsidR="004D43C8">
        <w:rPr>
          <w:color w:val="000000"/>
          <w:szCs w:val="24"/>
        </w:rPr>
        <w:t>mol</w:t>
      </w:r>
      <w:proofErr w:type="spellEnd"/>
      <w:r w:rsidR="004D43C8">
        <w:rPr>
          <w:color w:val="000000"/>
          <w:szCs w:val="24"/>
        </w:rPr>
        <w:t xml:space="preserve">/kg) at the surface (0-100m average, top panels), in the Atlantic (zonal average, lower left panels), and the Pacific (zonal average, lower right panels). </w:t>
      </w:r>
      <w:r w:rsidR="00F11596">
        <w:rPr>
          <w:color w:val="000000"/>
          <w:szCs w:val="24"/>
        </w:rPr>
        <w:t>This figure was created by averaging all of the months in the period of recor</w:t>
      </w:r>
      <w:r w:rsidR="00673CD5">
        <w:rPr>
          <w:color w:val="000000"/>
          <w:szCs w:val="24"/>
        </w:rPr>
        <w:t>d;</w:t>
      </w:r>
      <w:r w:rsidR="00DF042C">
        <w:rPr>
          <w:color w:val="000000"/>
          <w:szCs w:val="24"/>
        </w:rPr>
        <w:t xml:space="preserve"> </w:t>
      </w:r>
      <w:r w:rsidR="00673CD5">
        <w:rPr>
          <w:color w:val="000000"/>
          <w:szCs w:val="24"/>
        </w:rPr>
        <w:t xml:space="preserve">the Atlantic is the zonal average from 60°W-20°E, and the Pacific is the zonal average from 140°E-60°W. </w:t>
      </w:r>
      <w:r w:rsidR="008D51C8">
        <w:rPr>
          <w:color w:val="000000"/>
          <w:szCs w:val="24"/>
        </w:rPr>
        <w:t>The Southern Ocean is responsible for about 50% of the global uptake of anthropogenic CO</w:t>
      </w:r>
      <w:r w:rsidR="008D51C8">
        <w:rPr>
          <w:color w:val="000000"/>
          <w:szCs w:val="24"/>
          <w:vertAlign w:val="subscript"/>
        </w:rPr>
        <w:t>2</w:t>
      </w:r>
      <w:r w:rsidR="008D51C8">
        <w:rPr>
          <w:color w:val="000000"/>
          <w:szCs w:val="24"/>
        </w:rPr>
        <w:t xml:space="preserve"> by the ocean, despite being only ~30% of the total ocean area (Gruber et al. 2009, Takahashi et al. 2009, 2012). The total amount of carbon in the surface ocean, along with the pH, determines the surface pCO</w:t>
      </w:r>
      <w:r w:rsidR="008D51C8">
        <w:rPr>
          <w:color w:val="000000"/>
          <w:szCs w:val="24"/>
          <w:vertAlign w:val="subscript"/>
        </w:rPr>
        <w:t>2</w:t>
      </w:r>
      <w:r w:rsidR="008D51C8">
        <w:rPr>
          <w:color w:val="000000"/>
          <w:szCs w:val="24"/>
        </w:rPr>
        <w:t xml:space="preserve"> and therefore greatly affects the air/sea exchange of carbon. Simulations of the surface carbon can be expected to affect the simulated uptake of CO</w:t>
      </w:r>
      <w:r w:rsidR="008D51C8">
        <w:rPr>
          <w:color w:val="000000"/>
          <w:szCs w:val="24"/>
          <w:vertAlign w:val="subscript"/>
        </w:rPr>
        <w:t>2</w:t>
      </w:r>
      <w:r w:rsidR="008D51C8">
        <w:rPr>
          <w:color w:val="000000"/>
          <w:szCs w:val="24"/>
        </w:rPr>
        <w:t xml:space="preserve"> in transient forcing scenarios, and therefore the global atmospheric temperature response to these scenarios.</w:t>
      </w:r>
      <w:r w:rsidR="00673CD5">
        <w:rPr>
          <w:color w:val="000000"/>
          <w:szCs w:val="24"/>
        </w:rPr>
        <w:t xml:space="preserve"> There are significantly different amounts of total carbon, globally and in each of the different reservoirs (atmosphere, ocean, vegetation and soil), in the various Earth System Model simulations. The amount of carbon in each reservoir can potentially affect the transient response (uptake or degassing) based on potentially unrealistic initial conditions.</w:t>
      </w:r>
    </w:p>
    <w:p w14:paraId="6F44F479" w14:textId="33FE871F" w:rsidR="007A021D" w:rsidRDefault="007A021D" w:rsidP="00D43FD6"/>
    <w:p w14:paraId="4363C017" w14:textId="043CBD76" w:rsidR="007A021D" w:rsidRDefault="007A021D" w:rsidP="006E2505">
      <w:pPr>
        <w:pStyle w:val="Normal1"/>
        <w:jc w:val="center"/>
      </w:pPr>
    </w:p>
    <w:p w14:paraId="64CD0F31" w14:textId="227BEC5F" w:rsidR="007A021D" w:rsidRDefault="007A021D" w:rsidP="007A021D">
      <w:pPr>
        <w:pStyle w:val="Normal1"/>
      </w:pPr>
      <w:r>
        <w:rPr>
          <w:rFonts w:ascii="Times New Roman" w:eastAsia="Times New Roman" w:hAnsi="Times New Roman" w:cs="Times New Roman"/>
        </w:rPr>
        <w:t xml:space="preserve"> </w:t>
      </w:r>
    </w:p>
    <w:p w14:paraId="441582DF" w14:textId="77777777" w:rsidR="003175CE" w:rsidRDefault="003175CE">
      <w:pPr>
        <w:rPr>
          <w:b/>
          <w:color w:val="000000"/>
          <w:sz w:val="20"/>
        </w:rPr>
      </w:pPr>
      <w:r>
        <w:rPr>
          <w:b/>
          <w:sz w:val="20"/>
        </w:rPr>
        <w:br w:type="page"/>
      </w:r>
    </w:p>
    <w:p w14:paraId="29CCA6AA" w14:textId="722D0493" w:rsidR="007A021D" w:rsidRDefault="003508A4" w:rsidP="007A021D">
      <w:pPr>
        <w:pStyle w:val="Normal1"/>
      </w:pPr>
      <w:r>
        <w:rPr>
          <w:rFonts w:ascii="Times New Roman" w:eastAsia="Times New Roman" w:hAnsi="Times New Roman" w:cs="Times New Roman"/>
          <w:b/>
          <w:sz w:val="20"/>
          <w:szCs w:val="20"/>
        </w:rPr>
        <w:lastRenderedPageBreak/>
        <w:t>Figure S12</w:t>
      </w:r>
      <w:r w:rsidR="007A021D">
        <w:rPr>
          <w:rFonts w:ascii="Times New Roman" w:eastAsia="Times New Roman" w:hAnsi="Times New Roman" w:cs="Times New Roman"/>
          <w:b/>
          <w:sz w:val="20"/>
          <w:szCs w:val="20"/>
        </w:rPr>
        <w:t>:</w:t>
      </w:r>
      <w:r w:rsidR="007A021D">
        <w:rPr>
          <w:rFonts w:ascii="Times New Roman" w:eastAsia="Times New Roman" w:hAnsi="Times New Roman" w:cs="Times New Roman"/>
          <w:sz w:val="20"/>
          <w:szCs w:val="20"/>
        </w:rPr>
        <w:t xml:space="preserve"> </w:t>
      </w:r>
      <w:r w:rsidR="00EA5E2D">
        <w:rPr>
          <w:rFonts w:ascii="Times New Roman" w:eastAsia="Times New Roman" w:hAnsi="Times New Roman" w:cs="Times New Roman"/>
          <w:sz w:val="20"/>
          <w:szCs w:val="20"/>
        </w:rPr>
        <w:t>(TOP PANELS) S</w:t>
      </w:r>
      <w:r w:rsidR="007A021D">
        <w:rPr>
          <w:rFonts w:ascii="Times New Roman" w:eastAsia="Times New Roman" w:hAnsi="Times New Roman" w:cs="Times New Roman"/>
          <w:sz w:val="20"/>
          <w:szCs w:val="20"/>
        </w:rPr>
        <w:t>urface (0-100m), (LOWER LEFT) zonal mean Atlantic, and (LOWER RIGHT) zonal mean Pacific concentrations of nitrate (NO</w:t>
      </w:r>
      <w:r w:rsidR="007A021D">
        <w:rPr>
          <w:rFonts w:ascii="Times New Roman" w:eastAsia="Times New Roman" w:hAnsi="Times New Roman" w:cs="Times New Roman"/>
          <w:sz w:val="20"/>
          <w:szCs w:val="20"/>
          <w:vertAlign w:val="subscript"/>
        </w:rPr>
        <w:t>3</w:t>
      </w:r>
      <w:r w:rsidR="007A021D">
        <w:rPr>
          <w:rFonts w:ascii="Times New Roman" w:eastAsia="Times New Roman" w:hAnsi="Times New Roman" w:cs="Times New Roman"/>
          <w:sz w:val="20"/>
          <w:szCs w:val="20"/>
          <w:vertAlign w:val="superscript"/>
        </w:rPr>
        <w:t>-</w:t>
      </w:r>
      <w:r w:rsidR="007A021D">
        <w:rPr>
          <w:rFonts w:ascii="Times New Roman" w:eastAsia="Times New Roman" w:hAnsi="Times New Roman" w:cs="Times New Roman"/>
          <w:sz w:val="20"/>
          <w:szCs w:val="20"/>
        </w:rPr>
        <w:t xml:space="preserve">) from the observations and the model simulations. The observations are from the 2009 World Ocean Atlas. All model figures cover the simulated years 1986-2005 from the HISTORICAL forcing scenario. Panel a) </w:t>
      </w:r>
      <w:r w:rsidR="00EA5E2D">
        <w:rPr>
          <w:rFonts w:ascii="Times New Roman" w:eastAsia="Times New Roman" w:hAnsi="Times New Roman" w:cs="Times New Roman"/>
          <w:sz w:val="20"/>
          <w:szCs w:val="20"/>
        </w:rPr>
        <w:t>WOA13</w:t>
      </w:r>
      <w:r w:rsidR="007A021D">
        <w:rPr>
          <w:rFonts w:ascii="Times New Roman" w:eastAsia="Times New Roman" w:hAnsi="Times New Roman" w:cs="Times New Roman"/>
          <w:sz w:val="20"/>
          <w:szCs w:val="20"/>
        </w:rPr>
        <w:t xml:space="preserve">; b) CanESM2; </w:t>
      </w:r>
      <w:r w:rsidR="00EA5E2D">
        <w:rPr>
          <w:rFonts w:ascii="Times New Roman" w:eastAsia="Times New Roman" w:hAnsi="Times New Roman" w:cs="Times New Roman"/>
          <w:sz w:val="20"/>
          <w:szCs w:val="20"/>
        </w:rPr>
        <w:t>c) GFDL-ESM2M; d) HadGEM2-ES; e) MIROC-ESM; and f</w:t>
      </w:r>
      <w:r w:rsidR="007A021D">
        <w:rPr>
          <w:rFonts w:ascii="Times New Roman" w:eastAsia="Times New Roman" w:hAnsi="Times New Roman" w:cs="Times New Roman"/>
          <w:sz w:val="20"/>
          <w:szCs w:val="20"/>
        </w:rPr>
        <w:t xml:space="preserve">) MRI-ESM1. </w:t>
      </w:r>
    </w:p>
    <w:p w14:paraId="2B2295C2" w14:textId="77777777" w:rsidR="007A021D" w:rsidRDefault="007A021D" w:rsidP="007A021D">
      <w:pPr>
        <w:pStyle w:val="Normal1"/>
      </w:pPr>
    </w:p>
    <w:p w14:paraId="7F1F153C" w14:textId="2C15D1E7" w:rsidR="009F13F8" w:rsidRPr="009F13F8" w:rsidRDefault="009F13F8" w:rsidP="007A021D">
      <w:pPr>
        <w:pStyle w:val="Normal1"/>
        <w:rPr>
          <w:rFonts w:ascii="Times New Roman" w:hAnsi="Times New Roman" w:cs="Times New Roman"/>
        </w:rPr>
      </w:pPr>
      <w:r w:rsidRPr="009F13F8">
        <w:rPr>
          <w:rFonts w:ascii="Times New Roman" w:hAnsi="Times New Roman" w:cs="Times New Roman"/>
        </w:rPr>
        <w:t>Figure S12 shows the annual mean concentration of nitrate (NO</w:t>
      </w:r>
      <w:r w:rsidRPr="009F13F8">
        <w:rPr>
          <w:rFonts w:ascii="Times New Roman" w:hAnsi="Times New Roman" w:cs="Times New Roman"/>
          <w:vertAlign w:val="subscript"/>
        </w:rPr>
        <w:t>3</w:t>
      </w:r>
      <w:r w:rsidRPr="009F13F8">
        <w:rPr>
          <w:rFonts w:ascii="Times New Roman" w:hAnsi="Times New Roman" w:cs="Times New Roman"/>
          <w:vertAlign w:val="superscript"/>
        </w:rPr>
        <w:t>-</w:t>
      </w:r>
      <w:r w:rsidR="00946895">
        <w:rPr>
          <w:rFonts w:ascii="Times New Roman" w:hAnsi="Times New Roman" w:cs="Times New Roman"/>
        </w:rPr>
        <w:t xml:space="preserve">, in </w:t>
      </w:r>
      <w:r w:rsidR="00946895" w:rsidRPr="00946895">
        <w:rPr>
          <w:rFonts w:ascii="Symbol" w:hAnsi="Symbol" w:cs="Times New Roman"/>
        </w:rPr>
        <w:t></w:t>
      </w:r>
      <w:proofErr w:type="spellStart"/>
      <w:r w:rsidRPr="009F13F8">
        <w:rPr>
          <w:rFonts w:ascii="Times New Roman" w:hAnsi="Times New Roman" w:cs="Times New Roman"/>
        </w:rPr>
        <w:t>mol</w:t>
      </w:r>
      <w:proofErr w:type="spellEnd"/>
      <w:r w:rsidRPr="009F13F8">
        <w:rPr>
          <w:rFonts w:ascii="Times New Roman" w:hAnsi="Times New Roman" w:cs="Times New Roman"/>
        </w:rPr>
        <w:t>/kg) at the surface (0-100m average, top panels), in the Atlantic (zonal average, lower left panels), and the Pacific (zonal average, lower right panels). This figure was created by averaging all of the months in the period of record; the Atlantic is the zonal average from 60°W-20°E, and the Pacific is the zonal average from 140°E-60°W.</w:t>
      </w:r>
      <w:r>
        <w:rPr>
          <w:rFonts w:ascii="Times New Roman" w:hAnsi="Times New Roman" w:cs="Times New Roman"/>
        </w:rPr>
        <w:t xml:space="preserve"> </w:t>
      </w:r>
      <w:r>
        <w:rPr>
          <w:rFonts w:ascii="Times New Roman" w:eastAsia="Times New Roman" w:hAnsi="Times New Roman" w:cs="Times New Roman"/>
        </w:rPr>
        <w:t xml:space="preserve">Old nutrient-rich Circumpolar Deep Water is upwelled in the Southern Ocean, but due to the lack of sunlight for part of the year, significant quantities of unused nutrients are subducted in newly formed Mode and Intermediate waters. The Southern Ocean is responsible for about 70% of the nutrients exported to the rest of the world ocean. The upwelling of nitrate and its subsequent export to the rest of the world ocean can have significant impacts ocean biogeochemical simulations. Overall, the models generally get the annual mean surface concentration of nitrate correct, although the </w:t>
      </w:r>
      <w:proofErr w:type="spellStart"/>
      <w:r>
        <w:rPr>
          <w:rFonts w:ascii="Times New Roman" w:eastAsia="Times New Roman" w:hAnsi="Times New Roman" w:cs="Times New Roman"/>
        </w:rPr>
        <w:t>CanESM</w:t>
      </w:r>
      <w:proofErr w:type="spellEnd"/>
      <w:r>
        <w:rPr>
          <w:rFonts w:ascii="Times New Roman" w:eastAsia="Times New Roman" w:hAnsi="Times New Roman" w:cs="Times New Roman"/>
        </w:rPr>
        <w:t xml:space="preserve"> simulation has values about 15-20% too high in the ACC, and virtually no nitrate north of the Subantarctic front. The zonal-mean sections in the Atlantic and the Pacific also show a general agreement with the observations, but here too some of the models have issues. In the Atlantic, </w:t>
      </w:r>
      <w:proofErr w:type="spellStart"/>
      <w:r>
        <w:rPr>
          <w:rFonts w:ascii="Times New Roman" w:eastAsia="Times New Roman" w:hAnsi="Times New Roman" w:cs="Times New Roman"/>
        </w:rPr>
        <w:t>HadGEM</w:t>
      </w:r>
      <w:proofErr w:type="spellEnd"/>
      <w:r>
        <w:rPr>
          <w:rFonts w:ascii="Times New Roman" w:eastAsia="Times New Roman" w:hAnsi="Times New Roman" w:cs="Times New Roman"/>
        </w:rPr>
        <w:t xml:space="preserve">, and to a lesser extent MIROC have too little nitrate in the intermediate water at ~1000m, while in the Pacific the </w:t>
      </w:r>
      <w:proofErr w:type="spellStart"/>
      <w:r>
        <w:rPr>
          <w:rFonts w:ascii="Times New Roman" w:eastAsia="Times New Roman" w:hAnsi="Times New Roman" w:cs="Times New Roman"/>
        </w:rPr>
        <w:t>CanESM</w:t>
      </w:r>
      <w:proofErr w:type="spellEnd"/>
      <w:r>
        <w:rPr>
          <w:rFonts w:ascii="Times New Roman" w:eastAsia="Times New Roman" w:hAnsi="Times New Roman" w:cs="Times New Roman"/>
        </w:rPr>
        <w:t xml:space="preserve"> simulation again has most of its nitrate too high.</w:t>
      </w:r>
    </w:p>
    <w:p w14:paraId="68D810AF" w14:textId="7F4AA9F8" w:rsidR="007A021D" w:rsidRDefault="007A021D" w:rsidP="007A021D">
      <w:pPr>
        <w:pStyle w:val="Normal1"/>
      </w:pPr>
    </w:p>
    <w:p w14:paraId="4F9F7382" w14:textId="77777777" w:rsidR="003175CE" w:rsidRDefault="003175CE">
      <w:pPr>
        <w:rPr>
          <w:b/>
          <w:color w:val="000000"/>
          <w:sz w:val="20"/>
        </w:rPr>
      </w:pPr>
      <w:r>
        <w:rPr>
          <w:b/>
          <w:sz w:val="20"/>
        </w:rPr>
        <w:br w:type="page"/>
      </w:r>
    </w:p>
    <w:p w14:paraId="44050847" w14:textId="13521940" w:rsidR="007A021D" w:rsidRDefault="007A021D" w:rsidP="007A021D">
      <w:pPr>
        <w:pStyle w:val="Normal1"/>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Figure S1</w:t>
      </w:r>
      <w:r w:rsidR="003508A4">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Annual-mean zonal velocity at the surface (cm/s, 0-50m average) from the observations and from several of the coupled climate models submitted as part of the CMIP5/IPCC-AR5 process. All model figures cover the simulated years 1986-2005 from the HISTORICAL forcing scenario. Panel a) SOSE; b) CanESM2; c) CSIRO-Mk3.6; d) GFDL-ESM2M; e) HadGEM2-ES; f) MIROC-ESM; and g) MRI-ESM1.</w:t>
      </w:r>
    </w:p>
    <w:p w14:paraId="101B6B8E" w14:textId="77777777" w:rsidR="007A021D" w:rsidRDefault="007A021D" w:rsidP="007A021D">
      <w:pPr>
        <w:pStyle w:val="Normal1"/>
        <w:rPr>
          <w:rFonts w:ascii="Times New Roman" w:eastAsia="Times New Roman" w:hAnsi="Times New Roman" w:cs="Times New Roman"/>
          <w:sz w:val="20"/>
          <w:szCs w:val="20"/>
        </w:rPr>
      </w:pPr>
    </w:p>
    <w:p w14:paraId="6D25F314" w14:textId="2B1F3196" w:rsidR="00E77D6C" w:rsidRDefault="00E77D6C" w:rsidP="007A021D">
      <w:pPr>
        <w:pStyle w:val="Normal1"/>
        <w:rPr>
          <w:rFonts w:ascii="Times New Roman" w:eastAsia="Times New Roman" w:hAnsi="Times New Roman" w:cs="Times New Roman"/>
          <w:sz w:val="20"/>
          <w:szCs w:val="20"/>
        </w:rPr>
      </w:pPr>
      <w:r>
        <w:rPr>
          <w:rFonts w:ascii="Times New Roman" w:eastAsia="Times New Roman" w:hAnsi="Times New Roman" w:cs="Times New Roman"/>
        </w:rPr>
        <w:t xml:space="preserve">Figure S13 shows the annual mean surface (0-50m) zonal velocity (cm/s). </w:t>
      </w:r>
      <w:r w:rsidR="00AC6170" w:rsidRPr="009F13F8">
        <w:rPr>
          <w:rFonts w:ascii="Times New Roman" w:hAnsi="Times New Roman" w:cs="Times New Roman"/>
        </w:rPr>
        <w:t>This figure was created by averaging all of the</w:t>
      </w:r>
      <w:r w:rsidR="00AC6170">
        <w:rPr>
          <w:rFonts w:ascii="Times New Roman" w:hAnsi="Times New Roman" w:cs="Times New Roman"/>
        </w:rPr>
        <w:t xml:space="preserve"> months in the period of record.</w:t>
      </w:r>
      <w:r w:rsidR="00AC6170" w:rsidRPr="009F13F8">
        <w:rPr>
          <w:rFonts w:ascii="Times New Roman" w:hAnsi="Times New Roman" w:cs="Times New Roman"/>
        </w:rPr>
        <w:t xml:space="preserve"> </w:t>
      </w:r>
      <w:r w:rsidR="004C0D80">
        <w:rPr>
          <w:rFonts w:ascii="Times New Roman" w:eastAsia="Times New Roman" w:hAnsi="Times New Roman" w:cs="Times New Roman"/>
        </w:rPr>
        <w:t xml:space="preserve">Flow at the surface </w:t>
      </w:r>
      <w:r>
        <w:rPr>
          <w:rFonts w:ascii="Times New Roman" w:eastAsia="Times New Roman" w:hAnsi="Times New Roman" w:cs="Times New Roman"/>
        </w:rPr>
        <w:t>is dominated by the eastward flowing Antarctic Circumpolar Current. Most of the transport is carried in the Subantarctic Front and the Subpolar front which are too narrow to be fully resolved by the medium resolution (~1°) employed in the ocean components of the</w:t>
      </w:r>
      <w:r w:rsidR="00F71F51">
        <w:rPr>
          <w:rFonts w:ascii="Times New Roman" w:eastAsia="Times New Roman" w:hAnsi="Times New Roman" w:cs="Times New Roman"/>
        </w:rPr>
        <w:t xml:space="preserve"> CMIP5 coupled climate models. </w:t>
      </w:r>
      <w:r w:rsidR="007B1331">
        <w:rPr>
          <w:rFonts w:ascii="Times New Roman" w:eastAsia="Times New Roman" w:hAnsi="Times New Roman" w:cs="Times New Roman"/>
        </w:rPr>
        <w:t xml:space="preserve">The </w:t>
      </w:r>
      <w:r w:rsidR="00F71F51">
        <w:rPr>
          <w:rFonts w:ascii="Times New Roman" w:eastAsia="Times New Roman" w:hAnsi="Times New Roman" w:cs="Times New Roman"/>
        </w:rPr>
        <w:t>SOSE</w:t>
      </w:r>
      <w:r>
        <w:rPr>
          <w:rFonts w:ascii="Times New Roman" w:eastAsia="Times New Roman" w:hAnsi="Times New Roman" w:cs="Times New Roman"/>
        </w:rPr>
        <w:t xml:space="preserve"> </w:t>
      </w:r>
      <w:r w:rsidR="007B1331">
        <w:rPr>
          <w:rFonts w:ascii="Times New Roman" w:eastAsia="Times New Roman" w:hAnsi="Times New Roman" w:cs="Times New Roman"/>
        </w:rPr>
        <w:t>data shown here is from the 2006-2010 assimilation using</w:t>
      </w:r>
      <w:r>
        <w:rPr>
          <w:rFonts w:ascii="Times New Roman" w:eastAsia="Times New Roman" w:hAnsi="Times New Roman" w:cs="Times New Roman"/>
        </w:rPr>
        <w:t xml:space="preserve"> a high</w:t>
      </w:r>
      <w:r w:rsidR="007B1331">
        <w:rPr>
          <w:rFonts w:ascii="Times New Roman" w:eastAsia="Times New Roman" w:hAnsi="Times New Roman" w:cs="Times New Roman"/>
        </w:rPr>
        <w:t xml:space="preserve">er </w:t>
      </w:r>
      <w:r>
        <w:rPr>
          <w:rFonts w:ascii="Times New Roman" w:eastAsia="Times New Roman" w:hAnsi="Times New Roman" w:cs="Times New Roman"/>
        </w:rPr>
        <w:t>resolution (1/6°) model</w:t>
      </w:r>
      <w:r w:rsidR="007B1331">
        <w:rPr>
          <w:rFonts w:ascii="Times New Roman" w:eastAsia="Times New Roman" w:hAnsi="Times New Roman" w:cs="Times New Roman"/>
        </w:rPr>
        <w:t>;</w:t>
      </w:r>
      <w:r>
        <w:rPr>
          <w:rFonts w:ascii="Times New Roman" w:eastAsia="Times New Roman" w:hAnsi="Times New Roman" w:cs="Times New Roman"/>
        </w:rPr>
        <w:t xml:space="preserve"> the braided, narrow streamlines, as are inferred from altimetry, are visible. Even at the coarser resolution, the models accurately simulate the increased current speeds south of Africa in the Agulhas Current (westward) and the Agulhas Retroflection (eastward), and the topographically-influenced increased speeds through the Drake Passage, south of the Campbell Plateau and near the Kerguelen Plateau.</w:t>
      </w:r>
    </w:p>
    <w:p w14:paraId="06F9DF4F" w14:textId="77777777" w:rsidR="007A021D" w:rsidRDefault="007A021D" w:rsidP="007A021D">
      <w:pPr>
        <w:rPr>
          <w:b/>
        </w:rPr>
      </w:pPr>
      <w:r>
        <w:rPr>
          <w:b/>
        </w:rPr>
        <w:br w:type="page"/>
      </w:r>
    </w:p>
    <w:p w14:paraId="6F2F87C8" w14:textId="43DD05A9" w:rsidR="007A021D" w:rsidRPr="001C34ED" w:rsidRDefault="003508A4" w:rsidP="007A021D">
      <w:pPr>
        <w:pStyle w:val="Normal1"/>
        <w:rPr>
          <w:sz w:val="28"/>
        </w:rPr>
      </w:pPr>
      <w:r>
        <w:rPr>
          <w:rFonts w:ascii="Times New Roman" w:eastAsia="Times New Roman" w:hAnsi="Times New Roman" w:cs="Times New Roman"/>
          <w:b/>
          <w:sz w:val="20"/>
          <w:szCs w:val="20"/>
        </w:rPr>
        <w:lastRenderedPageBreak/>
        <w:t>Figure S14</w:t>
      </w:r>
      <w:r w:rsidR="007A021D" w:rsidRPr="001C34ED">
        <w:rPr>
          <w:rFonts w:ascii="Times New Roman" w:eastAsia="Times New Roman" w:hAnsi="Times New Roman" w:cs="Times New Roman"/>
          <w:b/>
          <w:sz w:val="20"/>
          <w:szCs w:val="20"/>
        </w:rPr>
        <w:t>:</w:t>
      </w:r>
      <w:r w:rsidR="007A021D" w:rsidRPr="001C34ED">
        <w:rPr>
          <w:rFonts w:ascii="Times New Roman" w:eastAsia="Times New Roman" w:hAnsi="Times New Roman" w:cs="Times New Roman"/>
          <w:sz w:val="20"/>
          <w:szCs w:val="20"/>
        </w:rPr>
        <w:t xml:space="preserve"> A) Bathymetry of the Southern Ocean (m) with locations cited in the text indicated. Bathymetry data from ETOPO5 (5’ resolutio</w:t>
      </w:r>
      <w:r w:rsidR="007A021D">
        <w:rPr>
          <w:rFonts w:ascii="Times New Roman" w:eastAsia="Times New Roman" w:hAnsi="Times New Roman" w:cs="Times New Roman"/>
          <w:sz w:val="20"/>
          <w:szCs w:val="20"/>
        </w:rPr>
        <w:t>n, 1/12 degree). Panels B-G show</w:t>
      </w:r>
      <w:r w:rsidR="007A021D" w:rsidRPr="001C34ED">
        <w:rPr>
          <w:rFonts w:ascii="Times New Roman" w:eastAsia="Times New Roman" w:hAnsi="Times New Roman" w:cs="Times New Roman"/>
          <w:sz w:val="20"/>
          <w:szCs w:val="20"/>
        </w:rPr>
        <w:t xml:space="preserve"> the difference between the model bathymetry and the observed bathymetry, </w:t>
      </w:r>
      <w:proofErr w:type="spellStart"/>
      <w:r w:rsidR="007A021D" w:rsidRPr="001C34ED">
        <w:rPr>
          <w:rFonts w:ascii="Times New Roman" w:eastAsia="Times New Roman" w:hAnsi="Times New Roman" w:cs="Times New Roman"/>
          <w:sz w:val="20"/>
          <w:szCs w:val="20"/>
        </w:rPr>
        <w:t>regridded</w:t>
      </w:r>
      <w:proofErr w:type="spellEnd"/>
      <w:r w:rsidR="007A021D" w:rsidRPr="001C34ED">
        <w:rPr>
          <w:rFonts w:ascii="Times New Roman" w:eastAsia="Times New Roman" w:hAnsi="Times New Roman" w:cs="Times New Roman"/>
          <w:sz w:val="20"/>
          <w:szCs w:val="20"/>
        </w:rPr>
        <w:t xml:space="preserve"> onto a standard 1° grid. Positive values (reds) indicate where the model bathymetry is too shallow, while negative values (blues) indicate where the model bathymetry is too deep. Light gray indicates and error of less than 100m either way.</w:t>
      </w:r>
    </w:p>
    <w:p w14:paraId="5FDC857B" w14:textId="20BCB117" w:rsidR="003E33E7" w:rsidRDefault="00864CDA" w:rsidP="003E33E7">
      <w:r>
        <w:t>Figure 14 shows the bottom topography from the ETOPO5 (5’ arc resolution or 1/12°) dataset, as well as the difference between the model bottom topographies and the observations.</w:t>
      </w:r>
      <w:r w:rsidR="00EF62E1">
        <w:t xml:space="preserve"> </w:t>
      </w:r>
      <w:r w:rsidR="00562523">
        <w:t xml:space="preserve">In order to determine the difference from observed for the models, each simulation was </w:t>
      </w:r>
      <w:proofErr w:type="spellStart"/>
      <w:r w:rsidR="00562523">
        <w:t>regridded</w:t>
      </w:r>
      <w:proofErr w:type="spellEnd"/>
      <w:r w:rsidR="00562523">
        <w:t xml:space="preserve"> onto the standard 1°-by-1° grid of WOA13: values at the standard points on the new grid are determined by linearly interpolating from the nearest 4 points on the old grid. </w:t>
      </w:r>
      <w:r w:rsidR="003E33E7">
        <w:t xml:space="preserve">The ACC extends all the way to the bottom of the ocean and the locations of major surface features, including the Subantarctic and Polar Fronts, are tied to topographic features Geostrophic flow in the meridional direction depends on zonal pressure gradients so the meridional overturning of the Southern Ocean and the flow across 30°S is closely tied to the topography of the sea floor.  Not only the average water depth matters, but also the “roughness” of the bottom, as motion over bumps leads to increased mixing and potentially export across 30°S. </w:t>
      </w:r>
      <w:r w:rsidR="006F79C1">
        <w:t>Bottom water formation and mode water formation in the Southern Ocean are responsible for most of the uptake of anthropogenic heat and a significant fraction of the ocean’s uptake of anthropogenic carbon, so the details of the topography will affect a simulation’s total heat and carbon storage and export.</w:t>
      </w:r>
    </w:p>
    <w:p w14:paraId="0D78EC1C" w14:textId="2AFCB421" w:rsidR="007A021D" w:rsidRDefault="007A021D" w:rsidP="007A021D"/>
    <w:p w14:paraId="4FC65DFC" w14:textId="28EC3DE6" w:rsidR="007A021D" w:rsidRDefault="007A021D" w:rsidP="007A021D"/>
    <w:p w14:paraId="7B6BFE56" w14:textId="77777777" w:rsidR="003175CE" w:rsidRDefault="003175CE">
      <w:pPr>
        <w:rPr>
          <w:b/>
          <w:color w:val="000000"/>
          <w:sz w:val="20"/>
        </w:rPr>
      </w:pPr>
      <w:r>
        <w:rPr>
          <w:b/>
          <w:sz w:val="20"/>
        </w:rPr>
        <w:br w:type="page"/>
      </w:r>
    </w:p>
    <w:p w14:paraId="081070E1" w14:textId="28A92137" w:rsidR="007A021D" w:rsidRDefault="003508A4" w:rsidP="007A021D">
      <w:pPr>
        <w:pStyle w:val="Normal1"/>
      </w:pPr>
      <w:r>
        <w:rPr>
          <w:rFonts w:ascii="Times New Roman" w:eastAsia="Times New Roman" w:hAnsi="Times New Roman" w:cs="Times New Roman"/>
          <w:b/>
          <w:sz w:val="20"/>
          <w:szCs w:val="20"/>
        </w:rPr>
        <w:t>Figure S15</w:t>
      </w:r>
      <w:r w:rsidR="007A021D">
        <w:rPr>
          <w:rFonts w:ascii="Times New Roman" w:eastAsia="Times New Roman" w:hAnsi="Times New Roman" w:cs="Times New Roman"/>
          <w:b/>
          <w:sz w:val="20"/>
          <w:szCs w:val="20"/>
        </w:rPr>
        <w:t>:</w:t>
      </w:r>
      <w:r w:rsidR="007A021D">
        <w:rPr>
          <w:rFonts w:ascii="Times New Roman" w:eastAsia="Times New Roman" w:hAnsi="Times New Roman" w:cs="Times New Roman"/>
          <w:sz w:val="20"/>
          <w:szCs w:val="20"/>
        </w:rPr>
        <w:t xml:space="preserve"> </w:t>
      </w:r>
      <w:r w:rsidR="00EA5E2D">
        <w:rPr>
          <w:rFonts w:ascii="Times New Roman" w:eastAsia="Times New Roman" w:hAnsi="Times New Roman" w:cs="Times New Roman"/>
          <w:sz w:val="20"/>
          <w:szCs w:val="20"/>
        </w:rPr>
        <w:t>T</w:t>
      </w:r>
      <w:r w:rsidR="007A021D">
        <w:rPr>
          <w:rFonts w:ascii="Times New Roman" w:eastAsia="Times New Roman" w:hAnsi="Times New Roman" w:cs="Times New Roman"/>
          <w:sz w:val="20"/>
          <w:szCs w:val="20"/>
        </w:rPr>
        <w:t>hickness of the very cold layer: water less than 2°C</w:t>
      </w:r>
      <w:proofErr w:type="gramStart"/>
      <w:r w:rsidR="007A021D">
        <w:rPr>
          <w:rFonts w:ascii="Times New Roman" w:eastAsia="Times New Roman" w:hAnsi="Times New Roman" w:cs="Times New Roman"/>
          <w:sz w:val="20"/>
          <w:szCs w:val="20"/>
        </w:rPr>
        <w:t>;</w:t>
      </w:r>
      <w:proofErr w:type="gramEnd"/>
      <w:r w:rsidR="007A021D">
        <w:rPr>
          <w:rFonts w:ascii="Times New Roman" w:eastAsia="Times New Roman" w:hAnsi="Times New Roman" w:cs="Times New Roman"/>
          <w:sz w:val="20"/>
          <w:szCs w:val="20"/>
        </w:rPr>
        <w:t xml:space="preserve"> from the observations and the model simulations. The very cold layer is an approximation of the AABW simulated by the model (in the Southern Hemisphere). All model figures cover the simulated years 1986-2005 from the HISTORICAL forcing scenario. Panel a) WOA2013 dataset; b) CanESM2; c) CSIRO-Mk3.6; d) GFDL-ESM2M; e) HadGEM2-ES; f) MIROC-ESM; and g) MRI-ESM1.</w:t>
      </w:r>
    </w:p>
    <w:p w14:paraId="7F792F84" w14:textId="77777777" w:rsidR="00B9440A" w:rsidRDefault="00B9440A" w:rsidP="00B9440A">
      <w:pPr>
        <w:pStyle w:val="SMcaption"/>
      </w:pPr>
    </w:p>
    <w:p w14:paraId="4ADD7A7A" w14:textId="4B78368B" w:rsidR="00AC6170" w:rsidRPr="00015F74" w:rsidRDefault="002751E2" w:rsidP="00B9440A">
      <w:pPr>
        <w:pStyle w:val="SMcaption"/>
      </w:pPr>
      <w:r>
        <w:t xml:space="preserve">Figure 15 shows the thickness of the layer with a potential temperature under 2°C. </w:t>
      </w:r>
      <w:r w:rsidRPr="009F13F8">
        <w:t xml:space="preserve">This figure was created by averaging all of the </w:t>
      </w:r>
      <w:r>
        <w:t xml:space="preserve">months in the period of record. </w:t>
      </w:r>
      <w:r w:rsidRPr="002751E2">
        <w:t xml:space="preserve">The thickness and volume of the nominal Antarctic Bottom Water layer is a good indicator of potential heat and carbon uptake in warming scenarios. </w:t>
      </w:r>
      <w:r w:rsidR="006170F5">
        <w:t xml:space="preserve">Although true AABW is much colder than 2°C, there are very few sources of deep water this cold, so a temperature below 2°C indicates water that has been directly influenced by AABW. </w:t>
      </w:r>
      <w:r w:rsidRPr="002751E2">
        <w:t>Simulations with a thick cold-water layer in the Southern Hemisphere have a robust connection between the surface and the deep. Observations from repeat hydrographic sections indicate that deep water (below 4000m) are gaining heat; model simulations that simulate this deep uptake of heat have been show</w:t>
      </w:r>
      <w:r w:rsidR="00EA5E2D">
        <w:t>n</w:t>
      </w:r>
      <w:r w:rsidRPr="002751E2">
        <w:t xml:space="preserve"> to have relatively reduced atmospheric warming under increasing greenhouse gas scenarios.</w:t>
      </w:r>
    </w:p>
    <w:sectPr w:rsidR="00AC6170" w:rsidRPr="00015F74" w:rsidSect="00D66F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4D08F" w14:textId="77777777" w:rsidR="003175CE" w:rsidRDefault="003175CE">
      <w:r>
        <w:separator/>
      </w:r>
    </w:p>
  </w:endnote>
  <w:endnote w:type="continuationSeparator" w:id="0">
    <w:p w14:paraId="231E7674" w14:textId="77777777" w:rsidR="003175CE" w:rsidRDefault="0031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102A" w14:textId="77777777" w:rsidR="003175CE" w:rsidRDefault="003175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8E7ED" w14:textId="77777777" w:rsidR="003175CE" w:rsidRDefault="003175CE">
    <w:pPr>
      <w:pStyle w:val="Footer"/>
      <w:jc w:val="right"/>
    </w:pPr>
    <w:r>
      <w:fldChar w:fldCharType="begin"/>
    </w:r>
    <w:r>
      <w:instrText xml:space="preserve"> PAGE   \* MERGEFORMAT </w:instrText>
    </w:r>
    <w:r>
      <w:fldChar w:fldCharType="separate"/>
    </w:r>
    <w:r w:rsidR="007312D0">
      <w:rPr>
        <w:noProof/>
      </w:rPr>
      <w:t>1</w:t>
    </w:r>
    <w:r>
      <w:fldChar w:fldCharType="end"/>
    </w:r>
  </w:p>
  <w:p w14:paraId="486656F3" w14:textId="77777777" w:rsidR="003175CE" w:rsidRDefault="003175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BBCA3" w14:textId="77777777" w:rsidR="003175CE" w:rsidRDefault="003175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F6FE5" w14:textId="77777777" w:rsidR="003175CE" w:rsidRDefault="003175CE">
      <w:r>
        <w:separator/>
      </w:r>
    </w:p>
  </w:footnote>
  <w:footnote w:type="continuationSeparator" w:id="0">
    <w:p w14:paraId="0BA5A124" w14:textId="77777777" w:rsidR="003175CE" w:rsidRDefault="003175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9EF6B" w14:textId="77777777" w:rsidR="003175CE" w:rsidRDefault="003175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23C1C" w14:textId="77777777" w:rsidR="003175CE" w:rsidRPr="005001AC" w:rsidRDefault="003175CE" w:rsidP="005001AC">
    <w:pPr>
      <w:jc w:val="right"/>
      <w:rPr>
        <w:sz w:val="20"/>
      </w:rPr>
    </w:pPr>
  </w:p>
  <w:p w14:paraId="18F8F636" w14:textId="77777777" w:rsidR="003175CE" w:rsidRDefault="003175C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C5ADD" w14:textId="77777777" w:rsidR="003175CE" w:rsidRDefault="003175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0F"/>
    <w:rsid w:val="00015F74"/>
    <w:rsid w:val="0003128F"/>
    <w:rsid w:val="00040216"/>
    <w:rsid w:val="00043571"/>
    <w:rsid w:val="0005579F"/>
    <w:rsid w:val="00065EBD"/>
    <w:rsid w:val="00072353"/>
    <w:rsid w:val="00083B44"/>
    <w:rsid w:val="000850DC"/>
    <w:rsid w:val="000922A6"/>
    <w:rsid w:val="00094365"/>
    <w:rsid w:val="000A46C0"/>
    <w:rsid w:val="000B2E64"/>
    <w:rsid w:val="000C2771"/>
    <w:rsid w:val="000D68BD"/>
    <w:rsid w:val="000F0DCE"/>
    <w:rsid w:val="001104C2"/>
    <w:rsid w:val="00111843"/>
    <w:rsid w:val="00112C5B"/>
    <w:rsid w:val="00113908"/>
    <w:rsid w:val="00114193"/>
    <w:rsid w:val="001154E6"/>
    <w:rsid w:val="00115A38"/>
    <w:rsid w:val="0011687B"/>
    <w:rsid w:val="00124F82"/>
    <w:rsid w:val="001278E3"/>
    <w:rsid w:val="00130743"/>
    <w:rsid w:val="00130B50"/>
    <w:rsid w:val="0016337A"/>
    <w:rsid w:val="00163E1F"/>
    <w:rsid w:val="00164269"/>
    <w:rsid w:val="001966FD"/>
    <w:rsid w:val="00197826"/>
    <w:rsid w:val="001A1BDE"/>
    <w:rsid w:val="001C0F43"/>
    <w:rsid w:val="001C7B4E"/>
    <w:rsid w:val="001F0876"/>
    <w:rsid w:val="001F167C"/>
    <w:rsid w:val="001F5E91"/>
    <w:rsid w:val="0020183F"/>
    <w:rsid w:val="002077B9"/>
    <w:rsid w:val="00221C70"/>
    <w:rsid w:val="002251AF"/>
    <w:rsid w:val="00227D86"/>
    <w:rsid w:val="00231CB9"/>
    <w:rsid w:val="00243B68"/>
    <w:rsid w:val="00262D72"/>
    <w:rsid w:val="002751E2"/>
    <w:rsid w:val="002800B6"/>
    <w:rsid w:val="002857B9"/>
    <w:rsid w:val="002B35D4"/>
    <w:rsid w:val="002C030F"/>
    <w:rsid w:val="002C7263"/>
    <w:rsid w:val="002F3966"/>
    <w:rsid w:val="003175CE"/>
    <w:rsid w:val="00320E2C"/>
    <w:rsid w:val="003309CF"/>
    <w:rsid w:val="00331D75"/>
    <w:rsid w:val="003508A4"/>
    <w:rsid w:val="00355362"/>
    <w:rsid w:val="00363E44"/>
    <w:rsid w:val="00380385"/>
    <w:rsid w:val="003803CE"/>
    <w:rsid w:val="00391D9B"/>
    <w:rsid w:val="00395E86"/>
    <w:rsid w:val="003A2FD8"/>
    <w:rsid w:val="003B40E6"/>
    <w:rsid w:val="003B4626"/>
    <w:rsid w:val="003C007A"/>
    <w:rsid w:val="003E1980"/>
    <w:rsid w:val="003E1B3A"/>
    <w:rsid w:val="003E33E7"/>
    <w:rsid w:val="003F611A"/>
    <w:rsid w:val="003F6E14"/>
    <w:rsid w:val="00405336"/>
    <w:rsid w:val="004118F5"/>
    <w:rsid w:val="004177B7"/>
    <w:rsid w:val="004372D2"/>
    <w:rsid w:val="004454A1"/>
    <w:rsid w:val="00445E6C"/>
    <w:rsid w:val="004568BC"/>
    <w:rsid w:val="004571D5"/>
    <w:rsid w:val="00460B43"/>
    <w:rsid w:val="0046128B"/>
    <w:rsid w:val="00462F1B"/>
    <w:rsid w:val="0046356B"/>
    <w:rsid w:val="00477182"/>
    <w:rsid w:val="004779CB"/>
    <w:rsid w:val="0048034F"/>
    <w:rsid w:val="00481118"/>
    <w:rsid w:val="004B2481"/>
    <w:rsid w:val="004C0D80"/>
    <w:rsid w:val="004D2A8C"/>
    <w:rsid w:val="004D43C8"/>
    <w:rsid w:val="004E42D8"/>
    <w:rsid w:val="004E7BA2"/>
    <w:rsid w:val="004F1D3A"/>
    <w:rsid w:val="004F7EDF"/>
    <w:rsid w:val="005001AC"/>
    <w:rsid w:val="00517016"/>
    <w:rsid w:val="00527D71"/>
    <w:rsid w:val="00527D84"/>
    <w:rsid w:val="005314B5"/>
    <w:rsid w:val="0054115B"/>
    <w:rsid w:val="0054432F"/>
    <w:rsid w:val="00552C23"/>
    <w:rsid w:val="005607DD"/>
    <w:rsid w:val="00562523"/>
    <w:rsid w:val="00572DFF"/>
    <w:rsid w:val="005A558C"/>
    <w:rsid w:val="005B186E"/>
    <w:rsid w:val="005C604B"/>
    <w:rsid w:val="005C6651"/>
    <w:rsid w:val="005D0405"/>
    <w:rsid w:val="005D6D71"/>
    <w:rsid w:val="005E0256"/>
    <w:rsid w:val="005E28F8"/>
    <w:rsid w:val="005E6513"/>
    <w:rsid w:val="005F0F1B"/>
    <w:rsid w:val="005F6BA5"/>
    <w:rsid w:val="00611F9E"/>
    <w:rsid w:val="006170F5"/>
    <w:rsid w:val="006237D4"/>
    <w:rsid w:val="00651114"/>
    <w:rsid w:val="00652E67"/>
    <w:rsid w:val="00653AD4"/>
    <w:rsid w:val="006622CF"/>
    <w:rsid w:val="00664A12"/>
    <w:rsid w:val="0066722B"/>
    <w:rsid w:val="00670299"/>
    <w:rsid w:val="00673CD5"/>
    <w:rsid w:val="00680862"/>
    <w:rsid w:val="0068469F"/>
    <w:rsid w:val="0068606E"/>
    <w:rsid w:val="00691985"/>
    <w:rsid w:val="006962C1"/>
    <w:rsid w:val="006A1B64"/>
    <w:rsid w:val="006B03AD"/>
    <w:rsid w:val="006E173D"/>
    <w:rsid w:val="006E2505"/>
    <w:rsid w:val="006F602A"/>
    <w:rsid w:val="006F79C1"/>
    <w:rsid w:val="00707C97"/>
    <w:rsid w:val="007108F5"/>
    <w:rsid w:val="00713AF2"/>
    <w:rsid w:val="00713E5B"/>
    <w:rsid w:val="007312D0"/>
    <w:rsid w:val="007402FC"/>
    <w:rsid w:val="007411A1"/>
    <w:rsid w:val="007563F2"/>
    <w:rsid w:val="00764008"/>
    <w:rsid w:val="007664FB"/>
    <w:rsid w:val="00796292"/>
    <w:rsid w:val="00797623"/>
    <w:rsid w:val="007A021D"/>
    <w:rsid w:val="007A75BF"/>
    <w:rsid w:val="007A7A97"/>
    <w:rsid w:val="007B10B6"/>
    <w:rsid w:val="007B1331"/>
    <w:rsid w:val="007B5A34"/>
    <w:rsid w:val="007D706D"/>
    <w:rsid w:val="007F789E"/>
    <w:rsid w:val="00800875"/>
    <w:rsid w:val="00807D35"/>
    <w:rsid w:val="008115D9"/>
    <w:rsid w:val="00825950"/>
    <w:rsid w:val="008440EE"/>
    <w:rsid w:val="00860448"/>
    <w:rsid w:val="00864CDA"/>
    <w:rsid w:val="008654FB"/>
    <w:rsid w:val="00877D5F"/>
    <w:rsid w:val="00885C9B"/>
    <w:rsid w:val="008927D0"/>
    <w:rsid w:val="008D51C8"/>
    <w:rsid w:val="008D5D2A"/>
    <w:rsid w:val="008E2CF1"/>
    <w:rsid w:val="008F08DC"/>
    <w:rsid w:val="008F5A8A"/>
    <w:rsid w:val="009055D1"/>
    <w:rsid w:val="009106A8"/>
    <w:rsid w:val="00914B63"/>
    <w:rsid w:val="00922705"/>
    <w:rsid w:val="00924546"/>
    <w:rsid w:val="00932FE5"/>
    <w:rsid w:val="009354F3"/>
    <w:rsid w:val="009447DC"/>
    <w:rsid w:val="00946895"/>
    <w:rsid w:val="00954554"/>
    <w:rsid w:val="00961BA5"/>
    <w:rsid w:val="00965747"/>
    <w:rsid w:val="009743A9"/>
    <w:rsid w:val="00975720"/>
    <w:rsid w:val="009859A7"/>
    <w:rsid w:val="009A5287"/>
    <w:rsid w:val="009A5DB6"/>
    <w:rsid w:val="009B06A6"/>
    <w:rsid w:val="009B2AC5"/>
    <w:rsid w:val="009B7984"/>
    <w:rsid w:val="009D14E3"/>
    <w:rsid w:val="009F0F02"/>
    <w:rsid w:val="009F13F8"/>
    <w:rsid w:val="009F4BED"/>
    <w:rsid w:val="009F7D93"/>
    <w:rsid w:val="00A04B02"/>
    <w:rsid w:val="00A276DF"/>
    <w:rsid w:val="00A3084A"/>
    <w:rsid w:val="00A3403B"/>
    <w:rsid w:val="00A41CCA"/>
    <w:rsid w:val="00A50033"/>
    <w:rsid w:val="00A51A12"/>
    <w:rsid w:val="00A627D4"/>
    <w:rsid w:val="00A74DA2"/>
    <w:rsid w:val="00A829DC"/>
    <w:rsid w:val="00A83EEA"/>
    <w:rsid w:val="00A92733"/>
    <w:rsid w:val="00AA76F3"/>
    <w:rsid w:val="00AC6170"/>
    <w:rsid w:val="00AC7DA6"/>
    <w:rsid w:val="00AD499C"/>
    <w:rsid w:val="00AF3D3B"/>
    <w:rsid w:val="00AF5736"/>
    <w:rsid w:val="00B00EA1"/>
    <w:rsid w:val="00B137F7"/>
    <w:rsid w:val="00B21205"/>
    <w:rsid w:val="00B21FA3"/>
    <w:rsid w:val="00B2231C"/>
    <w:rsid w:val="00B23629"/>
    <w:rsid w:val="00B30334"/>
    <w:rsid w:val="00B3147F"/>
    <w:rsid w:val="00B36869"/>
    <w:rsid w:val="00B43B31"/>
    <w:rsid w:val="00B47CFA"/>
    <w:rsid w:val="00B519A4"/>
    <w:rsid w:val="00B57F00"/>
    <w:rsid w:val="00B626CB"/>
    <w:rsid w:val="00B7560C"/>
    <w:rsid w:val="00B77878"/>
    <w:rsid w:val="00B77E40"/>
    <w:rsid w:val="00B82C22"/>
    <w:rsid w:val="00B93DBA"/>
    <w:rsid w:val="00B9440A"/>
    <w:rsid w:val="00B952C1"/>
    <w:rsid w:val="00B968D7"/>
    <w:rsid w:val="00BA3953"/>
    <w:rsid w:val="00BB2D2A"/>
    <w:rsid w:val="00BD58CF"/>
    <w:rsid w:val="00BE5E81"/>
    <w:rsid w:val="00BF1BEB"/>
    <w:rsid w:val="00BF1BF9"/>
    <w:rsid w:val="00BF38AF"/>
    <w:rsid w:val="00C04CC1"/>
    <w:rsid w:val="00C071FC"/>
    <w:rsid w:val="00C13EFC"/>
    <w:rsid w:val="00C16566"/>
    <w:rsid w:val="00C22C02"/>
    <w:rsid w:val="00C27F6F"/>
    <w:rsid w:val="00C30E83"/>
    <w:rsid w:val="00C50874"/>
    <w:rsid w:val="00C50C6D"/>
    <w:rsid w:val="00C600D9"/>
    <w:rsid w:val="00C634D7"/>
    <w:rsid w:val="00C73E09"/>
    <w:rsid w:val="00C81626"/>
    <w:rsid w:val="00C9591F"/>
    <w:rsid w:val="00CC1384"/>
    <w:rsid w:val="00CC771D"/>
    <w:rsid w:val="00CD3720"/>
    <w:rsid w:val="00CE06E0"/>
    <w:rsid w:val="00CE17AE"/>
    <w:rsid w:val="00CE45F7"/>
    <w:rsid w:val="00CE6EAA"/>
    <w:rsid w:val="00CF1848"/>
    <w:rsid w:val="00CF5C2F"/>
    <w:rsid w:val="00D04BCF"/>
    <w:rsid w:val="00D10134"/>
    <w:rsid w:val="00D129AB"/>
    <w:rsid w:val="00D143D9"/>
    <w:rsid w:val="00D4372A"/>
    <w:rsid w:val="00D43FD6"/>
    <w:rsid w:val="00D51F7D"/>
    <w:rsid w:val="00D60BB0"/>
    <w:rsid w:val="00D65708"/>
    <w:rsid w:val="00D66F9C"/>
    <w:rsid w:val="00D8159F"/>
    <w:rsid w:val="00DB5FEB"/>
    <w:rsid w:val="00DD1D04"/>
    <w:rsid w:val="00DD3C9C"/>
    <w:rsid w:val="00DD79D7"/>
    <w:rsid w:val="00DD7E73"/>
    <w:rsid w:val="00DF042C"/>
    <w:rsid w:val="00E20431"/>
    <w:rsid w:val="00E257C8"/>
    <w:rsid w:val="00E40896"/>
    <w:rsid w:val="00E43D2D"/>
    <w:rsid w:val="00E449CB"/>
    <w:rsid w:val="00E63760"/>
    <w:rsid w:val="00E64049"/>
    <w:rsid w:val="00E7475D"/>
    <w:rsid w:val="00E7759E"/>
    <w:rsid w:val="00E77D6C"/>
    <w:rsid w:val="00E81375"/>
    <w:rsid w:val="00E9773B"/>
    <w:rsid w:val="00EA3884"/>
    <w:rsid w:val="00EA5E2D"/>
    <w:rsid w:val="00EC13A3"/>
    <w:rsid w:val="00EC7C85"/>
    <w:rsid w:val="00ED69CA"/>
    <w:rsid w:val="00EE35AB"/>
    <w:rsid w:val="00EF25A3"/>
    <w:rsid w:val="00EF62E1"/>
    <w:rsid w:val="00F074C2"/>
    <w:rsid w:val="00F11596"/>
    <w:rsid w:val="00F125EE"/>
    <w:rsid w:val="00F12E98"/>
    <w:rsid w:val="00F22029"/>
    <w:rsid w:val="00F23E46"/>
    <w:rsid w:val="00F3515C"/>
    <w:rsid w:val="00F40211"/>
    <w:rsid w:val="00F46751"/>
    <w:rsid w:val="00F46966"/>
    <w:rsid w:val="00F47BA3"/>
    <w:rsid w:val="00F56E67"/>
    <w:rsid w:val="00F57299"/>
    <w:rsid w:val="00F630EA"/>
    <w:rsid w:val="00F6474F"/>
    <w:rsid w:val="00F7007E"/>
    <w:rsid w:val="00F71F51"/>
    <w:rsid w:val="00F73193"/>
    <w:rsid w:val="00F74F95"/>
    <w:rsid w:val="00F80705"/>
    <w:rsid w:val="00FA1481"/>
    <w:rsid w:val="00FB1BB6"/>
    <w:rsid w:val="00FB1C42"/>
    <w:rsid w:val="00FB32EC"/>
    <w:rsid w:val="00FB704A"/>
    <w:rsid w:val="00FC748B"/>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CD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uiPriority w:val="99"/>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paragraph" w:customStyle="1" w:styleId="Text">
    <w:name w:val="Text"/>
    <w:basedOn w:val="Normal"/>
    <w:rsid w:val="007A021D"/>
    <w:pPr>
      <w:spacing w:before="120" w:after="200"/>
      <w:ind w:firstLine="720"/>
      <w:contextualSpacing/>
    </w:pPr>
    <w:rPr>
      <w:szCs w:val="24"/>
    </w:rPr>
  </w:style>
  <w:style w:type="paragraph" w:customStyle="1" w:styleId="Normal1">
    <w:name w:val="Normal1"/>
    <w:rsid w:val="007A021D"/>
    <w:pPr>
      <w:spacing w:after="200"/>
    </w:pPr>
    <w:rPr>
      <w:rFonts w:ascii="Cambria" w:eastAsia="Cambria" w:hAnsi="Cambria" w:cs="Cambria"/>
      <w:color w:val="000000"/>
      <w:sz w:val="24"/>
      <w:szCs w:val="24"/>
    </w:rPr>
  </w:style>
  <w:style w:type="character" w:styleId="LineNumber">
    <w:name w:val="line number"/>
    <w:basedOn w:val="DefaultParagraphFont"/>
    <w:semiHidden/>
    <w:unhideWhenUsed/>
    <w:rsid w:val="00D66F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uiPriority w:val="99"/>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paragraph" w:customStyle="1" w:styleId="Text">
    <w:name w:val="Text"/>
    <w:basedOn w:val="Normal"/>
    <w:rsid w:val="007A021D"/>
    <w:pPr>
      <w:spacing w:before="120" w:after="200"/>
      <w:ind w:firstLine="720"/>
      <w:contextualSpacing/>
    </w:pPr>
    <w:rPr>
      <w:szCs w:val="24"/>
    </w:rPr>
  </w:style>
  <w:style w:type="paragraph" w:customStyle="1" w:styleId="Normal1">
    <w:name w:val="Normal1"/>
    <w:rsid w:val="007A021D"/>
    <w:pPr>
      <w:spacing w:after="200"/>
    </w:pPr>
    <w:rPr>
      <w:rFonts w:ascii="Cambria" w:eastAsia="Cambria" w:hAnsi="Cambria" w:cs="Cambria"/>
      <w:color w:val="000000"/>
      <w:sz w:val="24"/>
      <w:szCs w:val="24"/>
    </w:rPr>
  </w:style>
  <w:style w:type="character" w:styleId="LineNumber">
    <w:name w:val="line number"/>
    <w:basedOn w:val="DefaultParagraphFont"/>
    <w:semiHidden/>
    <w:unhideWhenUsed/>
    <w:rsid w:val="00D6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about:blan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3851</Words>
  <Characters>21952</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Joellen Russell</cp:lastModifiedBy>
  <cp:revision>6</cp:revision>
  <cp:lastPrinted>2014-09-30T16:49:00Z</cp:lastPrinted>
  <dcterms:created xsi:type="dcterms:W3CDTF">2017-12-20T17:53:00Z</dcterms:created>
  <dcterms:modified xsi:type="dcterms:W3CDTF">2018-02-26T21:09:00Z</dcterms:modified>
</cp:coreProperties>
</file>