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68EA3C" w14:textId="77777777" w:rsidR="005B3690" w:rsidRDefault="005B3690" w:rsidP="005B3690">
      <w:pPr>
        <w:jc w:val="center"/>
        <w:rPr>
          <w:sz w:val="36"/>
          <w:szCs w:val="36"/>
        </w:rPr>
      </w:pPr>
      <w:bookmarkStart w:id="0" w:name="_GoBack"/>
      <w:bookmarkEnd w:id="0"/>
      <w:r>
        <w:rPr>
          <w:noProof/>
          <w:sz w:val="36"/>
          <w:szCs w:val="36"/>
          <w:lang w:val="fr-FR" w:eastAsia="fr-FR"/>
        </w:rPr>
        <w:drawing>
          <wp:inline distT="0" distB="0" distL="0" distR="0" wp14:anchorId="1E2705A7" wp14:editId="5A10A61E">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3AEEC70E" w14:textId="77777777" w:rsidR="005B3690" w:rsidRPr="00FF2A99" w:rsidRDefault="009D71F8" w:rsidP="005B3690">
      <w:pPr>
        <w:spacing w:before="100" w:beforeAutospacing="1" w:after="100" w:afterAutospacing="1"/>
        <w:jc w:val="center"/>
        <w:rPr>
          <w:rFonts w:ascii="Helvetica Neue" w:hAnsi="Helvetica Neue"/>
          <w:i/>
          <w:szCs w:val="22"/>
        </w:rPr>
      </w:pPr>
      <w:r w:rsidRPr="00FF2A99">
        <w:rPr>
          <w:rFonts w:ascii="Helvetica Neue" w:hAnsi="Helvetica Neue"/>
          <w:i/>
          <w:szCs w:val="22"/>
        </w:rPr>
        <w:t>Journal of Geophysical Research: Oceans</w:t>
      </w:r>
    </w:p>
    <w:p w14:paraId="755733F5" w14:textId="77777777" w:rsidR="005B3690" w:rsidRPr="009D71F8" w:rsidRDefault="005B3690" w:rsidP="005B3690">
      <w:pPr>
        <w:spacing w:before="100" w:beforeAutospacing="1" w:after="100" w:afterAutospacing="1"/>
        <w:jc w:val="center"/>
        <w:rPr>
          <w:rFonts w:ascii="Helvetica Neue" w:hAnsi="Helvetica Neue"/>
          <w:sz w:val="22"/>
          <w:szCs w:val="22"/>
        </w:rPr>
      </w:pPr>
      <w:r w:rsidRPr="009D71F8">
        <w:rPr>
          <w:rFonts w:ascii="Helvetica Neue" w:hAnsi="Helvetica Neue"/>
          <w:sz w:val="22"/>
          <w:szCs w:val="22"/>
        </w:rPr>
        <w:t>Supporting Information for</w:t>
      </w:r>
    </w:p>
    <w:p w14:paraId="2D712FF9" w14:textId="77777777" w:rsidR="00FF2A99" w:rsidRDefault="00FF2A99" w:rsidP="00FF2A99">
      <w:pPr>
        <w:spacing w:line="276" w:lineRule="auto"/>
        <w:jc w:val="center"/>
        <w:rPr>
          <w:rFonts w:ascii="Helvetica Neue" w:eastAsiaTheme="majorEastAsia" w:hAnsi="Helvetica Neue" w:cstheme="majorBidi"/>
          <w:b/>
          <w:bCs/>
          <w:sz w:val="32"/>
          <w:szCs w:val="28"/>
        </w:rPr>
      </w:pPr>
      <w:r w:rsidRPr="00FF2A99">
        <w:rPr>
          <w:rFonts w:ascii="Helvetica Neue" w:eastAsiaTheme="majorEastAsia" w:hAnsi="Helvetica Neue" w:cstheme="majorBidi"/>
          <w:b/>
          <w:bCs/>
          <w:sz w:val="32"/>
          <w:szCs w:val="28"/>
        </w:rPr>
        <w:t>Assessing the variability in the relationship between the particulate backscattering coefficient and the chlorophyll a concentration from a global Biogeochemical-Argo database</w:t>
      </w:r>
    </w:p>
    <w:p w14:paraId="6A4A2192" w14:textId="77777777" w:rsidR="00571C54" w:rsidRPr="00FF2A99" w:rsidRDefault="00571C54" w:rsidP="00FF2A99">
      <w:pPr>
        <w:spacing w:line="276" w:lineRule="auto"/>
        <w:jc w:val="center"/>
        <w:rPr>
          <w:rFonts w:ascii="Helvetica Neue" w:hAnsi="Helvetica Neue"/>
          <w:b/>
          <w:sz w:val="19"/>
          <w:szCs w:val="19"/>
        </w:rPr>
      </w:pPr>
    </w:p>
    <w:p w14:paraId="38F6CE22" w14:textId="77777777" w:rsidR="00FF2A99" w:rsidRDefault="00FF2A99" w:rsidP="00FF2A99">
      <w:pPr>
        <w:rPr>
          <w:rFonts w:ascii="Helvetica Neue" w:hAnsi="Helvetica Neue"/>
          <w:sz w:val="19"/>
          <w:szCs w:val="19"/>
          <w:vertAlign w:val="superscript"/>
        </w:rPr>
      </w:pPr>
      <w:r w:rsidRPr="00FF2A99">
        <w:rPr>
          <w:rFonts w:ascii="Helvetica Neue" w:hAnsi="Helvetica Neue"/>
          <w:sz w:val="19"/>
          <w:szCs w:val="19"/>
        </w:rPr>
        <w:t>Marie Barbieux</w:t>
      </w:r>
      <w:r w:rsidRPr="00FF2A99">
        <w:rPr>
          <w:rFonts w:ascii="Helvetica Neue" w:hAnsi="Helvetica Neue"/>
          <w:sz w:val="20"/>
          <w:szCs w:val="19"/>
          <w:vertAlign w:val="superscript"/>
        </w:rPr>
        <w:t>1</w:t>
      </w:r>
      <w:r w:rsidRPr="00FF2A99">
        <w:rPr>
          <w:rFonts w:ascii="Helvetica Neue" w:hAnsi="Helvetica Neue"/>
          <w:sz w:val="19"/>
          <w:szCs w:val="19"/>
        </w:rPr>
        <w:t>, Julia Uitz</w:t>
      </w:r>
      <w:r w:rsidRPr="00FF2A99">
        <w:rPr>
          <w:rFonts w:ascii="Helvetica Neue" w:hAnsi="Helvetica Neue"/>
          <w:sz w:val="20"/>
          <w:szCs w:val="19"/>
          <w:vertAlign w:val="superscript"/>
        </w:rPr>
        <w:t>1</w:t>
      </w:r>
      <w:r w:rsidRPr="00FF2A99">
        <w:rPr>
          <w:rFonts w:ascii="Helvetica Neue" w:hAnsi="Helvetica Neue"/>
          <w:sz w:val="19"/>
          <w:szCs w:val="19"/>
        </w:rPr>
        <w:t>, Annick Bricaud</w:t>
      </w:r>
      <w:r w:rsidRPr="00FF2A99">
        <w:rPr>
          <w:rFonts w:ascii="Helvetica Neue" w:hAnsi="Helvetica Neue"/>
          <w:sz w:val="20"/>
          <w:szCs w:val="19"/>
          <w:vertAlign w:val="superscript"/>
        </w:rPr>
        <w:t>1</w:t>
      </w:r>
      <w:r w:rsidRPr="00FF2A99">
        <w:rPr>
          <w:rFonts w:ascii="Helvetica Neue" w:hAnsi="Helvetica Neue"/>
          <w:sz w:val="19"/>
          <w:szCs w:val="19"/>
        </w:rPr>
        <w:t>, Emanuele Organelli</w:t>
      </w:r>
      <w:r w:rsidRPr="00FF2A99">
        <w:rPr>
          <w:rFonts w:ascii="Helvetica Neue" w:hAnsi="Helvetica Neue"/>
          <w:sz w:val="20"/>
          <w:szCs w:val="19"/>
          <w:vertAlign w:val="superscript"/>
        </w:rPr>
        <w:t>1,2</w:t>
      </w:r>
      <w:r w:rsidRPr="00FF2A99">
        <w:rPr>
          <w:rFonts w:ascii="Helvetica Neue" w:hAnsi="Helvetica Neue"/>
          <w:sz w:val="19"/>
          <w:szCs w:val="19"/>
        </w:rPr>
        <w:t>, Antoine Poteau</w:t>
      </w:r>
      <w:r w:rsidRPr="00FF2A99">
        <w:rPr>
          <w:rFonts w:ascii="Helvetica Neue" w:hAnsi="Helvetica Neue"/>
          <w:sz w:val="20"/>
          <w:szCs w:val="19"/>
          <w:vertAlign w:val="superscript"/>
        </w:rPr>
        <w:t>1</w:t>
      </w:r>
      <w:r w:rsidRPr="00FF2A99">
        <w:rPr>
          <w:rFonts w:ascii="Helvetica Neue" w:hAnsi="Helvetica Neue"/>
          <w:sz w:val="19"/>
          <w:szCs w:val="19"/>
        </w:rPr>
        <w:t>, Catherine Schmechtig</w:t>
      </w:r>
      <w:r w:rsidRPr="00FF2A99">
        <w:rPr>
          <w:rFonts w:ascii="Helvetica Neue" w:hAnsi="Helvetica Neue"/>
          <w:sz w:val="20"/>
          <w:szCs w:val="19"/>
          <w:vertAlign w:val="superscript"/>
        </w:rPr>
        <w:t>3</w:t>
      </w:r>
      <w:r w:rsidRPr="00FF2A99">
        <w:rPr>
          <w:rFonts w:ascii="Helvetica Neue" w:hAnsi="Helvetica Neue"/>
          <w:sz w:val="19"/>
          <w:szCs w:val="19"/>
        </w:rPr>
        <w:t>, Bernard Gentili</w:t>
      </w:r>
      <w:r w:rsidRPr="00FF2A99">
        <w:rPr>
          <w:rFonts w:ascii="Helvetica Neue" w:hAnsi="Helvetica Neue"/>
          <w:sz w:val="20"/>
          <w:szCs w:val="19"/>
          <w:vertAlign w:val="superscript"/>
        </w:rPr>
        <w:t>1</w:t>
      </w:r>
      <w:r w:rsidRPr="00FF2A99">
        <w:rPr>
          <w:rFonts w:ascii="Helvetica Neue" w:hAnsi="Helvetica Neue"/>
          <w:sz w:val="19"/>
          <w:szCs w:val="19"/>
        </w:rPr>
        <w:t>, Christophe Penkerc’h</w:t>
      </w:r>
      <w:r w:rsidRPr="00FF2A99">
        <w:rPr>
          <w:rFonts w:ascii="Helvetica Neue" w:hAnsi="Helvetica Neue"/>
          <w:sz w:val="20"/>
          <w:szCs w:val="19"/>
          <w:vertAlign w:val="superscript"/>
        </w:rPr>
        <w:t>1</w:t>
      </w:r>
      <w:r w:rsidRPr="00FF2A99">
        <w:rPr>
          <w:rFonts w:ascii="Helvetica Neue" w:hAnsi="Helvetica Neue"/>
          <w:sz w:val="19"/>
          <w:szCs w:val="19"/>
        </w:rPr>
        <w:t>, Edouard Leymarie</w:t>
      </w:r>
      <w:r w:rsidRPr="00FF2A99">
        <w:rPr>
          <w:rFonts w:ascii="Helvetica Neue" w:hAnsi="Helvetica Neue"/>
          <w:sz w:val="20"/>
          <w:szCs w:val="19"/>
          <w:vertAlign w:val="superscript"/>
        </w:rPr>
        <w:t>1</w:t>
      </w:r>
      <w:r w:rsidRPr="00FF2A99">
        <w:rPr>
          <w:rFonts w:ascii="Helvetica Neue" w:hAnsi="Helvetica Neue"/>
          <w:sz w:val="19"/>
          <w:szCs w:val="19"/>
        </w:rPr>
        <w:t>, Fabrizio D’Ortenzio</w:t>
      </w:r>
      <w:r w:rsidRPr="00FF2A99">
        <w:rPr>
          <w:rFonts w:ascii="Helvetica Neue" w:hAnsi="Helvetica Neue"/>
          <w:sz w:val="20"/>
          <w:szCs w:val="19"/>
          <w:vertAlign w:val="superscript"/>
        </w:rPr>
        <w:t>1</w:t>
      </w:r>
      <w:r w:rsidRPr="00FF2A99">
        <w:rPr>
          <w:rFonts w:ascii="Helvetica Neue" w:hAnsi="Helvetica Neue"/>
          <w:sz w:val="19"/>
          <w:szCs w:val="19"/>
        </w:rPr>
        <w:t xml:space="preserve"> &amp; Hervé Claustre</w:t>
      </w:r>
      <w:r w:rsidRPr="00FF2A99">
        <w:rPr>
          <w:rFonts w:ascii="Helvetica Neue" w:hAnsi="Helvetica Neue"/>
          <w:sz w:val="20"/>
          <w:szCs w:val="19"/>
          <w:vertAlign w:val="superscript"/>
        </w:rPr>
        <w:t>1</w:t>
      </w:r>
    </w:p>
    <w:p w14:paraId="6F4EBDFF" w14:textId="77777777" w:rsidR="00FF2A99" w:rsidRPr="00FF2A99" w:rsidRDefault="00FF2A99" w:rsidP="00FF2A99">
      <w:pPr>
        <w:rPr>
          <w:rFonts w:ascii="Helvetica Neue" w:hAnsi="Helvetica Neue"/>
        </w:rPr>
      </w:pPr>
    </w:p>
    <w:p w14:paraId="3ADBE310" w14:textId="77777777" w:rsidR="00FF2A99" w:rsidRPr="00FF2A99" w:rsidRDefault="00FF2A99" w:rsidP="00FF2A99">
      <w:pPr>
        <w:rPr>
          <w:rFonts w:ascii="Helvetica Neue" w:hAnsi="Helvetica Neue"/>
          <w:sz w:val="18"/>
          <w:szCs w:val="19"/>
          <w:lang w:val="fr-FR"/>
        </w:rPr>
      </w:pPr>
      <w:r w:rsidRPr="00FF2A99">
        <w:rPr>
          <w:rFonts w:ascii="Helvetica Neue" w:hAnsi="Helvetica Neue"/>
          <w:sz w:val="18"/>
          <w:szCs w:val="19"/>
          <w:lang w:val="fr-FR"/>
        </w:rPr>
        <w:t>1-Sorbonne Universités, UPMC Univ Paris 06, CNRS, Observatoire Océanologique de Villefranche (OOV), Laboratoire d’Océanographie de Villefranche (LOV), 181 Chemin du Lazaret, 06 230 Villefranche-sur-Mer, France.</w:t>
      </w:r>
    </w:p>
    <w:p w14:paraId="20A2A75E" w14:textId="77777777" w:rsidR="00FF2A99" w:rsidRDefault="00FF2A99" w:rsidP="00FF2A99">
      <w:pPr>
        <w:rPr>
          <w:rFonts w:ascii="Helvetica Neue" w:hAnsi="Helvetica Neue"/>
          <w:sz w:val="18"/>
          <w:szCs w:val="19"/>
          <w:lang w:val="en-GB"/>
        </w:rPr>
      </w:pPr>
      <w:r w:rsidRPr="00FF2A99">
        <w:rPr>
          <w:rFonts w:ascii="Helvetica Neue" w:hAnsi="Helvetica Neue"/>
          <w:sz w:val="18"/>
          <w:szCs w:val="19"/>
          <w:lang w:val="en-GB"/>
        </w:rPr>
        <w:t>2- Plymouth Marine Laboratory, Prospect Place, The Hoe, PL1 3DH Plymouth, United Kingdom.</w:t>
      </w:r>
    </w:p>
    <w:p w14:paraId="1AFB90BA" w14:textId="77777777" w:rsidR="00FF2A99" w:rsidRPr="00FF2A99" w:rsidRDefault="00FF2A99" w:rsidP="00FF2A99">
      <w:pPr>
        <w:rPr>
          <w:rFonts w:ascii="Helvetica Neue" w:hAnsi="Helvetica Neue"/>
          <w:sz w:val="18"/>
          <w:szCs w:val="19"/>
          <w:lang w:val="en-GB"/>
        </w:rPr>
      </w:pPr>
      <w:r w:rsidRPr="00FF2A99">
        <w:rPr>
          <w:rFonts w:ascii="Helvetica Neue" w:eastAsiaTheme="minorEastAsia" w:hAnsi="Helvetica Neue"/>
          <w:sz w:val="18"/>
          <w:szCs w:val="19"/>
        </w:rPr>
        <w:t>3- OSU Ecce Terra, UMS 3455, CNRS and Université Pierre et Marie Curie, Paris 6, 4 place Jussieu 75252 Paris cedex 05, France </w:t>
      </w:r>
    </w:p>
    <w:p w14:paraId="3FEBDF4D" w14:textId="77777777" w:rsidR="005B3690" w:rsidRPr="00571C54" w:rsidRDefault="00FF2A99" w:rsidP="00571C54">
      <w:pPr>
        <w:pStyle w:val="ecxmsonormal"/>
        <w:shd w:val="clear" w:color="auto" w:fill="FFFFFF"/>
        <w:spacing w:before="0" w:beforeAutospacing="0" w:after="324" w:afterAutospacing="0" w:line="319" w:lineRule="atLeast"/>
        <w:jc w:val="both"/>
        <w:rPr>
          <w:rFonts w:ascii="Helvetica Neue" w:eastAsiaTheme="minorEastAsia" w:hAnsi="Helvetica Neue"/>
          <w:sz w:val="22"/>
          <w:szCs w:val="19"/>
          <w:lang w:val="en-US"/>
        </w:rPr>
      </w:pPr>
      <w:r w:rsidRPr="00FF2A99">
        <w:rPr>
          <w:rFonts w:ascii="Helvetica Neue" w:eastAsiaTheme="minorEastAsia" w:hAnsi="Helvetica Neue"/>
          <w:sz w:val="22"/>
          <w:szCs w:val="19"/>
          <w:lang w:val="en-US"/>
        </w:rPr>
        <w:t>Corresponding author: Marie Barbieux (barbieux@obs-vlfr.fr)</w:t>
      </w:r>
      <w:r w:rsidR="005B3690" w:rsidRPr="00CE6EAA" w:rsidDel="00A50033">
        <w:rPr>
          <w:rFonts w:ascii="Myriad Pro" w:hAnsi="Myriad Pro"/>
          <w:sz w:val="22"/>
          <w:szCs w:val="22"/>
        </w:rPr>
        <w:t xml:space="preserve"> </w:t>
      </w:r>
    </w:p>
    <w:p w14:paraId="56E25B7F" w14:textId="77777777" w:rsidR="005B3690" w:rsidRPr="00DA6BAC" w:rsidRDefault="005B3690" w:rsidP="005B3690">
      <w:pPr>
        <w:spacing w:before="100" w:beforeAutospacing="1" w:after="100" w:afterAutospacing="1"/>
        <w:jc w:val="center"/>
        <w:rPr>
          <w:rFonts w:ascii="Helvetica Neue" w:hAnsi="Helvetica Neue"/>
          <w:sz w:val="22"/>
          <w:szCs w:val="22"/>
        </w:rPr>
      </w:pPr>
    </w:p>
    <w:p w14:paraId="44DCFEC3" w14:textId="77777777" w:rsidR="005B3690" w:rsidRPr="00DA6BAC" w:rsidRDefault="005B3690" w:rsidP="005B3690">
      <w:pPr>
        <w:rPr>
          <w:rFonts w:ascii="Helvetica Neue" w:hAnsi="Helvetica Neue"/>
        </w:rPr>
      </w:pPr>
      <w:r w:rsidRPr="00DA6BAC">
        <w:rPr>
          <w:rFonts w:ascii="Helvetica Neue" w:hAnsi="Helvetica Neue"/>
        </w:rPr>
        <w:t xml:space="preserve">Contents of this file </w:t>
      </w:r>
    </w:p>
    <w:p w14:paraId="6D2660B2" w14:textId="77777777" w:rsidR="005B3690" w:rsidRPr="00DA6BAC" w:rsidRDefault="005B3690" w:rsidP="005B3690">
      <w:pPr>
        <w:rPr>
          <w:rFonts w:ascii="Helvetica Neue" w:hAnsi="Helvetica Neue"/>
        </w:rPr>
      </w:pPr>
    </w:p>
    <w:p w14:paraId="74586F0B" w14:textId="77777777" w:rsidR="005B3690" w:rsidRPr="00DA6BAC" w:rsidRDefault="00DE063F" w:rsidP="005B3690">
      <w:pPr>
        <w:ind w:left="720"/>
        <w:rPr>
          <w:rFonts w:ascii="Helvetica Neue" w:hAnsi="Helvetica Neue"/>
          <w:sz w:val="22"/>
          <w:szCs w:val="22"/>
        </w:rPr>
      </w:pPr>
      <w:r>
        <w:rPr>
          <w:rFonts w:ascii="Helvetica Neue" w:hAnsi="Helvetica Neue"/>
          <w:sz w:val="22"/>
          <w:szCs w:val="22"/>
        </w:rPr>
        <w:t>Text SA</w:t>
      </w:r>
    </w:p>
    <w:p w14:paraId="7FA8E5DD" w14:textId="77777777" w:rsidR="005B3690" w:rsidRPr="00DA6BAC" w:rsidRDefault="005B3690" w:rsidP="005B3690">
      <w:pPr>
        <w:ind w:left="720"/>
        <w:rPr>
          <w:rFonts w:ascii="Helvetica Neue" w:hAnsi="Helvetica Neue"/>
          <w:sz w:val="22"/>
          <w:szCs w:val="22"/>
        </w:rPr>
      </w:pPr>
      <w:r w:rsidRPr="00DA6BAC">
        <w:rPr>
          <w:rFonts w:ascii="Helvetica Neue" w:hAnsi="Helvetica Neue"/>
          <w:sz w:val="22"/>
          <w:szCs w:val="22"/>
        </w:rPr>
        <w:t>Figures S</w:t>
      </w:r>
      <w:r w:rsidR="00DE063F">
        <w:rPr>
          <w:rFonts w:ascii="Helvetica Neue" w:hAnsi="Helvetica Neue"/>
          <w:sz w:val="22"/>
          <w:szCs w:val="22"/>
        </w:rPr>
        <w:t>A1 to SA3 and SB1</w:t>
      </w:r>
    </w:p>
    <w:p w14:paraId="0D874CA5" w14:textId="77777777" w:rsidR="005B3690" w:rsidRPr="00DA6BAC" w:rsidRDefault="00DE063F" w:rsidP="005B3690">
      <w:pPr>
        <w:ind w:left="720"/>
        <w:rPr>
          <w:rFonts w:ascii="Helvetica Neue" w:hAnsi="Helvetica Neue"/>
          <w:sz w:val="22"/>
          <w:szCs w:val="22"/>
        </w:rPr>
      </w:pPr>
      <w:r>
        <w:rPr>
          <w:rFonts w:ascii="Helvetica Neue" w:hAnsi="Helvetica Neue"/>
          <w:sz w:val="22"/>
          <w:szCs w:val="22"/>
        </w:rPr>
        <w:t>Tables S</w:t>
      </w:r>
      <w:r w:rsidR="00707E91">
        <w:rPr>
          <w:rFonts w:ascii="Helvetica Neue" w:hAnsi="Helvetica Neue"/>
          <w:sz w:val="22"/>
          <w:szCs w:val="22"/>
        </w:rPr>
        <w:t>A</w:t>
      </w:r>
      <w:r>
        <w:rPr>
          <w:rFonts w:ascii="Helvetica Neue" w:hAnsi="Helvetica Neue"/>
          <w:sz w:val="22"/>
          <w:szCs w:val="22"/>
        </w:rPr>
        <w:t>1</w:t>
      </w:r>
    </w:p>
    <w:p w14:paraId="1A940513" w14:textId="77777777" w:rsidR="00707E91" w:rsidRPr="00DA6BAC" w:rsidRDefault="00707E91" w:rsidP="005B3690">
      <w:pPr>
        <w:spacing w:before="100" w:beforeAutospacing="1" w:after="100" w:afterAutospacing="1"/>
        <w:rPr>
          <w:rFonts w:ascii="Helvetica Neue" w:hAnsi="Helvetica Neue"/>
          <w:bCs/>
          <w:szCs w:val="24"/>
        </w:rPr>
      </w:pPr>
    </w:p>
    <w:p w14:paraId="3B93670B" w14:textId="77777777" w:rsidR="005B3690" w:rsidRPr="00DA6BAC" w:rsidRDefault="005B3690" w:rsidP="005B3690">
      <w:pPr>
        <w:spacing w:before="100" w:beforeAutospacing="1" w:after="100" w:afterAutospacing="1"/>
        <w:rPr>
          <w:rFonts w:ascii="Helvetica Neue" w:hAnsi="Helvetica Neue"/>
          <w:szCs w:val="24"/>
        </w:rPr>
      </w:pPr>
      <w:r w:rsidRPr="00DA6BAC">
        <w:rPr>
          <w:rFonts w:ascii="Helvetica Neue" w:hAnsi="Helvetica Neue"/>
          <w:bCs/>
          <w:szCs w:val="24"/>
        </w:rPr>
        <w:t>Introduction</w:t>
      </w:r>
      <w:r w:rsidRPr="00DA6BAC">
        <w:rPr>
          <w:rFonts w:ascii="Helvetica Neue" w:hAnsi="Helvetica Neue"/>
          <w:szCs w:val="24"/>
        </w:rPr>
        <w:t xml:space="preserve"> </w:t>
      </w:r>
    </w:p>
    <w:p w14:paraId="20E4F33B" w14:textId="77777777" w:rsidR="00DE063F" w:rsidRPr="00571C54" w:rsidRDefault="00DE063F" w:rsidP="00571C54">
      <w:pPr>
        <w:jc w:val="both"/>
        <w:rPr>
          <w:rFonts w:ascii="Helvetica Neue" w:hAnsi="Helvetica Neue"/>
          <w:sz w:val="22"/>
          <w:szCs w:val="22"/>
          <w:lang w:val="en-GB" w:eastAsia="fr-FR"/>
        </w:rPr>
      </w:pPr>
      <w:r w:rsidRPr="00571C54">
        <w:rPr>
          <w:rFonts w:ascii="Helvetica Neue" w:hAnsi="Helvetica Neue"/>
          <w:sz w:val="20"/>
          <w:lang w:val="en-GB" w:eastAsia="fr-FR"/>
        </w:rPr>
        <w:t xml:space="preserve">This supporting information </w:t>
      </w:r>
      <w:r w:rsidR="00571C54">
        <w:rPr>
          <w:rFonts w:ascii="Helvetica Neue" w:hAnsi="Helvetica Neue"/>
          <w:sz w:val="20"/>
          <w:lang w:val="en-GB" w:eastAsia="fr-FR"/>
        </w:rPr>
        <w:t xml:space="preserve">is divided in two sections. The first section SA </w:t>
      </w:r>
      <w:r w:rsidRPr="00571C54">
        <w:rPr>
          <w:rFonts w:ascii="Helvetica Neue" w:hAnsi="Helvetica Neue"/>
          <w:sz w:val="20"/>
          <w:lang w:val="en-GB" w:eastAsia="fr-FR"/>
        </w:rPr>
        <w:t xml:space="preserve">provides a complementary </w:t>
      </w:r>
      <w:r w:rsidR="00571C54" w:rsidRPr="00571C54">
        <w:rPr>
          <w:rFonts w:ascii="Helvetica Neue" w:hAnsi="Helvetica Neue"/>
          <w:sz w:val="22"/>
          <w:szCs w:val="27"/>
          <w:lang w:val="en-GB"/>
        </w:rPr>
        <w:t xml:space="preserve">discussion on the uncertainties in the calibration of the chlorophyll </w:t>
      </w:r>
      <w:r w:rsidR="00571C54" w:rsidRPr="00571C54">
        <w:rPr>
          <w:rFonts w:ascii="Helvetica Neue" w:hAnsi="Helvetica Neue"/>
          <w:i/>
          <w:sz w:val="22"/>
          <w:szCs w:val="27"/>
          <w:lang w:val="en-GB"/>
        </w:rPr>
        <w:t>a</w:t>
      </w:r>
      <w:r w:rsidR="00571C54" w:rsidRPr="00571C54">
        <w:rPr>
          <w:rFonts w:ascii="Helvetica Neue" w:hAnsi="Helvetica Neue"/>
          <w:sz w:val="22"/>
          <w:szCs w:val="27"/>
          <w:lang w:val="en-GB"/>
        </w:rPr>
        <w:t xml:space="preserve"> fluorescence measurements and their impact on our results.</w:t>
      </w:r>
      <w:r w:rsidR="00571C54">
        <w:rPr>
          <w:rFonts w:ascii="Helvetica Neue" w:hAnsi="Helvetica Neue"/>
          <w:sz w:val="22"/>
          <w:szCs w:val="27"/>
          <w:lang w:val="en-GB"/>
        </w:rPr>
        <w:t xml:space="preserve"> The second section SB features the regional scatterplots </w:t>
      </w:r>
      <w:r w:rsidR="00571C54" w:rsidRPr="00571C54">
        <w:rPr>
          <w:rFonts w:ascii="Helvetica Neue" w:hAnsi="Helvetica Neue"/>
          <w:sz w:val="22"/>
          <w:szCs w:val="22"/>
          <w:lang w:val="en-GB"/>
        </w:rPr>
        <w:t xml:space="preserve">of the </w:t>
      </w:r>
      <w:r w:rsidR="00571C54" w:rsidRPr="00571C54">
        <w:rPr>
          <w:rFonts w:ascii="Helvetica Neue" w:hAnsi="Helvetica Neue"/>
          <w:sz w:val="22"/>
          <w:szCs w:val="22"/>
        </w:rPr>
        <w:t>b</w:t>
      </w:r>
      <w:r w:rsidR="00571C54" w:rsidRPr="00571C54">
        <w:rPr>
          <w:rFonts w:ascii="Helvetica Neue" w:hAnsi="Helvetica Neue"/>
          <w:sz w:val="22"/>
          <w:szCs w:val="22"/>
          <w:vertAlign w:val="subscript"/>
        </w:rPr>
        <w:t>bp</w:t>
      </w:r>
      <w:r w:rsidR="00571C54" w:rsidRPr="00571C54">
        <w:rPr>
          <w:rFonts w:ascii="Helvetica Neue" w:hAnsi="Helvetica Neue"/>
          <w:sz w:val="22"/>
          <w:szCs w:val="22"/>
        </w:rPr>
        <w:t>-to-Chl</w:t>
      </w:r>
      <w:r w:rsidR="00571C54" w:rsidRPr="00571C54">
        <w:rPr>
          <w:rFonts w:ascii="Helvetica Neue" w:hAnsi="Helvetica Neue"/>
          <w:i/>
          <w:sz w:val="22"/>
          <w:szCs w:val="22"/>
        </w:rPr>
        <w:t>a</w:t>
      </w:r>
      <w:r w:rsidR="00571C54" w:rsidRPr="00571C54">
        <w:rPr>
          <w:rFonts w:ascii="Helvetica Neue" w:hAnsi="Helvetica Neue"/>
          <w:sz w:val="22"/>
          <w:szCs w:val="22"/>
        </w:rPr>
        <w:t xml:space="preserve"> relationship at the level of the DCM.</w:t>
      </w:r>
    </w:p>
    <w:p w14:paraId="0A53D6EF" w14:textId="77777777" w:rsidR="005B3690" w:rsidRPr="00DA6BAC" w:rsidRDefault="005B3690" w:rsidP="005B3690">
      <w:pPr>
        <w:rPr>
          <w:rFonts w:ascii="Helvetica Neue" w:hAnsi="Helvetica Neue"/>
        </w:rPr>
      </w:pPr>
    </w:p>
    <w:p w14:paraId="4D6940A7" w14:textId="77777777" w:rsidR="005B3690" w:rsidRPr="00DA6BAC" w:rsidRDefault="005B3690" w:rsidP="005B3690">
      <w:pPr>
        <w:rPr>
          <w:rFonts w:ascii="Helvetica Neue" w:hAnsi="Helvetica Neue"/>
        </w:rPr>
      </w:pPr>
    </w:p>
    <w:p w14:paraId="59E2187D" w14:textId="77777777" w:rsidR="005B3690" w:rsidRPr="00DA6BAC" w:rsidRDefault="005B3690" w:rsidP="005B3690">
      <w:pPr>
        <w:pStyle w:val="SMcaption"/>
        <w:rPr>
          <w:rFonts w:ascii="Helvetica Neue" w:hAnsi="Helvetica Neue"/>
        </w:rPr>
      </w:pPr>
    </w:p>
    <w:p w14:paraId="51D25ABC" w14:textId="77777777" w:rsidR="00DE063F" w:rsidRDefault="00DE063F" w:rsidP="00DE063F">
      <w:pPr>
        <w:pStyle w:val="Heading1"/>
      </w:pPr>
      <w:r>
        <w:lastRenderedPageBreak/>
        <w:t>SUPPORTING INFORMATION</w:t>
      </w:r>
      <w:r w:rsidRPr="005F3D8D">
        <w:t xml:space="preserve"> A</w:t>
      </w:r>
    </w:p>
    <w:p w14:paraId="0DEFCAA6" w14:textId="77777777" w:rsidR="00DE063F" w:rsidRPr="00DE063F" w:rsidRDefault="00DE063F" w:rsidP="00DE063F"/>
    <w:p w14:paraId="433DE871" w14:textId="77777777" w:rsidR="00DE063F" w:rsidRDefault="00DE063F" w:rsidP="00ED5F70">
      <w:pPr>
        <w:widowControl w:val="0"/>
        <w:autoSpaceDE w:val="0"/>
        <w:autoSpaceDN w:val="0"/>
        <w:adjustRightInd w:val="0"/>
        <w:ind w:firstLine="708"/>
        <w:jc w:val="both"/>
        <w:rPr>
          <w:lang w:val="en-GB"/>
        </w:rPr>
      </w:pPr>
      <w:r w:rsidRPr="004D3762">
        <w:rPr>
          <w:lang w:val="en-GB"/>
        </w:rPr>
        <w:t xml:space="preserve">The BGC-Argo database used in this paper relies on </w:t>
      </w:r>
      <w:r w:rsidRPr="00AA2918">
        <w:rPr>
          <w:i/>
          <w:lang w:val="en-GB"/>
        </w:rPr>
        <w:t>in vivo</w:t>
      </w:r>
      <w:r>
        <w:rPr>
          <w:lang w:val="en-GB"/>
        </w:rPr>
        <w:t xml:space="preserve"> chlorophyll </w:t>
      </w:r>
      <w:r w:rsidRPr="004D3762">
        <w:rPr>
          <w:lang w:val="en-GB"/>
        </w:rPr>
        <w:t xml:space="preserve">fluorescence measurements as a proxy </w:t>
      </w:r>
      <w:r>
        <w:rPr>
          <w:lang w:val="en-GB"/>
        </w:rPr>
        <w:t>for the</w:t>
      </w:r>
      <w:r w:rsidRPr="004D3762">
        <w:rPr>
          <w:lang w:val="en-GB"/>
        </w:rPr>
        <w:t xml:space="preserve"> </w:t>
      </w:r>
      <w:r>
        <w:rPr>
          <w:lang w:val="en-GB"/>
        </w:rPr>
        <w:t>c</w:t>
      </w:r>
      <w:r w:rsidRPr="004D3762">
        <w:rPr>
          <w:lang w:val="en-GB"/>
        </w:rPr>
        <w:t>hl</w:t>
      </w:r>
      <w:r>
        <w:rPr>
          <w:lang w:val="en-GB"/>
        </w:rPr>
        <w:t xml:space="preserve">orophyll </w:t>
      </w:r>
      <w:r w:rsidRPr="004D3762">
        <w:rPr>
          <w:i/>
          <w:lang w:val="en-GB"/>
        </w:rPr>
        <w:t>a</w:t>
      </w:r>
      <w:r w:rsidRPr="004D3762">
        <w:rPr>
          <w:lang w:val="en-GB"/>
        </w:rPr>
        <w:t xml:space="preserve"> concentration</w:t>
      </w:r>
      <w:r>
        <w:rPr>
          <w:lang w:val="en-GB"/>
        </w:rPr>
        <w:t xml:space="preserve"> (Chl</w:t>
      </w:r>
      <w:r w:rsidRPr="00AA2918">
        <w:rPr>
          <w:i/>
          <w:lang w:val="en-GB"/>
        </w:rPr>
        <w:t>a</w:t>
      </w:r>
      <w:r>
        <w:rPr>
          <w:lang w:val="en-GB"/>
        </w:rPr>
        <w:t>)</w:t>
      </w:r>
      <w:r w:rsidRPr="004D3762">
        <w:rPr>
          <w:lang w:val="en-GB"/>
        </w:rPr>
        <w:t xml:space="preserve">. </w:t>
      </w:r>
      <w:r>
        <w:rPr>
          <w:lang w:val="en-GB"/>
        </w:rPr>
        <w:t>The calibration of the chlorophyll fluorescence signal into Chl</w:t>
      </w:r>
      <w:r>
        <w:rPr>
          <w:i/>
          <w:lang w:val="en-GB"/>
        </w:rPr>
        <w:t>a</w:t>
      </w:r>
      <w:r>
        <w:rPr>
          <w:lang w:val="en-GB"/>
        </w:rPr>
        <w:t xml:space="preserve"> is challenging because </w:t>
      </w:r>
      <w:r w:rsidRPr="004D3762">
        <w:rPr>
          <w:lang w:val="en-GB"/>
        </w:rPr>
        <w:t>the fluorescence</w:t>
      </w:r>
      <w:r>
        <w:rPr>
          <w:lang w:val="en-GB"/>
        </w:rPr>
        <w:t>-</w:t>
      </w:r>
      <w:r w:rsidRPr="004D3762">
        <w:rPr>
          <w:lang w:val="en-GB"/>
        </w:rPr>
        <w:t xml:space="preserve">to-chlorophyll ratio </w:t>
      </w:r>
      <w:r>
        <w:rPr>
          <w:lang w:val="en-GB"/>
        </w:rPr>
        <w:t xml:space="preserve">shows large variability </w:t>
      </w:r>
      <w:r w:rsidRPr="002A1F42">
        <w:rPr>
          <w:lang w:val="en-GB"/>
        </w:rPr>
        <w:fldChar w:fldCharType="begin" w:fldLock="1"/>
      </w:r>
      <w:r>
        <w:rPr>
          <w:lang w:val="en-GB"/>
        </w:rPr>
        <w:instrText>ADDIN CSL_CITATION { "citationItems" : [ { "id" : "ITEM-1", "itemData" : { "author" : [ { "dropping-particle" : "", "family" : "Falkowski", "given" : "Paul", "non-dropping-particle" : "", "parse-names" : false, "suffix" : "" }, { "dropping-particle" : "", "family" : "Kiefer", "given" : "Dale A", "non-dropping-particle" : "", "parse-names" : false, "suffix" : "" } ], "container-title" : "Journal of Plankton Research", "id" : "ITEM-1", "issue" : "5", "issued" : { "date-parts" : [ [ "1985" ] ] }, "page" : "715-731", "title" : "Chlorophyll a fluorescence in phytoplankton: relationship to photosynthesis and biomass", "type" : "article-journal", "volume" : "7" }, "uris" : [ "http://www.mendeley.com/documents/?uuid=ea90c2f2-cb19-407c-a77e-663fe7ff6a63" ] } ], "mendeley" : { "formattedCitation" : "[&lt;i&gt;Falkowski and Kiefer&lt;/i&gt;, 1985]", "manualFormatting" : "(Falkowski and Kiefer, 1985)", "plainTextFormattedCitation" : "[Falkowski and Kiefer, 1985]", "previouslyFormattedCitation" : "[&lt;i&gt;Falkowski and Kiefer&lt;/i&gt;, 1985]" }, "properties" : {  }, "schema" : "https://github.com/citation-style-language/schema/raw/master/csl-citation.json" }</w:instrText>
      </w:r>
      <w:r w:rsidRPr="002A1F42">
        <w:rPr>
          <w:lang w:val="en-GB"/>
        </w:rPr>
        <w:fldChar w:fldCharType="separate"/>
      </w:r>
      <w:r>
        <w:rPr>
          <w:noProof/>
          <w:lang w:val="en-GB"/>
        </w:rPr>
        <w:t>(</w:t>
      </w:r>
      <w:r w:rsidRPr="002A1F42">
        <w:rPr>
          <w:i/>
          <w:noProof/>
          <w:lang w:val="en-GB"/>
        </w:rPr>
        <w:t>Falkowski and Kiefer</w:t>
      </w:r>
      <w:r w:rsidRPr="002A1F42">
        <w:rPr>
          <w:noProof/>
          <w:lang w:val="en-GB"/>
        </w:rPr>
        <w:t>, 1985</w:t>
      </w:r>
      <w:r>
        <w:rPr>
          <w:noProof/>
          <w:lang w:val="en-GB"/>
        </w:rPr>
        <w:t>)</w:t>
      </w:r>
      <w:r w:rsidRPr="002A1F42">
        <w:rPr>
          <w:lang w:val="en-GB"/>
        </w:rPr>
        <w:fldChar w:fldCharType="end"/>
      </w:r>
      <w:r>
        <w:rPr>
          <w:lang w:val="en-GB"/>
        </w:rPr>
        <w:t xml:space="preserve"> </w:t>
      </w:r>
      <w:r w:rsidRPr="004D3762">
        <w:rPr>
          <w:lang w:val="en-GB"/>
        </w:rPr>
        <w:t>depend</w:t>
      </w:r>
      <w:r>
        <w:rPr>
          <w:lang w:val="en-GB"/>
        </w:rPr>
        <w:t>ing</w:t>
      </w:r>
      <w:r w:rsidRPr="004D3762">
        <w:rPr>
          <w:lang w:val="en-GB"/>
        </w:rPr>
        <w:t xml:space="preserve"> on </w:t>
      </w:r>
      <w:r>
        <w:rPr>
          <w:lang w:val="en-GB"/>
        </w:rPr>
        <w:t>several factors, including sensor characteristics as well as</w:t>
      </w:r>
      <w:r w:rsidRPr="004D3762">
        <w:rPr>
          <w:lang w:val="en-GB"/>
        </w:rPr>
        <w:t xml:space="preserve"> </w:t>
      </w:r>
      <w:r>
        <w:rPr>
          <w:lang w:val="en-GB"/>
        </w:rPr>
        <w:t xml:space="preserve">environmental conditions and biology (e.g. phytoplankton </w:t>
      </w:r>
      <w:r w:rsidRPr="004D3762">
        <w:rPr>
          <w:lang w:val="en-GB"/>
        </w:rPr>
        <w:t>photophysiology</w:t>
      </w:r>
      <w:r>
        <w:rPr>
          <w:lang w:val="en-GB"/>
        </w:rPr>
        <w:t xml:space="preserve">, </w:t>
      </w:r>
      <w:r w:rsidRPr="004D3762">
        <w:rPr>
          <w:lang w:val="en-GB"/>
        </w:rPr>
        <w:t>taxonomic composition</w:t>
      </w:r>
      <w:r>
        <w:rPr>
          <w:lang w:val="en-GB"/>
        </w:rPr>
        <w:t>)</w:t>
      </w:r>
      <w:r w:rsidRPr="004D3762">
        <w:rPr>
          <w:lang w:val="en-GB"/>
        </w:rPr>
        <w:t xml:space="preserve"> </w:t>
      </w:r>
      <w:r w:rsidRPr="004D3762">
        <w:rPr>
          <w:lang w:val="en-GB"/>
        </w:rPr>
        <w:fldChar w:fldCharType="begin" w:fldLock="1"/>
      </w:r>
      <w:r>
        <w:rPr>
          <w:lang w:val="en-GB"/>
        </w:rPr>
        <w:instrText>ADDIN CSL_CITATION { "citationItems" : [ { "id" : "ITEM-1", "itemData" : { "author" : [ { "dropping-particle" : "", "family" : "Cleveland", "given" : "J S", "non-dropping-particle" : "", "parse-names" : false, "suffix" : "" }, { "dropping-particle" : "", "family" : "Perry", "given" : "M J", "non-dropping-particle" : "", "parse-names" : false, "suffix" : "" }, { "dropping-particle" : "", "family" : "Kiefer", "given" : "D A", "non-dropping-particle" : "", "parse-names" : false, "suffix" : "" }, { "dropping-particle" : "", "family" : "Talbot", "given" : "M C", "non-dropping-particle" : "", "parse-names" : false, "suffix" : "" } ], "container-title" : "Journal of Marine Research", "id" : "ITEM-1", "issued" : { "date-parts" : [ [ "1989" ] ] }, "page" : "869-886.", "title" : "Maximal quantum yield of photosynthesis in the northwest Sargasso Sea.", "type" : "article-journal", "volume" : "47" }, "uris" : [ "http://www.mendeley.com/documents/?uuid=66252eb3-a9ef-4d53-a3e9-852bc46c59df" ] }, { "id" : "ITEM-2", "itemData" : { "DOI" : "10.3354/meps148187", "ISBN" : "0171-8630", "ISSN" : "01718630", "PMID" : "241", "abstract" : "Acclimation of the photosynthetic apparatus to changes of irradiance, temperature and nutrient availability, involving regulation of the chlorophyll a:carbon ratio (theta), is a universal feature of all phytoplankton studied to date. We derive a dynamic regulatory model that predicts the dependencies of theta and growth rate (mu) on irradiance, daylength, temperature and nutrient availability. The model requires specification of 4 parameters to describe the Light-dependencies of theta and mu under nutrient-saturating conditions at constant temperature. These are the maximum value of theta (theta(m)), the initial slope of the chl a-specific photosynthesis-light response curve (alpha(chl)), the maximum carbon-specific photosynthesis rate (P-m(C)) and the cost of biosynthesis (zeta). The influences of temperature and nutrient availability are accommodated through their effects on P-m(C). The temperature dependence is described by the slope of an Arrhenius plot and the nutrient dependence is described through the half saturation constant (K-N) of the Monod equation. Fidelity of the model results to empirical studies suggests that microalgal cells adjust theta in response to an imbalance between the rate of Light absorption and the energy demands for photosynthesis and biosynthesis.", "author" : [ { "dropping-particle" : "", "family" : "Geider", "given" : "R. J.", "non-dropping-particle" : "", "parse-names" : false, "suffix" : "" }, { "dropping-particle" : "", "family" : "MacIntyre", "given" : "H. L.", "non-dropping-particle" : "", "parse-names" : false, "suffix" : "" }, { "dropping-particle" : "", "family" : "Kana", "given" : "T. M.", "non-dropping-particle" : "", "parse-names" : false, "suffix" : "" } ], "container-title" : "Marine Ecology Progress Series", "id" : "ITEM-2", "issue" : "1-3", "issued" : { "date-parts" : [ [ "1997" ] ] }, "page" : "187-200", "title" : "Dynamic model of phytoplankton growth and acclimation: Responses of the balanced growth rate and the chlorophyll a:carbon ratio to light, nutrient-limitation and temperature", "type" : "article-journal", "volume" : "148" }, "uris" : [ "http://www.mendeley.com/documents/?uuid=3c643cbb-a3d3-4609-bc0c-423e6eff2435" ] }, { "id" : "ITEM-3", "itemData" : { "DOI" : "10.3354/ame01345", "ISBN" : "0948-3055", "ISSN" : "09483055", "PMID" : "2451", "abstract" : "In nature and in the laboratory, phytoplankton cells are exposed to fast and extreme fluctuations in light intensity. These include diel and seasonal changes in irradiance, and changes stemming from vertical mixing over the light field. In algal mass cultures and photobioreactors, sim- ilar changes take place as cultures grow denser and as cells are mixed rapidly in the system. To sur- vive supraoptimal, free-radical-generating irradiance levels as well as prolonged exposure to dim light, phytoplankton species are capable of photoacclimation. Under low light, light-harvesting pig- ments such as phycobilins, chlorophylls, fucoxanthin and peridinin increase all the way to optically becoming black cells. The same pigments decrease under high light, resulting in cells being rather transparent. The opposite takes place with the photoprotective pigments \u03b2-carotene and astaxanthin and the elements of the xanthophyll cycle, all of which increase whenever cells are exposed to high irradiance levels, concomitant with enhanced activity of the antioxidant enzymes catalase, superox- ydismutase, and peroxidase. These processes are complemented by up to 5fold changes in RUBISCO per photosystem unit (PSU) levels, and parallel changes in light-saturated photosynthetic rates. Thus, light-harvesting and utilization efficiencies are maximized under low light, whereas pho- tosynthetic carbon assimilation and throughput rates reach their peak values whenever light is suffi- ciently high. Maximal photosynthesis and growth rates have to be matched by correspondingly high respiration rates. Photoacclimation can be used to optimize biomass and target product yields in biotechnological applications.", "author" : [ { "dropping-particle" : "", "family" : "Dubinsky", "given" : "Zvy", "non-dropping-particle" : "", "parse-names" : false, "suffix" : "" }, { "dropping-particle" : "", "family" : "Stambler", "given" : "Noga", "non-dropping-particle" : "", "parse-names" : false, "suffix" : "" } ], "container-title" : "Aquatic Microbial Ecology", "id" : "ITEM-3", "issue" : "2-3", "issued" : { "date-parts" : [ [ "2009" ] ] }, "page" : "163-176", "title" : "Photoacclimation processes in phytoplankton: Mechanisms, consequences, and applications", "type" : "article-journal", "volume" : "56" }, "uris" : [ "http://www.mendeley.com/documents/?uuid=de9d36a3-4c84-4688-9662-874843d36025" ] } ], "mendeley" : { "formattedCitation" : "[&lt;i&gt;Cleveland et al.&lt;/i&gt;, 1989; &lt;i&gt;Geider et al.&lt;/i&gt;, 1997; &lt;i&gt;Dubinsky and Stambler&lt;/i&gt;, 2009]", "manualFormatting" : "(Cleveland et al., 1989; Geider et al., 1997; Dubinsky and Stambler, 2009)", "plainTextFormattedCitation" : "[Cleveland et al., 1989; Geider et al., 1997; Dubinsky and Stambler, 2009]", "previouslyFormattedCitation" : "[&lt;i&gt;Cleveland et al.&lt;/i&gt;, 1989; &lt;i&gt;Geider et al.&lt;/i&gt;, 1997; &lt;i&gt;Dubinsky and Stambler&lt;/i&gt;, 2009]" }, "properties" : {  }, "schema" : "https://github.com/citation-style-language/schema/raw/master/csl-citation.json" }</w:instrText>
      </w:r>
      <w:r w:rsidRPr="004D3762">
        <w:rPr>
          <w:lang w:val="en-GB"/>
        </w:rPr>
        <w:fldChar w:fldCharType="separate"/>
      </w:r>
      <w:r>
        <w:rPr>
          <w:noProof/>
          <w:lang w:val="en-GB"/>
        </w:rPr>
        <w:t>(</w:t>
      </w:r>
      <w:r w:rsidRPr="004D3762">
        <w:rPr>
          <w:i/>
          <w:noProof/>
          <w:lang w:val="en-GB"/>
        </w:rPr>
        <w:t>Cleveland et al.</w:t>
      </w:r>
      <w:r w:rsidRPr="004D3762">
        <w:rPr>
          <w:noProof/>
          <w:lang w:val="en-GB"/>
        </w:rPr>
        <w:t xml:space="preserve">, 1989; </w:t>
      </w:r>
      <w:r w:rsidRPr="004D3762">
        <w:rPr>
          <w:i/>
          <w:noProof/>
          <w:lang w:val="en-GB"/>
        </w:rPr>
        <w:t>Geider et al.</w:t>
      </w:r>
      <w:r w:rsidRPr="004D3762">
        <w:rPr>
          <w:noProof/>
          <w:lang w:val="en-GB"/>
        </w:rPr>
        <w:t xml:space="preserve">, 1997; </w:t>
      </w:r>
      <w:r w:rsidRPr="004D3762">
        <w:rPr>
          <w:i/>
          <w:noProof/>
          <w:lang w:val="en-GB"/>
        </w:rPr>
        <w:t>Dubinsky and Stambler</w:t>
      </w:r>
      <w:r w:rsidRPr="004D3762">
        <w:rPr>
          <w:noProof/>
          <w:lang w:val="en-GB"/>
        </w:rPr>
        <w:t>, 2009</w:t>
      </w:r>
      <w:r>
        <w:rPr>
          <w:noProof/>
          <w:lang w:val="en-GB"/>
        </w:rPr>
        <w:t>)</w:t>
      </w:r>
      <w:r w:rsidRPr="004D3762">
        <w:rPr>
          <w:lang w:val="en-GB"/>
        </w:rPr>
        <w:fldChar w:fldCharType="end"/>
      </w:r>
      <w:r w:rsidRPr="004D3762">
        <w:rPr>
          <w:lang w:val="en-GB"/>
        </w:rPr>
        <w:t xml:space="preserve">. </w:t>
      </w:r>
      <w:r>
        <w:rPr>
          <w:lang w:val="en-GB"/>
        </w:rPr>
        <w:t xml:space="preserve">Despite those limitations, </w:t>
      </w:r>
      <w:r w:rsidRPr="008325A2">
        <w:rPr>
          <w:i/>
          <w:lang w:val="en-GB"/>
        </w:rPr>
        <w:t>in vivo</w:t>
      </w:r>
      <w:r>
        <w:rPr>
          <w:lang w:val="en-GB"/>
        </w:rPr>
        <w:t xml:space="preserve"> fluorescence represents an easy, cost-effective way for measuring Chl</w:t>
      </w:r>
      <w:r w:rsidRPr="008325A2">
        <w:rPr>
          <w:i/>
          <w:lang w:val="en-GB"/>
        </w:rPr>
        <w:t>a</w:t>
      </w:r>
      <w:r>
        <w:rPr>
          <w:lang w:val="en-GB"/>
        </w:rPr>
        <w:t>. It can be measured over broad ranges of space and temporal scales from small fluorometers installed on a variety of platforms such as BGC-Argo floats.</w:t>
      </w:r>
    </w:p>
    <w:p w14:paraId="390B2259" w14:textId="77777777" w:rsidR="00DE063F" w:rsidRDefault="00DE063F" w:rsidP="00571C54">
      <w:pPr>
        <w:widowControl w:val="0"/>
        <w:autoSpaceDE w:val="0"/>
        <w:autoSpaceDN w:val="0"/>
        <w:adjustRightInd w:val="0"/>
        <w:jc w:val="both"/>
        <w:rPr>
          <w:lang w:val="en-GB"/>
        </w:rPr>
      </w:pPr>
      <w:r>
        <w:rPr>
          <w:lang w:val="en-GB"/>
        </w:rPr>
        <w:t xml:space="preserve">The advent and increasing use of BGC-Argo floats led the community to develop standard procedures, recognized at an international level, to be applied for the calibration and qualification of the bio-optical proxies measured by the floats </w:t>
      </w:r>
      <w:r>
        <w:rPr>
          <w:lang w:val="en-GB"/>
        </w:rPr>
        <w:fldChar w:fldCharType="begin" w:fldLock="1"/>
      </w:r>
      <w:r>
        <w:rPr>
          <w:lang w:val="en-GB"/>
        </w:rPr>
        <w:instrText>ADDIN CSL_CITATION { "citationItems" : [ { "id" : "ITEM-1", "itemData" : { "DOI" : "doi:10.13155/35385.", "abstract" : "This document is the bio-Argo quality control manual for Chlorophyll A concentration. It describes the method used in real-time to apply quality control flags to Chlorophyll A concentration calculated from specific sensors mounted on Argo profiling floats.", "author" : [ { "dropping-particle" : "", "family" : "Schmechtig", "given" : "Catherine", "non-dropping-particle" : "", "parse-names" : false, "suffix" : "" }, { "dropping-particle" : "", "family" : "Claustre", "given" : "Herve", "non-dropping-particle" : "", "parse-names" : false, "suffix" : "" }, { "dropping-particle" : "", "family" : "Poteau", "given" : "Antoine", "non-dropping-particle" : "", "parse-names" : false, "suffix" : "" }, { "dropping-particle" : "", "family" : "D'Ortenzio", "given" : "Fabrizio", "non-dropping-particle" : "", "parse-names" : false, "suffix" : "" } ], "container-title" : "Argo Data Management", "id" : "ITEM-1", "issued" : { "date-parts" : [ [ "2014" ] ] }, "page" : "1-13", "title" : "Bio-Argo quality control manual for the Chlorophyll-A concentration", "type" : "article-journal" }, "uris" : [ "http://www.mendeley.com/documents/?uuid=4938a788-c3d8-41ad-ab2b-6b86c390d0e4" ] }, { "id" : "ITEM-2", "itemData" : { "DOI" : "doi:10.13155/39459.", "ISSN" : "0029-7844", "author" : [ { "dropping-particle" : "", "family" : "Schmechtig", "given" : "Catherine", "non-dropping-particle" : "", "parse-names" : false, "suffix" : "" }, { "dropping-particle" : "", "family" : "Poteau", "given" : "Antoine", "non-dropping-particle" : "", "parse-names" : false, "suffix" : "" }, { "dropping-particle" : "", "family" : "Claustre", "given" : "Herv\u00e9", "non-dropping-particle" : "", "parse-names" : false, "suffix" : "" }, { "dropping-particle" : "", "family" : "D\u2019Ortenzio", "given" : "Fabrizio", "non-dropping-particle" : "", "parse-names" : false, "suffix" : "" }, { "dropping-particle" : "", "family" : "Dall\u2019Olmo", "given" : "Giorgio", "non-dropping-particle" : "", "parse-names" : false, "suffix" : "" }, { "dropping-particle" : "", "family" : "Boss", "given" : "Emmanuel", "non-dropping-particle" : "", "parse-names" : false, "suffix" : "" } ], "container-title" : "Argo Data Management", "id" : "ITEM-2", "issued" : { "date-parts" : [ [ "2016" ] ] }, "page" : "1-13", "title" : "Processing Bio-Argo particle backscattering at the DAC level Version", "type" : "article-journal" }, "uris" : [ "http://www.mendeley.com/documents/?uuid=bc2d0682-14bd-41b3-90ab-280127fcab5d" ] } ], "mendeley" : { "formattedCitation" : "[&lt;i&gt;Schmechtig et al.&lt;/i&gt;, 2014, 2016]", "manualFormatting" : "(Schmechtig et al., 2014, 2016)", "plainTextFormattedCitation" : "[Schmechtig et al., 2014, 2016]", "previouslyFormattedCitation" : "[&lt;i&gt;Schmechtig et al.&lt;/i&gt;, 2014, 2016]" }, "properties" : {  }, "schema" : "https://github.com/citation-style-language/schema/raw/master/csl-citation.json" }</w:instrText>
      </w:r>
      <w:r>
        <w:rPr>
          <w:lang w:val="en-GB"/>
        </w:rPr>
        <w:fldChar w:fldCharType="separate"/>
      </w:r>
      <w:r>
        <w:rPr>
          <w:noProof/>
          <w:lang w:val="en-GB"/>
        </w:rPr>
        <w:t>(</w:t>
      </w:r>
      <w:r w:rsidRPr="001E2BEE">
        <w:rPr>
          <w:i/>
          <w:noProof/>
          <w:lang w:val="en-GB"/>
        </w:rPr>
        <w:t>Schmechtig et al.</w:t>
      </w:r>
      <w:r w:rsidRPr="001E2BEE">
        <w:rPr>
          <w:noProof/>
          <w:lang w:val="en-GB"/>
        </w:rPr>
        <w:t>, 2014, 2016</w:t>
      </w:r>
      <w:r>
        <w:rPr>
          <w:noProof/>
          <w:lang w:val="en-GB"/>
        </w:rPr>
        <w:t>)</w:t>
      </w:r>
      <w:r>
        <w:rPr>
          <w:lang w:val="en-GB"/>
        </w:rPr>
        <w:fldChar w:fldCharType="end"/>
      </w:r>
      <w:r>
        <w:rPr>
          <w:lang w:val="en-GB"/>
        </w:rPr>
        <w:t>. Recently, however,</w:t>
      </w:r>
      <w:r w:rsidRPr="004D3762">
        <w:rPr>
          <w:lang w:val="en-GB"/>
        </w:rPr>
        <w:t xml:space="preserve"> </w:t>
      </w:r>
      <w:r w:rsidRPr="004D3762">
        <w:rPr>
          <w:lang w:val="en-GB"/>
        </w:rPr>
        <w:fldChar w:fldCharType="begin" w:fldLock="1"/>
      </w:r>
      <w:r>
        <w:rPr>
          <w:lang w:val="en-GB"/>
        </w:rPr>
        <w:instrText>ADDIN CSL_CITATION { "citationItems" : [ { "id" : "ITEM-1", "itemData" : { "DOI" : "10.1002/lom3.10185", "ISSN" : "15415856", "abstract" : "Chlorophyll fluorometers provide the largest in situ global data set for estimating phytoplankton biomass because of their ease of use, size, power consumption, and relatively low price. While in situ chlorophyll a (Chl) fluorescence is proxy for Chl a concentration, and hence phytoplankton biomass, there exist large nat-ural variations in the relationship between in situ fluorescence and extracted Chl a concentration. Despite this large natural variability, we present here a global validation data set for the WET Labs Environmental Characterization Optics (ECO) series chlorophyll fluorometers that suggests a factor of 2 overestimation in the factory calibrated Chl a estimates for this specific manufacturer and series of sensors. We base these results on paired High Pressure Liquid Chromatography (HPLC) and in situ fluorescence match ups for which non-photochemically quenched fluorescence observations were removed. Additionally, we examined match-ups between the factory-calibrated in situ fluorescence and estimates of chlorophyll concentration deter-mined from in situ radiometry, absorption line height, NASA's standard ocean color algorithm as well as laboratory calibrations with phytoplankton monocultures spanning diverse species that support the factor of 2 bias. We therefore recommend the factor of 2 global bias correction be applied for the WET Labs ECO sen-sors, at the user level, to improve the global accuracy of chlorophyll concentration estimates and products derived from them. We recommend that other fluorometer makes and models should likewise undergo global analyses to identify potential bias in factory calibration.", "author" : [ { "dropping-particle" : "", "family" : "Roesler", "given" : "Collin", "non-dropping-particle" : "", "parse-names" : false, "suffix" : "" }, { "dropping-particle" : "", "family" : "Uitz", "given" : "Julia", "non-dropping-particle" : "", "parse-names" : false, "suffix" : "" }, { "dropping-particle" : "", "family" : "Claustre", "given" : "Herv\u00e9", "non-dropping-particle" : "", "parse-names" : false, "suffix" : "" }, { "dropping-particle" : "", "family" : "Boss", "given" : "Emmanuel", "non-dropping-particle" : "", "parse-names" : false, "suffix" : "" }, { "dropping-particle" : "", "family" : "Xing", "given" : "Xiaogang", "non-dropping-particle" : "", "parse-names" : false, "suffix" : "" }, { "dropping-particle" : "", "family" : "Organelli", "given" : "Emanuele", "non-dropping-particle" : "", "parse-names" : false, "suffix" : "" }, { "dropping-particle" : "", "family" : "Briggs", "given" : "Nathan", "non-dropping-particle" : "", "parse-names" : false, "suffix" : "" }, { "dropping-particle" : "", "family" : "Bricaud", "given" : "Annick", "non-dropping-particle" : "", "parse-names" : false, "suffix" : "" }, { "dropping-particle" : "", "family" : "Schmechtig", "given" : "Catherine", "non-dropping-particle" : "", "parse-names" : false, "suffix" : "" }, { "dropping-particle" : "", "family" : "Poteau", "given" : "Antoine", "non-dropping-particle" : "", "parse-names" : false, "suffix" : "" }, { "dropping-particle" : "", "family" : "D'Ortenzio", "given" : "Fabrizio", "non-dropping-particle" : "", "parse-names" : false, "suffix" : "" }, { "dropping-particle" : "", "family" : "Ras", "given" : "Josephine", "non-dropping-particle" : "", "parse-names" : false, "suffix" : "" }, { "dropping-particle" : "", "family" : "Drapeau", "given" : "Susan", "non-dropping-particle" : "", "parse-names" : false, "suffix" : "" }, { "dropping-particle" : "", "family" : "Ha\u00ebntjens", "given" : "Nils", "non-dropping-particle" : "", "parse-names" : false, "suffix" : "" }, { "dropping-particle" : "", "family" : "Barbieux", "given" : "Marie", "non-dropping-particle" : "", "parse-names" : false, "suffix" : "" } ], "container-title" : "Limnology and Oceanography: Methods", "id" : "ITEM-1", "issue" : "6", "issued" : { "date-parts" : [ [ "2017" ] ] }, "page" : "572-585", "title" : "Recommendations for obtaining unbiased chlorophyll estimates from in situ chlorophyll fluorometers: A global analysis of WET Labs ECO sensors", "type" : "article-journal", "volume" : "15" }, "uris" : [ "http://www.mendeley.com/documents/?uuid=0971e441-ff33-4b1f-9e34-f3ef21860306" ] } ], "mendeley" : { "formattedCitation" : "[&lt;i&gt;Roesler et al.&lt;/i&gt;, 2017]", "manualFormatting" : "Roesler et al. (2017", "plainTextFormattedCitation" : "[Roesler et al., 2017]", "previouslyFormattedCitation" : "[&lt;i&gt;Roesler et al.&lt;/i&gt;, 2017]" }, "properties" : {  }, "schema" : "https://github.com/citation-style-language/schema/raw/master/csl-citation.json" }</w:instrText>
      </w:r>
      <w:r w:rsidRPr="004D3762">
        <w:rPr>
          <w:lang w:val="en-GB"/>
        </w:rPr>
        <w:fldChar w:fldCharType="separate"/>
      </w:r>
      <w:r w:rsidRPr="004D3762">
        <w:rPr>
          <w:i/>
          <w:noProof/>
          <w:lang w:val="en-GB"/>
        </w:rPr>
        <w:t>Roesler et al.</w:t>
      </w:r>
      <w:r w:rsidRPr="004D3762">
        <w:rPr>
          <w:noProof/>
          <w:lang w:val="en-GB"/>
        </w:rPr>
        <w:t xml:space="preserve"> </w:t>
      </w:r>
      <w:r>
        <w:rPr>
          <w:noProof/>
          <w:lang w:val="en-GB"/>
        </w:rPr>
        <w:t>(</w:t>
      </w:r>
      <w:r w:rsidRPr="004D3762">
        <w:rPr>
          <w:noProof/>
          <w:lang w:val="en-GB"/>
        </w:rPr>
        <w:t>2017</w:t>
      </w:r>
      <w:r w:rsidRPr="004D3762">
        <w:rPr>
          <w:lang w:val="en-GB"/>
        </w:rPr>
        <w:fldChar w:fldCharType="end"/>
      </w:r>
      <w:r>
        <w:rPr>
          <w:lang w:val="en-GB"/>
        </w:rPr>
        <w:t>)</w:t>
      </w:r>
      <w:r w:rsidRPr="004D3762">
        <w:rPr>
          <w:lang w:val="en-GB"/>
        </w:rPr>
        <w:t xml:space="preserve"> </w:t>
      </w:r>
      <w:r>
        <w:rPr>
          <w:lang w:val="en-GB"/>
        </w:rPr>
        <w:t>have reported a systematic overestimation in the calibrated Chl</w:t>
      </w:r>
      <w:r>
        <w:rPr>
          <w:i/>
          <w:lang w:val="en-GB"/>
        </w:rPr>
        <w:t>a</w:t>
      </w:r>
      <w:r>
        <w:rPr>
          <w:lang w:val="en-GB"/>
        </w:rPr>
        <w:t xml:space="preserve"> values derived from WET Labs ECO-series sensors (i.e. identical to those installed on BGC-Argo floats), and recommended </w:t>
      </w:r>
      <w:r w:rsidRPr="004D3762">
        <w:rPr>
          <w:lang w:val="en-GB"/>
        </w:rPr>
        <w:t xml:space="preserve">a </w:t>
      </w:r>
      <w:r>
        <w:rPr>
          <w:lang w:val="en-GB"/>
        </w:rPr>
        <w:t xml:space="preserve">correction factor </w:t>
      </w:r>
      <w:r w:rsidRPr="004D3762">
        <w:rPr>
          <w:lang w:val="en-GB"/>
        </w:rPr>
        <w:t xml:space="preserve">of 2 </w:t>
      </w:r>
      <w:r>
        <w:rPr>
          <w:lang w:val="en-GB"/>
        </w:rPr>
        <w:t xml:space="preserve">to be applied globally at the user level. This recommendation was </w:t>
      </w:r>
      <w:r w:rsidRPr="004D3762">
        <w:rPr>
          <w:lang w:val="en-GB"/>
        </w:rPr>
        <w:t xml:space="preserve">based on </w:t>
      </w:r>
      <w:r>
        <w:rPr>
          <w:lang w:val="en-GB"/>
        </w:rPr>
        <w:t xml:space="preserve">the analysis of a match-up database of </w:t>
      </w:r>
      <w:r w:rsidRPr="004D3762">
        <w:rPr>
          <w:lang w:val="en-GB"/>
        </w:rPr>
        <w:t xml:space="preserve">HPLC </w:t>
      </w:r>
      <w:r>
        <w:rPr>
          <w:lang w:val="en-GB"/>
        </w:rPr>
        <w:t>Chl</w:t>
      </w:r>
      <w:r>
        <w:rPr>
          <w:i/>
          <w:lang w:val="en-GB"/>
        </w:rPr>
        <w:t>a</w:t>
      </w:r>
      <w:r>
        <w:rPr>
          <w:lang w:val="en-GB"/>
        </w:rPr>
        <w:t xml:space="preserve"> determinations and calibrated </w:t>
      </w:r>
      <w:r w:rsidRPr="00AA2918">
        <w:rPr>
          <w:i/>
          <w:lang w:val="en-GB"/>
        </w:rPr>
        <w:t>in situ</w:t>
      </w:r>
      <w:r>
        <w:rPr>
          <w:lang w:val="en-GB"/>
        </w:rPr>
        <w:t xml:space="preserve"> fluorescence observations from WET Labs ECO fluorometers. Their results were further supported by comparisons of calibrated fluorescence observations with Chl</w:t>
      </w:r>
      <w:r>
        <w:rPr>
          <w:i/>
          <w:lang w:val="en-GB"/>
        </w:rPr>
        <w:t xml:space="preserve">a </w:t>
      </w:r>
      <w:r>
        <w:rPr>
          <w:lang w:val="en-GB"/>
        </w:rPr>
        <w:t xml:space="preserve">values derived from </w:t>
      </w:r>
      <w:r w:rsidRPr="004D3762">
        <w:rPr>
          <w:lang w:val="en-GB"/>
        </w:rPr>
        <w:t>other techniques</w:t>
      </w:r>
      <w:r>
        <w:rPr>
          <w:lang w:val="en-GB"/>
        </w:rPr>
        <w:t>,</w:t>
      </w:r>
      <w:r w:rsidRPr="004D3762">
        <w:rPr>
          <w:lang w:val="en-GB"/>
        </w:rPr>
        <w:t xml:space="preserve"> e.g. radiometric measurements </w:t>
      </w:r>
      <w:r w:rsidRPr="004D3762">
        <w:rPr>
          <w:lang w:val="en-GB"/>
        </w:rPr>
        <w:fldChar w:fldCharType="begin" w:fldLock="1"/>
      </w:r>
      <w:r>
        <w:rPr>
          <w:lang w:val="en-GB"/>
        </w:rPr>
        <w:instrText>ADDIN CSL_CITATION { "citationItems" : [ { "id" : "ITEM-1", "itemData" : { "DOI" : "10.1029/2010JC006899", "ISSN" : "0148-0227", "author" : [ { "dropping-particle" : "", "family" : "Xing", "given" : "Xiaogang", "non-dropping-particle" : "", "parse-names" : false, "suffix" : "" }, { "dropping-particle" : "", "family" : "Morel", "given" : "Andr\u00e9", "non-dropping-particle" : "", "parse-names" : false, "suffix" : "" }, { "dropping-particle" : "", "family" : "Claustre", "given" : "Herv\u00e9", "non-dropping-particle" : "", "parse-names" : false, "suffix" : "" }, { "dropping-particle" : "", "family" : "Antoine", "given" : "David", "non-dropping-particle" : "", "parse-names" : false, "suffix" : "" }, { "dropping-particle" : "", "family" : "D'Ortenzio", "given" : "Fabrizio", "non-dropping-particle" : "", "parse-names" : false, "suffix" : "" }, { "dropping-particle" : "", "family" : "Poteau", "given" : "Antoine", "non-dropping-particle" : "", "parse-names" : false, "suffix" : "" }, { "dropping-particle" : "", "family" : "Mignot", "given" : "Alexandre", "non-dropping-particle" : "", "parse-names" : false, "suffix" : "" } ], "container-title" : "Journal of Geophysical Research", "id" : "ITEM-1", "issue" : "C6", "issued" : { "date-parts" : [ [ "2011", "6", "28" ] ] }, "page" : "C06020", "title" : "Combined processing and mutual interpretation of radiometry and fluorimetry from autonomous profiling Bio-Argo floats: Chlorophyll a retrieval", "type" : "article-journal", "volume" : "116" }, "uris" : [ "http://www.mendeley.com/documents/?uuid=dcdfa925-ef25-499e-b9a3-b202c7fa44fb" ] } ], "mendeley" : { "formattedCitation" : "[&lt;i&gt;Xing et al.&lt;/i&gt;, 2011]", "manualFormatting" : "(Xing et al., 2011)", "plainTextFormattedCitation" : "[Xing et al., 2011]", "previouslyFormattedCitation" : "[&lt;i&gt;Xing et al.&lt;/i&gt;, 2011]" }, "properties" : {  }, "schema" : "https://github.com/citation-style-language/schema/raw/master/csl-citation.json" }</w:instrText>
      </w:r>
      <w:r w:rsidRPr="004D3762">
        <w:rPr>
          <w:lang w:val="en-GB"/>
        </w:rPr>
        <w:fldChar w:fldCharType="separate"/>
      </w:r>
      <w:r>
        <w:rPr>
          <w:noProof/>
          <w:lang w:val="en-GB"/>
        </w:rPr>
        <w:t>(</w:t>
      </w:r>
      <w:r w:rsidRPr="004D3762">
        <w:rPr>
          <w:i/>
          <w:noProof/>
          <w:lang w:val="en-GB"/>
        </w:rPr>
        <w:t>Xing et al.</w:t>
      </w:r>
      <w:r w:rsidRPr="004D3762">
        <w:rPr>
          <w:noProof/>
          <w:lang w:val="en-GB"/>
        </w:rPr>
        <w:t>, 2011</w:t>
      </w:r>
      <w:r>
        <w:rPr>
          <w:noProof/>
          <w:lang w:val="en-GB"/>
        </w:rPr>
        <w:t>)</w:t>
      </w:r>
      <w:r w:rsidRPr="004D3762">
        <w:rPr>
          <w:lang w:val="en-GB"/>
        </w:rPr>
        <w:fldChar w:fldCharType="end"/>
      </w:r>
      <w:r>
        <w:rPr>
          <w:lang w:val="en-GB"/>
        </w:rPr>
        <w:t xml:space="preserve">, </w:t>
      </w:r>
      <w:r w:rsidRPr="004D3762">
        <w:rPr>
          <w:lang w:val="en-GB"/>
        </w:rPr>
        <w:t xml:space="preserve">light absorption line height </w:t>
      </w:r>
      <w:r>
        <w:rPr>
          <w:lang w:val="en-GB"/>
        </w:rPr>
        <w:t>(</w:t>
      </w:r>
      <w:r w:rsidRPr="004D3762">
        <w:rPr>
          <w:i/>
          <w:lang w:val="en-GB"/>
        </w:rPr>
        <w:t>Roesler and Barnard</w:t>
      </w:r>
      <w:r w:rsidRPr="004D3762">
        <w:rPr>
          <w:lang w:val="en-GB"/>
        </w:rPr>
        <w:t>, 2013</w:t>
      </w:r>
      <w:r>
        <w:rPr>
          <w:lang w:val="en-GB"/>
        </w:rPr>
        <w:t>)</w:t>
      </w:r>
      <w:r w:rsidRPr="004D3762">
        <w:rPr>
          <w:lang w:val="en-GB"/>
        </w:rPr>
        <w:t xml:space="preserve">, experiments on algal cultures. </w:t>
      </w:r>
    </w:p>
    <w:p w14:paraId="7B318E5D" w14:textId="77777777" w:rsidR="00DE063F" w:rsidRDefault="00DE063F" w:rsidP="00571C54">
      <w:pPr>
        <w:widowControl w:val="0"/>
        <w:autoSpaceDE w:val="0"/>
        <w:autoSpaceDN w:val="0"/>
        <w:adjustRightInd w:val="0"/>
        <w:jc w:val="both"/>
        <w:rPr>
          <w:lang w:val="en-GB"/>
        </w:rPr>
      </w:pPr>
      <w:r>
        <w:rPr>
          <w:lang w:val="en-GB"/>
        </w:rPr>
        <w:t xml:space="preserve">The study of </w:t>
      </w:r>
      <w:r w:rsidRPr="004D3762">
        <w:rPr>
          <w:lang w:val="en-GB"/>
        </w:rPr>
        <w:fldChar w:fldCharType="begin" w:fldLock="1"/>
      </w:r>
      <w:r>
        <w:rPr>
          <w:lang w:val="en-GB"/>
        </w:rPr>
        <w:instrText>ADDIN CSL_CITATION { "citationItems" : [ { "id" : "ITEM-1", "itemData" : { "DOI" : "10.1002/lom3.10185", "ISSN" : "15415856", "abstract" : "Chlorophyll fluorometers provide the largest in situ global data set for estimating phytoplankton biomass because of their ease of use, size, power consumption, and relatively low price. While in situ chlorophyll a (Chl) fluorescence is proxy for Chl a concentration, and hence phytoplankton biomass, there exist large nat-ural variations in the relationship between in situ fluorescence and extracted Chl a concentration. Despite this large natural variability, we present here a global validation data set for the WET Labs Environmental Characterization Optics (ECO) series chlorophyll fluorometers that suggests a factor of 2 overestimation in the factory calibrated Chl a estimates for this specific manufacturer and series of sensors. We base these results on paired High Pressure Liquid Chromatography (HPLC) and in situ fluorescence match ups for which non-photochemically quenched fluorescence observations were removed. Additionally, we examined match-ups between the factory-calibrated in situ fluorescence and estimates of chlorophyll concentration deter-mined from in situ radiometry, absorption line height, NASA's standard ocean color algorithm as well as laboratory calibrations with phytoplankton monocultures spanning diverse species that support the factor of 2 bias. We therefore recommend the factor of 2 global bias correction be applied for the WET Labs ECO sen-sors, at the user level, to improve the global accuracy of chlorophyll concentration estimates and products derived from them. We recommend that other fluorometer makes and models should likewise undergo global analyses to identify potential bias in factory calibration.", "author" : [ { "dropping-particle" : "", "family" : "Roesler", "given" : "Collin", "non-dropping-particle" : "", "parse-names" : false, "suffix" : "" }, { "dropping-particle" : "", "family" : "Uitz", "given" : "Julia", "non-dropping-particle" : "", "parse-names" : false, "suffix" : "" }, { "dropping-particle" : "", "family" : "Claustre", "given" : "Herv\u00e9", "non-dropping-particle" : "", "parse-names" : false, "suffix" : "" }, { "dropping-particle" : "", "family" : "Boss", "given" : "Emmanuel", "non-dropping-particle" : "", "parse-names" : false, "suffix" : "" }, { "dropping-particle" : "", "family" : "Xing", "given" : "Xiaogang", "non-dropping-particle" : "", "parse-names" : false, "suffix" : "" }, { "dropping-particle" : "", "family" : "Organelli", "given" : "Emanuele", "non-dropping-particle" : "", "parse-names" : false, "suffix" : "" }, { "dropping-particle" : "", "family" : "Briggs", "given" : "Nathan", "non-dropping-particle" : "", "parse-names" : false, "suffix" : "" }, { "dropping-particle" : "", "family" : "Bricaud", "given" : "Annick", "non-dropping-particle" : "", "parse-names" : false, "suffix" : "" }, { "dropping-particle" : "", "family" : "Schmechtig", "given" : "Catherine", "non-dropping-particle" : "", "parse-names" : false, "suffix" : "" }, { "dropping-particle" : "", "family" : "Poteau", "given" : "Antoine", "non-dropping-particle" : "", "parse-names" : false, "suffix" : "" }, { "dropping-particle" : "", "family" : "D'Ortenzio", "given" : "Fabrizio", "non-dropping-particle" : "", "parse-names" : false, "suffix" : "" }, { "dropping-particle" : "", "family" : "Ras", "given" : "Josephine", "non-dropping-particle" : "", "parse-names" : false, "suffix" : "" }, { "dropping-particle" : "", "family" : "Drapeau", "given" : "Susan", "non-dropping-particle" : "", "parse-names" : false, "suffix" : "" }, { "dropping-particle" : "", "family" : "Ha\u00ebntjens", "given" : "Nils", "non-dropping-particle" : "", "parse-names" : false, "suffix" : "" }, { "dropping-particle" : "", "family" : "Barbieux", "given" : "Marie", "non-dropping-particle" : "", "parse-names" : false, "suffix" : "" } ], "container-title" : "Limnology and Oceanography: Methods", "id" : "ITEM-1", "issue" : "6", "issued" : { "date-parts" : [ [ "2017" ] ] }, "page" : "572-585", "title" : "Recommendations for obtaining unbiased chlorophyll estimates from in situ chlorophyll fluorometers: A global analysis of WET Labs ECO sensors", "type" : "article-journal", "volume" : "15" }, "uris" : [ "http://www.mendeley.com/documents/?uuid=0971e441-ff33-4b1f-9e34-f3ef21860306" ] } ], "mendeley" : { "formattedCitation" : "[&lt;i&gt;Roesler et al.&lt;/i&gt;, 2017]", "manualFormatting" : "Roesler et al. (2017", "plainTextFormattedCitation" : "[Roesler et al., 2017]", "previouslyFormattedCitation" : "[&lt;i&gt;Roesler et al.&lt;/i&gt;, 2017]" }, "properties" : {  }, "schema" : "https://github.com/citation-style-language/schema/raw/master/csl-citation.json" }</w:instrText>
      </w:r>
      <w:r w:rsidRPr="004D3762">
        <w:rPr>
          <w:lang w:val="en-GB"/>
        </w:rPr>
        <w:fldChar w:fldCharType="separate"/>
      </w:r>
      <w:r w:rsidRPr="004D3762">
        <w:rPr>
          <w:i/>
          <w:noProof/>
          <w:lang w:val="en-GB"/>
        </w:rPr>
        <w:t>Roesler et al.</w:t>
      </w:r>
      <w:r w:rsidRPr="004D3762">
        <w:rPr>
          <w:noProof/>
          <w:lang w:val="en-GB"/>
        </w:rPr>
        <w:t xml:space="preserve"> </w:t>
      </w:r>
      <w:r>
        <w:rPr>
          <w:noProof/>
          <w:lang w:val="en-GB"/>
        </w:rPr>
        <w:t>(</w:t>
      </w:r>
      <w:r w:rsidRPr="004D3762">
        <w:rPr>
          <w:noProof/>
          <w:lang w:val="en-GB"/>
        </w:rPr>
        <w:t>2017</w:t>
      </w:r>
      <w:r w:rsidRPr="004D3762">
        <w:rPr>
          <w:lang w:val="en-GB"/>
        </w:rPr>
        <w:fldChar w:fldCharType="end"/>
      </w:r>
      <w:r>
        <w:rPr>
          <w:lang w:val="en-GB"/>
        </w:rPr>
        <w:t xml:space="preserve">), deals with two distinct issues that have to be independently considered. On the one hand, the global correction factor of 2 addresses an instrumental bias and allows a better correction of the WET Labs ECO-series fluorometers. On the other hand, this correction factor may vary regionally as a result of natural variations in the </w:t>
      </w:r>
      <w:r w:rsidRPr="004D3762">
        <w:rPr>
          <w:lang w:val="en-GB"/>
        </w:rPr>
        <w:t>fluorescence</w:t>
      </w:r>
      <w:r>
        <w:rPr>
          <w:lang w:val="en-GB"/>
        </w:rPr>
        <w:t>-</w:t>
      </w:r>
      <w:r w:rsidRPr="004D3762">
        <w:rPr>
          <w:lang w:val="en-GB"/>
        </w:rPr>
        <w:t>to-chlorophyll ratio</w:t>
      </w:r>
      <w:r>
        <w:rPr>
          <w:lang w:val="en-GB"/>
        </w:rPr>
        <w:t xml:space="preserve">. </w:t>
      </w:r>
      <w:r w:rsidRPr="001E2BEE">
        <w:rPr>
          <w:i/>
          <w:lang w:val="en-GB"/>
        </w:rPr>
        <w:t>Roesler et al.</w:t>
      </w:r>
      <w:r>
        <w:rPr>
          <w:lang w:val="en-GB"/>
        </w:rPr>
        <w:t xml:space="preserve"> (2017) proposed</w:t>
      </w:r>
      <w:r w:rsidRPr="000F73FF">
        <w:rPr>
          <w:lang w:val="en-GB"/>
        </w:rPr>
        <w:t xml:space="preserve"> </w:t>
      </w:r>
      <w:r>
        <w:rPr>
          <w:lang w:val="en-GB"/>
        </w:rPr>
        <w:t>regional correction factors from the analysis of the data</w:t>
      </w:r>
      <w:r w:rsidRPr="000F73FF">
        <w:rPr>
          <w:lang w:val="en-GB"/>
        </w:rPr>
        <w:t>base of paired HPLC</w:t>
      </w:r>
      <w:r>
        <w:rPr>
          <w:lang w:val="en-GB"/>
        </w:rPr>
        <w:t>-determined</w:t>
      </w:r>
      <w:r w:rsidRPr="000F73FF">
        <w:rPr>
          <w:lang w:val="en-GB"/>
        </w:rPr>
        <w:t xml:space="preserve"> Chl</w:t>
      </w:r>
      <w:r w:rsidRPr="00D03F4B">
        <w:rPr>
          <w:i/>
          <w:lang w:val="en-GB"/>
        </w:rPr>
        <w:t>a</w:t>
      </w:r>
      <w:r>
        <w:rPr>
          <w:lang w:val="en-GB"/>
        </w:rPr>
        <w:t xml:space="preserve"> measurements</w:t>
      </w:r>
      <w:r w:rsidRPr="000F73FF">
        <w:rPr>
          <w:lang w:val="en-GB"/>
        </w:rPr>
        <w:t xml:space="preserve"> and</w:t>
      </w:r>
      <w:r>
        <w:rPr>
          <w:lang w:val="en-GB"/>
        </w:rPr>
        <w:t xml:space="preserve"> calibrated</w:t>
      </w:r>
      <w:r w:rsidRPr="000F73FF">
        <w:rPr>
          <w:lang w:val="en-GB"/>
        </w:rPr>
        <w:t xml:space="preserve"> </w:t>
      </w:r>
      <w:r w:rsidRPr="000F73FF">
        <w:rPr>
          <w:i/>
          <w:lang w:val="en-GB"/>
        </w:rPr>
        <w:t>in situ</w:t>
      </w:r>
      <w:r w:rsidRPr="000F73FF">
        <w:rPr>
          <w:lang w:val="en-GB"/>
        </w:rPr>
        <w:t xml:space="preserve"> </w:t>
      </w:r>
      <w:r>
        <w:rPr>
          <w:lang w:val="en-GB"/>
        </w:rPr>
        <w:t>c</w:t>
      </w:r>
      <w:r w:rsidRPr="000F73FF">
        <w:rPr>
          <w:lang w:val="en-GB"/>
        </w:rPr>
        <w:t>hl</w:t>
      </w:r>
      <w:r>
        <w:rPr>
          <w:lang w:val="en-GB"/>
        </w:rPr>
        <w:t xml:space="preserve">orophyll </w:t>
      </w:r>
      <w:r w:rsidRPr="000F73FF">
        <w:rPr>
          <w:lang w:val="en-GB"/>
        </w:rPr>
        <w:t>fluorescence observations</w:t>
      </w:r>
      <w:r>
        <w:rPr>
          <w:lang w:val="en-GB"/>
        </w:rPr>
        <w:t xml:space="preserve">. The regional factors were computed for 10 of the </w:t>
      </w:r>
      <w:r>
        <w:rPr>
          <w:lang w:val="en-GB"/>
        </w:rPr>
        <w:fldChar w:fldCharType="begin" w:fldLock="1"/>
      </w:r>
      <w:r>
        <w:rPr>
          <w:lang w:val="en-GB"/>
        </w:rPr>
        <w:instrText>ADDIN CSL_CITATION { "citationItems" : [ { "id" : "ITEM-1", "itemData" : { "author" : [ { "dropping-particle" : "", "family" : "Longhurst", "given" : "Alan", "non-dropping-particle" : "", "parse-names" : false, "suffix" : "" } ], "edition" : "2nd edn. E", "id" : "ITEM-1", "issued" : { "date-parts" : [ [ "2006" ] ] }, "publisher-place" : "New York", "title" : "Ecological geography of the sea", "type" : "book" }, "uris" : [ "http://www.mendeley.com/documents/?uuid=ee3c3f3c-acd4-45f1-8b55-2d79b9c28361" ] } ], "mendeley" : { "formattedCitation" : "[&lt;i&gt;Longhurst&lt;/i&gt;, 2006]", "manualFormatting" : "Longhurst (2006)", "plainTextFormattedCitation" : "[Longhurst, 2006]", "previouslyFormattedCitation" : "[&lt;i&gt;Longhurst&lt;/i&gt;, 2006]" }, "properties" : {  }, "schema" : "https://github.com/citation-style-language/schema/raw/master/csl-citation.json" }</w:instrText>
      </w:r>
      <w:r>
        <w:rPr>
          <w:lang w:val="en-GB"/>
        </w:rPr>
        <w:fldChar w:fldCharType="separate"/>
      </w:r>
      <w:r w:rsidRPr="00FE55D0">
        <w:rPr>
          <w:i/>
          <w:noProof/>
          <w:lang w:val="en-GB"/>
        </w:rPr>
        <w:t>Longhurst</w:t>
      </w:r>
      <w:r w:rsidRPr="00FE55D0">
        <w:rPr>
          <w:noProof/>
          <w:lang w:val="en-GB"/>
        </w:rPr>
        <w:t xml:space="preserve"> </w:t>
      </w:r>
      <w:r>
        <w:rPr>
          <w:noProof/>
          <w:lang w:val="en-GB"/>
        </w:rPr>
        <w:t>(</w:t>
      </w:r>
      <w:r w:rsidRPr="00FE55D0">
        <w:rPr>
          <w:noProof/>
          <w:lang w:val="en-GB"/>
        </w:rPr>
        <w:t>2006</w:t>
      </w:r>
      <w:r>
        <w:rPr>
          <w:noProof/>
          <w:lang w:val="en-GB"/>
        </w:rPr>
        <w:t>)</w:t>
      </w:r>
      <w:r>
        <w:rPr>
          <w:lang w:val="en-GB"/>
        </w:rPr>
        <w:fldChar w:fldCharType="end"/>
      </w:r>
      <w:r>
        <w:rPr>
          <w:lang w:val="en-GB"/>
        </w:rPr>
        <w:t xml:space="preserve"> biogeographic regions where data were available. In addition, for 16 Longhurst’s regions where BGC-Argo floats collected radiometric data, the authors computed regional correction factors based on a comparison of the Chl</w:t>
      </w:r>
      <w:r>
        <w:rPr>
          <w:i/>
          <w:lang w:val="en-GB"/>
        </w:rPr>
        <w:t>a</w:t>
      </w:r>
      <w:r>
        <w:rPr>
          <w:lang w:val="en-GB"/>
        </w:rPr>
        <w:t xml:space="preserve"> values obtained from the fluorescence observations calibrated using either the standard procedure or the </w:t>
      </w:r>
      <w:r w:rsidRPr="00D03F4B">
        <w:rPr>
          <w:lang w:val="en-GB"/>
        </w:rPr>
        <w:t xml:space="preserve">“radiometric” calibration method </w:t>
      </w:r>
      <w:r>
        <w:rPr>
          <w:lang w:val="en-GB"/>
        </w:rPr>
        <w:t xml:space="preserve">of </w:t>
      </w:r>
      <w:r w:rsidRPr="00AD66FA">
        <w:rPr>
          <w:i/>
          <w:lang w:val="en-GB"/>
        </w:rPr>
        <w:t>Xing et al.</w:t>
      </w:r>
      <w:r>
        <w:rPr>
          <w:lang w:val="en-GB"/>
        </w:rPr>
        <w:t xml:space="preserve"> (2011). In brief, this method</w:t>
      </w:r>
      <w:r w:rsidRPr="00D03F4B">
        <w:rPr>
          <w:lang w:val="en-GB"/>
        </w:rPr>
        <w:t xml:space="preserve"> </w:t>
      </w:r>
      <w:r>
        <w:rPr>
          <w:lang w:val="en-GB"/>
        </w:rPr>
        <w:t xml:space="preserve">is based on a </w:t>
      </w:r>
      <w:r w:rsidRPr="00D03F4B">
        <w:rPr>
          <w:lang w:val="en-GB"/>
        </w:rPr>
        <w:t xml:space="preserve">bio-optical relationship </w:t>
      </w:r>
      <w:r>
        <w:rPr>
          <w:lang w:val="en-GB"/>
        </w:rPr>
        <w:t>that links the Chl</w:t>
      </w:r>
      <w:r>
        <w:rPr>
          <w:i/>
          <w:lang w:val="en-GB"/>
        </w:rPr>
        <w:t>a</w:t>
      </w:r>
      <w:r>
        <w:rPr>
          <w:lang w:val="en-GB"/>
        </w:rPr>
        <w:t xml:space="preserve"> values to the diffuse light attenuation coefficient (</w:t>
      </w:r>
      <w:proofErr w:type="spellStart"/>
      <w:r>
        <w:rPr>
          <w:lang w:val="en-GB"/>
        </w:rPr>
        <w:t>K</w:t>
      </w:r>
      <w:r>
        <w:rPr>
          <w:vertAlign w:val="subscript"/>
          <w:lang w:val="en-GB"/>
        </w:rPr>
        <w:t>d</w:t>
      </w:r>
      <w:proofErr w:type="spellEnd"/>
      <w:r>
        <w:rPr>
          <w:lang w:val="en-GB"/>
        </w:rPr>
        <w:t>) as derived from the downwelling irradiance (E</w:t>
      </w:r>
      <w:r>
        <w:rPr>
          <w:vertAlign w:val="subscript"/>
          <w:lang w:val="en-GB"/>
        </w:rPr>
        <w:t>d</w:t>
      </w:r>
      <w:r>
        <w:rPr>
          <w:lang w:val="en-GB"/>
        </w:rPr>
        <w:t xml:space="preserve">) measurements acquired by BGC-Argo floats </w:t>
      </w:r>
      <w:r>
        <w:rPr>
          <w:lang w:val="en-GB"/>
        </w:rPr>
        <w:fldChar w:fldCharType="begin" w:fldLock="1"/>
      </w:r>
      <w:r>
        <w:rPr>
          <w:lang w:val="en-GB"/>
        </w:rPr>
        <w:instrText>ADDIN CSL_CITATION { "citationItems" : [ { "id" : "ITEM-1", "itemData" : { "DOI" : "10.1016/j.rse.2007.03.012", "ISBN" : "0034-4257", "ISSN" : "00344257", "abstract" : "During its lifetime, a space-borne ocean color sensor provides world-wide information about important biogeochemical properties of the upper ocean every 2 to 4\u00a0days in cloudless regions. Merging simultaneous or complementary data from such sensors to obtain better spatial and temporal coverage is a recurring objective, but it can only be reached if the consistency of the sensor-specific products, as delivered by the various Space Agencies, has first been carefully examined. The goal of the present study is to provide a procedure for establishing a coherency of open ocean (Case-1 waters) data products, for which the various data processing methods are sufficiently similar. The development of the procedure includes a detailed comparison of the marine algorithms used (after atmospheric corrections) by space agencies for the production of standard products, such as the chlorophyll concentration, [Chl], and the diffuse attenuation coefficient, Kd. The MODIS-Aqua, SeaWiFS and MERIS [Chl] products agree over a wide range, between \u223c 0.1 and 3\u00a0mg m- 3, whereas increasing divergences occur for oligotrophic waters ([Chl] (from 0.02 to 0.09\u00a0mg m- 3). For the Kd(490) coefficient, different algorithms are in use, with differing results. Based on a semi-analytical reflectance model and hyperspectral approach, the present work proposes a harmonization of the algorithms allowing the products of the various sensors to be comparable, and ultimately, meaningfully merged (the merging procedures themselves are not examined). Additional potential products, obtained by using [Chl] as an intermediate tool, are also examined and proposed. These products include the thickness of the layer heated by the sun, the depth of the euphotic zone, and the Secchi disk depth. The physical limitations in the predictive skill of such downward extrapolations, made from information concerning only the upper layer, are stressed. \u00a9 2007 Elsevier Inc. All rights reserved.", "author" : [ { "dropping-particle" : "", "family" : "Morel", "given" : "Andr\u00e9", "non-dropping-particle" : "", "parse-names" : false, "suffix" : "" }, { "dropping-particle" : "", "family" : "Huot", "given" : "Yannick", "non-dropping-particle" : "", "parse-names" : false, "suffix" : "" }, { "dropping-particle" : "", "family" : "Gentili", "given" : "Bernard", "non-dropping-particle" : "", "parse-names" : false, "suffix" : "" }, { "dropping-particle" : "", "family" : "Werdell", "given" : "P. Jeremy", "non-dropping-particle" : "", "parse-names" : false, "suffix" : "" }, { "dropping-particle" : "", "family" : "Hooker", "given" : "Stanford B.", "non-dropping-particle" : "", "parse-names" : false, "suffix" : "" }, { "dropping-particle" : "", "family" : "Franz", "given" : "Bryan A.", "non-dropping-particle" : "", "parse-names" : false, "suffix" : "" } ], "container-title" : "Remote Sensing of Environment", "id" : "ITEM-1", "issue" : "1", "issued" : { "date-parts" : [ [ "2007" ] ] }, "page" : "69-88", "title" : "Examining the consistency of products derived from various ocean color sensors in open ocean (Case 1) waters in the perspective of a multi-sensor approach", "type" : "article-journal", "volume" : "111" }, "uris" : [ "http://www.mendeley.com/documents/?uuid=48e42a9e-b113-4fff-8cf7-1a4a9afcf253" ] } ], "mendeley" : { "formattedCitation" : "[&lt;i&gt;Morel et al.&lt;/i&gt;, 2007]", "manualFormatting" : "(Morel et al., 2007a)", "plainTextFormattedCitation" : "[Morel et al., 2007]", "previouslyFormattedCitation" : "[&lt;i&gt;Morel et al.&lt;/i&gt;, 2007]" }, "properties" : {  }, "schema" : "https://github.com/citation-style-language/schema/raw/master/csl-citation.json" }</w:instrText>
      </w:r>
      <w:r>
        <w:rPr>
          <w:lang w:val="en-GB"/>
        </w:rPr>
        <w:fldChar w:fldCharType="separate"/>
      </w:r>
      <w:r>
        <w:rPr>
          <w:noProof/>
          <w:lang w:val="en-GB"/>
        </w:rPr>
        <w:t>(</w:t>
      </w:r>
      <w:r w:rsidRPr="00887475">
        <w:rPr>
          <w:i/>
          <w:noProof/>
          <w:lang w:val="en-GB"/>
        </w:rPr>
        <w:t>Morel et al.</w:t>
      </w:r>
      <w:r w:rsidRPr="00887475">
        <w:rPr>
          <w:noProof/>
          <w:lang w:val="en-GB"/>
        </w:rPr>
        <w:t>, 2007a</w:t>
      </w:r>
      <w:r>
        <w:rPr>
          <w:noProof/>
          <w:lang w:val="en-GB"/>
        </w:rPr>
        <w:t>)</w:t>
      </w:r>
      <w:r>
        <w:rPr>
          <w:lang w:val="en-GB"/>
        </w:rPr>
        <w:fldChar w:fldCharType="end"/>
      </w:r>
      <w:r>
        <w:rPr>
          <w:lang w:val="en-GB"/>
        </w:rPr>
        <w:t>.</w:t>
      </w:r>
    </w:p>
    <w:p w14:paraId="372F846A" w14:textId="77777777" w:rsidR="00DE063F" w:rsidRPr="00FE06C3" w:rsidRDefault="00DE063F" w:rsidP="00ED5F70">
      <w:pPr>
        <w:widowControl w:val="0"/>
        <w:autoSpaceDE w:val="0"/>
        <w:autoSpaceDN w:val="0"/>
        <w:adjustRightInd w:val="0"/>
        <w:ind w:firstLine="708"/>
        <w:jc w:val="both"/>
        <w:rPr>
          <w:lang w:val="en-GB"/>
        </w:rPr>
      </w:pPr>
      <w:r>
        <w:rPr>
          <w:lang w:val="en-GB"/>
        </w:rPr>
        <w:t xml:space="preserve">First, we looked at the impact of these different regional correction factors on </w:t>
      </w:r>
      <w:r w:rsidRPr="0059537F">
        <w:rPr>
          <w:lang w:val="en-GB"/>
        </w:rPr>
        <w:t>the distribution of the computed errors</w:t>
      </w:r>
      <w:r>
        <w:rPr>
          <w:lang w:val="en-GB"/>
        </w:rPr>
        <w:t xml:space="preserve"> in the b</w:t>
      </w:r>
      <w:r w:rsidRPr="00FE06C3">
        <w:rPr>
          <w:vertAlign w:val="subscript"/>
          <w:lang w:val="en-GB"/>
        </w:rPr>
        <w:t>bp</w:t>
      </w:r>
      <w:r w:rsidRPr="009E5F1F">
        <w:rPr>
          <w:szCs w:val="27"/>
          <w:lang w:val="en-GB"/>
        </w:rPr>
        <w:t>-to-Chl</w:t>
      </w:r>
      <w:r w:rsidRPr="009E5F1F">
        <w:rPr>
          <w:i/>
          <w:szCs w:val="27"/>
          <w:lang w:val="en-GB"/>
        </w:rPr>
        <w:t>a</w:t>
      </w:r>
      <w:r w:rsidRPr="009E5F1F">
        <w:rPr>
          <w:szCs w:val="27"/>
          <w:lang w:val="en-GB"/>
        </w:rPr>
        <w:t xml:space="preserve"> ratio</w:t>
      </w:r>
      <w:r>
        <w:rPr>
          <w:szCs w:val="27"/>
          <w:lang w:val="en-GB"/>
        </w:rPr>
        <w:t>.</w:t>
      </w:r>
      <w:r>
        <w:rPr>
          <w:lang w:val="en-GB"/>
        </w:rPr>
        <w:t xml:space="preserve"> We analysed t</w:t>
      </w:r>
      <w:r>
        <w:rPr>
          <w:szCs w:val="27"/>
          <w:lang w:val="en-AU"/>
        </w:rPr>
        <w:t>he</w:t>
      </w:r>
      <w:r w:rsidRPr="009E5F1F">
        <w:rPr>
          <w:szCs w:val="27"/>
          <w:lang w:val="en-AU"/>
        </w:rPr>
        <w:t xml:space="preserve"> relative error </w:t>
      </w:r>
      <w:r>
        <w:rPr>
          <w:szCs w:val="27"/>
          <w:lang w:val="en-AU"/>
        </w:rPr>
        <w:t>in the</w:t>
      </w:r>
      <w:r w:rsidRPr="009E5F1F">
        <w:rPr>
          <w:szCs w:val="27"/>
          <w:lang w:val="en-AU"/>
        </w:rPr>
        <w:t xml:space="preserve"> </w:t>
      </w:r>
      <w:r w:rsidRPr="009E5F1F">
        <w:rPr>
          <w:szCs w:val="27"/>
          <w:lang w:val="en-GB"/>
        </w:rPr>
        <w:t>b</w:t>
      </w:r>
      <w:r w:rsidRPr="009E5F1F">
        <w:rPr>
          <w:szCs w:val="27"/>
          <w:vertAlign w:val="subscript"/>
          <w:lang w:val="en-GB"/>
        </w:rPr>
        <w:t>bp</w:t>
      </w:r>
      <w:r w:rsidRPr="009E5F1F">
        <w:rPr>
          <w:szCs w:val="27"/>
          <w:lang w:val="en-GB"/>
        </w:rPr>
        <w:t>-to-Chl</w:t>
      </w:r>
      <w:r w:rsidRPr="009E5F1F">
        <w:rPr>
          <w:i/>
          <w:szCs w:val="27"/>
          <w:lang w:val="en-GB"/>
        </w:rPr>
        <w:t>a</w:t>
      </w:r>
      <w:r w:rsidRPr="009E5F1F">
        <w:rPr>
          <w:szCs w:val="27"/>
          <w:lang w:val="en-GB"/>
        </w:rPr>
        <w:t xml:space="preserve"> ratio computed </w:t>
      </w:r>
      <w:r>
        <w:rPr>
          <w:szCs w:val="27"/>
          <w:lang w:val="en-GB"/>
        </w:rPr>
        <w:t>following the method described in</w:t>
      </w:r>
      <w:r w:rsidRPr="009E5F1F">
        <w:rPr>
          <w:szCs w:val="27"/>
          <w:lang w:val="en-GB"/>
        </w:rPr>
        <w:t xml:space="preserve"> </w:t>
      </w:r>
      <w:r>
        <w:rPr>
          <w:szCs w:val="27"/>
          <w:lang w:val="en-GB"/>
        </w:rPr>
        <w:t>S</w:t>
      </w:r>
      <w:r w:rsidRPr="009E5F1F">
        <w:rPr>
          <w:szCs w:val="27"/>
          <w:lang w:val="en-GB"/>
        </w:rPr>
        <w:t xml:space="preserve">ection 2.2.3 of the manuscript using the </w:t>
      </w:r>
      <w:r>
        <w:rPr>
          <w:szCs w:val="27"/>
          <w:lang w:val="en-GB"/>
        </w:rPr>
        <w:t>global as well as the regional HPLC- and radiometry-based correction factors</w:t>
      </w:r>
      <w:r w:rsidRPr="009E5F1F">
        <w:rPr>
          <w:szCs w:val="27"/>
          <w:lang w:val="en-GB"/>
        </w:rPr>
        <w:t xml:space="preserve"> (</w:t>
      </w:r>
      <w:r w:rsidRPr="009E5F1F">
        <w:rPr>
          <w:szCs w:val="27"/>
          <w:lang w:val="en-AU"/>
        </w:rPr>
        <w:t xml:space="preserve">Figure </w:t>
      </w:r>
      <w:r w:rsidR="00707E91">
        <w:rPr>
          <w:szCs w:val="27"/>
          <w:lang w:val="en-AU"/>
        </w:rPr>
        <w:t>S</w:t>
      </w:r>
      <w:r>
        <w:rPr>
          <w:szCs w:val="27"/>
          <w:lang w:val="en-AU"/>
        </w:rPr>
        <w:t>A1</w:t>
      </w:r>
      <w:r w:rsidRPr="009E5F1F">
        <w:rPr>
          <w:szCs w:val="27"/>
          <w:lang w:val="en-AU"/>
        </w:rPr>
        <w:t>)</w:t>
      </w:r>
      <w:r w:rsidRPr="009E5F1F">
        <w:rPr>
          <w:szCs w:val="27"/>
          <w:lang w:val="en-GB"/>
        </w:rPr>
        <w:t xml:space="preserve">. </w:t>
      </w:r>
      <w:r>
        <w:rPr>
          <w:szCs w:val="27"/>
          <w:lang w:val="en-GB"/>
        </w:rPr>
        <w:t>The results</w:t>
      </w:r>
      <w:r w:rsidRPr="009E5F1F">
        <w:rPr>
          <w:szCs w:val="27"/>
          <w:lang w:val="en-GB"/>
        </w:rPr>
        <w:t xml:space="preserve"> </w:t>
      </w:r>
      <w:r>
        <w:rPr>
          <w:szCs w:val="27"/>
          <w:lang w:val="en-GB"/>
        </w:rPr>
        <w:t>suggest similar</w:t>
      </w:r>
      <w:r w:rsidRPr="009E5F1F">
        <w:rPr>
          <w:szCs w:val="27"/>
          <w:lang w:val="en-GB"/>
        </w:rPr>
        <w:t xml:space="preserve"> distribution</w:t>
      </w:r>
      <w:r>
        <w:rPr>
          <w:szCs w:val="27"/>
          <w:lang w:val="en-GB"/>
        </w:rPr>
        <w:t xml:space="preserve"> of the b</w:t>
      </w:r>
      <w:r w:rsidRPr="002A07FA">
        <w:rPr>
          <w:szCs w:val="27"/>
          <w:vertAlign w:val="subscript"/>
          <w:lang w:val="en-GB"/>
        </w:rPr>
        <w:t>bp</w:t>
      </w:r>
      <w:r>
        <w:rPr>
          <w:szCs w:val="27"/>
          <w:lang w:val="en-GB"/>
        </w:rPr>
        <w:t>-to-Chl</w:t>
      </w:r>
      <w:r w:rsidRPr="00972ECC">
        <w:rPr>
          <w:i/>
          <w:szCs w:val="27"/>
          <w:lang w:val="en-GB"/>
        </w:rPr>
        <w:t>a</w:t>
      </w:r>
      <w:r>
        <w:rPr>
          <w:szCs w:val="27"/>
          <w:lang w:val="en-GB"/>
        </w:rPr>
        <w:t xml:space="preserve"> relative errors regardless of the factor applied to correct the </w:t>
      </w:r>
      <w:r w:rsidRPr="009E5F1F">
        <w:rPr>
          <w:szCs w:val="27"/>
          <w:lang w:val="en-GB"/>
        </w:rPr>
        <w:t>Chl</w:t>
      </w:r>
      <w:r w:rsidRPr="009E5F1F">
        <w:rPr>
          <w:i/>
          <w:szCs w:val="27"/>
          <w:lang w:val="en-GB"/>
        </w:rPr>
        <w:t>a</w:t>
      </w:r>
      <w:r w:rsidRPr="009E5F1F">
        <w:rPr>
          <w:szCs w:val="27"/>
          <w:lang w:val="en-GB"/>
        </w:rPr>
        <w:t xml:space="preserve"> </w:t>
      </w:r>
      <w:r>
        <w:rPr>
          <w:szCs w:val="27"/>
          <w:lang w:val="en-GB"/>
        </w:rPr>
        <w:t>values</w:t>
      </w:r>
      <w:r w:rsidRPr="009E5F1F">
        <w:rPr>
          <w:szCs w:val="27"/>
          <w:lang w:val="en-GB"/>
        </w:rPr>
        <w:t xml:space="preserve"> </w:t>
      </w:r>
      <w:r>
        <w:rPr>
          <w:szCs w:val="27"/>
          <w:lang w:val="en-GB"/>
        </w:rPr>
        <w:t xml:space="preserve">at a statistical </w:t>
      </w:r>
      <w:r>
        <w:rPr>
          <w:szCs w:val="27"/>
          <w:lang w:val="en-GB"/>
        </w:rPr>
        <w:lastRenderedPageBreak/>
        <w:t>significance level of 0.01.</w:t>
      </w:r>
    </w:p>
    <w:p w14:paraId="34F7AF73" w14:textId="77777777" w:rsidR="00DE063F" w:rsidRDefault="00DE063F" w:rsidP="00DE063F">
      <w:pPr>
        <w:spacing w:line="276" w:lineRule="auto"/>
        <w:rPr>
          <w:lang w:val="en-AU"/>
        </w:rPr>
      </w:pPr>
      <w:r>
        <w:rPr>
          <w:noProof/>
          <w:lang w:val="fr-FR"/>
        </w:rPr>
        <w:drawing>
          <wp:inline distT="0" distB="0" distL="0" distR="0" wp14:anchorId="4BC1AD8E" wp14:editId="602C0690">
            <wp:extent cx="5756910" cy="3296920"/>
            <wp:effectExtent l="0" t="0" r="8890" b="5080"/>
            <wp:docPr id="2" name="Image 2" descr="Macintosh HD:Users:mariebarbieux:Desktop:PhD:Articles:bbp-chla_glob:2ndround:SI:hist_uncert_figA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ebarbieux:Desktop:PhD:Articles:bbp-chla_glob:2ndround:SI:hist_uncert_figA1.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3296920"/>
                    </a:xfrm>
                    <a:prstGeom prst="rect">
                      <a:avLst/>
                    </a:prstGeom>
                    <a:noFill/>
                    <a:ln>
                      <a:noFill/>
                    </a:ln>
                  </pic:spPr>
                </pic:pic>
              </a:graphicData>
            </a:graphic>
          </wp:inline>
        </w:drawing>
      </w:r>
    </w:p>
    <w:p w14:paraId="1D12998F" w14:textId="77777777" w:rsidR="00DE063F" w:rsidRDefault="00DE063F" w:rsidP="00571C54">
      <w:pPr>
        <w:jc w:val="both"/>
        <w:rPr>
          <w:i/>
          <w:lang w:val="en-AU"/>
        </w:rPr>
      </w:pPr>
      <w:r w:rsidRPr="00841A84">
        <w:rPr>
          <w:b/>
          <w:lang w:val="en-AU"/>
        </w:rPr>
        <w:t xml:space="preserve">Figure </w:t>
      </w:r>
      <w:r w:rsidR="00571C54">
        <w:rPr>
          <w:b/>
          <w:lang w:val="en-AU"/>
        </w:rPr>
        <w:t>S</w:t>
      </w:r>
      <w:r>
        <w:rPr>
          <w:b/>
          <w:lang w:val="en-AU"/>
        </w:rPr>
        <w:t>A1</w:t>
      </w:r>
      <w:r w:rsidRPr="00841A84">
        <w:rPr>
          <w:lang w:val="en-AU"/>
        </w:rPr>
        <w:t xml:space="preserve">: </w:t>
      </w:r>
      <w:r w:rsidRPr="00841A84">
        <w:rPr>
          <w:i/>
          <w:lang w:val="en-AU"/>
        </w:rPr>
        <w:t xml:space="preserve">Histogram of the </w:t>
      </w:r>
      <w:r>
        <w:rPr>
          <w:i/>
          <w:lang w:val="en-AU"/>
        </w:rPr>
        <w:t xml:space="preserve">distribution of the </w:t>
      </w:r>
      <w:r w:rsidRPr="00841A84">
        <w:rPr>
          <w:i/>
          <w:lang w:val="en-AU"/>
        </w:rPr>
        <w:t xml:space="preserve">relative error </w:t>
      </w:r>
      <w:r>
        <w:rPr>
          <w:i/>
          <w:lang w:val="en-AU"/>
        </w:rPr>
        <w:t>in</w:t>
      </w:r>
      <w:r w:rsidRPr="00841A84">
        <w:rPr>
          <w:i/>
          <w:lang w:val="en-AU"/>
        </w:rPr>
        <w:t xml:space="preserve"> the b</w:t>
      </w:r>
      <w:r w:rsidRPr="00841A84">
        <w:rPr>
          <w:i/>
          <w:vertAlign w:val="subscript"/>
          <w:lang w:val="en-AU"/>
        </w:rPr>
        <w:t>bp</w:t>
      </w:r>
      <w:r w:rsidRPr="00841A84">
        <w:rPr>
          <w:i/>
          <w:lang w:val="en-AU"/>
        </w:rPr>
        <w:t>-to-Chla ratio</w:t>
      </w:r>
      <w:r>
        <w:rPr>
          <w:i/>
          <w:lang w:val="en-AU"/>
        </w:rPr>
        <w:t xml:space="preserve"> for the 0-Z</w:t>
      </w:r>
      <w:r w:rsidRPr="00583CDB">
        <w:rPr>
          <w:i/>
          <w:vertAlign w:val="subscript"/>
          <w:lang w:val="en-AU"/>
        </w:rPr>
        <w:t>pd</w:t>
      </w:r>
      <w:r>
        <w:rPr>
          <w:i/>
          <w:lang w:val="en-AU"/>
        </w:rPr>
        <w:t xml:space="preserve"> layer;</w:t>
      </w:r>
      <w:r w:rsidRPr="00841A84">
        <w:rPr>
          <w:i/>
          <w:lang w:val="en-AU"/>
        </w:rPr>
        <w:t xml:space="preserve"> </w:t>
      </w:r>
      <w:r>
        <w:rPr>
          <w:i/>
          <w:lang w:val="en-AU"/>
        </w:rPr>
        <w:t xml:space="preserve">the </w:t>
      </w:r>
      <w:r w:rsidRPr="00841A84">
        <w:rPr>
          <w:i/>
          <w:lang w:val="en-AU"/>
        </w:rPr>
        <w:t xml:space="preserve">plain lines </w:t>
      </w:r>
      <w:r>
        <w:rPr>
          <w:i/>
          <w:lang w:val="en-AU"/>
        </w:rPr>
        <w:t>indicate</w:t>
      </w:r>
      <w:r w:rsidRPr="00841A84">
        <w:rPr>
          <w:i/>
          <w:lang w:val="en-AU"/>
        </w:rPr>
        <w:t xml:space="preserve"> the median error and dotted lines the 20% and 80% quantile</w:t>
      </w:r>
      <w:r>
        <w:rPr>
          <w:i/>
          <w:lang w:val="en-AU"/>
        </w:rPr>
        <w:t>.</w:t>
      </w:r>
    </w:p>
    <w:p w14:paraId="6D99C110" w14:textId="77777777" w:rsidR="00571C54" w:rsidRDefault="00DE063F" w:rsidP="00DE063F">
      <w:pPr>
        <w:widowControl w:val="0"/>
        <w:autoSpaceDE w:val="0"/>
        <w:autoSpaceDN w:val="0"/>
        <w:adjustRightInd w:val="0"/>
        <w:rPr>
          <w:lang w:val="en-GB"/>
        </w:rPr>
      </w:pPr>
      <w:r>
        <w:rPr>
          <w:lang w:val="en-GB"/>
        </w:rPr>
        <w:tab/>
      </w:r>
    </w:p>
    <w:p w14:paraId="3E9072E8" w14:textId="77777777" w:rsidR="00DE063F" w:rsidRDefault="00DE063F" w:rsidP="00571C54">
      <w:pPr>
        <w:widowControl w:val="0"/>
        <w:autoSpaceDE w:val="0"/>
        <w:autoSpaceDN w:val="0"/>
        <w:adjustRightInd w:val="0"/>
        <w:ind w:firstLine="708"/>
        <w:jc w:val="both"/>
        <w:rPr>
          <w:lang w:val="en-GB"/>
        </w:rPr>
      </w:pPr>
      <w:r>
        <w:rPr>
          <w:lang w:val="en-GB"/>
        </w:rPr>
        <w:t>It appears that correcting the fluorescence-based Chl</w:t>
      </w:r>
      <w:r>
        <w:rPr>
          <w:i/>
          <w:lang w:val="en-GB"/>
        </w:rPr>
        <w:t>a</w:t>
      </w:r>
      <w:r>
        <w:rPr>
          <w:lang w:val="en-GB"/>
        </w:rPr>
        <w:t xml:space="preserve"> values of the database with</w:t>
      </w:r>
      <w:r w:rsidRPr="00EA6746">
        <w:rPr>
          <w:lang w:val="en-GB"/>
        </w:rPr>
        <w:t xml:space="preserve"> regional </w:t>
      </w:r>
      <w:r>
        <w:rPr>
          <w:lang w:val="en-GB"/>
        </w:rPr>
        <w:t>factors compared to a global factor does not significantly affect the distribution of the computed errors</w:t>
      </w:r>
      <w:r w:rsidRPr="0030092D">
        <w:rPr>
          <w:lang w:val="en-GB"/>
        </w:rPr>
        <w:t xml:space="preserve"> </w:t>
      </w:r>
      <w:r>
        <w:rPr>
          <w:lang w:val="en-GB"/>
        </w:rPr>
        <w:t xml:space="preserve">in the </w:t>
      </w:r>
      <w:r w:rsidRPr="00EA6746">
        <w:rPr>
          <w:lang w:val="en-GB"/>
        </w:rPr>
        <w:t>b</w:t>
      </w:r>
      <w:r w:rsidRPr="00EA6746">
        <w:rPr>
          <w:vertAlign w:val="subscript"/>
          <w:lang w:val="en-GB"/>
        </w:rPr>
        <w:t>bp</w:t>
      </w:r>
      <w:r w:rsidRPr="00EA6746">
        <w:rPr>
          <w:lang w:val="en-GB"/>
        </w:rPr>
        <w:t>-to-Chl</w:t>
      </w:r>
      <w:r w:rsidRPr="00EA6746">
        <w:rPr>
          <w:i/>
          <w:lang w:val="en-GB"/>
        </w:rPr>
        <w:t>a</w:t>
      </w:r>
      <w:r w:rsidRPr="00EA6746">
        <w:rPr>
          <w:lang w:val="en-GB"/>
        </w:rPr>
        <w:t xml:space="preserve"> </w:t>
      </w:r>
      <w:r>
        <w:rPr>
          <w:lang w:val="en-GB"/>
        </w:rPr>
        <w:t>ratio.</w:t>
      </w:r>
    </w:p>
    <w:p w14:paraId="4694FDEE" w14:textId="194F8C91" w:rsidR="00DE063F" w:rsidRDefault="00DE063F" w:rsidP="00571C54">
      <w:pPr>
        <w:widowControl w:val="0"/>
        <w:autoSpaceDE w:val="0"/>
        <w:autoSpaceDN w:val="0"/>
        <w:adjustRightInd w:val="0"/>
        <w:jc w:val="both"/>
        <w:rPr>
          <w:szCs w:val="27"/>
          <w:lang w:val="en-GB"/>
        </w:rPr>
      </w:pPr>
      <w:r>
        <w:rPr>
          <w:lang w:val="en-GB"/>
        </w:rPr>
        <w:t xml:space="preserve">Second, </w:t>
      </w:r>
      <w:r w:rsidRPr="0059537F">
        <w:rPr>
          <w:lang w:val="en-GB"/>
        </w:rPr>
        <w:t>we performed an analysis of the sensitivity of the b</w:t>
      </w:r>
      <w:r w:rsidRPr="00EE0A91">
        <w:rPr>
          <w:vertAlign w:val="subscript"/>
          <w:lang w:val="en-GB"/>
        </w:rPr>
        <w:t>bp</w:t>
      </w:r>
      <w:r w:rsidRPr="0059537F">
        <w:rPr>
          <w:lang w:val="en-GB"/>
        </w:rPr>
        <w:t>-to-Chl</w:t>
      </w:r>
      <w:r w:rsidRPr="00EE0A91">
        <w:rPr>
          <w:i/>
          <w:lang w:val="en-GB"/>
        </w:rPr>
        <w:t>a</w:t>
      </w:r>
      <w:r w:rsidRPr="0059537F">
        <w:rPr>
          <w:lang w:val="en-GB"/>
        </w:rPr>
        <w:t xml:space="preserve"> relationship to </w:t>
      </w:r>
      <w:r w:rsidRPr="00EE0A91">
        <w:rPr>
          <w:i/>
          <w:lang w:val="en-GB"/>
        </w:rPr>
        <w:t>Roesler et al.</w:t>
      </w:r>
      <w:r>
        <w:rPr>
          <w:lang w:val="en-GB"/>
        </w:rPr>
        <w:t xml:space="preserve"> (2017)</w:t>
      </w:r>
      <w:r w:rsidRPr="0059537F">
        <w:rPr>
          <w:lang w:val="en-GB"/>
        </w:rPr>
        <w:t xml:space="preserve"> </w:t>
      </w:r>
      <w:r>
        <w:rPr>
          <w:lang w:val="en-GB"/>
        </w:rPr>
        <w:t xml:space="preserve">regional </w:t>
      </w:r>
      <w:r w:rsidRPr="0059537F">
        <w:rPr>
          <w:lang w:val="en-GB"/>
        </w:rPr>
        <w:t>correction factors</w:t>
      </w:r>
      <w:r>
        <w:rPr>
          <w:lang w:val="en-GB"/>
        </w:rPr>
        <w:t>. At a regional scale, w</w:t>
      </w:r>
      <w:r w:rsidRPr="004D3762">
        <w:rPr>
          <w:lang w:val="en-GB"/>
        </w:rPr>
        <w:t>e</w:t>
      </w:r>
      <w:r>
        <w:rPr>
          <w:lang w:val="en-GB"/>
        </w:rPr>
        <w:t xml:space="preserve"> </w:t>
      </w:r>
      <w:r w:rsidRPr="004D3762">
        <w:rPr>
          <w:lang w:val="en-GB"/>
        </w:rPr>
        <w:t>tested</w:t>
      </w:r>
      <w:r>
        <w:rPr>
          <w:lang w:val="en-GB"/>
        </w:rPr>
        <w:t xml:space="preserve"> </w:t>
      </w:r>
      <w:r w:rsidRPr="004D3762">
        <w:rPr>
          <w:lang w:val="en-GB"/>
        </w:rPr>
        <w:t xml:space="preserve">the </w:t>
      </w:r>
      <w:r>
        <w:rPr>
          <w:lang w:val="en-GB"/>
        </w:rPr>
        <w:t>influence</w:t>
      </w:r>
      <w:r w:rsidRPr="004D3762">
        <w:rPr>
          <w:lang w:val="en-GB"/>
        </w:rPr>
        <w:t xml:space="preserve"> </w:t>
      </w:r>
      <w:r>
        <w:rPr>
          <w:lang w:val="en-GB"/>
        </w:rPr>
        <w:t>of</w:t>
      </w:r>
      <w:r w:rsidRPr="004D3762">
        <w:rPr>
          <w:lang w:val="en-GB"/>
        </w:rPr>
        <w:t xml:space="preserve"> </w:t>
      </w:r>
      <w:r>
        <w:rPr>
          <w:lang w:val="en-GB"/>
        </w:rPr>
        <w:t xml:space="preserve">applying </w:t>
      </w:r>
      <w:r w:rsidRPr="004D3762">
        <w:rPr>
          <w:lang w:val="en-GB"/>
        </w:rPr>
        <w:t xml:space="preserve">the regional </w:t>
      </w:r>
      <w:r>
        <w:rPr>
          <w:lang w:val="en-GB"/>
        </w:rPr>
        <w:t>HPLC- and radiometry-derived</w:t>
      </w:r>
      <w:r w:rsidRPr="004D3762">
        <w:rPr>
          <w:lang w:val="en-GB"/>
        </w:rPr>
        <w:t xml:space="preserve"> </w:t>
      </w:r>
      <w:r>
        <w:rPr>
          <w:lang w:val="en-GB"/>
        </w:rPr>
        <w:t xml:space="preserve">correction factors, compared to the global factor of 2, </w:t>
      </w:r>
      <w:r w:rsidRPr="004D3762">
        <w:rPr>
          <w:lang w:val="en-GB"/>
        </w:rPr>
        <w:t xml:space="preserve">on the </w:t>
      </w:r>
      <w:r>
        <w:rPr>
          <w:lang w:val="en-GB"/>
        </w:rPr>
        <w:t xml:space="preserve">variability of the </w:t>
      </w:r>
      <w:r w:rsidRPr="004D3762">
        <w:rPr>
          <w:lang w:val="en-GB"/>
        </w:rPr>
        <w:t>b</w:t>
      </w:r>
      <w:r w:rsidRPr="004D3762">
        <w:rPr>
          <w:vertAlign w:val="subscript"/>
          <w:lang w:val="en-GB"/>
        </w:rPr>
        <w:t>bp</w:t>
      </w:r>
      <w:r>
        <w:rPr>
          <w:lang w:val="en-GB"/>
        </w:rPr>
        <w:t>-to-</w:t>
      </w:r>
      <w:r w:rsidRPr="004D3762">
        <w:rPr>
          <w:lang w:val="en-GB"/>
        </w:rPr>
        <w:t>Chl</w:t>
      </w:r>
      <w:r w:rsidRPr="004D3762">
        <w:rPr>
          <w:i/>
          <w:lang w:val="en-GB"/>
        </w:rPr>
        <w:t>a</w:t>
      </w:r>
      <w:r w:rsidRPr="004D3762">
        <w:rPr>
          <w:lang w:val="en-GB"/>
        </w:rPr>
        <w:t xml:space="preserve"> </w:t>
      </w:r>
      <w:r>
        <w:rPr>
          <w:lang w:val="en-GB"/>
        </w:rPr>
        <w:t>ratio</w:t>
      </w:r>
      <w:r w:rsidRPr="004D3762">
        <w:rPr>
          <w:lang w:val="en-GB"/>
        </w:rPr>
        <w:t>.</w:t>
      </w:r>
      <w:r>
        <w:rPr>
          <w:lang w:val="en-GB"/>
        </w:rPr>
        <w:t xml:space="preserve"> The r</w:t>
      </w:r>
      <w:r w:rsidRPr="00F627A2">
        <w:rPr>
          <w:lang w:val="en-GB"/>
        </w:rPr>
        <w:t>egional HPLC</w:t>
      </w:r>
      <w:r>
        <w:rPr>
          <w:lang w:val="en-GB"/>
        </w:rPr>
        <w:t>-based factors</w:t>
      </w:r>
      <w:r w:rsidRPr="00F627A2">
        <w:rPr>
          <w:lang w:val="en-GB"/>
        </w:rPr>
        <w:t xml:space="preserve"> are available </w:t>
      </w:r>
      <w:r>
        <w:rPr>
          <w:lang w:val="en-GB"/>
        </w:rPr>
        <w:t>for</w:t>
      </w:r>
      <w:r w:rsidRPr="00F627A2">
        <w:rPr>
          <w:lang w:val="en-GB"/>
        </w:rPr>
        <w:t xml:space="preserve"> </w:t>
      </w:r>
      <w:r>
        <w:rPr>
          <w:lang w:val="en-GB"/>
        </w:rPr>
        <w:t>four regions of our data</w:t>
      </w:r>
      <w:r w:rsidRPr="003477DF">
        <w:rPr>
          <w:lang w:val="en-GB"/>
        </w:rPr>
        <w:t>base</w:t>
      </w:r>
      <w:r>
        <w:rPr>
          <w:lang w:val="en-GB"/>
        </w:rPr>
        <w:t xml:space="preserve">: </w:t>
      </w:r>
      <w:r w:rsidRPr="004D3762">
        <w:rPr>
          <w:lang w:val="en-GB"/>
        </w:rPr>
        <w:t>Icelandic Basin of North Atlantic Subpolar Gyre</w:t>
      </w:r>
      <w:r>
        <w:rPr>
          <w:lang w:val="en-GB"/>
        </w:rPr>
        <w:t xml:space="preserve"> (ICB_NASPG)</w:t>
      </w:r>
      <w:r w:rsidRPr="004D3762">
        <w:rPr>
          <w:lang w:val="en-GB"/>
        </w:rPr>
        <w:t>, Indian Sector of the Southern Ocean</w:t>
      </w:r>
      <w:r>
        <w:rPr>
          <w:lang w:val="en-GB"/>
        </w:rPr>
        <w:t xml:space="preserve"> (IND_SO)</w:t>
      </w:r>
      <w:r w:rsidRPr="004D3762">
        <w:rPr>
          <w:lang w:val="en-GB"/>
        </w:rPr>
        <w:t>, North-western Mediterranean Sea</w:t>
      </w:r>
      <w:r>
        <w:rPr>
          <w:lang w:val="en-GB"/>
        </w:rPr>
        <w:t xml:space="preserve"> (NW_MED)</w:t>
      </w:r>
      <w:r w:rsidRPr="004D3762">
        <w:rPr>
          <w:lang w:val="en-GB"/>
        </w:rPr>
        <w:t xml:space="preserve"> and Levantine Sea</w:t>
      </w:r>
      <w:r>
        <w:rPr>
          <w:lang w:val="en-GB"/>
        </w:rPr>
        <w:t xml:space="preserve"> (LEV_MED)</w:t>
      </w:r>
      <w:r w:rsidRPr="004D3762">
        <w:rPr>
          <w:lang w:val="en-GB"/>
        </w:rPr>
        <w:t xml:space="preserve">. </w:t>
      </w:r>
      <w:r>
        <w:rPr>
          <w:lang w:val="en-GB"/>
        </w:rPr>
        <w:t>Those factors</w:t>
      </w:r>
      <w:r w:rsidRPr="004D3762">
        <w:rPr>
          <w:lang w:val="en-GB"/>
        </w:rPr>
        <w:t xml:space="preserve"> were, respectively</w:t>
      </w:r>
      <w:r>
        <w:rPr>
          <w:lang w:val="en-GB"/>
        </w:rPr>
        <w:t>,</w:t>
      </w:r>
      <w:r w:rsidRPr="004D3762">
        <w:rPr>
          <w:lang w:val="en-GB"/>
        </w:rPr>
        <w:t xml:space="preserve"> 2.6±0.78, 3.46±0.35, 1.62±0.28 and 1.</w:t>
      </w:r>
      <w:r>
        <w:rPr>
          <w:lang w:val="en-GB"/>
        </w:rPr>
        <w:t xml:space="preserve">72±0.23. The radiometry-based factors for </w:t>
      </w:r>
      <w:r w:rsidRPr="004D3762">
        <w:rPr>
          <w:lang w:val="en-GB"/>
        </w:rPr>
        <w:t xml:space="preserve">the </w:t>
      </w:r>
      <w:r>
        <w:rPr>
          <w:lang w:val="en-GB"/>
        </w:rPr>
        <w:t xml:space="preserve">same </w:t>
      </w:r>
      <w:r w:rsidRPr="004D3762">
        <w:rPr>
          <w:lang w:val="en-GB"/>
        </w:rPr>
        <w:t>regions were</w:t>
      </w:r>
      <w:r>
        <w:rPr>
          <w:lang w:val="en-GB"/>
        </w:rPr>
        <w:t>, respectively,</w:t>
      </w:r>
      <w:r w:rsidRPr="004D3762">
        <w:rPr>
          <w:lang w:val="en-GB"/>
        </w:rPr>
        <w:t xml:space="preserve"> 2.49±0.31, 4.13±0.65, 1.47±0.12 and 1.80±0.11.</w:t>
      </w:r>
      <w:r>
        <w:rPr>
          <w:lang w:val="en-GB"/>
        </w:rPr>
        <w:t xml:space="preserve"> </w:t>
      </w:r>
      <w:r w:rsidRPr="004D3762">
        <w:rPr>
          <w:lang w:val="en-GB"/>
        </w:rPr>
        <w:t xml:space="preserve">In </w:t>
      </w:r>
      <w:r>
        <w:rPr>
          <w:lang w:val="en-GB"/>
        </w:rPr>
        <w:t xml:space="preserve">the </w:t>
      </w:r>
      <w:r w:rsidRPr="004D3762">
        <w:rPr>
          <w:lang w:val="en-GB"/>
        </w:rPr>
        <w:t xml:space="preserve">ICB_NASPG and IND_SO, </w:t>
      </w:r>
      <w:r>
        <w:rPr>
          <w:lang w:val="en-GB"/>
        </w:rPr>
        <w:t xml:space="preserve">the </w:t>
      </w:r>
      <w:r w:rsidRPr="004D3762">
        <w:rPr>
          <w:lang w:val="en-GB"/>
        </w:rPr>
        <w:t>Chl</w:t>
      </w:r>
      <w:r w:rsidRPr="004D3762">
        <w:rPr>
          <w:i/>
          <w:lang w:val="en-GB"/>
        </w:rPr>
        <w:t>a</w:t>
      </w:r>
      <w:r w:rsidRPr="004D3762">
        <w:rPr>
          <w:lang w:val="en-GB"/>
        </w:rPr>
        <w:t xml:space="preserve"> </w:t>
      </w:r>
      <w:r>
        <w:rPr>
          <w:lang w:val="en-GB"/>
        </w:rPr>
        <w:t>values are</w:t>
      </w:r>
      <w:r w:rsidRPr="004D3762">
        <w:rPr>
          <w:lang w:val="en-GB"/>
        </w:rPr>
        <w:t xml:space="preserve"> underestimated </w:t>
      </w:r>
      <w:r>
        <w:rPr>
          <w:lang w:val="en-GB"/>
        </w:rPr>
        <w:t>when</w:t>
      </w:r>
      <w:r w:rsidRPr="004D3762">
        <w:rPr>
          <w:lang w:val="en-GB"/>
        </w:rPr>
        <w:t xml:space="preserve"> </w:t>
      </w:r>
      <w:r>
        <w:rPr>
          <w:lang w:val="en-GB"/>
        </w:rPr>
        <w:t>the</w:t>
      </w:r>
      <w:r w:rsidRPr="004D3762">
        <w:rPr>
          <w:lang w:val="en-GB"/>
        </w:rPr>
        <w:t xml:space="preserve"> global </w:t>
      </w:r>
      <w:r>
        <w:rPr>
          <w:lang w:val="en-GB"/>
        </w:rPr>
        <w:t>factor</w:t>
      </w:r>
      <w:r w:rsidRPr="004D3762">
        <w:rPr>
          <w:lang w:val="en-GB"/>
        </w:rPr>
        <w:t xml:space="preserve"> of 2 </w:t>
      </w:r>
      <w:r>
        <w:rPr>
          <w:lang w:val="en-GB"/>
        </w:rPr>
        <w:t xml:space="preserve">is applied </w:t>
      </w:r>
      <w:r w:rsidRPr="004D3762">
        <w:rPr>
          <w:lang w:val="en-GB"/>
        </w:rPr>
        <w:t xml:space="preserve">compared to the regional </w:t>
      </w:r>
      <w:r>
        <w:rPr>
          <w:lang w:val="en-GB"/>
        </w:rPr>
        <w:t xml:space="preserve">factors (&gt;2). In contrast, the </w:t>
      </w:r>
      <w:r w:rsidRPr="004D3762">
        <w:rPr>
          <w:lang w:val="en-GB"/>
        </w:rPr>
        <w:t>Chl</w:t>
      </w:r>
      <w:r w:rsidRPr="00C1687D">
        <w:rPr>
          <w:i/>
          <w:lang w:val="en-GB"/>
        </w:rPr>
        <w:t>a</w:t>
      </w:r>
      <w:r w:rsidRPr="004D3762">
        <w:rPr>
          <w:lang w:val="en-GB"/>
        </w:rPr>
        <w:t xml:space="preserve"> is</w:t>
      </w:r>
      <w:r>
        <w:rPr>
          <w:lang w:val="en-GB"/>
        </w:rPr>
        <w:t xml:space="preserve"> </w:t>
      </w:r>
      <w:r w:rsidRPr="004D3762">
        <w:rPr>
          <w:lang w:val="en-GB"/>
        </w:rPr>
        <w:t xml:space="preserve">overestimated in </w:t>
      </w:r>
      <w:r>
        <w:rPr>
          <w:lang w:val="en-GB"/>
        </w:rPr>
        <w:t xml:space="preserve">the </w:t>
      </w:r>
      <w:r w:rsidRPr="004D3762">
        <w:rPr>
          <w:lang w:val="en-GB"/>
        </w:rPr>
        <w:t xml:space="preserve">NW and </w:t>
      </w:r>
      <w:r>
        <w:rPr>
          <w:lang w:val="en-GB"/>
        </w:rPr>
        <w:t xml:space="preserve">the </w:t>
      </w:r>
      <w:r w:rsidRPr="004D3762">
        <w:rPr>
          <w:lang w:val="en-GB"/>
        </w:rPr>
        <w:t>LEV_MED.</w:t>
      </w:r>
      <w:r>
        <w:rPr>
          <w:szCs w:val="27"/>
          <w:lang w:val="en-GB"/>
        </w:rPr>
        <w:t xml:space="preserve"> Figure </w:t>
      </w:r>
      <w:r w:rsidR="00ED5F70">
        <w:rPr>
          <w:szCs w:val="27"/>
          <w:lang w:val="en-GB"/>
        </w:rPr>
        <w:t>S</w:t>
      </w:r>
      <w:r>
        <w:rPr>
          <w:szCs w:val="27"/>
          <w:lang w:val="en-GB"/>
        </w:rPr>
        <w:t>A2 shows the seasonal variability of the b</w:t>
      </w:r>
      <w:r w:rsidRPr="00857524">
        <w:rPr>
          <w:szCs w:val="27"/>
          <w:vertAlign w:val="subscript"/>
          <w:lang w:val="en-GB"/>
        </w:rPr>
        <w:t>bp</w:t>
      </w:r>
      <w:r>
        <w:rPr>
          <w:szCs w:val="27"/>
          <w:lang w:val="en-GB"/>
        </w:rPr>
        <w:t>-to-Chl</w:t>
      </w:r>
      <w:r w:rsidRPr="00857524">
        <w:rPr>
          <w:i/>
          <w:szCs w:val="27"/>
          <w:lang w:val="en-GB"/>
        </w:rPr>
        <w:t>a</w:t>
      </w:r>
      <w:r>
        <w:rPr>
          <w:szCs w:val="27"/>
          <w:lang w:val="en-GB"/>
        </w:rPr>
        <w:t xml:space="preserve"> ratio with the Chl</w:t>
      </w:r>
      <w:r w:rsidRPr="00857524">
        <w:rPr>
          <w:i/>
          <w:szCs w:val="27"/>
          <w:lang w:val="en-GB"/>
        </w:rPr>
        <w:t>a</w:t>
      </w:r>
      <w:r>
        <w:rPr>
          <w:szCs w:val="27"/>
          <w:lang w:val="en-GB"/>
        </w:rPr>
        <w:t xml:space="preserve"> originating from the global correction factor or from the regional HPLC- or radiometry-based factors. Because</w:t>
      </w:r>
      <w:r w:rsidRPr="009E5F1F">
        <w:rPr>
          <w:szCs w:val="27"/>
          <w:lang w:val="en-GB"/>
        </w:rPr>
        <w:t xml:space="preserve"> </w:t>
      </w:r>
      <w:r>
        <w:rPr>
          <w:szCs w:val="27"/>
          <w:lang w:val="en-GB"/>
        </w:rPr>
        <w:t xml:space="preserve">the </w:t>
      </w:r>
      <w:r w:rsidRPr="009E5F1F">
        <w:rPr>
          <w:szCs w:val="27"/>
          <w:lang w:val="en-GB"/>
        </w:rPr>
        <w:t xml:space="preserve">regional </w:t>
      </w:r>
      <w:r>
        <w:rPr>
          <w:szCs w:val="27"/>
          <w:lang w:val="en-GB"/>
        </w:rPr>
        <w:t>factors</w:t>
      </w:r>
      <w:r w:rsidRPr="009E5F1F">
        <w:rPr>
          <w:szCs w:val="27"/>
          <w:lang w:val="en-GB"/>
        </w:rPr>
        <w:t xml:space="preserve"> </w:t>
      </w:r>
      <w:r>
        <w:rPr>
          <w:szCs w:val="27"/>
          <w:lang w:val="en-GB"/>
        </w:rPr>
        <w:t>are</w:t>
      </w:r>
      <w:r w:rsidRPr="009E5F1F">
        <w:rPr>
          <w:szCs w:val="27"/>
          <w:lang w:val="en-GB"/>
        </w:rPr>
        <w:t xml:space="preserve"> constant over a </w:t>
      </w:r>
      <w:r>
        <w:rPr>
          <w:szCs w:val="27"/>
          <w:lang w:val="en-GB"/>
        </w:rPr>
        <w:t xml:space="preserve">given </w:t>
      </w:r>
      <w:r w:rsidRPr="009E5F1F">
        <w:rPr>
          <w:szCs w:val="27"/>
          <w:lang w:val="en-GB"/>
        </w:rPr>
        <w:t>region</w:t>
      </w:r>
      <w:r>
        <w:rPr>
          <w:szCs w:val="27"/>
          <w:lang w:val="en-GB"/>
        </w:rPr>
        <w:t xml:space="preserve">, </w:t>
      </w:r>
      <w:r w:rsidRPr="009E5F1F">
        <w:rPr>
          <w:szCs w:val="27"/>
          <w:lang w:val="en-GB"/>
        </w:rPr>
        <w:t xml:space="preserve">our </w:t>
      </w:r>
      <w:r>
        <w:rPr>
          <w:szCs w:val="27"/>
          <w:lang w:val="en-GB"/>
        </w:rPr>
        <w:t xml:space="preserve">regional </w:t>
      </w:r>
      <w:r w:rsidRPr="009E5F1F">
        <w:rPr>
          <w:szCs w:val="27"/>
          <w:lang w:val="en-GB"/>
        </w:rPr>
        <w:t>interpretation of the b</w:t>
      </w:r>
      <w:r w:rsidRPr="009E5F1F">
        <w:rPr>
          <w:szCs w:val="27"/>
          <w:vertAlign w:val="subscript"/>
          <w:lang w:val="en-GB"/>
        </w:rPr>
        <w:t>bp</w:t>
      </w:r>
      <w:r w:rsidRPr="009E5F1F">
        <w:rPr>
          <w:szCs w:val="27"/>
          <w:lang w:val="en-GB"/>
        </w:rPr>
        <w:t>-to-Chl</w:t>
      </w:r>
      <w:r w:rsidRPr="009E5F1F">
        <w:rPr>
          <w:i/>
          <w:szCs w:val="27"/>
          <w:lang w:val="en-GB"/>
        </w:rPr>
        <w:t>a</w:t>
      </w:r>
      <w:r w:rsidRPr="009E5F1F">
        <w:rPr>
          <w:szCs w:val="27"/>
          <w:lang w:val="en-GB"/>
        </w:rPr>
        <w:t xml:space="preserve"> ratio</w:t>
      </w:r>
      <w:r>
        <w:rPr>
          <w:szCs w:val="27"/>
          <w:lang w:val="en-GB"/>
        </w:rPr>
        <w:t xml:space="preserve"> seasonal variations remains essentially unchanged </w:t>
      </w:r>
      <w:r w:rsidRPr="009E5F1F">
        <w:rPr>
          <w:szCs w:val="27"/>
          <w:lang w:val="en-GB"/>
        </w:rPr>
        <w:t>(Fig</w:t>
      </w:r>
      <w:r>
        <w:rPr>
          <w:szCs w:val="27"/>
          <w:lang w:val="en-GB"/>
        </w:rPr>
        <w:t xml:space="preserve">ure </w:t>
      </w:r>
      <w:r w:rsidR="00707E91">
        <w:rPr>
          <w:szCs w:val="27"/>
          <w:lang w:val="en-GB"/>
        </w:rPr>
        <w:t>S</w:t>
      </w:r>
      <w:r>
        <w:rPr>
          <w:szCs w:val="27"/>
          <w:lang w:val="en-GB"/>
        </w:rPr>
        <w:t>A2)</w:t>
      </w:r>
      <w:r w:rsidRPr="009E5F1F">
        <w:rPr>
          <w:szCs w:val="27"/>
          <w:lang w:val="en-GB"/>
        </w:rPr>
        <w:t>.</w:t>
      </w:r>
    </w:p>
    <w:p w14:paraId="5CDE7085" w14:textId="77777777" w:rsidR="00DE063F" w:rsidRDefault="00DE063F" w:rsidP="00DE063F">
      <w:pPr>
        <w:rPr>
          <w:lang w:val="en-GB"/>
        </w:rPr>
      </w:pPr>
      <w:r>
        <w:rPr>
          <w:noProof/>
          <w:lang w:val="fr-FR"/>
        </w:rPr>
        <w:lastRenderedPageBreak/>
        <w:drawing>
          <wp:inline distT="0" distB="0" distL="0" distR="0" wp14:anchorId="1404A452" wp14:editId="1120A7BF">
            <wp:extent cx="5756910" cy="2794635"/>
            <wp:effectExtent l="0" t="0" r="8890" b="0"/>
            <wp:docPr id="3" name="Image 3" descr="Macintosh HD:Users:mariebarbieux:Desktop:PhD:Articles:bbp-chla_glob:2ndround:SI:bbpchla_climato_SF_figA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ebarbieux:Desktop:PhD:Articles:bbp-chla_glob:2ndround:SI:bbpchla_climato_SF_figA2.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2794635"/>
                    </a:xfrm>
                    <a:prstGeom prst="rect">
                      <a:avLst/>
                    </a:prstGeom>
                    <a:noFill/>
                    <a:ln>
                      <a:noFill/>
                    </a:ln>
                  </pic:spPr>
                </pic:pic>
              </a:graphicData>
            </a:graphic>
          </wp:inline>
        </w:drawing>
      </w:r>
    </w:p>
    <w:p w14:paraId="5C8F8F15" w14:textId="77777777" w:rsidR="00DE063F" w:rsidRDefault="00DE063F" w:rsidP="00571C54">
      <w:pPr>
        <w:spacing w:line="276" w:lineRule="auto"/>
        <w:jc w:val="both"/>
        <w:rPr>
          <w:lang w:val="en-GB"/>
        </w:rPr>
      </w:pPr>
      <w:r w:rsidRPr="00841A84">
        <w:rPr>
          <w:b/>
          <w:lang w:val="en-AU"/>
        </w:rPr>
        <w:t xml:space="preserve">Figure </w:t>
      </w:r>
      <w:r w:rsidR="00571C54">
        <w:rPr>
          <w:b/>
          <w:lang w:val="en-AU"/>
        </w:rPr>
        <w:t>S</w:t>
      </w:r>
      <w:r>
        <w:rPr>
          <w:b/>
          <w:lang w:val="en-AU"/>
        </w:rPr>
        <w:t>A2</w:t>
      </w:r>
      <w:r w:rsidRPr="00841A84">
        <w:rPr>
          <w:lang w:val="en-AU"/>
        </w:rPr>
        <w:t>:</w:t>
      </w:r>
      <w:r w:rsidRPr="0017625E">
        <w:rPr>
          <w:lang w:val="en-AU"/>
        </w:rPr>
        <w:t xml:space="preserve"> </w:t>
      </w:r>
      <w:r w:rsidRPr="00841A84">
        <w:rPr>
          <w:i/>
          <w:lang w:val="en-AU"/>
        </w:rPr>
        <w:t>Monthly climatology of the b</w:t>
      </w:r>
      <w:r w:rsidRPr="00841A84">
        <w:rPr>
          <w:i/>
          <w:vertAlign w:val="subscript"/>
          <w:lang w:val="en-AU"/>
        </w:rPr>
        <w:t>bp</w:t>
      </w:r>
      <w:r>
        <w:rPr>
          <w:i/>
          <w:lang w:val="en-AU"/>
        </w:rPr>
        <w:t>-to-</w:t>
      </w:r>
      <w:r w:rsidRPr="00841A84">
        <w:rPr>
          <w:i/>
          <w:lang w:val="en-AU"/>
        </w:rPr>
        <w:t>Chla ratio within the surface layer (0-Z</w:t>
      </w:r>
      <w:r w:rsidRPr="00841A84">
        <w:rPr>
          <w:i/>
          <w:vertAlign w:val="subscript"/>
          <w:lang w:val="en-AU"/>
        </w:rPr>
        <w:t>pd</w:t>
      </w:r>
      <w:r w:rsidRPr="00841A84">
        <w:rPr>
          <w:i/>
          <w:lang w:val="en-AU"/>
        </w:rPr>
        <w:t xml:space="preserve">) for the four regions where </w:t>
      </w:r>
      <w:r>
        <w:rPr>
          <w:i/>
          <w:lang w:val="en-AU"/>
        </w:rPr>
        <w:t xml:space="preserve">regional </w:t>
      </w:r>
      <w:r w:rsidRPr="00841A84">
        <w:rPr>
          <w:i/>
          <w:lang w:val="en-AU"/>
        </w:rPr>
        <w:t>HPLC</w:t>
      </w:r>
      <w:r>
        <w:rPr>
          <w:i/>
          <w:lang w:val="en-AU"/>
        </w:rPr>
        <w:t>-</w:t>
      </w:r>
      <w:r w:rsidRPr="00841A84">
        <w:rPr>
          <w:i/>
          <w:lang w:val="en-AU"/>
        </w:rPr>
        <w:t xml:space="preserve"> and radiometr</w:t>
      </w:r>
      <w:r>
        <w:rPr>
          <w:i/>
          <w:lang w:val="en-AU"/>
        </w:rPr>
        <w:t>y-derived</w:t>
      </w:r>
      <w:r w:rsidRPr="00841A84">
        <w:rPr>
          <w:i/>
          <w:lang w:val="en-AU"/>
        </w:rPr>
        <w:t xml:space="preserve"> </w:t>
      </w:r>
      <w:r>
        <w:rPr>
          <w:i/>
          <w:lang w:val="en-AU"/>
        </w:rPr>
        <w:t xml:space="preserve">correction </w:t>
      </w:r>
      <w:r w:rsidRPr="00841A84">
        <w:rPr>
          <w:i/>
          <w:lang w:val="en-AU"/>
        </w:rPr>
        <w:t>factor</w:t>
      </w:r>
      <w:r>
        <w:rPr>
          <w:i/>
          <w:lang w:val="en-AU"/>
        </w:rPr>
        <w:t>s</w:t>
      </w:r>
      <w:r w:rsidRPr="00841A84">
        <w:rPr>
          <w:i/>
          <w:lang w:val="en-AU"/>
        </w:rPr>
        <w:t xml:space="preserve"> are available. </w:t>
      </w:r>
    </w:p>
    <w:p w14:paraId="0A7100A2" w14:textId="77777777" w:rsidR="00571C54" w:rsidRDefault="00571C54" w:rsidP="00571C54">
      <w:pPr>
        <w:widowControl w:val="0"/>
        <w:autoSpaceDE w:val="0"/>
        <w:autoSpaceDN w:val="0"/>
        <w:adjustRightInd w:val="0"/>
        <w:ind w:firstLine="708"/>
        <w:rPr>
          <w:lang w:val="en-GB"/>
        </w:rPr>
      </w:pPr>
    </w:p>
    <w:p w14:paraId="2C31FED3" w14:textId="77777777" w:rsidR="00DE063F" w:rsidRDefault="00DE063F" w:rsidP="00571C54">
      <w:pPr>
        <w:widowControl w:val="0"/>
        <w:autoSpaceDE w:val="0"/>
        <w:autoSpaceDN w:val="0"/>
        <w:adjustRightInd w:val="0"/>
        <w:ind w:firstLine="708"/>
        <w:jc w:val="both"/>
      </w:pPr>
      <w:r>
        <w:rPr>
          <w:lang w:val="en-GB"/>
        </w:rPr>
        <w:t>At a global scale, we examined the</w:t>
      </w:r>
      <w:r w:rsidRPr="00C665DF">
        <w:rPr>
          <w:lang w:val="en-GB"/>
        </w:rPr>
        <w:t xml:space="preserve"> </w:t>
      </w:r>
      <w:r>
        <w:rPr>
          <w:lang w:val="en-GB"/>
        </w:rPr>
        <w:t>impact on the</w:t>
      </w:r>
      <w:r w:rsidRPr="00C665DF">
        <w:rPr>
          <w:lang w:val="en-GB"/>
        </w:rPr>
        <w:t xml:space="preserve"> b</w:t>
      </w:r>
      <w:r w:rsidRPr="00ED502C">
        <w:rPr>
          <w:vertAlign w:val="subscript"/>
          <w:lang w:val="en-GB"/>
        </w:rPr>
        <w:t>bp</w:t>
      </w:r>
      <w:r w:rsidRPr="00C665DF">
        <w:rPr>
          <w:lang w:val="en-GB"/>
        </w:rPr>
        <w:t>-to-Chl</w:t>
      </w:r>
      <w:r w:rsidRPr="00ED502C">
        <w:rPr>
          <w:i/>
          <w:lang w:val="en-GB"/>
        </w:rPr>
        <w:t>a</w:t>
      </w:r>
      <w:r w:rsidRPr="00C665DF">
        <w:rPr>
          <w:lang w:val="en-GB"/>
        </w:rPr>
        <w:t xml:space="preserve"> relationships </w:t>
      </w:r>
      <w:r>
        <w:rPr>
          <w:lang w:val="en-GB"/>
        </w:rPr>
        <w:t>in</w:t>
      </w:r>
      <w:r w:rsidRPr="00C665DF">
        <w:rPr>
          <w:lang w:val="en-GB"/>
        </w:rPr>
        <w:t xml:space="preserve"> the different layers of the water column</w:t>
      </w:r>
      <w:r>
        <w:rPr>
          <w:lang w:val="en-GB"/>
        </w:rPr>
        <w:t>, of</w:t>
      </w:r>
      <w:r w:rsidRPr="00C665DF">
        <w:rPr>
          <w:lang w:val="en-GB"/>
        </w:rPr>
        <w:t xml:space="preserve"> </w:t>
      </w:r>
      <w:r>
        <w:rPr>
          <w:lang w:val="en-GB"/>
        </w:rPr>
        <w:t xml:space="preserve">the </w:t>
      </w:r>
      <w:r w:rsidRPr="00C665DF">
        <w:rPr>
          <w:lang w:val="en-GB"/>
        </w:rPr>
        <w:t>application of the globa</w:t>
      </w:r>
      <w:r>
        <w:rPr>
          <w:lang w:val="en-GB"/>
        </w:rPr>
        <w:t xml:space="preserve">l factor of 2 </w:t>
      </w:r>
      <w:r w:rsidRPr="00AA2918">
        <w:rPr>
          <w:i/>
          <w:lang w:val="en-GB"/>
        </w:rPr>
        <w:t>versus</w:t>
      </w:r>
      <w:r>
        <w:rPr>
          <w:lang w:val="en-GB"/>
        </w:rPr>
        <w:t xml:space="preserve"> the regional radiometry-based factors. This global-scale analysis has been conducted using the radiometry-based factors that were available for 20 of the 24 regions of our BGC-Argo database</w:t>
      </w:r>
      <w:r w:rsidRPr="00C665DF">
        <w:rPr>
          <w:lang w:val="en-GB"/>
        </w:rPr>
        <w:t xml:space="preserve">. </w:t>
      </w:r>
      <w:r>
        <w:rPr>
          <w:lang w:val="en-GB"/>
        </w:rPr>
        <w:t>It could not be performed with the HPLC-based factors, available for only 4 regions of our database. The r</w:t>
      </w:r>
      <w:r w:rsidRPr="00C665DF">
        <w:rPr>
          <w:lang w:val="en-GB"/>
        </w:rPr>
        <w:t xml:space="preserve">esults </w:t>
      </w:r>
      <w:r>
        <w:rPr>
          <w:lang w:val="en-GB"/>
        </w:rPr>
        <w:t xml:space="preserve">are presented in </w:t>
      </w:r>
      <w:r w:rsidRPr="00C665DF">
        <w:rPr>
          <w:lang w:val="en-GB"/>
        </w:rPr>
        <w:t>Fig</w:t>
      </w:r>
      <w:r>
        <w:rPr>
          <w:lang w:val="en-GB"/>
        </w:rPr>
        <w:t>ure</w:t>
      </w:r>
      <w:r w:rsidRPr="00C665DF">
        <w:rPr>
          <w:lang w:val="en-GB"/>
        </w:rPr>
        <w:t xml:space="preserve"> </w:t>
      </w:r>
      <w:r w:rsidR="00707E91">
        <w:rPr>
          <w:lang w:val="en-GB"/>
        </w:rPr>
        <w:t>S</w:t>
      </w:r>
      <w:r>
        <w:rPr>
          <w:lang w:val="en-GB"/>
        </w:rPr>
        <w:t>A3</w:t>
      </w:r>
      <w:r w:rsidRPr="00C665DF">
        <w:rPr>
          <w:lang w:val="en-GB"/>
        </w:rPr>
        <w:t xml:space="preserve"> and Tab</w:t>
      </w:r>
      <w:r>
        <w:rPr>
          <w:lang w:val="en-GB"/>
        </w:rPr>
        <w:t>le</w:t>
      </w:r>
      <w:r w:rsidRPr="00C665DF">
        <w:rPr>
          <w:lang w:val="en-GB"/>
        </w:rPr>
        <w:t xml:space="preserve"> </w:t>
      </w:r>
      <w:r w:rsidR="00707E91">
        <w:rPr>
          <w:lang w:val="en-GB"/>
        </w:rPr>
        <w:t>S</w:t>
      </w:r>
      <w:r>
        <w:rPr>
          <w:lang w:val="en-GB"/>
        </w:rPr>
        <w:t>A</w:t>
      </w:r>
      <w:r w:rsidRPr="00C665DF">
        <w:rPr>
          <w:lang w:val="en-GB"/>
        </w:rPr>
        <w:t>1</w:t>
      </w:r>
      <w:r>
        <w:rPr>
          <w:lang w:val="en-GB"/>
        </w:rPr>
        <w:t>;</w:t>
      </w:r>
      <w:r w:rsidRPr="00C665DF">
        <w:rPr>
          <w:lang w:val="en-GB"/>
        </w:rPr>
        <w:t xml:space="preserve"> Fig</w:t>
      </w:r>
      <w:r>
        <w:rPr>
          <w:lang w:val="en-GB"/>
        </w:rPr>
        <w:t>ure</w:t>
      </w:r>
      <w:r w:rsidRPr="00C665DF">
        <w:rPr>
          <w:lang w:val="en-GB"/>
        </w:rPr>
        <w:t xml:space="preserve"> </w:t>
      </w:r>
      <w:r w:rsidR="00707E91">
        <w:rPr>
          <w:lang w:val="en-GB"/>
        </w:rPr>
        <w:t>S</w:t>
      </w:r>
      <w:r>
        <w:rPr>
          <w:lang w:val="en-GB"/>
        </w:rPr>
        <w:t>A3</w:t>
      </w:r>
      <w:r w:rsidRPr="00C665DF">
        <w:rPr>
          <w:lang w:val="en-GB"/>
        </w:rPr>
        <w:t xml:space="preserve"> </w:t>
      </w:r>
      <w:r>
        <w:rPr>
          <w:lang w:val="en-GB"/>
        </w:rPr>
        <w:t>is similar to</w:t>
      </w:r>
      <w:r w:rsidRPr="00C665DF">
        <w:rPr>
          <w:lang w:val="en-GB"/>
        </w:rPr>
        <w:t xml:space="preserve"> </w:t>
      </w:r>
      <w:r>
        <w:rPr>
          <w:lang w:val="en-GB"/>
        </w:rPr>
        <w:t>F</w:t>
      </w:r>
      <w:r w:rsidRPr="00C665DF">
        <w:rPr>
          <w:lang w:val="en-GB"/>
        </w:rPr>
        <w:t>igure 3 of the manuscript</w:t>
      </w:r>
      <w:r>
        <w:rPr>
          <w:lang w:val="en-GB"/>
        </w:rPr>
        <w:t xml:space="preserve"> but uses the regional radiometry-based factors instead of the global factor of 2. The radiometry-derived correction factors</w:t>
      </w:r>
      <w:r w:rsidRPr="00C665DF">
        <w:rPr>
          <w:lang w:val="en-GB"/>
        </w:rPr>
        <w:t xml:space="preserve"> do not significantly </w:t>
      </w:r>
      <w:r>
        <w:rPr>
          <w:lang w:val="en-GB"/>
        </w:rPr>
        <w:t>alter</w:t>
      </w:r>
      <w:r w:rsidRPr="00C665DF">
        <w:rPr>
          <w:lang w:val="en-GB"/>
        </w:rPr>
        <w:t xml:space="preserve"> the b</w:t>
      </w:r>
      <w:r w:rsidRPr="00ED502C">
        <w:rPr>
          <w:vertAlign w:val="subscript"/>
          <w:lang w:val="en-GB"/>
        </w:rPr>
        <w:t>bp</w:t>
      </w:r>
      <w:r w:rsidRPr="00C665DF">
        <w:rPr>
          <w:lang w:val="en-GB"/>
        </w:rPr>
        <w:t>-to-Chl</w:t>
      </w:r>
      <w:r w:rsidRPr="00ED502C">
        <w:rPr>
          <w:i/>
          <w:lang w:val="en-GB"/>
        </w:rPr>
        <w:t>a</w:t>
      </w:r>
      <w:r w:rsidRPr="00C665DF">
        <w:rPr>
          <w:lang w:val="en-GB"/>
        </w:rPr>
        <w:t xml:space="preserve"> relationship in the different layers of the water column</w:t>
      </w:r>
      <w:r>
        <w:rPr>
          <w:lang w:val="en-GB"/>
        </w:rPr>
        <w:t xml:space="preserve"> as suggested by the results of a significance test (mentioned in Table </w:t>
      </w:r>
      <w:r w:rsidR="00707E91">
        <w:rPr>
          <w:lang w:val="en-GB"/>
        </w:rPr>
        <w:t>S</w:t>
      </w:r>
      <w:r>
        <w:rPr>
          <w:lang w:val="en-GB"/>
        </w:rPr>
        <w:t>A1)</w:t>
      </w:r>
      <w:r w:rsidRPr="00C665DF">
        <w:rPr>
          <w:lang w:val="en-GB"/>
        </w:rPr>
        <w:t xml:space="preserve">. The most noticeable change </w:t>
      </w:r>
      <w:r>
        <w:rPr>
          <w:lang w:val="en-GB"/>
        </w:rPr>
        <w:t xml:space="preserve">shown </w:t>
      </w:r>
      <w:r w:rsidRPr="00C665DF">
        <w:rPr>
          <w:lang w:val="en-GB"/>
        </w:rPr>
        <w:t xml:space="preserve">in </w:t>
      </w:r>
      <w:r>
        <w:rPr>
          <w:lang w:val="en-GB"/>
        </w:rPr>
        <w:t>F</w:t>
      </w:r>
      <w:r w:rsidRPr="00C665DF">
        <w:rPr>
          <w:lang w:val="en-GB"/>
        </w:rPr>
        <w:t xml:space="preserve">igure </w:t>
      </w:r>
      <w:r w:rsidR="00707E91">
        <w:rPr>
          <w:lang w:val="en-GB"/>
        </w:rPr>
        <w:t>S</w:t>
      </w:r>
      <w:r>
        <w:rPr>
          <w:lang w:val="en-GB"/>
        </w:rPr>
        <w:t>A3</w:t>
      </w:r>
      <w:r w:rsidRPr="00C665DF">
        <w:rPr>
          <w:lang w:val="en-GB"/>
        </w:rPr>
        <w:t xml:space="preserve">, compared to </w:t>
      </w:r>
      <w:r>
        <w:rPr>
          <w:lang w:val="en-GB"/>
        </w:rPr>
        <w:t>F</w:t>
      </w:r>
      <w:r w:rsidRPr="00C665DF">
        <w:rPr>
          <w:lang w:val="en-GB"/>
        </w:rPr>
        <w:t xml:space="preserve">igure 3 of the manuscript, is observed </w:t>
      </w:r>
      <w:r>
        <w:rPr>
          <w:lang w:val="en-GB"/>
        </w:rPr>
        <w:t>for</w:t>
      </w:r>
      <w:r w:rsidRPr="00C665DF">
        <w:rPr>
          <w:lang w:val="en-GB"/>
        </w:rPr>
        <w:t xml:space="preserve"> the Southern Ocean</w:t>
      </w:r>
      <w:r>
        <w:rPr>
          <w:lang w:val="en-GB"/>
        </w:rPr>
        <w:t>. This region of the global ocean</w:t>
      </w:r>
      <w:r w:rsidRPr="00C665DF">
        <w:rPr>
          <w:lang w:val="en-GB"/>
        </w:rPr>
        <w:t xml:space="preserve"> </w:t>
      </w:r>
      <w:r>
        <w:rPr>
          <w:lang w:val="en-GB"/>
        </w:rPr>
        <w:t>has been reported</w:t>
      </w:r>
      <w:r>
        <w:t xml:space="preserve"> </w:t>
      </w:r>
      <w:r w:rsidRPr="00583CDB">
        <w:t>to have an atypical bio-optical status</w:t>
      </w:r>
      <w:r>
        <w:t xml:space="preserve"> </w:t>
      </w:r>
      <w:r>
        <w:fldChar w:fldCharType="begin" w:fldLock="1"/>
      </w:r>
      <w:r>
        <w:instrText>ADDIN CSL_CITATION { "citationItems" : [ { "id" : "ITEM-1", "itemData" : { "DOI" : "doi:10.1002/2016JC012629.", "author" : [ { "dropping-particle" : "", "family" : "Organelli", "given" : "Emanuele", "non-dropping-particle" : "", "parse-names" : false, "suffix" : "" }, { "dropping-particle" : "", "family" : "D\u2019Ortenzio", "given" : "Fabrizio", "non-dropping-particle" : "", "parse-names" : false, "suffix" : "" }, { "dropping-particle" : "", "family" : "Claustre", "given" : "Herve", "non-dropping-particle" : "", "parse-names" : false, "suffix" : "" }, { "dropping-particle" : "", "family" : "Bricaud", "given" : "Annick", "non-dropping-particle" : "", "parse-names" : false, "suffix" : "" }, { "dropping-particle" : "", "family" : "Barbieux", "given" : "Marie", "non-dropping-particle" : "", "parse-names" : false, "suffix" : "" }, { "dropping-particle" : "", "family" : "Uitz", "given" : "Julia", "non-dropping-particle" : "", "parse-names" : false, "suffix" : "" }, { "dropping-particle" : "", "family" : "Dall\u2019Olmo", "given" : "Giorgio", "non-dropping-particle" : "", "parse-names" : false, "suffix" : "" } ], "container-title" : "Journal of Geophysical Research : Oceans", "id" : "ITEM-1", "issued" : { "date-parts" : [ [ "2017" ] ] }, "page" : "2017-2033", "title" : "Bio-optical anomalies in the world\u2019s oceans: An investigation on the diffuse attenuation coefficients for downward irradiance derived fromBiogeochemical Argo float measurements", "type" : "article-journal", "volume" : "122" }, "uris" : [ "http://www.mendeley.com/documents/?uuid=81dc88a5-742d-4e3a-9169-d01f6eec2a46" ] } ], "mendeley" : { "formattedCitation" : "[&lt;i&gt;Organelli et al.&lt;/i&gt;, 2017]", "manualFormatting" : "(Organelli et al., 2017a)", "plainTextFormattedCitation" : "[Organelli et al., 2017]", "previouslyFormattedCitation" : "[&lt;i&gt;Organelli et al.&lt;/i&gt;, 2017]" }, "properties" : {  }, "schema" : "https://github.com/citation-style-language/schema/raw/master/csl-citation.json" }</w:instrText>
      </w:r>
      <w:r>
        <w:fldChar w:fldCharType="separate"/>
      </w:r>
      <w:r>
        <w:rPr>
          <w:noProof/>
        </w:rPr>
        <w:t>(</w:t>
      </w:r>
      <w:r w:rsidRPr="00887475">
        <w:rPr>
          <w:i/>
          <w:noProof/>
        </w:rPr>
        <w:t>Organelli et al.</w:t>
      </w:r>
      <w:r w:rsidRPr="00887475">
        <w:rPr>
          <w:noProof/>
        </w:rPr>
        <w:t>, 2017a</w:t>
      </w:r>
      <w:r>
        <w:rPr>
          <w:noProof/>
        </w:rPr>
        <w:t>)</w:t>
      </w:r>
      <w:r>
        <w:fldChar w:fldCharType="end"/>
      </w:r>
      <w:r w:rsidRPr="00583CDB">
        <w:t xml:space="preserve">, </w:t>
      </w:r>
      <w:r>
        <w:t>so that the regional radiometry-derived factors may be questionable</w:t>
      </w:r>
      <w:r w:rsidRPr="00583CDB">
        <w:t>.</w:t>
      </w:r>
      <w:r w:rsidRPr="004D3762">
        <w:t xml:space="preserve"> </w:t>
      </w:r>
      <w:r>
        <w:t xml:space="preserve">The Southern Ocean is also the largest High Nutrient Low Chlorophyll (HNLC) region of the global ocean, with large </w:t>
      </w:r>
      <w:proofErr w:type="spellStart"/>
      <w:r>
        <w:t>spatio</w:t>
      </w:r>
      <w:proofErr w:type="spellEnd"/>
      <w:r>
        <w:t xml:space="preserve">-temporal variability in iron stress </w:t>
      </w:r>
      <w:r>
        <w:fldChar w:fldCharType="begin" w:fldLock="1"/>
      </w:r>
      <w:r>
        <w:instrText>ADDIN CSL_CITATION { "citationItems" : [ { "id" : "ITEM-1", "itemData" : { "author" : [ { "dropping-particle" : "", "family" : "Boyd", "given" : "Philip W", "non-dropping-particle" : "", "parse-names" : false, "suffix" : "" }, { "dropping-particle" : "", "family" : "Watson", "given" : "Andrew J", "non-dropping-particle" : "", "parse-names" : false, "suffix" : "" }, { "dropping-particle" : "", "family" : "Law", "given" : "Cliff S", "non-dropping-particle" : "", "parse-names" : false, "suffix" : "" }, { "dropping-particle" : "", "family" : "Abraham", "given" : "Edward R", "non-dropping-particle" : "", "parse-names" : false, "suffix" : "" }, { "dropping-particle" : "", "family" : "Trull", "given" : "Thomas", "non-dropping-particle" : "", "parse-names" : false, "suffix" : "" }, { "dropping-particle" : "", "family" : "Murdoch", "given" : "Rob", "non-dropping-particle" : "", "parse-names" : false, "suffix" : "" }, { "dropping-particle" : "", "family" : "Bakker", "given" : "Dorothee C E", "non-dropping-particle" : "", "parse-names" : false, "suffix" : "" }, { "dropping-particle" : "", "family" : "Bowie", "given" : "Andrew R", "non-dropping-particle" : "", "parse-names" : false, "suffix" : "" }, { "dropping-particle" : "", "family" : "Buesseler", "given" : "K O", "non-dropping-particle" : "", "parse-names" : false, "suffix" : "" }, { "dropping-particle" : "", "family" : "Chang", "given" : "Hoe", "non-dropping-particle" : "", "parse-names" : false, "suffix" : "" }, { "dropping-particle" : "", "family" : "Charette", "given" : "Matthew", "non-dropping-particle" : "", "parse-names" : false, "suffix" : "" }, { "dropping-particle" : "", "family" : "Croot", "given" : "Peter", "non-dropping-particle" : "", "parse-names" : false, "suffix" : "" }, { "dropping-particle" : "", "family" : "Downing", "given" : "Ken", "non-dropping-particle" : "", "parse-names" : false, "suffix" : "" }, { "dropping-particle" : "", "family" : "Frew", "given" : "Russell", "non-dropping-particle" : "", "parse-names" : false, "suffix" : "" }, { "dropping-particle" : "", "family" : "Gall", "given" : "Mark", "non-dropping-particle" : "", "parse-names" : false, "suffix" : "" }, { "dropping-particle" : "", "family" : "Hadfield", "given" : "Mark", "non-dropping-particle" : "", "parse-names" : false, "suffix" : "" }, { "dropping-particle" : "", "family" : "Hall", "given" : "Julie", "non-dropping-particle" : "", "parse-names" : false, "suffix" : "" }, { "dropping-particle" : "", "family" : "Harvey", "given" : "Mike", "non-dropping-particle" : "", "parse-names" : false, "suffix" : "" }, { "dropping-particle" : "", "family" : "Jameson", "given" : "Greg", "non-dropping-particle" : "", "parse-names" : false, "suffix" : "" }, { "dropping-particle" : "", "family" : "Laroche", "given" : "Julie", "non-dropping-particle" : "", "parse-names" : false, "suffix" : "" }, { "dropping-particle" : "", "family" : "Liddicoat", "given" : "Malcolm", "non-dropping-particle" : "", "parse-names" : false, "suffix" : "" }, { "dropping-particle" : "", "family" : "Ling", "given" : "Roger", "non-dropping-particle" : "", "parse-names" : false, "suffix" : "" }, { "dropping-particle" : "", "family" : "Maldonado", "given" : "Maria T", "non-dropping-particle" : "", "parse-names" : false, "suffix" : "" }, { "dropping-particle" : "", "family" : "Mckay", "given" : "R Michael", "non-dropping-particle" : "", "parse-names" : false, "suffix" : "" }, { "dropping-particle" : "", "family" : "Nodder", "given" : "Scott", "non-dropping-particle" : "", "parse-names" : false, "suffix" : "" }, { "dropping-particle" : "", "family" : "Pickmere", "given" : "Stu", "non-dropping-particle" : "", "parse-names" : false, "suffix" : "" }, { "dropping-particle" : "", "family" : "Pridmore", "given" : "Rick", "non-dropping-particle" : "", "parse-names" : false, "suffix" : "" }, { "dropping-particle" : "", "family" : "Rintoul", "given" : "Steve", "non-dropping-particle" : "", "parse-names" : false, "suffix" : "" }, { "dropping-particle" : "", "family" : "Safi", "given" : "Karl", "non-dropping-particle" : "", "parse-names" : false, "suffix" : "" }, { "dropping-particle" : "", "family" : "Sutton", "given" : "Philip", "non-dropping-particle" : "", "parse-names" : false, "suffix" : "" }, { "dropping-particle" : "", "family" : "Strzepek", "given" : "Robert", "non-dropping-particle" : "", "parse-names" : false, "suffix" : "" }, { "dropping-particle" : "", "family" : "Tanneberger", "given" : "Kim", "non-dropping-particle" : "", "parse-names" : false, "suffix" : "" }, { "dropping-particle" : "", "family" : "Turner", "given" : "Suzanne", "non-dropping-particle" : "", "parse-names" : false, "suffix" : "" }, { "dropping-particle" : "", "family" : "Waite", "given" : "Anya", "non-dropping-particle" : "", "parse-names" : false, "suffix" : "" }, { "dropping-particle" : "", "family" : "Zeldis", "given" : "John", "non-dropping-particle" : "", "parse-names" : false, "suffix" : "" } ], "container-title" : "Nature", "id" : "ITEM-1", "issue" : "October", "issued" : { "date-parts" : [ [ "2000" ] ] }, "page" : "695-702", "title" : "A mesoscale phytoplankton bloom in the polar Southern Ocean stimulated by iron fertilization", "type" : "article-journal", "volume" : "407" }, "uris" : [ "http://www.mendeley.com/documents/?uuid=1fb49eeb-1b93-4779-a991-42213be215f3" ] }, { "id" : "ITEM-2", "itemData" : { "DOI" : "10.1038/nature05700", "ISBN" : "0028-0836", "ISSN" : "0028-0836", "PMID" : "17460670", "abstract" : "The availability of iron limits primary productivity and the associated uptake of carbon over large areas of the ocean. Iron thus plays an important role in the carbon cycle, and changes in its supply to the surface ocean may have had a significant effect on atmospheric carbon dioxide concentrations over glacial-interglacial cycles. To date, the role of iron in carbon cycling has largely been assessed using short-term iron-addition experiments. It is difficult, however, to reliably assess the magnitude of carbon export to the ocean interior using such methods, and the short observational periods preclude extrapolation of the results to longer timescales. Here we report observations of a phytoplankton bloom induced by natural iron fertilization--an approach that offers the opportunity to overcome some of the limitations of short-term experiments. We found that a large phytoplankton bloom over the Kerguelen plateau in the Southern Ocean was sustained by the supply of iron and major nutrients to surface waters from iron-rich deep water below. The efficiency of fertilization, defined as the ratio of the carbon export to the amount of iron supplied, was at least ten times higher than previous estimates from short-term blooms induced by iron-addition experiments. This result sheds new light on the effect of long-term fertilization by iron and macronutrients on carbon sequestration, suggesting that changes in iron supply from below--as invoked in some palaeoclimatic and future climate change scenarios--may have a more significant effect on atmospheric carbon dioxide concentrations than previously thought.", "author" : [ { "dropping-particle" : "", "family" : "Blain", "given" : "Stephane", "non-dropping-particle" : "", "parse-names" : false, "suffix" : "" }, { "dropping-particle" : "", "family" : "Queguiner", "given" : "Bernard", "non-dropping-particle" : "", "parse-names" : false, "suffix" : "" }, { "dropping-particle" : "", "family" : "Armand", "given" : "Leanne", "non-dropping-particle" : "", "parse-names" : false, "suffix" : "" }, { "dropping-particle" : "", "family" : "Belviso", "given" : "Sauveur", "non-dropping-particle" : "", "parse-names" : false, "suffix" : "" }, { "dropping-particle" : "", "family" : "Bombled", "given" : "Bruno", "non-dropping-particle" : "", "parse-names" : false, "suffix" : "" }, { "dropping-particle" : "", "family" : "Bopp", "given" : "Laurent", "non-dropping-particle" : "", "parse-names" : false, "suffix" : "" }, { "dropping-particle" : "", "family" : "Bowie", "given" : "Andrew", "non-dropping-particle" : "", "parse-names" : false, "suffix" : "" }, { "dropping-particle" : "", "family" : "Brunet", "given" : "Christian", "non-dropping-particle" : "", "parse-names" : false, "suffix" : "" }, { "dropping-particle" : "", "family" : "Brussaard", "given" : "Corina", "non-dropping-particle" : "", "parse-names" : false, "suffix" : "" }, { "dropping-particle" : "", "family" : "Carlotti", "given" : "Francois", "non-dropping-particle" : "", "parse-names" : false, "suffix" : "" }, { "dropping-particle" : "", "family" : "Christaki", "given" : "Urania", "non-dropping-particle" : "", "parse-names" : false, "suffix" : "" }, { "dropping-particle" : "", "family" : "Corbiere", "given" : "Antoine", "non-dropping-particle" : "", "parse-names" : false, "suffix" : "" }, { "dropping-particle" : "", "family" : "Durand", "given" : "Isabelle", "non-dropping-particle" : "", "parse-names" : false, "suffix" : "" }, { "dropping-particle" : "", "family" : "Ebersbach", "given" : "Frederike", "non-dropping-particle" : "", "parse-names" : false, "suffix" : "" }, { "dropping-particle" : "", "family" : "Fuda", "given" : "Jean-Luc L", "non-dropping-particle" : "", "parse-names" : false, "suffix" : "" }, { "dropping-particle" : "", "family" : "Garcia", "given" : "Nicole", "non-dropping-particle" : "", "parse-names" : false, "suffix" : "" }, { "dropping-particle" : "", "family" : "Gerringa", "given" : "Loes", "non-dropping-particle" : "", "parse-names" : false, "suffix" : "" }, { "dropping-particle" : "", "family" : "Griffiths", "given" : "Brian", "non-dropping-particle" : "", "parse-names" : false, "suffix" : "" }, { "dropping-particle" : "", "family" : "Guigue", "given" : "Catherine", "non-dropping-particle" : "", "parse-names" : false, "suffix" : "" }, { "dropping-particle" : "", "family" : "Guillerm", "given" : "Christophe", "non-dropping-particle" : "", "parse-names" : false, "suffix" : "" }, { "dropping-particle" : "", "family" : "Jacquet", "given" : "Stephanie", "non-dropping-particle" : "", "parse-names" : false, "suffix" : "" }, { "dropping-particle" : "", "family" : "Jeandel", "given" : "Catherine", "non-dropping-particle" : "", "parse-names" : false, "suffix" : "" }, { "dropping-particle" : "", "family" : "Laan", "given" : "Patrick", "non-dropping-particle" : "", "parse-names" : false, "suffix" : "" }, { "dropping-particle" : "", "family" : "Lefevre", "given" : "Dominique", "non-dropping-particle" : "", "parse-names" : false, "suffix" : "" }, { "dropping-particle" : "", "family" : "Monaco", "given" : "Claire", "non-dropping-particle" : "Lo", "parse-names" : false, "suffix" : "" }, { "dropping-particle" : "", "family" : "Malits", "given" : "Andrea", "non-dropping-particle" : "", "parse-names" : false, "suffix" : "" }, { "dropping-particle" : "", "family" : "Mosseri", "given" : "Julie", "non-dropping-particle" : "", "parse-names" : false, "suffix" : "" }, { "dropping-particle" : "", "family" : "Obernosterer", "given" : "Ingrid", "non-dropping-particle" : "", "parse-names" : false, "suffix" : "" }, { "dropping-particle" : "", "family" : "Park", "given" : "Young-Hyang H", "non-dropping-particle" : "", "parse-names" : false, "suffix" : "" }, { "dropping-particle" : "", "family" : "Picheral", "given" : "Marc", "non-dropping-particle" : "", "parse-names" : false, "suffix" : "" }, { "dropping-particle" : "", "family" : "Pondaven", "given" : "Philippe", "non-dropping-particle" : "", "parse-names" : false, "suffix" : "" }, { "dropping-particle" : "", "family" : "Remenyi", "given" : "Thomas", "non-dropping-particle" : "", "parse-names" : false, "suffix" : "" }, { "dropping-particle" : "", "family" : "Sandroni", "given" : "Valerie", "non-dropping-particle" : "", "parse-names" : false, "suffix" : "" }, { "dropping-particle" : "", "family" : "Sarthou", "given" : "Geraldine", "non-dropping-particle" : "", "parse-names" : false, "suffix" : "" }, { "dropping-particle" : "", "family" : "Savoye", "given" : "Nicolas", "non-dropping-particle" : "", "parse-names" : false, "suffix" : "" }, { "dropping-particle" : "", "family" : "Scouarnec", "given" : "Lionel", "non-dropping-particle" : "", "parse-names" : false, "suffix" : "" }, { "dropping-particle" : "", "family" : "Souhaut", "given" : "Marc", "non-dropping-particle" : "", "parse-names" : false, "suffix" : "" }, { "dropping-particle" : "", "family" : "Thuiller", "given" : "Doris", "non-dropping-particle" : "", "parse-names" : false, "suffix" : "" }, { "dropping-particle" : "", "family" : "Timmermans", "given" : "Klaas", "non-dropping-particle" : "", "parse-names" : false, "suffix" : "" }, { "dropping-particle" : "", "family" : "Trull", "given" : "Thomas", "non-dropping-particle" : "", "parse-names" : false, "suffix" : "" }, { "dropping-particle" : "", "family" : "Uitz", "given" : "Julia", "non-dropping-particle" : "", "parse-names" : false, "suffix" : "" }, { "dropping-particle" : "", "family" : "Beek", "given" : "Pieter", "non-dropping-particle" : "van", "parse-names" : false, "suffix" : "" }, { "dropping-particle" : "", "family" : "Veldhuis", "given" : "Marcel", "non-dropping-particle" : "", "parse-names" : false, "suffix" : "" }, { "dropping-particle" : "", "family" : "Vincent", "given" : "Dorothee", "non-dropping-particle" : "", "parse-names" : false, "suffix" : "" }, { "dropping-particle" : "", "family" : "Viollier", "given" : "Eric", "non-dropping-particle" : "", "parse-names" : false, "suffix" : "" }, { "dropping-particle" : "", "family" : "Vong", "given" : "Lilita", "non-dropping-particle" : "", "parse-names" : false, "suffix" : "" }, { "dropping-particle" : "", "family" : "Wagener", "given" : "Thibaut", "non-dropping-particle" : "", "parse-names" : false, "suffix" : "" }, { "dropping-particle" : "", "family" : "Qu\u00e9guiner", "given" : "B", "non-dropping-particle" : "", "parse-names" : false, "suffix" : "" }, { "dropping-particle" : "", "family" : "Leanne Armand  Bruno Bombled, Laurent Bopp, Andrew Bowie, Christian Brunet, Corina Brussaard, Fran\u00e7ois Carlotti, Urania Christaki, Antoine Corbi\u00e8re, Isabelle Durand, Frederike Ebersbach, Jean-Luc Fuda, Nicole Garcia, Loes Gerringa, Brian Griffiths, Cather", "given" : "Sauveur Belviso", "non-dropping-particle" : "", "parse-names" : false, "suffix" : "" } ], "container-title" : "Nature", "id" : "ITEM-2", "issue" : "7139", "issued" : { "date-parts" : [ [ "2007" ] ] }, "page" : "1070-1074", "title" : "Effect of natural iron fertilization on carbon sequestration in the Southern Ocean", "type" : "article-journal", "volume" : "446" }, "uris" : [ "http://www.mendeley.com/documents/?uuid=40a1387e-89b5-4a8d-8971-631e7bf64b19" ] } ], "mendeley" : { "formattedCitation" : "[&lt;i&gt;Boyd et al.&lt;/i&gt;, 2000; &lt;i&gt;Blain et al.&lt;/i&gt;, 2007]", "manualFormatting" : "(e.g., Boyd et al., 2000; Blain et al., 2007)", "plainTextFormattedCitation" : "[Boyd et al., 2000; Blain et al., 2007]", "previouslyFormattedCitation" : "[&lt;i&gt;Boyd et al.&lt;/i&gt;, 2000; &lt;i&gt;Blain et al.&lt;/i&gt;, 2007]" }, "properties" : {  }, "schema" : "https://github.com/citation-style-language/schema/raw/master/csl-citation.json" }</w:instrText>
      </w:r>
      <w:r>
        <w:fldChar w:fldCharType="separate"/>
      </w:r>
      <w:r>
        <w:rPr>
          <w:noProof/>
        </w:rPr>
        <w:t xml:space="preserve">(e.g., </w:t>
      </w:r>
      <w:r w:rsidRPr="00887475">
        <w:rPr>
          <w:i/>
          <w:noProof/>
        </w:rPr>
        <w:t>Boyd et al.</w:t>
      </w:r>
      <w:r w:rsidRPr="00887475">
        <w:rPr>
          <w:noProof/>
        </w:rPr>
        <w:t xml:space="preserve">, 2000; </w:t>
      </w:r>
      <w:r w:rsidRPr="00887475">
        <w:rPr>
          <w:i/>
          <w:noProof/>
        </w:rPr>
        <w:t>Blain et al.</w:t>
      </w:r>
      <w:r w:rsidRPr="00887475">
        <w:rPr>
          <w:noProof/>
        </w:rPr>
        <w:t>, 2007</w:t>
      </w:r>
      <w:r>
        <w:rPr>
          <w:noProof/>
        </w:rPr>
        <w:t>)</w:t>
      </w:r>
      <w:r>
        <w:fldChar w:fldCharType="end"/>
      </w:r>
      <w:r>
        <w:t xml:space="preserve">. </w:t>
      </w:r>
      <w:r>
        <w:rPr>
          <w:lang w:val="en-GB"/>
        </w:rPr>
        <w:t>T</w:t>
      </w:r>
      <w:r w:rsidRPr="00F24C59">
        <w:rPr>
          <w:lang w:val="en-GB"/>
        </w:rPr>
        <w:t>h</w:t>
      </w:r>
      <w:r>
        <w:rPr>
          <w:lang w:val="en-GB"/>
        </w:rPr>
        <w:t>e</w:t>
      </w:r>
      <w:r w:rsidRPr="00F24C59">
        <w:rPr>
          <w:lang w:val="en-GB"/>
        </w:rPr>
        <w:t xml:space="preserve"> potential impact </w:t>
      </w:r>
      <w:r>
        <w:rPr>
          <w:lang w:val="en-GB"/>
        </w:rPr>
        <w:t>of</w:t>
      </w:r>
      <w:r w:rsidRPr="00F24C59">
        <w:rPr>
          <w:lang w:val="en-GB"/>
        </w:rPr>
        <w:t xml:space="preserve"> iron</w:t>
      </w:r>
      <w:r>
        <w:rPr>
          <w:lang w:val="en-GB"/>
        </w:rPr>
        <w:t xml:space="preserve"> limitation</w:t>
      </w:r>
      <w:r w:rsidRPr="00F24C59">
        <w:rPr>
          <w:lang w:val="en-GB"/>
        </w:rPr>
        <w:t xml:space="preserve"> </w:t>
      </w:r>
      <w:r>
        <w:rPr>
          <w:lang w:val="en-GB"/>
        </w:rPr>
        <w:t>on the fluorescence-to-chlorophyll ratio (</w:t>
      </w:r>
      <w:r>
        <w:fldChar w:fldCharType="begin" w:fldLock="1"/>
      </w:r>
      <w:r>
        <w:instrText>ADDIN CSL_CITATION { "citationItems" : [ { "id" : "ITEM-1", "itemData" : { "DOI" : "10.1038/nature05083", "ISBN" : "0028-0836", "ISSN" : "14764687", "PMID" : "16943835", "abstract" : "In situ enrichment experiments have shown that the growth of bloom-forming diatoms in the major high-nitrate low-chlorophyll (HNLC) regions of the world's oceans is limited by the availability of iron. Yet even the largest of these manipulative experiments represents only a small fraction of an ocean basin, and the responses observed are strongly influenced by the proliferation of rare species rather than the growth of naturally dominant populations. Here we link unique fluorescence attributes of phytoplankton to specific physiological responses to nutrient stress, and use these relationships to evaluate the factors that constrain phytoplankton growth in the tropical Pacific Ocean on an unprecedented spatial scale. On the basis of fluorescence measurements taken over 12 years, we delineate three major ecophysiological regimes in this region. We find that iron has a key function in regulating phytoplankton growth in both HNLC and oligotrophic waters near the Equator and further south, whereas nitrogen and zooplankton grazing are the primary factors that regulate biomass production in the north. Application of our findings to the interpretation of satellite chlorophyll fields shows that productivity in the tropical Pacific basin may be 1.2-2.5 Pg C yr(-1) lower than previous estimates have suggested, a difference that is comparable to the global change in ocean production that accompanied the largest El Ni\u00f1o to La Ni\u00f1a transition on record.", "author" : [ { "dropping-particle" : "", "family" : "Behrenfeld", "given" : "Michael J.", "non-dropping-particle" : "", "parse-names" : false, "suffix" : "" }, { "dropping-particle" : "", "family" : "Worthington", "given" : "Kirby", "non-dropping-particle" : "", "parse-names" : false, "suffix" : "" }, { "dropping-particle" : "", "family" : "Sherrell", "given" : "Robert M.", "non-dropping-particle" : "", "parse-names" : false, "suffix" : "" }, { "dropping-particle" : "", "family" : "Chavez", "given" : "Francisco P.", "non-dropping-particle" : "", "parse-names" : false, "suffix" : "" }, { "dropping-particle" : "", "family" : "Strutton", "given" : "Peter", "non-dropping-particle" : "", "parse-names" : false, "suffix" : "" }, { "dropping-particle" : "", "family" : "McPhaden", "given" : "Michael", "non-dropping-particle" : "", "parse-names" : false, "suffix" : "" }, { "dropping-particle" : "", "family" : "Shea", "given" : "Donald M.", "non-dropping-particle" : "", "parse-names" : false, "suffix" : "" } ], "container-title" : "Nature", "id" : "ITEM-1", "issue" : "7106", "issued" : { "date-parts" : [ [ "2006" ] ] }, "page" : "1025-1028", "title" : "Controls on tropical Pacific Ocean productivity revealed through nutrient stress diagnostics", "type" : "article-journal", "volume" : "442" }, "uris" : [ "http://www.mendeley.com/documents/?uuid=802799a7-448d-4fd1-a898-3826ba074030" ] } ], "mendeley" : { "formattedCitation" : "[&lt;i&gt;Behrenfeld et al.&lt;/i&gt;, 2006]", "manualFormatting" : "Behrenfeld et al., 2006", "plainTextFormattedCitation" : "[Behrenfeld et al., 2006]", "previouslyFormattedCitation" : "[&lt;i&gt;Behrenfeld et al.&lt;/i&gt;, 2006]" }, "properties" : {  }, "schema" : "https://github.com/citation-style-language/schema/raw/master/csl-citation.json" }</w:instrText>
      </w:r>
      <w:r>
        <w:fldChar w:fldCharType="separate"/>
      </w:r>
      <w:r w:rsidRPr="00BB0EB9">
        <w:rPr>
          <w:i/>
          <w:noProof/>
        </w:rPr>
        <w:t>Behrenfeld et al.</w:t>
      </w:r>
      <w:r>
        <w:rPr>
          <w:i/>
          <w:noProof/>
        </w:rPr>
        <w:t>,</w:t>
      </w:r>
      <w:r w:rsidRPr="00BB0EB9">
        <w:rPr>
          <w:noProof/>
        </w:rPr>
        <w:t xml:space="preserve"> 2006</w:t>
      </w:r>
      <w:r>
        <w:fldChar w:fldCharType="end"/>
      </w:r>
      <w:r>
        <w:t xml:space="preserve">) </w:t>
      </w:r>
      <w:r>
        <w:rPr>
          <w:lang w:val="en-GB"/>
        </w:rPr>
        <w:t xml:space="preserve">should be investigated further </w:t>
      </w:r>
      <w:r w:rsidRPr="00F24C59">
        <w:rPr>
          <w:lang w:val="en-GB"/>
        </w:rPr>
        <w:t xml:space="preserve">in </w:t>
      </w:r>
      <w:r>
        <w:rPr>
          <w:lang w:val="en-GB"/>
        </w:rPr>
        <w:t xml:space="preserve">the Southern Ocean and in </w:t>
      </w:r>
      <w:r w:rsidRPr="00F24C59">
        <w:rPr>
          <w:lang w:val="en-GB"/>
        </w:rPr>
        <w:t xml:space="preserve">other HLNC </w:t>
      </w:r>
      <w:r>
        <w:rPr>
          <w:lang w:val="en-GB"/>
        </w:rPr>
        <w:t>regions such as the S</w:t>
      </w:r>
      <w:r w:rsidRPr="00F24C59">
        <w:rPr>
          <w:lang w:val="en-GB"/>
        </w:rPr>
        <w:t>ubequatorial or North Pacific</w:t>
      </w:r>
      <w:r>
        <w:rPr>
          <w:lang w:val="en-GB"/>
        </w:rPr>
        <w:t>.</w:t>
      </w:r>
      <w:r>
        <w:t xml:space="preserve"> </w:t>
      </w:r>
    </w:p>
    <w:p w14:paraId="1509B26E" w14:textId="77777777" w:rsidR="00DE063F" w:rsidRPr="00A431AB" w:rsidRDefault="00DE063F" w:rsidP="00571C54">
      <w:pPr>
        <w:widowControl w:val="0"/>
        <w:autoSpaceDE w:val="0"/>
        <w:autoSpaceDN w:val="0"/>
        <w:adjustRightInd w:val="0"/>
        <w:jc w:val="both"/>
      </w:pPr>
      <w:r>
        <w:rPr>
          <w:lang w:val="en-GB"/>
        </w:rPr>
        <w:t>For</w:t>
      </w:r>
      <w:r w:rsidRPr="00C665DF">
        <w:rPr>
          <w:lang w:val="en-GB"/>
        </w:rPr>
        <w:t xml:space="preserve"> the </w:t>
      </w:r>
      <w:r>
        <w:rPr>
          <w:lang w:val="en-GB"/>
        </w:rPr>
        <w:t xml:space="preserve">other regions of our database, </w:t>
      </w:r>
      <w:r w:rsidRPr="00C665DF">
        <w:rPr>
          <w:lang w:val="en-GB"/>
        </w:rPr>
        <w:t xml:space="preserve">the trend and scattering of the data points </w:t>
      </w:r>
      <w:r>
        <w:rPr>
          <w:lang w:val="en-GB"/>
        </w:rPr>
        <w:t xml:space="preserve">observed for the different layers of the water column </w:t>
      </w:r>
      <w:r w:rsidRPr="00C665DF">
        <w:rPr>
          <w:lang w:val="en-GB"/>
        </w:rPr>
        <w:t xml:space="preserve">remain </w:t>
      </w:r>
      <w:r>
        <w:rPr>
          <w:lang w:val="en-GB"/>
        </w:rPr>
        <w:t>similar</w:t>
      </w:r>
      <w:r w:rsidRPr="00A431AB">
        <w:rPr>
          <w:lang w:val="en-GB"/>
        </w:rPr>
        <w:t xml:space="preserve"> </w:t>
      </w:r>
      <w:r>
        <w:rPr>
          <w:lang w:val="en-GB"/>
        </w:rPr>
        <w:t>regardless of the considered global or regional correction factors</w:t>
      </w:r>
      <w:r w:rsidRPr="00C665DF">
        <w:rPr>
          <w:lang w:val="en-GB"/>
        </w:rPr>
        <w:t xml:space="preserve">. </w:t>
      </w:r>
      <w:r>
        <w:rPr>
          <w:lang w:val="en-GB"/>
        </w:rPr>
        <w:t>T</w:t>
      </w:r>
      <w:r w:rsidRPr="00C665DF">
        <w:rPr>
          <w:lang w:val="en-GB"/>
        </w:rPr>
        <w:t>he statistical ind</w:t>
      </w:r>
      <w:r>
        <w:rPr>
          <w:lang w:val="en-GB"/>
        </w:rPr>
        <w:t>ic</w:t>
      </w:r>
      <w:r w:rsidRPr="00C665DF">
        <w:rPr>
          <w:lang w:val="en-GB"/>
        </w:rPr>
        <w:t>es R</w:t>
      </w:r>
      <w:r w:rsidRPr="006B6A55">
        <w:rPr>
          <w:vertAlign w:val="superscript"/>
          <w:lang w:val="en-GB"/>
        </w:rPr>
        <w:t>2</w:t>
      </w:r>
      <w:r w:rsidRPr="00C665DF">
        <w:rPr>
          <w:lang w:val="en-GB"/>
        </w:rPr>
        <w:t xml:space="preserve"> and RMSE </w:t>
      </w:r>
      <w:r>
        <w:rPr>
          <w:lang w:val="en-GB"/>
        </w:rPr>
        <w:t>are</w:t>
      </w:r>
      <w:r w:rsidRPr="00C665DF">
        <w:rPr>
          <w:lang w:val="en-GB"/>
        </w:rPr>
        <w:t xml:space="preserve"> </w:t>
      </w:r>
      <w:r>
        <w:rPr>
          <w:lang w:val="en-GB"/>
        </w:rPr>
        <w:t xml:space="preserve">only </w:t>
      </w:r>
      <w:r w:rsidRPr="00C665DF">
        <w:rPr>
          <w:lang w:val="en-GB"/>
        </w:rPr>
        <w:t xml:space="preserve">slightly </w:t>
      </w:r>
      <w:r>
        <w:rPr>
          <w:lang w:val="en-GB"/>
        </w:rPr>
        <w:t>modified</w:t>
      </w:r>
      <w:r w:rsidRPr="00C665DF">
        <w:rPr>
          <w:lang w:val="en-GB"/>
        </w:rPr>
        <w:t xml:space="preserve"> and the slope</w:t>
      </w:r>
      <w:r>
        <w:rPr>
          <w:lang w:val="en-GB"/>
        </w:rPr>
        <w:t>s</w:t>
      </w:r>
      <w:r w:rsidRPr="00C665DF">
        <w:rPr>
          <w:lang w:val="en-GB"/>
        </w:rPr>
        <w:t xml:space="preserve"> and intercept</w:t>
      </w:r>
      <w:r>
        <w:rPr>
          <w:lang w:val="en-GB"/>
        </w:rPr>
        <w:t>s</w:t>
      </w:r>
      <w:r w:rsidRPr="00C665DF">
        <w:rPr>
          <w:lang w:val="en-GB"/>
        </w:rPr>
        <w:t xml:space="preserve"> of the b</w:t>
      </w:r>
      <w:r w:rsidRPr="006B6A55">
        <w:rPr>
          <w:vertAlign w:val="subscript"/>
          <w:lang w:val="en-GB"/>
        </w:rPr>
        <w:t>bp</w:t>
      </w:r>
      <w:r w:rsidRPr="00C665DF">
        <w:rPr>
          <w:lang w:val="en-GB"/>
        </w:rPr>
        <w:t>-to-Chl</w:t>
      </w:r>
      <w:r w:rsidRPr="006B6A55">
        <w:rPr>
          <w:i/>
          <w:lang w:val="en-GB"/>
        </w:rPr>
        <w:t>a</w:t>
      </w:r>
      <w:r w:rsidRPr="00C665DF">
        <w:rPr>
          <w:lang w:val="en-GB"/>
        </w:rPr>
        <w:t xml:space="preserve"> relationship</w:t>
      </w:r>
      <w:r>
        <w:rPr>
          <w:lang w:val="en-GB"/>
        </w:rPr>
        <w:t>s</w:t>
      </w:r>
      <w:r w:rsidRPr="00C665DF">
        <w:rPr>
          <w:lang w:val="en-GB"/>
        </w:rPr>
        <w:t xml:space="preserve"> remain almost </w:t>
      </w:r>
      <w:r>
        <w:rPr>
          <w:lang w:val="en-GB"/>
        </w:rPr>
        <w:t xml:space="preserve">identical </w:t>
      </w:r>
      <w:r w:rsidRPr="00C665DF">
        <w:rPr>
          <w:lang w:val="en-GB"/>
        </w:rPr>
        <w:t>(</w:t>
      </w:r>
      <w:r>
        <w:rPr>
          <w:lang w:val="en-GB"/>
        </w:rPr>
        <w:t xml:space="preserve">see </w:t>
      </w:r>
      <w:r w:rsidRPr="00C665DF">
        <w:rPr>
          <w:lang w:val="en-GB"/>
        </w:rPr>
        <w:t>Tab</w:t>
      </w:r>
      <w:r>
        <w:rPr>
          <w:lang w:val="en-GB"/>
        </w:rPr>
        <w:t>le</w:t>
      </w:r>
      <w:r w:rsidRPr="00C665DF">
        <w:rPr>
          <w:lang w:val="en-GB"/>
        </w:rPr>
        <w:t xml:space="preserve"> </w:t>
      </w:r>
      <w:r w:rsidR="00707E91">
        <w:rPr>
          <w:lang w:val="en-GB"/>
        </w:rPr>
        <w:t>S</w:t>
      </w:r>
      <w:r>
        <w:rPr>
          <w:lang w:val="en-GB"/>
        </w:rPr>
        <w:t>A</w:t>
      </w:r>
      <w:r w:rsidRPr="00C665DF">
        <w:rPr>
          <w:lang w:val="en-GB"/>
        </w:rPr>
        <w:t>1).</w:t>
      </w:r>
      <w:r>
        <w:rPr>
          <w:lang w:val="en-GB"/>
        </w:rPr>
        <w:t xml:space="preserve"> </w:t>
      </w:r>
    </w:p>
    <w:p w14:paraId="300EEE45" w14:textId="77777777" w:rsidR="00DE063F" w:rsidRDefault="00DE063F" w:rsidP="00DE063F">
      <w:pPr>
        <w:widowControl w:val="0"/>
        <w:autoSpaceDE w:val="0"/>
        <w:autoSpaceDN w:val="0"/>
        <w:adjustRightInd w:val="0"/>
        <w:rPr>
          <w:b/>
          <w:lang w:val="en-AU"/>
        </w:rPr>
      </w:pPr>
    </w:p>
    <w:p w14:paraId="47D78B68" w14:textId="77777777" w:rsidR="00DE063F" w:rsidRDefault="00DE063F" w:rsidP="00DE063F">
      <w:pPr>
        <w:widowControl w:val="0"/>
        <w:autoSpaceDE w:val="0"/>
        <w:autoSpaceDN w:val="0"/>
        <w:adjustRightInd w:val="0"/>
        <w:rPr>
          <w:b/>
          <w:lang w:val="en-AU"/>
        </w:rPr>
      </w:pPr>
    </w:p>
    <w:p w14:paraId="330BF36B" w14:textId="77777777" w:rsidR="00DE063F" w:rsidRDefault="00DE063F" w:rsidP="00DE063F">
      <w:pPr>
        <w:widowControl w:val="0"/>
        <w:autoSpaceDE w:val="0"/>
        <w:autoSpaceDN w:val="0"/>
        <w:adjustRightInd w:val="0"/>
        <w:rPr>
          <w:b/>
          <w:lang w:val="en-AU"/>
        </w:rPr>
      </w:pPr>
    </w:p>
    <w:p w14:paraId="6C861328" w14:textId="77777777" w:rsidR="00DE063F" w:rsidRDefault="00DE063F" w:rsidP="00DE063F">
      <w:pPr>
        <w:widowControl w:val="0"/>
        <w:autoSpaceDE w:val="0"/>
        <w:autoSpaceDN w:val="0"/>
        <w:adjustRightInd w:val="0"/>
        <w:rPr>
          <w:b/>
          <w:lang w:val="en-AU"/>
        </w:rPr>
      </w:pPr>
    </w:p>
    <w:p w14:paraId="6E99C3B7" w14:textId="77777777" w:rsidR="00DE063F" w:rsidRDefault="00DE063F" w:rsidP="00DE063F">
      <w:pPr>
        <w:widowControl w:val="0"/>
        <w:autoSpaceDE w:val="0"/>
        <w:autoSpaceDN w:val="0"/>
        <w:adjustRightInd w:val="0"/>
        <w:rPr>
          <w:b/>
          <w:lang w:val="en-AU"/>
        </w:rPr>
      </w:pPr>
    </w:p>
    <w:p w14:paraId="1BF629C3" w14:textId="77777777" w:rsidR="00DE063F" w:rsidRDefault="00707E91" w:rsidP="00DE063F">
      <w:pPr>
        <w:widowControl w:val="0"/>
        <w:autoSpaceDE w:val="0"/>
        <w:autoSpaceDN w:val="0"/>
        <w:adjustRightInd w:val="0"/>
        <w:rPr>
          <w:b/>
          <w:lang w:val="en-AU"/>
        </w:rPr>
      </w:pPr>
      <w:r>
        <w:rPr>
          <w:noProof/>
          <w:lang w:val="fr-FR"/>
        </w:rPr>
        <w:drawing>
          <wp:anchor distT="0" distB="0" distL="114300" distR="114300" simplePos="0" relativeHeight="251659264" behindDoc="0" locked="0" layoutInCell="1" allowOverlap="1" wp14:anchorId="2CD00894" wp14:editId="43E5E677">
            <wp:simplePos x="0" y="0"/>
            <wp:positionH relativeFrom="column">
              <wp:posOffset>-114300</wp:posOffset>
            </wp:positionH>
            <wp:positionV relativeFrom="paragraph">
              <wp:posOffset>45720</wp:posOffset>
            </wp:positionV>
            <wp:extent cx="5754370" cy="4761230"/>
            <wp:effectExtent l="0" t="0" r="11430" b="0"/>
            <wp:wrapSquare wrapText="bothSides"/>
            <wp:docPr id="4" name="Image 4" descr="Macintosh HD:Users:mariebarbieux:Desktop:PhD:Articles:bbp-chla_glob:2ndround:work:global_fig3_S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ebarbieux:Desktop:PhD:Articles:bbp-chla_glob:2ndround:work:global_fig3_SF.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4370" cy="4761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DACCF11" w14:textId="77777777" w:rsidR="00707E91" w:rsidRDefault="00707E91" w:rsidP="00571C54">
      <w:pPr>
        <w:widowControl w:val="0"/>
        <w:autoSpaceDE w:val="0"/>
        <w:autoSpaceDN w:val="0"/>
        <w:adjustRightInd w:val="0"/>
        <w:jc w:val="both"/>
        <w:rPr>
          <w:b/>
          <w:lang w:val="en-AU"/>
        </w:rPr>
      </w:pPr>
    </w:p>
    <w:p w14:paraId="7990A5F9" w14:textId="77777777" w:rsidR="00DE063F" w:rsidRDefault="00DE063F" w:rsidP="00571C54">
      <w:pPr>
        <w:widowControl w:val="0"/>
        <w:autoSpaceDE w:val="0"/>
        <w:autoSpaceDN w:val="0"/>
        <w:adjustRightInd w:val="0"/>
        <w:jc w:val="both"/>
        <w:rPr>
          <w:i/>
          <w:lang w:val="en-AU"/>
        </w:rPr>
      </w:pPr>
      <w:r w:rsidRPr="00841A84">
        <w:rPr>
          <w:b/>
          <w:lang w:val="en-AU"/>
        </w:rPr>
        <w:t xml:space="preserve">Figure </w:t>
      </w:r>
      <w:r w:rsidR="00571C54">
        <w:rPr>
          <w:b/>
          <w:lang w:val="en-AU"/>
        </w:rPr>
        <w:t>S</w:t>
      </w:r>
      <w:r>
        <w:rPr>
          <w:b/>
          <w:lang w:val="en-AU"/>
        </w:rPr>
        <w:t>A3</w:t>
      </w:r>
      <w:r w:rsidRPr="00841A84">
        <w:rPr>
          <w:lang w:val="en-AU"/>
        </w:rPr>
        <w:t xml:space="preserve">: </w:t>
      </w:r>
      <w:r w:rsidRPr="00841A84">
        <w:rPr>
          <w:i/>
          <w:lang w:val="en-AU"/>
        </w:rPr>
        <w:t>Log-log scatterplot of the particulate backscattering coefficient at 700 nm (b</w:t>
      </w:r>
      <w:r w:rsidRPr="00841A84">
        <w:rPr>
          <w:i/>
          <w:vertAlign w:val="subscript"/>
          <w:lang w:val="en-AU"/>
        </w:rPr>
        <w:t>bp</w:t>
      </w:r>
      <w:r w:rsidRPr="00841A84">
        <w:rPr>
          <w:i/>
          <w:lang w:val="en-AU"/>
        </w:rPr>
        <w:t xml:space="preserve">) as a function of the chlorophyll a concentration (Chla) </w:t>
      </w:r>
      <w:r>
        <w:rPr>
          <w:i/>
          <w:lang w:val="en-AU"/>
        </w:rPr>
        <w:t>corrected using</w:t>
      </w:r>
      <w:r w:rsidRPr="00841A84">
        <w:rPr>
          <w:i/>
          <w:lang w:val="en-AU"/>
        </w:rPr>
        <w:t xml:space="preserve"> the </w:t>
      </w:r>
      <w:r>
        <w:rPr>
          <w:i/>
          <w:lang w:val="en-AU"/>
        </w:rPr>
        <w:t xml:space="preserve">regional </w:t>
      </w:r>
      <w:r w:rsidRPr="00841A84">
        <w:rPr>
          <w:i/>
          <w:lang w:val="en-AU"/>
        </w:rPr>
        <w:t>radiometr</w:t>
      </w:r>
      <w:r>
        <w:rPr>
          <w:i/>
          <w:lang w:val="en-AU"/>
        </w:rPr>
        <w:t>y-derived</w:t>
      </w:r>
      <w:r w:rsidRPr="00841A84">
        <w:rPr>
          <w:i/>
          <w:lang w:val="en-AU"/>
        </w:rPr>
        <w:t xml:space="preserve"> factor</w:t>
      </w:r>
      <w:r>
        <w:rPr>
          <w:i/>
          <w:lang w:val="en-AU"/>
        </w:rPr>
        <w:t>s</w:t>
      </w:r>
      <w:r w:rsidRPr="00841A84">
        <w:rPr>
          <w:i/>
          <w:lang w:val="en-AU"/>
        </w:rPr>
        <w:t xml:space="preserve"> of </w:t>
      </w:r>
      <w:r w:rsidRPr="00E11FCF">
        <w:rPr>
          <w:i/>
          <w:lang w:val="en-AU"/>
        </w:rPr>
        <w:t>Roesler et al.</w:t>
      </w:r>
      <w:r w:rsidRPr="00841A84">
        <w:rPr>
          <w:i/>
          <w:lang w:val="en-AU"/>
        </w:rPr>
        <w:t xml:space="preserve"> </w:t>
      </w:r>
      <w:r>
        <w:rPr>
          <w:i/>
          <w:lang w:val="en-AU"/>
        </w:rPr>
        <w:t>(</w:t>
      </w:r>
      <w:r w:rsidRPr="00841A84">
        <w:rPr>
          <w:i/>
          <w:lang w:val="en-AU"/>
        </w:rPr>
        <w:t>2017</w:t>
      </w:r>
      <w:r>
        <w:rPr>
          <w:i/>
          <w:lang w:val="en-AU"/>
        </w:rPr>
        <w:t>)</w:t>
      </w:r>
      <w:r w:rsidRPr="00841A84">
        <w:rPr>
          <w:i/>
          <w:lang w:val="en-AU"/>
        </w:rPr>
        <w:t xml:space="preserve"> within (a) the productive layer comprised between the surface and 1.5 Z</w:t>
      </w:r>
      <w:r w:rsidRPr="00841A84">
        <w:rPr>
          <w:i/>
          <w:vertAlign w:val="subscript"/>
          <w:lang w:val="en-AU"/>
        </w:rPr>
        <w:t>eu</w:t>
      </w:r>
      <w:r w:rsidRPr="00841A84">
        <w:rPr>
          <w:i/>
          <w:lang w:val="en-AU"/>
        </w:rPr>
        <w:t>; (b) the mixed layer;</w:t>
      </w:r>
      <w:r>
        <w:rPr>
          <w:i/>
          <w:lang w:val="en-AU"/>
        </w:rPr>
        <w:t xml:space="preserve"> </w:t>
      </w:r>
      <w:r w:rsidRPr="00841A84">
        <w:rPr>
          <w:i/>
          <w:lang w:val="en-AU"/>
        </w:rPr>
        <w:t>(c) the surface (0</w:t>
      </w:r>
      <w:r>
        <w:rPr>
          <w:i/>
          <w:lang w:val="en-AU"/>
        </w:rPr>
        <w:t>-</w:t>
      </w:r>
      <w:r w:rsidRPr="00841A84">
        <w:rPr>
          <w:i/>
          <w:lang w:val="en-AU"/>
        </w:rPr>
        <w:t>Z</w:t>
      </w:r>
      <w:r w:rsidRPr="00841A84">
        <w:rPr>
          <w:i/>
          <w:vertAlign w:val="subscript"/>
          <w:lang w:val="en-AU"/>
        </w:rPr>
        <w:t>pd</w:t>
      </w:r>
      <w:r w:rsidRPr="00841A84">
        <w:rPr>
          <w:i/>
          <w:lang w:val="en-AU"/>
        </w:rPr>
        <w:t>) layer</w:t>
      </w:r>
      <w:r>
        <w:rPr>
          <w:i/>
          <w:lang w:val="en-AU"/>
        </w:rPr>
        <w:t xml:space="preserve"> and (d) the DCM layer</w:t>
      </w:r>
      <w:r w:rsidRPr="00841A84">
        <w:rPr>
          <w:i/>
          <w:lang w:val="en-AU"/>
        </w:rPr>
        <w:t>. The color code indicates the regime where the B</w:t>
      </w:r>
      <w:r>
        <w:rPr>
          <w:i/>
          <w:lang w:val="en-AU"/>
        </w:rPr>
        <w:t>GC</w:t>
      </w:r>
      <w:r w:rsidRPr="00841A84">
        <w:rPr>
          <w:i/>
          <w:lang w:val="en-AU"/>
        </w:rPr>
        <w:t>-Argo data were collected. For each plot, the black line represents the relationship calculated over the productive layer (0</w:t>
      </w:r>
      <w:r>
        <w:rPr>
          <w:i/>
          <w:lang w:val="en-AU"/>
        </w:rPr>
        <w:t>-</w:t>
      </w:r>
      <w:r w:rsidRPr="00841A84">
        <w:rPr>
          <w:i/>
          <w:lang w:val="en-AU"/>
        </w:rPr>
        <w:t>1.5 Z</w:t>
      </w:r>
      <w:r w:rsidRPr="00841A84">
        <w:rPr>
          <w:i/>
          <w:vertAlign w:val="subscript"/>
          <w:lang w:val="en-AU"/>
        </w:rPr>
        <w:t>eu</w:t>
      </w:r>
      <w:r w:rsidRPr="00841A84">
        <w:rPr>
          <w:i/>
          <w:lang w:val="en-AU"/>
        </w:rPr>
        <w:t xml:space="preserve">) while the red line </w:t>
      </w:r>
      <w:r>
        <w:rPr>
          <w:i/>
          <w:lang w:val="en-AU"/>
        </w:rPr>
        <w:t xml:space="preserve">represents </w:t>
      </w:r>
      <w:r w:rsidRPr="00841A84">
        <w:rPr>
          <w:i/>
          <w:lang w:val="en-AU"/>
        </w:rPr>
        <w:t xml:space="preserve">the regression model calculated over the considered layer. </w:t>
      </w:r>
    </w:p>
    <w:p w14:paraId="3D3C49C1" w14:textId="77777777" w:rsidR="00DE063F" w:rsidRDefault="00DE063F" w:rsidP="00DE063F">
      <w:pPr>
        <w:widowControl w:val="0"/>
        <w:autoSpaceDE w:val="0"/>
        <w:autoSpaceDN w:val="0"/>
        <w:adjustRightInd w:val="0"/>
        <w:rPr>
          <w:rFonts w:ascii="Times" w:hAnsi="Times"/>
          <w:i/>
          <w:noProof/>
          <w:color w:val="FF0000"/>
          <w:sz w:val="27"/>
          <w:szCs w:val="27"/>
          <w:lang w:val="fr-FR"/>
        </w:rPr>
      </w:pPr>
    </w:p>
    <w:p w14:paraId="4CE6342C" w14:textId="77777777" w:rsidR="00707E91" w:rsidRDefault="00707E91" w:rsidP="00DE063F">
      <w:pPr>
        <w:widowControl w:val="0"/>
        <w:autoSpaceDE w:val="0"/>
        <w:autoSpaceDN w:val="0"/>
        <w:adjustRightInd w:val="0"/>
        <w:rPr>
          <w:rFonts w:ascii="Times" w:hAnsi="Times"/>
          <w:i/>
          <w:color w:val="FF0000"/>
          <w:sz w:val="27"/>
          <w:szCs w:val="27"/>
          <w:lang w:val="en-AU"/>
        </w:rPr>
      </w:pPr>
      <w:r>
        <w:rPr>
          <w:rFonts w:ascii="Times" w:hAnsi="Times"/>
          <w:i/>
          <w:noProof/>
          <w:color w:val="FF0000"/>
          <w:sz w:val="27"/>
          <w:szCs w:val="27"/>
          <w:lang w:val="fr-FR" w:eastAsia="fr-FR"/>
        </w:rPr>
        <w:lastRenderedPageBreak/>
        <w:drawing>
          <wp:inline distT="0" distB="0" distL="0" distR="0" wp14:anchorId="65C72EC2" wp14:editId="2559A5EA">
            <wp:extent cx="5486400" cy="4690667"/>
            <wp:effectExtent l="0" t="0" r="0" b="8890"/>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690667"/>
                    </a:xfrm>
                    <a:prstGeom prst="rect">
                      <a:avLst/>
                    </a:prstGeom>
                    <a:noFill/>
                    <a:ln>
                      <a:noFill/>
                    </a:ln>
                  </pic:spPr>
                </pic:pic>
              </a:graphicData>
            </a:graphic>
          </wp:inline>
        </w:drawing>
      </w:r>
    </w:p>
    <w:p w14:paraId="366C6BA1" w14:textId="77777777" w:rsidR="00707E91" w:rsidRDefault="00707E91" w:rsidP="00DE063F">
      <w:pPr>
        <w:widowControl w:val="0"/>
        <w:autoSpaceDE w:val="0"/>
        <w:autoSpaceDN w:val="0"/>
        <w:adjustRightInd w:val="0"/>
        <w:rPr>
          <w:rFonts w:ascii="Times" w:hAnsi="Times"/>
          <w:i/>
          <w:color w:val="FF0000"/>
          <w:sz w:val="27"/>
          <w:szCs w:val="27"/>
          <w:lang w:val="en-AU"/>
        </w:rPr>
      </w:pPr>
    </w:p>
    <w:p w14:paraId="7869CBB0" w14:textId="77777777" w:rsidR="00DE063F" w:rsidRDefault="00DE063F" w:rsidP="00ED5F70">
      <w:pPr>
        <w:widowControl w:val="0"/>
        <w:autoSpaceDE w:val="0"/>
        <w:autoSpaceDN w:val="0"/>
        <w:adjustRightInd w:val="0"/>
        <w:ind w:firstLine="708"/>
        <w:jc w:val="both"/>
        <w:rPr>
          <w:rFonts w:ascii="Times" w:hAnsi="Times"/>
          <w:color w:val="FF0000"/>
          <w:sz w:val="27"/>
          <w:szCs w:val="27"/>
        </w:rPr>
      </w:pPr>
      <w:r>
        <w:rPr>
          <w:lang w:val="en-GB"/>
        </w:rPr>
        <w:t>Finally, our</w:t>
      </w:r>
      <w:r w:rsidRPr="00EA6746">
        <w:rPr>
          <w:lang w:val="en-GB"/>
        </w:rPr>
        <w:t xml:space="preserve"> analysis </w:t>
      </w:r>
      <w:r>
        <w:rPr>
          <w:lang w:val="en-GB"/>
        </w:rPr>
        <w:t>indicates</w:t>
      </w:r>
      <w:r w:rsidRPr="00EA6746">
        <w:rPr>
          <w:lang w:val="en-GB"/>
        </w:rPr>
        <w:t xml:space="preserve"> that</w:t>
      </w:r>
      <w:r>
        <w:rPr>
          <w:lang w:val="en-GB"/>
        </w:rPr>
        <w:t xml:space="preserve"> the choice of the correction factor induces</w:t>
      </w:r>
      <w:r w:rsidRPr="00EA6746">
        <w:rPr>
          <w:lang w:val="en-GB"/>
        </w:rPr>
        <w:t xml:space="preserve"> minor changes to the b</w:t>
      </w:r>
      <w:r w:rsidRPr="00EA6746">
        <w:rPr>
          <w:vertAlign w:val="subscript"/>
          <w:lang w:val="en-GB"/>
        </w:rPr>
        <w:t>bp</w:t>
      </w:r>
      <w:r w:rsidRPr="00EA6746">
        <w:rPr>
          <w:lang w:val="en-GB"/>
        </w:rPr>
        <w:t>-to-Chl</w:t>
      </w:r>
      <w:r w:rsidRPr="00EA6746">
        <w:rPr>
          <w:i/>
          <w:lang w:val="en-GB"/>
        </w:rPr>
        <w:t>a</w:t>
      </w:r>
      <w:r w:rsidRPr="00EA6746">
        <w:rPr>
          <w:lang w:val="en-GB"/>
        </w:rPr>
        <w:t xml:space="preserve"> relationship</w:t>
      </w:r>
      <w:r>
        <w:rPr>
          <w:lang w:val="en-GB"/>
        </w:rPr>
        <w:t xml:space="preserve"> and little impact on </w:t>
      </w:r>
      <w:r w:rsidRPr="00EA6746">
        <w:rPr>
          <w:lang w:val="en-GB"/>
        </w:rPr>
        <w:t>the interpretation of our results</w:t>
      </w:r>
      <w:r>
        <w:rPr>
          <w:lang w:val="en-GB"/>
        </w:rPr>
        <w:t xml:space="preserve">. It also has to be noted that </w:t>
      </w:r>
      <w:r w:rsidRPr="002A1F42">
        <w:rPr>
          <w:lang w:val="en-GB"/>
        </w:rPr>
        <w:t xml:space="preserve">regional </w:t>
      </w:r>
      <w:r w:rsidRPr="002A1F42">
        <w:t>HPLC- or radiometry-based</w:t>
      </w:r>
      <w:r w:rsidRPr="002A1F42">
        <w:rPr>
          <w:lang w:val="en-GB"/>
        </w:rPr>
        <w:t xml:space="preserve"> correction</w:t>
      </w:r>
      <w:r>
        <w:rPr>
          <w:lang w:val="en-GB"/>
        </w:rPr>
        <w:t xml:space="preserve"> factors shows some limitations.</w:t>
      </w:r>
      <w:r>
        <w:rPr>
          <w:rFonts w:ascii="Times" w:hAnsi="Times"/>
          <w:sz w:val="27"/>
          <w:szCs w:val="27"/>
        </w:rPr>
        <w:t xml:space="preserve"> </w:t>
      </w:r>
      <w:r w:rsidRPr="00002D69">
        <w:t xml:space="preserve">The regional HPLC-based correction factors, which are </w:t>
      </w:r>
      <w:r>
        <w:t xml:space="preserve">potentially </w:t>
      </w:r>
      <w:r w:rsidRPr="00002D69">
        <w:t>the most robust, are for example, not available for, and therefore cannot be applied to all the regions of our BGC-Argo database.</w:t>
      </w:r>
      <w:r>
        <w:rPr>
          <w:color w:val="0070C0"/>
        </w:rPr>
        <w:t xml:space="preserve"> </w:t>
      </w:r>
      <w:r w:rsidRPr="004D3762">
        <w:rPr>
          <w:lang w:val="en-GB"/>
        </w:rPr>
        <w:t>BGC-Argo profiling floats sampl</w:t>
      </w:r>
      <w:r>
        <w:rPr>
          <w:lang w:val="en-GB"/>
        </w:rPr>
        <w:t>e</w:t>
      </w:r>
      <w:r w:rsidRPr="004D3762">
        <w:rPr>
          <w:lang w:val="en-GB"/>
        </w:rPr>
        <w:t xml:space="preserve"> the water column autonomously, over long</w:t>
      </w:r>
      <w:r>
        <w:rPr>
          <w:lang w:val="en-GB"/>
        </w:rPr>
        <w:t xml:space="preserve"> time </w:t>
      </w:r>
      <w:r w:rsidRPr="004D3762">
        <w:rPr>
          <w:lang w:val="en-GB"/>
        </w:rPr>
        <w:t xml:space="preserve">periods and across different </w:t>
      </w:r>
      <w:r>
        <w:rPr>
          <w:lang w:val="en-GB"/>
        </w:rPr>
        <w:t>environments, likely impacting the fluorescence-to-Chl</w:t>
      </w:r>
      <w:r w:rsidRPr="005D1211">
        <w:rPr>
          <w:i/>
          <w:lang w:val="en-GB"/>
        </w:rPr>
        <w:t>a</w:t>
      </w:r>
      <w:r>
        <w:rPr>
          <w:lang w:val="en-GB"/>
        </w:rPr>
        <w:t xml:space="preserve"> relationship</w:t>
      </w:r>
      <w:r w:rsidRPr="004D3762">
        <w:rPr>
          <w:lang w:val="en-GB"/>
        </w:rPr>
        <w:t xml:space="preserve">. HPLC-based calibration </w:t>
      </w:r>
      <w:r>
        <w:rPr>
          <w:lang w:val="en-GB"/>
        </w:rPr>
        <w:t xml:space="preserve">established at the time of float’s deployment, might be therefore less accurate over the float’s lifetime. </w:t>
      </w:r>
      <w:r w:rsidRPr="00002D69">
        <w:t>In contrast,</w:t>
      </w:r>
      <w:r>
        <w:rPr>
          <w:color w:val="0070C0"/>
        </w:rPr>
        <w:t xml:space="preserve"> </w:t>
      </w:r>
      <w:r>
        <w:rPr>
          <w:lang w:val="en-GB"/>
        </w:rPr>
        <w:t>the regional radiometry-based correction factors may be applied to any BGC-Argo data provided that downwelling irradiance measurements are available. However, they rely on a general empirical relationship (</w:t>
      </w:r>
      <w:r w:rsidRPr="00B10650">
        <w:rPr>
          <w:i/>
          <w:noProof/>
          <w:lang w:val="en-GB"/>
        </w:rPr>
        <w:t>Morel et al.</w:t>
      </w:r>
      <w:r w:rsidRPr="00B10650">
        <w:rPr>
          <w:noProof/>
          <w:lang w:val="en-GB"/>
        </w:rPr>
        <w:t xml:space="preserve"> 2007</w:t>
      </w:r>
      <w:r>
        <w:rPr>
          <w:noProof/>
          <w:lang w:val="en-GB"/>
        </w:rPr>
        <w:t>) that has been established for the surface layer only and, more critically,</w:t>
      </w:r>
      <w:r w:rsidRPr="00E32FFB">
        <w:rPr>
          <w:lang w:val="en-GB"/>
        </w:rPr>
        <w:t xml:space="preserve"> </w:t>
      </w:r>
      <w:r>
        <w:rPr>
          <w:lang w:val="en-GB"/>
        </w:rPr>
        <w:t xml:space="preserve">implies that all of the world’s open ocean regions show analogous bio-optical behaviour, which is known not to be the case </w:t>
      </w:r>
      <w:r>
        <w:rPr>
          <w:lang w:val="en-GB"/>
        </w:rPr>
        <w:fldChar w:fldCharType="begin" w:fldLock="1"/>
      </w:r>
      <w:r>
        <w:rPr>
          <w:lang w:val="en-GB"/>
        </w:rPr>
        <w:instrText>ADDIN CSL_CITATION { "citationItems" : [ { "id" : "ITEM-1", "itemData" : { "DOI" : "doi:10.1002/2016JC012629.", "author" : [ { "dropping-particle" : "", "family" : "Organelli", "given" : "Emanuele", "non-dropping-particle" : "", "parse-names" : false, "suffix" : "" }, { "dropping-particle" : "", "family" : "D\u2019Ortenzio", "given" : "Fabrizio", "non-dropping-particle" : "", "parse-names" : false, "suffix" : "" }, { "dropping-particle" : "", "family" : "Claustre", "given" : "Herve", "non-dropping-particle" : "", "parse-names" : false, "suffix" : "" }, { "dropping-particle" : "", "family" : "Bricaud", "given" : "Annick", "non-dropping-particle" : "", "parse-names" : false, "suffix" : "" }, { "dropping-particle" : "", "family" : "Barbieux", "given" : "Marie", "non-dropping-particle" : "", "parse-names" : false, "suffix" : "" }, { "dropping-particle" : "", "family" : "Uitz", "given" : "Julia", "non-dropping-particle" : "", "parse-names" : false, "suffix" : "" }, { "dropping-particle" : "", "family" : "Dall\u2019Olmo", "given" : "Giorgio", "non-dropping-particle" : "", "parse-names" : false, "suffix" : "" } ], "container-title" : "Journal of Geophysical Research : Oceans", "id" : "ITEM-1", "issued" : { "date-parts" : [ [ "2017" ] ] }, "page" : "2017-2033", "title" : "Bio-optical anomalies in the world\u2019s oceans: An investigation on the diffuse attenuation coefficients for downward irradiance derived fromBiogeochemical Argo float measurements", "type" : "article-journal", "volume" : "122" }, "uris" : [ "http://www.mendeley.com/documents/?uuid=81dc88a5-742d-4e3a-9169-d01f6eec2a46" ] } ], "mendeley" : { "formattedCitation" : "[&lt;i&gt;Organelli et al.&lt;/i&gt;, 2017]", "manualFormatting" : "(e.g., Organelli et al., 2017a)", "plainTextFormattedCitation" : "[Organelli et al., 2017]", "previouslyFormattedCitation" : "[&lt;i&gt;Organelli et al.&lt;/i&gt;, 2017]" }, "properties" : {  }, "schema" : "https://github.com/citation-style-language/schema/raw/master/csl-citation.json" }</w:instrText>
      </w:r>
      <w:r>
        <w:rPr>
          <w:lang w:val="en-GB"/>
        </w:rPr>
        <w:fldChar w:fldCharType="separate"/>
      </w:r>
      <w:r>
        <w:rPr>
          <w:noProof/>
          <w:lang w:val="en-GB"/>
        </w:rPr>
        <w:t xml:space="preserve">(e.g., </w:t>
      </w:r>
      <w:r w:rsidRPr="00887475">
        <w:rPr>
          <w:i/>
          <w:noProof/>
          <w:lang w:val="en-GB"/>
        </w:rPr>
        <w:t>Organelli et al.</w:t>
      </w:r>
      <w:r w:rsidRPr="00887475">
        <w:rPr>
          <w:noProof/>
          <w:lang w:val="en-GB"/>
        </w:rPr>
        <w:t>, 2017a</w:t>
      </w:r>
      <w:r>
        <w:rPr>
          <w:noProof/>
          <w:lang w:val="en-GB"/>
        </w:rPr>
        <w:t>)</w:t>
      </w:r>
      <w:r>
        <w:rPr>
          <w:lang w:val="en-GB"/>
        </w:rPr>
        <w:fldChar w:fldCharType="end"/>
      </w:r>
      <w:r>
        <w:rPr>
          <w:lang w:val="en-GB"/>
        </w:rPr>
        <w:t xml:space="preserve">. Therefore, the two sets of regional HPLC- and radiometry-based correction factors proposed by </w:t>
      </w:r>
      <w:r w:rsidRPr="00AD66FA">
        <w:rPr>
          <w:i/>
          <w:lang w:val="en-GB"/>
        </w:rPr>
        <w:t>Roesler et al.</w:t>
      </w:r>
      <w:r>
        <w:rPr>
          <w:lang w:val="en-GB"/>
        </w:rPr>
        <w:t xml:space="preserve"> (2017) provide a strong basis for examining the impact of the correction factor and of the natural variability in the fluorescence-to-chlorophyll ratio on the results of our analysis. They nevertheless suffer from the above limitation and thus deserve to be addressed more </w:t>
      </w:r>
      <w:r>
        <w:rPr>
          <w:lang w:val="en-GB"/>
        </w:rPr>
        <w:lastRenderedPageBreak/>
        <w:t>thoroughly, especially by the collection of additional (HPLC) data set. Yet, at this stage, we believe that the global correction factor is the most relevant for the present dataset.</w:t>
      </w:r>
      <w:r>
        <w:rPr>
          <w:rFonts w:ascii="Times" w:hAnsi="Times"/>
          <w:color w:val="FF0000"/>
          <w:sz w:val="27"/>
          <w:szCs w:val="27"/>
        </w:rPr>
        <w:t xml:space="preserve"> </w:t>
      </w:r>
    </w:p>
    <w:p w14:paraId="0DB814BA" w14:textId="77777777" w:rsidR="00DE063F" w:rsidRDefault="00DE063F" w:rsidP="00DE063F">
      <w:pPr>
        <w:widowControl w:val="0"/>
        <w:autoSpaceDE w:val="0"/>
        <w:autoSpaceDN w:val="0"/>
        <w:adjustRightInd w:val="0"/>
        <w:rPr>
          <w:rFonts w:ascii="Times" w:hAnsi="Times"/>
          <w:color w:val="FF0000"/>
          <w:sz w:val="27"/>
          <w:szCs w:val="27"/>
        </w:rPr>
      </w:pPr>
    </w:p>
    <w:p w14:paraId="69FFEBB9" w14:textId="77777777" w:rsidR="00DE063F" w:rsidRDefault="00DE063F" w:rsidP="00DE063F">
      <w:pPr>
        <w:pStyle w:val="Heading1"/>
      </w:pPr>
      <w:r>
        <w:t xml:space="preserve">REFERENCES </w:t>
      </w:r>
    </w:p>
    <w:p w14:paraId="1A031557" w14:textId="77777777" w:rsidR="00DE063F" w:rsidRPr="00E0690F" w:rsidRDefault="00DE063F" w:rsidP="00DE063F">
      <w:pPr>
        <w:widowControl w:val="0"/>
        <w:autoSpaceDE w:val="0"/>
        <w:autoSpaceDN w:val="0"/>
        <w:adjustRightInd w:val="0"/>
        <w:ind w:left="480" w:hanging="480"/>
        <w:rPr>
          <w:noProof/>
          <w:sz w:val="18"/>
        </w:rPr>
      </w:pPr>
      <w:r w:rsidRPr="00D64195">
        <w:rPr>
          <w:color w:val="FF0000"/>
          <w:sz w:val="18"/>
          <w:szCs w:val="27"/>
        </w:rPr>
        <w:fldChar w:fldCharType="begin" w:fldLock="1"/>
      </w:r>
      <w:r w:rsidRPr="00D64195">
        <w:rPr>
          <w:color w:val="FF0000"/>
          <w:sz w:val="18"/>
          <w:szCs w:val="27"/>
        </w:rPr>
        <w:instrText xml:space="preserve">ADDIN Mendeley Bibliography CSL_BIBLIOGRAPHY </w:instrText>
      </w:r>
      <w:r w:rsidRPr="00D64195">
        <w:rPr>
          <w:color w:val="FF0000"/>
          <w:sz w:val="18"/>
          <w:szCs w:val="27"/>
        </w:rPr>
        <w:fldChar w:fldCharType="separate"/>
      </w:r>
      <w:r w:rsidRPr="00E0690F">
        <w:rPr>
          <w:noProof/>
          <w:sz w:val="18"/>
        </w:rPr>
        <w:t xml:space="preserve">Behrenfeld, M. J., K. Worthington, R. M. Sherrell, F. P. Chavez, P. Strutton, M. McPhaden, and D. M. Shea (2006), Controls on tropical Pacific Ocean productivity revealed through nutrient stress diagnostics, </w:t>
      </w:r>
      <w:r w:rsidRPr="00E0690F">
        <w:rPr>
          <w:i/>
          <w:iCs/>
          <w:noProof/>
          <w:sz w:val="18"/>
        </w:rPr>
        <w:t>Nature</w:t>
      </w:r>
      <w:r w:rsidRPr="00E0690F">
        <w:rPr>
          <w:noProof/>
          <w:sz w:val="18"/>
        </w:rPr>
        <w:t xml:space="preserve">, </w:t>
      </w:r>
      <w:r w:rsidRPr="00E0690F">
        <w:rPr>
          <w:i/>
          <w:iCs/>
          <w:noProof/>
          <w:sz w:val="18"/>
        </w:rPr>
        <w:t>442</w:t>
      </w:r>
      <w:r w:rsidRPr="00E0690F">
        <w:rPr>
          <w:noProof/>
          <w:sz w:val="18"/>
        </w:rPr>
        <w:t>(7106), 1025–1028, doi:10.1038/nature05083.</w:t>
      </w:r>
    </w:p>
    <w:p w14:paraId="03566B1F"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Blain, S. et al. (2007), Effect of natural iron fertilization on carbon sequestration in the Southern Ocean, </w:t>
      </w:r>
      <w:r w:rsidRPr="00E0690F">
        <w:rPr>
          <w:i/>
          <w:iCs/>
          <w:noProof/>
          <w:sz w:val="18"/>
        </w:rPr>
        <w:t>Nature</w:t>
      </w:r>
      <w:r w:rsidRPr="00E0690F">
        <w:rPr>
          <w:noProof/>
          <w:sz w:val="18"/>
        </w:rPr>
        <w:t xml:space="preserve">, </w:t>
      </w:r>
      <w:r w:rsidRPr="00E0690F">
        <w:rPr>
          <w:i/>
          <w:iCs/>
          <w:noProof/>
          <w:sz w:val="18"/>
        </w:rPr>
        <w:t>446</w:t>
      </w:r>
      <w:r w:rsidRPr="00E0690F">
        <w:rPr>
          <w:noProof/>
          <w:sz w:val="18"/>
        </w:rPr>
        <w:t>(7139), 1070–1074, doi:10.1038/nature05700.</w:t>
      </w:r>
    </w:p>
    <w:p w14:paraId="255846CD"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Boyd, P. W. et al. (2000), A mesoscale phytoplankton bloom in the polar Southern Ocean stimulated by iron fertilization, </w:t>
      </w:r>
      <w:r w:rsidRPr="00E0690F">
        <w:rPr>
          <w:i/>
          <w:iCs/>
          <w:noProof/>
          <w:sz w:val="18"/>
        </w:rPr>
        <w:t>Nature</w:t>
      </w:r>
      <w:r w:rsidRPr="00E0690F">
        <w:rPr>
          <w:noProof/>
          <w:sz w:val="18"/>
        </w:rPr>
        <w:t xml:space="preserve">, </w:t>
      </w:r>
      <w:r w:rsidRPr="00E0690F">
        <w:rPr>
          <w:i/>
          <w:iCs/>
          <w:noProof/>
          <w:sz w:val="18"/>
        </w:rPr>
        <w:t>407</w:t>
      </w:r>
      <w:r w:rsidRPr="00E0690F">
        <w:rPr>
          <w:noProof/>
          <w:sz w:val="18"/>
        </w:rPr>
        <w:t>(October), 695–702.</w:t>
      </w:r>
    </w:p>
    <w:p w14:paraId="46A0E556"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Cleveland, J. S., M. J. Perry, D. A. Kiefer, and M. C. Talbot (1989), Maximal quantum yield of photosynthesis in the northwest Sargasso Sea., </w:t>
      </w:r>
      <w:r w:rsidRPr="00E0690F">
        <w:rPr>
          <w:i/>
          <w:iCs/>
          <w:noProof/>
          <w:sz w:val="18"/>
        </w:rPr>
        <w:t>J. Mar. Res.</w:t>
      </w:r>
      <w:r w:rsidRPr="00E0690F">
        <w:rPr>
          <w:noProof/>
          <w:sz w:val="18"/>
        </w:rPr>
        <w:t xml:space="preserve">, </w:t>
      </w:r>
      <w:r w:rsidRPr="00E0690F">
        <w:rPr>
          <w:i/>
          <w:iCs/>
          <w:noProof/>
          <w:sz w:val="18"/>
        </w:rPr>
        <w:t>47</w:t>
      </w:r>
      <w:r w:rsidRPr="00E0690F">
        <w:rPr>
          <w:noProof/>
          <w:sz w:val="18"/>
        </w:rPr>
        <w:t>, 869–886.</w:t>
      </w:r>
    </w:p>
    <w:p w14:paraId="258AFD4B"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Dubinsky, Z., and N. Stambler (2009), Photoacclimation processes in phytoplankton: Mechanisms, consequences, and applications, </w:t>
      </w:r>
      <w:r w:rsidRPr="00E0690F">
        <w:rPr>
          <w:i/>
          <w:iCs/>
          <w:noProof/>
          <w:sz w:val="18"/>
        </w:rPr>
        <w:t>Aquat. Microb. Ecol.</w:t>
      </w:r>
      <w:r w:rsidRPr="00E0690F">
        <w:rPr>
          <w:noProof/>
          <w:sz w:val="18"/>
        </w:rPr>
        <w:t xml:space="preserve">, </w:t>
      </w:r>
      <w:r w:rsidRPr="00E0690F">
        <w:rPr>
          <w:i/>
          <w:iCs/>
          <w:noProof/>
          <w:sz w:val="18"/>
        </w:rPr>
        <w:t>56</w:t>
      </w:r>
      <w:r w:rsidRPr="00E0690F">
        <w:rPr>
          <w:noProof/>
          <w:sz w:val="18"/>
        </w:rPr>
        <w:t>(2–3), 163–176, doi:10.3354/ame01345.</w:t>
      </w:r>
    </w:p>
    <w:p w14:paraId="6023F30C"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Falkowski, P., and D. A. Kiefer (1985), Chlorophyll a fluorescence in phytoplankton: relationship to photosynthesis and biomass, </w:t>
      </w:r>
      <w:r w:rsidRPr="00E0690F">
        <w:rPr>
          <w:i/>
          <w:iCs/>
          <w:noProof/>
          <w:sz w:val="18"/>
        </w:rPr>
        <w:t>J. Plankton Res.</w:t>
      </w:r>
      <w:r w:rsidRPr="00E0690F">
        <w:rPr>
          <w:noProof/>
          <w:sz w:val="18"/>
        </w:rPr>
        <w:t xml:space="preserve">, </w:t>
      </w:r>
      <w:r w:rsidRPr="00E0690F">
        <w:rPr>
          <w:i/>
          <w:iCs/>
          <w:noProof/>
          <w:sz w:val="18"/>
        </w:rPr>
        <w:t>7</w:t>
      </w:r>
      <w:r w:rsidRPr="00E0690F">
        <w:rPr>
          <w:noProof/>
          <w:sz w:val="18"/>
        </w:rPr>
        <w:t>(5), 715–731.</w:t>
      </w:r>
    </w:p>
    <w:p w14:paraId="5E2FF42A"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Geider, R. J., H. L. MacIntyre, and T. M. Kana (1997), Dynamic model of phytoplankton growth and acclimation: Responses of the balanced growth rate and the chlorophyll a:carbon ratio to light, nutrient-limitation and temperature, </w:t>
      </w:r>
      <w:r w:rsidRPr="00E0690F">
        <w:rPr>
          <w:i/>
          <w:iCs/>
          <w:noProof/>
          <w:sz w:val="18"/>
        </w:rPr>
        <w:t>Mar. Ecol. Prog. Ser.</w:t>
      </w:r>
      <w:r w:rsidRPr="00E0690F">
        <w:rPr>
          <w:noProof/>
          <w:sz w:val="18"/>
        </w:rPr>
        <w:t xml:space="preserve">, </w:t>
      </w:r>
      <w:r w:rsidRPr="00E0690F">
        <w:rPr>
          <w:i/>
          <w:iCs/>
          <w:noProof/>
          <w:sz w:val="18"/>
        </w:rPr>
        <w:t>148</w:t>
      </w:r>
      <w:r w:rsidRPr="00E0690F">
        <w:rPr>
          <w:noProof/>
          <w:sz w:val="18"/>
        </w:rPr>
        <w:t>(1–3), 187–200, doi:10.3354/meps148187.</w:t>
      </w:r>
    </w:p>
    <w:p w14:paraId="70B6E32B"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Longhurst, A. (2006), </w:t>
      </w:r>
      <w:r w:rsidRPr="00E0690F">
        <w:rPr>
          <w:i/>
          <w:iCs/>
          <w:noProof/>
          <w:sz w:val="18"/>
        </w:rPr>
        <w:t>Ecological geography of the sea</w:t>
      </w:r>
      <w:r w:rsidRPr="00E0690F">
        <w:rPr>
          <w:noProof/>
          <w:sz w:val="18"/>
        </w:rPr>
        <w:t>, 2nd edn. E., New York.</w:t>
      </w:r>
    </w:p>
    <w:p w14:paraId="3335E8C0"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Morel, A., Y. Huot, B. Gentili, P. J. Werdell, S. B. Hooker, and B. A. Franz (2007), Examining the consistency of products derived from various ocean color sensors in open ocean (Case 1) waters in the perspective of a multi-sensor approach, </w:t>
      </w:r>
      <w:r w:rsidRPr="00E0690F">
        <w:rPr>
          <w:i/>
          <w:iCs/>
          <w:noProof/>
          <w:sz w:val="18"/>
        </w:rPr>
        <w:t>Remote Sens. Environ.</w:t>
      </w:r>
      <w:r w:rsidRPr="00E0690F">
        <w:rPr>
          <w:noProof/>
          <w:sz w:val="18"/>
        </w:rPr>
        <w:t xml:space="preserve">, </w:t>
      </w:r>
      <w:r w:rsidRPr="00E0690F">
        <w:rPr>
          <w:i/>
          <w:iCs/>
          <w:noProof/>
          <w:sz w:val="18"/>
        </w:rPr>
        <w:t>111</w:t>
      </w:r>
      <w:r w:rsidRPr="00E0690F">
        <w:rPr>
          <w:noProof/>
          <w:sz w:val="18"/>
        </w:rPr>
        <w:t>(1), 69–88, doi:10.1016/j.rse.2007.03.012.</w:t>
      </w:r>
    </w:p>
    <w:p w14:paraId="362ED89B"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Organelli, E., F. D’Ortenzio, H. Claustre, A. Bricaud, M. Barbieux, J. Uitz, and G. Dall’Olmo (2017), Bio-optical anomalies in the world’s oceans: An investigation on the diffuse attenuation coefficients for downward irradiance derived fromBiogeochemical Argo float measurements, </w:t>
      </w:r>
      <w:r w:rsidRPr="00E0690F">
        <w:rPr>
          <w:i/>
          <w:iCs/>
          <w:noProof/>
          <w:sz w:val="18"/>
        </w:rPr>
        <w:t>J. Geophys. Res.  Ocean.</w:t>
      </w:r>
      <w:r w:rsidRPr="00E0690F">
        <w:rPr>
          <w:noProof/>
          <w:sz w:val="18"/>
        </w:rPr>
        <w:t xml:space="preserve">, </w:t>
      </w:r>
      <w:r w:rsidRPr="00E0690F">
        <w:rPr>
          <w:i/>
          <w:iCs/>
          <w:noProof/>
          <w:sz w:val="18"/>
        </w:rPr>
        <w:t>122</w:t>
      </w:r>
      <w:r w:rsidRPr="00E0690F">
        <w:rPr>
          <w:noProof/>
          <w:sz w:val="18"/>
        </w:rPr>
        <w:t>, 2017–2033, doi:doi:10.1002/2016JC012629.</w:t>
      </w:r>
    </w:p>
    <w:p w14:paraId="3E387765"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Roesler, C. et al. (2017), Recommendations for obtaining unbiased chlorophyll estimates from in situ chlorophyll fluorometers: A global analysis of WET Labs ECO sensors, </w:t>
      </w:r>
      <w:r w:rsidRPr="00E0690F">
        <w:rPr>
          <w:i/>
          <w:iCs/>
          <w:noProof/>
          <w:sz w:val="18"/>
        </w:rPr>
        <w:t>Limnol. Oceanogr. Methods</w:t>
      </w:r>
      <w:r w:rsidRPr="00E0690F">
        <w:rPr>
          <w:noProof/>
          <w:sz w:val="18"/>
        </w:rPr>
        <w:t xml:space="preserve">, </w:t>
      </w:r>
      <w:r w:rsidRPr="00E0690F">
        <w:rPr>
          <w:i/>
          <w:iCs/>
          <w:noProof/>
          <w:sz w:val="18"/>
        </w:rPr>
        <w:t>15</w:t>
      </w:r>
      <w:r w:rsidRPr="00E0690F">
        <w:rPr>
          <w:noProof/>
          <w:sz w:val="18"/>
        </w:rPr>
        <w:t>(6), 572–585, doi:10.1002/lom3.10185.</w:t>
      </w:r>
    </w:p>
    <w:p w14:paraId="1749234D"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Schmechtig, C., H. Claustre, A. Poteau, and F. D’Ortenzio (2014), Bio-Argo quality control manual for the Chlorophyll-A concentration, </w:t>
      </w:r>
      <w:r w:rsidRPr="00E0690F">
        <w:rPr>
          <w:i/>
          <w:iCs/>
          <w:noProof/>
          <w:sz w:val="18"/>
        </w:rPr>
        <w:t>Argo Data Manag.</w:t>
      </w:r>
      <w:r w:rsidRPr="00E0690F">
        <w:rPr>
          <w:noProof/>
          <w:sz w:val="18"/>
        </w:rPr>
        <w:t>, 1–13, doi:doi:10.13155/35385.</w:t>
      </w:r>
    </w:p>
    <w:p w14:paraId="6BDC10FE"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Schmechtig, C., A. Poteau, H. Claustre, F. D’Ortenzio, G. Dall’Olmo, and E. Boss (2016), Processing Bio-Argo particle backscattering at the DAC level Version, </w:t>
      </w:r>
      <w:r w:rsidRPr="00E0690F">
        <w:rPr>
          <w:i/>
          <w:iCs/>
          <w:noProof/>
          <w:sz w:val="18"/>
        </w:rPr>
        <w:t>Argo Data Manag.</w:t>
      </w:r>
      <w:r w:rsidRPr="00E0690F">
        <w:rPr>
          <w:noProof/>
          <w:sz w:val="18"/>
        </w:rPr>
        <w:t>, 1–13, doi:doi:10.13155/39459.</w:t>
      </w:r>
    </w:p>
    <w:p w14:paraId="7484E02C" w14:textId="77777777" w:rsidR="00DE063F" w:rsidRPr="00E0690F" w:rsidRDefault="00DE063F" w:rsidP="00DE063F">
      <w:pPr>
        <w:widowControl w:val="0"/>
        <w:autoSpaceDE w:val="0"/>
        <w:autoSpaceDN w:val="0"/>
        <w:adjustRightInd w:val="0"/>
        <w:ind w:left="480" w:hanging="480"/>
        <w:rPr>
          <w:noProof/>
          <w:sz w:val="18"/>
        </w:rPr>
      </w:pPr>
      <w:r w:rsidRPr="00E0690F">
        <w:rPr>
          <w:noProof/>
          <w:sz w:val="18"/>
        </w:rPr>
        <w:t xml:space="preserve">Xing, X., A. Morel, H. Claustre, D. Antoine, F. D’Ortenzio, A. Poteau, and A. Mignot (2011), Combined processing and mutual interpretation of radiometry and fluorimetry from autonomous profiling Bio-Argo floats: Chlorophyll a retrieval, </w:t>
      </w:r>
      <w:r w:rsidRPr="00E0690F">
        <w:rPr>
          <w:i/>
          <w:iCs/>
          <w:noProof/>
          <w:sz w:val="18"/>
        </w:rPr>
        <w:t>J. Geophys. Res.</w:t>
      </w:r>
      <w:r w:rsidRPr="00E0690F">
        <w:rPr>
          <w:noProof/>
          <w:sz w:val="18"/>
        </w:rPr>
        <w:t xml:space="preserve">, </w:t>
      </w:r>
      <w:r w:rsidRPr="00E0690F">
        <w:rPr>
          <w:i/>
          <w:iCs/>
          <w:noProof/>
          <w:sz w:val="18"/>
        </w:rPr>
        <w:t>116</w:t>
      </w:r>
      <w:r w:rsidRPr="00E0690F">
        <w:rPr>
          <w:noProof/>
          <w:sz w:val="18"/>
        </w:rPr>
        <w:t>(C6), C06020, doi:10.1029/2010JC006899.</w:t>
      </w:r>
    </w:p>
    <w:p w14:paraId="2898FA96" w14:textId="77777777" w:rsidR="003712EF" w:rsidRDefault="00DE063F" w:rsidP="00DE063F">
      <w:pPr>
        <w:rPr>
          <w:color w:val="FF0000"/>
          <w:sz w:val="18"/>
          <w:szCs w:val="27"/>
        </w:rPr>
      </w:pPr>
      <w:r w:rsidRPr="00D64195">
        <w:rPr>
          <w:color w:val="FF0000"/>
          <w:sz w:val="18"/>
          <w:szCs w:val="27"/>
        </w:rPr>
        <w:fldChar w:fldCharType="end"/>
      </w:r>
    </w:p>
    <w:p w14:paraId="0FD2170D" w14:textId="77777777" w:rsidR="00571C54" w:rsidRDefault="00571C54" w:rsidP="00DE063F">
      <w:pPr>
        <w:rPr>
          <w:color w:val="FF0000"/>
          <w:sz w:val="18"/>
          <w:szCs w:val="27"/>
        </w:rPr>
      </w:pPr>
    </w:p>
    <w:p w14:paraId="09CAF6F0" w14:textId="77777777" w:rsidR="00571C54" w:rsidRDefault="00571C54" w:rsidP="00DE063F">
      <w:pPr>
        <w:rPr>
          <w:color w:val="FF0000"/>
          <w:sz w:val="18"/>
          <w:szCs w:val="27"/>
        </w:rPr>
      </w:pPr>
    </w:p>
    <w:p w14:paraId="4A7004EB" w14:textId="77777777" w:rsidR="00571C54" w:rsidRDefault="00571C54" w:rsidP="00DE063F">
      <w:pPr>
        <w:rPr>
          <w:color w:val="FF0000"/>
          <w:sz w:val="18"/>
          <w:szCs w:val="27"/>
        </w:rPr>
      </w:pPr>
    </w:p>
    <w:p w14:paraId="467979E5" w14:textId="77777777" w:rsidR="00571C54" w:rsidRDefault="00571C54" w:rsidP="00DE063F">
      <w:pPr>
        <w:rPr>
          <w:color w:val="FF0000"/>
          <w:sz w:val="18"/>
          <w:szCs w:val="27"/>
        </w:rPr>
      </w:pPr>
    </w:p>
    <w:p w14:paraId="3D462DD1" w14:textId="77777777" w:rsidR="00571C54" w:rsidRDefault="00571C54" w:rsidP="00DE063F">
      <w:pPr>
        <w:rPr>
          <w:color w:val="FF0000"/>
          <w:sz w:val="18"/>
          <w:szCs w:val="27"/>
        </w:rPr>
      </w:pPr>
    </w:p>
    <w:p w14:paraId="48588CC8" w14:textId="77777777" w:rsidR="00571C54" w:rsidRDefault="00571C54" w:rsidP="00DE063F">
      <w:pPr>
        <w:rPr>
          <w:color w:val="FF0000"/>
          <w:sz w:val="18"/>
          <w:szCs w:val="27"/>
        </w:rPr>
      </w:pPr>
    </w:p>
    <w:p w14:paraId="081DB70A" w14:textId="77777777" w:rsidR="00571C54" w:rsidRDefault="00571C54" w:rsidP="00DE063F">
      <w:pPr>
        <w:rPr>
          <w:color w:val="FF0000"/>
          <w:sz w:val="18"/>
          <w:szCs w:val="27"/>
        </w:rPr>
      </w:pPr>
    </w:p>
    <w:p w14:paraId="7703C110" w14:textId="77777777" w:rsidR="00571C54" w:rsidRDefault="00571C54" w:rsidP="00DE063F">
      <w:pPr>
        <w:rPr>
          <w:color w:val="FF0000"/>
          <w:sz w:val="18"/>
          <w:szCs w:val="27"/>
        </w:rPr>
      </w:pPr>
    </w:p>
    <w:p w14:paraId="6612791F" w14:textId="77777777" w:rsidR="00571C54" w:rsidRDefault="00571C54" w:rsidP="00DE063F">
      <w:pPr>
        <w:rPr>
          <w:color w:val="FF0000"/>
          <w:sz w:val="18"/>
          <w:szCs w:val="27"/>
        </w:rPr>
      </w:pPr>
    </w:p>
    <w:p w14:paraId="6DBD9345" w14:textId="77777777" w:rsidR="00571C54" w:rsidRDefault="00571C54" w:rsidP="00DE063F">
      <w:pPr>
        <w:rPr>
          <w:color w:val="FF0000"/>
          <w:sz w:val="18"/>
          <w:szCs w:val="27"/>
        </w:rPr>
      </w:pPr>
    </w:p>
    <w:p w14:paraId="1CC7A552" w14:textId="77777777" w:rsidR="00571C54" w:rsidRDefault="00571C54" w:rsidP="00DE063F">
      <w:pPr>
        <w:rPr>
          <w:color w:val="FF0000"/>
          <w:sz w:val="18"/>
          <w:szCs w:val="27"/>
        </w:rPr>
      </w:pPr>
    </w:p>
    <w:p w14:paraId="321DF9F4" w14:textId="77777777" w:rsidR="00571C54" w:rsidRDefault="00571C54" w:rsidP="00DE063F">
      <w:pPr>
        <w:rPr>
          <w:color w:val="FF0000"/>
          <w:sz w:val="18"/>
          <w:szCs w:val="27"/>
        </w:rPr>
      </w:pPr>
    </w:p>
    <w:p w14:paraId="430AE433" w14:textId="77777777" w:rsidR="00571C54" w:rsidRDefault="00571C54" w:rsidP="00DE063F">
      <w:pPr>
        <w:rPr>
          <w:color w:val="FF0000"/>
          <w:sz w:val="18"/>
          <w:szCs w:val="27"/>
        </w:rPr>
      </w:pPr>
    </w:p>
    <w:p w14:paraId="13E15B36" w14:textId="77777777" w:rsidR="00571C54" w:rsidRDefault="00571C54" w:rsidP="00DE063F">
      <w:pPr>
        <w:rPr>
          <w:color w:val="FF0000"/>
          <w:sz w:val="18"/>
          <w:szCs w:val="27"/>
        </w:rPr>
      </w:pPr>
    </w:p>
    <w:p w14:paraId="4774E28F" w14:textId="77777777" w:rsidR="00571C54" w:rsidRDefault="00571C54" w:rsidP="00571C54">
      <w:pPr>
        <w:pStyle w:val="Heading1"/>
      </w:pPr>
      <w:r>
        <w:lastRenderedPageBreak/>
        <w:t>SUPPORTING INFORMATION</w:t>
      </w:r>
      <w:r w:rsidRPr="005F3D8D">
        <w:t xml:space="preserve"> B</w:t>
      </w:r>
    </w:p>
    <w:p w14:paraId="6A246DC6" w14:textId="77777777" w:rsidR="00707E91" w:rsidRPr="00707E91" w:rsidRDefault="00707E91" w:rsidP="00707E91"/>
    <w:p w14:paraId="12943F5E" w14:textId="77777777" w:rsidR="00707E91" w:rsidRDefault="00707E91" w:rsidP="00571C54">
      <w:pPr>
        <w:spacing w:line="276" w:lineRule="auto"/>
        <w:jc w:val="both"/>
        <w:rPr>
          <w:b/>
          <w:lang w:val="en-AU"/>
        </w:rPr>
      </w:pPr>
      <w:r w:rsidRPr="003B5CE9">
        <w:rPr>
          <w:noProof/>
          <w:lang w:val="fr-FR"/>
        </w:rPr>
        <w:drawing>
          <wp:anchor distT="0" distB="0" distL="114300" distR="114300" simplePos="0" relativeHeight="251661312" behindDoc="0" locked="0" layoutInCell="1" allowOverlap="1" wp14:anchorId="7B3EC8E3" wp14:editId="32ADA639">
            <wp:simplePos x="0" y="0"/>
            <wp:positionH relativeFrom="column">
              <wp:posOffset>-114300</wp:posOffset>
            </wp:positionH>
            <wp:positionV relativeFrom="paragraph">
              <wp:posOffset>147955</wp:posOffset>
            </wp:positionV>
            <wp:extent cx="5745480" cy="5958840"/>
            <wp:effectExtent l="0" t="0" r="0" b="10160"/>
            <wp:wrapSquare wrapText="bothSides"/>
            <wp:docPr id="8" name="Image 8" descr="bioreg_DCM_scatter_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oreg_DCM_scatter_fig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480" cy="59588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C4FA4FB" w14:textId="77777777" w:rsidR="00571C54" w:rsidRPr="00D35CA0" w:rsidRDefault="00571C54" w:rsidP="00571C54">
      <w:pPr>
        <w:spacing w:line="276" w:lineRule="auto"/>
        <w:jc w:val="both"/>
      </w:pPr>
      <w:r w:rsidRPr="003B5CE9">
        <w:rPr>
          <w:b/>
          <w:lang w:val="en-AU"/>
        </w:rPr>
        <w:t xml:space="preserve">Figure </w:t>
      </w:r>
      <w:r>
        <w:rPr>
          <w:b/>
          <w:lang w:val="en-AU"/>
        </w:rPr>
        <w:t>SB1</w:t>
      </w:r>
      <w:r w:rsidRPr="00AB229E">
        <w:rPr>
          <w:lang w:val="en-AU"/>
        </w:rPr>
        <w:t xml:space="preserve">: </w:t>
      </w:r>
      <w:r>
        <w:rPr>
          <w:lang w:val="en-AU"/>
        </w:rPr>
        <w:t xml:space="preserve"> </w:t>
      </w:r>
      <w:r w:rsidRPr="00A4138F">
        <w:rPr>
          <w:i/>
          <w:lang w:val="en-AU"/>
        </w:rPr>
        <w:t>Log-log scatterplot of the particulate backscattering coefficient at 700 nm (b</w:t>
      </w:r>
      <w:r w:rsidRPr="00A4138F">
        <w:rPr>
          <w:i/>
          <w:vertAlign w:val="subscript"/>
          <w:lang w:val="en-AU"/>
        </w:rPr>
        <w:t>bp</w:t>
      </w:r>
      <w:r w:rsidRPr="00A4138F">
        <w:rPr>
          <w:i/>
          <w:lang w:val="en-AU"/>
        </w:rPr>
        <w:t>) as a function of the chlorophyll a concentration (Chla) within the DCM layer for each bioregion. The color code indicates the season. The black line represents the average relationship calculated for the DCM layer and the red line the regression model calculated in this layer for each bioregion (shown only if R</w:t>
      </w:r>
      <w:r w:rsidRPr="00A4138F">
        <w:rPr>
          <w:i/>
          <w:vertAlign w:val="superscript"/>
          <w:lang w:val="en-AU"/>
        </w:rPr>
        <w:t>2</w:t>
      </w:r>
      <w:r w:rsidRPr="00A4138F">
        <w:rPr>
          <w:i/>
          <w:lang w:val="en-AU"/>
        </w:rPr>
        <w:t>&gt;0.2). The data points for the productive layer are shown in grey.</w:t>
      </w:r>
    </w:p>
    <w:p w14:paraId="767914FC" w14:textId="77777777" w:rsidR="00571C54" w:rsidRPr="00DA6BAC" w:rsidRDefault="00571C54" w:rsidP="00DE063F">
      <w:pPr>
        <w:rPr>
          <w:rFonts w:ascii="Helvetica Neue" w:hAnsi="Helvetica Neue"/>
        </w:rPr>
      </w:pPr>
    </w:p>
    <w:sectPr w:rsidR="00571C54" w:rsidRPr="00DA6BAC" w:rsidSect="009D71F8">
      <w:pgSz w:w="12240" w:h="15840"/>
      <w:pgMar w:top="1440" w:right="1800" w:bottom="1440" w:left="180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Helvetica Neue">
    <w:altName w:val="Sylfaen"/>
    <w:charset w:val="00"/>
    <w:family w:val="auto"/>
    <w:pitch w:val="variable"/>
    <w:sig w:usb0="E50002FF" w:usb1="500079DB" w:usb2="00000010" w:usb3="00000000" w:csb0="00000001" w:csb1="00000000"/>
  </w:font>
  <w:font w:name="Myriad Pro">
    <w:altName w:val="Segoe UI"/>
    <w:charset w:val="00"/>
    <w:family w:val="auto"/>
    <w:pitch w:val="variable"/>
    <w:sig w:usb0="20000287" w:usb1="00000001" w:usb2="00000000" w:usb3="00000000" w:csb0="0000019F" w:csb1="00000000"/>
  </w:font>
  <w:font w:name="Times">
    <w:panose1 w:val="020206030504050203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E8B63A8"/>
    <w:multiLevelType w:val="multilevel"/>
    <w:tmpl w:val="B17ED88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Theme="majorHAnsi" w:hAnsiTheme="majorHAnsi" w:cs="Times New Roman" w:hint="default"/>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690"/>
    <w:rsid w:val="003712EF"/>
    <w:rsid w:val="00571C54"/>
    <w:rsid w:val="005B3690"/>
    <w:rsid w:val="005E3A41"/>
    <w:rsid w:val="00707E91"/>
    <w:rsid w:val="009159DF"/>
    <w:rsid w:val="009D71F8"/>
    <w:rsid w:val="00DA6BAC"/>
    <w:rsid w:val="00DE063F"/>
    <w:rsid w:val="00ED5F70"/>
    <w:rsid w:val="00FF2A9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0BAB65"/>
  <w14:defaultImageDpi w14:val="300"/>
  <w15:docId w15:val="{DAB3E960-94A2-47BC-9FC0-536D61A2B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B3690"/>
    <w:rPr>
      <w:rFonts w:ascii="Times New Roman" w:eastAsia="Times New Roman" w:hAnsi="Times New Roman" w:cs="Times New Roman"/>
      <w:szCs w:val="20"/>
      <w:lang w:val="en-US" w:eastAsia="en-US"/>
    </w:rPr>
  </w:style>
  <w:style w:type="paragraph" w:styleId="Heading1">
    <w:name w:val="heading 1"/>
    <w:basedOn w:val="Normal"/>
    <w:next w:val="Normal"/>
    <w:link w:val="Heading1Char"/>
    <w:uiPriority w:val="9"/>
    <w:qFormat/>
    <w:rsid w:val="005B369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DE063F"/>
    <w:pPr>
      <w:keepNext/>
      <w:keepLines/>
      <w:spacing w:before="240" w:after="120" w:line="480" w:lineRule="auto"/>
      <w:ind w:left="576" w:hanging="576"/>
      <w:jc w:val="both"/>
      <w:outlineLvl w:val="1"/>
    </w:pPr>
    <w:rPr>
      <w:rFonts w:asciiTheme="majorHAnsi" w:eastAsiaTheme="majorEastAsia" w:hAnsiTheme="majorHAnsi" w:cstheme="majorBidi"/>
      <w:b/>
      <w:bCs/>
      <w:szCs w:val="28"/>
      <w:lang w:eastAsia="fr-FR"/>
    </w:rPr>
  </w:style>
  <w:style w:type="paragraph" w:styleId="Heading3">
    <w:name w:val="heading 3"/>
    <w:basedOn w:val="Normal"/>
    <w:next w:val="Normal"/>
    <w:link w:val="Heading3Char"/>
    <w:uiPriority w:val="9"/>
    <w:unhideWhenUsed/>
    <w:qFormat/>
    <w:rsid w:val="00DE063F"/>
    <w:pPr>
      <w:keepNext/>
      <w:keepLines/>
      <w:spacing w:before="240" w:after="120" w:line="480" w:lineRule="auto"/>
      <w:ind w:left="720" w:hanging="720"/>
      <w:jc w:val="both"/>
      <w:outlineLvl w:val="2"/>
    </w:pPr>
    <w:rPr>
      <w:rFonts w:asciiTheme="majorHAnsi" w:eastAsiaTheme="majorEastAsia" w:hAnsiTheme="majorHAnsi" w:cstheme="majorBidi"/>
      <w:b/>
      <w:bCs/>
      <w:szCs w:val="24"/>
      <w:lang w:eastAsia="fr-FR"/>
    </w:rPr>
  </w:style>
  <w:style w:type="paragraph" w:styleId="Heading4">
    <w:name w:val="heading 4"/>
    <w:basedOn w:val="Normal"/>
    <w:next w:val="Normal"/>
    <w:link w:val="Heading4Char"/>
    <w:uiPriority w:val="9"/>
    <w:unhideWhenUsed/>
    <w:qFormat/>
    <w:rsid w:val="00DE063F"/>
    <w:pPr>
      <w:keepNext/>
      <w:keepLines/>
      <w:spacing w:before="200" w:line="480" w:lineRule="auto"/>
      <w:ind w:left="864" w:hanging="864"/>
      <w:jc w:val="both"/>
      <w:outlineLvl w:val="3"/>
    </w:pPr>
    <w:rPr>
      <w:rFonts w:asciiTheme="majorHAnsi" w:eastAsiaTheme="majorEastAsia" w:hAnsiTheme="majorHAnsi" w:cstheme="majorBidi"/>
      <w:b/>
      <w:bCs/>
      <w:i/>
      <w:iCs/>
      <w:color w:val="4F81BD" w:themeColor="accent1"/>
      <w:szCs w:val="24"/>
      <w:lang w:eastAsia="fr-FR"/>
    </w:rPr>
  </w:style>
  <w:style w:type="paragraph" w:styleId="Heading5">
    <w:name w:val="heading 5"/>
    <w:basedOn w:val="Normal"/>
    <w:next w:val="Normal"/>
    <w:link w:val="Heading5Char"/>
    <w:uiPriority w:val="9"/>
    <w:semiHidden/>
    <w:unhideWhenUsed/>
    <w:qFormat/>
    <w:rsid w:val="00DE063F"/>
    <w:pPr>
      <w:keepNext/>
      <w:keepLines/>
      <w:spacing w:before="200" w:line="480" w:lineRule="auto"/>
      <w:ind w:left="1008" w:hanging="1008"/>
      <w:jc w:val="both"/>
      <w:outlineLvl w:val="4"/>
    </w:pPr>
    <w:rPr>
      <w:rFonts w:asciiTheme="majorHAnsi" w:eastAsiaTheme="majorEastAsia" w:hAnsiTheme="majorHAnsi" w:cstheme="majorBidi"/>
      <w:color w:val="243F60" w:themeColor="accent1" w:themeShade="7F"/>
      <w:szCs w:val="24"/>
      <w:lang w:eastAsia="fr-FR"/>
    </w:rPr>
  </w:style>
  <w:style w:type="paragraph" w:styleId="Heading6">
    <w:name w:val="heading 6"/>
    <w:basedOn w:val="Normal"/>
    <w:next w:val="Normal"/>
    <w:link w:val="Heading6Char"/>
    <w:uiPriority w:val="9"/>
    <w:semiHidden/>
    <w:unhideWhenUsed/>
    <w:qFormat/>
    <w:rsid w:val="00DE063F"/>
    <w:pPr>
      <w:keepNext/>
      <w:keepLines/>
      <w:spacing w:before="200" w:line="480" w:lineRule="auto"/>
      <w:ind w:left="1152" w:hanging="1152"/>
      <w:jc w:val="both"/>
      <w:outlineLvl w:val="5"/>
    </w:pPr>
    <w:rPr>
      <w:rFonts w:asciiTheme="majorHAnsi" w:eastAsiaTheme="majorEastAsia" w:hAnsiTheme="majorHAnsi" w:cstheme="majorBidi"/>
      <w:i/>
      <w:iCs/>
      <w:color w:val="243F60" w:themeColor="accent1" w:themeShade="7F"/>
      <w:szCs w:val="24"/>
      <w:lang w:eastAsia="fr-FR"/>
    </w:rPr>
  </w:style>
  <w:style w:type="paragraph" w:styleId="Heading7">
    <w:name w:val="heading 7"/>
    <w:basedOn w:val="Normal"/>
    <w:next w:val="Normal"/>
    <w:link w:val="Heading7Char"/>
    <w:uiPriority w:val="9"/>
    <w:semiHidden/>
    <w:unhideWhenUsed/>
    <w:qFormat/>
    <w:rsid w:val="00DE063F"/>
    <w:pPr>
      <w:keepNext/>
      <w:keepLines/>
      <w:spacing w:before="200" w:line="480" w:lineRule="auto"/>
      <w:ind w:left="1296" w:hanging="1296"/>
      <w:jc w:val="both"/>
      <w:outlineLvl w:val="6"/>
    </w:pPr>
    <w:rPr>
      <w:rFonts w:asciiTheme="majorHAnsi" w:eastAsiaTheme="majorEastAsia" w:hAnsiTheme="majorHAnsi" w:cstheme="majorBidi"/>
      <w:i/>
      <w:iCs/>
      <w:color w:val="404040" w:themeColor="text1" w:themeTint="BF"/>
      <w:szCs w:val="24"/>
      <w:lang w:eastAsia="fr-FR"/>
    </w:rPr>
  </w:style>
  <w:style w:type="paragraph" w:styleId="Heading8">
    <w:name w:val="heading 8"/>
    <w:basedOn w:val="Normal"/>
    <w:next w:val="Normal"/>
    <w:link w:val="Heading8Char"/>
    <w:uiPriority w:val="9"/>
    <w:semiHidden/>
    <w:unhideWhenUsed/>
    <w:qFormat/>
    <w:rsid w:val="00DE063F"/>
    <w:pPr>
      <w:keepNext/>
      <w:keepLines/>
      <w:spacing w:before="200" w:line="480" w:lineRule="auto"/>
      <w:ind w:left="1440" w:hanging="1440"/>
      <w:jc w:val="both"/>
      <w:outlineLvl w:val="7"/>
    </w:pPr>
    <w:rPr>
      <w:rFonts w:asciiTheme="majorHAnsi" w:eastAsiaTheme="majorEastAsia" w:hAnsiTheme="majorHAnsi" w:cstheme="majorBidi"/>
      <w:color w:val="404040" w:themeColor="text1" w:themeTint="BF"/>
      <w:sz w:val="20"/>
      <w:lang w:eastAsia="fr-FR"/>
    </w:rPr>
  </w:style>
  <w:style w:type="paragraph" w:styleId="Heading9">
    <w:name w:val="heading 9"/>
    <w:basedOn w:val="Normal"/>
    <w:next w:val="Normal"/>
    <w:link w:val="Heading9Char"/>
    <w:uiPriority w:val="9"/>
    <w:semiHidden/>
    <w:unhideWhenUsed/>
    <w:qFormat/>
    <w:rsid w:val="00DE063F"/>
    <w:pPr>
      <w:keepNext/>
      <w:keepLines/>
      <w:spacing w:before="200" w:line="480" w:lineRule="auto"/>
      <w:ind w:left="1584" w:hanging="1584"/>
      <w:jc w:val="both"/>
      <w:outlineLvl w:val="8"/>
    </w:pPr>
    <w:rPr>
      <w:rFonts w:asciiTheme="majorHAnsi" w:eastAsiaTheme="majorEastAsia" w:hAnsiTheme="majorHAnsi" w:cstheme="majorBidi"/>
      <w:i/>
      <w:iCs/>
      <w:color w:val="404040" w:themeColor="text1" w:themeTint="BF"/>
      <w:sz w:val="20"/>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MHeading">
    <w:name w:val="SM Heading"/>
    <w:basedOn w:val="Heading1"/>
    <w:qFormat/>
    <w:rsid w:val="005B3690"/>
    <w:pPr>
      <w:keepLines w:val="0"/>
      <w:spacing w:before="240" w:after="60"/>
    </w:pPr>
    <w:rPr>
      <w:rFonts w:ascii="Times New Roman" w:eastAsia="Times New Roman" w:hAnsi="Times New Roman" w:cs="Times New Roman"/>
      <w:color w:val="auto"/>
      <w:kern w:val="32"/>
      <w:sz w:val="24"/>
      <w:szCs w:val="24"/>
    </w:rPr>
  </w:style>
  <w:style w:type="paragraph" w:customStyle="1" w:styleId="SMText">
    <w:name w:val="SM Text"/>
    <w:basedOn w:val="Normal"/>
    <w:qFormat/>
    <w:rsid w:val="005B3690"/>
    <w:pPr>
      <w:ind w:firstLine="480"/>
    </w:pPr>
  </w:style>
  <w:style w:type="paragraph" w:customStyle="1" w:styleId="SMcaption">
    <w:name w:val="SM caption"/>
    <w:basedOn w:val="SMText"/>
    <w:qFormat/>
    <w:rsid w:val="005B3690"/>
    <w:pPr>
      <w:ind w:firstLine="0"/>
    </w:pPr>
  </w:style>
  <w:style w:type="character" w:customStyle="1" w:styleId="Heading1Char">
    <w:name w:val="Heading 1 Char"/>
    <w:basedOn w:val="DefaultParagraphFont"/>
    <w:link w:val="Heading1"/>
    <w:uiPriority w:val="9"/>
    <w:rsid w:val="005B3690"/>
    <w:rPr>
      <w:rFonts w:asciiTheme="majorHAnsi" w:eastAsiaTheme="majorEastAsia" w:hAnsiTheme="majorHAnsi" w:cstheme="majorBidi"/>
      <w:b/>
      <w:bCs/>
      <w:color w:val="345A8A" w:themeColor="accent1" w:themeShade="B5"/>
      <w:sz w:val="32"/>
      <w:szCs w:val="32"/>
      <w:lang w:val="en-US" w:eastAsia="en-US"/>
    </w:rPr>
  </w:style>
  <w:style w:type="paragraph" w:styleId="BalloonText">
    <w:name w:val="Balloon Text"/>
    <w:basedOn w:val="Normal"/>
    <w:link w:val="BalloonTextChar"/>
    <w:uiPriority w:val="99"/>
    <w:semiHidden/>
    <w:unhideWhenUsed/>
    <w:rsid w:val="005B36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3690"/>
    <w:rPr>
      <w:rFonts w:ascii="Lucida Grande" w:eastAsia="Times New Roman" w:hAnsi="Lucida Grande" w:cs="Lucida Grande"/>
      <w:sz w:val="18"/>
      <w:szCs w:val="18"/>
      <w:lang w:val="en-US" w:eastAsia="en-US"/>
    </w:rPr>
  </w:style>
  <w:style w:type="paragraph" w:customStyle="1" w:styleId="ecxmsonormal">
    <w:name w:val="ecxmsonormal"/>
    <w:basedOn w:val="Normal"/>
    <w:rsid w:val="00FF2A99"/>
    <w:pPr>
      <w:spacing w:before="100" w:beforeAutospacing="1" w:after="100" w:afterAutospacing="1"/>
    </w:pPr>
    <w:rPr>
      <w:szCs w:val="24"/>
      <w:lang w:val="fr-FR" w:eastAsia="fr-FR"/>
    </w:rPr>
  </w:style>
  <w:style w:type="character" w:customStyle="1" w:styleId="Heading2Char">
    <w:name w:val="Heading 2 Char"/>
    <w:basedOn w:val="DefaultParagraphFont"/>
    <w:link w:val="Heading2"/>
    <w:uiPriority w:val="9"/>
    <w:rsid w:val="00DE063F"/>
    <w:rPr>
      <w:rFonts w:asciiTheme="majorHAnsi" w:eastAsiaTheme="majorEastAsia" w:hAnsiTheme="majorHAnsi" w:cstheme="majorBidi"/>
      <w:b/>
      <w:bCs/>
      <w:szCs w:val="28"/>
      <w:lang w:val="en-US"/>
    </w:rPr>
  </w:style>
  <w:style w:type="character" w:customStyle="1" w:styleId="Heading3Char">
    <w:name w:val="Heading 3 Char"/>
    <w:basedOn w:val="DefaultParagraphFont"/>
    <w:link w:val="Heading3"/>
    <w:uiPriority w:val="9"/>
    <w:rsid w:val="00DE063F"/>
    <w:rPr>
      <w:rFonts w:asciiTheme="majorHAnsi" w:eastAsiaTheme="majorEastAsia" w:hAnsiTheme="majorHAnsi" w:cstheme="majorBidi"/>
      <w:b/>
      <w:bCs/>
      <w:lang w:val="en-US"/>
    </w:rPr>
  </w:style>
  <w:style w:type="character" w:customStyle="1" w:styleId="Heading4Char">
    <w:name w:val="Heading 4 Char"/>
    <w:basedOn w:val="DefaultParagraphFont"/>
    <w:link w:val="Heading4"/>
    <w:uiPriority w:val="9"/>
    <w:rsid w:val="00DE063F"/>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DE063F"/>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DE063F"/>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DE063F"/>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DE063F"/>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DE063F"/>
    <w:rPr>
      <w:rFonts w:asciiTheme="majorHAnsi" w:eastAsiaTheme="majorEastAsia" w:hAnsiTheme="majorHAnsi" w:cstheme="majorBidi"/>
      <w:i/>
      <w:iCs/>
      <w:color w:val="404040" w:themeColor="text1" w:themeTint="BF"/>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1539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9621</Words>
  <Characters>54844</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UPMC</Company>
  <LinksUpToDate>false</LinksUpToDate>
  <CharactersWithSpaces>64337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Barbieux</dc:creator>
  <cp:keywords/>
  <dc:description/>
  <cp:lastModifiedBy>Sara Young</cp:lastModifiedBy>
  <cp:revision>2</cp:revision>
  <dcterms:created xsi:type="dcterms:W3CDTF">2017-12-15T15:22:00Z</dcterms:created>
  <dcterms:modified xsi:type="dcterms:W3CDTF">2017-12-15T15:22:00Z</dcterms:modified>
</cp:coreProperties>
</file>