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0D0" w:rsidRDefault="00FE10D0" w:rsidP="00FE10D0">
      <w:pPr>
        <w:spacing w:line="480" w:lineRule="auto"/>
        <w:jc w:val="both"/>
        <w:rPr>
          <w:lang w:val="en-US"/>
        </w:rPr>
      </w:pPr>
      <w:r>
        <w:rPr>
          <w:lang w:val="en-US"/>
        </w:rPr>
        <w:t>Supplementary materials</w:t>
      </w:r>
    </w:p>
    <w:tbl>
      <w:tblPr>
        <w:tblStyle w:val="TableGrid"/>
        <w:tblpPr w:leftFromText="141" w:rightFromText="141" w:vertAnchor="text" w:horzAnchor="margin" w:tblpY="1404"/>
        <w:tblW w:w="0" w:type="auto"/>
        <w:tblLook w:val="04A0" w:firstRow="1" w:lastRow="0" w:firstColumn="1" w:lastColumn="0" w:noHBand="0" w:noVBand="1"/>
      </w:tblPr>
      <w:tblGrid>
        <w:gridCol w:w="1510"/>
        <w:gridCol w:w="1510"/>
        <w:gridCol w:w="1510"/>
        <w:gridCol w:w="1510"/>
        <w:gridCol w:w="1511"/>
        <w:gridCol w:w="1511"/>
      </w:tblGrid>
      <w:tr w:rsidR="00A44913" w:rsidTr="00A44913">
        <w:tc>
          <w:tcPr>
            <w:tcW w:w="1510" w:type="dxa"/>
          </w:tcPr>
          <w:p w:rsidR="00A44913" w:rsidRDefault="00A44913" w:rsidP="00A44913">
            <w:pPr>
              <w:rPr>
                <w:lang w:val="en-US"/>
              </w:rPr>
            </w:pPr>
            <w:r>
              <w:rPr>
                <w:lang w:val="en-US"/>
              </w:rPr>
              <w:t>band</w:t>
            </w:r>
          </w:p>
        </w:tc>
        <w:tc>
          <w:tcPr>
            <w:tcW w:w="1510" w:type="dxa"/>
          </w:tcPr>
          <w:p w:rsidR="00A44913" w:rsidRDefault="00A44913" w:rsidP="00A44913">
            <w:pPr>
              <w:rPr>
                <w:lang w:val="en-US"/>
              </w:rPr>
            </w:pPr>
            <w:r>
              <w:rPr>
                <w:lang w:val="en-US"/>
              </w:rPr>
              <w:t>intercept</w:t>
            </w:r>
          </w:p>
        </w:tc>
        <w:tc>
          <w:tcPr>
            <w:tcW w:w="1510" w:type="dxa"/>
          </w:tcPr>
          <w:p w:rsidR="00A44913" w:rsidRDefault="00A44913" w:rsidP="00A44913">
            <w:pPr>
              <w:rPr>
                <w:lang w:val="en-US"/>
              </w:rPr>
            </w:pPr>
            <w:r>
              <w:rPr>
                <w:lang w:val="en-US"/>
              </w:rPr>
              <w:t>slope</w:t>
            </w:r>
          </w:p>
        </w:tc>
        <w:tc>
          <w:tcPr>
            <w:tcW w:w="1510" w:type="dxa"/>
          </w:tcPr>
          <w:p w:rsidR="00A44913" w:rsidRDefault="00A44913" w:rsidP="00A44913">
            <w:pPr>
              <w:rPr>
                <w:lang w:val="en-US"/>
              </w:rPr>
            </w:pPr>
            <w:r>
              <w:rPr>
                <w:lang w:val="en-US"/>
              </w:rPr>
              <w:t>MAPD</w:t>
            </w:r>
          </w:p>
        </w:tc>
        <w:tc>
          <w:tcPr>
            <w:tcW w:w="1511" w:type="dxa"/>
          </w:tcPr>
          <w:p w:rsidR="00A44913" w:rsidRDefault="00A44913" w:rsidP="00A44913">
            <w:pPr>
              <w:rPr>
                <w:lang w:val="en-US"/>
              </w:rPr>
            </w:pPr>
            <w:r>
              <w:rPr>
                <w:lang w:val="en-US"/>
              </w:rPr>
              <w:t>r</w:t>
            </w:r>
            <w:r w:rsidRPr="00CD5CBE">
              <w:rPr>
                <w:vertAlign w:val="superscript"/>
                <w:lang w:val="en-US"/>
              </w:rPr>
              <w:t>2</w:t>
            </w:r>
          </w:p>
        </w:tc>
        <w:tc>
          <w:tcPr>
            <w:tcW w:w="1511" w:type="dxa"/>
          </w:tcPr>
          <w:p w:rsidR="00A44913" w:rsidRDefault="00A44913" w:rsidP="00A44913">
            <w:pPr>
              <w:rPr>
                <w:lang w:val="en-US"/>
              </w:rPr>
            </w:pPr>
            <w:r>
              <w:rPr>
                <w:lang w:val="en-US"/>
              </w:rPr>
              <w:t>N</w:t>
            </w:r>
          </w:p>
        </w:tc>
      </w:tr>
      <w:tr w:rsidR="00A44913" w:rsidTr="00A44913">
        <w:tc>
          <w:tcPr>
            <w:tcW w:w="1510" w:type="dxa"/>
          </w:tcPr>
          <w:p w:rsidR="00A44913" w:rsidRDefault="00A44913" w:rsidP="00A44913">
            <w:pPr>
              <w:rPr>
                <w:lang w:val="en-US"/>
              </w:rPr>
            </w:pPr>
            <w:r>
              <w:rPr>
                <w:lang w:val="en-US"/>
              </w:rPr>
              <w:t>412</w:t>
            </w:r>
          </w:p>
        </w:tc>
        <w:tc>
          <w:tcPr>
            <w:tcW w:w="1510" w:type="dxa"/>
          </w:tcPr>
          <w:p w:rsidR="00A44913" w:rsidRDefault="00A44913" w:rsidP="00A44913">
            <w:pPr>
              <w:rPr>
                <w:lang w:val="en-US"/>
              </w:rPr>
            </w:pPr>
            <w:r>
              <w:rPr>
                <w:lang w:val="en-US"/>
              </w:rPr>
              <w:t>0.000</w:t>
            </w:r>
          </w:p>
        </w:tc>
        <w:tc>
          <w:tcPr>
            <w:tcW w:w="1510" w:type="dxa"/>
          </w:tcPr>
          <w:p w:rsidR="00A44913" w:rsidRDefault="00A44913" w:rsidP="00A44913">
            <w:pPr>
              <w:rPr>
                <w:lang w:val="en-US"/>
              </w:rPr>
            </w:pPr>
            <w:r>
              <w:rPr>
                <w:lang w:val="en-US"/>
              </w:rPr>
              <w:t>0.998</w:t>
            </w:r>
          </w:p>
        </w:tc>
        <w:tc>
          <w:tcPr>
            <w:tcW w:w="1510" w:type="dxa"/>
          </w:tcPr>
          <w:p w:rsidR="00A44913" w:rsidRDefault="00A44913" w:rsidP="00A44913">
            <w:pPr>
              <w:rPr>
                <w:lang w:val="en-US"/>
              </w:rPr>
            </w:pPr>
            <w:r>
              <w:rPr>
                <w:lang w:val="en-US"/>
              </w:rPr>
              <w:t>0.374%</w:t>
            </w:r>
          </w:p>
        </w:tc>
        <w:tc>
          <w:tcPr>
            <w:tcW w:w="1511" w:type="dxa"/>
          </w:tcPr>
          <w:p w:rsidR="00A44913" w:rsidRDefault="00A44913" w:rsidP="00A44913">
            <w:pPr>
              <w:rPr>
                <w:lang w:val="en-US"/>
              </w:rPr>
            </w:pPr>
            <w:r>
              <w:rPr>
                <w:lang w:val="en-US"/>
              </w:rPr>
              <w:t>1.000</w:t>
            </w:r>
          </w:p>
        </w:tc>
        <w:tc>
          <w:tcPr>
            <w:tcW w:w="1511" w:type="dxa"/>
          </w:tcPr>
          <w:p w:rsidR="00A44913" w:rsidRDefault="00A44913" w:rsidP="00A44913">
            <w:pPr>
              <w:rPr>
                <w:lang w:val="en-US"/>
              </w:rPr>
            </w:pPr>
            <w:r>
              <w:rPr>
                <w:lang w:val="en-US"/>
              </w:rPr>
              <w:t>1242</w:t>
            </w:r>
          </w:p>
        </w:tc>
      </w:tr>
      <w:tr w:rsidR="00A44913" w:rsidTr="00A44913">
        <w:tc>
          <w:tcPr>
            <w:tcW w:w="1510" w:type="dxa"/>
          </w:tcPr>
          <w:p w:rsidR="00A44913" w:rsidRDefault="00A44913" w:rsidP="00A44913">
            <w:pPr>
              <w:rPr>
                <w:lang w:val="en-US"/>
              </w:rPr>
            </w:pPr>
            <w:r>
              <w:rPr>
                <w:lang w:val="en-US"/>
              </w:rPr>
              <w:t>443</w:t>
            </w:r>
          </w:p>
        </w:tc>
        <w:tc>
          <w:tcPr>
            <w:tcW w:w="1510" w:type="dxa"/>
          </w:tcPr>
          <w:p w:rsidR="00A44913" w:rsidRDefault="00A44913" w:rsidP="00A44913">
            <w:pPr>
              <w:rPr>
                <w:lang w:val="en-US"/>
              </w:rPr>
            </w:pPr>
            <w:r>
              <w:rPr>
                <w:lang w:val="en-US"/>
              </w:rPr>
              <w:t>0.000</w:t>
            </w:r>
          </w:p>
        </w:tc>
        <w:tc>
          <w:tcPr>
            <w:tcW w:w="1510" w:type="dxa"/>
          </w:tcPr>
          <w:p w:rsidR="00A44913" w:rsidRDefault="00A44913" w:rsidP="00A44913">
            <w:pPr>
              <w:rPr>
                <w:lang w:val="en-US"/>
              </w:rPr>
            </w:pPr>
            <w:r>
              <w:rPr>
                <w:lang w:val="en-US"/>
              </w:rPr>
              <w:t>1.004</w:t>
            </w:r>
          </w:p>
        </w:tc>
        <w:tc>
          <w:tcPr>
            <w:tcW w:w="1510" w:type="dxa"/>
          </w:tcPr>
          <w:p w:rsidR="00A44913" w:rsidRDefault="00A44913" w:rsidP="00A44913">
            <w:pPr>
              <w:rPr>
                <w:lang w:val="en-US"/>
              </w:rPr>
            </w:pPr>
            <w:r>
              <w:rPr>
                <w:lang w:val="en-US"/>
              </w:rPr>
              <w:t>0.370%</w:t>
            </w:r>
          </w:p>
        </w:tc>
        <w:tc>
          <w:tcPr>
            <w:tcW w:w="1511" w:type="dxa"/>
          </w:tcPr>
          <w:p w:rsidR="00A44913" w:rsidRDefault="00A44913" w:rsidP="00A44913">
            <w:pPr>
              <w:rPr>
                <w:lang w:val="en-US"/>
              </w:rPr>
            </w:pPr>
            <w:r>
              <w:rPr>
                <w:lang w:val="en-US"/>
              </w:rPr>
              <w:t>1.000</w:t>
            </w:r>
          </w:p>
        </w:tc>
        <w:tc>
          <w:tcPr>
            <w:tcW w:w="1511" w:type="dxa"/>
          </w:tcPr>
          <w:p w:rsidR="00A44913" w:rsidRDefault="00A44913" w:rsidP="00A44913">
            <w:pPr>
              <w:rPr>
                <w:lang w:val="en-US"/>
              </w:rPr>
            </w:pPr>
            <w:r>
              <w:rPr>
                <w:lang w:val="en-US"/>
              </w:rPr>
              <w:t>1242</w:t>
            </w:r>
          </w:p>
        </w:tc>
      </w:tr>
      <w:tr w:rsidR="00A44913" w:rsidTr="00A44913">
        <w:tc>
          <w:tcPr>
            <w:tcW w:w="1510" w:type="dxa"/>
          </w:tcPr>
          <w:p w:rsidR="00A44913" w:rsidRDefault="00A44913" w:rsidP="00A44913">
            <w:pPr>
              <w:rPr>
                <w:lang w:val="en-US"/>
              </w:rPr>
            </w:pPr>
            <w:r>
              <w:rPr>
                <w:lang w:val="en-US"/>
              </w:rPr>
              <w:t>490</w:t>
            </w:r>
          </w:p>
        </w:tc>
        <w:tc>
          <w:tcPr>
            <w:tcW w:w="1510" w:type="dxa"/>
          </w:tcPr>
          <w:p w:rsidR="00A44913" w:rsidRDefault="00A44913" w:rsidP="00A44913">
            <w:pPr>
              <w:rPr>
                <w:lang w:val="en-US"/>
              </w:rPr>
            </w:pPr>
            <w:r>
              <w:rPr>
                <w:lang w:val="en-US"/>
              </w:rPr>
              <w:t>0.000</w:t>
            </w:r>
          </w:p>
        </w:tc>
        <w:tc>
          <w:tcPr>
            <w:tcW w:w="1510" w:type="dxa"/>
          </w:tcPr>
          <w:p w:rsidR="00A44913" w:rsidRDefault="00A44913" w:rsidP="00A44913">
            <w:pPr>
              <w:rPr>
                <w:lang w:val="en-US"/>
              </w:rPr>
            </w:pPr>
            <w:r>
              <w:rPr>
                <w:lang w:val="en-US"/>
              </w:rPr>
              <w:t>1.002</w:t>
            </w:r>
          </w:p>
        </w:tc>
        <w:tc>
          <w:tcPr>
            <w:tcW w:w="1510" w:type="dxa"/>
          </w:tcPr>
          <w:p w:rsidR="00A44913" w:rsidRDefault="00A44913" w:rsidP="00A44913">
            <w:pPr>
              <w:rPr>
                <w:lang w:val="en-US"/>
              </w:rPr>
            </w:pPr>
            <w:r>
              <w:rPr>
                <w:lang w:val="en-US"/>
              </w:rPr>
              <w:t>0.252%</w:t>
            </w:r>
          </w:p>
        </w:tc>
        <w:tc>
          <w:tcPr>
            <w:tcW w:w="1511" w:type="dxa"/>
          </w:tcPr>
          <w:p w:rsidR="00A44913" w:rsidRDefault="00A44913" w:rsidP="00A44913">
            <w:pPr>
              <w:rPr>
                <w:lang w:val="en-US"/>
              </w:rPr>
            </w:pPr>
            <w:r>
              <w:rPr>
                <w:lang w:val="en-US"/>
              </w:rPr>
              <w:t>1.000</w:t>
            </w:r>
          </w:p>
        </w:tc>
        <w:tc>
          <w:tcPr>
            <w:tcW w:w="1511" w:type="dxa"/>
          </w:tcPr>
          <w:p w:rsidR="00A44913" w:rsidRDefault="00A44913" w:rsidP="00A44913">
            <w:pPr>
              <w:rPr>
                <w:lang w:val="en-US"/>
              </w:rPr>
            </w:pPr>
            <w:r>
              <w:rPr>
                <w:lang w:val="en-US"/>
              </w:rPr>
              <w:t>1242</w:t>
            </w:r>
          </w:p>
        </w:tc>
      </w:tr>
      <w:tr w:rsidR="00A44913" w:rsidTr="00A44913">
        <w:tc>
          <w:tcPr>
            <w:tcW w:w="1510" w:type="dxa"/>
          </w:tcPr>
          <w:p w:rsidR="00A44913" w:rsidRDefault="00A44913" w:rsidP="00A44913">
            <w:pPr>
              <w:rPr>
                <w:lang w:val="en-US"/>
              </w:rPr>
            </w:pPr>
            <w:r>
              <w:rPr>
                <w:lang w:val="en-US"/>
              </w:rPr>
              <w:t>560</w:t>
            </w:r>
          </w:p>
        </w:tc>
        <w:tc>
          <w:tcPr>
            <w:tcW w:w="1510" w:type="dxa"/>
          </w:tcPr>
          <w:p w:rsidR="00A44913" w:rsidRDefault="00A44913" w:rsidP="00A44913">
            <w:pPr>
              <w:rPr>
                <w:lang w:val="en-US"/>
              </w:rPr>
            </w:pPr>
            <w:r>
              <w:rPr>
                <w:lang w:val="en-US"/>
              </w:rPr>
              <w:t>0.000</w:t>
            </w:r>
          </w:p>
        </w:tc>
        <w:tc>
          <w:tcPr>
            <w:tcW w:w="1510" w:type="dxa"/>
          </w:tcPr>
          <w:p w:rsidR="00A44913" w:rsidRDefault="00A44913" w:rsidP="00A44913">
            <w:pPr>
              <w:rPr>
                <w:lang w:val="en-US"/>
              </w:rPr>
            </w:pPr>
            <w:r>
              <w:rPr>
                <w:lang w:val="en-US"/>
              </w:rPr>
              <w:t>1.001</w:t>
            </w:r>
          </w:p>
        </w:tc>
        <w:tc>
          <w:tcPr>
            <w:tcW w:w="1510" w:type="dxa"/>
          </w:tcPr>
          <w:p w:rsidR="00A44913" w:rsidRDefault="00A44913" w:rsidP="00A44913">
            <w:pPr>
              <w:rPr>
                <w:lang w:val="en-US"/>
              </w:rPr>
            </w:pPr>
            <w:r>
              <w:rPr>
                <w:lang w:val="en-US"/>
              </w:rPr>
              <w:t>0.186%</w:t>
            </w:r>
          </w:p>
        </w:tc>
        <w:tc>
          <w:tcPr>
            <w:tcW w:w="1511" w:type="dxa"/>
          </w:tcPr>
          <w:p w:rsidR="00A44913" w:rsidRDefault="00A44913" w:rsidP="00A44913">
            <w:pPr>
              <w:rPr>
                <w:lang w:val="en-US"/>
              </w:rPr>
            </w:pPr>
            <w:r>
              <w:rPr>
                <w:lang w:val="en-US"/>
              </w:rPr>
              <w:t>1.000</w:t>
            </w:r>
          </w:p>
        </w:tc>
        <w:tc>
          <w:tcPr>
            <w:tcW w:w="1511" w:type="dxa"/>
          </w:tcPr>
          <w:p w:rsidR="00A44913" w:rsidRDefault="00A44913" w:rsidP="00A44913">
            <w:pPr>
              <w:rPr>
                <w:lang w:val="en-US"/>
              </w:rPr>
            </w:pPr>
            <w:r>
              <w:rPr>
                <w:lang w:val="en-US"/>
              </w:rPr>
              <w:t>1242</w:t>
            </w:r>
          </w:p>
        </w:tc>
      </w:tr>
      <w:tr w:rsidR="00A44913" w:rsidTr="00A44913">
        <w:tc>
          <w:tcPr>
            <w:tcW w:w="1510" w:type="dxa"/>
          </w:tcPr>
          <w:p w:rsidR="00A44913" w:rsidRDefault="00A44913" w:rsidP="00A44913">
            <w:pPr>
              <w:rPr>
                <w:lang w:val="en-US"/>
              </w:rPr>
            </w:pPr>
            <w:r>
              <w:rPr>
                <w:lang w:val="en-US"/>
              </w:rPr>
              <w:t>665</w:t>
            </w:r>
          </w:p>
        </w:tc>
        <w:tc>
          <w:tcPr>
            <w:tcW w:w="1510" w:type="dxa"/>
          </w:tcPr>
          <w:p w:rsidR="00A44913" w:rsidRDefault="00A44913" w:rsidP="00A44913">
            <w:pPr>
              <w:rPr>
                <w:lang w:val="en-US"/>
              </w:rPr>
            </w:pPr>
            <w:r>
              <w:rPr>
                <w:lang w:val="en-US"/>
              </w:rPr>
              <w:t>0.000</w:t>
            </w:r>
          </w:p>
        </w:tc>
        <w:tc>
          <w:tcPr>
            <w:tcW w:w="1510" w:type="dxa"/>
          </w:tcPr>
          <w:p w:rsidR="00A44913" w:rsidRDefault="00A44913" w:rsidP="00A44913">
            <w:pPr>
              <w:rPr>
                <w:lang w:val="en-US"/>
              </w:rPr>
            </w:pPr>
            <w:r>
              <w:rPr>
                <w:lang w:val="en-US"/>
              </w:rPr>
              <w:t>0.999</w:t>
            </w:r>
          </w:p>
        </w:tc>
        <w:tc>
          <w:tcPr>
            <w:tcW w:w="1510" w:type="dxa"/>
          </w:tcPr>
          <w:p w:rsidR="00A44913" w:rsidRDefault="00A44913" w:rsidP="00A44913">
            <w:pPr>
              <w:rPr>
                <w:lang w:val="en-US"/>
              </w:rPr>
            </w:pPr>
            <w:r>
              <w:rPr>
                <w:lang w:val="en-US"/>
              </w:rPr>
              <w:t>0.136%</w:t>
            </w:r>
          </w:p>
        </w:tc>
        <w:tc>
          <w:tcPr>
            <w:tcW w:w="1511" w:type="dxa"/>
          </w:tcPr>
          <w:p w:rsidR="00A44913" w:rsidRDefault="00A44913" w:rsidP="00A44913">
            <w:pPr>
              <w:rPr>
                <w:lang w:val="en-US"/>
              </w:rPr>
            </w:pPr>
            <w:r>
              <w:rPr>
                <w:lang w:val="en-US"/>
              </w:rPr>
              <w:t>1.000</w:t>
            </w:r>
          </w:p>
        </w:tc>
        <w:tc>
          <w:tcPr>
            <w:tcW w:w="1511" w:type="dxa"/>
          </w:tcPr>
          <w:p w:rsidR="00A44913" w:rsidRDefault="00A44913" w:rsidP="00A44913">
            <w:pPr>
              <w:rPr>
                <w:lang w:val="en-US"/>
              </w:rPr>
            </w:pPr>
            <w:r>
              <w:rPr>
                <w:lang w:val="en-US"/>
              </w:rPr>
              <w:t>1242</w:t>
            </w:r>
          </w:p>
        </w:tc>
      </w:tr>
      <w:tr w:rsidR="00A44913" w:rsidTr="00A44913">
        <w:tc>
          <w:tcPr>
            <w:tcW w:w="1510" w:type="dxa"/>
          </w:tcPr>
          <w:p w:rsidR="00A44913" w:rsidRDefault="00A44913" w:rsidP="00A44913">
            <w:pPr>
              <w:rPr>
                <w:lang w:val="en-US"/>
              </w:rPr>
            </w:pPr>
            <w:r>
              <w:rPr>
                <w:lang w:val="en-US"/>
              </w:rPr>
              <w:t>709</w:t>
            </w:r>
          </w:p>
        </w:tc>
        <w:tc>
          <w:tcPr>
            <w:tcW w:w="1510" w:type="dxa"/>
          </w:tcPr>
          <w:p w:rsidR="00A44913" w:rsidRDefault="00A44913" w:rsidP="00A44913">
            <w:pPr>
              <w:rPr>
                <w:lang w:val="en-US"/>
              </w:rPr>
            </w:pPr>
            <w:r>
              <w:rPr>
                <w:lang w:val="en-US"/>
              </w:rPr>
              <w:t>0.000</w:t>
            </w:r>
          </w:p>
        </w:tc>
        <w:tc>
          <w:tcPr>
            <w:tcW w:w="1510" w:type="dxa"/>
          </w:tcPr>
          <w:p w:rsidR="00A44913" w:rsidRDefault="00A44913" w:rsidP="00A44913">
            <w:pPr>
              <w:rPr>
                <w:lang w:val="en-US"/>
              </w:rPr>
            </w:pPr>
            <w:r>
              <w:rPr>
                <w:lang w:val="en-US"/>
              </w:rPr>
              <w:t>0.997</w:t>
            </w:r>
          </w:p>
        </w:tc>
        <w:tc>
          <w:tcPr>
            <w:tcW w:w="1510" w:type="dxa"/>
          </w:tcPr>
          <w:p w:rsidR="00A44913" w:rsidRDefault="00A44913" w:rsidP="00A44913">
            <w:pPr>
              <w:rPr>
                <w:lang w:val="en-US"/>
              </w:rPr>
            </w:pPr>
            <w:r>
              <w:rPr>
                <w:lang w:val="en-US"/>
              </w:rPr>
              <w:t>0.679%</w:t>
            </w:r>
          </w:p>
        </w:tc>
        <w:tc>
          <w:tcPr>
            <w:tcW w:w="1511" w:type="dxa"/>
          </w:tcPr>
          <w:p w:rsidR="00A44913" w:rsidRDefault="00A44913" w:rsidP="00A44913">
            <w:pPr>
              <w:rPr>
                <w:lang w:val="en-US"/>
              </w:rPr>
            </w:pPr>
            <w:r>
              <w:rPr>
                <w:lang w:val="en-US"/>
              </w:rPr>
              <w:t>1.000</w:t>
            </w:r>
          </w:p>
        </w:tc>
        <w:tc>
          <w:tcPr>
            <w:tcW w:w="1511" w:type="dxa"/>
          </w:tcPr>
          <w:p w:rsidR="00A44913" w:rsidRDefault="00A44913" w:rsidP="00A44913">
            <w:pPr>
              <w:rPr>
                <w:lang w:val="en-US"/>
              </w:rPr>
            </w:pPr>
            <w:r>
              <w:rPr>
                <w:lang w:val="en-US"/>
              </w:rPr>
              <w:t>1242</w:t>
            </w:r>
          </w:p>
        </w:tc>
      </w:tr>
      <w:tr w:rsidR="00A44913" w:rsidTr="00A44913">
        <w:tc>
          <w:tcPr>
            <w:tcW w:w="1510" w:type="dxa"/>
          </w:tcPr>
          <w:p w:rsidR="00A44913" w:rsidRDefault="00A44913" w:rsidP="00A44913">
            <w:pPr>
              <w:rPr>
                <w:lang w:val="en-US"/>
              </w:rPr>
            </w:pPr>
            <w:r>
              <w:rPr>
                <w:lang w:val="en-US"/>
              </w:rPr>
              <w:t>780</w:t>
            </w:r>
          </w:p>
        </w:tc>
        <w:tc>
          <w:tcPr>
            <w:tcW w:w="1510" w:type="dxa"/>
          </w:tcPr>
          <w:p w:rsidR="00A44913" w:rsidRDefault="00A44913" w:rsidP="00A44913">
            <w:pPr>
              <w:rPr>
                <w:lang w:val="en-US"/>
              </w:rPr>
            </w:pPr>
            <w:r>
              <w:rPr>
                <w:lang w:val="en-US"/>
              </w:rPr>
              <w:t>0.000</w:t>
            </w:r>
          </w:p>
        </w:tc>
        <w:tc>
          <w:tcPr>
            <w:tcW w:w="1510" w:type="dxa"/>
          </w:tcPr>
          <w:p w:rsidR="00A44913" w:rsidRDefault="00A44913" w:rsidP="00A44913">
            <w:pPr>
              <w:rPr>
                <w:lang w:val="en-US"/>
              </w:rPr>
            </w:pPr>
            <w:r>
              <w:rPr>
                <w:lang w:val="en-US"/>
              </w:rPr>
              <w:t>0.004</w:t>
            </w:r>
          </w:p>
        </w:tc>
        <w:tc>
          <w:tcPr>
            <w:tcW w:w="1510" w:type="dxa"/>
          </w:tcPr>
          <w:p w:rsidR="00A44913" w:rsidRDefault="00A44913" w:rsidP="00A44913">
            <w:pPr>
              <w:rPr>
                <w:lang w:val="en-US"/>
              </w:rPr>
            </w:pPr>
            <w:r>
              <w:rPr>
                <w:lang w:val="en-US"/>
              </w:rPr>
              <w:t>0.2606%</w:t>
            </w:r>
          </w:p>
        </w:tc>
        <w:tc>
          <w:tcPr>
            <w:tcW w:w="1511" w:type="dxa"/>
          </w:tcPr>
          <w:p w:rsidR="00A44913" w:rsidRDefault="00A44913" w:rsidP="00A44913">
            <w:pPr>
              <w:rPr>
                <w:lang w:val="en-US"/>
              </w:rPr>
            </w:pPr>
            <w:r>
              <w:rPr>
                <w:lang w:val="en-US"/>
              </w:rPr>
              <w:t>1.000</w:t>
            </w:r>
          </w:p>
        </w:tc>
        <w:tc>
          <w:tcPr>
            <w:tcW w:w="1511" w:type="dxa"/>
          </w:tcPr>
          <w:p w:rsidR="00A44913" w:rsidRDefault="00A44913" w:rsidP="00A44913">
            <w:pPr>
              <w:rPr>
                <w:lang w:val="en-US"/>
              </w:rPr>
            </w:pPr>
            <w:r>
              <w:rPr>
                <w:lang w:val="en-US"/>
              </w:rPr>
              <w:t>1242</w:t>
            </w:r>
          </w:p>
        </w:tc>
      </w:tr>
    </w:tbl>
    <w:p w:rsidR="00A44913" w:rsidRPr="00820950" w:rsidRDefault="00A44913" w:rsidP="00A44913">
      <w:pPr>
        <w:spacing w:line="480" w:lineRule="auto"/>
        <w:jc w:val="both"/>
        <w:rPr>
          <w:lang w:val="en-US"/>
        </w:rPr>
      </w:pPr>
      <w:r w:rsidRPr="00820950">
        <w:rPr>
          <w:lang w:val="en-US"/>
        </w:rPr>
        <w:t xml:space="preserve">Table S1: Statistical metrics derived from the comparison of MERIS and OLCI-S3 bands convoluted from a dataset of 1242 </w:t>
      </w:r>
      <w:proofErr w:type="spellStart"/>
      <w:r w:rsidRPr="00820950">
        <w:rPr>
          <w:lang w:val="en-US"/>
        </w:rPr>
        <w:t>TriOS</w:t>
      </w:r>
      <w:proofErr w:type="spellEnd"/>
      <w:r w:rsidRPr="00820950">
        <w:rPr>
          <w:lang w:val="en-US"/>
        </w:rPr>
        <w:t xml:space="preserve"> water reflectance measurements in coastal waters (RBINS </w:t>
      </w:r>
      <w:proofErr w:type="spellStart"/>
      <w:r w:rsidRPr="00820950">
        <w:rPr>
          <w:lang w:val="en-US"/>
        </w:rPr>
        <w:t>TriOS</w:t>
      </w:r>
      <w:proofErr w:type="spellEnd"/>
      <w:r w:rsidRPr="00820950">
        <w:rPr>
          <w:lang w:val="en-US"/>
        </w:rPr>
        <w:t xml:space="preserve"> dataset).</w:t>
      </w:r>
    </w:p>
    <w:p w:rsidR="00A44913" w:rsidRDefault="00A44913" w:rsidP="00A44913">
      <w:pPr>
        <w:spacing w:line="480" w:lineRule="auto"/>
        <w:jc w:val="both"/>
        <w:rPr>
          <w:highlight w:val="green"/>
          <w:lang w:val="en-US"/>
        </w:rPr>
      </w:pPr>
    </w:p>
    <w:p w:rsidR="00FE10D0" w:rsidRDefault="00FE10D0" w:rsidP="00FE10D0">
      <w:pPr>
        <w:spacing w:line="480" w:lineRule="auto"/>
        <w:jc w:val="both"/>
        <w:rPr>
          <w:lang w:val="en-US"/>
        </w:rPr>
      </w:pPr>
    </w:p>
    <w:p w:rsidR="00A44913" w:rsidRDefault="00A44913" w:rsidP="00A44913">
      <w:pPr>
        <w:spacing w:line="480" w:lineRule="auto"/>
        <w:rPr>
          <w:lang w:val="en-US"/>
        </w:rPr>
      </w:pPr>
    </w:p>
    <w:p w:rsidR="00A44913" w:rsidRDefault="00A44913" w:rsidP="00A44913">
      <w:pPr>
        <w:spacing w:line="480" w:lineRule="auto"/>
        <w:rPr>
          <w:lang w:val="en-US"/>
        </w:rPr>
      </w:pPr>
    </w:p>
    <w:p w:rsidR="00A44913" w:rsidRDefault="00A44913">
      <w:pPr>
        <w:rPr>
          <w:lang w:val="en-US"/>
        </w:rPr>
      </w:pPr>
      <w:r>
        <w:rPr>
          <w:lang w:val="en-US"/>
        </w:rPr>
        <w:br w:type="page"/>
      </w:r>
    </w:p>
    <w:p w:rsidR="00A44913" w:rsidRDefault="00A44913" w:rsidP="00A44913">
      <w:pPr>
        <w:spacing w:line="480" w:lineRule="auto"/>
        <w:jc w:val="both"/>
        <w:rPr>
          <w:lang w:val="en-US"/>
        </w:rPr>
      </w:pPr>
    </w:p>
    <w:p w:rsidR="00FE10D0" w:rsidRDefault="00FE10D0" w:rsidP="00FE10D0">
      <w:pPr>
        <w:spacing w:line="480" w:lineRule="auto"/>
        <w:jc w:val="both"/>
        <w:rPr>
          <w:lang w:val="en-US"/>
        </w:rPr>
      </w:pPr>
      <w:r>
        <w:rPr>
          <w:noProof/>
          <w:lang w:val="en-US"/>
        </w:rPr>
        <w:drawing>
          <wp:inline distT="0" distB="0" distL="0" distR="0" wp14:anchorId="104EDAA7" wp14:editId="3C2700AD">
            <wp:extent cx="6120130" cy="2676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RIS_RGB_for_paper_2020.png"/>
                    <pic:cNvPicPr/>
                  </pic:nvPicPr>
                  <pic:blipFill rotWithShape="1">
                    <a:blip r:embed="rId4">
                      <a:extLst>
                        <a:ext uri="{28A0092B-C50C-407E-A947-70E740481C1C}">
                          <a14:useLocalDpi xmlns:a14="http://schemas.microsoft.com/office/drawing/2010/main" val="0"/>
                        </a:ext>
                      </a:extLst>
                    </a:blip>
                    <a:srcRect b="41726"/>
                    <a:stretch/>
                  </pic:blipFill>
                  <pic:spPr bwMode="auto">
                    <a:xfrm>
                      <a:off x="0" y="0"/>
                      <a:ext cx="6120130" cy="2676525"/>
                    </a:xfrm>
                    <a:prstGeom prst="rect">
                      <a:avLst/>
                    </a:prstGeom>
                    <a:ln>
                      <a:noFill/>
                    </a:ln>
                    <a:extLst>
                      <a:ext uri="{53640926-AAD7-44D8-BBD7-CCE9431645EC}">
                        <a14:shadowObscured xmlns:a14="http://schemas.microsoft.com/office/drawing/2010/main"/>
                      </a:ext>
                    </a:extLst>
                  </pic:spPr>
                </pic:pic>
              </a:graphicData>
            </a:graphic>
          </wp:inline>
        </w:drawing>
      </w:r>
    </w:p>
    <w:p w:rsidR="00FE10D0" w:rsidRPr="00CA0285" w:rsidRDefault="00FE10D0" w:rsidP="00FE10D0">
      <w:pPr>
        <w:spacing w:line="480" w:lineRule="auto"/>
        <w:jc w:val="both"/>
        <w:rPr>
          <w:lang w:val="en-US"/>
        </w:rPr>
      </w:pPr>
      <w:r w:rsidRPr="00CA0285">
        <w:rPr>
          <w:lang w:val="en-US"/>
        </w:rPr>
        <w:t>Figure S</w:t>
      </w:r>
      <w:r>
        <w:rPr>
          <w:lang w:val="en-US"/>
        </w:rPr>
        <w:t>1</w:t>
      </w:r>
      <w:r w:rsidRPr="00CA0285">
        <w:rPr>
          <w:lang w:val="en-US"/>
        </w:rPr>
        <w:t>: MERIS RGB images corresponding to images presented in Figure</w:t>
      </w:r>
      <w:r>
        <w:rPr>
          <w:lang w:val="en-US"/>
        </w:rPr>
        <w:t>s</w:t>
      </w:r>
      <w:r w:rsidRPr="00CA0285">
        <w:rPr>
          <w:lang w:val="en-US"/>
        </w:rPr>
        <w:t xml:space="preserve"> </w:t>
      </w:r>
      <w:r>
        <w:rPr>
          <w:lang w:val="en-US"/>
        </w:rPr>
        <w:t>1</w:t>
      </w:r>
      <w:r w:rsidR="00914B7A">
        <w:rPr>
          <w:lang w:val="en-US"/>
        </w:rPr>
        <w:t>2</w:t>
      </w:r>
      <w:r w:rsidRPr="00CA0285">
        <w:rPr>
          <w:lang w:val="en-US"/>
        </w:rPr>
        <w:t xml:space="preserve"> and 1</w:t>
      </w:r>
      <w:r w:rsidR="00A44913">
        <w:rPr>
          <w:lang w:val="en-US"/>
        </w:rPr>
        <w:t>3</w:t>
      </w:r>
      <w:r>
        <w:rPr>
          <w:lang w:val="en-US"/>
        </w:rPr>
        <w:t>.</w:t>
      </w:r>
      <w:r w:rsidRPr="00CA0285">
        <w:rPr>
          <w:lang w:val="en-US"/>
        </w:rPr>
        <w:t xml:space="preserve"> </w:t>
      </w:r>
    </w:p>
    <w:p w:rsidR="00FE10D0" w:rsidRDefault="00FE10D0">
      <w:pPr>
        <w:rPr>
          <w:lang w:val="en-US"/>
        </w:rPr>
      </w:pPr>
      <w:r>
        <w:rPr>
          <w:lang w:val="en-US"/>
        </w:rPr>
        <w:br w:type="page"/>
      </w:r>
    </w:p>
    <w:p w:rsidR="00FE10D0" w:rsidRDefault="00FE10D0" w:rsidP="00FE10D0">
      <w:pPr>
        <w:spacing w:line="480" w:lineRule="auto"/>
        <w:jc w:val="both"/>
        <w:rPr>
          <w:lang w:val="en-US"/>
        </w:rPr>
      </w:pPr>
    </w:p>
    <w:p w:rsidR="00FE10D0" w:rsidRDefault="00FE10D0" w:rsidP="00FE10D0">
      <w:pPr>
        <w:spacing w:line="480" w:lineRule="auto"/>
        <w:jc w:val="both"/>
        <w:rPr>
          <w:lang w:val="en-US"/>
        </w:rPr>
      </w:pPr>
      <w:r>
        <w:rPr>
          <w:noProof/>
          <w:lang w:val="en-US"/>
        </w:rPr>
        <w:drawing>
          <wp:inline distT="0" distB="0" distL="0" distR="0" wp14:anchorId="3F51B5AE" wp14:editId="3CB39CF8">
            <wp:extent cx="2352675" cy="35337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r_paper_OLCI_POLYMER_RGB.png"/>
                    <pic:cNvPicPr/>
                  </pic:nvPicPr>
                  <pic:blipFill rotWithShape="1">
                    <a:blip r:embed="rId5">
                      <a:extLst>
                        <a:ext uri="{28A0092B-C50C-407E-A947-70E740481C1C}">
                          <a14:useLocalDpi xmlns:a14="http://schemas.microsoft.com/office/drawing/2010/main" val="0"/>
                        </a:ext>
                      </a:extLst>
                    </a:blip>
                    <a:srcRect l="30762" t="11068" r="29037" b="8420"/>
                    <a:stretch/>
                  </pic:blipFill>
                  <pic:spPr bwMode="auto">
                    <a:xfrm>
                      <a:off x="0" y="0"/>
                      <a:ext cx="2352680" cy="3533782"/>
                    </a:xfrm>
                    <a:prstGeom prst="rect">
                      <a:avLst/>
                    </a:prstGeom>
                    <a:ln>
                      <a:noFill/>
                    </a:ln>
                    <a:extLst>
                      <a:ext uri="{53640926-AAD7-44D8-BBD7-CCE9431645EC}">
                        <a14:shadowObscured xmlns:a14="http://schemas.microsoft.com/office/drawing/2010/main"/>
                      </a:ext>
                    </a:extLst>
                  </pic:spPr>
                </pic:pic>
              </a:graphicData>
            </a:graphic>
          </wp:inline>
        </w:drawing>
      </w:r>
    </w:p>
    <w:p w:rsidR="00FE10D0" w:rsidRPr="00CA0285" w:rsidRDefault="00FE10D0" w:rsidP="00FE10D0">
      <w:pPr>
        <w:spacing w:line="480" w:lineRule="auto"/>
        <w:jc w:val="both"/>
        <w:rPr>
          <w:lang w:val="en-US"/>
        </w:rPr>
      </w:pPr>
      <w:r w:rsidRPr="00CA0285">
        <w:rPr>
          <w:lang w:val="en-US"/>
        </w:rPr>
        <w:t>Figure S</w:t>
      </w:r>
      <w:r>
        <w:rPr>
          <w:lang w:val="en-US"/>
        </w:rPr>
        <w:t>2</w:t>
      </w:r>
      <w:r w:rsidRPr="00CA0285">
        <w:rPr>
          <w:lang w:val="en-US"/>
        </w:rPr>
        <w:t xml:space="preserve">: </w:t>
      </w:r>
      <w:r>
        <w:rPr>
          <w:lang w:val="en-US"/>
        </w:rPr>
        <w:t>OLCI-1</w:t>
      </w:r>
      <w:r w:rsidRPr="00CA0285">
        <w:rPr>
          <w:lang w:val="en-US"/>
        </w:rPr>
        <w:t xml:space="preserve"> RGB image corresponding to image presented in Figure </w:t>
      </w:r>
      <w:r>
        <w:rPr>
          <w:lang w:val="en-US"/>
        </w:rPr>
        <w:t>1</w:t>
      </w:r>
      <w:r w:rsidR="00A44913">
        <w:rPr>
          <w:lang w:val="en-US"/>
        </w:rPr>
        <w:t>4</w:t>
      </w:r>
      <w:r>
        <w:rPr>
          <w:lang w:val="en-US"/>
        </w:rPr>
        <w:t xml:space="preserve"> (2017/06/18).</w:t>
      </w:r>
      <w:r w:rsidRPr="00CA0285">
        <w:rPr>
          <w:lang w:val="en-US"/>
        </w:rPr>
        <w:t xml:space="preserve"> </w:t>
      </w:r>
    </w:p>
    <w:p w:rsidR="00FE10D0" w:rsidRDefault="00FE10D0" w:rsidP="00FE10D0">
      <w:pPr>
        <w:spacing w:line="480" w:lineRule="auto"/>
        <w:jc w:val="both"/>
        <w:rPr>
          <w:lang w:val="en-US"/>
        </w:rPr>
      </w:pPr>
    </w:p>
    <w:p w:rsidR="00FE10D0" w:rsidRDefault="00FE10D0" w:rsidP="00FE10D0">
      <w:pPr>
        <w:spacing w:line="480" w:lineRule="auto"/>
        <w:jc w:val="both"/>
        <w:rPr>
          <w:lang w:val="en-US"/>
        </w:rPr>
      </w:pPr>
    </w:p>
    <w:p w:rsidR="00FE10D0" w:rsidRPr="007E5286" w:rsidRDefault="00FE10D0" w:rsidP="00FE10D0">
      <w:pPr>
        <w:spacing w:line="480" w:lineRule="auto"/>
        <w:jc w:val="both"/>
        <w:rPr>
          <w:lang w:val="en-US"/>
        </w:rPr>
      </w:pPr>
    </w:p>
    <w:p w:rsidR="00FE10D0" w:rsidRDefault="00FE10D0" w:rsidP="00FE10D0">
      <w:pPr>
        <w:spacing w:line="480" w:lineRule="auto"/>
        <w:jc w:val="both"/>
      </w:pPr>
      <w:r>
        <w:rPr>
          <w:noProof/>
          <w:lang w:val="fr-FR" w:eastAsia="fr-FR"/>
        </w:rPr>
        <w:lastRenderedPageBreak/>
        <w:drawing>
          <wp:inline distT="0" distB="0" distL="0" distR="0" wp14:anchorId="519997E1" wp14:editId="0C647F03">
            <wp:extent cx="5124450" cy="4191000"/>
            <wp:effectExtent l="0" t="0" r="0" b="0"/>
            <wp:docPr id="3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4450" cy="4191000"/>
                    </a:xfrm>
                    <a:prstGeom prst="rect">
                      <a:avLst/>
                    </a:prstGeom>
                    <a:noFill/>
                    <a:ln>
                      <a:noFill/>
                    </a:ln>
                  </pic:spPr>
                </pic:pic>
              </a:graphicData>
            </a:graphic>
          </wp:inline>
        </w:drawing>
      </w:r>
    </w:p>
    <w:p w:rsidR="00FE10D0" w:rsidRPr="00CA0285" w:rsidRDefault="00FE10D0" w:rsidP="00FE10D0">
      <w:pPr>
        <w:spacing w:line="480" w:lineRule="auto"/>
        <w:jc w:val="both"/>
        <w:rPr>
          <w:lang w:val="en-US"/>
        </w:rPr>
      </w:pPr>
      <w:r w:rsidRPr="00CA0285">
        <w:rPr>
          <w:lang w:val="en-US"/>
        </w:rPr>
        <w:t>Figure S</w:t>
      </w:r>
      <w:r>
        <w:rPr>
          <w:lang w:val="en-US"/>
        </w:rPr>
        <w:t>3</w:t>
      </w:r>
      <w:r w:rsidRPr="00CA0285">
        <w:rPr>
          <w:lang w:val="en-US"/>
        </w:rPr>
        <w:t xml:space="preserve">: Box-plots comparing the performances of the OC4 (blue), OC6 (yellow) algorithms on the subset of points which pass QC tests. Green point represents the median metric value when all the points are considered (before QC tests). OC6 algorithm for MERIS is defined by O’Reilly and </w:t>
      </w:r>
      <w:proofErr w:type="spellStart"/>
      <w:r w:rsidRPr="00CA0285">
        <w:rPr>
          <w:lang w:val="en-US"/>
        </w:rPr>
        <w:t>Werdell</w:t>
      </w:r>
      <w:proofErr w:type="spellEnd"/>
      <w:r w:rsidRPr="00CA0285">
        <w:rPr>
          <w:lang w:val="en-US"/>
        </w:rPr>
        <w:t xml:space="preserve"> (2019). A dedicated QC test was developed for this algorithm on the basis of QC tests developed for OC4 and OC5. </w:t>
      </w:r>
    </w:p>
    <w:p w:rsidR="00CD5CBE" w:rsidRDefault="00CD5CBE" w:rsidP="00A44913">
      <w:pPr>
        <w:rPr>
          <w:lang w:val="en-US"/>
        </w:rPr>
      </w:pPr>
      <w:r>
        <w:rPr>
          <w:lang w:val="en-US"/>
        </w:rPr>
        <w:br w:type="page"/>
      </w:r>
    </w:p>
    <w:p w:rsidR="00CD5CBE" w:rsidRDefault="00CD5CBE">
      <w:pPr>
        <w:rPr>
          <w:lang w:val="en-US"/>
        </w:rPr>
      </w:pPr>
    </w:p>
    <w:p w:rsidR="00A24B2D" w:rsidRDefault="00A24B2D">
      <w:pPr>
        <w:rPr>
          <w:lang w:val="en-US"/>
        </w:rPr>
      </w:pPr>
    </w:p>
    <w:p w:rsidR="00E2214A" w:rsidRDefault="00A24B2D">
      <w:pPr>
        <w:rPr>
          <w:lang w:val="en-US"/>
        </w:rPr>
      </w:pPr>
      <w:bookmarkStart w:id="0" w:name="_GoBack"/>
      <w:r>
        <w:rPr>
          <w:noProof/>
        </w:rPr>
        <w:drawing>
          <wp:inline distT="0" distB="0" distL="0" distR="0" wp14:anchorId="5831DE69" wp14:editId="21ED54AB">
            <wp:extent cx="5760720" cy="5760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5760720"/>
                    </a:xfrm>
                    <a:prstGeom prst="rect">
                      <a:avLst/>
                    </a:prstGeom>
                  </pic:spPr>
                </pic:pic>
              </a:graphicData>
            </a:graphic>
          </wp:inline>
        </w:drawing>
      </w:r>
      <w:bookmarkEnd w:id="0"/>
    </w:p>
    <w:p w:rsidR="00A24B2D" w:rsidRDefault="00A24B2D">
      <w:pPr>
        <w:rPr>
          <w:lang w:val="en-US"/>
        </w:rPr>
      </w:pPr>
    </w:p>
    <w:p w:rsidR="00A24B2D" w:rsidRDefault="00A24B2D" w:rsidP="005971B6">
      <w:pPr>
        <w:pStyle w:val="NoSpacing"/>
        <w:rPr>
          <w:lang w:val="en-US"/>
        </w:rPr>
      </w:pPr>
      <w:r w:rsidRPr="00A44913">
        <w:rPr>
          <w:lang w:val="en-US"/>
        </w:rPr>
        <w:t xml:space="preserve">Figure S4: Analysis of the impact of modification of the </w:t>
      </w:r>
      <w:r w:rsidR="007E19E9" w:rsidRPr="00A44913">
        <w:rPr>
          <w:lang w:val="en-US"/>
        </w:rPr>
        <w:t>benefit</w:t>
      </w:r>
      <w:r w:rsidRPr="00A44913">
        <w:rPr>
          <w:lang w:val="en-US"/>
        </w:rPr>
        <w:t xml:space="preserve"> function (</w:t>
      </w:r>
      <w:r w:rsidR="001A238E" w:rsidRPr="00A44913">
        <w:rPr>
          <w:lang w:val="en-US"/>
        </w:rPr>
        <w:t>Equation 6</w:t>
      </w:r>
      <w:r w:rsidRPr="00A44913">
        <w:rPr>
          <w:lang w:val="en-US"/>
        </w:rPr>
        <w:t>)</w:t>
      </w:r>
      <w:r w:rsidR="00400AEE" w:rsidRPr="00A44913">
        <w:rPr>
          <w:lang w:val="en-US"/>
        </w:rPr>
        <w:t>. QC</w:t>
      </w:r>
      <w:r w:rsidRPr="00A44913">
        <w:rPr>
          <w:lang w:val="en-US"/>
        </w:rPr>
        <w:t xml:space="preserve"> boundary lines have been recalculated when the</w:t>
      </w:r>
      <w:r w:rsidR="001A238E" w:rsidRPr="00A44913">
        <w:rPr>
          <w:lang w:val="en-US"/>
        </w:rPr>
        <w:t xml:space="preserve"> absolute percent difference (</w:t>
      </w:r>
      <w:r w:rsidRPr="00A44913">
        <w:rPr>
          <w:lang w:val="en-US"/>
        </w:rPr>
        <w:t>APD</w:t>
      </w:r>
      <w:r w:rsidR="001A238E" w:rsidRPr="00A44913">
        <w:rPr>
          <w:lang w:val="en-US"/>
        </w:rPr>
        <w:t>)</w:t>
      </w:r>
      <w:r w:rsidRPr="00A44913">
        <w:rPr>
          <w:lang w:val="en-US"/>
        </w:rPr>
        <w:t xml:space="preserve"> </w:t>
      </w:r>
      <w:r w:rsidR="001A238E" w:rsidRPr="00A44913">
        <w:rPr>
          <w:lang w:val="en-US"/>
        </w:rPr>
        <w:t>breaks</w:t>
      </w:r>
      <w:r w:rsidR="00400AEE" w:rsidRPr="00A44913">
        <w:rPr>
          <w:lang w:val="en-US"/>
        </w:rPr>
        <w:t xml:space="preserve"> in the </w:t>
      </w:r>
      <w:r w:rsidR="007E19E9" w:rsidRPr="00A44913">
        <w:rPr>
          <w:lang w:val="en-US"/>
        </w:rPr>
        <w:t>benefit</w:t>
      </w:r>
      <w:r w:rsidR="00400AEE" w:rsidRPr="00A44913">
        <w:rPr>
          <w:lang w:val="en-US"/>
        </w:rPr>
        <w:t xml:space="preserve"> function</w:t>
      </w:r>
      <w:r w:rsidRPr="00A44913">
        <w:rPr>
          <w:lang w:val="en-US"/>
        </w:rPr>
        <w:t xml:space="preserve"> are changed to 30% - 40% - 50% (green line</w:t>
      </w:r>
      <w:r w:rsidR="007E19E9" w:rsidRPr="00A44913">
        <w:rPr>
          <w:lang w:val="en-US"/>
        </w:rPr>
        <w:t>s</w:t>
      </w:r>
      <w:r w:rsidRPr="00A44913">
        <w:rPr>
          <w:lang w:val="en-US"/>
        </w:rPr>
        <w:t xml:space="preserve">) and 30% - 50% - 70% (blue lines). Red lines represent the </w:t>
      </w:r>
      <w:r w:rsidR="001A238E" w:rsidRPr="00A44913">
        <w:rPr>
          <w:lang w:val="en-US"/>
        </w:rPr>
        <w:t xml:space="preserve">boundary lines calculated in the study when APD </w:t>
      </w:r>
      <w:r w:rsidR="00400AEE" w:rsidRPr="00A44913">
        <w:rPr>
          <w:lang w:val="en-US"/>
        </w:rPr>
        <w:t>breaks</w:t>
      </w:r>
      <w:r w:rsidR="001A238E" w:rsidRPr="00A44913">
        <w:rPr>
          <w:lang w:val="en-US"/>
        </w:rPr>
        <w:t xml:space="preserve"> are 30% - 50% -100%. L</w:t>
      </w:r>
      <w:r w:rsidR="001A238E" w:rsidRPr="00A44913">
        <w:rPr>
          <w:vertAlign w:val="subscript"/>
          <w:lang w:val="en-US"/>
        </w:rPr>
        <w:t>R12_OC4</w:t>
      </w:r>
      <w:r w:rsidR="001A238E" w:rsidRPr="00A44913">
        <w:rPr>
          <w:lang w:val="en-US"/>
        </w:rPr>
        <w:t xml:space="preserve"> and L</w:t>
      </w:r>
      <w:r w:rsidR="001A238E" w:rsidRPr="00A44913">
        <w:rPr>
          <w:vertAlign w:val="subscript"/>
          <w:lang w:val="en-US"/>
        </w:rPr>
        <w:t>R12_OC5</w:t>
      </w:r>
      <w:r w:rsidR="001A238E" w:rsidRPr="00A44913">
        <w:rPr>
          <w:lang w:val="en-US"/>
        </w:rPr>
        <w:t xml:space="preserve"> are drawn in panel A and L</w:t>
      </w:r>
      <w:r w:rsidR="001A238E" w:rsidRPr="00A44913">
        <w:rPr>
          <w:vertAlign w:val="subscript"/>
          <w:lang w:val="en-US"/>
        </w:rPr>
        <w:t>logR5_OCA</w:t>
      </w:r>
      <w:r w:rsidR="001A238E" w:rsidRPr="00A44913">
        <w:rPr>
          <w:lang w:val="en-US"/>
        </w:rPr>
        <w:t xml:space="preserve"> and L</w:t>
      </w:r>
      <w:r w:rsidR="001A238E" w:rsidRPr="00A44913">
        <w:rPr>
          <w:vertAlign w:val="subscript"/>
          <w:lang w:val="en-US"/>
        </w:rPr>
        <w:t>logR5_OC5</w:t>
      </w:r>
      <w:r w:rsidR="001A238E" w:rsidRPr="00A44913">
        <w:rPr>
          <w:lang w:val="en-US"/>
        </w:rPr>
        <w:t xml:space="preserve"> are drawn in panel B (solid and dotted lines respectively). For NIR-RED algorithm, </w:t>
      </w:r>
      <w:proofErr w:type="spellStart"/>
      <w:r w:rsidR="001A238E" w:rsidRPr="00A44913">
        <w:rPr>
          <w:lang w:val="en-US"/>
        </w:rPr>
        <w:t>L</w:t>
      </w:r>
      <w:r w:rsidR="001A238E" w:rsidRPr="00A44913">
        <w:rPr>
          <w:vertAlign w:val="subscript"/>
          <w:lang w:val="en-US"/>
        </w:rPr>
        <w:t>Chl</w:t>
      </w:r>
      <w:proofErr w:type="spellEnd"/>
      <w:r w:rsidR="001A238E" w:rsidRPr="00A44913">
        <w:rPr>
          <w:vertAlign w:val="subscript"/>
          <w:lang w:val="en-US"/>
        </w:rPr>
        <w:t>/NIR_RED</w:t>
      </w:r>
      <w:r w:rsidR="001A238E" w:rsidRPr="00A44913">
        <w:rPr>
          <w:lang w:val="en-US"/>
        </w:rPr>
        <w:t xml:space="preserve"> and L</w:t>
      </w:r>
      <w:r w:rsidR="001A238E" w:rsidRPr="00A44913">
        <w:rPr>
          <w:vertAlign w:val="subscript"/>
          <w:lang w:val="en-US"/>
        </w:rPr>
        <w:t>R6/NIR_RED</w:t>
      </w:r>
      <w:r w:rsidR="001A238E" w:rsidRPr="00A44913">
        <w:rPr>
          <w:lang w:val="en-US"/>
        </w:rPr>
        <w:t xml:space="preserve"> </w:t>
      </w:r>
      <w:proofErr w:type="gramStart"/>
      <w:r w:rsidR="001A238E" w:rsidRPr="00A44913">
        <w:rPr>
          <w:lang w:val="en-US"/>
        </w:rPr>
        <w:t>are</w:t>
      </w:r>
      <w:proofErr w:type="gramEnd"/>
      <w:r w:rsidR="001A238E" w:rsidRPr="00A44913">
        <w:rPr>
          <w:lang w:val="en-US"/>
        </w:rPr>
        <w:t xml:space="preserve"> referred respectively by vertical and horizontal lines </w:t>
      </w:r>
      <w:r w:rsidR="00A44913">
        <w:rPr>
          <w:lang w:val="en-US"/>
        </w:rPr>
        <w:t xml:space="preserve">respectively, </w:t>
      </w:r>
      <w:r w:rsidR="001A238E" w:rsidRPr="00A44913">
        <w:rPr>
          <w:lang w:val="en-US"/>
        </w:rPr>
        <w:t>in panel C. Note that in panel C, lines are almost overlaid.</w:t>
      </w:r>
      <w:r w:rsidR="001A238E">
        <w:rPr>
          <w:lang w:val="en-US"/>
        </w:rPr>
        <w:t xml:space="preserve"> </w:t>
      </w:r>
    </w:p>
    <w:p w:rsidR="00A24B2D" w:rsidRDefault="00A24B2D" w:rsidP="00A44913">
      <w:pPr>
        <w:spacing w:line="480" w:lineRule="auto"/>
        <w:jc w:val="both"/>
        <w:rPr>
          <w:lang w:val="en-US"/>
        </w:rPr>
      </w:pPr>
    </w:p>
    <w:p w:rsidR="00A24B2D" w:rsidRPr="00FE10D0" w:rsidRDefault="00A24B2D">
      <w:pPr>
        <w:rPr>
          <w:lang w:val="en-US"/>
        </w:rPr>
      </w:pPr>
    </w:p>
    <w:sectPr w:rsidR="00A24B2D" w:rsidRPr="00FE10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0D0"/>
    <w:rsid w:val="001A238E"/>
    <w:rsid w:val="002806B8"/>
    <w:rsid w:val="00361E33"/>
    <w:rsid w:val="003E1BF3"/>
    <w:rsid w:val="00400AEE"/>
    <w:rsid w:val="00557186"/>
    <w:rsid w:val="005971B6"/>
    <w:rsid w:val="007E19E9"/>
    <w:rsid w:val="00820950"/>
    <w:rsid w:val="00914B7A"/>
    <w:rsid w:val="00A24B2D"/>
    <w:rsid w:val="00A44913"/>
    <w:rsid w:val="00CD5CBE"/>
    <w:rsid w:val="00E142E2"/>
    <w:rsid w:val="00E2214A"/>
    <w:rsid w:val="00FE10D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EB4E7A-54D2-4C8A-9D8C-D7F4B1372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10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5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971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278</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Heloïse Lavigne</dc:creator>
  <cp:keywords/>
  <dc:description/>
  <cp:lastModifiedBy>Heloïse Lavigne</cp:lastModifiedBy>
  <cp:revision>6</cp:revision>
  <dcterms:created xsi:type="dcterms:W3CDTF">2020-09-22T15:09:00Z</dcterms:created>
  <dcterms:modified xsi:type="dcterms:W3CDTF">2020-12-04T09:21:00Z</dcterms:modified>
</cp:coreProperties>
</file>