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88D" w:rsidRDefault="007E4975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Evaluation of CNRM Earth-System model, CNRM-ESM2-1: role of Earth system processes in present-day and future climate</w:t>
      </w:r>
    </w:p>
    <w:p w:rsidR="0038688D" w:rsidRDefault="0038688D">
      <w:pPr>
        <w:spacing w:line="360" w:lineRule="auto"/>
        <w:jc w:val="both"/>
      </w:pPr>
    </w:p>
    <w:p w:rsidR="0038688D" w:rsidRDefault="007E497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—Supplementary Information—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b/>
          <w:sz w:val="32"/>
          <w:szCs w:val="32"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  <w:rPr>
          <w:b/>
          <w:sz w:val="32"/>
          <w:szCs w:val="32"/>
        </w:rPr>
      </w:pPr>
      <w:r>
        <w:rPr>
          <w:b/>
        </w:rPr>
        <w:t>1. CMIP6 experiments used in this work</w:t>
      </w:r>
    </w:p>
    <w:p w:rsidR="0038688D" w:rsidRDefault="0038688D">
      <w:pPr>
        <w:widowControl w:val="0"/>
        <w:spacing w:line="360" w:lineRule="auto"/>
        <w:jc w:val="both"/>
        <w:rPr>
          <w:b/>
          <w:color w:val="000000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292"/>
        <w:gridCol w:w="1469"/>
        <w:gridCol w:w="3190"/>
        <w:gridCol w:w="1200"/>
        <w:gridCol w:w="1200"/>
      </w:tblGrid>
      <w:tr w:rsidR="0038688D">
        <w:trPr>
          <w:trHeight w:val="192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MIPS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Simulations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Description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CNRM-CM6-1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113" w:right="113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CNRM-ESM2-1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DECK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color w:val="000000"/>
                <w:sz w:val="22"/>
                <w:szCs w:val="22"/>
              </w:rPr>
              <w:t>piControl</w:t>
            </w:r>
            <w:proofErr w:type="spellEnd"/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Preindustrial control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historical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CMIP6 reconstruction of the </w:t>
            </w:r>
            <w:proofErr w:type="spellStart"/>
            <w:r>
              <w:rPr>
                <w:color w:val="000000"/>
                <w:sz w:val="22"/>
                <w:szCs w:val="22"/>
              </w:rPr>
              <w:t>insdustrial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-era climate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1pctCO2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1% per year rising CO2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abrupt-4xCO2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Instantaneous quadrupling CO2 from preindustrial level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RFMIP/</w:t>
            </w:r>
            <w:proofErr w:type="spellStart"/>
            <w:r>
              <w:rPr>
                <w:color w:val="000000"/>
                <w:sz w:val="22"/>
                <w:szCs w:val="22"/>
              </w:rPr>
              <w:t>AerChemMIP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color w:val="000000"/>
                <w:sz w:val="22"/>
                <w:szCs w:val="22"/>
              </w:rPr>
              <w:t>piClim</w:t>
            </w:r>
            <w:proofErr w:type="spellEnd"/>
            <w:r>
              <w:rPr>
                <w:i/>
                <w:color w:val="000000"/>
                <w:sz w:val="22"/>
                <w:szCs w:val="22"/>
              </w:rPr>
              <w:t>-control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Preindustrial control with fixed sea-surface temperatures (SST) and sea-ice cover (SIC)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color w:val="000000"/>
                <w:sz w:val="22"/>
                <w:szCs w:val="22"/>
              </w:rPr>
              <w:t>piClim-ghg</w:t>
            </w:r>
            <w:proofErr w:type="spellEnd"/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Increase of greenhouse gases from preindustrial level up to present-day (2014) level with fixed preindustrial sea-surface temperatures (SST) and sea-ice cover (SIC)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piClim-4xCO2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Quadrupling of atmospheric CO2 from preindustrial level with fixed preindustrial sea-surface temperatures (SST) and sea-ice cover (SIC)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color w:val="000000"/>
                <w:sz w:val="22"/>
                <w:szCs w:val="22"/>
              </w:rPr>
              <w:t>piClim-lu</w:t>
            </w:r>
            <w:proofErr w:type="spellEnd"/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Change in land-cover disturbance from preindustrial level up to present-day (2014) level with fixed preindustrial sea-surface temperatures (SST) and sea-ice cover (SIC)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color w:val="000000"/>
                <w:sz w:val="22"/>
                <w:szCs w:val="22"/>
              </w:rPr>
              <w:t>piClim-aer</w:t>
            </w:r>
            <w:proofErr w:type="spellEnd"/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Increase of aerosol emissions from preindustrial level up to present-day (2014) level with fixed preindustrial sea-surface temperatures (SST) and sea-ice </w:t>
            </w:r>
            <w:r>
              <w:rPr>
                <w:color w:val="000000"/>
                <w:sz w:val="22"/>
                <w:szCs w:val="22"/>
              </w:rPr>
              <w:lastRenderedPageBreak/>
              <w:t>cover (SIC)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i/>
                <w:color w:val="000000"/>
                <w:sz w:val="22"/>
                <w:szCs w:val="22"/>
              </w:rPr>
              <w:t>piClim-anthro</w:t>
            </w:r>
            <w:proofErr w:type="spellEnd"/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Increase of anthropogenic climate forcers (</w:t>
            </w:r>
            <w:proofErr w:type="spellStart"/>
            <w:r>
              <w:rPr>
                <w:color w:val="000000"/>
                <w:sz w:val="22"/>
                <w:szCs w:val="22"/>
              </w:rPr>
              <w:t>ghg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aerosols) from preindustrial level up to present-day (2014) level with fixed preindustrial sea-surface temperatures (SST) and sea-ice cover (SIC)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C4MIP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1pctCO2-bgc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1% per year rising CO2 “seen” solely by carbon cycle; </w:t>
            </w:r>
            <w:r>
              <w:rPr>
                <w:sz w:val="22"/>
                <w:szCs w:val="22"/>
              </w:rPr>
              <w:t>radiative code sees preindustrial CO2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ScenarioMIP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ssp119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1.9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ssp126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2.6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ssp245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4.5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ssp370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7.0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ssp434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3.4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ssp460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6.0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ssp534-over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3.4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 after an overshoot in 2050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38688D"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3868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ssp585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Multi-gas and aerosols scenarios reaching a radiative forcing of 8.5 W m</w:t>
            </w:r>
            <w:r>
              <w:rPr>
                <w:color w:val="000000"/>
                <w:sz w:val="22"/>
                <w:szCs w:val="22"/>
                <w:vertAlign w:val="superscript"/>
              </w:rPr>
              <w:t>-2</w:t>
            </w:r>
            <w:r>
              <w:rPr>
                <w:color w:val="000000"/>
                <w:sz w:val="22"/>
                <w:szCs w:val="22"/>
              </w:rPr>
              <w:t xml:space="preserve"> by 2100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688D" w:rsidRDefault="007E497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</w:tbl>
    <w:p w:rsidR="0038688D" w:rsidRDefault="007E4975">
      <w:pPr>
        <w:widowControl w:val="0"/>
        <w:spacing w:line="36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</w:rPr>
        <w:t xml:space="preserve">Table S1: </w:t>
      </w:r>
      <w:r>
        <w:rPr>
          <w:color w:val="000000"/>
          <w:sz w:val="20"/>
          <w:szCs w:val="20"/>
        </w:rPr>
        <w:t>Model experiments used in this study. The last two columns indicate the ensemble size used for CNRM-CM6-1 or CNRM-ESM2-1.</w:t>
      </w:r>
    </w:p>
    <w:p w:rsidR="0038688D" w:rsidRDefault="0038688D">
      <w:pPr>
        <w:widowControl w:val="0"/>
        <w:spacing w:line="360" w:lineRule="auto"/>
        <w:jc w:val="both"/>
        <w:rPr>
          <w:sz w:val="20"/>
          <w:szCs w:val="20"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b/>
        </w:rPr>
        <w:t>2. Representation of the plant functional type simulated by ISBA</w:t>
      </w:r>
    </w:p>
    <w:p w:rsidR="0038688D" w:rsidRDefault="0038688D">
      <w:pPr>
        <w:widowControl w:val="0"/>
        <w:spacing w:line="360" w:lineRule="auto"/>
        <w:jc w:val="both"/>
        <w:rPr>
          <w:sz w:val="20"/>
          <w:szCs w:val="20"/>
        </w:rPr>
      </w:pPr>
    </w:p>
    <w:tbl>
      <w:tblPr>
        <w:tblW w:w="3795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3725"/>
        <w:gridCol w:w="70"/>
      </w:tblGrid>
      <w:tr w:rsidR="0038688D">
        <w:trPr>
          <w:trHeight w:val="318"/>
        </w:trPr>
        <w:tc>
          <w:tcPr>
            <w:tcW w:w="3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8688D" w:rsidRDefault="007E497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lang w:val="en-GB"/>
              </w:rPr>
              <w:t>Vegetation type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38688D">
            <w:pPr>
              <w:rPr>
                <w:color w:val="000000"/>
                <w:sz w:val="20"/>
                <w:szCs w:val="20"/>
              </w:rPr>
            </w:pPr>
          </w:p>
        </w:tc>
      </w:tr>
      <w:tr w:rsidR="0038688D">
        <w:trPr>
          <w:trHeight w:val="360"/>
        </w:trPr>
        <w:tc>
          <w:tcPr>
            <w:tcW w:w="3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38688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38688D">
            <w:pPr>
              <w:rPr>
                <w:sz w:val="20"/>
                <w:szCs w:val="20"/>
              </w:rPr>
            </w:pPr>
          </w:p>
        </w:tc>
      </w:tr>
      <w:tr w:rsidR="0038688D">
        <w:trPr>
          <w:trHeight w:val="360"/>
        </w:trPr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Temperate broadleaf cold-deciduous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38688D">
            <w:pPr>
              <w:rPr>
                <w:color w:val="000000"/>
                <w:sz w:val="20"/>
                <w:szCs w:val="20"/>
              </w:rPr>
            </w:pP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Boreal needleleaf evergreen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Tropical broadleaf evergreen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C3 crops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C4 crops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Irrigated crops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lastRenderedPageBreak/>
              <w:t>C3 grass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C4 grass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wetlands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Tropical broadleaf dry-deciduous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Temperate broadleaf evergreen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Temperate needleleaf evergreen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Boreal broadleaf cold-deciduous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Boreal needleleaf cold-deciduous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Boreal grass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8688D">
        <w:tc>
          <w:tcPr>
            <w:tcW w:w="3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lang w:val="en-GB"/>
              </w:rPr>
              <w:t>Deciduous shrub </w:t>
            </w:r>
          </w:p>
        </w:tc>
        <w:tc>
          <w:tcPr>
            <w:tcW w:w="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  <w:right w:w="0" w:type="dxa"/>
            </w:tcMar>
            <w:vAlign w:val="center"/>
          </w:tcPr>
          <w:p w:rsidR="0038688D" w:rsidRDefault="007E497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38688D" w:rsidRDefault="007E4975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b/>
          <w:color w:val="000000"/>
        </w:rPr>
        <w:t xml:space="preserve">Table S2: </w:t>
      </w:r>
      <w:r>
        <w:rPr>
          <w:color w:val="000000"/>
          <w:sz w:val="20"/>
          <w:szCs w:val="20"/>
        </w:rPr>
        <w:t xml:space="preserve">Name of the 16 plant functional types </w:t>
      </w:r>
      <w:proofErr w:type="gramStart"/>
      <w:r>
        <w:rPr>
          <w:color w:val="000000"/>
          <w:sz w:val="20"/>
          <w:szCs w:val="20"/>
        </w:rPr>
        <w:t>taken into account</w:t>
      </w:r>
      <w:proofErr w:type="gramEnd"/>
      <w:r>
        <w:rPr>
          <w:color w:val="000000"/>
          <w:sz w:val="20"/>
          <w:szCs w:val="20"/>
        </w:rPr>
        <w:t xml:space="preserve"> in ISBA.</w:t>
      </w:r>
    </w:p>
    <w:p w:rsidR="0038688D" w:rsidRDefault="0038688D">
      <w:pPr>
        <w:widowControl w:val="0"/>
        <w:spacing w:line="360" w:lineRule="auto"/>
        <w:jc w:val="both"/>
        <w:rPr>
          <w:sz w:val="20"/>
          <w:szCs w:val="20"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  <w:rPr>
          <w:sz w:val="20"/>
          <w:szCs w:val="20"/>
        </w:rPr>
      </w:pPr>
      <w:r>
        <w:rPr>
          <w:b/>
        </w:rPr>
        <w:t>3. Representation of the ocean biophysical coupling</w:t>
      </w:r>
    </w:p>
    <w:p w:rsidR="0038688D" w:rsidRDefault="007E4975">
      <w:pPr>
        <w:spacing w:line="360" w:lineRule="auto"/>
        <w:jc w:val="both"/>
        <w:rPr>
          <w:color w:val="1A1A18"/>
        </w:rPr>
      </w:pPr>
      <w:r>
        <w:rPr>
          <w:color w:val="1A1A18"/>
        </w:rPr>
        <w:t xml:space="preserve">As explained in Section 2.5, the chlorophyll concentrations as simulated by PISCESv2-gas intervene in the computation of the solar warming rate across the water column, </w:t>
      </w:r>
      <m:oMath>
        <m:r>
          <w:rPr>
            <w:rFonts w:ascii="Cambria Math" w:hAnsi="Cambria Math"/>
          </w:rPr>
          <m:t>δQ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>
        <w:rPr>
          <w:color w:val="1A1A18"/>
        </w:rPr>
        <w:t xml:space="preserve">, </w:t>
      </w:r>
      <w:r>
        <w:t xml:space="preserve">by modulating the amount of downwelling solar radiation, </w:t>
      </w: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>
        <w:t xml:space="preserve">, at a giving depth level, </w:t>
      </w:r>
      <m:oMath>
        <m:r>
          <w:rPr>
            <w:rFonts w:ascii="Cambria Math" w:hAnsi="Cambria Math"/>
          </w:rPr>
          <m:t>z</m:t>
        </m:r>
      </m:oMath>
      <w:r>
        <w:t>, following:</w:t>
      </w:r>
    </w:p>
    <w:p w:rsidR="0038688D" w:rsidRDefault="007E4975">
      <w:pPr>
        <w:widowControl w:val="0"/>
        <w:spacing w:line="360" w:lineRule="auto"/>
        <w:jc w:val="both"/>
      </w:pPr>
      <m:oMath>
        <m:r>
          <w:rPr>
            <w:rFonts w:ascii="Cambria Math" w:hAnsi="Cambria Math"/>
          </w:rPr>
          <m:t>δQ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hAnsi="Cambria Math"/>
          </w:rPr>
          <m:t>∆zI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>
        <w:t xml:space="preserve">  </w:t>
      </w:r>
      <w:r>
        <w:tab/>
        <w:t>(1)</w:t>
      </w:r>
    </w:p>
    <w:p w:rsidR="0038688D" w:rsidRDefault="007E4975">
      <w:pPr>
        <w:widowControl w:val="0"/>
        <w:spacing w:line="360" w:lineRule="auto"/>
        <w:jc w:val="both"/>
      </w:pPr>
      <w:r>
        <w:t xml:space="preserve">where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is the ocean density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>
        <w:t xml:space="preserve"> the heat capacity of sea </w:t>
      </w:r>
      <w:proofErr w:type="gramStart"/>
      <w:r>
        <w:t>water.</w:t>
      </w:r>
      <w:proofErr w:type="gramEnd"/>
    </w:p>
    <w:p w:rsidR="0038688D" w:rsidRDefault="007E4975">
      <w:pPr>
        <w:widowControl w:val="0"/>
        <w:spacing w:line="360" w:lineRule="auto"/>
        <w:jc w:val="both"/>
      </w:pPr>
      <m:oMath>
        <m:r>
          <w:rPr>
            <w:rFonts w:ascii="Cambria Math" w:hAnsi="Cambria Math"/>
          </w:rPr>
          <m:t>I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IR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IR</m:t>
                </m:r>
              </m:sub>
            </m:sSub>
            <m:r>
              <w:rPr>
                <w:rFonts w:ascii="Cambria Math" w:hAnsi="Cambria Math"/>
              </w:rPr>
              <m:t>z</m:t>
            </m:r>
          </m:sup>
        </m:sSup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z-1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∆z</m:t>
            </m:r>
          </m:sup>
        </m:sSup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z-1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  <m:r>
              <w:rPr>
                <w:rFonts w:ascii="Cambria Math" w:hAnsi="Cambria Math"/>
              </w:rPr>
              <m:t>∆z</m:t>
            </m:r>
          </m:sup>
        </m:sSup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z-1</m:t>
            </m:r>
          </m:e>
        </m: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w:rPr>
                <w:rFonts w:ascii="Cambria Math" w:hAnsi="Cambria Math"/>
              </w:rPr>
              <m:t>∆z</m:t>
            </m:r>
          </m:sup>
        </m:sSup>
      </m:oMath>
      <w:r>
        <w:t xml:space="preserve"> </w:t>
      </w:r>
      <w:r>
        <w:tab/>
        <w:t>(2)</w:t>
      </w:r>
    </w:p>
    <w:p w:rsidR="0038688D" w:rsidRDefault="007E4975">
      <w:pPr>
        <w:spacing w:line="360" w:lineRule="auto"/>
        <w:jc w:val="both"/>
      </w:pPr>
      <w:r>
        <w:rPr>
          <w:color w:val="1A1A18"/>
        </w:rPr>
        <w:t xml:space="preserve">where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IR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 xml:space="preserve"> stand for the fraction of downwelling solar radiation assigned to infrared (all but 300-700 nm), red (]600, 700] nm), green (]500, 600] nm) and blue (]600, 700] nm) wavelengths.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IR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t xml:space="preserve">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>, are the chlorophyll-dependent attenuation coefficients for the infrared, red, green and blue wavelengths.</w:t>
      </w:r>
    </w:p>
    <w:p w:rsidR="0038688D" w:rsidRDefault="007E4975">
      <w:pPr>
        <w:spacing w:line="360" w:lineRule="auto"/>
        <w:jc w:val="both"/>
      </w:pPr>
      <w:r>
        <w:t xml:space="preserve">This parameterization assumes that 48 % of the downwelling solar radiation is split evenly between the red, green and blue wavelength bands (16 % each). An amount of 52% of the downwelling solar radiation is used to derive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IR</m:t>
            </m:r>
          </m:sub>
        </m:sSub>
      </m:oMath>
      <w:r>
        <w:t xml:space="preserve">. The chlorophyll-dependent attenuation coefficients,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>
        <w:t xml:space="preserve">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>, are derived from the formulation proposed in Morel and Maritorena (2001):</w:t>
      </w:r>
    </w:p>
    <w:p w:rsidR="0038688D" w:rsidRDefault="004A62D5">
      <w:pPr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WLB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λ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  <m:e/>
        </m:nary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sw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λ</m:t>
                </m:r>
              </m:e>
            </m:d>
            <m:r>
              <w:rPr>
                <w:rFonts w:ascii="Cambria Math" w:hAnsi="Cambria Math"/>
              </w:rPr>
              <m:t>+χ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λ</m:t>
                </m:r>
              </m:e>
            </m:d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Chl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e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λ</m:t>
                    </m:r>
                  </m:e>
                </m:d>
              </m:sup>
            </m:sSup>
          </m:e>
        </m:d>
      </m:oMath>
      <w:r w:rsidR="007E4975">
        <w:t xml:space="preserve"> </w:t>
      </w:r>
      <w:r w:rsidR="007E4975">
        <w:tab/>
        <w:t>(3)</w:t>
      </w:r>
    </w:p>
    <w:p w:rsidR="0038688D" w:rsidRDefault="007E4975">
      <w:pPr>
        <w:widowControl w:val="0"/>
        <w:spacing w:line="360" w:lineRule="auto"/>
        <w:jc w:val="both"/>
      </w:pPr>
      <w:r>
        <w:t xml:space="preserve">where WLB means the wavelength bands, namely red (R), green (G) and blue (B) that are bounded by the wavelength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sw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λ</m:t>
            </m:r>
          </m:e>
        </m:d>
      </m:oMath>
      <w:r>
        <w:t xml:space="preserve"> is the attenuation coefficients for optically pure sea </w:t>
      </w:r>
      <w:proofErr w:type="gramStart"/>
      <w:r>
        <w:t>water.</w:t>
      </w:r>
      <w:proofErr w:type="gramEnd"/>
      <w:r>
        <w:t xml:space="preserve"> </w:t>
      </w:r>
      <m:oMath>
        <m:r>
          <w:rPr>
            <w:rFonts w:ascii="Cambria Math" w:hAnsi="Cambria Math"/>
          </w:rPr>
          <m:t>χ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λ</m:t>
            </m:r>
          </m:e>
        </m:d>
      </m:oMath>
      <w:r>
        <w:t xml:space="preserve"> and </w:t>
      </w:r>
      <m:oMath>
        <m:r>
          <w:rPr>
            <w:rFonts w:ascii="Cambria Math" w:hAnsi="Cambria Math"/>
          </w:rPr>
          <m:t>e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λ</m:t>
            </m:r>
          </m:e>
        </m:d>
      </m:oMath>
      <w:r>
        <w:t xml:space="preserve"> are fitted coefficients from Morel and Maritorena (2001) which allows to determine the attenuation coefficients due to chlorophyll pigments into sea water. Consistently with Séférian et al. (2018), these </w:t>
      </w:r>
      <w:r>
        <w:lastRenderedPageBreak/>
        <w:t>coefficients have been corrected in order to avoid overlaps between red, green and blue wavelength bands as used in the previous version of PISCES (see Figure S</w:t>
      </w:r>
      <w:r w:rsidR="00AB5B47">
        <w:t>1</w:t>
      </w:r>
      <w:r>
        <w:t>).</w:t>
      </w:r>
    </w:p>
    <w:p w:rsidR="0038688D" w:rsidRDefault="0038688D">
      <w:pPr>
        <w:widowControl w:val="0"/>
        <w:spacing w:line="360" w:lineRule="auto"/>
        <w:jc w:val="both"/>
        <w:rPr>
          <w:sz w:val="20"/>
          <w:szCs w:val="20"/>
        </w:rPr>
      </w:pPr>
    </w:p>
    <w:p w:rsidR="0038688D" w:rsidRDefault="0038688D">
      <w:pPr>
        <w:widowControl w:val="0"/>
        <w:spacing w:line="360" w:lineRule="auto"/>
        <w:jc w:val="both"/>
        <w:rPr>
          <w:b/>
          <w:color w:val="000000"/>
        </w:rPr>
      </w:pPr>
    </w:p>
    <w:p w:rsidR="0038688D" w:rsidRDefault="007E4975">
      <w:pPr>
        <w:widowControl w:val="0"/>
        <w:spacing w:line="360" w:lineRule="auto"/>
        <w:jc w:val="both"/>
        <w:rPr>
          <w:b/>
          <w:color w:val="000000"/>
        </w:rPr>
      </w:pPr>
      <w:r>
        <w:rPr>
          <w:noProof/>
        </w:rPr>
        <w:drawing>
          <wp:inline distT="0" distB="0" distL="0" distR="0">
            <wp:extent cx="5274310" cy="474599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8D" w:rsidRDefault="007E4975">
      <w:pPr>
        <w:widowControl w:val="0"/>
        <w:spacing w:line="36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</w:rPr>
        <w:t>Figure S1</w:t>
      </w:r>
      <w:r>
        <w:rPr>
          <w:color w:val="000000"/>
        </w:rPr>
        <w:t xml:space="preserve">: </w:t>
      </w:r>
      <w:r>
        <w:rPr>
          <w:color w:val="000000"/>
          <w:sz w:val="20"/>
          <w:szCs w:val="20"/>
        </w:rPr>
        <w:t>Revised absorption coefficients (K) as f</w:t>
      </w:r>
      <w:bookmarkStart w:id="0" w:name="_GoBack"/>
      <w:bookmarkEnd w:id="0"/>
      <w:r>
        <w:rPr>
          <w:color w:val="000000"/>
          <w:sz w:val="20"/>
          <w:szCs w:val="20"/>
        </w:rPr>
        <w:t>unction of chlorophyll concentrations (thick lines) as used in the radiative transfer scheme of NEMOv3.6-GELATOv6-PISCESv2-gas (ocean component of CNRM-ESM2-1) for red, green blue wavelength bands. The former absorption coefficients (</w:t>
      </w:r>
      <w:proofErr w:type="spellStart"/>
      <w:r>
        <w:rPr>
          <w:color w:val="000000"/>
          <w:sz w:val="20"/>
          <w:szCs w:val="20"/>
        </w:rPr>
        <w:t>K</w:t>
      </w:r>
      <w:r>
        <w:rPr>
          <w:color w:val="000000"/>
          <w:sz w:val="20"/>
          <w:szCs w:val="20"/>
          <w:vertAlign w:val="subscript"/>
        </w:rPr>
        <w:t>chl</w:t>
      </w:r>
      <w:proofErr w:type="spellEnd"/>
      <w:r>
        <w:rPr>
          <w:color w:val="000000"/>
          <w:sz w:val="20"/>
          <w:szCs w:val="20"/>
        </w:rPr>
        <w:t>) for the same wavelengths are given with thin lines.</w:t>
      </w:r>
    </w:p>
    <w:p w:rsidR="0038688D" w:rsidRDefault="0038688D">
      <w:pPr>
        <w:widowControl w:val="0"/>
        <w:spacing w:line="360" w:lineRule="auto"/>
        <w:jc w:val="both"/>
      </w:pPr>
    </w:p>
    <w:p w:rsidR="0038688D" w:rsidRDefault="0038688D">
      <w:pPr>
        <w:widowControl w:val="0"/>
        <w:spacing w:line="360" w:lineRule="auto"/>
        <w:jc w:val="both"/>
      </w:pPr>
    </w:p>
    <w:p w:rsidR="0038688D" w:rsidRDefault="00E319B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</w:pPr>
      <w:r>
        <w:rPr>
          <w:b/>
        </w:rPr>
        <w:t>4</w:t>
      </w:r>
      <w:r w:rsidR="007E4975">
        <w:rPr>
          <w:b/>
        </w:rPr>
        <w:t>. Climate-feedbacks analysis</w:t>
      </w:r>
    </w:p>
    <w:p w:rsidR="0038688D" w:rsidRDefault="0038688D">
      <w:pPr>
        <w:widowControl w:val="0"/>
        <w:spacing w:line="360" w:lineRule="auto"/>
        <w:jc w:val="both"/>
      </w:pPr>
    </w:p>
    <w:p w:rsidR="0038688D" w:rsidRDefault="007E4975">
      <w:pPr>
        <w:widowControl w:val="0"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280660" cy="51054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8D" w:rsidRDefault="007E4975">
      <w:pPr>
        <w:widowControl w:val="0"/>
        <w:spacing w:line="360" w:lineRule="auto"/>
        <w:jc w:val="both"/>
        <w:rPr>
          <w:color w:val="000000"/>
        </w:rPr>
      </w:pPr>
      <w:r>
        <w:rPr>
          <w:b/>
          <w:color w:val="000000"/>
        </w:rPr>
        <w:t>Figure S</w:t>
      </w:r>
      <w:r w:rsidR="00E319BD">
        <w:rPr>
          <w:b/>
          <w:color w:val="000000"/>
        </w:rPr>
        <w:t>2</w:t>
      </w:r>
      <w:r>
        <w:rPr>
          <w:color w:val="000000"/>
        </w:rPr>
        <w:t xml:space="preserve">: </w:t>
      </w:r>
      <w:r>
        <w:rPr>
          <w:color w:val="000000"/>
          <w:sz w:val="20"/>
          <w:szCs w:val="20"/>
        </w:rPr>
        <w:t xml:space="preserve">Relationships between the change in net top-of-atmosphere radiative flux, the radiative imbalance, and the change in global-mean surface-air-temperature change (warming), after an instantaneous quadrupling of CO2 for CNRM-CM6-1 (black) and CNRM-ESM2-1 (red). Data points are global-annual-means. Lines represent the ordinary least squares regression fits over years </w:t>
      </w:r>
      <w:r>
        <w:rPr>
          <w:sz w:val="20"/>
          <w:szCs w:val="20"/>
        </w:rPr>
        <w:t xml:space="preserve">1-150 (solid) and </w:t>
      </w:r>
      <w:r>
        <w:rPr>
          <w:color w:val="000000"/>
          <w:sz w:val="20"/>
          <w:szCs w:val="20"/>
        </w:rPr>
        <w:t>10-150 (dashed) as indicated in Table 4. The intercept at a net zero radiative imbalance gives the equilibrium temperature. The equilibrium climate sensitivity (ECS) at 2xCO</w:t>
      </w:r>
      <w:r>
        <w:rPr>
          <w:color w:val="000000"/>
          <w:sz w:val="20"/>
          <w:szCs w:val="20"/>
          <w:vertAlign w:val="subscript"/>
        </w:rPr>
        <w:t>2</w:t>
      </w:r>
      <w:r>
        <w:rPr>
          <w:color w:val="000000"/>
          <w:sz w:val="20"/>
          <w:szCs w:val="20"/>
        </w:rPr>
        <w:t xml:space="preserve"> is then deduced by </w:t>
      </w:r>
      <w:proofErr w:type="spellStart"/>
      <w:r>
        <w:rPr>
          <w:color w:val="000000"/>
          <w:sz w:val="20"/>
          <w:szCs w:val="20"/>
        </w:rPr>
        <w:t>halfen</w:t>
      </w:r>
      <w:proofErr w:type="spellEnd"/>
      <w:r>
        <w:rPr>
          <w:color w:val="000000"/>
          <w:sz w:val="20"/>
          <w:szCs w:val="20"/>
        </w:rPr>
        <w:t xml:space="preserve"> the equilibrium temperature.</w:t>
      </w:r>
    </w:p>
    <w:p w:rsidR="0038688D" w:rsidRDefault="0038688D">
      <w:pPr>
        <w:widowControl w:val="0"/>
        <w:spacing w:line="360" w:lineRule="auto"/>
        <w:jc w:val="both"/>
        <w:rPr>
          <w:color w:val="000000"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6647815"/>
            <wp:effectExtent l="0" t="0" r="0" b="0"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8D" w:rsidRDefault="007E4975">
      <w:pPr>
        <w:spacing w:line="360" w:lineRule="auto"/>
        <w:rPr>
          <w:rFonts w:ascii="Liberation Sans" w:eastAsia="Liberation Sans" w:hAnsi="Liberation Sans" w:cs="Liberation Sans"/>
          <w:color w:val="000000"/>
        </w:rPr>
      </w:pPr>
      <w:r>
        <w:rPr>
          <w:b/>
          <w:color w:val="000000"/>
        </w:rPr>
        <w:t>Figure S</w:t>
      </w:r>
      <w:r w:rsidR="00E319BD">
        <w:rPr>
          <w:b/>
          <w:color w:val="000000"/>
        </w:rPr>
        <w:t>3</w:t>
      </w:r>
      <w:r>
        <w:rPr>
          <w:color w:val="000000"/>
        </w:rPr>
        <w:t xml:space="preserve">: </w:t>
      </w:r>
      <w:r>
        <w:rPr>
          <w:color w:val="000000"/>
          <w:sz w:val="20"/>
          <w:szCs w:val="20"/>
        </w:rPr>
        <w:t>Contributions to equilibrium climate sensitivity for CNRM-CM6-1 following the approach in Vial et al. (2013) arising from the feedbacks: (a) lapse rate, (b) water vapor, (c) water vapor + lapse rate, (d) surface albedo, (e) shortwave cloud, (f) longwave cloud, (g) net cloud and (h) residual.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/>
          <w:sz w:val="20"/>
          <w:szCs w:val="20"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664908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</w:pPr>
      <w:r>
        <w:rPr>
          <w:b/>
          <w:color w:val="000000"/>
        </w:rPr>
        <w:t>Figure S</w:t>
      </w:r>
      <w:r w:rsidR="00E319BD">
        <w:rPr>
          <w:b/>
          <w:color w:val="000000"/>
        </w:rPr>
        <w:t>4</w:t>
      </w:r>
      <w:r>
        <w:rPr>
          <w:color w:val="000000"/>
        </w:rPr>
        <w:t xml:space="preserve">: </w:t>
      </w:r>
      <w:r>
        <w:rPr>
          <w:sz w:val="20"/>
          <w:szCs w:val="20"/>
        </w:rPr>
        <w:t>Same as Figure S</w:t>
      </w:r>
      <w:r w:rsidR="00AB5B47">
        <w:rPr>
          <w:sz w:val="20"/>
          <w:szCs w:val="20"/>
        </w:rPr>
        <w:t>3</w:t>
      </w:r>
      <w:r>
        <w:rPr>
          <w:sz w:val="20"/>
          <w:szCs w:val="20"/>
        </w:rPr>
        <w:t xml:space="preserve"> but for CNRM-ESM2-1.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/>
          <w:sz w:val="20"/>
          <w:szCs w:val="20"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6545580"/>
            <wp:effectExtent l="0" t="0" r="0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r>
        <w:rPr>
          <w:b/>
          <w:color w:val="000000"/>
        </w:rPr>
        <w:t>Figure S</w:t>
      </w:r>
      <w:r w:rsidR="00E319BD">
        <w:rPr>
          <w:b/>
          <w:color w:val="000000"/>
        </w:rPr>
        <w:t>5</w:t>
      </w:r>
      <w:r>
        <w:rPr>
          <w:color w:val="000000"/>
        </w:rPr>
        <w:t xml:space="preserve">: </w:t>
      </w:r>
      <w:r>
        <w:rPr>
          <w:sz w:val="20"/>
          <w:szCs w:val="20"/>
        </w:rPr>
        <w:t>Same as Figure S</w:t>
      </w:r>
      <w:r w:rsidR="00AB5B47">
        <w:rPr>
          <w:sz w:val="20"/>
          <w:szCs w:val="20"/>
        </w:rPr>
        <w:t>3</w:t>
      </w:r>
      <w:r>
        <w:rPr>
          <w:sz w:val="20"/>
          <w:szCs w:val="20"/>
        </w:rPr>
        <w:t xml:space="preserve"> and S</w:t>
      </w:r>
      <w:r w:rsidR="00AB5B47">
        <w:rPr>
          <w:sz w:val="20"/>
          <w:szCs w:val="20"/>
        </w:rPr>
        <w:t>4</w:t>
      </w:r>
      <w:r>
        <w:rPr>
          <w:sz w:val="20"/>
          <w:szCs w:val="20"/>
        </w:rPr>
        <w:t xml:space="preserve"> but for the difference between CNRM-ESM2-1 and CNRM-CM6-1. Red shading indicates that CNRM-ESM2-1’s feedbacks contribute to stronger warming (or weaker </w:t>
      </w:r>
      <w:proofErr w:type="gramStart"/>
      <w:r>
        <w:rPr>
          <w:sz w:val="20"/>
          <w:szCs w:val="20"/>
        </w:rPr>
        <w:t>cooling)  than</w:t>
      </w:r>
      <w:proofErr w:type="gramEnd"/>
      <w:r>
        <w:rPr>
          <w:sz w:val="20"/>
          <w:szCs w:val="20"/>
        </w:rPr>
        <w:t xml:space="preserve"> that of CNRM-CM6-1 whereas blue shading means the opposite.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</w:p>
    <w:p w:rsidR="0038688D" w:rsidRDefault="00E319B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  <w:rPr>
          <w:b/>
        </w:rPr>
      </w:pPr>
      <w:r>
        <w:rPr>
          <w:b/>
        </w:rPr>
        <w:t>5</w:t>
      </w:r>
      <w:r w:rsidR="007E4975">
        <w:rPr>
          <w:b/>
        </w:rPr>
        <w:t>. Decomposition of CO</w:t>
      </w:r>
      <w:r w:rsidR="007E4975">
        <w:rPr>
          <w:b/>
          <w:vertAlign w:val="subscript"/>
        </w:rPr>
        <w:t>2</w:t>
      </w:r>
      <w:r w:rsidR="007E4975">
        <w:rPr>
          <w:b/>
        </w:rPr>
        <w:t>-water-stomatal feedbacks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  <w:r>
        <w:t>To decompose the CO</w:t>
      </w:r>
      <w:r>
        <w:rPr>
          <w:vertAlign w:val="subscript"/>
        </w:rPr>
        <w:t>2</w:t>
      </w:r>
      <w:r>
        <w:t>-water-stomatal feedback, we use available transient experiments of CMIP6-DECK and C4MIP where the atmospheric CO</w:t>
      </w:r>
      <w:r>
        <w:rPr>
          <w:vertAlign w:val="subscript"/>
        </w:rPr>
        <w:t>2</w:t>
      </w:r>
      <w:r>
        <w:t xml:space="preserve"> increase with a constant rate of 1% per year. In 1pctCO2 of CMIP6-DECK both land vegetation and atmosphere radiative code see the increase in CO</w:t>
      </w:r>
      <w:r>
        <w:rPr>
          <w:vertAlign w:val="subscript"/>
        </w:rPr>
        <w:t>2</w:t>
      </w:r>
      <w:r>
        <w:t xml:space="preserve"> whereas in the C4MIP 1pctCO2-bgc </w:t>
      </w:r>
      <w:r>
        <w:lastRenderedPageBreak/>
        <w:t>only the vegetation sees its increase. in the C4MIP 1pctCO2-bgc, the CO</w:t>
      </w:r>
      <w:r>
        <w:rPr>
          <w:vertAlign w:val="subscript"/>
        </w:rPr>
        <w:t>2</w:t>
      </w:r>
      <w:r>
        <w:t xml:space="preserve"> use by the atmosphere radiative code is held constant to its preindustrial level.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  <w:r>
        <w:t>As shown in Figure S</w:t>
      </w:r>
      <w:r w:rsidR="00AB5B47">
        <w:t>6</w:t>
      </w:r>
      <w:r>
        <w:t>, we decompose the CO</w:t>
      </w:r>
      <w:r>
        <w:rPr>
          <w:vertAlign w:val="subscript"/>
        </w:rPr>
        <w:t>2</w:t>
      </w:r>
      <w:r>
        <w:t>-water-stomatal feedback into: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  <w:r>
        <w:t>1- The response of vegetation transpiration to rising atmospheric CO</w:t>
      </w:r>
      <w:r>
        <w:rPr>
          <w:vertAlign w:val="subscript"/>
        </w:rPr>
        <w:t>2</w:t>
      </w:r>
      <w:r>
        <w:t xml:space="preserve"> including climate change. It is called “Transpiration-CO</w:t>
      </w:r>
      <w:r>
        <w:rPr>
          <w:vertAlign w:val="subscript"/>
        </w:rPr>
        <w:t>2</w:t>
      </w:r>
      <w:r>
        <w:t>” in Figure 12.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  <w:r>
        <w:t>2- The response of the vegetation carbon uptake to rising atmospheric CO</w:t>
      </w:r>
      <w:r>
        <w:rPr>
          <w:vertAlign w:val="subscript"/>
        </w:rPr>
        <w:t>2</w:t>
      </w:r>
      <w:r>
        <w:t xml:space="preserve"> excluding climate change. It is called “Assimilation-CO</w:t>
      </w:r>
      <w:r>
        <w:rPr>
          <w:vertAlign w:val="subscript"/>
        </w:rPr>
        <w:t>2</w:t>
      </w:r>
      <w:r>
        <w:t>” in Figure 12.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  <w:r>
        <w:t>3- The relationship between the vegetation transpiration and the vegetation carbon uptake under rising atmospheric CO</w:t>
      </w:r>
      <w:r>
        <w:rPr>
          <w:vertAlign w:val="subscript"/>
        </w:rPr>
        <w:t>2</w:t>
      </w:r>
      <w:r>
        <w:t xml:space="preserve"> condition and preindustrial climate. It is called “Transpiration-Assimilation” in Figure 12.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  <w:r>
        <w:t>3- The relationship between the vegetation transpiration and warming under rising atmospheric CO</w:t>
      </w:r>
      <w:r>
        <w:rPr>
          <w:vertAlign w:val="subscript"/>
        </w:rPr>
        <w:t>2</w:t>
      </w:r>
      <w:r>
        <w:t xml:space="preserve"> condition and climate change. It is called “Transpiration-Climate” in Figure 12.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</w:p>
    <w:p w:rsidR="0038688D" w:rsidRDefault="007E4975">
      <w:pPr>
        <w:widowControl w:val="0"/>
        <w:spacing w:line="360" w:lineRule="auto"/>
        <w:jc w:val="both"/>
      </w:pPr>
      <w:r>
        <w:rPr>
          <w:noProof/>
        </w:rPr>
        <w:drawing>
          <wp:inline distT="0" distB="0" distL="0" distR="0">
            <wp:extent cx="5274310" cy="37496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8D" w:rsidRDefault="007E4975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b/>
        </w:rPr>
        <w:t>Figure S</w:t>
      </w:r>
      <w:r w:rsidR="00E319BD">
        <w:rPr>
          <w:b/>
        </w:rPr>
        <w:t>6</w:t>
      </w:r>
      <w:r>
        <w:t xml:space="preserve">: </w:t>
      </w:r>
      <w:r>
        <w:rPr>
          <w:sz w:val="20"/>
          <w:szCs w:val="20"/>
        </w:rPr>
        <w:t>Decomposition of the various feedbacks parameters as used to diagnose difference in 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-stomata-water feedbacks between CNRM-CM6-1 and CNRM-ESM2-1 as shown in Figure 13.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Top panels are used to estimate the relationships Transpiration-CO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(left) and Transpiration-Assimilation of Carbon (right). Bottom panels are used to estimate the relationships Assimilation of Carbon-CO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(left) and Transpiration-Climate (right).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</w:p>
    <w:p w:rsidR="0038688D" w:rsidRDefault="00E319B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  <w:rPr>
          <w:b/>
        </w:rPr>
      </w:pPr>
      <w:r>
        <w:rPr>
          <w:b/>
        </w:rPr>
        <w:t>6</w:t>
      </w:r>
      <w:r w:rsidR="007E4975">
        <w:rPr>
          <w:b/>
        </w:rPr>
        <w:t>. Disentangling the role of aerosols in the climate response of CNRM-CM6-1 and CNRM-ESM2-1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b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b/>
        </w:rPr>
      </w:pPr>
      <w:r>
        <w:t>As described in Section 3, CNRM-CM6-1 uses prescribed monthly-mean AODs produced by AMIP-type simulations of CNRM-ESM2-1. From 2014 onwards, the sea-surface temperatures used are those of a former run of CNRM-CM5.1 (</w:t>
      </w:r>
      <w:proofErr w:type="spellStart"/>
      <w:r>
        <w:t>Voldoire</w:t>
      </w:r>
      <w:proofErr w:type="spellEnd"/>
      <w:r>
        <w:t xml:space="preserve"> et al., 2013) which displayed a lower climate sensitivity (3.3 °C) than CNRM-CM6-1 (Figure S</w:t>
      </w:r>
      <w:r w:rsidR="00AB5B47">
        <w:t>7</w:t>
      </w:r>
      <w:r>
        <w:t>, see also Table 4). Thus, the interactive sea-salt emission scheme has been driven by a weaker sea-surface temperature trend (reaching up to 0.8 °</w:t>
      </w:r>
      <w:proofErr w:type="spellStart"/>
      <w:r>
        <w:t>C over</w:t>
      </w:r>
      <w:proofErr w:type="spellEnd"/>
      <w:r>
        <w:t xml:space="preserve"> 2081-2100). </w:t>
      </w:r>
    </w:p>
    <w:p w:rsidR="0038688D" w:rsidRDefault="007E4975">
      <w:pPr>
        <w:widowControl w:val="0"/>
        <w:spacing w:line="360" w:lineRule="auto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5274310" cy="5297170"/>
            <wp:effectExtent l="0" t="0" r="0" b="0"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8D" w:rsidRDefault="007E4975">
      <w:pPr>
        <w:widowControl w:val="0"/>
        <w:spacing w:line="36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</w:rPr>
        <w:t>Figure S</w:t>
      </w:r>
      <w:r w:rsidR="00E319BD">
        <w:rPr>
          <w:b/>
          <w:color w:val="000000"/>
        </w:rPr>
        <w:t>7</w:t>
      </w:r>
      <w:r>
        <w:rPr>
          <w:color w:val="000000"/>
        </w:rPr>
        <w:t xml:space="preserve">: </w:t>
      </w:r>
      <w:r>
        <w:rPr>
          <w:color w:val="000000"/>
          <w:sz w:val="20"/>
          <w:szCs w:val="20"/>
        </w:rPr>
        <w:t xml:space="preserve">Ocean surface warming as simulated by CNRM-ESM2-1 (red) and CNRM-CM5 (black, </w:t>
      </w:r>
      <w:proofErr w:type="spellStart"/>
      <w:r>
        <w:rPr>
          <w:color w:val="000000"/>
          <w:sz w:val="20"/>
          <w:szCs w:val="20"/>
        </w:rPr>
        <w:lastRenderedPageBreak/>
        <w:t>Voldoire</w:t>
      </w:r>
      <w:proofErr w:type="spellEnd"/>
      <w:r>
        <w:rPr>
          <w:color w:val="000000"/>
          <w:sz w:val="20"/>
          <w:szCs w:val="20"/>
        </w:rPr>
        <w:t xml:space="preserve"> et al., 2013) under the ssp585 and rcp85 future scenario, respectively. Here, the mean ocean surface warming is used as a proxy to explain differences in aerosols optical depth between CNRM-CM6-1 and CNRM-ESM2-1 because the parameterization of local sea-salt emissions as used in TACTIC depends on local sea-surface temperature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Grythe</w:t>
      </w:r>
      <w:proofErr w:type="spellEnd"/>
      <w:r>
        <w:rPr>
          <w:sz w:val="20"/>
          <w:szCs w:val="20"/>
        </w:rPr>
        <w:t xml:space="preserve"> et al., 2014; </w:t>
      </w:r>
      <w:proofErr w:type="spellStart"/>
      <w:r>
        <w:rPr>
          <w:sz w:val="20"/>
          <w:szCs w:val="20"/>
        </w:rPr>
        <w:t>Jaéglé</w:t>
      </w:r>
      <w:proofErr w:type="spellEnd"/>
      <w:r>
        <w:rPr>
          <w:sz w:val="20"/>
          <w:szCs w:val="20"/>
        </w:rPr>
        <w:t xml:space="preserve"> et al., 2011)</w:t>
      </w:r>
      <w:r>
        <w:rPr>
          <w:color w:val="000000"/>
          <w:sz w:val="20"/>
          <w:szCs w:val="20"/>
        </w:rPr>
        <w:t>. Higher sea surface temperature results in a higher rate of sea-salt emissions.</w:t>
      </w:r>
    </w:p>
    <w:p w:rsidR="0038688D" w:rsidRDefault="0038688D">
      <w:pPr>
        <w:widowControl w:val="0"/>
        <w:spacing w:line="360" w:lineRule="auto"/>
        <w:jc w:val="both"/>
        <w:rPr>
          <w:color w:val="000000"/>
        </w:rPr>
      </w:pPr>
    </w:p>
    <w:p w:rsidR="0038688D" w:rsidRDefault="0038688D">
      <w:pPr>
        <w:widowControl w:val="0"/>
        <w:spacing w:line="360" w:lineRule="auto"/>
        <w:jc w:val="both"/>
        <w:rPr>
          <w:color w:val="000000"/>
        </w:rPr>
      </w:pPr>
    </w:p>
    <w:p w:rsidR="0038688D" w:rsidRDefault="007E4975">
      <w:pPr>
        <w:widowControl w:val="0"/>
        <w:spacing w:line="360" w:lineRule="auto"/>
        <w:jc w:val="both"/>
      </w:pPr>
      <w:r>
        <w:t>Because of the difference of ocean warming, the load of sea-salt as used in CNRM-CM6-1 and simulated interactively in CNRM-ESM2-1 differ. It leads to different aerosol optical depth at 550 nm as shown in Figure S</w:t>
      </w:r>
      <w:r w:rsidR="00AB5B47">
        <w:t>8</w:t>
      </w:r>
      <w:r>
        <w:t>a. However, as shown in Figure S</w:t>
      </w:r>
      <w:r w:rsidR="00AB5B47">
        <w:t>8</w:t>
      </w:r>
      <w:r>
        <w:t>b, the role of aerosols in the global radiative forcing remains small compared to CO</w:t>
      </w:r>
      <w:r>
        <w:rPr>
          <w:vertAlign w:val="subscript"/>
        </w:rPr>
        <w:t>2</w:t>
      </w:r>
      <w:r>
        <w:t xml:space="preserve"> and other well-</w:t>
      </w:r>
      <w:proofErr w:type="spellStart"/>
      <w:r>
        <w:t>midex</w:t>
      </w:r>
      <w:proofErr w:type="spellEnd"/>
      <w:r>
        <w:t xml:space="preserve"> greenhouse gases. As a consequence, the influence of different AOD between CNRM-ESM2-1 and CNRM-CM6-1 explains a small part of the inter-model difference in future projections (Figure S</w:t>
      </w:r>
      <w:r w:rsidR="00AB5B47">
        <w:t>8</w:t>
      </w:r>
      <w:r>
        <w:t>c).</w:t>
      </w:r>
    </w:p>
    <w:p w:rsidR="0038688D" w:rsidRDefault="0038688D">
      <w:pPr>
        <w:widowControl w:val="0"/>
        <w:spacing w:line="360" w:lineRule="auto"/>
        <w:jc w:val="both"/>
      </w:pPr>
    </w:p>
    <w:p w:rsidR="0038688D" w:rsidRDefault="007E4975">
      <w:pPr>
        <w:widowControl w:val="0"/>
        <w:spacing w:line="360" w:lineRule="auto"/>
        <w:jc w:val="both"/>
        <w:rPr>
          <w:sz w:val="20"/>
          <w:szCs w:val="20"/>
        </w:rPr>
      </w:pPr>
      <w:bookmarkStart w:id="1" w:name="_gjdgxs"/>
      <w:bookmarkEnd w:id="1"/>
      <w:r>
        <w:rPr>
          <w:noProof/>
        </w:rPr>
        <w:lastRenderedPageBreak/>
        <w:drawing>
          <wp:inline distT="0" distB="0" distL="0" distR="0">
            <wp:extent cx="5280660" cy="892810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>Figure S</w:t>
      </w:r>
      <w:r w:rsidR="00E319BD">
        <w:rPr>
          <w:b/>
        </w:rPr>
        <w:t>8</w:t>
      </w:r>
      <w:r>
        <w:t xml:space="preserve">: </w:t>
      </w:r>
      <w:r>
        <w:rPr>
          <w:sz w:val="20"/>
          <w:szCs w:val="20"/>
        </w:rPr>
        <w:t xml:space="preserve">Evolution of aerosol (a) optical depth at 550nm, (b) direct radiative forcing and (c) contribution to global warming as predicted by CNRM-ESM2-1 (thick solid lines) and CNRM-CM6-1 (thin solid lines) for several </w:t>
      </w:r>
      <w:proofErr w:type="spellStart"/>
      <w:r>
        <w:rPr>
          <w:sz w:val="20"/>
          <w:szCs w:val="20"/>
        </w:rPr>
        <w:t>ScenarioMIP</w:t>
      </w:r>
      <w:proofErr w:type="spellEnd"/>
      <w:r>
        <w:rPr>
          <w:sz w:val="20"/>
          <w:szCs w:val="20"/>
        </w:rPr>
        <w:t xml:space="preserve"> future scenarios. Only one realization (r1i1p1f2) by future scenario is shown. This aerosol contribution to global warming is estimated as in Absolute Global Temperature Potential for non-CO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Myrhe</w:t>
      </w:r>
      <w:proofErr w:type="spellEnd"/>
      <w:r>
        <w:rPr>
          <w:sz w:val="20"/>
          <w:szCs w:val="20"/>
        </w:rPr>
        <w:t xml:space="preserve"> et al. 2013, SM 11.2).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outlineLvl w:val="0"/>
        <w:rPr>
          <w:b/>
          <w:sz w:val="28"/>
          <w:szCs w:val="20"/>
        </w:rPr>
      </w:pPr>
      <w:r>
        <w:rPr>
          <w:b/>
          <w:sz w:val="28"/>
          <w:szCs w:val="20"/>
        </w:rPr>
        <w:t>References: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Grythe</w:t>
      </w:r>
      <w:proofErr w:type="spellEnd"/>
      <w:r>
        <w:rPr>
          <w:sz w:val="20"/>
          <w:szCs w:val="20"/>
        </w:rPr>
        <w:t xml:space="preserve">, H., </w:t>
      </w:r>
      <w:proofErr w:type="spellStart"/>
      <w:r>
        <w:rPr>
          <w:sz w:val="20"/>
          <w:szCs w:val="20"/>
        </w:rPr>
        <w:t>Ström</w:t>
      </w:r>
      <w:proofErr w:type="spellEnd"/>
      <w:r>
        <w:rPr>
          <w:sz w:val="20"/>
          <w:szCs w:val="20"/>
        </w:rPr>
        <w:t xml:space="preserve">, J., </w:t>
      </w:r>
      <w:proofErr w:type="spellStart"/>
      <w:r>
        <w:rPr>
          <w:sz w:val="20"/>
          <w:szCs w:val="20"/>
        </w:rPr>
        <w:t>Krejci</w:t>
      </w:r>
      <w:proofErr w:type="spellEnd"/>
      <w:r>
        <w:rPr>
          <w:sz w:val="20"/>
          <w:szCs w:val="20"/>
        </w:rPr>
        <w:t xml:space="preserve">, R., Quinn, P., and </w:t>
      </w:r>
      <w:proofErr w:type="spellStart"/>
      <w:r>
        <w:rPr>
          <w:sz w:val="20"/>
          <w:szCs w:val="20"/>
        </w:rPr>
        <w:t>Stohl</w:t>
      </w:r>
      <w:proofErr w:type="spellEnd"/>
      <w:r>
        <w:rPr>
          <w:sz w:val="20"/>
          <w:szCs w:val="20"/>
        </w:rPr>
        <w:t xml:space="preserve">, A.: A review of sea-spray aerosol source functions using a large global set of sea salt aerosol concentration measurements, Atmos. Chem. Phys., 14, 1277-1297, https://doi.org/10.5194/acp-14-1277-2014, 2014. 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Jaeglé</w:t>
      </w:r>
      <w:proofErr w:type="spellEnd"/>
      <w:r>
        <w:rPr>
          <w:sz w:val="20"/>
          <w:szCs w:val="20"/>
        </w:rPr>
        <w:t xml:space="preserve">, L., Quinn, P. K., Bates, T. S., Alexander, B., and Lin, J.-T.: Global distribution of sea salt aerosols: new constraints from in situ and remote sensing observations, Atmos. Chem. Phys., 11, 3137-3157, https://doi.org/10.5194/acp-11-3137-2011, 2011. 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Morel, A. and </w:t>
      </w:r>
      <w:proofErr w:type="spellStart"/>
      <w:r>
        <w:rPr>
          <w:sz w:val="20"/>
          <w:szCs w:val="20"/>
        </w:rPr>
        <w:t>Maritorena</w:t>
      </w:r>
      <w:proofErr w:type="spellEnd"/>
      <w:r>
        <w:rPr>
          <w:sz w:val="20"/>
          <w:szCs w:val="20"/>
        </w:rPr>
        <w:t>, S.: Bio-optical properties of oceanic waters: A reappraisal, Journal of Geophysical Research-Oceans, 1 106(C4), 7163–7180, doi:10.1029/2000JC000319, 2001.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  <w:r>
        <w:rPr>
          <w:sz w:val="20"/>
          <w:szCs w:val="20"/>
        </w:rPr>
        <w:t xml:space="preserve">Myhre, G., D. </w:t>
      </w:r>
      <w:proofErr w:type="spellStart"/>
      <w:r>
        <w:rPr>
          <w:sz w:val="20"/>
          <w:szCs w:val="20"/>
        </w:rPr>
        <w:t>Shindell</w:t>
      </w:r>
      <w:proofErr w:type="spellEnd"/>
      <w:r>
        <w:rPr>
          <w:sz w:val="20"/>
          <w:szCs w:val="20"/>
        </w:rPr>
        <w:t xml:space="preserve">, F.-M. </w:t>
      </w:r>
      <w:proofErr w:type="spellStart"/>
      <w:r>
        <w:rPr>
          <w:sz w:val="20"/>
          <w:szCs w:val="20"/>
        </w:rPr>
        <w:t>Bréon</w:t>
      </w:r>
      <w:proofErr w:type="spellEnd"/>
      <w:r>
        <w:rPr>
          <w:sz w:val="20"/>
          <w:szCs w:val="20"/>
        </w:rPr>
        <w:t xml:space="preserve">, W. Collins, J. </w:t>
      </w:r>
      <w:proofErr w:type="spellStart"/>
      <w:r>
        <w:rPr>
          <w:sz w:val="20"/>
          <w:szCs w:val="20"/>
        </w:rPr>
        <w:t>Fuglestvedt</w:t>
      </w:r>
      <w:proofErr w:type="spellEnd"/>
      <w:r>
        <w:rPr>
          <w:sz w:val="20"/>
          <w:szCs w:val="20"/>
        </w:rPr>
        <w:t xml:space="preserve">, J. Huang, D. Koch, J.-F. </w:t>
      </w:r>
      <w:proofErr w:type="spellStart"/>
      <w:r>
        <w:rPr>
          <w:sz w:val="20"/>
          <w:szCs w:val="20"/>
        </w:rPr>
        <w:t>Lamarque</w:t>
      </w:r>
      <w:proofErr w:type="spellEnd"/>
      <w:r>
        <w:rPr>
          <w:sz w:val="20"/>
          <w:szCs w:val="20"/>
        </w:rPr>
        <w:t xml:space="preserve">, D. Lee, B. Mendoza, T. Nakajima, A. </w:t>
      </w:r>
      <w:proofErr w:type="spellStart"/>
      <w:r>
        <w:rPr>
          <w:sz w:val="20"/>
          <w:szCs w:val="20"/>
        </w:rPr>
        <w:t>Robock</w:t>
      </w:r>
      <w:proofErr w:type="spellEnd"/>
      <w:r>
        <w:rPr>
          <w:sz w:val="20"/>
          <w:szCs w:val="20"/>
        </w:rPr>
        <w:t xml:space="preserve">, G. Stephens, T. </w:t>
      </w:r>
      <w:proofErr w:type="spellStart"/>
      <w:r>
        <w:rPr>
          <w:sz w:val="20"/>
          <w:szCs w:val="20"/>
        </w:rPr>
        <w:t>Takemura</w:t>
      </w:r>
      <w:proofErr w:type="spellEnd"/>
      <w:r>
        <w:rPr>
          <w:sz w:val="20"/>
          <w:szCs w:val="20"/>
        </w:rPr>
        <w:t xml:space="preserve"> and H. Zhang, 2013: Anthropogenic and Natural Radiative Forcing Supplementary Material. In: Climate Change 2013: The Physical Science Basis. Contribution of Working Group I to the Fifth Assessment Report of the Intergovernmental Panel on Climate Change [Stocker, T.F., D. Qin, G.-</w:t>
      </w:r>
      <w:proofErr w:type="spellStart"/>
      <w:proofErr w:type="gramStart"/>
      <w:r>
        <w:rPr>
          <w:sz w:val="20"/>
          <w:szCs w:val="20"/>
        </w:rPr>
        <w:t>K.Plattner</w:t>
      </w:r>
      <w:proofErr w:type="spellEnd"/>
      <w:proofErr w:type="gramEnd"/>
      <w:r>
        <w:rPr>
          <w:sz w:val="20"/>
          <w:szCs w:val="20"/>
        </w:rPr>
        <w:t xml:space="preserve">, M. </w:t>
      </w:r>
      <w:proofErr w:type="spellStart"/>
      <w:r>
        <w:rPr>
          <w:sz w:val="20"/>
          <w:szCs w:val="20"/>
        </w:rPr>
        <w:t>Tignor</w:t>
      </w:r>
      <w:proofErr w:type="spellEnd"/>
      <w:r>
        <w:rPr>
          <w:sz w:val="20"/>
          <w:szCs w:val="20"/>
        </w:rPr>
        <w:t xml:space="preserve">, S.K. Allen, J. </w:t>
      </w:r>
      <w:proofErr w:type="spellStart"/>
      <w:r>
        <w:rPr>
          <w:sz w:val="20"/>
          <w:szCs w:val="20"/>
        </w:rPr>
        <w:t>Boschung</w:t>
      </w:r>
      <w:proofErr w:type="spellEnd"/>
      <w:r>
        <w:rPr>
          <w:sz w:val="20"/>
          <w:szCs w:val="20"/>
        </w:rPr>
        <w:t xml:space="preserve">, A. </w:t>
      </w:r>
      <w:proofErr w:type="spellStart"/>
      <w:r>
        <w:rPr>
          <w:sz w:val="20"/>
          <w:szCs w:val="20"/>
        </w:rPr>
        <w:t>Nauels</w:t>
      </w:r>
      <w:proofErr w:type="spellEnd"/>
      <w:r>
        <w:rPr>
          <w:sz w:val="20"/>
          <w:szCs w:val="20"/>
        </w:rPr>
        <w:t xml:space="preserve">, Y. Xia, V. Bex and P.M. Midgley (eds.)]. Available from www.climatechange2013.org and </w:t>
      </w:r>
      <w:hyperlink r:id="rId14">
        <w:r>
          <w:rPr>
            <w:rStyle w:val="ListLabel1"/>
          </w:rPr>
          <w:t>www.ipcc.ch</w:t>
        </w:r>
      </w:hyperlink>
      <w:r>
        <w:rPr>
          <w:sz w:val="20"/>
          <w:szCs w:val="20"/>
        </w:rPr>
        <w:t>.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Séférian, R., </w:t>
      </w:r>
      <w:proofErr w:type="spellStart"/>
      <w:r>
        <w:rPr>
          <w:sz w:val="20"/>
          <w:szCs w:val="20"/>
        </w:rPr>
        <w:t>Baek</w:t>
      </w:r>
      <w:proofErr w:type="spellEnd"/>
      <w:r>
        <w:rPr>
          <w:sz w:val="20"/>
          <w:szCs w:val="20"/>
        </w:rPr>
        <w:t xml:space="preserve">, S., Boucher, O., Dufresne, J.-L., </w:t>
      </w:r>
      <w:proofErr w:type="spellStart"/>
      <w:r>
        <w:rPr>
          <w:sz w:val="20"/>
          <w:szCs w:val="20"/>
        </w:rPr>
        <w:t>Decharme</w:t>
      </w:r>
      <w:proofErr w:type="spellEnd"/>
      <w:r>
        <w:rPr>
          <w:sz w:val="20"/>
          <w:szCs w:val="20"/>
        </w:rPr>
        <w:t xml:space="preserve">, B., Saint-Martin, D., and </w:t>
      </w:r>
      <w:proofErr w:type="spellStart"/>
      <w:r>
        <w:rPr>
          <w:sz w:val="20"/>
          <w:szCs w:val="20"/>
        </w:rPr>
        <w:t>Roehrig</w:t>
      </w:r>
      <w:proofErr w:type="spellEnd"/>
      <w:r>
        <w:rPr>
          <w:sz w:val="20"/>
          <w:szCs w:val="20"/>
        </w:rPr>
        <w:t>, R.: An interactive ocean surface albedo scheme (OSAv1.0): formulation and evaluation in ARPEGE-</w:t>
      </w:r>
      <w:proofErr w:type="spellStart"/>
      <w:r>
        <w:rPr>
          <w:sz w:val="20"/>
          <w:szCs w:val="20"/>
        </w:rPr>
        <w:t>Climat</w:t>
      </w:r>
      <w:proofErr w:type="spellEnd"/>
      <w:r>
        <w:rPr>
          <w:sz w:val="20"/>
          <w:szCs w:val="20"/>
        </w:rPr>
        <w:t xml:space="preserve"> (V6.1) and LMDZ (V5A), </w:t>
      </w:r>
      <w:proofErr w:type="spellStart"/>
      <w:r>
        <w:rPr>
          <w:sz w:val="20"/>
          <w:szCs w:val="20"/>
        </w:rPr>
        <w:t>Geosci</w:t>
      </w:r>
      <w:proofErr w:type="spellEnd"/>
      <w:r>
        <w:rPr>
          <w:sz w:val="20"/>
          <w:szCs w:val="20"/>
        </w:rPr>
        <w:t xml:space="preserve">. Model Dev., 11, 321-338, https://doi.org/10.5194/gmd-11-321-2018, 2018. 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Vial, J., J. L. Dufresne, and S. Bony, 2013: On the interpretation of inter-model spread in CMIP5 climate sensitivity estimates. </w:t>
      </w:r>
      <w:proofErr w:type="spellStart"/>
      <w:r>
        <w:rPr>
          <w:i/>
          <w:sz w:val="20"/>
          <w:szCs w:val="20"/>
        </w:rPr>
        <w:t>Clim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Dyn</w:t>
      </w:r>
      <w:proofErr w:type="spellEnd"/>
      <w:r>
        <w:rPr>
          <w:i/>
          <w:sz w:val="20"/>
          <w:szCs w:val="20"/>
        </w:rPr>
        <w:t>.</w:t>
      </w:r>
      <w:r>
        <w:rPr>
          <w:sz w:val="20"/>
          <w:szCs w:val="20"/>
        </w:rPr>
        <w:t xml:space="preserve">, </w:t>
      </w:r>
      <w:r>
        <w:rPr>
          <w:b/>
          <w:sz w:val="20"/>
          <w:szCs w:val="20"/>
        </w:rPr>
        <w:t>41</w:t>
      </w:r>
      <w:r>
        <w:rPr>
          <w:sz w:val="20"/>
          <w:szCs w:val="20"/>
        </w:rPr>
        <w:t>, 3339–3362, doi:10.1007/s00382-013-1725-9. http://link.springer.com/10.1007/s00382-013-1725-9.</w:t>
      </w:r>
    </w:p>
    <w:p w:rsidR="0038688D" w:rsidRDefault="007E49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Voldoire</w:t>
      </w:r>
      <w:proofErr w:type="spellEnd"/>
      <w:r>
        <w:rPr>
          <w:sz w:val="20"/>
          <w:szCs w:val="20"/>
        </w:rPr>
        <w:t xml:space="preserve">, A., and Coauthors, 2013: The CNRM-CM5.1 global </w:t>
      </w:r>
      <w:proofErr w:type="spellStart"/>
      <w:r>
        <w:rPr>
          <w:sz w:val="20"/>
          <w:szCs w:val="20"/>
        </w:rPr>
        <w:t>clismate</w:t>
      </w:r>
      <w:proofErr w:type="spellEnd"/>
      <w:r>
        <w:rPr>
          <w:sz w:val="20"/>
          <w:szCs w:val="20"/>
        </w:rPr>
        <w:t xml:space="preserve"> model: Description and basic evaluation. </w:t>
      </w:r>
      <w:proofErr w:type="spellStart"/>
      <w:r>
        <w:rPr>
          <w:i/>
          <w:sz w:val="20"/>
          <w:szCs w:val="20"/>
        </w:rPr>
        <w:t>Clim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Dyn</w:t>
      </w:r>
      <w:proofErr w:type="spellEnd"/>
      <w:r>
        <w:rPr>
          <w:i/>
          <w:sz w:val="20"/>
          <w:szCs w:val="20"/>
        </w:rPr>
        <w:t>.</w:t>
      </w:r>
      <w:r>
        <w:rPr>
          <w:sz w:val="20"/>
          <w:szCs w:val="20"/>
        </w:rPr>
        <w:t xml:space="preserve">, </w:t>
      </w:r>
      <w:r>
        <w:rPr>
          <w:b/>
          <w:sz w:val="20"/>
          <w:szCs w:val="20"/>
        </w:rPr>
        <w:t>40</w:t>
      </w:r>
      <w:r>
        <w:rPr>
          <w:sz w:val="20"/>
          <w:szCs w:val="20"/>
        </w:rPr>
        <w:t>, 2091–2121, doi:10.1007/s00382-011-1259-y. http://www.springerlink.com/index/10.1007/s00382-011-1259-y.</w:t>
      </w:r>
    </w:p>
    <w:p w:rsidR="0038688D" w:rsidRDefault="003868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</w:pPr>
    </w:p>
    <w:sectPr w:rsidR="0038688D">
      <w:footerReference w:type="default" r:id="rId15"/>
      <w:pgSz w:w="11906" w:h="16838"/>
      <w:pgMar w:top="1440" w:right="1797" w:bottom="1440" w:left="1797" w:header="0" w:footer="709" w:gutter="0"/>
      <w:lnNumType w:countBy="5" w:restart="continuous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2D5" w:rsidRDefault="004A62D5">
      <w:r>
        <w:separator/>
      </w:r>
    </w:p>
  </w:endnote>
  <w:endnote w:type="continuationSeparator" w:id="0">
    <w:p w:rsidR="004A62D5" w:rsidRDefault="004A6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1"/>
    <w:family w:val="roman"/>
    <w:pitch w:val="variable"/>
    <w:sig w:usb0="E0002AEF" w:usb1="C0007841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eorgia">
    <w:panose1 w:val="02040502050405020303"/>
    <w:charset w:val="01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iberation Sans">
    <w:altName w:val="Arial"/>
    <w:panose1 w:val="020B0604020202020204"/>
    <w:charset w:val="01"/>
    <w:family w:val="roman"/>
    <w:pitch w:val="variable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688D" w:rsidRDefault="007E4975">
    <w:pPr>
      <w:tabs>
        <w:tab w:val="center" w:pos="4536"/>
        <w:tab w:val="right" w:pos="9072"/>
      </w:tabs>
      <w:jc w:val="center"/>
    </w:pPr>
    <w:r>
      <w:rPr>
        <w:rFonts w:ascii="Times" w:eastAsia="Times" w:hAnsi="Times" w:cs="Times"/>
        <w:color w:val="000000"/>
        <w:sz w:val="28"/>
        <w:szCs w:val="28"/>
      </w:rPr>
      <w:fldChar w:fldCharType="begin"/>
    </w:r>
    <w:r>
      <w:rPr>
        <w:rFonts w:ascii="Times" w:eastAsia="Times" w:hAnsi="Times" w:cs="Times"/>
        <w:sz w:val="28"/>
        <w:szCs w:val="28"/>
      </w:rPr>
      <w:instrText>PAGE</w:instrText>
    </w:r>
    <w:r>
      <w:rPr>
        <w:rFonts w:ascii="Times" w:eastAsia="Times" w:hAnsi="Times" w:cs="Times"/>
        <w:sz w:val="28"/>
        <w:szCs w:val="28"/>
      </w:rPr>
      <w:fldChar w:fldCharType="separate"/>
    </w:r>
    <w:r>
      <w:rPr>
        <w:rFonts w:ascii="Times" w:eastAsia="Times" w:hAnsi="Times" w:cs="Times"/>
        <w:sz w:val="28"/>
        <w:szCs w:val="28"/>
      </w:rPr>
      <w:t>14</w:t>
    </w:r>
    <w:r>
      <w:rPr>
        <w:rFonts w:ascii="Times" w:eastAsia="Times" w:hAnsi="Times" w:cs="Times"/>
        <w:sz w:val="28"/>
        <w:szCs w:val="28"/>
      </w:rPr>
      <w:fldChar w:fldCharType="end"/>
    </w:r>
  </w:p>
  <w:p w:rsidR="0038688D" w:rsidRDefault="0038688D">
    <w:pPr>
      <w:tabs>
        <w:tab w:val="center" w:pos="4536"/>
        <w:tab w:val="right" w:pos="9072"/>
      </w:tabs>
      <w:rPr>
        <w:rFonts w:ascii="Times" w:eastAsia="Times" w:hAnsi="Times" w:cs="Times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2D5" w:rsidRDefault="004A62D5">
      <w:r>
        <w:separator/>
      </w:r>
    </w:p>
  </w:footnote>
  <w:footnote w:type="continuationSeparator" w:id="0">
    <w:p w:rsidR="004A62D5" w:rsidRDefault="004A6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8D"/>
    <w:rsid w:val="00386559"/>
    <w:rsid w:val="0038688D"/>
    <w:rsid w:val="004A62D5"/>
    <w:rsid w:val="007E4975"/>
    <w:rsid w:val="00AB5B47"/>
    <w:rsid w:val="00E3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495462"/>
  <w15:docId w15:val="{AE5333DF-61F8-634F-BC67-D5B29C96D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spacing w:before="278" w:after="79"/>
      <w:outlineLvl w:val="2"/>
    </w:pPr>
    <w:rPr>
      <w:b/>
      <w:sz w:val="27"/>
      <w:szCs w:val="27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qFormat/>
    <w:rsid w:val="001B73DF"/>
  </w:style>
  <w:style w:type="character" w:customStyle="1" w:styleId="ListLabel1">
    <w:name w:val="ListLabel 1"/>
    <w:qFormat/>
    <w:rPr>
      <w:color w:val="1155CC"/>
      <w:sz w:val="20"/>
      <w:szCs w:val="20"/>
      <w:u w:val="single"/>
    </w:rPr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Numrotationdelignes">
    <w:name w:val="Numérotation de lignes"/>
  </w:style>
  <w:style w:type="paragraph" w:styleId="Titre">
    <w:name w:val="Title"/>
    <w:basedOn w:val="Normal"/>
    <w:next w:val="Corpsdetext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depage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86559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6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ipcc.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13</Pages>
  <Words>1959</Words>
  <Characters>10776</Characters>
  <Application>Microsoft Office Word</Application>
  <DocSecurity>0</DocSecurity>
  <Lines>89</Lines>
  <Paragraphs>25</Paragraphs>
  <ScaleCrop>false</ScaleCrop>
  <Company/>
  <LinksUpToDate>false</LinksUpToDate>
  <CharactersWithSpaces>12710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Roland Séférian</cp:lastModifiedBy>
  <cp:revision>17</cp:revision>
  <dcterms:created xsi:type="dcterms:W3CDTF">2019-06-19T15:12:00Z</dcterms:created>
  <dcterms:modified xsi:type="dcterms:W3CDTF">2019-10-10T17:31:00Z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