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024D" w14:textId="77777777" w:rsidR="004A63B2" w:rsidRPr="004A63B2" w:rsidRDefault="004A63B2" w:rsidP="0012244C">
      <w:pPr>
        <w:pStyle w:val="Acknowledgement"/>
        <w:spacing w:before="0" w:line="480" w:lineRule="auto"/>
        <w:ind w:left="0" w:firstLine="0"/>
        <w:rPr>
          <w:rFonts w:eastAsia="游明朝"/>
        </w:rPr>
      </w:pPr>
    </w:p>
    <w:p w14:paraId="1D82594E" w14:textId="5F1A5CFE" w:rsidR="0012244C" w:rsidRDefault="00A16C38" w:rsidP="00AC2069">
      <w:pPr>
        <w:pStyle w:val="SOMHead"/>
        <w:spacing w:before="0"/>
      </w:pPr>
      <w:r>
        <w:t>Supplementary Materials</w:t>
      </w:r>
    </w:p>
    <w:p w14:paraId="6CBC665E" w14:textId="77777777" w:rsidR="0012244C" w:rsidRDefault="0012244C" w:rsidP="0012244C">
      <w:pPr>
        <w:pStyle w:val="DOI"/>
      </w:pPr>
    </w:p>
    <w:p w14:paraId="00DA0134" w14:textId="77777777" w:rsidR="0012244C" w:rsidRPr="00A4424B" w:rsidRDefault="0012244C" w:rsidP="0012244C">
      <w:pPr>
        <w:pStyle w:val="Head"/>
        <w:spacing w:before="0" w:after="0"/>
        <w:jc w:val="left"/>
        <w:rPr>
          <w:sz w:val="24"/>
          <w:szCs w:val="24"/>
        </w:rPr>
      </w:pPr>
      <w:r>
        <w:rPr>
          <w:sz w:val="24"/>
          <w:szCs w:val="24"/>
        </w:rPr>
        <w:t>Title</w:t>
      </w:r>
      <w:r w:rsidRPr="00A4424B">
        <w:rPr>
          <w:sz w:val="24"/>
          <w:szCs w:val="24"/>
        </w:rPr>
        <w:t xml:space="preserve"> </w:t>
      </w:r>
    </w:p>
    <w:p w14:paraId="466CE1F6" w14:textId="77777777" w:rsidR="0012244C" w:rsidRPr="00A4424B" w:rsidRDefault="0012244C" w:rsidP="0012244C">
      <w:pPr>
        <w:pStyle w:val="Head"/>
        <w:spacing w:before="0" w:after="0"/>
        <w:ind w:left="720"/>
        <w:jc w:val="left"/>
        <w:rPr>
          <w:b w:val="0"/>
          <w:sz w:val="24"/>
          <w:szCs w:val="24"/>
        </w:rPr>
      </w:pPr>
      <w:r>
        <w:rPr>
          <w:rFonts w:eastAsia="ＭＳ 明朝"/>
          <w:lang w:eastAsia="ja-JP"/>
        </w:rPr>
        <w:t xml:space="preserve">The </w:t>
      </w:r>
      <w:r>
        <w:rPr>
          <w:rFonts w:eastAsia="ＭＳ 明朝" w:hint="eastAsia"/>
          <w:lang w:eastAsia="ja-JP"/>
        </w:rPr>
        <w:t>S</w:t>
      </w:r>
      <w:r>
        <w:rPr>
          <w:rFonts w:eastAsia="ＭＳ 明朝"/>
          <w:lang w:eastAsia="ja-JP"/>
        </w:rPr>
        <w:t>outhern Ocean with the larg</w:t>
      </w:r>
      <w:r>
        <w:rPr>
          <w:rFonts w:eastAsia="ＭＳ 明朝" w:hint="eastAsia"/>
          <w:lang w:eastAsia="ja-JP"/>
        </w:rPr>
        <w:t>e</w:t>
      </w:r>
      <w:r>
        <w:rPr>
          <w:rFonts w:eastAsia="ＭＳ 明朝"/>
          <w:lang w:eastAsia="ja-JP"/>
        </w:rPr>
        <w:t>st uptake of anthropogenic nitrogen into the ocean interior</w:t>
      </w:r>
    </w:p>
    <w:p w14:paraId="5A256B71" w14:textId="77777777" w:rsidR="0012244C" w:rsidRDefault="0012244C" w:rsidP="0012244C">
      <w:pPr>
        <w:pStyle w:val="Head"/>
        <w:spacing w:before="0" w:after="0"/>
      </w:pPr>
    </w:p>
    <w:p w14:paraId="6897A185" w14:textId="77777777" w:rsidR="0012244C" w:rsidRDefault="0012244C" w:rsidP="0012244C">
      <w:pPr>
        <w:pStyle w:val="Teaser"/>
        <w:spacing w:before="0"/>
      </w:pPr>
      <w:r w:rsidRPr="00987EE5">
        <w:rPr>
          <w:b/>
        </w:rPr>
        <w:t>Authors</w:t>
      </w:r>
    </w:p>
    <w:p w14:paraId="1C1C527F" w14:textId="77777777" w:rsidR="0012244C" w:rsidRDefault="0012244C" w:rsidP="0012244C">
      <w:pPr>
        <w:pStyle w:val="Teaser"/>
        <w:spacing w:before="0"/>
        <w:ind w:firstLine="720"/>
      </w:pPr>
      <w:proofErr w:type="spellStart"/>
      <w:r w:rsidRPr="00A26576">
        <w:t>Xianliang</w:t>
      </w:r>
      <w:proofErr w:type="spellEnd"/>
      <w:r w:rsidRPr="00A26576">
        <w:t xml:space="preserve"> L. Pan</w:t>
      </w:r>
      <w:r w:rsidRPr="00A85A74">
        <w:rPr>
          <w:vertAlign w:val="superscript"/>
        </w:rPr>
        <w:t>1</w:t>
      </w:r>
      <w:r>
        <w:t xml:space="preserve">*, </w:t>
      </w:r>
      <w:r w:rsidRPr="007E13C5">
        <w:rPr>
          <w:sz w:val="22"/>
          <w:szCs w:val="22"/>
        </w:rPr>
        <w:t>Bofeng F. Li</w:t>
      </w:r>
      <w:r w:rsidRPr="00A85A74">
        <w:rPr>
          <w:vertAlign w:val="superscript"/>
        </w:rPr>
        <w:t>2</w:t>
      </w:r>
      <w:r>
        <w:t>,</w:t>
      </w:r>
      <w:r w:rsidRPr="00A85A74">
        <w:rPr>
          <w:vertAlign w:val="superscript"/>
        </w:rPr>
        <w:t xml:space="preserve"> </w:t>
      </w:r>
      <w:r w:rsidRPr="007E13C5">
        <w:rPr>
          <w:sz w:val="22"/>
          <w:szCs w:val="22"/>
        </w:rPr>
        <w:t>Yutaka W. Watanabe</w:t>
      </w:r>
      <w:r w:rsidRPr="000D4767">
        <w:rPr>
          <w:vertAlign w:val="superscript"/>
        </w:rPr>
        <w:t xml:space="preserve"> </w:t>
      </w:r>
      <w:r>
        <w:rPr>
          <w:vertAlign w:val="superscript"/>
        </w:rPr>
        <w:t>2</w:t>
      </w:r>
    </w:p>
    <w:p w14:paraId="05958A30" w14:textId="77777777" w:rsidR="0012244C" w:rsidRDefault="0012244C" w:rsidP="0012244C">
      <w:pPr>
        <w:pStyle w:val="Paragraph"/>
        <w:spacing w:before="0"/>
        <w:ind w:firstLine="0"/>
        <w:rPr>
          <w:b/>
        </w:rPr>
      </w:pPr>
    </w:p>
    <w:p w14:paraId="54E301D1" w14:textId="77777777" w:rsidR="0012244C" w:rsidRDefault="0012244C" w:rsidP="0012244C">
      <w:pPr>
        <w:pStyle w:val="Paragraph"/>
        <w:spacing w:before="0"/>
        <w:ind w:firstLine="0"/>
      </w:pPr>
      <w:r w:rsidRPr="008E391A">
        <w:rPr>
          <w:b/>
        </w:rPr>
        <w:t>Affiliations</w:t>
      </w:r>
      <w:r w:rsidRPr="00A4424B">
        <w:t xml:space="preserve"> </w:t>
      </w:r>
    </w:p>
    <w:p w14:paraId="23C9997A" w14:textId="77777777" w:rsidR="0012244C" w:rsidRPr="007E13C5" w:rsidRDefault="0012244C" w:rsidP="0012244C">
      <w:pPr>
        <w:spacing w:line="480" w:lineRule="auto"/>
        <w:ind w:leftChars="354" w:left="708"/>
        <w:rPr>
          <w:sz w:val="22"/>
          <w:szCs w:val="22"/>
          <w:lang w:eastAsia="ja-JP"/>
        </w:rPr>
      </w:pPr>
      <w:r w:rsidRPr="007E13C5">
        <w:rPr>
          <w:sz w:val="22"/>
          <w:szCs w:val="22"/>
          <w:vertAlign w:val="superscript"/>
          <w:lang w:eastAsia="ja-JP"/>
        </w:rPr>
        <w:t>1</w:t>
      </w:r>
      <w:r w:rsidRPr="007E13C5">
        <w:rPr>
          <w:sz w:val="22"/>
          <w:szCs w:val="22"/>
          <w:lang w:eastAsia="ja-JP"/>
        </w:rPr>
        <w:t xml:space="preserve"> Graduate School of Environmental Science, Hokkaido University, Sapporo, Japan</w:t>
      </w:r>
    </w:p>
    <w:p w14:paraId="08119C0A" w14:textId="77777777" w:rsidR="0012244C" w:rsidRPr="007E13C5" w:rsidRDefault="0012244C" w:rsidP="0012244C">
      <w:pPr>
        <w:spacing w:line="480" w:lineRule="auto"/>
        <w:ind w:leftChars="354" w:left="708"/>
        <w:rPr>
          <w:sz w:val="22"/>
          <w:szCs w:val="22"/>
          <w:lang w:eastAsia="ja-JP"/>
        </w:rPr>
      </w:pPr>
      <w:r w:rsidRPr="007E13C5">
        <w:rPr>
          <w:sz w:val="22"/>
          <w:szCs w:val="22"/>
          <w:vertAlign w:val="superscript"/>
          <w:lang w:eastAsia="ja-JP"/>
        </w:rPr>
        <w:t>2</w:t>
      </w:r>
      <w:r w:rsidRPr="007E13C5">
        <w:rPr>
          <w:sz w:val="22"/>
          <w:szCs w:val="22"/>
          <w:lang w:eastAsia="ja-JP"/>
        </w:rPr>
        <w:t xml:space="preserve"> Faculty of Environmental Earth Science, Hokkaido University, Sapporo, Japan</w:t>
      </w:r>
    </w:p>
    <w:p w14:paraId="269BE062" w14:textId="77777777" w:rsidR="0012244C" w:rsidRPr="00425518" w:rsidRDefault="0012244C" w:rsidP="0012244C">
      <w:pPr>
        <w:spacing w:line="480" w:lineRule="auto"/>
        <w:ind w:leftChars="354" w:left="708"/>
        <w:rPr>
          <w:rFonts w:eastAsia="ＭＳ 明朝"/>
          <w:sz w:val="22"/>
          <w:szCs w:val="22"/>
          <w:lang w:eastAsia="ja-JP"/>
        </w:rPr>
      </w:pPr>
      <w:r w:rsidRPr="007E13C5">
        <w:rPr>
          <w:sz w:val="22"/>
          <w:szCs w:val="22"/>
          <w:lang w:eastAsia="ja-JP"/>
        </w:rPr>
        <w:t>* Corresponding author:</w:t>
      </w:r>
      <w:r>
        <w:rPr>
          <w:sz w:val="22"/>
          <w:szCs w:val="22"/>
          <w:lang w:eastAsia="ja-JP"/>
        </w:rPr>
        <w:t xml:space="preserve"> </w:t>
      </w:r>
      <w:r>
        <w:rPr>
          <w:rFonts w:eastAsia="ＭＳ 明朝"/>
          <w:sz w:val="22"/>
          <w:szCs w:val="22"/>
          <w:lang w:eastAsia="ja-JP"/>
        </w:rPr>
        <w:t>panxianliang@ees.hokudai.ac.jp</w:t>
      </w:r>
    </w:p>
    <w:p w14:paraId="5B852BAB" w14:textId="3C342677" w:rsidR="00DF59D1" w:rsidRDefault="00DF59D1" w:rsidP="00DF59D1">
      <w:pPr>
        <w:pStyle w:val="Paragraph"/>
        <w:spacing w:before="0"/>
        <w:ind w:firstLine="0"/>
        <w:rPr>
          <w:b/>
        </w:rPr>
      </w:pPr>
    </w:p>
    <w:p w14:paraId="37B47221" w14:textId="77777777" w:rsidR="00DF59D1" w:rsidRPr="00EF293B" w:rsidRDefault="00DF59D1" w:rsidP="00DF59D1">
      <w:pPr>
        <w:pStyle w:val="Paragraph"/>
        <w:spacing w:before="0"/>
        <w:ind w:firstLine="0"/>
        <w:rPr>
          <w:b/>
        </w:rPr>
      </w:pPr>
    </w:p>
    <w:p w14:paraId="3492AE7A" w14:textId="77777777" w:rsidR="00FD13B1" w:rsidRPr="00AD70F1" w:rsidRDefault="00FD13B1" w:rsidP="00FD13B1">
      <w:pPr>
        <w:pStyle w:val="Paragraph"/>
        <w:spacing w:before="0" w:line="480" w:lineRule="auto"/>
        <w:ind w:firstLine="566"/>
        <w:rPr>
          <w:b/>
          <w:bCs/>
        </w:rPr>
      </w:pPr>
      <w:bookmarkStart w:id="0" w:name="_Hlk29988100"/>
      <w:bookmarkStart w:id="1" w:name="_Hlk29903689"/>
      <w:r w:rsidRPr="00AD70F1">
        <w:rPr>
          <w:b/>
          <w:bCs/>
        </w:rPr>
        <w:t xml:space="preserve">Supplementary Text S1. </w:t>
      </w:r>
    </w:p>
    <w:p w14:paraId="7A3C40EE" w14:textId="77777777" w:rsidR="00FD13B1" w:rsidRPr="00C566F9" w:rsidRDefault="00FD13B1" w:rsidP="00FD13B1">
      <w:pPr>
        <w:pStyle w:val="Paragraph"/>
        <w:spacing w:before="0" w:line="480" w:lineRule="auto"/>
        <w:ind w:firstLine="566"/>
        <w:rPr>
          <w:b/>
          <w:bCs/>
        </w:rPr>
      </w:pPr>
      <w:r w:rsidRPr="00C566F9">
        <w:rPr>
          <w:b/>
          <w:bCs/>
          <w:lang w:eastAsia="ja-JP"/>
        </w:rPr>
        <w:t>Data: O</w:t>
      </w:r>
      <w:r w:rsidRPr="00C566F9">
        <w:rPr>
          <w:b/>
          <w:bCs/>
        </w:rPr>
        <w:t>bservational hydrographic data used in this study</w:t>
      </w:r>
    </w:p>
    <w:p w14:paraId="7493D6A8" w14:textId="77777777" w:rsidR="00FD13B1" w:rsidRPr="00DF04D9" w:rsidRDefault="00FD13B1" w:rsidP="00FD13B1">
      <w:pPr>
        <w:pStyle w:val="Paragraph"/>
        <w:spacing w:before="0" w:line="480" w:lineRule="auto"/>
        <w:ind w:leftChars="283" w:left="566" w:firstLineChars="177" w:firstLine="425"/>
        <w:jc w:val="both"/>
      </w:pPr>
      <w:r w:rsidRPr="00DF04D9">
        <w:t>All the hydrographic</w:t>
      </w:r>
      <w:r w:rsidRPr="00DF04D9">
        <w:rPr>
          <w:lang w:eastAsia="ja-JP"/>
        </w:rPr>
        <w:t xml:space="preserve"> observational </w:t>
      </w:r>
      <w:r w:rsidRPr="00DF04D9">
        <w:t>data for n</w:t>
      </w:r>
      <w:r w:rsidRPr="00DF04D9">
        <w:rPr>
          <w:lang w:eastAsia="ja-JP"/>
        </w:rPr>
        <w:t>itrate (N)</w:t>
      </w:r>
      <w:r w:rsidRPr="00DF04D9">
        <w:t>, dissolved oxygen (DO), temperature (T), salinity (S), and pressure (</w:t>
      </w:r>
      <w:proofErr w:type="spellStart"/>
      <w:r w:rsidRPr="00DF04D9">
        <w:t>Pr</w:t>
      </w:r>
      <w:proofErr w:type="spellEnd"/>
      <w:r w:rsidRPr="00DF04D9">
        <w:t xml:space="preserve">) were sourced from GLODAP v2 and CCHDO </w:t>
      </w:r>
      <w:bookmarkStart w:id="2" w:name="_Hlk15486173"/>
      <w:r w:rsidRPr="00DF04D9">
        <w:t>(https://cchdo.ucsd.edu/)</w:t>
      </w:r>
      <w:bookmarkEnd w:id="2"/>
      <w:r w:rsidRPr="00DF04D9">
        <w:t xml:space="preserve"> </w:t>
      </w:r>
      <w:r w:rsidRPr="00DF04D9">
        <w:rPr>
          <w:vertAlign w:val="superscript"/>
        </w:rPr>
        <w:fldChar w:fldCharType="begin" w:fldLock="1"/>
      </w:r>
      <w:r w:rsidRPr="00DF04D9">
        <w:rPr>
          <w:vertAlign w:val="superscript"/>
        </w:rPr>
        <w:instrText>ADDIN CSL_CITATION {"citationItems":[{"id":"ITEM-1","itemData":{"DOI":"10.5194/essd-8-325-2016","ISSN":"18663516","abstract":"&lt;p&gt;&lt;strong&gt;Abstract.&lt;/strong&gt; We present a mapped climatology (GLODAPv2.2016b) of ocean biogeochemical variables based on the new GLODAP version 2 data product (Olsen et al., 2016; Key et al., 2015), which covers all ocean basins over the years 1972 to 2013. The quality-controlled and internally consistent GLODAPv2 was used to create global 1°&lt;span class=\"thinspace\"&gt;&lt;/span&gt; × &lt;span class=\"thinspace\"&gt;&lt;/span&gt;1° mapped climatologies of salinity, temperature, oxygen, nitrate, phosphate, silicate, total dissolved inorganic carbon (TCO&lt;sub&gt;2&lt;/sub&gt;), total alkalinity (TAlk), pH, and CaCO&lt;sub&gt;3&lt;/sub&gt; saturation states using the Data-Interpolating Variational Analysis (DIVA) mapping method. Improving on maps based on an earlier but similar dataset, GLODAPv1.1, this climatology also covers the Arctic Ocean. Climatologies were created for 33 standard depth surfaces. The conceivably confounding temporal trends in TCO&lt;sub&gt;2&lt;/sub&gt; and pH due to anthropogenic influence were removed prior to mapping by normalizing these data to the year 2002 using first-order calculations of anthropogenic carbon accumulation rates. We additionally provide maps of accumulated anthropogenic carbon in the year 2002 and of preindustrial TCO&lt;sub&gt;2&lt;/sub&gt;. For all parameters, all data from the full 1972–2013 period were used, including data that did not receive full secondary quality control. The GLODAPv2.2016b global 1°&lt;span class=\"thinspace\"&gt;&lt;/span&gt; × &lt;span class=\"thinspace\"&gt;&lt;/span&gt;1° mapped climatologies, including error fields and ancillary information, are available at the GLODAPv2 web page at the Carbon Dioxide Information Analysis Center (CDIAC; &lt;a href=\"http://dx.doi.org/10.3334/CDIAC/OTG.NDP093_GLODAPv2\" target=\"_blank\"&gt;doi:10.3334/CDIAC/OTG.NDP093_GLODAPv2&lt;/a&gt;).&lt;/p&gt;&lt;/p&gt;","author":[{"dropping-particle":"","family":"Lauvset","given":"Siv K.","non-dropping-particle":"","parse-names":false,"suffix":""},{"dropping-particle":"","family":"Key","given":"Robert M.","non-dropping-particle":"","parse-names":false,"suffix":""},{"dropping-particle":"","family":"Olsen","given":"Are","non-dropping-particle":"","parse-names":false,"suffix":""},{"dropping-particle":"","family":"Heuven","given":"Steven","non-dropping-particle":"Van","parse-names":false,"suffix":""},{"dropping-particle":"","family":"Velo","given":"Anton","non-dropping-particle":"","parse-names":false,"suffix":""},{"dropping-particle":"","family":"Lin","given":"Xiaohua","non-dropping-particle":"","parse-names":false,"suffix":""},{"dropping-particle":"","family":"Schirnick","given":"Carsten","non-dropping-particle":"","parse-names":false,"suffix":""},{"dropping-particle":"","family":"Kozyr","given":"Alex","non-dropping-particle":"","parse-names":false,"suffix":""},{"dropping-particle":"","family":"Tanhua","given":"Toste","non-dropping-particle":"","parse-names":false,"suffix":""},{"dropping-particle":"","family":"Hoppema","given":"Mario","non-dropping-particle":"","parse-names":false,"suffix":""},{"dropping-particle":"","family":"Jutterström","given":"Sara","non-dropping-particle":"","parse-names":false,"suffix":""},{"dropping-particle":"","family":"Steinfeldt","given":"Reiner","non-dropping-particle":"","parse-names":false,"suffix":""},{"dropping-particle":"","family":"Jeansson","given":"Emil","non-dropping-particle":"","parse-names":false,"suffix":""},{"dropping-particle":"","family":"Ishii","given":"Masao","non-dropping-particle":"","parse-names":false,"suffix":""},{"dropping-particle":"","family":"Perez","given":"Fiz F.","non-dropping-particle":"","parse-names":false,"suffix":""},{"dropping-particle":"","family":"Suzuki","given":"Toru","non-dropping-particle":"","parse-names":false,"suffix":""},{"dropping-particle":"","family":"Watelet","given":"Sylvain","non-dropping-particle":"","parse-names":false,"suffix":""}],"container-title":"Earth System Science Data","id":"ITEM-1","issue":"2","issued":{"date-parts":[["2016"]]},"page":"325-340","title":"A new global interior ocean mapped climatology: The 1° × 1° GLODAP version 2","type":"article-journal","volume":"8"},"uris":["http://www.mendeley.com/documents/?uuid=3f7d7165-c278-409f-98bf-05be0b0313cf"]}],"mendeley":{"formattedCitation":"&lt;sup&gt;12&lt;/sup&gt;","plainTextFormattedCitation":"12","previouslyFormattedCitation":"&lt;sup&gt;12&lt;/sup&gt;"},"properties":{"noteIndex":0},"schema":"https://github.com/citation-style-language/schema/raw/master/csl-citation.json"}</w:instrText>
      </w:r>
      <w:r w:rsidRPr="00DF04D9">
        <w:rPr>
          <w:vertAlign w:val="superscript"/>
        </w:rPr>
        <w:fldChar w:fldCharType="separate"/>
      </w:r>
      <w:r w:rsidRPr="00DF04D9">
        <w:rPr>
          <w:noProof/>
          <w:vertAlign w:val="superscript"/>
        </w:rPr>
        <w:t>12</w:t>
      </w:r>
      <w:r w:rsidRPr="00DF04D9">
        <w:rPr>
          <w:vertAlign w:val="superscript"/>
        </w:rPr>
        <w:fldChar w:fldCharType="end"/>
      </w:r>
      <w:r w:rsidRPr="00DF04D9">
        <w:rPr>
          <w:vertAlign w:val="superscript"/>
        </w:rPr>
        <w:t>,</w:t>
      </w:r>
      <w:r w:rsidRPr="00DF04D9">
        <w:rPr>
          <w:vertAlign w:val="superscript"/>
        </w:rPr>
        <w:fldChar w:fldCharType="begin" w:fldLock="1"/>
      </w:r>
      <w:r w:rsidRPr="00DF04D9">
        <w:rPr>
          <w:vertAlign w:val="superscript"/>
        </w:rPr>
        <w:instrText>ADDIN CSL_CITATION {"citationItems":[{"id":"ITEM-1","itemData":{"DOI":"10.5194/essd-8-297-2016","ISSN":"18663516","abstract":"&lt;p&gt;&lt;strong&gt;Abstract.&lt;/strong&gt; Version 2 of the Global Ocean Data Analysis Project (GLODAPv2) data product is composed of data from 724 scientific cruises covering the global ocean. It includes data assembled during the previous efforts GLODAPv1.1 (Global Ocean Data Analysis Project version 1.1) in 2004, CARINA (CARbon IN the Atlantic) in 2009/2010, and PACIFICA (PACIFic ocean Interior CArbon) in 2013, as well as data from an additional 168 cruises. Data for 12 core variables (salinity, oxygen, nitrate, silicate, phosphate, dissolved inorganic carbon, total alkalinity, pH, CFC-11, CFC-12, CFC-113, and CCl&lt;sub&gt;4&lt;/sub&gt;) have been subjected to extensive quality control, including systematic evaluation of bias. The data are available in two formats: (i) as submitted but updated to WOCE exchange format and (ii) as a merged and internally consistent data product. In the latter, adjustments have been applied to remove significant biases, respecting occurrences of any known or likely time trends or variations. Adjustments applied by previous efforts were re-evaluated. Hence, GLODAPv2 is not a simple merging of previous products with some new data added but a unique, internally consistent data product. This compiled and adjusted data product is believed to be consistent to better than 0.005 in salinity, 1&lt;span class=\"thinspace\"&gt;&lt;/span&gt;% in oxygen, 2&lt;span class=\"thinspace\"&gt;&lt;/span&gt;% in nitrate, 2&lt;span class=\"thinspace\"&gt;&lt;/span&gt;% in silicate, 2&lt;span class=\"thinspace\"&gt;&lt;/span&gt;% in phosphate, 4&lt;span class=\"thinspace\"&gt;&lt;/span&gt;µmol&lt;span class=\"thinspace\"&gt;&lt;/span&gt;kg&lt;sup&gt;−1&lt;/sup&gt; in dissolved inorganic carbon, 6&lt;span class=\"thinspace\"&gt;&lt;/span&gt;µmol&lt;span class=\"thinspace\"&gt;&lt;/span&gt;kg&lt;sup&gt;−1&lt;/sup&gt; in total alkalinity, 0.005 in pH, and 5&lt;span class=\"thinspace\"&gt;&lt;/span&gt;% for the halogenated transient tracers.&lt;br&gt;&lt;br&gt;The original data and their documentation and doi codes are available at the Carbon Dioxide Information Analysis Center (&lt;a href=\"http://cdiac.ornl.gov/oceans/GLODAPv2/\" target=\"_blank\"&gt;http://cdiac.ornl.gov/oceans/GLODAPv2/&lt;/a&gt;). This site also provides access to the calibrated data product, which is provided as a single global file or four regional ones – the Arctic, Atlantic, Indian, and Pacific oceans – under the &lt;a href=\"http://dx.doi.org/10.3334/CDIAC/OTG.NDP093_GLODAPv2\" target=\"_blank\"&gt;doi:10.3334/CDIAC/OTG.NDP093_GLODAPv2&lt;/a&gt;. The product files also include significant ancillary and approximated data. These were obtained by interpolation of, or calculation from, m…","author":[{"dropping-particle":"","family":"Olsen","given":"Are","non-dropping-particle":"","parse-names":false,"suffix":""},{"dropping-particle":"","family":"Key","given":"Robert M.","non-dropping-particle":"","parse-names":false,"suffix":""},{"dropping-particle":"","family":"Heuven","given":"Steven","non-dropping-particle":"Van","parse-names":false,"suffix":""},{"dropping-particle":"","family":"Lauvset","given":"Siv K.","non-dropping-particle":"","parse-names":false,"suffix":""},{"dropping-particle":"","family":"Velo","given":"Anton","non-dropping-particle":"","parse-names":false,"suffix":""},{"dropping-particle":"","family":"Lin","given":"Xiaohua","non-dropping-particle":"","parse-names":false,"suffix":""},{"dropping-particle":"","family":"Schirnick","given":"Carsten","non-dropping-particle":"","parse-names":false,"suffix":""},{"dropping-particle":"","family":"Kozyr","given":"Alex","non-dropping-particle":"","parse-names":false,"suffix":""},{"dropping-particle":"","family":"Tanhua","given":"Toste","non-dropping-particle":"","parse-names":false,"suffix":""},{"dropping-particle":"","family":"Hoppema","given":"Mario","non-dropping-particle":"","parse-names":false,"suffix":""},{"dropping-particle":"","family":"Jutterström","given":"Sara","non-dropping-particle":"","parse-names":false,"suffix":""},{"dropping-particle":"","family":"Steinfeldt","given":"Reiner","non-dropping-particle":"","parse-names":false,"suffix":""},{"dropping-particle":"","family":"Jeansson","given":"Emil","non-dropping-particle":"","parse-names":false,"suffix":""},{"dropping-particle":"","family":"Ishii","given":"Masao","non-dropping-particle":"","parse-names":false,"suffix":""},{"dropping-particle":"","family":"Pérez","given":"Fiz F.","non-dropping-particle":"","parse-names":false,"suffix":""},{"dropping-particle":"","family":"Suzuki","given":"Toru","non-dropping-particle":"","parse-names":false,"suffix":""}],"container-title":"Earth System Science Data","id":"ITEM-1","issue":"2","issued":{"date-parts":[["2016"]]},"page":"297-323","title":"The global ocean data analysis project version 2 (GLODAPv2) - An internally consistent data product for the world ocean","type":"article-journal","volume":"8"},"uris":["http://www.mendeley.com/documents/?uuid=f3fe1351-186b-4327-b5cb-1ef4ff77455b"]}],"mendeley":{"formattedCitation":"&lt;sup&gt;13&lt;/sup&gt;","plainTextFormattedCitation":"13","previouslyFormattedCitation":"&lt;sup&gt;13&lt;/sup&gt;"},"properties":{"noteIndex":0},"schema":"https://github.com/citation-style-language/schema/raw/master/csl-citation.json"}</w:instrText>
      </w:r>
      <w:r w:rsidRPr="00DF04D9">
        <w:rPr>
          <w:vertAlign w:val="superscript"/>
        </w:rPr>
        <w:fldChar w:fldCharType="separate"/>
      </w:r>
      <w:r w:rsidRPr="00DF04D9">
        <w:rPr>
          <w:noProof/>
          <w:vertAlign w:val="superscript"/>
        </w:rPr>
        <w:t>13</w:t>
      </w:r>
      <w:r w:rsidRPr="00DF04D9">
        <w:rPr>
          <w:vertAlign w:val="superscript"/>
        </w:rPr>
        <w:fldChar w:fldCharType="end"/>
      </w:r>
      <w:r w:rsidRPr="00DF04D9">
        <w:t xml:space="preserve">. Information of the cruises in which we utilized the data is shown in Supplementary Tables S1 and S5. The EXPOCODE in these tables, which is constructed using the country code, platform code, and departure date, was used to identify each cruise </w:t>
      </w:r>
      <w:r w:rsidRPr="00DF04D9">
        <w:fldChar w:fldCharType="begin" w:fldLock="1"/>
      </w:r>
      <w:r w:rsidRPr="00DF04D9">
        <w:instrText xml:space="preserve">ADDIN CSL_CITATION {"citationItems":[{"id":"ITEM-1","itemData":{"DOI":"10.5194/essd-2019-66","abstract":"Abstract. The Global Ocean Data Analysis Project (GLODAP) is a synthesis effort providing regular compilations of surface to bottom ocean biogeochemical data, with an emphasis on seawater inorganic carbon 40 chemistry and related variables determined through chemical analysis of water samples. This update of GLODAPv2, v2.2019, adds data from 116 cruises to the previous version, extending its coverage in time from 2013 to 2017 while also adding some data from prior years. GLODAPv2.2019 includes measurements from more than 1.1 million water samples from the global oceans collected on 840 cruises. The data for the 12 GLODAP core variables (salinity, oxygen, nitrate, silicate, phosphate, dissolved inorganic carbon, total alkalinity, pH, CFC-11, CFC-12, CFC-113, and CCl4) have been subjected to extensive quality control, especially systematic evaluation of bias. The data are available in two formats: (i) as submitted by the data originator but updated to WOCE exchange format and (ii) as a merged data product with adjustments applied to minimize bias. These adjustments were derived by comparing the data from the 116 new cruises with the data from the 724 quality-controlled cruises of the GLODAPv2 data product. They correct for errors related to measurement, calibration, and data handling practices, taking into account any known or likely time trends or variations. The compiled and adjusted data product is believed to be consistent to better that 0.005 in salinity, 1&amp;thinsp;% in oxygen, 2&amp;thinsp;% in nitrate, 2&amp;thinsp;% in silicate, 2&amp;thinsp;% in phosphate, 4&amp;thinsp;μmol&amp;thinsp;kg&amp;minus;1 in dissolved inorganic carbon, 4&amp;thinsp;μmol&amp;thinsp;kg&amp;minus;1 in total alkalinity, 0.01 in pH, and 5&amp;thinsp;% in the halogenated transient tracers. The compilation also includes data for several other variables, such as isotopic tracers. These were not subjected to bias comparison or adjustments. The original data, their documentation and doi codes are available at the Ocean Carbon Data System of NOAA/NCEI (https://www.nodc.noaa.gov/ocads/oceans/GLODAPv2_2019/). This site also provides access to the merged data product, which is provided as a single global file or as four regional ones &amp;ndash; the Arctic, Atlantic, Indian, and Pacific oceans &amp;ndash; under the doi: https://doi.org/10.25921/xnme-wr20 (Olsen et al., 2019). The product files also include significant ancillary and approximated data. These were obtained by interpolation of, or calculation from, measured data. This…","author":[{"dropping-particle":"","family":"Olsen","given":"Are","non-dropping-particle":"","parse-names":false,"suffix":""},{"dropping-particle":"","family":"Lange","given":"Nico","non-dropping-particle":"","parse-names":false,"suffix":""},{"dropping-particle":"","family":"Key","given":"Robert M.","non-dropping-particle":"","parse-names":false,"suffix":""},{"dropping-particle":"","family":"Tanhua","given":"Toste","non-dropping-particle":"","parse-names":false,"suffix":""},{"dropping-particle":"","family":"Álvarez","given":"Marta","non-dropping-particle":"","parse-names":false,"suffix":""},{"dropping-particle":"","family":"Becker","given":"Susan","non-dropping-particle":"","parse-names":false,"suffix":""},{"dropping-particle":"","family":"Bittig","given":"Henry C.","non-dropping-particle":"","parse-names":false,"suffix":""},{"dropping-particle":"","family":"Carter","given":"Brendan R.","non-dropping-particle":"","parse-names":false,"suffix":""},{"dropping-particle":"","family":"Cotrim da Cunha","given":"Leticia","non-dropping-particle":"","parse-names":false,"suffix":""},{"dropping-particle":"","family":"Feely","given":"Richard A.","non-dropping-particle":"","parse-names":false,"suffix":""},{"dropping-particle":"","family":"Heuven","given":"Steven","non-dropping-particle":"van","parse-names":false,"suffix":""},{"dropping-particle":"","family":"Hoppema","given":"Mario","non-dropping-particle":"","parse-names":false,"suffix":""},{"dropping-particle":"","family":"Ishii","given":"Masao","non-dropping-particle":"","parse-names":false,"suffix":""},{"dropping-particle":"","family":"Jeansson","given":"Emil","non-dropping-particle":"","parse-names":false,"suffix":""},{"dropping-particle":"","family":"Jones","given":"Steve D.","non-dropping-particle":"","parse-names":false,"suffix":""},{"dropping-particle":"","family":"Jutterström","given":"Sara","non-dropping-particle":"","parse-names":false,"suffix":""},{"dropping-particle":"","family":"Karlsen","given":"Maren K.","non-dropping-particle":"","parse-names":false,"suffix":""},{"dropping-particle":"","family":"Kozyr","given":"Alex","non-dropping-particle":"","parse-names":false,"suffix":""},{"dropping-particle":"","family":"Lauvset","given":"Siv K.","non-dropping-particle":"","parse-names":false,"suffix":""},{"dropping-particle":"","family":"Monaco","given":"Claire","non-dropping-particle":"Lo","parse-names":false,"suffix":""},{"dropping-particle":"","family":"Murata","given":"Akihiko","non-dropping-particle":"","parse-names":false,"suffix":""},{"dropping-particle":"","family":"Pérez","given":"Fiz F.","non-dropping-particle":"","parse-names":false,"suffix":""},{"dropping-particle":"","family":"Pfeil","given":"Benjamin","non-dropping-particle":"","parse-names":false,"suffix":""},{"dropping-particle":"","family":"Schirnick","given":"Carsten","non-dropping-particle":"","parse-names":false,"suffix":""},{"dropping-particle":"","family":"Steinfeldt","given":"Reiner","non-dropping-particle":"","parse-names":false,"suffix":""},{"dropping-particle":"","family":"Suzuki","given":"Toru","non-dropping-particle":"","parse-names":false,"suffix":""},{"dropping-particle":"","family":"Telszewski","given":"Maciej","non-dropping-particle":"","parse-names":false,"suffix":""},{"dropping-particle":"","family":"Tilbrook","given":"Bronte","non-dropping-particle":"","parse-names":false,"suffix":""},{"dropping-particle":"","family":"Velo","given":"Anton","non-dropping-particle":"","parse-names":false,"suffix":""},{"dropping-particle":"","family":"Wanninkhof","given":"Rik","non-dropping-particle":"","parse-names":false,"suffix":""}],"container-title":"Earth System Science Data Discussions","id":"ITEM-1","issue":"April","issued":{"date-parts":[["2019"]]},"page":"1-39","title":"GLODAPv2.2019 </w:instrText>
      </w:r>
      <w:r w:rsidRPr="00DF04D9">
        <w:rPr>
          <w:rFonts w:hint="eastAsia"/>
        </w:rPr>
        <w:instrText>–</w:instrText>
      </w:r>
      <w:r w:rsidRPr="00DF04D9">
        <w:instrText xml:space="preserve"> an update of GLODAPv2","type":"article-journal"},"uris":["http://www.mendeley.com/documents/?uuid=52d3bdeb-d7fc-4b66-b7c1-38bff7b3e126"]}],"mendeley":{"formattedCitation":"&lt;sup&gt;22&lt;/sup&gt;","plainTextFormattedCitation":"22","previouslyFormattedCitation":"&lt;sup&gt;22&lt;/sup&gt;"},"properties":{"noteIndex":0},"schema":"https://github.com/citation-style-language/schema/raw/master/csl-citation.json"}</w:instrText>
      </w:r>
      <w:r w:rsidRPr="00DF04D9">
        <w:fldChar w:fldCharType="separate"/>
      </w:r>
      <w:r w:rsidRPr="00DF04D9">
        <w:rPr>
          <w:noProof/>
          <w:vertAlign w:val="superscript"/>
        </w:rPr>
        <w:t>22</w:t>
      </w:r>
      <w:r w:rsidRPr="00DF04D9">
        <w:fldChar w:fldCharType="end"/>
      </w:r>
      <w:r w:rsidRPr="00DF04D9">
        <w:t>. See the International Council for the Exploration of the Sea (ICES) library for deciphering the country and platform codes (http://www.ices.dk/marine-data/vocabularies/Pages/default.aspx). The quality flags of the World Ocean Circulation Experiment (WOCE) were used to check the quality of these data. In this study, we only used data with a quality flag of 2 (i.e. data value is acceptable). We used 65,257 data from 69 cruises from 2000 to 2016 for constructing the parameterization of N</w:t>
      </w:r>
      <w:r w:rsidRPr="00DF04D9">
        <w:rPr>
          <w:vertAlign w:val="subscript"/>
        </w:rPr>
        <w:t>p</w:t>
      </w:r>
      <w:r w:rsidRPr="00DF04D9">
        <w:t xml:space="preserve">, and 135,458 data from 101 cruises from 1990 to 2017 for estimating </w:t>
      </w:r>
      <w:proofErr w:type="spellStart"/>
      <w:r w:rsidRPr="00DF04D9">
        <w:t>ΔN</w:t>
      </w:r>
      <w:r w:rsidRPr="00DF04D9">
        <w:rPr>
          <w:vertAlign w:val="subscript"/>
        </w:rPr>
        <w:t>ex</w:t>
      </w:r>
      <w:proofErr w:type="spellEnd"/>
      <w:r w:rsidRPr="00DF04D9">
        <w:t xml:space="preserve"> (Fig. S1).</w:t>
      </w:r>
    </w:p>
    <w:p w14:paraId="669ECFF5" w14:textId="77777777" w:rsidR="00FD13B1" w:rsidRDefault="00FD13B1" w:rsidP="00FD13B1">
      <w:pPr>
        <w:spacing w:line="480" w:lineRule="auto"/>
        <w:ind w:firstLine="566"/>
        <w:rPr>
          <w:b/>
          <w:bCs/>
          <w:sz w:val="24"/>
          <w:szCs w:val="24"/>
        </w:rPr>
      </w:pPr>
    </w:p>
    <w:p w14:paraId="759CDD9E" w14:textId="77777777" w:rsidR="00FD13B1" w:rsidRPr="00C57AD2" w:rsidRDefault="00FD13B1" w:rsidP="00FD13B1">
      <w:pPr>
        <w:spacing w:line="480" w:lineRule="auto"/>
        <w:ind w:firstLine="566"/>
        <w:rPr>
          <w:b/>
          <w:bCs/>
          <w:sz w:val="24"/>
          <w:szCs w:val="24"/>
        </w:rPr>
      </w:pPr>
      <w:r w:rsidRPr="00C57AD2">
        <w:rPr>
          <w:b/>
          <w:bCs/>
          <w:sz w:val="24"/>
          <w:szCs w:val="24"/>
        </w:rPr>
        <w:lastRenderedPageBreak/>
        <w:t>Supplementary Text S2</w:t>
      </w:r>
      <w:bookmarkEnd w:id="0"/>
      <w:r w:rsidRPr="00C57AD2">
        <w:rPr>
          <w:b/>
          <w:bCs/>
          <w:sz w:val="24"/>
          <w:szCs w:val="24"/>
        </w:rPr>
        <w:t>.</w:t>
      </w:r>
      <w:bookmarkEnd w:id="1"/>
      <w:r w:rsidRPr="00C57AD2">
        <w:rPr>
          <w:b/>
          <w:bCs/>
          <w:sz w:val="24"/>
          <w:szCs w:val="24"/>
        </w:rPr>
        <w:t xml:space="preserve"> </w:t>
      </w:r>
    </w:p>
    <w:p w14:paraId="1DEEDAA8" w14:textId="77777777" w:rsidR="00FD13B1" w:rsidRPr="00C566F9" w:rsidRDefault="00FD13B1" w:rsidP="00FD13B1">
      <w:pPr>
        <w:spacing w:line="480" w:lineRule="auto"/>
        <w:ind w:firstLine="566"/>
        <w:rPr>
          <w:rFonts w:eastAsia="SimSun"/>
          <w:sz w:val="24"/>
          <w:szCs w:val="24"/>
        </w:rPr>
      </w:pPr>
      <w:r w:rsidRPr="00C566F9">
        <w:rPr>
          <w:b/>
          <w:bCs/>
          <w:sz w:val="24"/>
          <w:szCs w:val="24"/>
        </w:rPr>
        <w:t>Method: Constraints and examination of parameterization of N</w:t>
      </w:r>
      <w:r w:rsidRPr="00C566F9">
        <w:rPr>
          <w:b/>
          <w:bCs/>
          <w:sz w:val="24"/>
          <w:szCs w:val="24"/>
          <w:vertAlign w:val="subscript"/>
        </w:rPr>
        <w:t xml:space="preserve">p </w:t>
      </w:r>
    </w:p>
    <w:p w14:paraId="6F471401" w14:textId="1277C1F4" w:rsidR="00FD13B1" w:rsidRPr="00DF04D9" w:rsidRDefault="00FD13B1" w:rsidP="00FD13B1">
      <w:pPr>
        <w:spacing w:line="480" w:lineRule="auto"/>
        <w:ind w:leftChars="283" w:left="566" w:firstLineChars="257" w:firstLine="617"/>
        <w:jc w:val="both"/>
        <w:rPr>
          <w:sz w:val="24"/>
          <w:szCs w:val="24"/>
        </w:rPr>
      </w:pPr>
      <w:bookmarkStart w:id="3" w:name="_Hlk22129053"/>
      <w:r w:rsidRPr="00C566F9">
        <w:rPr>
          <w:sz w:val="24"/>
          <w:szCs w:val="24"/>
        </w:rPr>
        <w:t>Data constraints for enhancing the accuracy of our parameterizatio</w:t>
      </w:r>
      <w:r w:rsidRPr="00DF04D9">
        <w:rPr>
          <w:sz w:val="24"/>
          <w:szCs w:val="24"/>
        </w:rPr>
        <w:t xml:space="preserve">n are shown in Table S2. Here, we defined the </w:t>
      </w:r>
      <w:r w:rsidRPr="00DF04D9">
        <w:rPr>
          <w:sz w:val="24"/>
          <w:szCs w:val="24"/>
          <w:lang w:eastAsia="ja-JP"/>
        </w:rPr>
        <w:t>Southern Ocean (</w:t>
      </w:r>
      <w:r w:rsidRPr="00DF04D9">
        <w:rPr>
          <w:sz w:val="24"/>
          <w:szCs w:val="24"/>
        </w:rPr>
        <w:t xml:space="preserve">SO) as the region south of 30°S. Our study mainly focused on atmospheric nitrogen deposition in the open ocean because the fluvial input process is very complicated </w:t>
      </w:r>
      <w:r w:rsidRPr="00DF04D9">
        <w:rPr>
          <w:sz w:val="24"/>
          <w:szCs w:val="24"/>
        </w:rPr>
        <w:fldChar w:fldCharType="begin" w:fldLock="1"/>
      </w:r>
      <w:r w:rsidRPr="00DF04D9">
        <w:rPr>
          <w:sz w:val="24"/>
          <w:szCs w:val="24"/>
        </w:rPr>
        <w:instrText>ADDIN CSL_CITATION {"citationItems":[{"id":"ITEM-1","itemData":{"DOI":"10.1002/2016GB005586","ISSN":"0886-6236","abstract":"©2017. American Geophysical Union. All Rights Reserved. We report a new synthesis of best estimates of the inputs of fixed nitrogen to the world ocean via atmospheric deposition and compare this to fluvial inputs and dinitrogen fixation. We evaluate the scale of human perturbation of these fluxes. Fluvial inputs dominate inputs to the continental shelf, and we estimate that about 75% of this fluvial nitrogen escapes from the shelf to the open ocean. Biological dinitrogen fixation is the main external source of nitrogen to the open ocean, i.e., beyond the continental shelf. Atmospheric deposition is the primary mechanism by which land-based nitrogen inputs, and hence human perturbations of the nitrogen cycle, reach the open ocean. We estimate that anthropogenic inputs are currently leading to an increase in overall ocean carbon sequestration of ~0.4% (equivalent to an uptake of 0.15 Pg C yr−1and less than the Duce et al. (2008) estimate). The resulting reduction in climate change forcing from this ocean CO2uptake is offset to a small extent by an increase in ocean N2O emissions. We identify four important feedbacks in the ocean atmosphere nitrogen system that need to be better quantified to improve our understanding of the perturbation of ocean biogeochemistry by atmospheric nitrogen inputs. These feedbacks are recycling of (1) ammonia and (2) organic nitrogen from the ocean to the atmosphere and back, (3) the suppression of nitrogen fixation by increased nitrogen concentrations in surface waters from atmospheric deposition, and (4) increased loss of nitrogen from the ocean by denitrification due to increased productivity stimulated by atmospheric inputs.","author":[{"dropping-particle":"","family":"Jickells","given":"T. D.","non-dropping-particle":"","parse-names":false,"suffix":""},{"dropping-particle":"","family":"Buitenhuis","given":"E.","non-dropping-particle":"","parse-names":false,"suffix":""},{"dropping-particle":"","family":"Altieri","given":"K.","non-dropping-particle":"","parse-names":false,"suffix":""},{"dropping-particle":"","family":"Baker","given":"A. R.","non-dropping-particle":"","parse-names":false,"suffix":""},{"dropping-particle":"","family":"Capone","given":"D.","non-dropping-particle":"","parse-names":false,"suffix":""},{"dropping-particle":"","family":"Duce","given":"R. A.","non-dropping-particle":"","parse-names":false,"suffix":""},{"dropping-particle":"","family":"Dentener","given":"F.","non-dropping-particle":"","parse-names":false,"suffix":""},{"dropping-particle":"","family":"Fennel","given":"K.","non-dropping-particle":"","parse-names":false,"suffix":""},{"dropping-particle":"","family":"Kanakidou","given":"M.","non-dropping-particle":"","parse-names":false,"suffix":""},{"dropping-particle":"","family":"LaRoche","given":"J.","non-dropping-particle":"","parse-names":false,"suffix":""},{"dropping-particle":"","family":"Lee","given":"K.","non-dropping-particle":"","parse-names":false,"suffix":""},{"dropping-particle":"","family":"Liss","given":"P.","non-dropping-particle":"","parse-names":false,"suffix":""},{"dropping-particle":"","family":"Middelburg","given":"J. J.","non-dropping-particle":"","parse-names":false,"suffix":""},{"dropping-particle":"","family":"Moore","given":"J. K.","non-dropping-particle":"","parse-names":false,"suffix":""},{"dropping-particle":"","family":"Okin","given":"G.","non-dropping-particle":"","parse-names":false,"suffix":""},{"dropping-particle":"","family":"Oschlies","given":"A.","non-dropping-particle":"","parse-names":false,"suffix":""},{"dropping-particle":"","family":"Sarin","given":"M.","non-dropping-particle":"","parse-names":false,"suffix":""},{"dropping-particle":"","family":"Seitzinger","given":"S.","non-dropping-particle":"","parse-names":false,"suffix":""},{"dropping-particle":"","family":"Sharples","given":"J.","non-dropping-particle":"","parse-names":false,"suffix":""},{"dropping-particle":"","family":"Singh","given":"A.","non-dropping-particle":"","parse-names":false,"suffix":""},{"dropping-particle":"","family":"Suntharalingam","given":"P.","non-dropping-particle":"","parse-names":false,"suffix":""},{"dropping-particle":"","family":"Uematsu","given":"M.","non-dropping-particle":"","parse-names":false,"suffix":""},{"dropping-particle":"","family":"Zamora","given":"L. M.","non-dropping-particle":"","parse-names":false,"suffix":""}],"container-title":"Global Biogeochemical Cycles","id":"ITEM-1","issue":"2","issued":{"date-parts":[["2017"]]},"page":"289-305","title":"A reevaluation of the magnitude and impacts of anthropogenic atmospheric nitrogen inputs on the ocean","type":"article-journal","volume":"31"},"uris":["http://www.mendeley.com/documents/?uuid=42a15616-8049-4a0b-a7d5-cf1c00b1d0dc"]}],"mendeley":{"formattedCitation":"&lt;sup&gt;5&lt;/sup&gt;","plainTextFormattedCitation":"5","previouslyFormattedCitation":"&lt;sup&gt;5&lt;/sup&gt;"},"properties":{"noteIndex":0},"schema":"https://github.com/citation-style-language/schema/raw/master/csl-citation.json"}</w:instrText>
      </w:r>
      <w:r w:rsidRPr="00DF04D9">
        <w:rPr>
          <w:sz w:val="24"/>
          <w:szCs w:val="24"/>
        </w:rPr>
        <w:fldChar w:fldCharType="separate"/>
      </w:r>
      <w:r w:rsidRPr="00DF04D9">
        <w:rPr>
          <w:noProof/>
          <w:sz w:val="24"/>
          <w:szCs w:val="24"/>
          <w:vertAlign w:val="superscript"/>
        </w:rPr>
        <w:t>5</w:t>
      </w:r>
      <w:r w:rsidRPr="00DF04D9">
        <w:rPr>
          <w:sz w:val="24"/>
          <w:szCs w:val="24"/>
        </w:rPr>
        <w:fldChar w:fldCharType="end"/>
      </w:r>
      <w:r w:rsidRPr="00DF04D9">
        <w:rPr>
          <w:sz w:val="24"/>
          <w:szCs w:val="24"/>
        </w:rPr>
        <w:t xml:space="preserve">. In addition, we defined the regions with bottom depths of less than 1500 m as the continental shelf and did not use these data in our parameterization. Considering that the lower limit of the current detection accuracy of nitrate is ~ 0.2 μmol </w:t>
      </w:r>
      <w:proofErr w:type="gramStart"/>
      <w:r w:rsidRPr="00DF04D9">
        <w:rPr>
          <w:sz w:val="24"/>
          <w:szCs w:val="24"/>
        </w:rPr>
        <w:t>kg</w:t>
      </w:r>
      <w:r w:rsidRPr="00DF04D9">
        <w:rPr>
          <w:sz w:val="24"/>
          <w:szCs w:val="24"/>
          <w:vertAlign w:val="superscript"/>
        </w:rPr>
        <w:t>-1</w:t>
      </w:r>
      <w:proofErr w:type="gramEnd"/>
      <w:r w:rsidRPr="00DF04D9">
        <w:rPr>
          <w:sz w:val="24"/>
          <w:szCs w:val="24"/>
        </w:rPr>
        <w:t>, we only used N</w:t>
      </w:r>
      <w:r w:rsidRPr="00DF04D9">
        <w:rPr>
          <w:sz w:val="24"/>
          <w:szCs w:val="24"/>
          <w:vertAlign w:val="subscript"/>
        </w:rPr>
        <w:t>obs</w:t>
      </w:r>
      <w:r w:rsidRPr="00DF04D9">
        <w:rPr>
          <w:sz w:val="24"/>
          <w:szCs w:val="24"/>
        </w:rPr>
        <w:t xml:space="preserve"> data higher than this value. Although we used DO as a parameter to reflect the biological processes, DO in the surface mixed layer is directly affected by rapid air-sea exchange, which will have a significant impact on the regression; therefore, the observational data corresponding to the surface mixed layer were also removed. We defined the surface mixed layer as the w</w:t>
      </w:r>
      <w:r w:rsidRPr="00C566F9">
        <w:rPr>
          <w:sz w:val="24"/>
          <w:szCs w:val="24"/>
        </w:rPr>
        <w:t xml:space="preserve">ater depth within a temperature difference of 0.5 ºC from the surface temperature (ΔT ≤ 0.5ºC) </w:t>
      </w:r>
      <w:r w:rsidRPr="00C566F9">
        <w:rPr>
          <w:sz w:val="24"/>
          <w:szCs w:val="24"/>
        </w:rPr>
        <w:fldChar w:fldCharType="begin" w:fldLock="1"/>
      </w:r>
      <w:r w:rsidRPr="00C566F9">
        <w:rPr>
          <w:sz w:val="24"/>
          <w:szCs w:val="24"/>
        </w:rPr>
        <w:instrText>ADDIN CSL_CITATION {"citationItems":[{"id":"ITEM-1","itemData":{"DOI":"10.1029/2004JC002378","ISSN":"2169-9275","abstract":"A new 2 resolution global climatology of the mixed layer depth (MLD) based on individual profiles is constructed. Previous global climatologies have been based on temperature or density-gridded climatologies. The criterion selected is a threshold value of temperature or density from a near-surface value at 10 m depth (ΔT = 0.2C or Δσ = 0.03 kg m3). A validation of the temperature criterion on moored time series data shows that the method is successful at following the base of the mixed layer. In particular, the first spring restratification is better captured than with a more commonly used larger criteria. In addition, we show that for a given 0.2C criterion, the MLD estimated from averaged profiles results in a shallow bias of 25% compared to the MLD estimated from individual profiles. A new global seasonal estimation of barrier layer thickness is also provided. An interesting result is the prevalence in mid- and high-latitude winter hemispheres of vertically density-compensated layers, creating an isopycnal but not mixed layer. Consequently, we propose an optimal estimate of MLD based on both temperature and density data. An independent validation of the maximum annual MLD with oxygen data shows that this oxygen estimate may be biased in regions of Ekman pumping or strong biological activity. Significant differences are shown compared to previous climatologies. The timing of the seasonal cycle of the mixed layer is shifted earlier in the year, and the maximum MLD captures finer structures and is shallower. These results are discussed in light of the different approaches and the choice of criterion.","author":[{"dropping-particle":"","family":"Boyer Montegut","given":"C.","non-dropping-particle":"de","parse-names":false,"suffix":""},{"dropping-particle":"","family":"Madec","given":"G.","non-dropping-particle":"","parse-names":false,"suffix":""},{"dropping-particle":"","family":"Fischer","given":"A. S.","non-dropping-particle":"","parse-names":false,"suffix":""},{"dropping-particle":"","family":"Lazar","given":"A.","non-dropping-particle":"","parse-names":false,"suffix":""},{"dropping-particle":"","family":"Iudicone","given":"D.","non-dropping-particle":"","parse-names":false,"suffix":""}],"container-title":"Journal of Geophysical Research-Oceans","id":"ITEM-1","issue":"C12","issued":{"date-parts":[["2004"]]},"title":"Mixed layer depth over the global ocean: An examination of profile data and a profile-based climatology","type":"article-journal","volume":"109"},"uris":["http://www.mendeley.com/documents/?uuid=593245cb-cb32-4d2d-be87-7d0a3469cfa3"]}],"mendeley":{"formattedCitation":"&lt;sup&gt;23&lt;/sup&gt;","plainTextFormattedCitation":"23","previouslyFormattedCitation":"&lt;sup&gt;23&lt;/sup&gt;"},"properties":{"noteIndex":0},"schema":"https://github.com/citation-style-language/schema/raw/master/csl-citation.json"}</w:instrText>
      </w:r>
      <w:r w:rsidRPr="00C566F9">
        <w:rPr>
          <w:sz w:val="24"/>
          <w:szCs w:val="24"/>
        </w:rPr>
        <w:fldChar w:fldCharType="separate"/>
      </w:r>
      <w:r w:rsidRPr="00C566F9">
        <w:rPr>
          <w:noProof/>
          <w:sz w:val="24"/>
          <w:szCs w:val="24"/>
          <w:vertAlign w:val="superscript"/>
        </w:rPr>
        <w:t>23</w:t>
      </w:r>
      <w:r w:rsidRPr="00C566F9">
        <w:rPr>
          <w:sz w:val="24"/>
          <w:szCs w:val="24"/>
        </w:rPr>
        <w:fldChar w:fldCharType="end"/>
      </w:r>
      <w:r w:rsidRPr="00C566F9">
        <w:rPr>
          <w:sz w:val="24"/>
          <w:szCs w:val="24"/>
        </w:rPr>
        <w:t>. In our study, the surface mixed layer had an average depth of ~60</w:t>
      </w:r>
      <w:r w:rsidR="00263A8D">
        <w:rPr>
          <w:sz w:val="24"/>
          <w:szCs w:val="24"/>
        </w:rPr>
        <w:t xml:space="preserve"> </w:t>
      </w:r>
      <w:r w:rsidRPr="00C566F9">
        <w:rPr>
          <w:sz w:val="24"/>
          <w:szCs w:val="24"/>
        </w:rPr>
        <w:t xml:space="preserve">m in the region of 30˚S south during 2000 to 2016, </w:t>
      </w:r>
      <w:r w:rsidR="00FB64FA" w:rsidRPr="00C566F9">
        <w:rPr>
          <w:sz w:val="24"/>
          <w:szCs w:val="24"/>
        </w:rPr>
        <w:t xml:space="preserve">along </w:t>
      </w:r>
      <w:r w:rsidRPr="00C566F9">
        <w:rPr>
          <w:sz w:val="24"/>
          <w:szCs w:val="24"/>
        </w:rPr>
        <w:t>with a few values deeper than 100</w:t>
      </w:r>
      <w:r w:rsidR="00263A8D">
        <w:rPr>
          <w:sz w:val="24"/>
          <w:szCs w:val="24"/>
        </w:rPr>
        <w:t xml:space="preserve"> </w:t>
      </w:r>
      <w:r w:rsidRPr="00C566F9">
        <w:rPr>
          <w:sz w:val="24"/>
          <w:szCs w:val="24"/>
        </w:rPr>
        <w:t xml:space="preserve">m </w:t>
      </w:r>
      <w:r w:rsidRPr="00C566F9">
        <w:rPr>
          <w:sz w:val="24"/>
          <w:szCs w:val="24"/>
          <w:lang w:eastAsia="zh-CN"/>
        </w:rPr>
        <w:t>encircled</w:t>
      </w:r>
      <w:r w:rsidRPr="00C566F9">
        <w:rPr>
          <w:rFonts w:hint="eastAsia"/>
          <w:sz w:val="24"/>
          <w:szCs w:val="24"/>
          <w:lang w:eastAsia="zh-CN"/>
        </w:rPr>
        <w:t xml:space="preserve"> </w:t>
      </w:r>
      <w:r w:rsidRPr="00C566F9">
        <w:rPr>
          <w:sz w:val="24"/>
          <w:szCs w:val="24"/>
        </w:rPr>
        <w:t xml:space="preserve">the Antarctic coastal region. The </w:t>
      </w:r>
      <w:r w:rsidRPr="00DF04D9">
        <w:rPr>
          <w:sz w:val="24"/>
          <w:szCs w:val="24"/>
        </w:rPr>
        <w:t xml:space="preserve">complex water mass composition of the SO posed great challenges to the parameterization construction. Through a series of comparative analyses, we found that the North Atlantic Deep Water (NADW) in the Northern Hemisphere and the </w:t>
      </w:r>
      <w:proofErr w:type="spellStart"/>
      <w:r w:rsidRPr="00DF04D9">
        <w:rPr>
          <w:sz w:val="24"/>
          <w:szCs w:val="24"/>
        </w:rPr>
        <w:t>Subantarctic</w:t>
      </w:r>
      <w:proofErr w:type="spellEnd"/>
      <w:r w:rsidRPr="00DF04D9">
        <w:rPr>
          <w:sz w:val="24"/>
          <w:szCs w:val="24"/>
        </w:rPr>
        <w:t xml:space="preserve"> Surface Water (SASW) north of 45°S showed significantly different characteristics of </w:t>
      </w:r>
      <w:r w:rsidRPr="00DF04D9">
        <w:rPr>
          <w:sz w:val="24"/>
          <w:szCs w:val="24"/>
          <w:lang w:eastAsia="ja-JP"/>
        </w:rPr>
        <w:t xml:space="preserve">T </w:t>
      </w:r>
      <w:r w:rsidRPr="00DF04D9">
        <w:rPr>
          <w:sz w:val="24"/>
          <w:szCs w:val="24"/>
        </w:rPr>
        <w:t xml:space="preserve">and S when compared with the water masses formed in the Antarctic </w:t>
      </w:r>
      <w:r w:rsidRPr="00DF04D9">
        <w:rPr>
          <w:sz w:val="24"/>
          <w:szCs w:val="24"/>
        </w:rPr>
        <w:fldChar w:fldCharType="begin" w:fldLock="1"/>
      </w:r>
      <w:r w:rsidRPr="00DF04D9">
        <w:rPr>
          <w:sz w:val="24"/>
          <w:szCs w:val="24"/>
        </w:rPr>
        <w:instrText>ADDIN CSL_CITATION {"citationItems":[{"id":"ITEM-1","itemData":{"DOI":"10.1016/b0-12-227090-8/00279-7","author":[{"dropping-particle":"","family":"Emery","given":"W.J.","non-dropping-particle":"","parse-names":false,"suffix":""}],"container-title":"Ocean circulation/Water Types and Water Masses","id":"ITEM-1","issued":{"date-parts":[["2003"]]},"page":"1556-1567","publisher":"University of Colorado, Boulder","publisher-place":"Boulder","title":"Water Types and Water Masses","type":"chapter"},"uris":["http://www.mendeley.com/documents/?uuid=886cb098-4379-418c-877d-cb831519e7b3"]}],"mendeley":{"formattedCitation":"&lt;sup&gt;24&lt;/sup&gt;","plainTextFormattedCitation":"24","previouslyFormattedCitation":"&lt;sup&gt;24&lt;/sup&gt;"},"properties":{"noteIndex":0},"schema":"https://github.com/citation-style-language/schema/raw/master/csl-citation.json"}</w:instrText>
      </w:r>
      <w:r w:rsidRPr="00DF04D9">
        <w:rPr>
          <w:sz w:val="24"/>
          <w:szCs w:val="24"/>
        </w:rPr>
        <w:fldChar w:fldCharType="separate"/>
      </w:r>
      <w:r w:rsidRPr="00DF04D9">
        <w:rPr>
          <w:noProof/>
          <w:sz w:val="24"/>
          <w:szCs w:val="24"/>
          <w:vertAlign w:val="superscript"/>
        </w:rPr>
        <w:t>24</w:t>
      </w:r>
      <w:r w:rsidRPr="00DF04D9">
        <w:rPr>
          <w:sz w:val="24"/>
          <w:szCs w:val="24"/>
        </w:rPr>
        <w:fldChar w:fldCharType="end"/>
      </w:r>
      <w:r w:rsidRPr="00DF04D9">
        <w:rPr>
          <w:sz w:val="24"/>
          <w:szCs w:val="24"/>
        </w:rPr>
        <w:t>. To improve the accuracy of the regression, these two water masses were also not considered for constructing the parameterization.</w:t>
      </w:r>
    </w:p>
    <w:bookmarkEnd w:id="3"/>
    <w:p w14:paraId="14D75451" w14:textId="75356B28" w:rsidR="00FD13B1" w:rsidRPr="00DF04D9" w:rsidRDefault="00FD13B1" w:rsidP="00FD13B1">
      <w:pPr>
        <w:spacing w:line="480" w:lineRule="auto"/>
        <w:ind w:leftChars="283" w:left="566" w:firstLineChars="257" w:firstLine="617"/>
        <w:jc w:val="both"/>
        <w:rPr>
          <w:rFonts w:eastAsia="ＭＳ 明朝"/>
          <w:sz w:val="24"/>
          <w:szCs w:val="24"/>
          <w:lang w:eastAsia="ja-JP"/>
        </w:rPr>
      </w:pPr>
      <w:r w:rsidRPr="00DF04D9">
        <w:rPr>
          <w:sz w:val="24"/>
          <w:szCs w:val="24"/>
        </w:rPr>
        <w:t xml:space="preserve">The </w:t>
      </w:r>
      <w:r w:rsidRPr="00DF04D9">
        <w:rPr>
          <w:i/>
          <w:iCs/>
          <w:sz w:val="24"/>
          <w:szCs w:val="24"/>
        </w:rPr>
        <w:t>F</w:t>
      </w:r>
      <w:r w:rsidRPr="00DF04D9">
        <w:rPr>
          <w:sz w:val="24"/>
          <w:szCs w:val="24"/>
        </w:rPr>
        <w:t xml:space="preserve">-test is generally employed to determine the usefulness of each parameter in a multiple linear regression. A parameter is considered significant if its </w:t>
      </w:r>
      <w:r w:rsidRPr="00DF04D9">
        <w:rPr>
          <w:i/>
          <w:iCs/>
          <w:sz w:val="24"/>
          <w:szCs w:val="24"/>
        </w:rPr>
        <w:t>F</w:t>
      </w:r>
      <w:r w:rsidRPr="00DF04D9">
        <w:rPr>
          <w:sz w:val="24"/>
          <w:szCs w:val="24"/>
        </w:rPr>
        <w:t xml:space="preserve"> value is greater than 2.4 </w:t>
      </w:r>
      <w:r w:rsidRPr="00DF04D9">
        <w:rPr>
          <w:sz w:val="24"/>
          <w:szCs w:val="24"/>
        </w:rPr>
        <w:fldChar w:fldCharType="begin" w:fldLock="1"/>
      </w:r>
      <w:r w:rsidRPr="00DF04D9">
        <w:rPr>
          <w:sz w:val="24"/>
          <w:szCs w:val="24"/>
        </w:rPr>
        <w:instrText>ADDIN CSL_CITATION {"citationItems":[{"id":"ITEM-1","itemData":{"ISBN":"9780127519661","author":[{"dropping-particle":"","family":"Wilks","given":"Daniel S.","non-dropping-particle":"","parse-names":false,"suffix":""}],"id":"ITEM-1","issued":{"date-parts":[["2011"]]},"publisher":"Academic Press,N.Y.","title":"Statistical methods in the atmospheric sciences","type":"book"},"uris":["http://www.mendeley.com/documents/?uuid=4b5f2d2e-c1ad-41c4-9195-2186c0f82e21"]}],"mendeley":{"formattedCitation":"&lt;sup&gt;25&lt;/sup&gt;","plainTextFormattedCitation":"25","previouslyFormattedCitation":"&lt;sup&gt;25&lt;/sup&gt;"},"properties":{"noteIndex":0},"schema":"https://github.com/citation-style-language/schema/raw/master/csl-citation.json"}</w:instrText>
      </w:r>
      <w:r w:rsidRPr="00DF04D9">
        <w:rPr>
          <w:sz w:val="24"/>
          <w:szCs w:val="24"/>
        </w:rPr>
        <w:fldChar w:fldCharType="separate"/>
      </w:r>
      <w:r w:rsidRPr="00DF04D9">
        <w:rPr>
          <w:noProof/>
          <w:sz w:val="24"/>
          <w:szCs w:val="24"/>
          <w:vertAlign w:val="superscript"/>
        </w:rPr>
        <w:t>25</w:t>
      </w:r>
      <w:r w:rsidRPr="00DF04D9">
        <w:rPr>
          <w:sz w:val="24"/>
          <w:szCs w:val="24"/>
        </w:rPr>
        <w:fldChar w:fldCharType="end"/>
      </w:r>
      <w:r w:rsidRPr="00DF04D9">
        <w:rPr>
          <w:sz w:val="24"/>
          <w:szCs w:val="24"/>
        </w:rPr>
        <w:t>. By constructing the predicted concentration of N (N</w:t>
      </w:r>
      <w:r w:rsidRPr="00DF04D9">
        <w:rPr>
          <w:sz w:val="24"/>
          <w:szCs w:val="24"/>
          <w:vertAlign w:val="subscript"/>
        </w:rPr>
        <w:t>p</w:t>
      </w:r>
      <w:r w:rsidRPr="00DF04D9">
        <w:rPr>
          <w:sz w:val="24"/>
          <w:szCs w:val="24"/>
        </w:rPr>
        <w:t>) in the SO (Eq</w:t>
      </w:r>
      <w:r w:rsidR="008B4B34">
        <w:rPr>
          <w:sz w:val="24"/>
          <w:szCs w:val="24"/>
        </w:rPr>
        <w:t>.</w:t>
      </w:r>
      <w:r w:rsidRPr="00DF04D9">
        <w:rPr>
          <w:sz w:val="24"/>
          <w:szCs w:val="24"/>
        </w:rPr>
        <w:t xml:space="preserve"> (1) and Fig. S2), </w:t>
      </w:r>
      <w:r w:rsidRPr="00DF04D9">
        <w:rPr>
          <w:sz w:val="24"/>
          <w:szCs w:val="24"/>
        </w:rPr>
        <w:lastRenderedPageBreak/>
        <w:t xml:space="preserve">T and </w:t>
      </w:r>
      <w:proofErr w:type="spellStart"/>
      <w:r w:rsidRPr="00DF04D9">
        <w:rPr>
          <w:sz w:val="24"/>
          <w:szCs w:val="24"/>
        </w:rPr>
        <w:t xml:space="preserve">S </w:t>
      </w:r>
      <w:proofErr w:type="spellEnd"/>
      <w:r w:rsidRPr="00DF04D9">
        <w:rPr>
          <w:sz w:val="24"/>
          <w:szCs w:val="24"/>
        </w:rPr>
        <w:t xml:space="preserve">have </w:t>
      </w:r>
      <w:r w:rsidRPr="00DF04D9">
        <w:rPr>
          <w:i/>
          <w:iCs/>
          <w:sz w:val="24"/>
          <w:szCs w:val="24"/>
        </w:rPr>
        <w:t>F</w:t>
      </w:r>
      <w:r w:rsidRPr="00DF04D9">
        <w:rPr>
          <w:sz w:val="24"/>
          <w:szCs w:val="24"/>
        </w:rPr>
        <w:t xml:space="preserve"> values of 1,426,953 and 213,532, respectively (Table S3). The increase in T and S results in decrease in N</w:t>
      </w:r>
      <w:r w:rsidRPr="00DF04D9">
        <w:rPr>
          <w:sz w:val="24"/>
          <w:szCs w:val="24"/>
          <w:vertAlign w:val="subscript"/>
        </w:rPr>
        <w:t>p</w:t>
      </w:r>
      <w:r w:rsidRPr="00DF04D9">
        <w:rPr>
          <w:sz w:val="24"/>
          <w:szCs w:val="24"/>
        </w:rPr>
        <w:t xml:space="preserve"> in Eq</w:t>
      </w:r>
      <w:r w:rsidR="008B4B34">
        <w:rPr>
          <w:sz w:val="24"/>
          <w:szCs w:val="24"/>
        </w:rPr>
        <w:t>.</w:t>
      </w:r>
      <w:r w:rsidRPr="00DF04D9">
        <w:rPr>
          <w:sz w:val="24"/>
          <w:szCs w:val="24"/>
        </w:rPr>
        <w:t xml:space="preserve"> (1), which is consistent with the stoichiometric relationship </w:t>
      </w:r>
      <w:r w:rsidRPr="00DF04D9">
        <w:rPr>
          <w:sz w:val="24"/>
          <w:szCs w:val="24"/>
          <w:lang w:eastAsia="ja-JP"/>
        </w:rPr>
        <w:t xml:space="preserve">among </w:t>
      </w:r>
      <w:r w:rsidRPr="00DF04D9">
        <w:rPr>
          <w:sz w:val="24"/>
          <w:szCs w:val="24"/>
        </w:rPr>
        <w:t>N, T and S in seawater</w:t>
      </w:r>
      <w:r w:rsidRPr="00DF04D9">
        <w:rPr>
          <w:sz w:val="24"/>
          <w:szCs w:val="24"/>
          <w:lang w:eastAsia="ja-JP"/>
        </w:rPr>
        <w:t xml:space="preserve"> </w:t>
      </w:r>
      <w:r w:rsidRPr="00DF04D9">
        <w:rPr>
          <w:sz w:val="24"/>
          <w:szCs w:val="24"/>
          <w:vertAlign w:val="superscript"/>
        </w:rPr>
        <w:fldChar w:fldCharType="begin" w:fldLock="1"/>
      </w:r>
      <w:r w:rsidRPr="00DF04D9">
        <w:rPr>
          <w:sz w:val="24"/>
          <w:szCs w:val="24"/>
          <w:vertAlign w:val="superscript"/>
        </w:rPr>
        <w:instrText>ADDIN CSL_CITATION {"citationItems":[{"id":"ITEM-1","itemData":{"DOI":"10.1029/2000jc000444","ISSN":"2169-9275","abstract":"[1] Nitrogen is the most broadly limiting factor for marine phytoplankton on ecological timescales. Nitrate, as the most oxidized inorganic species, plays a significant role in nitrogen availability based on nutrient flux to the euphotic zone from deeper waters, and is a major determinant of new production. Increased new production relates to higher trophic level abundance and to carbon dioxide drawdown from the atmosphere. The present work is the first stage in the development of a technique to generate a scaled index of nitrate availability in the surface waters of the global ocean using satellite-derived temperature data. The technique currently involves a fixed matrix of nitrate depletion temperatures (NDT) and remotely-sensed sea surface temperature (SST) from the monthly-averaged AVHRR Pathfinder series. The magnitude of the difference between these two temperatures at a given location indicates the degree of nitrate presence or absence. Graded monthly nitrate presence/absence maps over a 10-year period were created based on the size of the difference between these two temperatures. A 10-year average of these differences exhibits major nitrate distribution features similar to those observed in maps based on National Oceanic Data Center archived measurements. In contrast, monthly nitrate maps provide a unique and dynamic representation of nitrate availability in the global ocean. This nutrient monitoring capability based on remotely sensed data can contribute to the estimation of new production in the global ocean, improving management of various world fisheries and improving estimation of the atmospheric draw down of carbon dioxide, a major greenhouse gas.","author":[{"dropping-particle":"","family":"Switzer","given":"Anna C.","non-dropping-particle":"","parse-names":false,"suffix":""}],"container-title":"Journal of Geophysical Research","id":"ITEM-1","issue":"C8","issued":{"date-parts":[["2003"]]},"title":"Mapping nitrate in the global ocean using remotely sensed sea surface temperature","type":"article-journal","volume":"108"},"uris":["http://www.mendeley.com/documents/?uuid=e6c8033c-3be9-4810-967c-44e58d8806a3"]}],"mendeley":{"formattedCitation":"&lt;sup&gt;26&lt;/sup&gt;","plainTextFormattedCitation":"26","previouslyFormattedCitation":"&lt;sup&gt;26&lt;/sup&gt;"},"properties":{"noteIndex":0},"schema":"https://github.com/citation-style-language/schema/raw/master/csl-citation.json"}</w:instrText>
      </w:r>
      <w:r w:rsidRPr="00DF04D9">
        <w:rPr>
          <w:sz w:val="24"/>
          <w:szCs w:val="24"/>
          <w:vertAlign w:val="superscript"/>
        </w:rPr>
        <w:fldChar w:fldCharType="separate"/>
      </w:r>
      <w:r w:rsidRPr="00DF04D9">
        <w:rPr>
          <w:noProof/>
          <w:sz w:val="24"/>
          <w:szCs w:val="24"/>
          <w:vertAlign w:val="superscript"/>
        </w:rPr>
        <w:t>26</w:t>
      </w:r>
      <w:r w:rsidRPr="00DF04D9">
        <w:rPr>
          <w:sz w:val="24"/>
          <w:szCs w:val="24"/>
          <w:vertAlign w:val="superscript"/>
        </w:rPr>
        <w:fldChar w:fldCharType="end"/>
      </w:r>
      <w:r w:rsidRPr="00DF04D9">
        <w:rPr>
          <w:sz w:val="24"/>
          <w:szCs w:val="24"/>
          <w:vertAlign w:val="superscript"/>
        </w:rPr>
        <w:t>,</w:t>
      </w:r>
      <w:r w:rsidRPr="00DF04D9">
        <w:rPr>
          <w:sz w:val="24"/>
          <w:szCs w:val="24"/>
          <w:vertAlign w:val="superscript"/>
        </w:rPr>
        <w:fldChar w:fldCharType="begin" w:fldLock="1"/>
      </w:r>
      <w:r w:rsidRPr="00DF04D9">
        <w:rPr>
          <w:sz w:val="24"/>
          <w:szCs w:val="24"/>
          <w:vertAlign w:val="superscript"/>
        </w:rPr>
        <w:instrText>ADDIN CSL_CITATION {"citationItems":[{"id":"ITEM-1","itemData":{"ISBN":"0904175499","author":[{"dropping-particle":"","family":"Orsi, Alejandro H Whitworth, Thomas","given":"III","non-dropping-particle":"","parse-names":false,"suffix":""}],"id":"ITEM-1","issued":{"date-parts":[["2005"]]},"title":"WOCE Southern Ocean","type":"report","volume":"1"},"uris":["http://www.mendeley.com/documents/?uuid=62b1fb00-66b6-4194-b3c4-6264215b8bf9"]}],"mendeley":{"formattedCitation":"&lt;sup&gt;27&lt;/sup&gt;","plainTextFormattedCitation":"27","previouslyFormattedCitation":"&lt;sup&gt;27&lt;/sup&gt;"},"properties":{"noteIndex":0},"schema":"https://github.com/citation-style-language/schema/raw/master/csl-citation.json"}</w:instrText>
      </w:r>
      <w:r w:rsidRPr="00DF04D9">
        <w:rPr>
          <w:sz w:val="24"/>
          <w:szCs w:val="24"/>
          <w:vertAlign w:val="superscript"/>
        </w:rPr>
        <w:fldChar w:fldCharType="separate"/>
      </w:r>
      <w:r w:rsidRPr="00DF04D9">
        <w:rPr>
          <w:noProof/>
          <w:sz w:val="24"/>
          <w:szCs w:val="24"/>
          <w:vertAlign w:val="superscript"/>
        </w:rPr>
        <w:t>27</w:t>
      </w:r>
      <w:r w:rsidRPr="00DF04D9">
        <w:rPr>
          <w:sz w:val="24"/>
          <w:szCs w:val="24"/>
          <w:vertAlign w:val="superscript"/>
        </w:rPr>
        <w:fldChar w:fldCharType="end"/>
      </w:r>
      <w:r w:rsidRPr="00DF04D9">
        <w:rPr>
          <w:sz w:val="24"/>
          <w:szCs w:val="24"/>
        </w:rPr>
        <w:t>, indicating that T and S are significant for our regression. DO (O</w:t>
      </w:r>
      <w:r w:rsidRPr="00DF04D9">
        <w:rPr>
          <w:sz w:val="24"/>
          <w:szCs w:val="24"/>
          <w:vertAlign w:val="subscript"/>
        </w:rPr>
        <w:t>2</w:t>
      </w:r>
      <w:r w:rsidRPr="00DF04D9">
        <w:rPr>
          <w:sz w:val="24"/>
          <w:szCs w:val="24"/>
        </w:rPr>
        <w:t>), which has an</w:t>
      </w:r>
      <w:r w:rsidRPr="00DF04D9">
        <w:rPr>
          <w:i/>
          <w:iCs/>
          <w:sz w:val="24"/>
          <w:szCs w:val="24"/>
        </w:rPr>
        <w:t xml:space="preserve"> F</w:t>
      </w:r>
      <w:r w:rsidRPr="00DF04D9">
        <w:rPr>
          <w:sz w:val="24"/>
          <w:szCs w:val="24"/>
        </w:rPr>
        <w:t xml:space="preserve"> value of</w:t>
      </w:r>
      <w:r w:rsidRPr="00DF04D9">
        <w:rPr>
          <w:rFonts w:eastAsia="SimSun"/>
          <w:color w:val="212121"/>
          <w:sz w:val="24"/>
          <w:szCs w:val="24"/>
        </w:rPr>
        <w:t xml:space="preserve"> 903,91</w:t>
      </w:r>
      <w:r w:rsidRPr="00DF04D9">
        <w:rPr>
          <w:color w:val="212121"/>
          <w:sz w:val="24"/>
          <w:szCs w:val="24"/>
        </w:rPr>
        <w:t xml:space="preserve">7, also shows a negative correlation with N, reflecting the formation and consumption of N by primary production and respiration </w:t>
      </w:r>
      <w:r w:rsidRPr="00DF04D9">
        <w:rPr>
          <w:color w:val="212121"/>
          <w:sz w:val="24"/>
          <w:szCs w:val="24"/>
        </w:rPr>
        <w:fldChar w:fldCharType="begin" w:fldLock="1"/>
      </w:r>
      <w:r w:rsidRPr="00DF04D9">
        <w:rPr>
          <w:color w:val="212121"/>
          <w:sz w:val="24"/>
          <w:szCs w:val="24"/>
        </w:rPr>
        <w:instrText>ADDIN CSL_CITATION {"citationItems":[{"id":"ITEM-1","itemData":{"DOI":"10.1002/jgrc.20249","ISSN":"2169-9275","abstract":"The relationship between the biogeochemical major elements P/C/N/O in the world ocean has been recognized as being elusive. Here we demonstrate that this elusiveness is caused by the difficulty of separating waters of different origin. These difficulties are reduced if the potential temperature of the water is considered. We employ data obtained from the World Ocean Circulation Experiment Hydrographic Program of oxygen, nitrate, and phosphate. By stratifying these data with respect to potential temperature, clear regression lines emerge between oxygen and nitrate/phosphate. The correlation coefficients are -0.95 and -0.95, respectively. The advantage of using potential temperature (rather than potential or neutral density) comes about because of the strong dependency of oxygen saturation with respect to temperature. In most of the global ocean, the ratio of O2/P/N is found to be close to the Redfield ratio. The exception is colder waters originating in the nutrient-rich surface water of the Southern Ocean and North Pacific. From the data alone, it is difficult to determine whether the non-Redfield ratios are brought about by different stoichiometry or ocean mixing, but our results put strong constraints on mixing and the biogeochemistry in the global ocean. ©2013. American Geophysical Union. All Rights Reserved.","author":[{"dropping-particle":"","family":"Ishizu","given":"Miho","non-dropping-particle":"","parse-names":false,"suffix":""},{"dropping-particle":"","family":"Richards","given":"Kelvin J.","non-dropping-particle":"","parse-names":false,"suffix":""}],"container-title":"Journal of Geophysical Research-Oceans","id":"ITEM-1","issue":"7","issued":{"date-parts":[["2013"]]},"page":"3586-3594","title":"Relationship between oxygen, nitrate, and phosphate in the world ocean based on potential temperature","type":"article-journal","volume":"118"},"uris":["http://www.mendeley.com/documents/?uuid=6728134b-9080-40cf-aefa-f38af1a5a2dd"]}],"mendeley":{"formattedCitation":"&lt;sup&gt;28&lt;/sup&gt;","plainTextFormattedCitation":"28","previouslyFormattedCitation":"&lt;sup&gt;28&lt;/sup&gt;"},"properties":{"noteIndex":0},"schema":"https://github.com/citation-style-language/schema/raw/master/csl-citation.json"}</w:instrText>
      </w:r>
      <w:r w:rsidRPr="00DF04D9">
        <w:rPr>
          <w:color w:val="212121"/>
          <w:sz w:val="24"/>
          <w:szCs w:val="24"/>
        </w:rPr>
        <w:fldChar w:fldCharType="separate"/>
      </w:r>
      <w:r w:rsidRPr="00DF04D9">
        <w:rPr>
          <w:noProof/>
          <w:color w:val="212121"/>
          <w:sz w:val="24"/>
          <w:szCs w:val="24"/>
          <w:vertAlign w:val="superscript"/>
        </w:rPr>
        <w:t>28</w:t>
      </w:r>
      <w:r w:rsidRPr="00DF04D9">
        <w:rPr>
          <w:color w:val="212121"/>
          <w:sz w:val="24"/>
          <w:szCs w:val="24"/>
        </w:rPr>
        <w:fldChar w:fldCharType="end"/>
      </w:r>
      <w:r w:rsidRPr="00DF04D9">
        <w:rPr>
          <w:color w:val="212121"/>
          <w:sz w:val="24"/>
          <w:szCs w:val="24"/>
        </w:rPr>
        <w:t>. At depths below 400 m, the N/–O</w:t>
      </w:r>
      <w:r w:rsidRPr="00DF04D9">
        <w:rPr>
          <w:color w:val="212121"/>
          <w:sz w:val="24"/>
          <w:szCs w:val="24"/>
          <w:vertAlign w:val="subscript"/>
        </w:rPr>
        <w:t>2</w:t>
      </w:r>
      <w:r w:rsidRPr="00DF04D9">
        <w:rPr>
          <w:color w:val="212121"/>
          <w:sz w:val="24"/>
          <w:szCs w:val="24"/>
        </w:rPr>
        <w:t xml:space="preserve"> ratios of remineralization appear to be constant at 16 </w:t>
      </w:r>
      <w:r w:rsidRPr="00DF04D9">
        <w:rPr>
          <w:rFonts w:eastAsia="SimSun"/>
          <w:color w:val="212121"/>
          <w:sz w:val="24"/>
          <w:szCs w:val="24"/>
        </w:rPr>
        <w:t xml:space="preserve">± </w:t>
      </w:r>
      <w:r w:rsidRPr="00DF04D9">
        <w:rPr>
          <w:color w:val="212121"/>
          <w:sz w:val="24"/>
          <w:szCs w:val="24"/>
        </w:rPr>
        <w:t xml:space="preserve">1/170 </w:t>
      </w:r>
      <w:r w:rsidRPr="00DF04D9">
        <w:rPr>
          <w:rFonts w:eastAsia="SimSun"/>
          <w:color w:val="212121"/>
          <w:sz w:val="24"/>
          <w:szCs w:val="24"/>
        </w:rPr>
        <w:t xml:space="preserve">± </w:t>
      </w:r>
      <w:r w:rsidRPr="00DF04D9">
        <w:rPr>
          <w:color w:val="212121"/>
          <w:sz w:val="24"/>
          <w:szCs w:val="24"/>
        </w:rPr>
        <w:t xml:space="preserve">10 (= 16/170 = </w:t>
      </w:r>
      <w:r w:rsidRPr="00DF04D9">
        <w:rPr>
          <w:color w:val="212121"/>
          <w:sz w:val="24"/>
          <w:szCs w:val="24"/>
          <w:lang w:eastAsia="ja-JP"/>
        </w:rPr>
        <w:t>0.09)</w:t>
      </w:r>
      <w:r w:rsidRPr="00DF04D9">
        <w:rPr>
          <w:color w:val="212121"/>
          <w:sz w:val="24"/>
          <w:szCs w:val="24"/>
        </w:rPr>
        <w:t xml:space="preserve"> without considering denitrification (this ratio decreases to approximately 12 </w:t>
      </w:r>
      <w:r w:rsidRPr="00DF04D9">
        <w:rPr>
          <w:rFonts w:eastAsia="SimSun"/>
          <w:color w:val="212121"/>
          <w:sz w:val="24"/>
          <w:szCs w:val="24"/>
        </w:rPr>
        <w:t>± 2</w:t>
      </w:r>
      <w:r w:rsidRPr="00DF04D9">
        <w:rPr>
          <w:color w:val="212121"/>
          <w:sz w:val="24"/>
          <w:szCs w:val="24"/>
        </w:rPr>
        <w:t xml:space="preserve">/170 </w:t>
      </w:r>
      <w:r w:rsidRPr="00DF04D9">
        <w:rPr>
          <w:rFonts w:eastAsia="SimSun"/>
          <w:color w:val="212121"/>
          <w:sz w:val="24"/>
          <w:szCs w:val="24"/>
        </w:rPr>
        <w:t xml:space="preserve">± </w:t>
      </w:r>
      <w:r w:rsidRPr="00DF04D9">
        <w:rPr>
          <w:color w:val="212121"/>
          <w:sz w:val="24"/>
          <w:szCs w:val="24"/>
        </w:rPr>
        <w:t xml:space="preserve">10 (= 12/170 = </w:t>
      </w:r>
      <w:r w:rsidRPr="00DF04D9">
        <w:rPr>
          <w:color w:val="212121"/>
          <w:sz w:val="24"/>
          <w:szCs w:val="24"/>
          <w:lang w:eastAsia="ja-JP"/>
        </w:rPr>
        <w:t>0.07)</w:t>
      </w:r>
      <w:r w:rsidRPr="00DF04D9">
        <w:rPr>
          <w:color w:val="212121"/>
          <w:sz w:val="24"/>
          <w:szCs w:val="24"/>
        </w:rPr>
        <w:t xml:space="preserve"> when denitrification is considered)</w:t>
      </w:r>
      <w:r w:rsidRPr="00DF04D9">
        <w:rPr>
          <w:rFonts w:eastAsia="ＭＳ 明朝"/>
          <w:sz w:val="24"/>
          <w:szCs w:val="24"/>
          <w:lang w:eastAsia="ja-JP"/>
        </w:rPr>
        <w:t xml:space="preserve"> </w:t>
      </w:r>
      <w:r w:rsidRPr="00DF04D9">
        <w:rPr>
          <w:rFonts w:eastAsia="ＭＳ 明朝"/>
          <w:sz w:val="24"/>
          <w:szCs w:val="24"/>
          <w:lang w:eastAsia="ja-JP"/>
        </w:rPr>
        <w:fldChar w:fldCharType="begin" w:fldLock="1"/>
      </w:r>
      <w:r w:rsidRPr="00DF04D9">
        <w:rPr>
          <w:rFonts w:eastAsia="ＭＳ 明朝"/>
          <w:sz w:val="24"/>
          <w:szCs w:val="24"/>
          <w:lang w:eastAsia="ja-JP"/>
        </w:rPr>
        <w:instrText>ADDIN CSL_CITATION {"citationItems":[{"id":"ITEM-1","itemData":{"DOI":"10.1029/93GB03318","ISSN":"08866236","abstract":"Abstract. A nonlinear inverse method is applied to nutrient data upon approximately 20 neutral surfaces in each of the South Atlantic, Indian, and Pacific basins, between 400 and 4000 m depth. By accounting for the gradients in nutrients due to the mixing of \"preformed\" concentrations of the major water masses, the nutrient changes due to biological activity are examined, and the time-mean, basin-wide Redfield ratios calculated. It is found that the P/N/Corg/-O 2 ratios of nutrient regeneration between 400 and 4000 m (corrected for the effect of denitrification) are approximately constant with depth and basin, at a value of 1/16+1/117+14/170+10. These ratios agree with those of fresh organic matter, suggesting that the flux of organic material to the deep ocean may be dominated by fast-sinking matter produced by sporadic, high-productivity events. Sedimentary denitrification reduces the N/P utilization ratio to 12 + 2 between 1000 and 3000 m. In the Indian and Pacific basins the Corg/Cinorg regeneration ratio decreases from approximately 7 + 3 at 400 m to 3 + 1 at 1000 m and to 1 + 0.5 at 4000 m, suggesting a significant amount of calcium carbonate dissolution above the calcite lysoclines in the Indian and Pacific oceans","author":[{"dropping-particle":"","family":"Anderson","given":"Laurence A.","non-dropping-particle":"","parse-names":false,"suffix":""},{"dropping-particle":"","family":"Sarmiento","given":"Jorge L.","non-dropping-particle":"","parse-names":false,"suffix":""}],"container-title":"Global Biogeochemical Cycles","id":"ITEM-1","issue":"1","issued":{"date-parts":[["1994","3"]]},"page":"65-80","title":"Redfield ratios of remineralization determined by nutrient data analysis","type":"article-journal","volume":"8"},"uris":["http://www.mendeley.com/documents/?uuid=014c29bc-e552-4723-81ad-98d6e46534c1"]}],"mendeley":{"formattedCitation":"&lt;sup&gt;29&lt;/sup&gt;","plainTextFormattedCitation":"29","previouslyFormattedCitation":"&lt;sup&gt;29&lt;/sup&gt;"},"properties":{"noteIndex":0},"schema":"https://github.com/citation-style-language/schema/raw/master/csl-citation.json"}</w:instrText>
      </w:r>
      <w:r w:rsidRPr="00DF04D9">
        <w:rPr>
          <w:rFonts w:eastAsia="ＭＳ 明朝"/>
          <w:sz w:val="24"/>
          <w:szCs w:val="24"/>
          <w:lang w:eastAsia="ja-JP"/>
        </w:rPr>
        <w:fldChar w:fldCharType="separate"/>
      </w:r>
      <w:r w:rsidRPr="00DF04D9">
        <w:rPr>
          <w:rFonts w:eastAsia="ＭＳ 明朝"/>
          <w:noProof/>
          <w:sz w:val="24"/>
          <w:szCs w:val="24"/>
          <w:vertAlign w:val="superscript"/>
          <w:lang w:eastAsia="ja-JP"/>
        </w:rPr>
        <w:t>29</w:t>
      </w:r>
      <w:r w:rsidRPr="00DF04D9">
        <w:rPr>
          <w:rFonts w:eastAsia="ＭＳ 明朝"/>
          <w:sz w:val="24"/>
          <w:szCs w:val="24"/>
          <w:lang w:eastAsia="ja-JP"/>
        </w:rPr>
        <w:fldChar w:fldCharType="end"/>
      </w:r>
      <w:r w:rsidRPr="00DF04D9">
        <w:rPr>
          <w:color w:val="212121"/>
          <w:sz w:val="24"/>
          <w:szCs w:val="24"/>
        </w:rPr>
        <w:t>. In this study, the N/–O</w:t>
      </w:r>
      <w:r w:rsidRPr="00DF04D9">
        <w:rPr>
          <w:color w:val="212121"/>
          <w:sz w:val="24"/>
          <w:szCs w:val="24"/>
          <w:vertAlign w:val="subscript"/>
        </w:rPr>
        <w:t>2</w:t>
      </w:r>
      <w:r w:rsidRPr="00DF04D9">
        <w:rPr>
          <w:color w:val="212121"/>
          <w:sz w:val="24"/>
          <w:szCs w:val="24"/>
        </w:rPr>
        <w:t xml:space="preserve"> ratio was </w:t>
      </w:r>
      <w:r w:rsidRPr="00DF04D9">
        <w:rPr>
          <w:rFonts w:eastAsia="ＭＳ 明朝"/>
          <w:sz w:val="24"/>
          <w:szCs w:val="24"/>
          <w:lang w:eastAsia="ja-JP"/>
        </w:rPr>
        <w:t xml:space="preserve">0.09 (the regression coefficient for DO in </w:t>
      </w:r>
      <w:r w:rsidRPr="00263A8D">
        <w:rPr>
          <w:rFonts w:eastAsia="ＭＳ 明朝"/>
          <w:sz w:val="24"/>
          <w:szCs w:val="24"/>
          <w:lang w:eastAsia="ja-JP"/>
        </w:rPr>
        <w:t>Eq</w:t>
      </w:r>
      <w:r w:rsidR="00263A8D" w:rsidRPr="00263A8D">
        <w:rPr>
          <w:rFonts w:eastAsia="ＭＳ 明朝"/>
          <w:sz w:val="24"/>
          <w:szCs w:val="24"/>
          <w:lang w:eastAsia="ja-JP"/>
        </w:rPr>
        <w:t>.</w:t>
      </w:r>
      <w:r w:rsidRPr="00263A8D">
        <w:rPr>
          <w:rFonts w:eastAsia="ＭＳ 明朝"/>
          <w:sz w:val="24"/>
          <w:szCs w:val="24"/>
          <w:lang w:eastAsia="ja-JP"/>
        </w:rPr>
        <w:t xml:space="preserve"> (1))</w:t>
      </w:r>
      <w:r w:rsidRPr="00DF04D9">
        <w:rPr>
          <w:rFonts w:eastAsia="ＭＳ 明朝"/>
          <w:sz w:val="24"/>
          <w:szCs w:val="24"/>
          <w:lang w:eastAsia="ja-JP"/>
        </w:rPr>
        <w:t>, indicating that denitrification was not included in our predictio</w:t>
      </w:r>
      <w:r w:rsidRPr="00C566F9">
        <w:rPr>
          <w:rFonts w:eastAsia="ＭＳ 明朝"/>
          <w:sz w:val="24"/>
          <w:szCs w:val="24"/>
          <w:lang w:eastAsia="ja-JP"/>
        </w:rPr>
        <w:t>n.</w:t>
      </w:r>
      <w:r w:rsidRPr="00C566F9">
        <w:rPr>
          <w:sz w:val="24"/>
          <w:szCs w:val="24"/>
        </w:rPr>
        <w:t xml:space="preserve"> </w:t>
      </w:r>
      <w:r w:rsidR="007A24F5" w:rsidRPr="00C566F9">
        <w:rPr>
          <w:sz w:val="24"/>
          <w:szCs w:val="24"/>
        </w:rPr>
        <w:t>Standardized regression coefficients</w:t>
      </w:r>
      <w:r w:rsidR="008166A6" w:rsidRPr="00C566F9">
        <w:rPr>
          <w:sz w:val="24"/>
          <w:szCs w:val="24"/>
        </w:rPr>
        <w:t xml:space="preserve"> (</w:t>
      </w:r>
      <w:r w:rsidR="008166A6" w:rsidRPr="00C566F9">
        <w:rPr>
          <w:rFonts w:ascii="Times" w:hAnsi="Times"/>
          <w:sz w:val="24"/>
          <w:szCs w:val="24"/>
        </w:rPr>
        <w:t>β</w:t>
      </w:r>
      <w:r w:rsidR="008166A6" w:rsidRPr="00C566F9">
        <w:rPr>
          <w:sz w:val="24"/>
          <w:szCs w:val="24"/>
        </w:rPr>
        <w:t>)</w:t>
      </w:r>
      <w:r w:rsidR="007A24F5" w:rsidRPr="00C566F9">
        <w:rPr>
          <w:sz w:val="24"/>
          <w:szCs w:val="24"/>
        </w:rPr>
        <w:t xml:space="preserve"> were given to compare the contribution to N</w:t>
      </w:r>
      <w:r w:rsidR="007A24F5" w:rsidRPr="00C566F9">
        <w:rPr>
          <w:sz w:val="24"/>
          <w:szCs w:val="24"/>
          <w:vertAlign w:val="subscript"/>
        </w:rPr>
        <w:t>p</w:t>
      </w:r>
      <w:r w:rsidR="007A24F5" w:rsidRPr="00C566F9">
        <w:rPr>
          <w:sz w:val="24"/>
          <w:szCs w:val="24"/>
        </w:rPr>
        <w:t xml:space="preserve"> of </w:t>
      </w:r>
      <w:r w:rsidR="008166A6" w:rsidRPr="00C566F9">
        <w:rPr>
          <w:sz w:val="24"/>
          <w:szCs w:val="24"/>
        </w:rPr>
        <w:t>each parameter. The closer the absolute value is to 1, the greater the contribution of the parameter is.</w:t>
      </w:r>
      <w:r w:rsidR="006D1426" w:rsidRPr="00C566F9">
        <w:rPr>
          <w:sz w:val="24"/>
          <w:szCs w:val="24"/>
        </w:rPr>
        <w:t xml:space="preserve"> Therefore, N</w:t>
      </w:r>
      <w:r w:rsidR="006D1426" w:rsidRPr="00C566F9">
        <w:rPr>
          <w:sz w:val="24"/>
          <w:szCs w:val="24"/>
          <w:vertAlign w:val="subscript"/>
        </w:rPr>
        <w:t>p</w:t>
      </w:r>
      <w:r w:rsidR="006D1426" w:rsidRPr="00C566F9">
        <w:rPr>
          <w:sz w:val="24"/>
          <w:szCs w:val="24"/>
        </w:rPr>
        <w:t xml:space="preserve"> was mainly controlled by T and DO in th</w:t>
      </w:r>
      <w:r w:rsidR="00E96C70" w:rsidRPr="00C566F9">
        <w:rPr>
          <w:sz w:val="24"/>
          <w:szCs w:val="24"/>
        </w:rPr>
        <w:t>i</w:t>
      </w:r>
      <w:r w:rsidR="006D1426" w:rsidRPr="00C566F9">
        <w:rPr>
          <w:sz w:val="24"/>
          <w:szCs w:val="24"/>
        </w:rPr>
        <w:t>s st</w:t>
      </w:r>
      <w:r w:rsidR="00E96C70" w:rsidRPr="00C566F9">
        <w:rPr>
          <w:sz w:val="24"/>
          <w:szCs w:val="24"/>
        </w:rPr>
        <w:t>u</w:t>
      </w:r>
      <w:r w:rsidR="006D1426" w:rsidRPr="00C566F9">
        <w:rPr>
          <w:sz w:val="24"/>
          <w:szCs w:val="24"/>
        </w:rPr>
        <w:t xml:space="preserve">dy. </w:t>
      </w:r>
      <w:r w:rsidRPr="00C566F9">
        <w:rPr>
          <w:sz w:val="24"/>
          <w:szCs w:val="24"/>
        </w:rPr>
        <w:t>We also inv</w:t>
      </w:r>
      <w:r w:rsidRPr="00DF04D9">
        <w:rPr>
          <w:sz w:val="24"/>
          <w:szCs w:val="24"/>
        </w:rPr>
        <w:t xml:space="preserve">estigated the presence of multicollinearity between variables by the variance inflation factor (VIF) (Fig. S3) and found that there was no multicollinearity in our parameterization. Generally, the variable is independent when the VIF is lower than 10 </w:t>
      </w:r>
      <w:r w:rsidRPr="00DF04D9">
        <w:rPr>
          <w:sz w:val="24"/>
          <w:szCs w:val="24"/>
        </w:rPr>
        <w:fldChar w:fldCharType="begin" w:fldLock="1"/>
      </w:r>
      <w:r w:rsidRPr="00DF04D9">
        <w:rPr>
          <w:sz w:val="24"/>
          <w:szCs w:val="24"/>
        </w:rPr>
        <w:instrText>ADDIN CSL_CITATION {"citationItems":[{"id":"ITEM-1","itemData":{"ISBN":"9780127519661","author":[{"dropping-particle":"","family":"Wilks","given":"Daniel S.","non-dropping-particle":"","parse-names":false,"suffix":""}],"id":"ITEM-1","issued":{"date-parts":[["2011"]]},"publisher":"Academic Press,N.Y.","title":"Statistical methods in the atmospheric sciences","type":"book"},"uris":["http://www.mendeley.com/documents/?uuid=4b5f2d2e-c1ad-41c4-9195-2186c0f82e21"]}],"mendeley":{"formattedCitation":"&lt;sup&gt;25&lt;/sup&gt;","plainTextFormattedCitation":"25","previouslyFormattedCitation":"&lt;sup&gt;25&lt;/sup&gt;"},"properties":{"noteIndex":0},"schema":"https://github.com/citation-style-language/schema/raw/master/csl-citation.json"}</w:instrText>
      </w:r>
      <w:r w:rsidRPr="00DF04D9">
        <w:rPr>
          <w:sz w:val="24"/>
          <w:szCs w:val="24"/>
        </w:rPr>
        <w:fldChar w:fldCharType="separate"/>
      </w:r>
      <w:r w:rsidRPr="00DF04D9">
        <w:rPr>
          <w:noProof/>
          <w:sz w:val="24"/>
          <w:szCs w:val="24"/>
          <w:vertAlign w:val="superscript"/>
        </w:rPr>
        <w:t>25</w:t>
      </w:r>
      <w:r w:rsidRPr="00DF04D9">
        <w:rPr>
          <w:sz w:val="24"/>
          <w:szCs w:val="24"/>
        </w:rPr>
        <w:fldChar w:fldCharType="end"/>
      </w:r>
      <w:r w:rsidRPr="00DF04D9">
        <w:rPr>
          <w:sz w:val="24"/>
          <w:szCs w:val="24"/>
        </w:rPr>
        <w:t xml:space="preserve">. </w:t>
      </w:r>
    </w:p>
    <w:p w14:paraId="23CA54E9" w14:textId="77777777" w:rsidR="00FD13B1" w:rsidRPr="00DF04D9" w:rsidRDefault="00FD13B1" w:rsidP="00FD13B1">
      <w:pPr>
        <w:spacing w:line="480" w:lineRule="auto"/>
        <w:ind w:leftChars="283" w:left="566" w:firstLineChars="177" w:firstLine="425"/>
        <w:jc w:val="both"/>
        <w:rPr>
          <w:rFonts w:eastAsia="Times New Roman"/>
          <w:bCs/>
          <w:sz w:val="24"/>
          <w:szCs w:val="24"/>
        </w:rPr>
      </w:pPr>
      <w:r w:rsidRPr="00DF04D9">
        <w:rPr>
          <w:rFonts w:eastAsia="SimSun"/>
          <w:sz w:val="24"/>
          <w:szCs w:val="24"/>
        </w:rPr>
        <w:t>We used independent datasets to confirm the accuracy of our parameterization. We chose</w:t>
      </w:r>
      <w:r w:rsidRPr="00DF04D9">
        <w:rPr>
          <w:rFonts w:eastAsia="SimSun"/>
          <w:sz w:val="24"/>
          <w:szCs w:val="24"/>
          <w:lang w:eastAsia="ja-JP"/>
        </w:rPr>
        <w:t xml:space="preserve"> </w:t>
      </w:r>
      <w:r w:rsidRPr="00DF04D9">
        <w:rPr>
          <w:rFonts w:eastAsia="SimSun"/>
          <w:sz w:val="24"/>
          <w:szCs w:val="24"/>
        </w:rPr>
        <w:t xml:space="preserve">WOCE lines P16 (2014), I08 (2007), and A12 (2014), which covered the three main sectors of the SO. </w:t>
      </w:r>
      <w:r w:rsidRPr="00DF04D9">
        <w:rPr>
          <w:rFonts w:eastAsia="SimSun"/>
          <w:bCs/>
          <w:sz w:val="24"/>
          <w:szCs w:val="24"/>
        </w:rPr>
        <w:t>Differences between N</w:t>
      </w:r>
      <w:r w:rsidRPr="00DF04D9">
        <w:rPr>
          <w:rFonts w:eastAsia="SimSun"/>
          <w:bCs/>
          <w:sz w:val="24"/>
          <w:szCs w:val="24"/>
          <w:vertAlign w:val="subscript"/>
        </w:rPr>
        <w:t>obs</w:t>
      </w:r>
      <w:r w:rsidRPr="00DF04D9">
        <w:rPr>
          <w:rFonts w:eastAsia="SimSun"/>
          <w:bCs/>
          <w:sz w:val="24"/>
          <w:szCs w:val="24"/>
        </w:rPr>
        <w:t xml:space="preserve"> and N</w:t>
      </w:r>
      <w:r w:rsidRPr="00DF04D9">
        <w:rPr>
          <w:rFonts w:eastAsia="SimSun"/>
          <w:bCs/>
          <w:sz w:val="24"/>
          <w:szCs w:val="24"/>
          <w:vertAlign w:val="subscript"/>
        </w:rPr>
        <w:t>p</w:t>
      </w:r>
      <w:r w:rsidRPr="00DF04D9">
        <w:rPr>
          <w:rFonts w:eastAsia="SimSun"/>
          <w:bCs/>
          <w:sz w:val="24"/>
          <w:szCs w:val="24"/>
        </w:rPr>
        <w:t xml:space="preserve"> for each sector (Fig. S3</w:t>
      </w:r>
      <w:r w:rsidRPr="00DF04D9">
        <w:rPr>
          <w:rFonts w:eastAsia="SimSun"/>
          <w:bCs/>
          <w:sz w:val="24"/>
          <w:szCs w:val="24"/>
          <w:lang w:eastAsia="ja-JP"/>
        </w:rPr>
        <w:t xml:space="preserve"> and </w:t>
      </w:r>
      <w:r w:rsidRPr="00DF04D9">
        <w:rPr>
          <w:rFonts w:eastAsia="SimSun" w:hint="eastAsia"/>
          <w:bCs/>
          <w:sz w:val="24"/>
          <w:szCs w:val="24"/>
          <w:lang w:eastAsia="ja-JP"/>
        </w:rPr>
        <w:t>T</w:t>
      </w:r>
      <w:r w:rsidRPr="00DF04D9">
        <w:rPr>
          <w:rFonts w:eastAsia="SimSun"/>
          <w:bCs/>
          <w:sz w:val="24"/>
          <w:szCs w:val="24"/>
        </w:rPr>
        <w:t xml:space="preserve">able S4) showed good agreements in the Pacific sector and the Indian sector. </w:t>
      </w:r>
      <w:r w:rsidRPr="00DF04D9">
        <w:rPr>
          <w:rFonts w:eastAsia="Times New Roman"/>
          <w:bCs/>
          <w:sz w:val="24"/>
          <w:szCs w:val="24"/>
        </w:rPr>
        <w:t xml:space="preserve">Deep water of the Atlantic Ocean (~2000 m) showed an obvious difference, which was probably caused by the movement of the anoxic water mass in the eastern tropical South Atlantic into the SO as North Atlantic Deep Water (NADW) </w:t>
      </w:r>
      <w:r w:rsidRPr="00DF04D9">
        <w:rPr>
          <w:rFonts w:eastAsia="Times New Roman"/>
          <w:bCs/>
          <w:sz w:val="24"/>
          <w:szCs w:val="24"/>
        </w:rPr>
        <w:fldChar w:fldCharType="begin" w:fldLock="1"/>
      </w:r>
      <w:r w:rsidRPr="00DF04D9">
        <w:rPr>
          <w:rFonts w:eastAsia="Times New Roman"/>
          <w:bCs/>
          <w:sz w:val="24"/>
          <w:szCs w:val="24"/>
        </w:rPr>
        <w:instrText>ADDIN CSL_CITATION {"citationItems":[{"id":"ITEM-1","itemData":{"DOI":"10.1016/j.dsr.2010.01.005","ISSN":"0967-0637","abstract":"Climate models with biogeochemical components predict declines in oceanic dissolved oxygen with global warming. In coastal regimes oxygen deficits represent acute ecosystem perturbations. Here, we estimate dissolved oxygen differences across the global tropical and subtropical oceans within the oxygen minimum zone (200-700-dbar depth) between 1960-1974 (an early period with reliable data) and 1990-2008 (a recent period capturing ocean response to planetary warming). In most regions of the tropical Pacific, Atlantic, and Indian Oceans the oxygen content in the 200-700-dbar layer has declined. Furthermore, at 200 dbar, the area with O2 &lt;70 μmol kg-1, where some large mobile macro-organisms are unable to abide, has increased by 4.5 million km2. The tropical low oxygen zones have expanded horizontally and vertically. Subsurface oxygen has decreased adjacent to most continental shelves. However, oxygen has increased in some regions in the subtropical gyres at the depths analyzed. According to literature discussed below, fishing pressure is strong in the open ocean, which may make it difficult to isolate the impact of declining oxygen on fisheries. At shallower depths we predict habitat compression will occur for hypoxia-intolerant taxa, with eventual loss of biodiversity. Should past trends in observed oxygen differences continue into the future, shifts in animal distributions and changes in ecosystem structure could accelerate. © 2010 Elsevier Ltd.","author":[{"dropping-particle":"","family":"Stramma","given":"Lothar","non-dropping-particle":"","parse-names":false,"suffix":""},{"dropping-particle":"","family":"Schmidtko","given":"Sunke","non-dropping-particle":"","parse-names":false,"suffix":""},{"dropping-particle":"","family":"Levin","given":"Lisa A.","non-dropping-particle":"","parse-names":false,"suffix":""},{"dropping-particle":"","family":"Johnson","given":"Gregory C.","non-dropping-particle":"","parse-names":false,"suffix":""}],"container-title":"Deep-Sea Research Part I: Oceanographic Research Papers","id":"ITEM-1","issue":"4","issued":{"date-parts":[["2010"]]},"page":"587-595","publisher":"Elsevier","title":"Ocean oxygen minima expansions and their biological impacts","type":"article-journal","volume":"57"},"uris":["http://www.mendeley.com/documents/?uuid=85a85ebd-9f4a-43b4-9c85-3b3856163b40"]}],"mendeley":{"formattedCitation":"&lt;sup&gt;30&lt;/sup&gt;","plainTextFormattedCitation":"30","previouslyFormattedCitation":"&lt;sup&gt;30&lt;/sup&gt;"},"properties":{"noteIndex":0},"schema":"https://github.com/citation-style-language/schema/raw/master/csl-citation.json"}</w:instrText>
      </w:r>
      <w:r w:rsidRPr="00DF04D9">
        <w:rPr>
          <w:rFonts w:eastAsia="Times New Roman"/>
          <w:bCs/>
          <w:sz w:val="24"/>
          <w:szCs w:val="24"/>
        </w:rPr>
        <w:fldChar w:fldCharType="separate"/>
      </w:r>
      <w:r w:rsidRPr="00DF04D9">
        <w:rPr>
          <w:rFonts w:eastAsia="Times New Roman"/>
          <w:bCs/>
          <w:noProof/>
          <w:sz w:val="24"/>
          <w:szCs w:val="24"/>
          <w:vertAlign w:val="superscript"/>
        </w:rPr>
        <w:t>30</w:t>
      </w:r>
      <w:r w:rsidRPr="00DF04D9">
        <w:rPr>
          <w:rFonts w:eastAsia="Times New Roman"/>
          <w:bCs/>
          <w:sz w:val="24"/>
          <w:szCs w:val="24"/>
        </w:rPr>
        <w:fldChar w:fldCharType="end"/>
      </w:r>
      <w:r w:rsidRPr="00DF04D9">
        <w:rPr>
          <w:rFonts w:eastAsia="Times New Roman"/>
          <w:bCs/>
          <w:sz w:val="24"/>
          <w:szCs w:val="24"/>
        </w:rPr>
        <w:t xml:space="preserve">. The mean absolute deviations (MAD) of the differences in the Pacific, Indian, and Atlantic sectors were 0.37, 0.47, and 0.64 </w:t>
      </w:r>
      <w:r w:rsidRPr="00DF04D9">
        <w:rPr>
          <w:rFonts w:eastAsia="SimSun"/>
          <w:color w:val="000000" w:themeColor="text1"/>
          <w:sz w:val="22"/>
          <w:szCs w:val="22"/>
        </w:rPr>
        <w:t>µ</w:t>
      </w:r>
      <w:r w:rsidRPr="00DF04D9">
        <w:rPr>
          <w:rFonts w:eastAsia="Times New Roman"/>
          <w:bCs/>
          <w:sz w:val="24"/>
          <w:szCs w:val="24"/>
        </w:rPr>
        <w:t xml:space="preserve">mol </w:t>
      </w:r>
      <w:proofErr w:type="gramStart"/>
      <w:r w:rsidRPr="00DF04D9">
        <w:rPr>
          <w:rFonts w:eastAsia="Times New Roman"/>
          <w:bCs/>
          <w:sz w:val="24"/>
          <w:szCs w:val="24"/>
        </w:rPr>
        <w:t>kg</w:t>
      </w:r>
      <w:r w:rsidRPr="00DF04D9">
        <w:rPr>
          <w:rFonts w:eastAsia="Times New Roman"/>
          <w:bCs/>
          <w:sz w:val="24"/>
          <w:szCs w:val="24"/>
          <w:vertAlign w:val="superscript"/>
        </w:rPr>
        <w:t>-1</w:t>
      </w:r>
      <w:proofErr w:type="gramEnd"/>
      <w:r w:rsidRPr="00DF04D9">
        <w:rPr>
          <w:rFonts w:eastAsia="Times New Roman"/>
          <w:bCs/>
          <w:sz w:val="24"/>
          <w:szCs w:val="24"/>
        </w:rPr>
        <w:t>, respectively (</w:t>
      </w:r>
      <w:r w:rsidRPr="00DF04D9">
        <w:rPr>
          <w:rFonts w:eastAsia="SimSun"/>
          <w:bCs/>
          <w:sz w:val="24"/>
          <w:szCs w:val="24"/>
        </w:rPr>
        <w:t xml:space="preserve">Table </w:t>
      </w:r>
      <w:r w:rsidRPr="00DF04D9">
        <w:rPr>
          <w:rFonts w:eastAsia="SimSun"/>
          <w:bCs/>
          <w:sz w:val="24"/>
          <w:szCs w:val="24"/>
        </w:rPr>
        <w:lastRenderedPageBreak/>
        <w:t>S4</w:t>
      </w:r>
      <w:r w:rsidRPr="00DF04D9">
        <w:rPr>
          <w:rFonts w:eastAsia="Times New Roman"/>
          <w:bCs/>
          <w:sz w:val="24"/>
          <w:szCs w:val="24"/>
        </w:rPr>
        <w:t>). On comparing with the RMSE of our parameterization, these errors are acceptable in these three independent datasets.</w:t>
      </w:r>
    </w:p>
    <w:p w14:paraId="24282BF0" w14:textId="77777777" w:rsidR="00FD13B1" w:rsidRPr="00C57AD2" w:rsidRDefault="00FD13B1" w:rsidP="00FD13B1">
      <w:pPr>
        <w:spacing w:line="480" w:lineRule="auto"/>
        <w:jc w:val="both"/>
        <w:rPr>
          <w:rFonts w:eastAsia="Times New Roman"/>
          <w:b/>
          <w:bCs/>
          <w:sz w:val="24"/>
          <w:szCs w:val="24"/>
        </w:rPr>
      </w:pPr>
      <w:r w:rsidRPr="00C57AD2">
        <w:rPr>
          <w:rFonts w:eastAsia="Times New Roman"/>
          <w:b/>
          <w:bCs/>
          <w:sz w:val="24"/>
          <w:szCs w:val="24"/>
        </w:rPr>
        <w:tab/>
      </w:r>
    </w:p>
    <w:p w14:paraId="342A5FFE" w14:textId="77777777" w:rsidR="00FD13B1" w:rsidRPr="00C57AD2" w:rsidRDefault="00FD13B1" w:rsidP="00FD13B1">
      <w:pPr>
        <w:spacing w:line="480" w:lineRule="auto"/>
        <w:ind w:firstLine="566"/>
        <w:rPr>
          <w:b/>
          <w:bCs/>
          <w:sz w:val="24"/>
          <w:szCs w:val="24"/>
        </w:rPr>
      </w:pPr>
      <w:bookmarkStart w:id="4" w:name="_Hlk22124957"/>
      <w:r w:rsidRPr="00C57AD2">
        <w:rPr>
          <w:b/>
          <w:bCs/>
          <w:sz w:val="24"/>
          <w:szCs w:val="24"/>
        </w:rPr>
        <w:t xml:space="preserve">Supplementary Text S3. </w:t>
      </w:r>
    </w:p>
    <w:p w14:paraId="58B169E4" w14:textId="77777777" w:rsidR="00FD13B1" w:rsidRPr="00C566F9" w:rsidRDefault="00FD13B1" w:rsidP="00FD13B1">
      <w:pPr>
        <w:spacing w:line="480" w:lineRule="auto"/>
        <w:ind w:firstLine="566"/>
        <w:rPr>
          <w:b/>
          <w:bCs/>
          <w:sz w:val="24"/>
          <w:szCs w:val="24"/>
        </w:rPr>
      </w:pPr>
      <w:r w:rsidRPr="00C566F9">
        <w:rPr>
          <w:b/>
          <w:bCs/>
          <w:sz w:val="24"/>
          <w:szCs w:val="24"/>
        </w:rPr>
        <w:t>Method: Gridding of data</w:t>
      </w:r>
    </w:p>
    <w:p w14:paraId="293828C5" w14:textId="1011B5CA" w:rsidR="00FD13B1" w:rsidRPr="00DF04D9" w:rsidRDefault="00FD13B1" w:rsidP="00FD13B1">
      <w:pPr>
        <w:spacing w:line="480" w:lineRule="auto"/>
        <w:ind w:leftChars="283" w:left="566" w:firstLineChars="177" w:firstLine="425"/>
        <w:jc w:val="both"/>
        <w:rPr>
          <w:sz w:val="24"/>
          <w:szCs w:val="24"/>
        </w:rPr>
      </w:pPr>
      <w:r w:rsidRPr="00DF04D9">
        <w:rPr>
          <w:sz w:val="24"/>
          <w:szCs w:val="24"/>
        </w:rPr>
        <w:t>We used the weighted-average method provided by the Ocean Data View (ODV) software to interpolate our data onto a common grid (</w:t>
      </w:r>
      <w:r w:rsidRPr="00DF04D9">
        <w:rPr>
          <w:i/>
          <w:iCs/>
          <w:sz w:val="24"/>
          <w:szCs w:val="24"/>
        </w:rPr>
        <w:t>c.f. Ocean Data View User’s Guide Version 5.2.</w:t>
      </w:r>
      <w:r w:rsidR="008B4B34">
        <w:rPr>
          <w:i/>
          <w:iCs/>
          <w:sz w:val="24"/>
          <w:szCs w:val="24"/>
        </w:rPr>
        <w:t>1</w:t>
      </w:r>
      <w:r w:rsidRPr="00DF04D9">
        <w:rPr>
          <w:i/>
          <w:iCs/>
          <w:sz w:val="24"/>
          <w:szCs w:val="24"/>
        </w:rPr>
        <w:t>, 16.6.1,</w:t>
      </w:r>
      <w:r w:rsidRPr="00DF04D9">
        <w:rPr>
          <w:rFonts w:eastAsia="ＭＳ 明朝"/>
          <w:sz w:val="24"/>
          <w:szCs w:val="24"/>
          <w:lang w:eastAsia="ja-JP"/>
        </w:rPr>
        <w:t xml:space="preserve"> </w:t>
      </w:r>
      <w:r w:rsidR="00263A8D" w:rsidRPr="008B4B34">
        <w:rPr>
          <w:rFonts w:eastAsia="ＭＳ 明朝"/>
          <w:sz w:val="24"/>
          <w:szCs w:val="24"/>
          <w:lang w:eastAsia="ja-JP"/>
        </w:rPr>
        <w:t>https://odv.awi.de/documentation/</w:t>
      </w:r>
      <w:r w:rsidRPr="00DF04D9">
        <w:rPr>
          <w:sz w:val="24"/>
          <w:szCs w:val="24"/>
        </w:rPr>
        <w:t>)</w:t>
      </w:r>
      <w:r w:rsidR="00263A8D" w:rsidRPr="008B4B34">
        <w:rPr>
          <w:sz w:val="24"/>
          <w:szCs w:val="24"/>
          <w:vertAlign w:val="superscript"/>
        </w:rPr>
        <w:t xml:space="preserve"> </w:t>
      </w:r>
      <w:r w:rsidR="00263A8D" w:rsidRPr="00263A8D">
        <w:rPr>
          <w:sz w:val="24"/>
          <w:szCs w:val="24"/>
          <w:vertAlign w:val="superscript"/>
        </w:rPr>
        <w:t>31</w:t>
      </w:r>
      <w:r w:rsidRPr="00DF04D9">
        <w:rPr>
          <w:sz w:val="24"/>
          <w:szCs w:val="24"/>
        </w:rPr>
        <w:t xml:space="preserve">. To achieve this, we first constructed grids over the SO. The resolution of the grid can be </w:t>
      </w:r>
      <w:r w:rsidRPr="00DF04D9">
        <w:rPr>
          <w:rFonts w:eastAsia="ＭＳ 明朝"/>
          <w:sz w:val="24"/>
          <w:szCs w:val="24"/>
          <w:lang w:eastAsia="ja-JP"/>
        </w:rPr>
        <w:t xml:space="preserve">assigned </w:t>
      </w:r>
      <w:r w:rsidRPr="00DF04D9">
        <w:rPr>
          <w:sz w:val="24"/>
          <w:szCs w:val="24"/>
        </w:rPr>
        <w:t>as per the requirement. In this study, the two-dimensional (2D) grid of cross sections was assigned a resolution of 0.5</w:t>
      </w:r>
      <w:r w:rsidRPr="00DF04D9">
        <w:rPr>
          <w:rFonts w:eastAsia="SimSun"/>
          <w:sz w:val="24"/>
          <w:szCs w:val="24"/>
        </w:rPr>
        <w:t xml:space="preserve">° </w:t>
      </w:r>
      <m:oMath>
        <m:r>
          <w:rPr>
            <w:rFonts w:ascii="Cambria Math" w:eastAsia="SimSun" w:hAnsi="Cambria Math"/>
            <w:sz w:val="24"/>
            <w:szCs w:val="24"/>
          </w:rPr>
          <m:t xml:space="preserve">× </m:t>
        </m:r>
      </m:oMath>
      <w:r w:rsidRPr="00DF04D9">
        <w:rPr>
          <w:sz w:val="24"/>
          <w:szCs w:val="24"/>
        </w:rPr>
        <w:t xml:space="preserve">10 m (latitude </w:t>
      </w:r>
      <m:oMath>
        <m:r>
          <w:rPr>
            <w:rFonts w:ascii="Cambria Math" w:eastAsia="SimSun" w:hAnsi="Cambria Math"/>
            <w:sz w:val="24"/>
            <w:szCs w:val="24"/>
          </w:rPr>
          <m:t xml:space="preserve">× </m:t>
        </m:r>
      </m:oMath>
      <w:r w:rsidRPr="00DF04D9">
        <w:rPr>
          <w:sz w:val="24"/>
          <w:szCs w:val="24"/>
        </w:rPr>
        <w:t>depth). The three-dimensional (3D) grid of the entire SO was constructed with a horizontal resolution of 1</w:t>
      </w:r>
      <w:r w:rsidRPr="00DF04D9">
        <w:rPr>
          <w:rFonts w:eastAsia="SimSun"/>
          <w:sz w:val="24"/>
          <w:szCs w:val="24"/>
        </w:rPr>
        <w:t xml:space="preserve">° </w:t>
      </w:r>
      <m:oMath>
        <m:r>
          <w:rPr>
            <w:rFonts w:ascii="Cambria Math" w:eastAsia="SimSun" w:hAnsi="Cambria Math"/>
            <w:sz w:val="24"/>
            <w:szCs w:val="24"/>
          </w:rPr>
          <m:t xml:space="preserve">× </m:t>
        </m:r>
      </m:oMath>
      <w:r w:rsidRPr="00DF04D9">
        <w:rPr>
          <w:sz w:val="24"/>
          <w:szCs w:val="24"/>
        </w:rPr>
        <w:t>1</w:t>
      </w:r>
      <w:r w:rsidRPr="00DF04D9">
        <w:rPr>
          <w:rFonts w:eastAsia="SimSun"/>
          <w:sz w:val="24"/>
          <w:szCs w:val="24"/>
        </w:rPr>
        <w:t xml:space="preserve">° </w:t>
      </w:r>
      <w:r w:rsidRPr="00DF04D9">
        <w:rPr>
          <w:sz w:val="24"/>
          <w:szCs w:val="24"/>
        </w:rPr>
        <w:t xml:space="preserve">(latitude </w:t>
      </w:r>
      <m:oMath>
        <m:r>
          <w:rPr>
            <w:rFonts w:ascii="Cambria Math" w:eastAsia="SimSun" w:hAnsi="Cambria Math"/>
            <w:sz w:val="24"/>
            <w:szCs w:val="24"/>
          </w:rPr>
          <m:t xml:space="preserve">× </m:t>
        </m:r>
      </m:oMath>
      <w:r w:rsidRPr="00DF04D9">
        <w:rPr>
          <w:sz w:val="24"/>
          <w:szCs w:val="24"/>
        </w:rPr>
        <w:t xml:space="preserve">longitude) </w:t>
      </w:r>
      <w:r w:rsidRPr="00DF04D9">
        <w:rPr>
          <w:rFonts w:eastAsia="SimSun"/>
          <w:sz w:val="24"/>
          <w:szCs w:val="24"/>
        </w:rPr>
        <w:t xml:space="preserve">and 43 layers with vertical resolution having </w:t>
      </w:r>
      <w:r w:rsidRPr="00DF04D9">
        <w:rPr>
          <w:sz w:val="24"/>
          <w:szCs w:val="24"/>
        </w:rPr>
        <w:t xml:space="preserve">50-m thickness from the surface to 500 m, 100-m thickness from 600 m to 1500 m, and 200-m thickness from 1700 m to the sea floor. </w:t>
      </w:r>
    </w:p>
    <w:p w14:paraId="6A80D858" w14:textId="162DBAE7" w:rsidR="00FD13B1" w:rsidRPr="00DF04D9" w:rsidRDefault="00FD13B1" w:rsidP="00FD13B1">
      <w:pPr>
        <w:spacing w:line="480" w:lineRule="auto"/>
        <w:ind w:leftChars="283" w:left="566" w:firstLineChars="177" w:firstLine="425"/>
        <w:jc w:val="both"/>
        <w:rPr>
          <w:sz w:val="24"/>
          <w:szCs w:val="24"/>
        </w:rPr>
      </w:pPr>
      <w:r w:rsidRPr="00DF04D9">
        <w:rPr>
          <w:sz w:val="24"/>
          <w:szCs w:val="24"/>
        </w:rPr>
        <w:t>After construction of the grid over the SO, the ODV allows us to use a simple weighted-averaging scheme to calculate the property estimation at every grid point (</w:t>
      </w:r>
      <w:r w:rsidRPr="00263A8D">
        <w:rPr>
          <w:sz w:val="24"/>
          <w:szCs w:val="24"/>
        </w:rPr>
        <w:t>Eq</w:t>
      </w:r>
      <w:r w:rsidR="00263A8D" w:rsidRPr="00263A8D">
        <w:rPr>
          <w:sz w:val="24"/>
          <w:szCs w:val="24"/>
        </w:rPr>
        <w:t>.</w:t>
      </w:r>
      <w:r w:rsidRPr="00263A8D">
        <w:rPr>
          <w:sz w:val="24"/>
          <w:szCs w:val="24"/>
        </w:rPr>
        <w:t xml:space="preserve"> (S1)</w:t>
      </w:r>
      <w:r w:rsidRPr="00DF04D9">
        <w:rPr>
          <w:sz w:val="24"/>
          <w:szCs w:val="24"/>
        </w:rPr>
        <w:t xml:space="preserve">). </w:t>
      </w:r>
    </w:p>
    <w:p w14:paraId="6BF88C72" w14:textId="77777777" w:rsidR="00FD13B1" w:rsidRPr="00DF04D9" w:rsidRDefault="00FD13B1" w:rsidP="00FD13B1">
      <w:pPr>
        <w:spacing w:line="480" w:lineRule="auto"/>
        <w:ind w:leftChars="283" w:left="566" w:firstLineChars="177" w:firstLine="425"/>
        <w:jc w:val="both"/>
        <w:rPr>
          <w:sz w:val="24"/>
          <w:szCs w:val="24"/>
        </w:rPr>
      </w:pPr>
    </w:p>
    <w:p w14:paraId="3930E182" w14:textId="77777777" w:rsidR="00FD13B1" w:rsidRPr="00DF04D9" w:rsidRDefault="00051A76" w:rsidP="00FD13B1">
      <w:pPr>
        <w:spacing w:line="480" w:lineRule="auto"/>
        <w:ind w:leftChars="1488" w:left="2976" w:firstLineChars="177" w:firstLine="425"/>
        <w:jc w:val="both"/>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e</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oMath>
      <w:r w:rsidR="00FD13B1" w:rsidRPr="00DF04D9">
        <w:rPr>
          <w:sz w:val="24"/>
          <w:szCs w:val="24"/>
        </w:rPr>
        <w:t xml:space="preserve">             </w:t>
      </w:r>
      <w:r w:rsidR="00FD13B1" w:rsidRPr="00DF04D9">
        <w:rPr>
          <w:sz w:val="24"/>
          <w:szCs w:val="24"/>
        </w:rPr>
        <w:tab/>
      </w:r>
      <w:r w:rsidR="00FD13B1" w:rsidRPr="00DF04D9">
        <w:rPr>
          <w:sz w:val="24"/>
          <w:szCs w:val="24"/>
        </w:rPr>
        <w:tab/>
        <w:t xml:space="preserve">                       (S1)</w:t>
      </w:r>
    </w:p>
    <w:p w14:paraId="234807E1" w14:textId="77777777" w:rsidR="00FD13B1" w:rsidRPr="00DF04D9" w:rsidRDefault="00FD13B1" w:rsidP="00FD13B1">
      <w:pPr>
        <w:spacing w:line="480" w:lineRule="auto"/>
        <w:ind w:leftChars="283" w:left="566" w:firstLineChars="177" w:firstLine="425"/>
        <w:jc w:val="both"/>
        <w:rPr>
          <w:sz w:val="24"/>
          <w:szCs w:val="24"/>
          <w:lang w:eastAsia="ja-JP"/>
        </w:rPr>
      </w:pPr>
    </w:p>
    <w:p w14:paraId="1D62F970" w14:textId="77777777" w:rsidR="00FD13B1" w:rsidRPr="00DF04D9" w:rsidRDefault="00FD13B1" w:rsidP="00FD13B1">
      <w:pPr>
        <w:spacing w:line="480" w:lineRule="auto"/>
        <w:ind w:leftChars="283" w:left="566" w:firstLineChars="177" w:firstLine="425"/>
        <w:jc w:val="both"/>
        <w:rPr>
          <w:sz w:val="24"/>
          <w:szCs w:val="24"/>
        </w:rPr>
      </w:pPr>
      <w:r w:rsidRPr="00DF04D9">
        <w:rPr>
          <w:sz w:val="24"/>
          <w:szCs w:val="24"/>
        </w:rPr>
        <w:t xml:space="preserve">The weights of the data points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sidRPr="00DF04D9">
        <w:rPr>
          <w:sz w:val="24"/>
          <w:szCs w:val="24"/>
        </w:rPr>
        <w:t xml:space="preserve"> decrease exponentially with increasing distance between the data point and grid point: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m:t>
            </m:r>
          </m:sup>
        </m:sSup>
      </m:oMath>
      <w:r w:rsidRPr="00DF04D9">
        <w:rPr>
          <w:sz w:val="24"/>
          <w:szCs w:val="24"/>
        </w:rPr>
        <w:t xml:space="preserve">, with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x</m:t>
                </m:r>
              </m:sub>
            </m:sSub>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y</m:t>
                </m:r>
              </m:sub>
            </m:sSub>
            <m:r>
              <w:rPr>
                <w:rFonts w:ascii="Cambria Math" w:hAnsi="Cambria Math"/>
                <w:sz w:val="24"/>
                <w:szCs w:val="24"/>
              </w:rPr>
              <m:t>)</m:t>
            </m:r>
          </m:e>
          <m:sup>
            <m:r>
              <w:rPr>
                <w:rFonts w:ascii="Cambria Math" w:hAnsi="Cambria Math"/>
                <w:sz w:val="24"/>
                <w:szCs w:val="24"/>
              </w:rPr>
              <m:t>2</m:t>
            </m:r>
          </m:sup>
        </m:sSup>
      </m:oMath>
      <w:r w:rsidRPr="00DF04D9">
        <w:rPr>
          <w:sz w:val="24"/>
          <w:szCs w:val="24"/>
        </w:rPr>
        <w:t xml:space="preserve">, where </w:t>
      </w:r>
      <m:oMath>
        <m:r>
          <w:rPr>
            <w:rFonts w:ascii="Cambria Math" w:hAnsi="Cambria Math"/>
            <w:sz w:val="24"/>
            <w:szCs w:val="24"/>
          </w:rPr>
          <m:t>∆x</m:t>
        </m:r>
      </m:oMath>
      <w:r w:rsidRPr="00DF04D9">
        <w:rPr>
          <w:sz w:val="24"/>
          <w:szCs w:val="24"/>
        </w:rPr>
        <w:t xml:space="preserve"> and </w:t>
      </w:r>
      <m:oMath>
        <m:r>
          <w:rPr>
            <w:rFonts w:ascii="Cambria Math" w:hAnsi="Cambria Math"/>
            <w:sz w:val="24"/>
            <w:szCs w:val="24"/>
          </w:rPr>
          <m:t>∆y</m:t>
        </m:r>
      </m:oMath>
      <w:r w:rsidRPr="00DF04D9">
        <w:rPr>
          <w:sz w:val="24"/>
          <w:szCs w:val="24"/>
        </w:rPr>
        <w:t xml:space="preserve"> are the distances between the data point and grid point in the X and Y directions, respectively, and </w:t>
      </w:r>
      <w:r w:rsidRPr="00DF04D9">
        <w:rPr>
          <w:i/>
          <w:iCs/>
          <w:sz w:val="24"/>
          <w:szCs w:val="24"/>
        </w:rPr>
        <w:t>L</w:t>
      </w:r>
      <w:r w:rsidRPr="00DF04D9">
        <w:rPr>
          <w:i/>
          <w:iCs/>
          <w:sz w:val="24"/>
          <w:szCs w:val="24"/>
          <w:vertAlign w:val="subscript"/>
        </w:rPr>
        <w:t>x</w:t>
      </w:r>
      <w:r w:rsidRPr="00DF04D9">
        <w:rPr>
          <w:sz w:val="24"/>
          <w:szCs w:val="24"/>
        </w:rPr>
        <w:t xml:space="preserve"> and </w:t>
      </w:r>
      <w:r w:rsidRPr="00DF04D9">
        <w:rPr>
          <w:i/>
          <w:iCs/>
          <w:sz w:val="24"/>
          <w:szCs w:val="24"/>
        </w:rPr>
        <w:t>L</w:t>
      </w:r>
      <w:r w:rsidRPr="00DF04D9">
        <w:rPr>
          <w:i/>
          <w:iCs/>
          <w:sz w:val="24"/>
          <w:szCs w:val="24"/>
          <w:vertAlign w:val="subscript"/>
        </w:rPr>
        <w:t>y</w:t>
      </w:r>
      <w:r w:rsidRPr="00DF04D9">
        <w:rPr>
          <w:sz w:val="24"/>
          <w:szCs w:val="24"/>
        </w:rPr>
        <w:t xml:space="preserve"> are the separate averaging length-scales in the X and Y directions, respectively. The length scales of the X and Y directions in the 2D grid of the repeat-line </w:t>
      </w:r>
      <w:r w:rsidRPr="00DF04D9">
        <w:rPr>
          <w:sz w:val="24"/>
          <w:szCs w:val="24"/>
        </w:rPr>
        <w:lastRenderedPageBreak/>
        <w:t>estimation were both 50 permille. The length scale of the latitude and longitude in the 3D grid of the overall estimation was 50 permille, and the depth scale was 50 m.</w:t>
      </w:r>
    </w:p>
    <w:p w14:paraId="79080817" w14:textId="77777777" w:rsidR="00FD13B1" w:rsidRPr="00C57AD2" w:rsidRDefault="00FD13B1" w:rsidP="00FD13B1">
      <w:pPr>
        <w:spacing w:line="480" w:lineRule="auto"/>
        <w:ind w:leftChars="283" w:left="566" w:firstLineChars="177" w:firstLine="425"/>
        <w:rPr>
          <w:sz w:val="24"/>
          <w:szCs w:val="24"/>
        </w:rPr>
      </w:pPr>
    </w:p>
    <w:p w14:paraId="442B425B" w14:textId="77777777" w:rsidR="00FD13B1" w:rsidRPr="00C57AD2" w:rsidRDefault="00FD13B1" w:rsidP="00FD13B1">
      <w:pPr>
        <w:spacing w:line="480" w:lineRule="auto"/>
        <w:ind w:firstLine="567"/>
        <w:rPr>
          <w:b/>
          <w:bCs/>
          <w:sz w:val="24"/>
          <w:szCs w:val="24"/>
        </w:rPr>
      </w:pPr>
      <w:r w:rsidRPr="00C57AD2">
        <w:rPr>
          <w:b/>
          <w:bCs/>
          <w:sz w:val="24"/>
          <w:szCs w:val="24"/>
        </w:rPr>
        <w:t xml:space="preserve">Supplementary Text S4. </w:t>
      </w:r>
    </w:p>
    <w:p w14:paraId="4A9D7B65" w14:textId="77777777" w:rsidR="00FD13B1" w:rsidRPr="00C566F9" w:rsidRDefault="00FD13B1" w:rsidP="00FD13B1">
      <w:pPr>
        <w:spacing w:line="480" w:lineRule="auto"/>
        <w:ind w:firstLine="567"/>
        <w:rPr>
          <w:rFonts w:eastAsiaTheme="majorEastAsia"/>
          <w:b/>
          <w:bCs/>
          <w:sz w:val="24"/>
          <w:szCs w:val="24"/>
        </w:rPr>
      </w:pPr>
      <w:r w:rsidRPr="00C566F9">
        <w:rPr>
          <w:rFonts w:eastAsiaTheme="majorEastAsia"/>
          <w:b/>
          <w:bCs/>
          <w:sz w:val="24"/>
          <w:szCs w:val="24"/>
        </w:rPr>
        <w:t>Method: Estimation of external term</w:t>
      </w:r>
    </w:p>
    <w:p w14:paraId="16939F78" w14:textId="5CF564B7" w:rsidR="00FD13B1" w:rsidRPr="00DF04D9" w:rsidRDefault="00FD13B1" w:rsidP="00FD13B1">
      <w:pPr>
        <w:spacing w:line="480" w:lineRule="auto"/>
        <w:ind w:leftChars="283" w:left="566" w:firstLineChars="257" w:firstLine="617"/>
        <w:jc w:val="both"/>
        <w:rPr>
          <w:sz w:val="24"/>
          <w:szCs w:val="24"/>
        </w:rPr>
      </w:pPr>
      <w:bookmarkStart w:id="5" w:name="_Hlk25761663"/>
      <w:bookmarkEnd w:id="4"/>
      <w:r w:rsidRPr="00C566F9">
        <w:rPr>
          <w:sz w:val="24"/>
          <w:szCs w:val="24"/>
        </w:rPr>
        <w:t xml:space="preserve">Fig. S6 and </w:t>
      </w:r>
      <w:proofErr w:type="spellStart"/>
      <w:r w:rsidRPr="00263A8D">
        <w:rPr>
          <w:sz w:val="24"/>
          <w:szCs w:val="24"/>
        </w:rPr>
        <w:t>Eqs</w:t>
      </w:r>
      <w:proofErr w:type="spellEnd"/>
      <w:r w:rsidR="00263A8D" w:rsidRPr="00263A8D">
        <w:rPr>
          <w:sz w:val="24"/>
          <w:szCs w:val="24"/>
        </w:rPr>
        <w:t>.</w:t>
      </w:r>
      <w:r w:rsidRPr="00263A8D">
        <w:rPr>
          <w:sz w:val="24"/>
          <w:szCs w:val="24"/>
        </w:rPr>
        <w:t xml:space="preserve"> (S2–S5)</w:t>
      </w:r>
      <w:r w:rsidRPr="00C566F9">
        <w:rPr>
          <w:sz w:val="24"/>
          <w:szCs w:val="24"/>
        </w:rPr>
        <w:t xml:space="preserve"> explain the</w:t>
      </w:r>
      <w:r w:rsidRPr="00DF04D9">
        <w:rPr>
          <w:sz w:val="24"/>
          <w:szCs w:val="24"/>
        </w:rPr>
        <w:t xml:space="preserve"> method </w:t>
      </w:r>
      <w:r w:rsidRPr="00DF04D9">
        <w:rPr>
          <w:sz w:val="24"/>
          <w:szCs w:val="24"/>
          <w:lang w:eastAsia="ja-JP"/>
        </w:rPr>
        <w:t xml:space="preserve">to </w:t>
      </w:r>
      <w:r w:rsidRPr="00DF04D9">
        <w:rPr>
          <w:sz w:val="24"/>
          <w:szCs w:val="24"/>
        </w:rPr>
        <w:t xml:space="preserve">estimate </w:t>
      </w:r>
      <m:oMath>
        <m:r>
          <m:rPr>
            <m:sty m:val="p"/>
          </m:rPr>
          <w:rPr>
            <w:rFonts w:ascii="Cambria Math" w:hAnsi="Cambria Math"/>
            <w:sz w:val="24"/>
            <w:szCs w:val="24"/>
            <w:lang w:eastAsia="ja-JP"/>
          </w:rPr>
          <m:t>∆</m:t>
        </m:r>
      </m:oMath>
      <w:r w:rsidRPr="00DF04D9">
        <w:rPr>
          <w:sz w:val="24"/>
          <w:szCs w:val="24"/>
          <w:lang w:eastAsia="ja-JP"/>
        </w:rPr>
        <w:t>N</w:t>
      </w:r>
      <w:r w:rsidRPr="00DF04D9">
        <w:rPr>
          <w:sz w:val="24"/>
          <w:szCs w:val="24"/>
          <w:vertAlign w:val="subscript"/>
          <w:lang w:eastAsia="ja-JP"/>
        </w:rPr>
        <w:t>ex</w:t>
      </w:r>
      <w:r w:rsidRPr="00DF04D9">
        <w:rPr>
          <w:sz w:val="24"/>
          <w:szCs w:val="24"/>
        </w:rPr>
        <w:t xml:space="preserve"> based on the method proposed by </w:t>
      </w:r>
      <w:r w:rsidRPr="00DF04D9">
        <w:rPr>
          <w:iCs/>
          <w:sz w:val="24"/>
          <w:szCs w:val="24"/>
        </w:rPr>
        <w:t xml:space="preserve">Watanabe et al. (2018) </w:t>
      </w:r>
      <w:r w:rsidRPr="00DF04D9">
        <w:rPr>
          <w:iCs/>
          <w:sz w:val="24"/>
          <w:szCs w:val="24"/>
        </w:rPr>
        <w:fldChar w:fldCharType="begin" w:fldLock="1"/>
      </w:r>
      <w:r w:rsidRPr="00DF04D9">
        <w:rPr>
          <w:rFonts w:hint="eastAsia"/>
          <w:iCs/>
          <w:sz w:val="24"/>
          <w:szCs w:val="24"/>
        </w:rPr>
        <w:instrText>ADDIN CSL_CITATION {"citationItems":[{"id":"ITEM-1","itemData":{"DOI":"10.1029/2018GL078084","ISSN":"0094-8276","abstract":"Anthropogenic atmospheric CO2uptake by the ocean is causing a global ocean pH decline,resulting indirect</w:instrText>
      </w:r>
      <w:r w:rsidRPr="00DF04D9">
        <w:rPr>
          <w:rFonts w:hint="eastAsia"/>
          <w:iCs/>
          <w:sz w:val="24"/>
          <w:szCs w:val="24"/>
        </w:rPr>
        <w:instrText>‐</w:instrText>
      </w:r>
      <w:r w:rsidRPr="00DF04D9">
        <w:rPr>
          <w:rFonts w:hint="eastAsia"/>
          <w:iCs/>
          <w:sz w:val="24"/>
          <w:szCs w:val="24"/>
        </w:rPr>
        <w:instrText>anthropogenic ocean acidification (Ed</w:instrText>
      </w:r>
      <w:r w:rsidRPr="00DF04D9">
        <w:rPr>
          <w:rFonts w:hint="eastAsia"/>
          <w:iCs/>
          <w:sz w:val="24"/>
          <w:szCs w:val="24"/>
        </w:rPr>
        <w:instrText>‐</w:instrText>
      </w:r>
      <w:r w:rsidRPr="00DF04D9">
        <w:rPr>
          <w:rFonts w:hint="eastAsia"/>
          <w:iCs/>
          <w:sz w:val="24"/>
          <w:szCs w:val="24"/>
        </w:rPr>
        <w:instrText>anth). However, indirect</w:instrText>
      </w:r>
      <w:r w:rsidRPr="00DF04D9">
        <w:rPr>
          <w:rFonts w:hint="eastAsia"/>
          <w:iCs/>
          <w:sz w:val="24"/>
          <w:szCs w:val="24"/>
        </w:rPr>
        <w:instrText>‐</w:instrText>
      </w:r>
      <w:r w:rsidRPr="00DF04D9">
        <w:rPr>
          <w:rFonts w:hint="eastAsia"/>
          <w:iCs/>
          <w:sz w:val="24"/>
          <w:szCs w:val="24"/>
        </w:rPr>
        <w:instrText>anthropogenic effects ofchanges in biological and physical processes inthe oceanalso influence ocean pH (Ei</w:instrText>
      </w:r>
      <w:r w:rsidRPr="00DF04D9">
        <w:rPr>
          <w:rFonts w:hint="eastAsia"/>
          <w:iCs/>
          <w:sz w:val="24"/>
          <w:szCs w:val="24"/>
        </w:rPr>
        <w:instrText>‐</w:instrText>
      </w:r>
      <w:r w:rsidRPr="00DF04D9">
        <w:rPr>
          <w:rFonts w:hint="eastAsia"/>
          <w:iCs/>
          <w:sz w:val="24"/>
          <w:szCs w:val="24"/>
        </w:rPr>
        <w:instrText>anth). Therefore, distinguishing between Ed</w:instrText>
      </w:r>
      <w:r w:rsidRPr="00DF04D9">
        <w:rPr>
          <w:rFonts w:hint="eastAsia"/>
          <w:iCs/>
          <w:sz w:val="24"/>
          <w:szCs w:val="24"/>
        </w:rPr>
        <w:instrText>‐</w:instrText>
      </w:r>
      <w:r w:rsidRPr="00DF04D9">
        <w:rPr>
          <w:rFonts w:hint="eastAsia"/>
          <w:iCs/>
          <w:sz w:val="24"/>
          <w:szCs w:val="24"/>
        </w:rPr>
        <w:instrText>anth and Ei</w:instrText>
      </w:r>
      <w:r w:rsidRPr="00DF04D9">
        <w:rPr>
          <w:rFonts w:hint="eastAsia"/>
          <w:iCs/>
          <w:sz w:val="24"/>
          <w:szCs w:val="24"/>
        </w:rPr>
        <w:instrText>‐</w:instrText>
      </w:r>
      <w:r w:rsidRPr="00DF04D9">
        <w:rPr>
          <w:rFonts w:hint="eastAsia"/>
          <w:iCs/>
          <w:sz w:val="24"/>
          <w:szCs w:val="24"/>
        </w:rPr>
        <w:instrText>anth is essential for predicting the progress of overall ocean acidification. We demonstrate long</w:instrText>
      </w:r>
      <w:r w:rsidRPr="00DF04D9">
        <w:rPr>
          <w:rFonts w:hint="eastAsia"/>
          <w:iCs/>
          <w:sz w:val="24"/>
          <w:szCs w:val="24"/>
        </w:rPr>
        <w:instrText>‐</w:instrText>
      </w:r>
      <w:r w:rsidRPr="00DF04D9">
        <w:rPr>
          <w:rFonts w:hint="eastAsia"/>
          <w:iCs/>
          <w:sz w:val="24"/>
          <w:szCs w:val="24"/>
        </w:rPr>
        <w:instrText>term trends of Ed</w:instrText>
      </w:r>
      <w:r w:rsidRPr="00DF04D9">
        <w:rPr>
          <w:rFonts w:hint="eastAsia"/>
          <w:iCs/>
          <w:sz w:val="24"/>
          <w:szCs w:val="24"/>
        </w:rPr>
        <w:instrText>‐</w:instrText>
      </w:r>
      <w:r w:rsidRPr="00DF04D9">
        <w:rPr>
          <w:rFonts w:hint="eastAsia"/>
          <w:iCs/>
          <w:sz w:val="24"/>
          <w:szCs w:val="24"/>
        </w:rPr>
        <w:instrText>anth and Ei</w:instrText>
      </w:r>
      <w:r w:rsidRPr="00DF04D9">
        <w:rPr>
          <w:rFonts w:hint="eastAsia"/>
          <w:iCs/>
          <w:sz w:val="24"/>
          <w:szCs w:val="24"/>
        </w:rPr>
        <w:instrText>‐</w:instrText>
      </w:r>
      <w:r w:rsidRPr="00DF04D9">
        <w:rPr>
          <w:rFonts w:hint="eastAsia"/>
          <w:iCs/>
          <w:sz w:val="24"/>
          <w:szCs w:val="24"/>
        </w:rPr>
        <w:instrText>anth in the subarctic North Pacific using a parameterization technique with an observed pH (pHobs) time series. All Ei</w:instrText>
      </w:r>
      <w:r w:rsidRPr="00DF04D9">
        <w:rPr>
          <w:rFonts w:hint="eastAsia"/>
          <w:iCs/>
          <w:sz w:val="24"/>
          <w:szCs w:val="24"/>
        </w:rPr>
        <w:instrText>‐</w:instrText>
      </w:r>
      <w:r w:rsidRPr="00DF04D9">
        <w:rPr>
          <w:rFonts w:hint="eastAsia"/>
          <w:iCs/>
          <w:sz w:val="24"/>
          <w:szCs w:val="24"/>
        </w:rPr>
        <w:instrText xml:space="preserve">anthin the ocean interior under 150m cause a pH decrease of 0.0012 </w:instrText>
      </w:r>
      <w:r w:rsidRPr="00DF04D9">
        <w:rPr>
          <w:rFonts w:hint="eastAsia"/>
          <w:iCs/>
          <w:sz w:val="24"/>
          <w:szCs w:val="24"/>
        </w:rPr>
        <w:instrText>±</w:instrText>
      </w:r>
      <w:r w:rsidRPr="00DF04D9">
        <w:rPr>
          <w:rFonts w:hint="eastAsia"/>
          <w:iCs/>
          <w:sz w:val="24"/>
          <w:szCs w:val="24"/>
        </w:rPr>
        <w:instrText xml:space="preserve"> 0.0003 per year superimposed on an 18</w:instrText>
      </w:r>
      <w:r w:rsidRPr="00DF04D9">
        <w:rPr>
          <w:rFonts w:hint="eastAsia"/>
          <w:iCs/>
          <w:sz w:val="24"/>
          <w:szCs w:val="24"/>
        </w:rPr>
        <w:instrText>‐</w:instrText>
      </w:r>
      <w:r w:rsidRPr="00DF04D9">
        <w:rPr>
          <w:rFonts w:hint="eastAsia"/>
          <w:iCs/>
          <w:sz w:val="24"/>
          <w:szCs w:val="24"/>
        </w:rPr>
        <w:instrText>year oscillation. Subtracting the pH decrease by Ei</w:instrText>
      </w:r>
      <w:r w:rsidRPr="00DF04D9">
        <w:rPr>
          <w:rFonts w:hint="eastAsia"/>
          <w:iCs/>
          <w:sz w:val="24"/>
          <w:szCs w:val="24"/>
        </w:rPr>
        <w:instrText>‐</w:instrText>
      </w:r>
      <w:r w:rsidRPr="00DF04D9">
        <w:rPr>
          <w:rFonts w:hint="eastAsia"/>
          <w:iCs/>
          <w:sz w:val="24"/>
          <w:szCs w:val="24"/>
        </w:rPr>
        <w:instrText xml:space="preserve">anth from thepHobstrend for the same region yields a net linear pH decreasing trend of 0.0021 </w:instrText>
      </w:r>
      <w:r w:rsidRPr="00DF04D9">
        <w:rPr>
          <w:rFonts w:hint="eastAsia"/>
          <w:iCs/>
          <w:sz w:val="24"/>
          <w:szCs w:val="24"/>
        </w:rPr>
        <w:instrText>±</w:instrText>
      </w:r>
      <w:r w:rsidRPr="00DF04D9">
        <w:rPr>
          <w:rFonts w:hint="eastAsia"/>
          <w:iCs/>
          <w:sz w:val="24"/>
          <w:szCs w:val="24"/>
        </w:rPr>
        <w:instrText xml:space="preserve"> 0.0003 per year byEd</w:instrText>
      </w:r>
      <w:r w:rsidRPr="00DF04D9">
        <w:rPr>
          <w:rFonts w:hint="eastAsia"/>
          <w:iCs/>
          <w:sz w:val="24"/>
          <w:szCs w:val="24"/>
        </w:rPr>
        <w:instrText>‐</w:instrText>
      </w:r>
      <w:r w:rsidRPr="00DF04D9">
        <w:rPr>
          <w:rFonts w:hint="eastAsia"/>
          <w:iCs/>
          <w:sz w:val="24"/>
          <w:szCs w:val="24"/>
        </w:rPr>
        <w:instrText>anthfor the whole ocean, indicating that pH decreases by Ei</w:instrText>
      </w:r>
      <w:r w:rsidRPr="00DF04D9">
        <w:rPr>
          <w:rFonts w:hint="eastAsia"/>
          <w:iCs/>
          <w:sz w:val="24"/>
          <w:szCs w:val="24"/>
        </w:rPr>
        <w:instrText>‐</w:instrText>
      </w:r>
      <w:r w:rsidRPr="00DF04D9">
        <w:rPr>
          <w:rFonts w:hint="eastAsia"/>
          <w:iCs/>
          <w:sz w:val="24"/>
          <w:szCs w:val="24"/>
        </w:rPr>
        <w:instrText>anth account for ~40% of total ocean acidification.","author":[{"dropping-particle":"","family":"Watanabe","given":"Y. W.","non-dropping-particle":"","parse-names":false,"suffix":""},{"dropping-particle":"","family":"Li","given":"B. F."</w:instrText>
      </w:r>
      <w:r w:rsidRPr="00DF04D9">
        <w:rPr>
          <w:iCs/>
          <w:sz w:val="24"/>
          <w:szCs w:val="24"/>
        </w:rPr>
        <w:instrText>,"non-dropping-particle":"","parse-names":false,"suffix":""},{"dropping-particle":"","family":"Wakita","given":"M.","non-dropping-particle":"","parse-names":false,"suffix":""}],"container-title":"Geophysical Research Letters","id":"ITEM-1","issue":"17","issued":{"date-parts":[["2018"]]},"page":"9106-9113","title":"Long-Term Trends of Direct and Indirect Anthropogenic Effects on Changes in Ocean pH","type":"article-journal","volume":"45"},"uris":["http://www.mendeley.com/documents/?uuid=052531fc-492b-472a-8899-4b3df32cee1e"]}],"mendeley":{"formattedCitation":"&lt;sup&gt;10&lt;/sup&gt;","plainTextFormattedCitation":"10","previouslyFormattedCitation":"&lt;sup&gt;10&lt;/sup&gt;"},"properties":{"noteIndex":0},"schema":"https://github.com/citation-style-language/schema/raw/master/csl-citation.json"}</w:instrText>
      </w:r>
      <w:r w:rsidRPr="00DF04D9">
        <w:rPr>
          <w:iCs/>
          <w:sz w:val="24"/>
          <w:szCs w:val="24"/>
        </w:rPr>
        <w:fldChar w:fldCharType="separate"/>
      </w:r>
      <w:r w:rsidRPr="00DF04D9">
        <w:rPr>
          <w:iCs/>
          <w:noProof/>
          <w:sz w:val="24"/>
          <w:szCs w:val="24"/>
          <w:vertAlign w:val="superscript"/>
        </w:rPr>
        <w:t>10</w:t>
      </w:r>
      <w:r w:rsidRPr="00DF04D9">
        <w:rPr>
          <w:iCs/>
          <w:sz w:val="24"/>
          <w:szCs w:val="24"/>
        </w:rPr>
        <w:fldChar w:fldCharType="end"/>
      </w:r>
      <w:r w:rsidRPr="00DF04D9">
        <w:rPr>
          <w:sz w:val="24"/>
          <w:szCs w:val="24"/>
        </w:rPr>
        <w:t>. N</w:t>
      </w:r>
      <w:r w:rsidRPr="00DF04D9">
        <w:rPr>
          <w:sz w:val="24"/>
          <w:szCs w:val="24"/>
          <w:vertAlign w:val="subscript"/>
        </w:rPr>
        <w:t>obs</w:t>
      </w:r>
      <w:r w:rsidRPr="00DF04D9">
        <w:rPr>
          <w:sz w:val="24"/>
          <w:szCs w:val="24"/>
        </w:rPr>
        <w:t xml:space="preserve"> always contains both the internal term (N</w:t>
      </w:r>
      <w:r w:rsidRPr="00DF04D9">
        <w:rPr>
          <w:sz w:val="24"/>
          <w:szCs w:val="24"/>
          <w:vertAlign w:val="subscript"/>
        </w:rPr>
        <w:t>in</w:t>
      </w:r>
      <w:r w:rsidRPr="00DF04D9">
        <w:rPr>
          <w:sz w:val="24"/>
          <w:szCs w:val="24"/>
        </w:rPr>
        <w:t>) and the external term (</w:t>
      </w:r>
      <w:proofErr w:type="spellStart"/>
      <w:r w:rsidRPr="00DF04D9">
        <w:rPr>
          <w:sz w:val="24"/>
          <w:szCs w:val="24"/>
        </w:rPr>
        <w:t>N</w:t>
      </w:r>
      <w:r w:rsidRPr="00DF04D9">
        <w:rPr>
          <w:sz w:val="24"/>
          <w:szCs w:val="24"/>
          <w:vertAlign w:val="subscript"/>
        </w:rPr>
        <w:t>ex</w:t>
      </w:r>
      <w:proofErr w:type="spellEnd"/>
      <w:r w:rsidRPr="00DF04D9">
        <w:rPr>
          <w:sz w:val="24"/>
          <w:szCs w:val="24"/>
        </w:rPr>
        <w:t>) (</w:t>
      </w:r>
      <w:r w:rsidRPr="00263A8D">
        <w:rPr>
          <w:sz w:val="24"/>
          <w:szCs w:val="24"/>
        </w:rPr>
        <w:t>Eq</w:t>
      </w:r>
      <w:r w:rsidR="00263A8D" w:rsidRPr="00263A8D">
        <w:rPr>
          <w:sz w:val="24"/>
          <w:szCs w:val="24"/>
        </w:rPr>
        <w:t>.</w:t>
      </w:r>
      <w:r w:rsidRPr="00263A8D">
        <w:rPr>
          <w:sz w:val="24"/>
          <w:szCs w:val="24"/>
        </w:rPr>
        <w:t xml:space="preserve"> (S2)</w:t>
      </w:r>
      <w:r w:rsidRPr="00DF04D9">
        <w:rPr>
          <w:sz w:val="24"/>
          <w:szCs w:val="24"/>
        </w:rPr>
        <w:t>).</w:t>
      </w:r>
    </w:p>
    <w:p w14:paraId="385986E6" w14:textId="77777777" w:rsidR="00FD13B1" w:rsidRPr="00DF04D9" w:rsidRDefault="00FD13B1" w:rsidP="00FD13B1">
      <w:pPr>
        <w:spacing w:line="480" w:lineRule="auto"/>
        <w:ind w:leftChars="283" w:left="566" w:firstLine="357"/>
        <w:jc w:val="both"/>
        <w:rPr>
          <w:sz w:val="24"/>
          <w:szCs w:val="24"/>
        </w:rPr>
      </w:pPr>
    </w:p>
    <w:p w14:paraId="5D990A42" w14:textId="77777777" w:rsidR="00FD13B1" w:rsidRPr="00DF04D9" w:rsidRDefault="00FD13B1" w:rsidP="00FD13B1">
      <w:pPr>
        <w:spacing w:line="480" w:lineRule="auto"/>
        <w:ind w:leftChars="1559" w:left="3118" w:firstLine="420"/>
        <w:jc w:val="both"/>
        <w:rPr>
          <w:sz w:val="24"/>
          <w:szCs w:val="24"/>
        </w:rPr>
      </w:pPr>
      <w:r w:rsidRPr="00DF04D9">
        <w:rPr>
          <w:sz w:val="24"/>
          <w:szCs w:val="24"/>
        </w:rPr>
        <w:t>N</w:t>
      </w:r>
      <w:r w:rsidRPr="00DF04D9">
        <w:rPr>
          <w:sz w:val="24"/>
          <w:szCs w:val="24"/>
          <w:vertAlign w:val="subscript"/>
        </w:rPr>
        <w:t>obs</w:t>
      </w:r>
      <w:r w:rsidRPr="00DF04D9">
        <w:rPr>
          <w:sz w:val="24"/>
          <w:szCs w:val="24"/>
        </w:rPr>
        <w:t xml:space="preserve"> = </w:t>
      </w:r>
      <w:proofErr w:type="spellStart"/>
      <w:r w:rsidRPr="00DF04D9">
        <w:rPr>
          <w:sz w:val="24"/>
          <w:szCs w:val="24"/>
        </w:rPr>
        <w:t>N</w:t>
      </w:r>
      <w:r w:rsidRPr="00DF04D9">
        <w:rPr>
          <w:sz w:val="24"/>
          <w:szCs w:val="24"/>
          <w:vertAlign w:val="subscript"/>
        </w:rPr>
        <w:t>ex</w:t>
      </w:r>
      <w:proofErr w:type="spellEnd"/>
      <w:r w:rsidRPr="00DF04D9">
        <w:rPr>
          <w:sz w:val="24"/>
          <w:szCs w:val="24"/>
        </w:rPr>
        <w:t xml:space="preserve"> + N</w:t>
      </w:r>
      <w:r w:rsidRPr="00DF04D9">
        <w:rPr>
          <w:sz w:val="24"/>
          <w:szCs w:val="24"/>
          <w:vertAlign w:val="subscript"/>
        </w:rPr>
        <w:t xml:space="preserve">in        </w:t>
      </w:r>
      <w:r w:rsidRPr="00DF04D9">
        <w:rPr>
          <w:sz w:val="24"/>
          <w:szCs w:val="24"/>
        </w:rPr>
        <w:t xml:space="preserve">                                 </w:t>
      </w:r>
      <w:r w:rsidRPr="00DF04D9">
        <w:rPr>
          <w:sz w:val="24"/>
          <w:szCs w:val="24"/>
        </w:rPr>
        <w:tab/>
        <w:t xml:space="preserve">         </w:t>
      </w:r>
      <w:proofErr w:type="gramStart"/>
      <w:r w:rsidRPr="00DF04D9">
        <w:rPr>
          <w:sz w:val="24"/>
          <w:szCs w:val="24"/>
        </w:rPr>
        <w:t xml:space="preserve">   (</w:t>
      </w:r>
      <w:proofErr w:type="gramEnd"/>
      <w:r w:rsidRPr="00DF04D9">
        <w:rPr>
          <w:sz w:val="24"/>
          <w:szCs w:val="24"/>
        </w:rPr>
        <w:t>S2)</w:t>
      </w:r>
    </w:p>
    <w:p w14:paraId="532B649C" w14:textId="77777777" w:rsidR="00FD13B1" w:rsidRPr="00DF04D9" w:rsidRDefault="00FD13B1" w:rsidP="00FD13B1">
      <w:pPr>
        <w:spacing w:line="480" w:lineRule="auto"/>
        <w:ind w:leftChars="283" w:left="566" w:firstLine="357"/>
        <w:jc w:val="both"/>
        <w:rPr>
          <w:sz w:val="24"/>
          <w:szCs w:val="24"/>
        </w:rPr>
      </w:pPr>
    </w:p>
    <w:p w14:paraId="42BF9E52" w14:textId="3A63E202" w:rsidR="00FD13B1" w:rsidRPr="00DF04D9" w:rsidRDefault="00FD13B1" w:rsidP="00FD13B1">
      <w:pPr>
        <w:spacing w:line="480" w:lineRule="auto"/>
        <w:ind w:leftChars="283" w:left="566"/>
        <w:jc w:val="both"/>
        <w:rPr>
          <w:sz w:val="24"/>
          <w:szCs w:val="24"/>
        </w:rPr>
      </w:pPr>
      <w:r w:rsidRPr="00DF04D9">
        <w:rPr>
          <w:sz w:val="24"/>
          <w:szCs w:val="24"/>
        </w:rPr>
        <w:t>Thus, N</w:t>
      </w:r>
      <w:r w:rsidRPr="00DF04D9">
        <w:rPr>
          <w:sz w:val="24"/>
          <w:szCs w:val="24"/>
          <w:vertAlign w:val="subscript"/>
        </w:rPr>
        <w:t>p</w:t>
      </w:r>
      <w:r w:rsidRPr="00DF04D9">
        <w:rPr>
          <w:sz w:val="24"/>
          <w:szCs w:val="24"/>
        </w:rPr>
        <w:t xml:space="preserve"> predicted from our parameterization was already influenced by the external term</w:t>
      </w:r>
      <w:r w:rsidRPr="00DF04D9">
        <w:rPr>
          <w:sz w:val="24"/>
          <w:szCs w:val="24"/>
          <w:lang w:eastAsia="ja-JP"/>
        </w:rPr>
        <w:t xml:space="preserve"> due to use of modern observational data for constructing our parameterization</w:t>
      </w:r>
      <w:r w:rsidRPr="00DF04D9">
        <w:rPr>
          <w:sz w:val="24"/>
          <w:szCs w:val="24"/>
        </w:rPr>
        <w:t xml:space="preserve">. We defined </w:t>
      </w:r>
      <w:proofErr w:type="spellStart"/>
      <w:r w:rsidRPr="00DF04D9">
        <w:rPr>
          <w:sz w:val="24"/>
          <w:szCs w:val="24"/>
        </w:rPr>
        <w:t>N</w:t>
      </w:r>
      <w:r w:rsidRPr="00DF04D9">
        <w:rPr>
          <w:sz w:val="24"/>
          <w:szCs w:val="24"/>
          <w:vertAlign w:val="subscript"/>
        </w:rPr>
        <w:t>ex</w:t>
      </w:r>
      <w:proofErr w:type="spellEnd"/>
      <w:r w:rsidRPr="00DF04D9">
        <w:rPr>
          <w:sz w:val="24"/>
          <w:szCs w:val="24"/>
        </w:rPr>
        <w:t xml:space="preserve"> contained in N</w:t>
      </w:r>
      <w:r w:rsidRPr="00DF04D9">
        <w:rPr>
          <w:sz w:val="24"/>
          <w:szCs w:val="24"/>
          <w:vertAlign w:val="subscript"/>
        </w:rPr>
        <w:t>p</w:t>
      </w:r>
      <w:r w:rsidRPr="00DF04D9">
        <w:rPr>
          <w:sz w:val="24"/>
          <w:szCs w:val="24"/>
        </w:rPr>
        <w:t xml:space="preserve"> as the average for the years 2000–2016 (N</w:t>
      </w:r>
      <w:r w:rsidRPr="00DF04D9">
        <w:rPr>
          <w:sz w:val="24"/>
          <w:szCs w:val="24"/>
          <w:vertAlign w:val="subscript"/>
        </w:rPr>
        <w:t>ex2008</w:t>
      </w:r>
      <w:r w:rsidRPr="00DF04D9">
        <w:rPr>
          <w:sz w:val="24"/>
          <w:szCs w:val="24"/>
        </w:rPr>
        <w:t>) because our parameterization is based on the observational data from 2000 to 2016 (</w:t>
      </w:r>
      <w:r w:rsidRPr="00263A8D">
        <w:rPr>
          <w:sz w:val="24"/>
          <w:szCs w:val="24"/>
        </w:rPr>
        <w:t>Eq</w:t>
      </w:r>
      <w:r w:rsidR="00263A8D" w:rsidRPr="00263A8D">
        <w:rPr>
          <w:sz w:val="24"/>
          <w:szCs w:val="24"/>
        </w:rPr>
        <w:t>.</w:t>
      </w:r>
      <w:r w:rsidRPr="00263A8D">
        <w:rPr>
          <w:sz w:val="24"/>
          <w:szCs w:val="24"/>
        </w:rPr>
        <w:t xml:space="preserve"> (S3)</w:t>
      </w:r>
      <w:r w:rsidRPr="00DF04D9">
        <w:rPr>
          <w:sz w:val="24"/>
          <w:szCs w:val="24"/>
        </w:rPr>
        <w:t>).</w:t>
      </w:r>
    </w:p>
    <w:p w14:paraId="4C298DF9" w14:textId="77777777" w:rsidR="00FD13B1" w:rsidRPr="00DF04D9" w:rsidRDefault="00FD13B1" w:rsidP="00FD13B1">
      <w:pPr>
        <w:spacing w:line="480" w:lineRule="auto"/>
        <w:ind w:leftChars="283" w:left="566" w:firstLine="357"/>
        <w:jc w:val="both"/>
        <w:rPr>
          <w:sz w:val="24"/>
          <w:szCs w:val="24"/>
        </w:rPr>
      </w:pPr>
    </w:p>
    <w:p w14:paraId="71386FA8" w14:textId="77777777" w:rsidR="00FD13B1" w:rsidRPr="00DF04D9" w:rsidRDefault="00FD13B1" w:rsidP="00FD13B1">
      <w:pPr>
        <w:spacing w:line="480" w:lineRule="auto"/>
        <w:ind w:leftChars="1559" w:left="3118" w:firstLine="420"/>
        <w:jc w:val="both"/>
        <w:rPr>
          <w:sz w:val="24"/>
          <w:szCs w:val="24"/>
        </w:rPr>
      </w:pPr>
      <w:r w:rsidRPr="00DF04D9">
        <w:rPr>
          <w:sz w:val="24"/>
          <w:szCs w:val="24"/>
        </w:rPr>
        <w:t>N</w:t>
      </w:r>
      <w:r w:rsidRPr="00DF04D9">
        <w:rPr>
          <w:sz w:val="24"/>
          <w:szCs w:val="24"/>
          <w:vertAlign w:val="subscript"/>
        </w:rPr>
        <w:t>p</w:t>
      </w:r>
      <w:r w:rsidRPr="00DF04D9">
        <w:rPr>
          <w:sz w:val="24"/>
          <w:szCs w:val="24"/>
        </w:rPr>
        <w:t xml:space="preserve"> = N</w:t>
      </w:r>
      <w:r w:rsidRPr="00DF04D9">
        <w:rPr>
          <w:sz w:val="24"/>
          <w:szCs w:val="24"/>
          <w:vertAlign w:val="subscript"/>
        </w:rPr>
        <w:t>ex2008</w:t>
      </w:r>
      <w:r w:rsidRPr="00DF04D9">
        <w:rPr>
          <w:sz w:val="24"/>
          <w:szCs w:val="24"/>
        </w:rPr>
        <w:t xml:space="preserve"> + N</w:t>
      </w:r>
      <w:r w:rsidRPr="00DF04D9">
        <w:rPr>
          <w:sz w:val="24"/>
          <w:szCs w:val="24"/>
          <w:vertAlign w:val="subscript"/>
        </w:rPr>
        <w:t>in</w:t>
      </w:r>
      <w:r w:rsidRPr="00DF04D9">
        <w:rPr>
          <w:sz w:val="24"/>
          <w:szCs w:val="24"/>
        </w:rPr>
        <w:t xml:space="preserve"> </w:t>
      </w:r>
      <w:r w:rsidRPr="00DF04D9">
        <w:rPr>
          <w:sz w:val="24"/>
          <w:szCs w:val="24"/>
          <w:vertAlign w:val="subscript"/>
        </w:rPr>
        <w:t xml:space="preserve">          </w:t>
      </w:r>
      <w:r w:rsidRPr="00DF04D9">
        <w:rPr>
          <w:sz w:val="24"/>
          <w:szCs w:val="24"/>
        </w:rPr>
        <w:t xml:space="preserve">              </w:t>
      </w:r>
      <w:r w:rsidRPr="00DF04D9">
        <w:rPr>
          <w:sz w:val="24"/>
          <w:szCs w:val="24"/>
        </w:rPr>
        <w:tab/>
        <w:t xml:space="preserve">                       </w:t>
      </w:r>
      <w:proofErr w:type="gramStart"/>
      <w:r w:rsidRPr="00DF04D9">
        <w:rPr>
          <w:sz w:val="24"/>
          <w:szCs w:val="24"/>
        </w:rPr>
        <w:t xml:space="preserve">   (</w:t>
      </w:r>
      <w:proofErr w:type="gramEnd"/>
      <w:r w:rsidRPr="00DF04D9">
        <w:rPr>
          <w:sz w:val="24"/>
          <w:szCs w:val="24"/>
        </w:rPr>
        <w:t>S3)</w:t>
      </w:r>
    </w:p>
    <w:p w14:paraId="1D2076F2" w14:textId="77777777" w:rsidR="00FD13B1" w:rsidRPr="00DF04D9" w:rsidRDefault="00FD13B1" w:rsidP="00FD13B1">
      <w:pPr>
        <w:spacing w:line="480" w:lineRule="auto"/>
        <w:ind w:leftChars="283" w:left="566" w:firstLine="357"/>
        <w:jc w:val="both"/>
        <w:rPr>
          <w:sz w:val="24"/>
          <w:szCs w:val="24"/>
        </w:rPr>
      </w:pPr>
    </w:p>
    <w:p w14:paraId="017FDF96" w14:textId="5E9DBE74" w:rsidR="00FD13B1" w:rsidRPr="00DF04D9" w:rsidRDefault="00FD13B1" w:rsidP="00FD13B1">
      <w:pPr>
        <w:spacing w:line="480" w:lineRule="auto"/>
        <w:ind w:leftChars="354" w:left="708"/>
      </w:pPr>
      <w:r w:rsidRPr="00DF04D9">
        <w:rPr>
          <w:sz w:val="24"/>
          <w:szCs w:val="24"/>
        </w:rPr>
        <w:t xml:space="preserve">Arranging </w:t>
      </w:r>
      <w:r w:rsidRPr="00263A8D">
        <w:rPr>
          <w:sz w:val="24"/>
          <w:szCs w:val="24"/>
        </w:rPr>
        <w:t>Eq</w:t>
      </w:r>
      <w:r w:rsidR="00263A8D" w:rsidRPr="00263A8D">
        <w:rPr>
          <w:sz w:val="24"/>
          <w:szCs w:val="24"/>
        </w:rPr>
        <w:t>.</w:t>
      </w:r>
      <w:r w:rsidRPr="00263A8D">
        <w:rPr>
          <w:sz w:val="24"/>
          <w:szCs w:val="24"/>
        </w:rPr>
        <w:t xml:space="preserve"> (S2)</w:t>
      </w:r>
      <w:r w:rsidRPr="00DF04D9">
        <w:rPr>
          <w:sz w:val="24"/>
          <w:szCs w:val="24"/>
        </w:rPr>
        <w:t xml:space="preserve"> in the expression for </w:t>
      </w:r>
      <w:proofErr w:type="spellStart"/>
      <w:r w:rsidRPr="00DF04D9">
        <w:rPr>
          <w:sz w:val="24"/>
          <w:szCs w:val="24"/>
        </w:rPr>
        <w:t>N</w:t>
      </w:r>
      <w:r w:rsidRPr="00DF04D9">
        <w:rPr>
          <w:sz w:val="24"/>
          <w:szCs w:val="24"/>
          <w:vertAlign w:val="subscript"/>
        </w:rPr>
        <w:t>ex</w:t>
      </w:r>
      <w:proofErr w:type="spellEnd"/>
      <w:r w:rsidRPr="00DF04D9">
        <w:rPr>
          <w:sz w:val="24"/>
          <w:szCs w:val="24"/>
        </w:rPr>
        <w:t xml:space="preserve"> and substituting </w:t>
      </w:r>
      <w:r w:rsidRPr="00263A8D">
        <w:rPr>
          <w:sz w:val="24"/>
          <w:szCs w:val="24"/>
        </w:rPr>
        <w:t>Eq</w:t>
      </w:r>
      <w:r w:rsidR="00263A8D" w:rsidRPr="00263A8D">
        <w:rPr>
          <w:sz w:val="24"/>
          <w:szCs w:val="24"/>
        </w:rPr>
        <w:t>.</w:t>
      </w:r>
      <w:r w:rsidRPr="00263A8D">
        <w:rPr>
          <w:sz w:val="24"/>
          <w:szCs w:val="24"/>
        </w:rPr>
        <w:t xml:space="preserve"> (S3)</w:t>
      </w:r>
      <w:r w:rsidRPr="00DF04D9">
        <w:rPr>
          <w:sz w:val="24"/>
          <w:szCs w:val="24"/>
        </w:rPr>
        <w:t xml:space="preserve"> into </w:t>
      </w:r>
      <w:r w:rsidRPr="00263A8D">
        <w:rPr>
          <w:sz w:val="24"/>
          <w:szCs w:val="24"/>
        </w:rPr>
        <w:t>Eq</w:t>
      </w:r>
      <w:r w:rsidR="00263A8D" w:rsidRPr="00263A8D">
        <w:rPr>
          <w:sz w:val="24"/>
          <w:szCs w:val="24"/>
        </w:rPr>
        <w:t>.</w:t>
      </w:r>
      <w:r w:rsidRPr="00263A8D">
        <w:rPr>
          <w:sz w:val="24"/>
          <w:szCs w:val="24"/>
        </w:rPr>
        <w:t xml:space="preserve"> (S2)</w:t>
      </w:r>
      <w:r w:rsidRPr="00DF04D9">
        <w:rPr>
          <w:sz w:val="24"/>
          <w:szCs w:val="24"/>
        </w:rPr>
        <w:t xml:space="preserve">, </w:t>
      </w:r>
      <w:proofErr w:type="spellStart"/>
      <w:r w:rsidRPr="00DF04D9">
        <w:rPr>
          <w:sz w:val="24"/>
          <w:szCs w:val="24"/>
        </w:rPr>
        <w:t>N</w:t>
      </w:r>
      <w:r w:rsidRPr="00DF04D9">
        <w:rPr>
          <w:sz w:val="24"/>
          <w:szCs w:val="24"/>
          <w:vertAlign w:val="subscript"/>
        </w:rPr>
        <w:t>ex</w:t>
      </w:r>
      <w:proofErr w:type="spellEnd"/>
      <w:r w:rsidRPr="00DF04D9">
        <w:rPr>
          <w:sz w:val="24"/>
          <w:szCs w:val="24"/>
        </w:rPr>
        <w:t xml:space="preserve"> for an arbitrary year can be expressed by N</w:t>
      </w:r>
      <w:r w:rsidRPr="00DF04D9">
        <w:rPr>
          <w:sz w:val="24"/>
          <w:szCs w:val="24"/>
          <w:vertAlign w:val="subscript"/>
        </w:rPr>
        <w:t>obs</w:t>
      </w:r>
      <w:r w:rsidRPr="00DF04D9">
        <w:rPr>
          <w:sz w:val="24"/>
          <w:szCs w:val="24"/>
        </w:rPr>
        <w:t>, N</w:t>
      </w:r>
      <w:r w:rsidRPr="00DF04D9">
        <w:rPr>
          <w:sz w:val="24"/>
          <w:szCs w:val="24"/>
          <w:vertAlign w:val="subscript"/>
        </w:rPr>
        <w:t>p</w:t>
      </w:r>
      <w:r w:rsidRPr="00DF04D9">
        <w:rPr>
          <w:sz w:val="24"/>
          <w:szCs w:val="24"/>
        </w:rPr>
        <w:t>, and N</w:t>
      </w:r>
      <w:r w:rsidRPr="00DF04D9">
        <w:rPr>
          <w:sz w:val="24"/>
          <w:szCs w:val="24"/>
          <w:vertAlign w:val="subscript"/>
        </w:rPr>
        <w:t>ex2008</w:t>
      </w:r>
      <w:r w:rsidRPr="00DF04D9">
        <w:rPr>
          <w:sz w:val="24"/>
          <w:szCs w:val="24"/>
        </w:rPr>
        <w:t xml:space="preserve"> (</w:t>
      </w:r>
      <w:r w:rsidRPr="00263A8D">
        <w:rPr>
          <w:sz w:val="24"/>
          <w:szCs w:val="24"/>
        </w:rPr>
        <w:t>Eq</w:t>
      </w:r>
      <w:r w:rsidR="00263A8D" w:rsidRPr="00263A8D">
        <w:rPr>
          <w:sz w:val="24"/>
          <w:szCs w:val="24"/>
        </w:rPr>
        <w:t>.</w:t>
      </w:r>
      <w:r w:rsidRPr="00263A8D">
        <w:rPr>
          <w:sz w:val="24"/>
          <w:szCs w:val="24"/>
        </w:rPr>
        <w:t xml:space="preserve"> (S4)</w:t>
      </w:r>
      <w:r w:rsidRPr="00DF04D9">
        <w:rPr>
          <w:sz w:val="24"/>
          <w:szCs w:val="24"/>
        </w:rPr>
        <w:t>).</w:t>
      </w:r>
    </w:p>
    <w:p w14:paraId="21B11D6A" w14:textId="77777777" w:rsidR="00FD13B1" w:rsidRPr="00DF04D9" w:rsidRDefault="00FD13B1" w:rsidP="00FD13B1">
      <w:pPr>
        <w:spacing w:line="480" w:lineRule="auto"/>
        <w:ind w:leftChars="283" w:left="566"/>
        <w:jc w:val="both"/>
        <w:rPr>
          <w:sz w:val="24"/>
          <w:szCs w:val="24"/>
          <w:lang w:eastAsia="ja-JP"/>
        </w:rPr>
      </w:pPr>
    </w:p>
    <w:p w14:paraId="22C22D86" w14:textId="77777777" w:rsidR="00FD13B1" w:rsidRPr="00DF04D9" w:rsidRDefault="00FD13B1" w:rsidP="00FD13B1">
      <w:pPr>
        <w:spacing w:line="480" w:lineRule="auto"/>
        <w:ind w:leftChars="1347" w:left="2694" w:firstLineChars="300" w:firstLine="720"/>
        <w:jc w:val="both"/>
        <w:rPr>
          <w:sz w:val="24"/>
          <w:szCs w:val="24"/>
          <w:lang w:eastAsia="ja-JP"/>
        </w:rPr>
      </w:pPr>
      <w:proofErr w:type="spellStart"/>
      <w:r w:rsidRPr="00DF04D9">
        <w:rPr>
          <w:sz w:val="24"/>
          <w:szCs w:val="24"/>
          <w:lang w:eastAsia="ja-JP"/>
        </w:rPr>
        <w:t>N</w:t>
      </w:r>
      <w:r w:rsidRPr="00DF04D9">
        <w:rPr>
          <w:sz w:val="24"/>
          <w:szCs w:val="24"/>
          <w:vertAlign w:val="subscript"/>
          <w:lang w:eastAsia="ja-JP"/>
        </w:rPr>
        <w:t>ex</w:t>
      </w:r>
      <w:proofErr w:type="spellEnd"/>
      <w:r w:rsidRPr="00DF04D9">
        <w:rPr>
          <w:sz w:val="24"/>
          <w:szCs w:val="24"/>
          <w:lang w:eastAsia="ja-JP"/>
        </w:rPr>
        <w:t xml:space="preserve"> = N</w:t>
      </w:r>
      <w:r w:rsidRPr="00DF04D9">
        <w:rPr>
          <w:sz w:val="24"/>
          <w:szCs w:val="24"/>
          <w:vertAlign w:val="subscript"/>
          <w:lang w:eastAsia="ja-JP"/>
        </w:rPr>
        <w:t>obs</w:t>
      </w:r>
      <w:r w:rsidRPr="00DF04D9">
        <w:rPr>
          <w:sz w:val="24"/>
          <w:szCs w:val="24"/>
          <w:lang w:eastAsia="ja-JP"/>
        </w:rPr>
        <w:t xml:space="preserve"> – </w:t>
      </w:r>
      <w:r w:rsidRPr="00DF04D9">
        <w:rPr>
          <w:sz w:val="24"/>
          <w:szCs w:val="24"/>
        </w:rPr>
        <w:t>N</w:t>
      </w:r>
      <w:r w:rsidRPr="00DF04D9">
        <w:rPr>
          <w:sz w:val="24"/>
          <w:szCs w:val="24"/>
          <w:vertAlign w:val="subscript"/>
        </w:rPr>
        <w:t>in</w:t>
      </w:r>
      <w:r w:rsidRPr="00DF04D9">
        <w:rPr>
          <w:sz w:val="24"/>
          <w:szCs w:val="24"/>
          <w:lang w:eastAsia="ja-JP"/>
        </w:rPr>
        <w:t xml:space="preserve"> </w:t>
      </w:r>
    </w:p>
    <w:p w14:paraId="0E592DA2" w14:textId="77777777" w:rsidR="00FD13B1" w:rsidRPr="00DF04D9" w:rsidRDefault="00FD13B1" w:rsidP="00FD13B1">
      <w:pPr>
        <w:spacing w:line="480" w:lineRule="auto"/>
        <w:ind w:leftChars="1347" w:left="2694" w:firstLineChars="450" w:firstLine="1080"/>
        <w:jc w:val="both"/>
        <w:rPr>
          <w:sz w:val="24"/>
          <w:szCs w:val="24"/>
          <w:lang w:eastAsia="ja-JP"/>
        </w:rPr>
      </w:pPr>
      <w:r w:rsidRPr="00DF04D9">
        <w:rPr>
          <w:sz w:val="24"/>
          <w:szCs w:val="24"/>
          <w:lang w:eastAsia="ja-JP"/>
        </w:rPr>
        <w:t>= N</w:t>
      </w:r>
      <w:r w:rsidRPr="00DF04D9">
        <w:rPr>
          <w:sz w:val="24"/>
          <w:szCs w:val="24"/>
          <w:vertAlign w:val="subscript"/>
          <w:lang w:eastAsia="ja-JP"/>
        </w:rPr>
        <w:t>obs</w:t>
      </w:r>
      <w:r w:rsidRPr="00DF04D9">
        <w:rPr>
          <w:sz w:val="24"/>
          <w:szCs w:val="24"/>
          <w:lang w:eastAsia="ja-JP"/>
        </w:rPr>
        <w:t xml:space="preserve"> – (N</w:t>
      </w:r>
      <w:r w:rsidRPr="00DF04D9">
        <w:rPr>
          <w:sz w:val="24"/>
          <w:szCs w:val="24"/>
          <w:vertAlign w:val="subscript"/>
          <w:lang w:eastAsia="ja-JP"/>
        </w:rPr>
        <w:t>p</w:t>
      </w:r>
      <w:r w:rsidRPr="00DF04D9">
        <w:rPr>
          <w:sz w:val="24"/>
          <w:szCs w:val="24"/>
          <w:lang w:eastAsia="ja-JP"/>
        </w:rPr>
        <w:t xml:space="preserve"> – N</w:t>
      </w:r>
      <w:r w:rsidRPr="00DF04D9">
        <w:rPr>
          <w:sz w:val="24"/>
          <w:szCs w:val="24"/>
          <w:vertAlign w:val="subscript"/>
          <w:lang w:eastAsia="ja-JP"/>
        </w:rPr>
        <w:t>ex2008</w:t>
      </w:r>
      <w:r w:rsidRPr="00DF04D9">
        <w:rPr>
          <w:sz w:val="24"/>
          <w:szCs w:val="24"/>
          <w:lang w:eastAsia="ja-JP"/>
        </w:rPr>
        <w:t xml:space="preserve">)     </w:t>
      </w:r>
      <w:r w:rsidRPr="00DF04D9">
        <w:rPr>
          <w:sz w:val="24"/>
          <w:szCs w:val="24"/>
          <w:lang w:eastAsia="ja-JP"/>
        </w:rPr>
        <w:tab/>
      </w:r>
      <w:r w:rsidRPr="00DF04D9">
        <w:rPr>
          <w:sz w:val="24"/>
          <w:szCs w:val="24"/>
          <w:lang w:eastAsia="ja-JP"/>
        </w:rPr>
        <w:tab/>
        <w:t xml:space="preserve">                     </w:t>
      </w:r>
      <w:proofErr w:type="gramStart"/>
      <w:r w:rsidRPr="00DF04D9">
        <w:rPr>
          <w:sz w:val="24"/>
          <w:szCs w:val="24"/>
          <w:lang w:eastAsia="ja-JP"/>
        </w:rPr>
        <w:t xml:space="preserve">   (</w:t>
      </w:r>
      <w:proofErr w:type="gramEnd"/>
      <w:r w:rsidRPr="00DF04D9">
        <w:rPr>
          <w:sz w:val="24"/>
          <w:szCs w:val="24"/>
          <w:lang w:eastAsia="ja-JP"/>
        </w:rPr>
        <w:t>S4)</w:t>
      </w:r>
    </w:p>
    <w:p w14:paraId="0E3867AC" w14:textId="77777777" w:rsidR="00FD13B1" w:rsidRPr="00DF04D9" w:rsidRDefault="00FD13B1" w:rsidP="00FD13B1">
      <w:pPr>
        <w:spacing w:line="480" w:lineRule="auto"/>
        <w:ind w:leftChars="283" w:left="566" w:firstLine="357"/>
        <w:jc w:val="both"/>
        <w:rPr>
          <w:sz w:val="24"/>
          <w:szCs w:val="24"/>
          <w:lang w:eastAsia="ja-JP"/>
        </w:rPr>
      </w:pPr>
    </w:p>
    <w:p w14:paraId="24EDFC14" w14:textId="728BD1CD" w:rsidR="00FD13B1" w:rsidRPr="00DF04D9" w:rsidRDefault="00FD13B1" w:rsidP="00FD13B1">
      <w:pPr>
        <w:spacing w:line="480" w:lineRule="auto"/>
        <w:ind w:leftChars="283" w:left="566"/>
        <w:jc w:val="both"/>
        <w:rPr>
          <w:sz w:val="24"/>
          <w:szCs w:val="24"/>
        </w:rPr>
      </w:pPr>
      <w:r w:rsidRPr="00DF04D9">
        <w:rPr>
          <w:sz w:val="24"/>
          <w:szCs w:val="24"/>
        </w:rPr>
        <w:lastRenderedPageBreak/>
        <w:t>The only unknown term now is N</w:t>
      </w:r>
      <w:r w:rsidRPr="00DF04D9">
        <w:rPr>
          <w:sz w:val="24"/>
          <w:szCs w:val="24"/>
          <w:vertAlign w:val="subscript"/>
        </w:rPr>
        <w:t>ex2008</w:t>
      </w:r>
      <w:r w:rsidRPr="00DF04D9">
        <w:rPr>
          <w:sz w:val="24"/>
          <w:szCs w:val="24"/>
        </w:rPr>
        <w:t>, which is difficult to evaluate. Therefore, we made the key assumption that N</w:t>
      </w:r>
      <w:r w:rsidRPr="00DF04D9">
        <w:rPr>
          <w:sz w:val="24"/>
          <w:szCs w:val="24"/>
          <w:vertAlign w:val="subscript"/>
        </w:rPr>
        <w:t xml:space="preserve">ex2008 </w:t>
      </w:r>
      <w:r w:rsidRPr="00DF04D9">
        <w:rPr>
          <w:sz w:val="24"/>
          <w:szCs w:val="24"/>
        </w:rPr>
        <w:t>is constant with time, which makes it possible to cancel N</w:t>
      </w:r>
      <w:r w:rsidRPr="00DF04D9">
        <w:rPr>
          <w:sz w:val="24"/>
          <w:szCs w:val="24"/>
          <w:vertAlign w:val="subscript"/>
        </w:rPr>
        <w:t>ex2008</w:t>
      </w:r>
      <w:r w:rsidRPr="00DF04D9">
        <w:rPr>
          <w:sz w:val="24"/>
          <w:szCs w:val="24"/>
        </w:rPr>
        <w:t xml:space="preserve"> by calculating the </w:t>
      </w:r>
      <w:r w:rsidRPr="00DF04D9">
        <w:rPr>
          <w:sz w:val="24"/>
          <w:szCs w:val="24"/>
          <w:lang w:eastAsia="ja-JP"/>
        </w:rPr>
        <w:t xml:space="preserve">time changes </w:t>
      </w:r>
      <w:r w:rsidRPr="00DF04D9">
        <w:rPr>
          <w:sz w:val="24"/>
          <w:szCs w:val="24"/>
        </w:rPr>
        <w:t xml:space="preserve">in the right and left sides of </w:t>
      </w:r>
      <w:r w:rsidRPr="00263A8D">
        <w:rPr>
          <w:sz w:val="24"/>
          <w:szCs w:val="24"/>
        </w:rPr>
        <w:t>Eq</w:t>
      </w:r>
      <w:r w:rsidR="00263A8D" w:rsidRPr="00263A8D">
        <w:rPr>
          <w:sz w:val="24"/>
          <w:szCs w:val="24"/>
        </w:rPr>
        <w:t>.</w:t>
      </w:r>
      <w:r w:rsidRPr="00263A8D">
        <w:rPr>
          <w:sz w:val="24"/>
          <w:szCs w:val="24"/>
        </w:rPr>
        <w:t xml:space="preserve"> (S4)</w:t>
      </w:r>
      <w:r w:rsidRPr="00DF04D9">
        <w:rPr>
          <w:sz w:val="24"/>
          <w:szCs w:val="24"/>
        </w:rPr>
        <w:t xml:space="preserve"> between two arbitrary different times (e.g. time ‘t1’ and time ‘t2’). We can estimate the change in </w:t>
      </w:r>
      <w:proofErr w:type="spellStart"/>
      <w:r w:rsidRPr="00DF04D9">
        <w:rPr>
          <w:sz w:val="24"/>
          <w:szCs w:val="24"/>
        </w:rPr>
        <w:t>N</w:t>
      </w:r>
      <w:r w:rsidRPr="00DF04D9">
        <w:rPr>
          <w:sz w:val="24"/>
          <w:szCs w:val="24"/>
          <w:vertAlign w:val="subscript"/>
        </w:rPr>
        <w:t>ex</w:t>
      </w:r>
      <w:proofErr w:type="spellEnd"/>
      <w:r w:rsidRPr="00DF04D9">
        <w:rPr>
          <w:sz w:val="24"/>
          <w:szCs w:val="24"/>
        </w:rPr>
        <w:t xml:space="preserve"> (</w:t>
      </w:r>
      <m:oMath>
        <m:r>
          <m:rPr>
            <m:sty m:val="p"/>
          </m:rPr>
          <w:rPr>
            <w:rFonts w:ascii="Cambria Math" w:hAnsi="Cambria Math"/>
            <w:sz w:val="24"/>
            <w:szCs w:val="24"/>
            <w:lang w:eastAsia="ja-JP"/>
          </w:rPr>
          <m:t>∆</m:t>
        </m:r>
      </m:oMath>
      <w:r w:rsidRPr="00DF04D9">
        <w:rPr>
          <w:sz w:val="24"/>
          <w:szCs w:val="24"/>
          <w:lang w:eastAsia="ja-JP"/>
        </w:rPr>
        <w:t>N</w:t>
      </w:r>
      <w:r w:rsidRPr="00DF04D9">
        <w:rPr>
          <w:sz w:val="24"/>
          <w:szCs w:val="24"/>
          <w:vertAlign w:val="subscript"/>
          <w:lang w:eastAsia="ja-JP"/>
        </w:rPr>
        <w:t>ex</w:t>
      </w:r>
      <w:r w:rsidRPr="00DF04D9">
        <w:rPr>
          <w:sz w:val="24"/>
          <w:szCs w:val="24"/>
        </w:rPr>
        <w:t>) by the following equation</w:t>
      </w:r>
      <w:r w:rsidRPr="00DF04D9">
        <w:rPr>
          <w:sz w:val="24"/>
          <w:szCs w:val="24"/>
          <w:lang w:eastAsia="ja-JP"/>
        </w:rPr>
        <w:t>;</w:t>
      </w:r>
    </w:p>
    <w:p w14:paraId="58EC4B24" w14:textId="77777777" w:rsidR="00FD13B1" w:rsidRPr="00DF04D9" w:rsidRDefault="00FD13B1" w:rsidP="00FD13B1">
      <w:pPr>
        <w:spacing w:line="480" w:lineRule="auto"/>
        <w:ind w:leftChars="283" w:left="566" w:firstLine="357"/>
        <w:jc w:val="both"/>
        <w:rPr>
          <w:sz w:val="24"/>
          <w:szCs w:val="24"/>
          <w:lang w:eastAsia="ja-JP"/>
        </w:rPr>
      </w:pPr>
    </w:p>
    <w:p w14:paraId="7C0B8B4A" w14:textId="77777777" w:rsidR="00FD13B1" w:rsidRPr="00DF04D9" w:rsidRDefault="00FD13B1" w:rsidP="00FD13B1">
      <w:pPr>
        <w:spacing w:line="480" w:lineRule="auto"/>
        <w:ind w:leftChars="283" w:left="566" w:firstLine="357"/>
        <w:jc w:val="both"/>
        <w:rPr>
          <w:sz w:val="24"/>
          <w:szCs w:val="24"/>
          <w:lang w:eastAsia="ja-JP"/>
        </w:rPr>
      </w:pPr>
      <w:proofErr w:type="spellStart"/>
      <w:r w:rsidRPr="00DF04D9">
        <w:rPr>
          <w:sz w:val="24"/>
          <w:szCs w:val="24"/>
          <w:lang w:eastAsia="ja-JP"/>
        </w:rPr>
        <w:t>ΔN</w:t>
      </w:r>
      <w:r w:rsidRPr="00DF04D9">
        <w:rPr>
          <w:sz w:val="24"/>
          <w:szCs w:val="24"/>
          <w:vertAlign w:val="subscript"/>
          <w:lang w:eastAsia="ja-JP"/>
        </w:rPr>
        <w:t>ex</w:t>
      </w:r>
      <w:proofErr w:type="spellEnd"/>
      <w:r w:rsidRPr="00DF04D9">
        <w:rPr>
          <w:sz w:val="24"/>
          <w:szCs w:val="24"/>
          <w:lang w:eastAsia="ja-JP"/>
        </w:rPr>
        <w:t xml:space="preserve"> = </w:t>
      </w:r>
      <w:proofErr w:type="spellStart"/>
      <w:r w:rsidRPr="00DF04D9">
        <w:rPr>
          <w:sz w:val="24"/>
          <w:szCs w:val="24"/>
          <w:lang w:eastAsia="ja-JP"/>
        </w:rPr>
        <w:t>N</w:t>
      </w:r>
      <w:r w:rsidRPr="00DF04D9">
        <w:rPr>
          <w:sz w:val="24"/>
          <w:szCs w:val="24"/>
          <w:vertAlign w:val="subscript"/>
          <w:lang w:eastAsia="ja-JP"/>
        </w:rPr>
        <w:t>ex</w:t>
      </w:r>
      <w:proofErr w:type="spellEnd"/>
      <w:r w:rsidRPr="00DF04D9">
        <w:rPr>
          <w:sz w:val="24"/>
          <w:szCs w:val="24"/>
          <w:vertAlign w:val="subscript"/>
          <w:lang w:eastAsia="ja-JP"/>
        </w:rPr>
        <w:t>(t2)</w:t>
      </w:r>
      <w:r w:rsidRPr="00DF04D9">
        <w:rPr>
          <w:sz w:val="24"/>
          <w:szCs w:val="24"/>
          <w:lang w:eastAsia="ja-JP"/>
        </w:rPr>
        <w:t xml:space="preserve"> – </w:t>
      </w:r>
      <w:proofErr w:type="spellStart"/>
      <w:r w:rsidRPr="00DF04D9">
        <w:rPr>
          <w:sz w:val="24"/>
          <w:szCs w:val="24"/>
          <w:lang w:eastAsia="ja-JP"/>
        </w:rPr>
        <w:t>N</w:t>
      </w:r>
      <w:r w:rsidRPr="00DF04D9">
        <w:rPr>
          <w:sz w:val="24"/>
          <w:szCs w:val="24"/>
          <w:vertAlign w:val="subscript"/>
          <w:lang w:eastAsia="ja-JP"/>
        </w:rPr>
        <w:t>ex</w:t>
      </w:r>
      <w:proofErr w:type="spellEnd"/>
      <w:r w:rsidRPr="00DF04D9">
        <w:rPr>
          <w:sz w:val="24"/>
          <w:szCs w:val="24"/>
          <w:vertAlign w:val="subscript"/>
          <w:lang w:eastAsia="ja-JP"/>
        </w:rPr>
        <w:t>(t1)</w:t>
      </w:r>
    </w:p>
    <w:p w14:paraId="61EB8AEB" w14:textId="77777777" w:rsidR="00FD13B1" w:rsidRPr="00DF04D9" w:rsidRDefault="00FD13B1" w:rsidP="00FD13B1">
      <w:pPr>
        <w:spacing w:line="480" w:lineRule="auto"/>
        <w:ind w:leftChars="283" w:left="566" w:firstLineChars="400" w:firstLine="960"/>
        <w:jc w:val="both"/>
        <w:rPr>
          <w:sz w:val="24"/>
          <w:szCs w:val="24"/>
          <w:lang w:eastAsia="ja-JP"/>
        </w:rPr>
      </w:pPr>
      <w:r w:rsidRPr="00DF04D9">
        <w:rPr>
          <w:sz w:val="24"/>
          <w:szCs w:val="24"/>
          <w:lang w:eastAsia="ja-JP"/>
        </w:rPr>
        <w:t>= N</w:t>
      </w:r>
      <w:r w:rsidRPr="00DF04D9">
        <w:rPr>
          <w:sz w:val="24"/>
          <w:szCs w:val="24"/>
          <w:vertAlign w:val="subscript"/>
          <w:lang w:eastAsia="ja-JP"/>
        </w:rPr>
        <w:t>obs(t2)</w:t>
      </w:r>
      <w:r w:rsidRPr="00DF04D9">
        <w:rPr>
          <w:sz w:val="24"/>
          <w:szCs w:val="24"/>
          <w:lang w:eastAsia="ja-JP"/>
        </w:rPr>
        <w:t xml:space="preserve"> – N</w:t>
      </w:r>
      <w:r w:rsidRPr="00DF04D9">
        <w:rPr>
          <w:sz w:val="24"/>
          <w:szCs w:val="24"/>
          <w:vertAlign w:val="subscript"/>
          <w:lang w:eastAsia="ja-JP"/>
        </w:rPr>
        <w:t>obs(t1)</w:t>
      </w:r>
      <w:r w:rsidRPr="00DF04D9">
        <w:rPr>
          <w:sz w:val="24"/>
          <w:szCs w:val="24"/>
          <w:lang w:eastAsia="ja-JP"/>
        </w:rPr>
        <w:t xml:space="preserve"> – [(N</w:t>
      </w:r>
      <w:r w:rsidRPr="00DF04D9">
        <w:rPr>
          <w:sz w:val="24"/>
          <w:szCs w:val="24"/>
          <w:vertAlign w:val="subscript"/>
          <w:lang w:eastAsia="ja-JP"/>
        </w:rPr>
        <w:t>p(t2)</w:t>
      </w:r>
      <w:r w:rsidRPr="00DF04D9">
        <w:rPr>
          <w:rFonts w:hint="eastAsia"/>
          <w:sz w:val="24"/>
          <w:szCs w:val="24"/>
          <w:vertAlign w:val="subscript"/>
          <w:lang w:eastAsia="ja-JP"/>
        </w:rPr>
        <w:t xml:space="preserve">　</w:t>
      </w:r>
      <w:r w:rsidRPr="00DF04D9">
        <w:rPr>
          <w:sz w:val="24"/>
          <w:szCs w:val="24"/>
          <w:lang w:eastAsia="ja-JP"/>
        </w:rPr>
        <w:t>–</w:t>
      </w:r>
      <w:r w:rsidRPr="00DF04D9">
        <w:rPr>
          <w:rFonts w:hint="eastAsia"/>
          <w:sz w:val="24"/>
          <w:szCs w:val="24"/>
          <w:lang w:eastAsia="ja-JP"/>
        </w:rPr>
        <w:t xml:space="preserve">　</w:t>
      </w:r>
      <w:r w:rsidRPr="00DF04D9">
        <w:rPr>
          <w:sz w:val="24"/>
          <w:szCs w:val="24"/>
          <w:lang w:eastAsia="ja-JP"/>
        </w:rPr>
        <w:t>N</w:t>
      </w:r>
      <w:r w:rsidRPr="00DF04D9">
        <w:rPr>
          <w:sz w:val="24"/>
          <w:szCs w:val="24"/>
          <w:vertAlign w:val="subscript"/>
          <w:lang w:eastAsia="ja-JP"/>
        </w:rPr>
        <w:t>p(t1)</w:t>
      </w:r>
      <w:r w:rsidRPr="00DF04D9">
        <w:rPr>
          <w:sz w:val="24"/>
          <w:szCs w:val="24"/>
          <w:lang w:eastAsia="ja-JP"/>
        </w:rPr>
        <w:t>) – (N</w:t>
      </w:r>
      <w:r w:rsidRPr="00DF04D9">
        <w:rPr>
          <w:sz w:val="24"/>
          <w:szCs w:val="24"/>
          <w:vertAlign w:val="subscript"/>
          <w:lang w:eastAsia="ja-JP"/>
        </w:rPr>
        <w:t>ex2008</w:t>
      </w:r>
      <w:r w:rsidRPr="00DF04D9">
        <w:rPr>
          <w:rFonts w:hint="eastAsia"/>
          <w:sz w:val="24"/>
          <w:szCs w:val="24"/>
          <w:vertAlign w:val="subscript"/>
          <w:lang w:eastAsia="ja-JP"/>
        </w:rPr>
        <w:t xml:space="preserve">　</w:t>
      </w:r>
      <w:r w:rsidRPr="00DF04D9">
        <w:rPr>
          <w:sz w:val="24"/>
          <w:szCs w:val="24"/>
          <w:lang w:eastAsia="ja-JP"/>
        </w:rPr>
        <w:t>– N</w:t>
      </w:r>
      <w:r w:rsidRPr="00DF04D9">
        <w:rPr>
          <w:sz w:val="24"/>
          <w:szCs w:val="24"/>
          <w:vertAlign w:val="subscript"/>
          <w:lang w:eastAsia="ja-JP"/>
        </w:rPr>
        <w:t>ex2008</w:t>
      </w:r>
      <w:r w:rsidRPr="00DF04D9">
        <w:rPr>
          <w:sz w:val="24"/>
          <w:szCs w:val="24"/>
          <w:lang w:eastAsia="ja-JP"/>
        </w:rPr>
        <w:t xml:space="preserve">)] </w:t>
      </w:r>
    </w:p>
    <w:p w14:paraId="243D4F16" w14:textId="77777777" w:rsidR="00FD13B1" w:rsidRPr="00DF04D9" w:rsidRDefault="00FD13B1" w:rsidP="00FD13B1">
      <w:pPr>
        <w:spacing w:line="480" w:lineRule="auto"/>
        <w:ind w:leftChars="283" w:left="566" w:firstLineChars="400" w:firstLine="960"/>
        <w:jc w:val="both"/>
        <w:rPr>
          <w:sz w:val="24"/>
          <w:szCs w:val="24"/>
          <w:lang w:eastAsia="ja-JP"/>
        </w:rPr>
      </w:pPr>
      <w:r w:rsidRPr="00DF04D9">
        <w:rPr>
          <w:sz w:val="24"/>
          <w:szCs w:val="24"/>
          <w:lang w:eastAsia="ja-JP"/>
        </w:rPr>
        <w:t xml:space="preserve">= </w:t>
      </w:r>
      <w:proofErr w:type="spellStart"/>
      <w:r w:rsidRPr="00DF04D9">
        <w:rPr>
          <w:sz w:val="24"/>
          <w:szCs w:val="24"/>
          <w:lang w:eastAsia="ja-JP"/>
        </w:rPr>
        <w:t>ΔN</w:t>
      </w:r>
      <w:r w:rsidRPr="00DF04D9">
        <w:rPr>
          <w:sz w:val="24"/>
          <w:szCs w:val="24"/>
          <w:vertAlign w:val="subscript"/>
          <w:lang w:eastAsia="ja-JP"/>
        </w:rPr>
        <w:t>obs</w:t>
      </w:r>
      <w:proofErr w:type="spellEnd"/>
      <w:r w:rsidRPr="00DF04D9">
        <w:rPr>
          <w:sz w:val="24"/>
          <w:szCs w:val="24"/>
          <w:lang w:eastAsia="ja-JP"/>
        </w:rPr>
        <w:t xml:space="preserve"> – </w:t>
      </w:r>
      <w:proofErr w:type="spellStart"/>
      <w:r w:rsidRPr="00DF04D9">
        <w:rPr>
          <w:sz w:val="24"/>
          <w:szCs w:val="24"/>
          <w:lang w:eastAsia="ja-JP"/>
        </w:rPr>
        <w:t>ΔN</w:t>
      </w:r>
      <w:r w:rsidRPr="00DF04D9">
        <w:rPr>
          <w:sz w:val="24"/>
          <w:szCs w:val="24"/>
          <w:vertAlign w:val="subscript"/>
          <w:lang w:eastAsia="ja-JP"/>
        </w:rPr>
        <w:t>p</w:t>
      </w:r>
      <w:proofErr w:type="spellEnd"/>
      <w:r w:rsidRPr="00DF04D9">
        <w:rPr>
          <w:sz w:val="24"/>
          <w:szCs w:val="24"/>
          <w:vertAlign w:val="subscript"/>
          <w:lang w:eastAsia="ja-JP"/>
        </w:rPr>
        <w:t xml:space="preserve">       </w:t>
      </w:r>
      <w:r w:rsidRPr="00DF04D9">
        <w:rPr>
          <w:sz w:val="24"/>
          <w:szCs w:val="24"/>
          <w:lang w:eastAsia="ja-JP"/>
        </w:rPr>
        <w:t xml:space="preserve">              </w:t>
      </w:r>
      <w:r w:rsidRPr="00DF04D9">
        <w:rPr>
          <w:sz w:val="24"/>
          <w:szCs w:val="24"/>
          <w:lang w:eastAsia="ja-JP"/>
        </w:rPr>
        <w:tab/>
      </w:r>
      <w:r w:rsidRPr="00DF04D9">
        <w:rPr>
          <w:sz w:val="24"/>
          <w:szCs w:val="24"/>
          <w:lang w:eastAsia="ja-JP"/>
        </w:rPr>
        <w:tab/>
      </w:r>
      <w:r w:rsidRPr="00DF04D9">
        <w:rPr>
          <w:sz w:val="24"/>
          <w:szCs w:val="24"/>
          <w:lang w:eastAsia="ja-JP"/>
        </w:rPr>
        <w:tab/>
      </w:r>
      <w:r w:rsidRPr="00DF04D9">
        <w:rPr>
          <w:sz w:val="24"/>
          <w:szCs w:val="24"/>
          <w:lang w:eastAsia="ja-JP"/>
        </w:rPr>
        <w:tab/>
      </w:r>
      <w:r w:rsidRPr="00DF04D9">
        <w:rPr>
          <w:sz w:val="24"/>
          <w:szCs w:val="24"/>
          <w:lang w:eastAsia="ja-JP"/>
        </w:rPr>
        <w:tab/>
      </w:r>
      <w:r w:rsidRPr="00DF04D9">
        <w:rPr>
          <w:sz w:val="24"/>
          <w:szCs w:val="24"/>
          <w:lang w:eastAsia="ja-JP"/>
        </w:rPr>
        <w:tab/>
      </w:r>
      <w:r w:rsidRPr="00DF04D9">
        <w:rPr>
          <w:sz w:val="24"/>
          <w:szCs w:val="24"/>
          <w:lang w:eastAsia="ja-JP"/>
        </w:rPr>
        <w:tab/>
        <w:t xml:space="preserve"> (S5)</w:t>
      </w:r>
    </w:p>
    <w:p w14:paraId="5F0FC02E" w14:textId="77777777" w:rsidR="00FD13B1" w:rsidRPr="00DF04D9" w:rsidRDefault="00FD13B1" w:rsidP="00FD13B1">
      <w:pPr>
        <w:spacing w:line="480" w:lineRule="auto"/>
        <w:ind w:leftChars="283" w:left="566" w:firstLineChars="100" w:firstLine="240"/>
        <w:jc w:val="both"/>
        <w:rPr>
          <w:sz w:val="24"/>
          <w:szCs w:val="24"/>
        </w:rPr>
      </w:pPr>
    </w:p>
    <w:p w14:paraId="7A4C7F99" w14:textId="4537A886" w:rsidR="00FD13B1" w:rsidRPr="00DF04D9" w:rsidRDefault="00FD13B1" w:rsidP="00FD13B1">
      <w:pPr>
        <w:spacing w:line="480" w:lineRule="auto"/>
        <w:ind w:leftChars="283" w:left="566" w:firstLineChars="257" w:firstLine="617"/>
        <w:jc w:val="both"/>
        <w:rPr>
          <w:sz w:val="24"/>
          <w:szCs w:val="24"/>
          <w:lang w:eastAsia="ja-JP"/>
        </w:rPr>
      </w:pPr>
      <w:r w:rsidRPr="00DF04D9">
        <w:rPr>
          <w:sz w:val="24"/>
          <w:szCs w:val="24"/>
        </w:rPr>
        <w:t xml:space="preserve">In summary, </w:t>
      </w:r>
      <w:r w:rsidRPr="00263A8D">
        <w:rPr>
          <w:sz w:val="24"/>
          <w:szCs w:val="24"/>
        </w:rPr>
        <w:t>Eq</w:t>
      </w:r>
      <w:r w:rsidR="00263A8D" w:rsidRPr="00263A8D">
        <w:rPr>
          <w:sz w:val="24"/>
          <w:szCs w:val="24"/>
        </w:rPr>
        <w:t>.</w:t>
      </w:r>
      <w:r w:rsidRPr="00263A8D">
        <w:rPr>
          <w:sz w:val="24"/>
          <w:szCs w:val="24"/>
        </w:rPr>
        <w:t xml:space="preserve"> (S5)</w:t>
      </w:r>
      <w:r w:rsidRPr="00DF04D9">
        <w:rPr>
          <w:sz w:val="24"/>
          <w:szCs w:val="24"/>
        </w:rPr>
        <w:t xml:space="preserve"> allows us to clarify </w:t>
      </w:r>
      <w:proofErr w:type="spellStart"/>
      <w:r w:rsidR="005F712B" w:rsidRPr="00DF04D9">
        <w:rPr>
          <w:sz w:val="24"/>
          <w:szCs w:val="24"/>
          <w:lang w:eastAsia="ja-JP"/>
        </w:rPr>
        <w:t>Δ</w:t>
      </w:r>
      <w:r w:rsidRPr="00DF04D9">
        <w:rPr>
          <w:sz w:val="24"/>
          <w:szCs w:val="24"/>
          <w:lang w:eastAsia="ja-JP"/>
        </w:rPr>
        <w:t>N</w:t>
      </w:r>
      <w:r w:rsidRPr="00DF04D9">
        <w:rPr>
          <w:sz w:val="24"/>
          <w:szCs w:val="24"/>
          <w:vertAlign w:val="subscript"/>
          <w:lang w:eastAsia="ja-JP"/>
        </w:rPr>
        <w:t>ex</w:t>
      </w:r>
      <w:proofErr w:type="spellEnd"/>
      <w:r w:rsidRPr="00DF04D9">
        <w:rPr>
          <w:sz w:val="24"/>
          <w:szCs w:val="24"/>
        </w:rPr>
        <w:t xml:space="preserve"> in the case where the observational data of N, DO, T, S, and </w:t>
      </w:r>
      <w:proofErr w:type="spellStart"/>
      <w:r w:rsidRPr="00DF04D9">
        <w:rPr>
          <w:sz w:val="24"/>
          <w:szCs w:val="24"/>
        </w:rPr>
        <w:t>Pr</w:t>
      </w:r>
      <w:proofErr w:type="spellEnd"/>
      <w:r w:rsidRPr="00DF04D9">
        <w:rPr>
          <w:sz w:val="24"/>
          <w:szCs w:val="24"/>
        </w:rPr>
        <w:t xml:space="preserve"> are repeatedly acquired for the same region. The appropriateness of this assumption has been proved in Supplementary S</w:t>
      </w:r>
      <w:r w:rsidRPr="00DF04D9">
        <w:rPr>
          <w:iCs/>
          <w:sz w:val="24"/>
          <w:szCs w:val="24"/>
          <w:lang w:eastAsia="ja-JP"/>
        </w:rPr>
        <w:t xml:space="preserve">ection 2 of the study by </w:t>
      </w:r>
      <w:r w:rsidRPr="00DF04D9">
        <w:rPr>
          <w:iCs/>
          <w:sz w:val="24"/>
          <w:szCs w:val="24"/>
        </w:rPr>
        <w:t xml:space="preserve">Watanabe et al. </w:t>
      </w:r>
      <w:r w:rsidRPr="00DF04D9">
        <w:rPr>
          <w:iCs/>
          <w:sz w:val="24"/>
          <w:szCs w:val="24"/>
          <w:lang w:eastAsia="ja-JP"/>
        </w:rPr>
        <w:t xml:space="preserve">(2018) </w:t>
      </w:r>
      <w:r w:rsidRPr="00DF04D9">
        <w:rPr>
          <w:iCs/>
          <w:sz w:val="24"/>
          <w:szCs w:val="24"/>
        </w:rPr>
        <w:fldChar w:fldCharType="begin" w:fldLock="1"/>
      </w:r>
      <w:r w:rsidRPr="00DF04D9">
        <w:rPr>
          <w:rFonts w:hint="eastAsia"/>
          <w:iCs/>
          <w:sz w:val="24"/>
          <w:szCs w:val="24"/>
        </w:rPr>
        <w:instrText>ADDIN CSL_CITATION {"citationItems":[{"id":"ITEM-1","itemData":{"DOI":"10.1029/2018GL078084","ISSN":"0094-8276","abstract":"Anthropogenic atmospheric CO2uptake by the ocean is causing a global ocean pH decline,resulting indirect</w:instrText>
      </w:r>
      <w:r w:rsidRPr="00DF04D9">
        <w:rPr>
          <w:rFonts w:hint="eastAsia"/>
          <w:iCs/>
          <w:sz w:val="24"/>
          <w:szCs w:val="24"/>
        </w:rPr>
        <w:instrText>‐</w:instrText>
      </w:r>
      <w:r w:rsidRPr="00DF04D9">
        <w:rPr>
          <w:rFonts w:hint="eastAsia"/>
          <w:iCs/>
          <w:sz w:val="24"/>
          <w:szCs w:val="24"/>
        </w:rPr>
        <w:instrText>anthropogenic ocean acidification (Ed</w:instrText>
      </w:r>
      <w:r w:rsidRPr="00DF04D9">
        <w:rPr>
          <w:rFonts w:hint="eastAsia"/>
          <w:iCs/>
          <w:sz w:val="24"/>
          <w:szCs w:val="24"/>
        </w:rPr>
        <w:instrText>‐</w:instrText>
      </w:r>
      <w:r w:rsidRPr="00DF04D9">
        <w:rPr>
          <w:rFonts w:hint="eastAsia"/>
          <w:iCs/>
          <w:sz w:val="24"/>
          <w:szCs w:val="24"/>
        </w:rPr>
        <w:instrText>anth). However, indirect</w:instrText>
      </w:r>
      <w:r w:rsidRPr="00DF04D9">
        <w:rPr>
          <w:rFonts w:hint="eastAsia"/>
          <w:iCs/>
          <w:sz w:val="24"/>
          <w:szCs w:val="24"/>
        </w:rPr>
        <w:instrText>‐</w:instrText>
      </w:r>
      <w:r w:rsidRPr="00DF04D9">
        <w:rPr>
          <w:rFonts w:hint="eastAsia"/>
          <w:iCs/>
          <w:sz w:val="24"/>
          <w:szCs w:val="24"/>
        </w:rPr>
        <w:instrText>anthropogenic effects ofchanges in biological and physical processes inthe oceanalso influence ocean pH (Ei</w:instrText>
      </w:r>
      <w:r w:rsidRPr="00DF04D9">
        <w:rPr>
          <w:rFonts w:hint="eastAsia"/>
          <w:iCs/>
          <w:sz w:val="24"/>
          <w:szCs w:val="24"/>
        </w:rPr>
        <w:instrText>‐</w:instrText>
      </w:r>
      <w:r w:rsidRPr="00DF04D9">
        <w:rPr>
          <w:rFonts w:hint="eastAsia"/>
          <w:iCs/>
          <w:sz w:val="24"/>
          <w:szCs w:val="24"/>
        </w:rPr>
        <w:instrText>anth). Therefore, distinguishing between Ed</w:instrText>
      </w:r>
      <w:r w:rsidRPr="00DF04D9">
        <w:rPr>
          <w:rFonts w:hint="eastAsia"/>
          <w:iCs/>
          <w:sz w:val="24"/>
          <w:szCs w:val="24"/>
        </w:rPr>
        <w:instrText>‐</w:instrText>
      </w:r>
      <w:r w:rsidRPr="00DF04D9">
        <w:rPr>
          <w:rFonts w:hint="eastAsia"/>
          <w:iCs/>
          <w:sz w:val="24"/>
          <w:szCs w:val="24"/>
        </w:rPr>
        <w:instrText>anth and Ei</w:instrText>
      </w:r>
      <w:r w:rsidRPr="00DF04D9">
        <w:rPr>
          <w:rFonts w:hint="eastAsia"/>
          <w:iCs/>
          <w:sz w:val="24"/>
          <w:szCs w:val="24"/>
        </w:rPr>
        <w:instrText>‐</w:instrText>
      </w:r>
      <w:r w:rsidRPr="00DF04D9">
        <w:rPr>
          <w:rFonts w:hint="eastAsia"/>
          <w:iCs/>
          <w:sz w:val="24"/>
          <w:szCs w:val="24"/>
        </w:rPr>
        <w:instrText>anth is essential for predicting the progress of overall ocean acidification. We demonstrate long</w:instrText>
      </w:r>
      <w:r w:rsidRPr="00DF04D9">
        <w:rPr>
          <w:rFonts w:hint="eastAsia"/>
          <w:iCs/>
          <w:sz w:val="24"/>
          <w:szCs w:val="24"/>
        </w:rPr>
        <w:instrText>‐</w:instrText>
      </w:r>
      <w:r w:rsidRPr="00DF04D9">
        <w:rPr>
          <w:rFonts w:hint="eastAsia"/>
          <w:iCs/>
          <w:sz w:val="24"/>
          <w:szCs w:val="24"/>
        </w:rPr>
        <w:instrText>term trends of Ed</w:instrText>
      </w:r>
      <w:r w:rsidRPr="00DF04D9">
        <w:rPr>
          <w:rFonts w:hint="eastAsia"/>
          <w:iCs/>
          <w:sz w:val="24"/>
          <w:szCs w:val="24"/>
        </w:rPr>
        <w:instrText>‐</w:instrText>
      </w:r>
      <w:r w:rsidRPr="00DF04D9">
        <w:rPr>
          <w:rFonts w:hint="eastAsia"/>
          <w:iCs/>
          <w:sz w:val="24"/>
          <w:szCs w:val="24"/>
        </w:rPr>
        <w:instrText>anth and Ei</w:instrText>
      </w:r>
      <w:r w:rsidRPr="00DF04D9">
        <w:rPr>
          <w:rFonts w:hint="eastAsia"/>
          <w:iCs/>
          <w:sz w:val="24"/>
          <w:szCs w:val="24"/>
        </w:rPr>
        <w:instrText>‐</w:instrText>
      </w:r>
      <w:r w:rsidRPr="00DF04D9">
        <w:rPr>
          <w:rFonts w:hint="eastAsia"/>
          <w:iCs/>
          <w:sz w:val="24"/>
          <w:szCs w:val="24"/>
        </w:rPr>
        <w:instrText>anth in the subarctic North Pacific using a parameterization technique with an observed pH (pHobs) time series. All Ei</w:instrText>
      </w:r>
      <w:r w:rsidRPr="00DF04D9">
        <w:rPr>
          <w:rFonts w:hint="eastAsia"/>
          <w:iCs/>
          <w:sz w:val="24"/>
          <w:szCs w:val="24"/>
        </w:rPr>
        <w:instrText>‐</w:instrText>
      </w:r>
      <w:r w:rsidRPr="00DF04D9">
        <w:rPr>
          <w:rFonts w:hint="eastAsia"/>
          <w:iCs/>
          <w:sz w:val="24"/>
          <w:szCs w:val="24"/>
        </w:rPr>
        <w:instrText xml:space="preserve">anthin the ocean interior under 150m cause a pH decrease of 0.0012 </w:instrText>
      </w:r>
      <w:r w:rsidRPr="00DF04D9">
        <w:rPr>
          <w:rFonts w:hint="eastAsia"/>
          <w:iCs/>
          <w:sz w:val="24"/>
          <w:szCs w:val="24"/>
        </w:rPr>
        <w:instrText>±</w:instrText>
      </w:r>
      <w:r w:rsidRPr="00DF04D9">
        <w:rPr>
          <w:rFonts w:hint="eastAsia"/>
          <w:iCs/>
          <w:sz w:val="24"/>
          <w:szCs w:val="24"/>
        </w:rPr>
        <w:instrText xml:space="preserve"> 0.0003 per year superimposed on an 18</w:instrText>
      </w:r>
      <w:r w:rsidRPr="00DF04D9">
        <w:rPr>
          <w:rFonts w:hint="eastAsia"/>
          <w:iCs/>
          <w:sz w:val="24"/>
          <w:szCs w:val="24"/>
        </w:rPr>
        <w:instrText>‐</w:instrText>
      </w:r>
      <w:r w:rsidRPr="00DF04D9">
        <w:rPr>
          <w:rFonts w:hint="eastAsia"/>
          <w:iCs/>
          <w:sz w:val="24"/>
          <w:szCs w:val="24"/>
        </w:rPr>
        <w:instrText>year oscillation. Subtracting the pH decrease by Ei</w:instrText>
      </w:r>
      <w:r w:rsidRPr="00DF04D9">
        <w:rPr>
          <w:rFonts w:hint="eastAsia"/>
          <w:iCs/>
          <w:sz w:val="24"/>
          <w:szCs w:val="24"/>
        </w:rPr>
        <w:instrText>‐</w:instrText>
      </w:r>
      <w:r w:rsidRPr="00DF04D9">
        <w:rPr>
          <w:rFonts w:hint="eastAsia"/>
          <w:iCs/>
          <w:sz w:val="24"/>
          <w:szCs w:val="24"/>
        </w:rPr>
        <w:instrText xml:space="preserve">anth from thepHobstrend for the same region yields a net linear pH decreasing trend of 0.0021 </w:instrText>
      </w:r>
      <w:r w:rsidRPr="00DF04D9">
        <w:rPr>
          <w:rFonts w:hint="eastAsia"/>
          <w:iCs/>
          <w:sz w:val="24"/>
          <w:szCs w:val="24"/>
        </w:rPr>
        <w:instrText>±</w:instrText>
      </w:r>
      <w:r w:rsidRPr="00DF04D9">
        <w:rPr>
          <w:rFonts w:hint="eastAsia"/>
          <w:iCs/>
          <w:sz w:val="24"/>
          <w:szCs w:val="24"/>
        </w:rPr>
        <w:instrText xml:space="preserve"> 0.0003 per year byEd</w:instrText>
      </w:r>
      <w:r w:rsidRPr="00DF04D9">
        <w:rPr>
          <w:rFonts w:hint="eastAsia"/>
          <w:iCs/>
          <w:sz w:val="24"/>
          <w:szCs w:val="24"/>
        </w:rPr>
        <w:instrText>‐</w:instrText>
      </w:r>
      <w:r w:rsidRPr="00DF04D9">
        <w:rPr>
          <w:rFonts w:hint="eastAsia"/>
          <w:iCs/>
          <w:sz w:val="24"/>
          <w:szCs w:val="24"/>
        </w:rPr>
        <w:instrText>anthfor the whole ocean, indicating that pH decreases by Ei</w:instrText>
      </w:r>
      <w:r w:rsidRPr="00DF04D9">
        <w:rPr>
          <w:rFonts w:hint="eastAsia"/>
          <w:iCs/>
          <w:sz w:val="24"/>
          <w:szCs w:val="24"/>
        </w:rPr>
        <w:instrText>‐</w:instrText>
      </w:r>
      <w:r w:rsidRPr="00DF04D9">
        <w:rPr>
          <w:rFonts w:hint="eastAsia"/>
          <w:iCs/>
          <w:sz w:val="24"/>
          <w:szCs w:val="24"/>
        </w:rPr>
        <w:instrText>anth account for ~40% of total ocean acidification.","author":[{"dropping-particle":"","family":"Watanabe","given":"Y. W.","non-dropping-particle":"","parse-names":false,"suffix":""},{"dropping-particle":"","family":"Li","given":"B. F."</w:instrText>
      </w:r>
      <w:r w:rsidRPr="00DF04D9">
        <w:rPr>
          <w:iCs/>
          <w:sz w:val="24"/>
          <w:szCs w:val="24"/>
        </w:rPr>
        <w:instrText>,"non-dropping-particle":"","parse-names":false,"suffix":""},{"dropping-particle":"","family":"Wakita","given":"M.","non-dropping-particle":"","parse-names":false,"suffix":""}],"container-title":"Geophysical Research Letters","id":"ITEM-1","issue":"17","issued":{"date-parts":[["2018"]]},"page":"9106-9113","title":"Long-Term Trends of Direct and Indirect Anthropogenic Effects on Changes in Ocean pH","type":"article-journal","volume":"45"},"uris":["http://www.mendeley.com/documents/?uuid=052531fc-492b-472a-8899-4b3df32cee1e"]}],"mendeley":{"formattedCitation":"&lt;sup&gt;10&lt;/sup&gt;","plainTextFormattedCitation":"10","previouslyFormattedCitation":"&lt;sup&gt;10&lt;/sup&gt;"},"properties":{"noteIndex":0},"schema":"https://github.com/citation-style-language/schema/raw/master/csl-citation.json"}</w:instrText>
      </w:r>
      <w:r w:rsidRPr="00DF04D9">
        <w:rPr>
          <w:iCs/>
          <w:sz w:val="24"/>
          <w:szCs w:val="24"/>
        </w:rPr>
        <w:fldChar w:fldCharType="separate"/>
      </w:r>
      <w:r w:rsidRPr="00DF04D9">
        <w:rPr>
          <w:iCs/>
          <w:noProof/>
          <w:sz w:val="24"/>
          <w:szCs w:val="24"/>
          <w:vertAlign w:val="superscript"/>
        </w:rPr>
        <w:t>10</w:t>
      </w:r>
      <w:r w:rsidRPr="00DF04D9">
        <w:rPr>
          <w:iCs/>
          <w:sz w:val="24"/>
          <w:szCs w:val="24"/>
        </w:rPr>
        <w:fldChar w:fldCharType="end"/>
      </w:r>
      <w:r w:rsidRPr="00DF04D9">
        <w:rPr>
          <w:i/>
          <w:iCs/>
          <w:sz w:val="24"/>
          <w:szCs w:val="24"/>
          <w:lang w:eastAsia="ja-JP"/>
        </w:rPr>
        <w:t>.</w:t>
      </w:r>
    </w:p>
    <w:bookmarkEnd w:id="5"/>
    <w:p w14:paraId="63C7F715" w14:textId="77777777" w:rsidR="00FD13B1" w:rsidRPr="00C57AD2" w:rsidRDefault="00FD13B1" w:rsidP="00FD13B1">
      <w:pPr>
        <w:spacing w:line="480" w:lineRule="auto"/>
        <w:ind w:leftChars="283" w:left="566" w:firstLineChars="256" w:firstLine="614"/>
        <w:jc w:val="both"/>
        <w:rPr>
          <w:rFonts w:eastAsia="Times New Roman"/>
          <w:sz w:val="24"/>
          <w:szCs w:val="24"/>
        </w:rPr>
      </w:pPr>
    </w:p>
    <w:p w14:paraId="095ECD0E" w14:textId="77777777" w:rsidR="00FD13B1" w:rsidRPr="00C57AD2" w:rsidRDefault="00FD13B1" w:rsidP="00FD13B1">
      <w:pPr>
        <w:rPr>
          <w:rFonts w:eastAsia="Times New Roman"/>
          <w:sz w:val="24"/>
          <w:szCs w:val="24"/>
        </w:rPr>
      </w:pPr>
      <w:r w:rsidRPr="00C57AD2">
        <w:br w:type="page"/>
      </w:r>
    </w:p>
    <w:p w14:paraId="14ED3F32" w14:textId="77777777" w:rsidR="00FD13B1" w:rsidRPr="00C57AD2" w:rsidRDefault="00FD13B1" w:rsidP="00FD13B1">
      <w:pPr>
        <w:rPr>
          <w:rFonts w:eastAsia="游明朝"/>
          <w:lang w:eastAsia="ja-JP"/>
        </w:rPr>
      </w:pPr>
      <w:bookmarkStart w:id="6" w:name="_Hlk22133994"/>
    </w:p>
    <w:tbl>
      <w:tblPr>
        <w:tblpPr w:leftFromText="180" w:rightFromText="180" w:vertAnchor="page" w:horzAnchor="margin" w:tblpY="1201"/>
        <w:tblW w:w="0" w:type="auto"/>
        <w:tblBorders>
          <w:top w:val="single" w:sz="4" w:space="0" w:color="auto"/>
          <w:bottom w:val="single" w:sz="4" w:space="0" w:color="auto"/>
        </w:tblBorders>
        <w:tblLook w:val="04A0" w:firstRow="1" w:lastRow="0" w:firstColumn="1" w:lastColumn="0" w:noHBand="0" w:noVBand="1"/>
      </w:tblPr>
      <w:tblGrid>
        <w:gridCol w:w="2142"/>
        <w:gridCol w:w="1575"/>
        <w:gridCol w:w="2142"/>
        <w:gridCol w:w="1578"/>
      </w:tblGrid>
      <w:tr w:rsidR="00FD13B1" w:rsidRPr="00C57AD2" w14:paraId="1A81762E" w14:textId="77777777" w:rsidTr="00F528FF">
        <w:trPr>
          <w:trHeight w:val="289"/>
        </w:trPr>
        <w:tc>
          <w:tcPr>
            <w:tcW w:w="7437" w:type="dxa"/>
            <w:gridSpan w:val="4"/>
            <w:tcBorders>
              <w:top w:val="nil"/>
              <w:bottom w:val="single" w:sz="4" w:space="0" w:color="auto"/>
            </w:tcBorders>
            <w:noWrap/>
          </w:tcPr>
          <w:p w14:paraId="6C9E21FA" w14:textId="77777777" w:rsidR="00FD13B1" w:rsidRPr="00C57AD2" w:rsidRDefault="00FD13B1" w:rsidP="00F528FF">
            <w:pPr>
              <w:rPr>
                <w:b/>
                <w:bCs/>
                <w:sz w:val="22"/>
                <w:szCs w:val="22"/>
              </w:rPr>
            </w:pPr>
            <w:bookmarkStart w:id="7" w:name="_Hlk22133969"/>
          </w:p>
          <w:p w14:paraId="098A523C" w14:textId="77777777" w:rsidR="00FD13B1" w:rsidRPr="00C57AD2" w:rsidRDefault="00FD13B1" w:rsidP="00F528FF">
            <w:pPr>
              <w:rPr>
                <w:sz w:val="22"/>
                <w:szCs w:val="22"/>
              </w:rPr>
            </w:pPr>
            <w:r w:rsidRPr="00C57AD2">
              <w:rPr>
                <w:b/>
                <w:bCs/>
                <w:sz w:val="22"/>
                <w:szCs w:val="22"/>
              </w:rPr>
              <w:t xml:space="preserve">Table S1. </w:t>
            </w:r>
            <w:r w:rsidRPr="00C57AD2">
              <w:rPr>
                <w:rFonts w:eastAsia="SimSun"/>
                <w:bCs/>
                <w:sz w:val="22"/>
                <w:szCs w:val="22"/>
              </w:rPr>
              <w:t>Information</w:t>
            </w:r>
            <w:r w:rsidRPr="00C57AD2">
              <w:rPr>
                <w:sz w:val="22"/>
                <w:szCs w:val="22"/>
                <w:lang w:eastAsia="ja-JP"/>
              </w:rPr>
              <w:t xml:space="preserve"> of cruises undertaken </w:t>
            </w:r>
            <w:r w:rsidRPr="00C57AD2">
              <w:rPr>
                <w:sz w:val="22"/>
                <w:szCs w:val="22"/>
              </w:rPr>
              <w:t xml:space="preserve">for </w:t>
            </w:r>
            <w:r w:rsidRPr="00C57AD2">
              <w:rPr>
                <w:sz w:val="22"/>
                <w:szCs w:val="22"/>
                <w:lang w:eastAsia="ja-JP"/>
              </w:rPr>
              <w:t xml:space="preserve">constructing </w:t>
            </w:r>
            <w:r w:rsidRPr="00C57AD2">
              <w:rPr>
                <w:sz w:val="22"/>
                <w:szCs w:val="22"/>
              </w:rPr>
              <w:t>the parameterization of N</w:t>
            </w:r>
            <w:r w:rsidRPr="00C57AD2">
              <w:rPr>
                <w:sz w:val="22"/>
                <w:szCs w:val="22"/>
                <w:vertAlign w:val="subscript"/>
              </w:rPr>
              <w:t>p</w:t>
            </w:r>
            <w:r w:rsidRPr="00C57AD2">
              <w:rPr>
                <w:sz w:val="22"/>
                <w:szCs w:val="22"/>
              </w:rPr>
              <w:t xml:space="preserve"> from</w:t>
            </w:r>
            <w:r w:rsidRPr="00C57AD2">
              <w:rPr>
                <w:sz w:val="22"/>
                <w:szCs w:val="22"/>
                <w:lang w:eastAsia="ja-JP"/>
              </w:rPr>
              <w:t xml:space="preserve"> G</w:t>
            </w:r>
            <w:r w:rsidRPr="00C57AD2">
              <w:rPr>
                <w:sz w:val="22"/>
                <w:szCs w:val="22"/>
              </w:rPr>
              <w:t xml:space="preserve">LODAPv2 </w:t>
            </w:r>
            <w:r>
              <w:rPr>
                <w:sz w:val="22"/>
                <w:szCs w:val="22"/>
                <w:vertAlign w:val="superscript"/>
              </w:rPr>
              <w:fldChar w:fldCharType="begin" w:fldLock="1"/>
            </w:r>
            <w:r>
              <w:rPr>
                <w:sz w:val="22"/>
                <w:szCs w:val="22"/>
                <w:vertAlign w:val="superscript"/>
              </w:rPr>
              <w:instrText xml:space="preserve">ADDIN CSL_CITATION {"citationItems":[{"id":"ITEM-1","itemData":{"DOI":"10.5194/essd-2019-66","abstract":"Abstract. The Global Ocean Data Analysis Project (GLODAP) is a synthesis effort providing regular compilations of surface to bottom ocean biogeochemical data, with an emphasis on seawater inorganic carbon 40 chemistry and related variables determined through chemical analysis of water samples. This update of GLODAPv2, v2.2019, adds data from 116 cruises to the previous version, extending its coverage in time from 2013 to 2017 while also adding some data from prior years. GLODAPv2.2019 includes measurements from more than 1.1 million water samples from the global oceans collected on 840 cruises. The data for the 12 GLODAP core variables (salinity, oxygen, nitrate, silicate, phosphate, dissolved inorganic carbon, total alkalinity, pH, CFC-11, CFC-12, CFC-113, and CCl4) have been subjected to extensive quality control, especially systematic evaluation of bias. The data are available in two formats: (i) as submitted by the data originator but updated to WOCE exchange format and (ii) as a merged data product with adjustments applied to minimize bias. These adjustments were derived by comparing the data from the 116 new cruises with the data from the 724 quality-controlled cruises of the GLODAPv2 data product. They correct for errors related to measurement, calibration, and data handling practices, taking into account any known or likely time trends or variations. The compiled and adjusted data product is believed to be consistent to better that 0.005 in salinity, 1&amp;thinsp;% in oxygen, 2&amp;thinsp;% in nitrate, 2&amp;thinsp;% in silicate, 2&amp;thinsp;% in phosphate, 4&amp;thinsp;μmol&amp;thinsp;kg&amp;minus;1 in dissolved inorganic carbon, 4&amp;thinsp;μmol&amp;thinsp;kg&amp;minus;1 in total alkalinity, 0.01 in pH, and 5&amp;thinsp;% in the halogenated transient tracers. The compilation also includes data for several other variables, such as isotopic tracers. These were not subjected to bias comparison or adjustments. The original data, their documentation and doi codes are available at the Ocean Carbon Data System of NOAA/NCEI (https://www.nodc.noaa.gov/ocads/oceans/GLODAPv2_2019/). This site also provides access to the merged data product, which is provided as a single global file or as four regional ones &amp;ndash; the Arctic, Atlantic, Indian, and Pacific oceans &amp;ndash; under the doi: https://doi.org/10.25921/xnme-wr20 (Olsen et al., 2019). The product files also include significant ancillary and approximated data. These were obtained by interpolation of, or calculation from, measured data. This…","author":[{"dropping-particle":"","family":"Olsen","given":"Are","non-dropping-particle":"","parse-names":false,"suffix":""},{"dropping-particle":"","family":"Lange","given":"Nico","non-dropping-particle":"","parse-names":false,"suffix":""},{"dropping-particle":"","family":"Key","given":"Robert M.","non-dropping-particle":"","parse-names":false,"suffix":""},{"dropping-particle":"","family":"Tanhua","given":"Toste","non-dropping-particle":"","parse-names":false,"suffix":""},{"dropping-particle":"","family":"Álvarez","given":"Marta","non-dropping-particle":"","parse-names":false,"suffix":""},{"dropping-particle":"","family":"Becker","given":"Susan","non-dropping-particle":"","parse-names":false,"suffix":""},{"dropping-particle":"","family":"Bittig","given":"Henry C.","non-dropping-particle":"","parse-names":false,"suffix":""},{"dropping-particle":"","family":"Carter","given":"Brendan R.","non-dropping-particle":"","parse-names":false,"suffix":""},{"dropping-particle":"","family":"Cotrim da Cunha","given":"Leticia","non-dropping-particle":"","parse-names":false,"suffix":""},{"dropping-particle":"","family":"Feely","given":"Richard A.","non-dropping-particle":"","parse-names":false,"suffix":""},{"dropping-particle":"","family":"Heuven","given":"Steven","non-dropping-particle":"van","parse-names":false,"suffix":""},{"dropping-particle":"","family":"Hoppema","given":"Mario","non-dropping-particle":"","parse-names":false,"suffix":""},{"dropping-particle":"","family":"Ishii","given":"Masao","non-dropping-particle":"","parse-names":false,"suffix":""},{"dropping-particle":"","family":"Jeansson","given":"Emil","non-dropping-particle":"","parse-names":false,"suffix":""},{"dropping-particle":"","family":"Jones","given":"Steve D.","non-dropping-particle":"","parse-names":false,"suffix":""},{"dropping-particle":"","family":"Jutterström","given":"Sara","non-dropping-particle":"","parse-names":false,"suffix":""},{"dropping-particle":"","family":"Karlsen","given":"Maren K.","non-dropping-particle":"","parse-names":false,"suffix":""},{"dropping-particle":"","family":"Kozyr","given":"Alex","non-dropping-particle":"","parse-names":false,"suffix":""},{"dropping-particle":"","family":"Lauvset","given":"Siv K.","non-dropping-particle":"","parse-names":false,"suffix":""},{"dropping-particle":"","family":"Monaco","given":"Claire","non-dropping-particle":"Lo","parse-names":false,"suffix":""},{"dropping-particle":"","family":"Murata","given":"Akihiko","non-dropping-particle":"","parse-names":false,"suffix":""},{"dropping-particle":"","family":"Pérez","given":"Fiz F.","non-dropping-particle":"","parse-names":false,"suffix":""},{"dropping-particle":"","family":"Pfeil","given":"Benjamin","non-dropping-particle":"","parse-names":false,"suffix":""},{"dropping-particle":"","family":"Schirnick","given":"Carsten","non-dropping-particle":"","parse-names":false,"suffix":""},{"dropping-particle":"","family":"Steinfeldt","given":"Reiner","non-dropping-particle":"","parse-names":false,"suffix":""},{"dropping-particle":"","family":"Suzuki","given":"Toru","non-dropping-particle":"","parse-names":false,"suffix":""},{"dropping-particle":"","family":"Telszewski","given":"Maciej","non-dropping-particle":"","parse-names":false,"suffix":""},{"dropping-particle":"","family":"Tilbrook","given":"Bronte","non-dropping-particle":"","parse-names":false,"suffix":""},{"dropping-particle":"","family":"Velo","given":"Anton","non-dropping-particle":"","parse-names":false,"suffix":""},{"dropping-particle":"","family":"Wanninkhof","given":"Rik","non-dropping-particle":"","parse-names":false,"suffix":""}],"container-title":"Earth System Science Data Discussions","id":"ITEM-1","issue":"April","issued":{"date-parts":[["2019"]]},"page":"1-39","title":"GLODAPv2.2019 </w:instrText>
            </w:r>
            <w:r>
              <w:rPr>
                <w:rFonts w:hint="eastAsia"/>
                <w:sz w:val="22"/>
                <w:szCs w:val="22"/>
                <w:vertAlign w:val="superscript"/>
              </w:rPr>
              <w:instrText>–</w:instrText>
            </w:r>
            <w:r>
              <w:rPr>
                <w:sz w:val="22"/>
                <w:szCs w:val="22"/>
                <w:vertAlign w:val="superscript"/>
              </w:rPr>
              <w:instrText xml:space="preserve"> an update of GLODAPv2","type":"article-journal"},"uris":["http://www.mendeley.com/documents/?uuid=52d3bdeb-d7fc-4b66-b7c1-38bff7b3e126"]}],"mendeley":{"formattedCitation":"&lt;sup&gt;22&lt;/sup&gt;","plainTextFormattedCitation":"22","previouslyFormattedCitation":"&lt;sup&gt;22&lt;/sup&gt;"},"properties":{"noteIndex":0},"schema":"https://github.com/citation-style-language/schema/raw/master/csl-citation.json"}</w:instrText>
            </w:r>
            <w:r>
              <w:rPr>
                <w:sz w:val="22"/>
                <w:szCs w:val="22"/>
                <w:vertAlign w:val="superscript"/>
              </w:rPr>
              <w:fldChar w:fldCharType="separate"/>
            </w:r>
            <w:r w:rsidRPr="001904D0">
              <w:rPr>
                <w:noProof/>
                <w:sz w:val="22"/>
                <w:szCs w:val="22"/>
                <w:vertAlign w:val="superscript"/>
              </w:rPr>
              <w:t>22</w:t>
            </w:r>
            <w:r>
              <w:rPr>
                <w:sz w:val="22"/>
                <w:szCs w:val="22"/>
                <w:vertAlign w:val="superscript"/>
              </w:rPr>
              <w:fldChar w:fldCharType="end"/>
            </w:r>
            <w:r w:rsidRPr="00C57AD2">
              <w:rPr>
                <w:sz w:val="22"/>
                <w:szCs w:val="22"/>
              </w:rPr>
              <w:t>/CCHDO (https://cchdo.ucsd.edu/) during the period from 2000 to 2016 in this study. The map of cruise data is shown in Fig. S1(a).</w:t>
            </w:r>
          </w:p>
        </w:tc>
      </w:tr>
      <w:tr w:rsidR="00FD13B1" w:rsidRPr="00C57AD2" w14:paraId="40732110" w14:textId="77777777" w:rsidTr="00F528FF">
        <w:trPr>
          <w:trHeight w:val="289"/>
        </w:trPr>
        <w:tc>
          <w:tcPr>
            <w:tcW w:w="2142" w:type="dxa"/>
            <w:tcBorders>
              <w:top w:val="single" w:sz="4" w:space="0" w:color="auto"/>
              <w:bottom w:val="single" w:sz="4" w:space="0" w:color="auto"/>
            </w:tcBorders>
            <w:noWrap/>
            <w:hideMark/>
          </w:tcPr>
          <w:p w14:paraId="739F86E5" w14:textId="77777777" w:rsidR="00FD13B1" w:rsidRPr="00C57AD2" w:rsidRDefault="00FD13B1" w:rsidP="00F528FF">
            <w:pPr>
              <w:rPr>
                <w:sz w:val="22"/>
                <w:szCs w:val="22"/>
              </w:rPr>
            </w:pPr>
            <w:r w:rsidRPr="00C57AD2">
              <w:rPr>
                <w:sz w:val="22"/>
                <w:szCs w:val="22"/>
              </w:rPr>
              <w:t>EXPOCODE</w:t>
            </w:r>
          </w:p>
        </w:tc>
        <w:tc>
          <w:tcPr>
            <w:tcW w:w="1575" w:type="dxa"/>
            <w:tcBorders>
              <w:top w:val="single" w:sz="4" w:space="0" w:color="auto"/>
              <w:bottom w:val="single" w:sz="4" w:space="0" w:color="auto"/>
              <w:right w:val="single" w:sz="4" w:space="0" w:color="auto"/>
            </w:tcBorders>
            <w:noWrap/>
            <w:hideMark/>
          </w:tcPr>
          <w:p w14:paraId="4A06E445" w14:textId="77777777" w:rsidR="00FD13B1" w:rsidRPr="00C57AD2" w:rsidRDefault="00FD13B1" w:rsidP="00F528FF">
            <w:pPr>
              <w:rPr>
                <w:sz w:val="22"/>
                <w:szCs w:val="22"/>
              </w:rPr>
            </w:pPr>
            <w:r w:rsidRPr="00C57AD2">
              <w:rPr>
                <w:sz w:val="22"/>
                <w:szCs w:val="22"/>
              </w:rPr>
              <w:t>Sector</w:t>
            </w:r>
          </w:p>
        </w:tc>
        <w:tc>
          <w:tcPr>
            <w:tcW w:w="2142" w:type="dxa"/>
            <w:tcBorders>
              <w:top w:val="single" w:sz="4" w:space="0" w:color="auto"/>
              <w:left w:val="single" w:sz="4" w:space="0" w:color="auto"/>
              <w:bottom w:val="single" w:sz="4" w:space="0" w:color="auto"/>
            </w:tcBorders>
            <w:noWrap/>
            <w:hideMark/>
          </w:tcPr>
          <w:p w14:paraId="05700642" w14:textId="77777777" w:rsidR="00FD13B1" w:rsidRPr="00C57AD2" w:rsidRDefault="00FD13B1" w:rsidP="00F528FF">
            <w:pPr>
              <w:rPr>
                <w:sz w:val="22"/>
                <w:szCs w:val="22"/>
              </w:rPr>
            </w:pPr>
            <w:r w:rsidRPr="00C57AD2">
              <w:rPr>
                <w:sz w:val="22"/>
                <w:szCs w:val="22"/>
              </w:rPr>
              <w:t>EXPOCODE</w:t>
            </w:r>
          </w:p>
        </w:tc>
        <w:tc>
          <w:tcPr>
            <w:tcW w:w="1578" w:type="dxa"/>
            <w:tcBorders>
              <w:top w:val="single" w:sz="4" w:space="0" w:color="auto"/>
              <w:bottom w:val="single" w:sz="4" w:space="0" w:color="auto"/>
            </w:tcBorders>
            <w:noWrap/>
            <w:hideMark/>
          </w:tcPr>
          <w:p w14:paraId="35ACC7A0" w14:textId="77777777" w:rsidR="00FD13B1" w:rsidRPr="00C57AD2" w:rsidRDefault="00FD13B1" w:rsidP="00F528FF">
            <w:pPr>
              <w:rPr>
                <w:sz w:val="22"/>
                <w:szCs w:val="22"/>
              </w:rPr>
            </w:pPr>
            <w:r w:rsidRPr="00C57AD2">
              <w:rPr>
                <w:sz w:val="22"/>
                <w:szCs w:val="22"/>
              </w:rPr>
              <w:t>Sector</w:t>
            </w:r>
          </w:p>
        </w:tc>
      </w:tr>
      <w:tr w:rsidR="00FD13B1" w:rsidRPr="00C57AD2" w14:paraId="40BE5521" w14:textId="77777777" w:rsidTr="00F528FF">
        <w:trPr>
          <w:trHeight w:val="289"/>
        </w:trPr>
        <w:tc>
          <w:tcPr>
            <w:tcW w:w="2142" w:type="dxa"/>
            <w:tcBorders>
              <w:top w:val="single" w:sz="4" w:space="0" w:color="auto"/>
              <w:left w:val="nil"/>
              <w:bottom w:val="nil"/>
            </w:tcBorders>
            <w:noWrap/>
          </w:tcPr>
          <w:p w14:paraId="1BC837C9" w14:textId="77777777" w:rsidR="00FD13B1" w:rsidRPr="00C57AD2" w:rsidRDefault="00FD13B1" w:rsidP="00F528FF">
            <w:pPr>
              <w:rPr>
                <w:sz w:val="22"/>
                <w:szCs w:val="22"/>
              </w:rPr>
            </w:pPr>
            <w:r w:rsidRPr="00C57AD2">
              <w:rPr>
                <w:sz w:val="22"/>
                <w:szCs w:val="22"/>
              </w:rPr>
              <w:t>09SS20090203</w:t>
            </w:r>
          </w:p>
        </w:tc>
        <w:tc>
          <w:tcPr>
            <w:tcW w:w="1575" w:type="dxa"/>
            <w:tcBorders>
              <w:top w:val="single" w:sz="4" w:space="0" w:color="auto"/>
              <w:bottom w:val="nil"/>
            </w:tcBorders>
            <w:noWrap/>
          </w:tcPr>
          <w:p w14:paraId="6B10CCBE" w14:textId="77777777" w:rsidR="00FD13B1" w:rsidRPr="00C57AD2" w:rsidRDefault="00FD13B1" w:rsidP="00F528FF">
            <w:pPr>
              <w:rPr>
                <w:sz w:val="22"/>
                <w:szCs w:val="22"/>
              </w:rPr>
            </w:pPr>
            <w:r w:rsidRPr="00C57AD2">
              <w:rPr>
                <w:sz w:val="22"/>
                <w:szCs w:val="22"/>
              </w:rPr>
              <w:t>Pacific</w:t>
            </w:r>
          </w:p>
        </w:tc>
        <w:tc>
          <w:tcPr>
            <w:tcW w:w="2142" w:type="dxa"/>
            <w:tcBorders>
              <w:top w:val="single" w:sz="4" w:space="0" w:color="auto"/>
              <w:left w:val="single" w:sz="4" w:space="0" w:color="auto"/>
            </w:tcBorders>
            <w:noWrap/>
            <w:hideMark/>
          </w:tcPr>
          <w:p w14:paraId="7E8B9419" w14:textId="77777777" w:rsidR="00FD13B1" w:rsidRPr="00C57AD2" w:rsidRDefault="00FD13B1" w:rsidP="00F528FF">
            <w:pPr>
              <w:rPr>
                <w:sz w:val="22"/>
                <w:szCs w:val="22"/>
              </w:rPr>
            </w:pPr>
            <w:r w:rsidRPr="00C57AD2">
              <w:rPr>
                <w:sz w:val="22"/>
                <w:szCs w:val="22"/>
              </w:rPr>
              <w:t>33RR20160208</w:t>
            </w:r>
          </w:p>
        </w:tc>
        <w:tc>
          <w:tcPr>
            <w:tcW w:w="1578" w:type="dxa"/>
            <w:tcBorders>
              <w:top w:val="single" w:sz="4" w:space="0" w:color="auto"/>
            </w:tcBorders>
            <w:noWrap/>
            <w:hideMark/>
          </w:tcPr>
          <w:p w14:paraId="4BBD85AF" w14:textId="77777777" w:rsidR="00FD13B1" w:rsidRPr="00C57AD2" w:rsidRDefault="00FD13B1" w:rsidP="00F528FF">
            <w:pPr>
              <w:rPr>
                <w:sz w:val="22"/>
                <w:szCs w:val="22"/>
              </w:rPr>
            </w:pPr>
            <w:r w:rsidRPr="00C57AD2">
              <w:rPr>
                <w:sz w:val="22"/>
                <w:szCs w:val="22"/>
              </w:rPr>
              <w:t>Indian</w:t>
            </w:r>
          </w:p>
        </w:tc>
      </w:tr>
      <w:tr w:rsidR="00FD13B1" w:rsidRPr="00C57AD2" w14:paraId="17EB724D" w14:textId="77777777" w:rsidTr="00F528FF">
        <w:trPr>
          <w:trHeight w:val="289"/>
        </w:trPr>
        <w:tc>
          <w:tcPr>
            <w:tcW w:w="2142" w:type="dxa"/>
            <w:tcBorders>
              <w:top w:val="nil"/>
              <w:left w:val="nil"/>
              <w:bottom w:val="nil"/>
            </w:tcBorders>
            <w:noWrap/>
          </w:tcPr>
          <w:p w14:paraId="60D4A28F" w14:textId="77777777" w:rsidR="00FD13B1" w:rsidRPr="00C57AD2" w:rsidRDefault="00FD13B1" w:rsidP="00F528FF">
            <w:pPr>
              <w:rPr>
                <w:sz w:val="22"/>
                <w:szCs w:val="22"/>
              </w:rPr>
            </w:pPr>
            <w:r w:rsidRPr="00C57AD2">
              <w:rPr>
                <w:sz w:val="22"/>
                <w:szCs w:val="22"/>
              </w:rPr>
              <w:t>09FA20010524</w:t>
            </w:r>
          </w:p>
        </w:tc>
        <w:tc>
          <w:tcPr>
            <w:tcW w:w="1575" w:type="dxa"/>
            <w:tcBorders>
              <w:top w:val="nil"/>
              <w:bottom w:val="nil"/>
            </w:tcBorders>
            <w:noWrap/>
          </w:tcPr>
          <w:p w14:paraId="586D4467"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72E6184E" w14:textId="77777777" w:rsidR="00FD13B1" w:rsidRPr="00C57AD2" w:rsidRDefault="00FD13B1" w:rsidP="00F528FF">
            <w:pPr>
              <w:rPr>
                <w:sz w:val="22"/>
                <w:szCs w:val="22"/>
              </w:rPr>
            </w:pPr>
            <w:r w:rsidRPr="00C57AD2">
              <w:rPr>
                <w:sz w:val="22"/>
                <w:szCs w:val="22"/>
              </w:rPr>
              <w:t>33RR20070204</w:t>
            </w:r>
          </w:p>
        </w:tc>
        <w:tc>
          <w:tcPr>
            <w:tcW w:w="1578" w:type="dxa"/>
            <w:noWrap/>
            <w:hideMark/>
          </w:tcPr>
          <w:p w14:paraId="003F4FF7" w14:textId="77777777" w:rsidR="00FD13B1" w:rsidRPr="00C57AD2" w:rsidRDefault="00FD13B1" w:rsidP="00F528FF">
            <w:pPr>
              <w:rPr>
                <w:sz w:val="22"/>
                <w:szCs w:val="22"/>
              </w:rPr>
            </w:pPr>
            <w:r w:rsidRPr="00C57AD2">
              <w:rPr>
                <w:sz w:val="22"/>
                <w:szCs w:val="22"/>
              </w:rPr>
              <w:t>Indian</w:t>
            </w:r>
          </w:p>
        </w:tc>
      </w:tr>
      <w:tr w:rsidR="00FD13B1" w:rsidRPr="00C57AD2" w14:paraId="08711B53" w14:textId="77777777" w:rsidTr="00F528FF">
        <w:trPr>
          <w:trHeight w:val="289"/>
        </w:trPr>
        <w:tc>
          <w:tcPr>
            <w:tcW w:w="2142" w:type="dxa"/>
            <w:tcBorders>
              <w:top w:val="nil"/>
              <w:left w:val="nil"/>
              <w:bottom w:val="nil"/>
            </w:tcBorders>
            <w:noWrap/>
          </w:tcPr>
          <w:p w14:paraId="3E8CB6F6" w14:textId="77777777" w:rsidR="00FD13B1" w:rsidRPr="00C57AD2" w:rsidRDefault="00FD13B1" w:rsidP="00F528FF">
            <w:pPr>
              <w:rPr>
                <w:sz w:val="22"/>
                <w:szCs w:val="22"/>
              </w:rPr>
            </w:pPr>
            <w:r w:rsidRPr="00C57AD2">
              <w:rPr>
                <w:sz w:val="22"/>
                <w:szCs w:val="22"/>
              </w:rPr>
              <w:t>096U20160426</w:t>
            </w:r>
          </w:p>
        </w:tc>
        <w:tc>
          <w:tcPr>
            <w:tcW w:w="1575" w:type="dxa"/>
            <w:tcBorders>
              <w:top w:val="nil"/>
              <w:bottom w:val="nil"/>
            </w:tcBorders>
            <w:noWrap/>
          </w:tcPr>
          <w:p w14:paraId="3753CC0C"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24C7BBC2" w14:textId="77777777" w:rsidR="00FD13B1" w:rsidRPr="00C57AD2" w:rsidRDefault="00FD13B1" w:rsidP="00F528FF">
            <w:pPr>
              <w:rPr>
                <w:sz w:val="22"/>
                <w:szCs w:val="22"/>
              </w:rPr>
            </w:pPr>
            <w:r w:rsidRPr="00C57AD2">
              <w:rPr>
                <w:sz w:val="22"/>
                <w:szCs w:val="22"/>
              </w:rPr>
              <w:t>09AR20060102</w:t>
            </w:r>
          </w:p>
        </w:tc>
        <w:tc>
          <w:tcPr>
            <w:tcW w:w="1578" w:type="dxa"/>
            <w:noWrap/>
            <w:hideMark/>
          </w:tcPr>
          <w:p w14:paraId="1D7ABB53" w14:textId="77777777" w:rsidR="00FD13B1" w:rsidRPr="00C57AD2" w:rsidRDefault="00FD13B1" w:rsidP="00F528FF">
            <w:pPr>
              <w:rPr>
                <w:sz w:val="22"/>
                <w:szCs w:val="22"/>
              </w:rPr>
            </w:pPr>
            <w:r w:rsidRPr="00C57AD2">
              <w:rPr>
                <w:sz w:val="22"/>
                <w:szCs w:val="22"/>
              </w:rPr>
              <w:t>Indian</w:t>
            </w:r>
          </w:p>
        </w:tc>
      </w:tr>
      <w:tr w:rsidR="00FD13B1" w:rsidRPr="00C57AD2" w14:paraId="7EC60AF6" w14:textId="77777777" w:rsidTr="00F528FF">
        <w:trPr>
          <w:trHeight w:val="289"/>
        </w:trPr>
        <w:tc>
          <w:tcPr>
            <w:tcW w:w="2142" w:type="dxa"/>
            <w:tcBorders>
              <w:top w:val="nil"/>
              <w:left w:val="nil"/>
              <w:bottom w:val="nil"/>
            </w:tcBorders>
            <w:noWrap/>
          </w:tcPr>
          <w:p w14:paraId="7631ED28" w14:textId="77777777" w:rsidR="00FD13B1" w:rsidRPr="00C57AD2" w:rsidRDefault="00FD13B1" w:rsidP="00F528FF">
            <w:pPr>
              <w:rPr>
                <w:sz w:val="22"/>
                <w:szCs w:val="22"/>
              </w:rPr>
            </w:pPr>
            <w:r w:rsidRPr="00C57AD2">
              <w:rPr>
                <w:sz w:val="22"/>
                <w:szCs w:val="22"/>
              </w:rPr>
              <w:t>49HH20011127</w:t>
            </w:r>
          </w:p>
        </w:tc>
        <w:tc>
          <w:tcPr>
            <w:tcW w:w="1575" w:type="dxa"/>
            <w:tcBorders>
              <w:top w:val="nil"/>
              <w:bottom w:val="nil"/>
            </w:tcBorders>
            <w:noWrap/>
          </w:tcPr>
          <w:p w14:paraId="74640599"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3C37B857" w14:textId="77777777" w:rsidR="00FD13B1" w:rsidRPr="00C57AD2" w:rsidRDefault="00FD13B1" w:rsidP="00F528FF">
            <w:pPr>
              <w:rPr>
                <w:sz w:val="22"/>
                <w:szCs w:val="22"/>
              </w:rPr>
            </w:pPr>
            <w:r w:rsidRPr="00C57AD2">
              <w:rPr>
                <w:sz w:val="22"/>
                <w:szCs w:val="22"/>
              </w:rPr>
              <w:t>09FA20000926</w:t>
            </w:r>
          </w:p>
        </w:tc>
        <w:tc>
          <w:tcPr>
            <w:tcW w:w="1578" w:type="dxa"/>
            <w:noWrap/>
            <w:hideMark/>
          </w:tcPr>
          <w:p w14:paraId="40A7C1E3" w14:textId="77777777" w:rsidR="00FD13B1" w:rsidRPr="00C57AD2" w:rsidRDefault="00FD13B1" w:rsidP="00F528FF">
            <w:pPr>
              <w:rPr>
                <w:sz w:val="22"/>
                <w:szCs w:val="22"/>
              </w:rPr>
            </w:pPr>
            <w:r w:rsidRPr="00C57AD2">
              <w:rPr>
                <w:sz w:val="22"/>
                <w:szCs w:val="22"/>
              </w:rPr>
              <w:t>Indian</w:t>
            </w:r>
          </w:p>
        </w:tc>
      </w:tr>
      <w:tr w:rsidR="00FD13B1" w:rsidRPr="00C57AD2" w14:paraId="5AFFD3F0" w14:textId="77777777" w:rsidTr="00F528FF">
        <w:trPr>
          <w:trHeight w:val="289"/>
        </w:trPr>
        <w:tc>
          <w:tcPr>
            <w:tcW w:w="2142" w:type="dxa"/>
            <w:tcBorders>
              <w:top w:val="nil"/>
              <w:left w:val="nil"/>
              <w:bottom w:val="nil"/>
            </w:tcBorders>
            <w:noWrap/>
          </w:tcPr>
          <w:p w14:paraId="0E9F75FB" w14:textId="77777777" w:rsidR="00FD13B1" w:rsidRPr="00C57AD2" w:rsidRDefault="00FD13B1" w:rsidP="00F528FF">
            <w:pPr>
              <w:rPr>
                <w:sz w:val="22"/>
                <w:szCs w:val="22"/>
              </w:rPr>
            </w:pPr>
            <w:r w:rsidRPr="00C57AD2">
              <w:rPr>
                <w:sz w:val="22"/>
                <w:szCs w:val="22"/>
              </w:rPr>
              <w:t>33RR20050109</w:t>
            </w:r>
          </w:p>
        </w:tc>
        <w:tc>
          <w:tcPr>
            <w:tcW w:w="1575" w:type="dxa"/>
            <w:tcBorders>
              <w:top w:val="nil"/>
              <w:bottom w:val="nil"/>
            </w:tcBorders>
            <w:noWrap/>
          </w:tcPr>
          <w:p w14:paraId="167DE658"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76FA6E5F" w14:textId="77777777" w:rsidR="00FD13B1" w:rsidRPr="00C57AD2" w:rsidRDefault="00FD13B1" w:rsidP="00F528FF">
            <w:pPr>
              <w:rPr>
                <w:sz w:val="22"/>
                <w:szCs w:val="22"/>
              </w:rPr>
            </w:pPr>
            <w:r w:rsidRPr="00C57AD2">
              <w:rPr>
                <w:sz w:val="22"/>
                <w:szCs w:val="22"/>
              </w:rPr>
              <w:t>096U20160108</w:t>
            </w:r>
          </w:p>
        </w:tc>
        <w:tc>
          <w:tcPr>
            <w:tcW w:w="1578" w:type="dxa"/>
            <w:noWrap/>
            <w:hideMark/>
          </w:tcPr>
          <w:p w14:paraId="00691964" w14:textId="77777777" w:rsidR="00FD13B1" w:rsidRPr="00C57AD2" w:rsidRDefault="00FD13B1" w:rsidP="00F528FF">
            <w:pPr>
              <w:rPr>
                <w:sz w:val="22"/>
                <w:szCs w:val="22"/>
              </w:rPr>
            </w:pPr>
            <w:r w:rsidRPr="00C57AD2">
              <w:rPr>
                <w:sz w:val="22"/>
                <w:szCs w:val="22"/>
              </w:rPr>
              <w:t>Indian</w:t>
            </w:r>
          </w:p>
        </w:tc>
      </w:tr>
      <w:tr w:rsidR="00FD13B1" w:rsidRPr="00C57AD2" w14:paraId="1CA3217E" w14:textId="77777777" w:rsidTr="00F528FF">
        <w:trPr>
          <w:trHeight w:val="289"/>
        </w:trPr>
        <w:tc>
          <w:tcPr>
            <w:tcW w:w="2142" w:type="dxa"/>
            <w:tcBorders>
              <w:top w:val="nil"/>
              <w:left w:val="nil"/>
              <w:bottom w:val="nil"/>
            </w:tcBorders>
            <w:noWrap/>
          </w:tcPr>
          <w:p w14:paraId="23728A63" w14:textId="77777777" w:rsidR="00FD13B1" w:rsidRPr="00C57AD2" w:rsidRDefault="00FD13B1" w:rsidP="00F528FF">
            <w:pPr>
              <w:rPr>
                <w:sz w:val="22"/>
                <w:szCs w:val="22"/>
              </w:rPr>
            </w:pPr>
            <w:r w:rsidRPr="00C57AD2">
              <w:rPr>
                <w:sz w:val="22"/>
                <w:szCs w:val="22"/>
              </w:rPr>
              <w:t>33RO20161119</w:t>
            </w:r>
          </w:p>
        </w:tc>
        <w:tc>
          <w:tcPr>
            <w:tcW w:w="1575" w:type="dxa"/>
            <w:tcBorders>
              <w:top w:val="nil"/>
              <w:bottom w:val="nil"/>
            </w:tcBorders>
            <w:noWrap/>
          </w:tcPr>
          <w:p w14:paraId="7C33C4EA"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691633C0" w14:textId="77777777" w:rsidR="00FD13B1" w:rsidRPr="00C57AD2" w:rsidRDefault="00FD13B1" w:rsidP="00F528FF">
            <w:pPr>
              <w:rPr>
                <w:sz w:val="22"/>
                <w:szCs w:val="22"/>
              </w:rPr>
            </w:pPr>
            <w:r w:rsidRPr="00C57AD2">
              <w:rPr>
                <w:sz w:val="22"/>
                <w:szCs w:val="22"/>
              </w:rPr>
              <w:t>49NZ20130106</w:t>
            </w:r>
          </w:p>
        </w:tc>
        <w:tc>
          <w:tcPr>
            <w:tcW w:w="1578" w:type="dxa"/>
            <w:noWrap/>
            <w:hideMark/>
          </w:tcPr>
          <w:p w14:paraId="13CC3893" w14:textId="77777777" w:rsidR="00FD13B1" w:rsidRPr="00C57AD2" w:rsidRDefault="00FD13B1" w:rsidP="00F528FF">
            <w:pPr>
              <w:rPr>
                <w:sz w:val="22"/>
                <w:szCs w:val="22"/>
              </w:rPr>
            </w:pPr>
            <w:r w:rsidRPr="00C57AD2">
              <w:rPr>
                <w:sz w:val="22"/>
                <w:szCs w:val="22"/>
              </w:rPr>
              <w:t>Indian</w:t>
            </w:r>
          </w:p>
        </w:tc>
      </w:tr>
      <w:tr w:rsidR="00FD13B1" w:rsidRPr="00C57AD2" w14:paraId="3E04A210" w14:textId="77777777" w:rsidTr="00F528FF">
        <w:trPr>
          <w:trHeight w:val="289"/>
        </w:trPr>
        <w:tc>
          <w:tcPr>
            <w:tcW w:w="2142" w:type="dxa"/>
            <w:tcBorders>
              <w:top w:val="nil"/>
              <w:left w:val="nil"/>
              <w:bottom w:val="nil"/>
            </w:tcBorders>
            <w:noWrap/>
          </w:tcPr>
          <w:p w14:paraId="39489A31" w14:textId="77777777" w:rsidR="00FD13B1" w:rsidRPr="00C57AD2" w:rsidRDefault="00FD13B1" w:rsidP="00F528FF">
            <w:pPr>
              <w:rPr>
                <w:sz w:val="22"/>
                <w:szCs w:val="22"/>
              </w:rPr>
            </w:pPr>
            <w:r w:rsidRPr="00C57AD2">
              <w:rPr>
                <w:sz w:val="22"/>
                <w:szCs w:val="22"/>
              </w:rPr>
              <w:t>33RO20071215</w:t>
            </w:r>
          </w:p>
        </w:tc>
        <w:tc>
          <w:tcPr>
            <w:tcW w:w="1575" w:type="dxa"/>
            <w:tcBorders>
              <w:top w:val="nil"/>
              <w:bottom w:val="nil"/>
            </w:tcBorders>
            <w:noWrap/>
          </w:tcPr>
          <w:p w14:paraId="31502537"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6AB07988" w14:textId="77777777" w:rsidR="00FD13B1" w:rsidRPr="00C57AD2" w:rsidRDefault="00FD13B1" w:rsidP="00F528FF">
            <w:pPr>
              <w:rPr>
                <w:sz w:val="22"/>
                <w:szCs w:val="22"/>
              </w:rPr>
            </w:pPr>
            <w:r w:rsidRPr="00C57AD2">
              <w:rPr>
                <w:sz w:val="22"/>
                <w:szCs w:val="22"/>
              </w:rPr>
              <w:t>09AR20041223</w:t>
            </w:r>
          </w:p>
        </w:tc>
        <w:tc>
          <w:tcPr>
            <w:tcW w:w="1578" w:type="dxa"/>
            <w:noWrap/>
            <w:hideMark/>
          </w:tcPr>
          <w:p w14:paraId="0F334C59" w14:textId="77777777" w:rsidR="00FD13B1" w:rsidRPr="00C57AD2" w:rsidRDefault="00FD13B1" w:rsidP="00F528FF">
            <w:pPr>
              <w:rPr>
                <w:sz w:val="22"/>
                <w:szCs w:val="22"/>
              </w:rPr>
            </w:pPr>
            <w:r w:rsidRPr="00C57AD2">
              <w:rPr>
                <w:sz w:val="22"/>
                <w:szCs w:val="22"/>
              </w:rPr>
              <w:t>Indian</w:t>
            </w:r>
          </w:p>
        </w:tc>
      </w:tr>
      <w:tr w:rsidR="00FD13B1" w:rsidRPr="00C57AD2" w14:paraId="4F266852" w14:textId="77777777" w:rsidTr="00F528FF">
        <w:trPr>
          <w:trHeight w:val="289"/>
        </w:trPr>
        <w:tc>
          <w:tcPr>
            <w:tcW w:w="2142" w:type="dxa"/>
            <w:tcBorders>
              <w:top w:val="nil"/>
              <w:left w:val="nil"/>
              <w:bottom w:val="nil"/>
            </w:tcBorders>
            <w:noWrap/>
          </w:tcPr>
          <w:p w14:paraId="52CA0E56" w14:textId="77777777" w:rsidR="00FD13B1" w:rsidRPr="00C57AD2" w:rsidRDefault="00FD13B1" w:rsidP="00F528FF">
            <w:pPr>
              <w:rPr>
                <w:sz w:val="22"/>
                <w:szCs w:val="22"/>
              </w:rPr>
            </w:pPr>
            <w:r w:rsidRPr="00C57AD2">
              <w:rPr>
                <w:sz w:val="22"/>
                <w:szCs w:val="22"/>
              </w:rPr>
              <w:t>316N20060130</w:t>
            </w:r>
          </w:p>
        </w:tc>
        <w:tc>
          <w:tcPr>
            <w:tcW w:w="1575" w:type="dxa"/>
            <w:tcBorders>
              <w:top w:val="nil"/>
              <w:bottom w:val="nil"/>
            </w:tcBorders>
            <w:noWrap/>
          </w:tcPr>
          <w:p w14:paraId="2C94E0DF"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66838681" w14:textId="77777777" w:rsidR="00FD13B1" w:rsidRPr="00C57AD2" w:rsidRDefault="00FD13B1" w:rsidP="00F528FF">
            <w:pPr>
              <w:rPr>
                <w:sz w:val="22"/>
                <w:szCs w:val="22"/>
              </w:rPr>
            </w:pPr>
            <w:r w:rsidRPr="00C57AD2">
              <w:rPr>
                <w:sz w:val="22"/>
                <w:szCs w:val="22"/>
              </w:rPr>
              <w:t>61TG20020206</w:t>
            </w:r>
          </w:p>
        </w:tc>
        <w:tc>
          <w:tcPr>
            <w:tcW w:w="1578" w:type="dxa"/>
            <w:noWrap/>
            <w:hideMark/>
          </w:tcPr>
          <w:p w14:paraId="5ECBE53E" w14:textId="77777777" w:rsidR="00FD13B1" w:rsidRPr="00C57AD2" w:rsidRDefault="00FD13B1" w:rsidP="00F528FF">
            <w:pPr>
              <w:rPr>
                <w:sz w:val="22"/>
                <w:szCs w:val="22"/>
              </w:rPr>
            </w:pPr>
            <w:r w:rsidRPr="00C57AD2">
              <w:rPr>
                <w:sz w:val="22"/>
                <w:szCs w:val="22"/>
              </w:rPr>
              <w:t>Indian</w:t>
            </w:r>
          </w:p>
        </w:tc>
      </w:tr>
      <w:tr w:rsidR="00FD13B1" w:rsidRPr="00C57AD2" w14:paraId="79CF676E" w14:textId="77777777" w:rsidTr="00F528FF">
        <w:trPr>
          <w:trHeight w:val="289"/>
        </w:trPr>
        <w:tc>
          <w:tcPr>
            <w:tcW w:w="2142" w:type="dxa"/>
            <w:tcBorders>
              <w:top w:val="nil"/>
              <w:left w:val="nil"/>
              <w:bottom w:val="nil"/>
            </w:tcBorders>
            <w:noWrap/>
          </w:tcPr>
          <w:p w14:paraId="0F7CE1BE" w14:textId="77777777" w:rsidR="00FD13B1" w:rsidRPr="00C57AD2" w:rsidRDefault="00FD13B1" w:rsidP="00F528FF">
            <w:pPr>
              <w:rPr>
                <w:sz w:val="22"/>
                <w:szCs w:val="22"/>
              </w:rPr>
            </w:pPr>
            <w:r w:rsidRPr="00C57AD2">
              <w:rPr>
                <w:sz w:val="22"/>
                <w:szCs w:val="22"/>
              </w:rPr>
              <w:t>316N20050821</w:t>
            </w:r>
          </w:p>
        </w:tc>
        <w:tc>
          <w:tcPr>
            <w:tcW w:w="1575" w:type="dxa"/>
            <w:tcBorders>
              <w:top w:val="nil"/>
              <w:bottom w:val="nil"/>
            </w:tcBorders>
            <w:noWrap/>
          </w:tcPr>
          <w:p w14:paraId="44ECE23B"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4EAFD1B7" w14:textId="77777777" w:rsidR="00FD13B1" w:rsidRPr="00C57AD2" w:rsidRDefault="00FD13B1" w:rsidP="00F528FF">
            <w:pPr>
              <w:rPr>
                <w:sz w:val="22"/>
                <w:szCs w:val="22"/>
              </w:rPr>
            </w:pPr>
            <w:r w:rsidRPr="00C57AD2">
              <w:rPr>
                <w:sz w:val="22"/>
                <w:szCs w:val="22"/>
              </w:rPr>
              <w:t>61TG20030217</w:t>
            </w:r>
          </w:p>
        </w:tc>
        <w:tc>
          <w:tcPr>
            <w:tcW w:w="1578" w:type="dxa"/>
            <w:noWrap/>
            <w:hideMark/>
          </w:tcPr>
          <w:p w14:paraId="4A0D42FB" w14:textId="77777777" w:rsidR="00FD13B1" w:rsidRPr="00C57AD2" w:rsidRDefault="00FD13B1" w:rsidP="00F528FF">
            <w:pPr>
              <w:rPr>
                <w:sz w:val="22"/>
                <w:szCs w:val="22"/>
              </w:rPr>
            </w:pPr>
            <w:r w:rsidRPr="00C57AD2">
              <w:rPr>
                <w:sz w:val="22"/>
                <w:szCs w:val="22"/>
              </w:rPr>
              <w:t>Indian</w:t>
            </w:r>
          </w:p>
        </w:tc>
      </w:tr>
      <w:tr w:rsidR="00FD13B1" w:rsidRPr="00C57AD2" w14:paraId="24F8EBAF" w14:textId="77777777" w:rsidTr="00F528FF">
        <w:trPr>
          <w:trHeight w:val="289"/>
        </w:trPr>
        <w:tc>
          <w:tcPr>
            <w:tcW w:w="2142" w:type="dxa"/>
            <w:tcBorders>
              <w:top w:val="nil"/>
              <w:left w:val="nil"/>
              <w:bottom w:val="nil"/>
            </w:tcBorders>
            <w:noWrap/>
          </w:tcPr>
          <w:p w14:paraId="24BFD568" w14:textId="77777777" w:rsidR="00FD13B1" w:rsidRPr="00C57AD2" w:rsidRDefault="00FD13B1" w:rsidP="00F528FF">
            <w:pPr>
              <w:rPr>
                <w:sz w:val="22"/>
                <w:szCs w:val="22"/>
              </w:rPr>
            </w:pPr>
            <w:r w:rsidRPr="00C57AD2">
              <w:rPr>
                <w:sz w:val="22"/>
                <w:szCs w:val="22"/>
              </w:rPr>
              <w:t>740H20090203</w:t>
            </w:r>
          </w:p>
        </w:tc>
        <w:tc>
          <w:tcPr>
            <w:tcW w:w="1575" w:type="dxa"/>
            <w:tcBorders>
              <w:top w:val="nil"/>
              <w:bottom w:val="nil"/>
            </w:tcBorders>
            <w:noWrap/>
          </w:tcPr>
          <w:p w14:paraId="6E6AC6BA"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1156C682" w14:textId="77777777" w:rsidR="00FD13B1" w:rsidRPr="00C57AD2" w:rsidRDefault="00FD13B1" w:rsidP="00F528FF">
            <w:pPr>
              <w:rPr>
                <w:sz w:val="22"/>
                <w:szCs w:val="22"/>
              </w:rPr>
            </w:pPr>
            <w:r w:rsidRPr="00C57AD2">
              <w:rPr>
                <w:sz w:val="22"/>
                <w:szCs w:val="22"/>
              </w:rPr>
              <w:t>096U20160314</w:t>
            </w:r>
          </w:p>
        </w:tc>
        <w:tc>
          <w:tcPr>
            <w:tcW w:w="1578" w:type="dxa"/>
            <w:noWrap/>
            <w:hideMark/>
          </w:tcPr>
          <w:p w14:paraId="490A234C" w14:textId="77777777" w:rsidR="00FD13B1" w:rsidRPr="00C57AD2" w:rsidRDefault="00FD13B1" w:rsidP="00F528FF">
            <w:pPr>
              <w:rPr>
                <w:sz w:val="22"/>
                <w:szCs w:val="22"/>
              </w:rPr>
            </w:pPr>
            <w:r w:rsidRPr="00C57AD2">
              <w:rPr>
                <w:sz w:val="22"/>
                <w:szCs w:val="22"/>
              </w:rPr>
              <w:t>Indian</w:t>
            </w:r>
          </w:p>
        </w:tc>
      </w:tr>
      <w:tr w:rsidR="00FD13B1" w:rsidRPr="00C57AD2" w14:paraId="2DC82391" w14:textId="77777777" w:rsidTr="00F528FF">
        <w:trPr>
          <w:trHeight w:val="289"/>
        </w:trPr>
        <w:tc>
          <w:tcPr>
            <w:tcW w:w="2142" w:type="dxa"/>
            <w:tcBorders>
              <w:top w:val="nil"/>
              <w:left w:val="nil"/>
              <w:bottom w:val="nil"/>
            </w:tcBorders>
            <w:noWrap/>
          </w:tcPr>
          <w:p w14:paraId="7C766094" w14:textId="77777777" w:rsidR="00FD13B1" w:rsidRPr="00C57AD2" w:rsidRDefault="00FD13B1" w:rsidP="00F528FF">
            <w:pPr>
              <w:rPr>
                <w:sz w:val="22"/>
                <w:szCs w:val="22"/>
              </w:rPr>
            </w:pPr>
            <w:r w:rsidRPr="00C57AD2">
              <w:rPr>
                <w:sz w:val="22"/>
                <w:szCs w:val="22"/>
              </w:rPr>
              <w:t>29HE20100208</w:t>
            </w:r>
          </w:p>
        </w:tc>
        <w:tc>
          <w:tcPr>
            <w:tcW w:w="1575" w:type="dxa"/>
            <w:tcBorders>
              <w:top w:val="nil"/>
              <w:bottom w:val="nil"/>
            </w:tcBorders>
            <w:noWrap/>
          </w:tcPr>
          <w:p w14:paraId="6463FCF5"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6AEC321F" w14:textId="77777777" w:rsidR="00FD13B1" w:rsidRPr="00C57AD2" w:rsidRDefault="00FD13B1" w:rsidP="00F528FF">
            <w:pPr>
              <w:rPr>
                <w:sz w:val="22"/>
                <w:szCs w:val="22"/>
              </w:rPr>
            </w:pPr>
            <w:r w:rsidRPr="00C57AD2">
              <w:rPr>
                <w:sz w:val="22"/>
                <w:szCs w:val="22"/>
              </w:rPr>
              <w:t>096U20150321</w:t>
            </w:r>
          </w:p>
        </w:tc>
        <w:tc>
          <w:tcPr>
            <w:tcW w:w="1578" w:type="dxa"/>
            <w:noWrap/>
            <w:hideMark/>
          </w:tcPr>
          <w:p w14:paraId="024BB76B" w14:textId="77777777" w:rsidR="00FD13B1" w:rsidRPr="00C57AD2" w:rsidRDefault="00FD13B1" w:rsidP="00F528FF">
            <w:pPr>
              <w:rPr>
                <w:sz w:val="22"/>
                <w:szCs w:val="22"/>
              </w:rPr>
            </w:pPr>
            <w:r w:rsidRPr="00C57AD2">
              <w:rPr>
                <w:sz w:val="22"/>
                <w:szCs w:val="22"/>
              </w:rPr>
              <w:t>Indian</w:t>
            </w:r>
          </w:p>
        </w:tc>
      </w:tr>
      <w:tr w:rsidR="00FD13B1" w:rsidRPr="00C57AD2" w14:paraId="4AE9BD59" w14:textId="77777777" w:rsidTr="00F528FF">
        <w:trPr>
          <w:trHeight w:val="289"/>
        </w:trPr>
        <w:tc>
          <w:tcPr>
            <w:tcW w:w="2142" w:type="dxa"/>
            <w:tcBorders>
              <w:top w:val="nil"/>
              <w:left w:val="nil"/>
              <w:bottom w:val="nil"/>
            </w:tcBorders>
            <w:noWrap/>
          </w:tcPr>
          <w:p w14:paraId="72094525" w14:textId="77777777" w:rsidR="00FD13B1" w:rsidRPr="00C57AD2" w:rsidRDefault="00FD13B1" w:rsidP="00F528FF">
            <w:pPr>
              <w:rPr>
                <w:sz w:val="22"/>
                <w:szCs w:val="22"/>
              </w:rPr>
            </w:pPr>
            <w:r w:rsidRPr="00C57AD2">
              <w:rPr>
                <w:sz w:val="22"/>
                <w:szCs w:val="22"/>
              </w:rPr>
              <w:t>318M20091121</w:t>
            </w:r>
          </w:p>
        </w:tc>
        <w:tc>
          <w:tcPr>
            <w:tcW w:w="1575" w:type="dxa"/>
            <w:tcBorders>
              <w:top w:val="nil"/>
              <w:bottom w:val="nil"/>
            </w:tcBorders>
            <w:noWrap/>
          </w:tcPr>
          <w:p w14:paraId="68AE9A9E"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0D6E9B1C" w14:textId="77777777" w:rsidR="00FD13B1" w:rsidRPr="00C57AD2" w:rsidRDefault="00FD13B1" w:rsidP="00F528FF">
            <w:pPr>
              <w:rPr>
                <w:sz w:val="22"/>
                <w:szCs w:val="22"/>
              </w:rPr>
            </w:pPr>
            <w:r w:rsidRPr="00C57AD2">
              <w:rPr>
                <w:sz w:val="22"/>
                <w:szCs w:val="22"/>
              </w:rPr>
              <w:t>09AR20080322</w:t>
            </w:r>
          </w:p>
        </w:tc>
        <w:tc>
          <w:tcPr>
            <w:tcW w:w="1578" w:type="dxa"/>
            <w:noWrap/>
            <w:hideMark/>
          </w:tcPr>
          <w:p w14:paraId="67413060" w14:textId="77777777" w:rsidR="00FD13B1" w:rsidRPr="00C57AD2" w:rsidRDefault="00FD13B1" w:rsidP="00F528FF">
            <w:pPr>
              <w:rPr>
                <w:sz w:val="22"/>
                <w:szCs w:val="22"/>
              </w:rPr>
            </w:pPr>
            <w:r w:rsidRPr="00C57AD2">
              <w:rPr>
                <w:sz w:val="22"/>
                <w:szCs w:val="22"/>
              </w:rPr>
              <w:t>Indian</w:t>
            </w:r>
          </w:p>
        </w:tc>
      </w:tr>
      <w:tr w:rsidR="00FD13B1" w:rsidRPr="00C57AD2" w14:paraId="769743A6" w14:textId="77777777" w:rsidTr="00F528FF">
        <w:trPr>
          <w:trHeight w:val="289"/>
        </w:trPr>
        <w:tc>
          <w:tcPr>
            <w:tcW w:w="2142" w:type="dxa"/>
            <w:tcBorders>
              <w:top w:val="nil"/>
              <w:left w:val="nil"/>
              <w:bottom w:val="nil"/>
            </w:tcBorders>
            <w:noWrap/>
          </w:tcPr>
          <w:p w14:paraId="0411DD72" w14:textId="77777777" w:rsidR="00FD13B1" w:rsidRPr="00C57AD2" w:rsidRDefault="00FD13B1" w:rsidP="00F528FF">
            <w:pPr>
              <w:rPr>
                <w:sz w:val="22"/>
                <w:szCs w:val="22"/>
              </w:rPr>
            </w:pPr>
            <w:r w:rsidRPr="00C57AD2">
              <w:rPr>
                <w:sz w:val="22"/>
                <w:szCs w:val="22"/>
              </w:rPr>
              <w:t>49NZ20030803</w:t>
            </w:r>
          </w:p>
        </w:tc>
        <w:tc>
          <w:tcPr>
            <w:tcW w:w="1575" w:type="dxa"/>
            <w:tcBorders>
              <w:top w:val="nil"/>
              <w:bottom w:val="nil"/>
            </w:tcBorders>
            <w:noWrap/>
          </w:tcPr>
          <w:p w14:paraId="3C691749"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26AF2031" w14:textId="77777777" w:rsidR="00FD13B1" w:rsidRPr="00C57AD2" w:rsidRDefault="00FD13B1" w:rsidP="00F528FF">
            <w:pPr>
              <w:rPr>
                <w:sz w:val="22"/>
                <w:szCs w:val="22"/>
              </w:rPr>
            </w:pPr>
            <w:r w:rsidRPr="00C57AD2">
              <w:rPr>
                <w:sz w:val="22"/>
                <w:szCs w:val="22"/>
              </w:rPr>
              <w:t>09AR20070117</w:t>
            </w:r>
          </w:p>
        </w:tc>
        <w:tc>
          <w:tcPr>
            <w:tcW w:w="1578" w:type="dxa"/>
            <w:noWrap/>
            <w:hideMark/>
          </w:tcPr>
          <w:p w14:paraId="2772B505" w14:textId="77777777" w:rsidR="00FD13B1" w:rsidRPr="00C57AD2" w:rsidRDefault="00FD13B1" w:rsidP="00F528FF">
            <w:pPr>
              <w:rPr>
                <w:sz w:val="22"/>
                <w:szCs w:val="22"/>
              </w:rPr>
            </w:pPr>
            <w:r w:rsidRPr="00C57AD2">
              <w:rPr>
                <w:sz w:val="22"/>
                <w:szCs w:val="22"/>
              </w:rPr>
              <w:t>Indian</w:t>
            </w:r>
          </w:p>
        </w:tc>
      </w:tr>
      <w:tr w:rsidR="00FD13B1" w:rsidRPr="00C57AD2" w14:paraId="44E85676" w14:textId="77777777" w:rsidTr="00F528FF">
        <w:trPr>
          <w:trHeight w:val="289"/>
        </w:trPr>
        <w:tc>
          <w:tcPr>
            <w:tcW w:w="2142" w:type="dxa"/>
            <w:tcBorders>
              <w:top w:val="nil"/>
              <w:left w:val="nil"/>
              <w:bottom w:val="nil"/>
            </w:tcBorders>
            <w:noWrap/>
          </w:tcPr>
          <w:p w14:paraId="240B3868" w14:textId="77777777" w:rsidR="00FD13B1" w:rsidRPr="00C57AD2" w:rsidRDefault="00FD13B1" w:rsidP="00F528FF">
            <w:pPr>
              <w:rPr>
                <w:sz w:val="22"/>
                <w:szCs w:val="22"/>
              </w:rPr>
            </w:pPr>
            <w:r w:rsidRPr="00C57AD2">
              <w:rPr>
                <w:sz w:val="22"/>
                <w:szCs w:val="22"/>
              </w:rPr>
              <w:t>49NZ20121128</w:t>
            </w:r>
          </w:p>
        </w:tc>
        <w:tc>
          <w:tcPr>
            <w:tcW w:w="1575" w:type="dxa"/>
            <w:tcBorders>
              <w:top w:val="nil"/>
              <w:bottom w:val="nil"/>
            </w:tcBorders>
            <w:noWrap/>
          </w:tcPr>
          <w:p w14:paraId="5D7FC66C"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09EBF282" w14:textId="77777777" w:rsidR="00FD13B1" w:rsidRPr="00C57AD2" w:rsidRDefault="00FD13B1" w:rsidP="00F528FF">
            <w:pPr>
              <w:rPr>
                <w:sz w:val="22"/>
                <w:szCs w:val="22"/>
              </w:rPr>
            </w:pPr>
            <w:r w:rsidRPr="00C57AD2">
              <w:rPr>
                <w:sz w:val="22"/>
                <w:szCs w:val="22"/>
              </w:rPr>
              <w:t>09AR20120105</w:t>
            </w:r>
          </w:p>
        </w:tc>
        <w:tc>
          <w:tcPr>
            <w:tcW w:w="1578" w:type="dxa"/>
            <w:noWrap/>
            <w:hideMark/>
          </w:tcPr>
          <w:p w14:paraId="3BC30D77" w14:textId="77777777" w:rsidR="00FD13B1" w:rsidRPr="00C57AD2" w:rsidRDefault="00FD13B1" w:rsidP="00F528FF">
            <w:pPr>
              <w:rPr>
                <w:sz w:val="22"/>
                <w:szCs w:val="22"/>
              </w:rPr>
            </w:pPr>
            <w:r w:rsidRPr="00C57AD2">
              <w:rPr>
                <w:sz w:val="22"/>
                <w:szCs w:val="22"/>
              </w:rPr>
              <w:t>Indian</w:t>
            </w:r>
          </w:p>
        </w:tc>
      </w:tr>
      <w:tr w:rsidR="00FD13B1" w:rsidRPr="00C57AD2" w14:paraId="2D4E1AA8" w14:textId="77777777" w:rsidTr="00F528FF">
        <w:trPr>
          <w:trHeight w:val="289"/>
        </w:trPr>
        <w:tc>
          <w:tcPr>
            <w:tcW w:w="2142" w:type="dxa"/>
            <w:tcBorders>
              <w:top w:val="nil"/>
              <w:left w:val="nil"/>
              <w:bottom w:val="nil"/>
            </w:tcBorders>
            <w:noWrap/>
          </w:tcPr>
          <w:p w14:paraId="2049CA9B" w14:textId="77777777" w:rsidR="00FD13B1" w:rsidRPr="00C57AD2" w:rsidRDefault="00FD13B1" w:rsidP="00F528FF">
            <w:pPr>
              <w:rPr>
                <w:sz w:val="22"/>
                <w:szCs w:val="22"/>
              </w:rPr>
            </w:pPr>
            <w:r w:rsidRPr="00C57AD2">
              <w:rPr>
                <w:sz w:val="22"/>
                <w:szCs w:val="22"/>
              </w:rPr>
              <w:t>49NZ20071122</w:t>
            </w:r>
          </w:p>
        </w:tc>
        <w:tc>
          <w:tcPr>
            <w:tcW w:w="1575" w:type="dxa"/>
            <w:tcBorders>
              <w:top w:val="nil"/>
              <w:bottom w:val="nil"/>
            </w:tcBorders>
            <w:noWrap/>
          </w:tcPr>
          <w:p w14:paraId="49EE58B3"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tcBorders>
            <w:noWrap/>
            <w:hideMark/>
          </w:tcPr>
          <w:p w14:paraId="57CDB44D" w14:textId="77777777" w:rsidR="00FD13B1" w:rsidRPr="00C57AD2" w:rsidRDefault="00FD13B1" w:rsidP="00F528FF">
            <w:pPr>
              <w:rPr>
                <w:sz w:val="22"/>
                <w:szCs w:val="22"/>
              </w:rPr>
            </w:pPr>
            <w:r w:rsidRPr="00C57AD2">
              <w:rPr>
                <w:sz w:val="22"/>
                <w:szCs w:val="22"/>
              </w:rPr>
              <w:t>09AR20071216</w:t>
            </w:r>
          </w:p>
        </w:tc>
        <w:tc>
          <w:tcPr>
            <w:tcW w:w="1578" w:type="dxa"/>
            <w:noWrap/>
            <w:hideMark/>
          </w:tcPr>
          <w:p w14:paraId="098ACFAF" w14:textId="77777777" w:rsidR="00FD13B1" w:rsidRPr="00C57AD2" w:rsidRDefault="00FD13B1" w:rsidP="00F528FF">
            <w:pPr>
              <w:rPr>
                <w:sz w:val="22"/>
                <w:szCs w:val="22"/>
              </w:rPr>
            </w:pPr>
            <w:r w:rsidRPr="00C57AD2">
              <w:rPr>
                <w:sz w:val="22"/>
                <w:szCs w:val="22"/>
              </w:rPr>
              <w:t>Indian</w:t>
            </w:r>
          </w:p>
        </w:tc>
      </w:tr>
      <w:tr w:rsidR="00FD13B1" w:rsidRPr="00C57AD2" w14:paraId="674C5BC6" w14:textId="77777777" w:rsidTr="00F528FF">
        <w:trPr>
          <w:trHeight w:val="289"/>
        </w:trPr>
        <w:tc>
          <w:tcPr>
            <w:tcW w:w="2142" w:type="dxa"/>
            <w:tcBorders>
              <w:top w:val="nil"/>
              <w:left w:val="nil"/>
              <w:bottom w:val="nil"/>
            </w:tcBorders>
            <w:noWrap/>
          </w:tcPr>
          <w:p w14:paraId="28616DB5" w14:textId="77777777" w:rsidR="00FD13B1" w:rsidRPr="00C57AD2" w:rsidRDefault="00FD13B1" w:rsidP="00F528FF">
            <w:pPr>
              <w:rPr>
                <w:sz w:val="22"/>
                <w:szCs w:val="22"/>
              </w:rPr>
            </w:pPr>
            <w:r w:rsidRPr="00C57AD2">
              <w:rPr>
                <w:sz w:val="22"/>
                <w:szCs w:val="22"/>
              </w:rPr>
              <w:t>320620070205</w:t>
            </w:r>
          </w:p>
        </w:tc>
        <w:tc>
          <w:tcPr>
            <w:tcW w:w="1575" w:type="dxa"/>
            <w:tcBorders>
              <w:top w:val="nil"/>
              <w:bottom w:val="nil"/>
            </w:tcBorders>
            <w:noWrap/>
          </w:tcPr>
          <w:p w14:paraId="3CBA87F4" w14:textId="77777777" w:rsidR="00FD13B1" w:rsidRPr="00C57AD2" w:rsidRDefault="00FD13B1" w:rsidP="00F528FF">
            <w:pPr>
              <w:rPr>
                <w:sz w:val="22"/>
                <w:szCs w:val="22"/>
              </w:rPr>
            </w:pPr>
            <w:r w:rsidRPr="00C57AD2">
              <w:rPr>
                <w:sz w:val="22"/>
                <w:szCs w:val="22"/>
              </w:rPr>
              <w:t>Pacific</w:t>
            </w:r>
          </w:p>
        </w:tc>
        <w:tc>
          <w:tcPr>
            <w:tcW w:w="2142" w:type="dxa"/>
            <w:tcBorders>
              <w:left w:val="single" w:sz="4" w:space="0" w:color="auto"/>
              <w:bottom w:val="nil"/>
            </w:tcBorders>
            <w:noWrap/>
            <w:hideMark/>
          </w:tcPr>
          <w:p w14:paraId="5AFE7541" w14:textId="77777777" w:rsidR="00FD13B1" w:rsidRPr="00C57AD2" w:rsidRDefault="00FD13B1" w:rsidP="00F528FF">
            <w:pPr>
              <w:rPr>
                <w:sz w:val="22"/>
                <w:szCs w:val="22"/>
              </w:rPr>
            </w:pPr>
            <w:r w:rsidRPr="00C57AD2">
              <w:rPr>
                <w:sz w:val="22"/>
                <w:szCs w:val="22"/>
              </w:rPr>
              <w:t>09AR20011029</w:t>
            </w:r>
          </w:p>
        </w:tc>
        <w:tc>
          <w:tcPr>
            <w:tcW w:w="1578" w:type="dxa"/>
            <w:tcBorders>
              <w:bottom w:val="nil"/>
            </w:tcBorders>
            <w:noWrap/>
            <w:hideMark/>
          </w:tcPr>
          <w:p w14:paraId="6EE521BE" w14:textId="77777777" w:rsidR="00FD13B1" w:rsidRPr="00C57AD2" w:rsidRDefault="00FD13B1" w:rsidP="00F528FF">
            <w:pPr>
              <w:rPr>
                <w:sz w:val="22"/>
                <w:szCs w:val="22"/>
              </w:rPr>
            </w:pPr>
            <w:r w:rsidRPr="00C57AD2">
              <w:rPr>
                <w:sz w:val="22"/>
                <w:szCs w:val="22"/>
              </w:rPr>
              <w:t>Indian</w:t>
            </w:r>
          </w:p>
        </w:tc>
      </w:tr>
      <w:tr w:rsidR="00FD13B1" w:rsidRPr="00C57AD2" w14:paraId="5030413F" w14:textId="77777777" w:rsidTr="00F528FF">
        <w:trPr>
          <w:trHeight w:val="289"/>
        </w:trPr>
        <w:tc>
          <w:tcPr>
            <w:tcW w:w="2142" w:type="dxa"/>
            <w:tcBorders>
              <w:top w:val="nil"/>
              <w:left w:val="nil"/>
              <w:bottom w:val="nil"/>
            </w:tcBorders>
            <w:noWrap/>
          </w:tcPr>
          <w:p w14:paraId="7769AE8A" w14:textId="77777777" w:rsidR="00FD13B1" w:rsidRPr="00C57AD2" w:rsidRDefault="00FD13B1" w:rsidP="00F528FF">
            <w:pPr>
              <w:rPr>
                <w:sz w:val="22"/>
                <w:szCs w:val="22"/>
              </w:rPr>
            </w:pPr>
            <w:r w:rsidRPr="00C57AD2">
              <w:rPr>
                <w:sz w:val="22"/>
                <w:szCs w:val="22"/>
              </w:rPr>
              <w:t>320620110223</w:t>
            </w:r>
          </w:p>
        </w:tc>
        <w:tc>
          <w:tcPr>
            <w:tcW w:w="1575" w:type="dxa"/>
            <w:tcBorders>
              <w:top w:val="nil"/>
              <w:bottom w:val="nil"/>
              <w:right w:val="single" w:sz="4" w:space="0" w:color="auto"/>
            </w:tcBorders>
            <w:noWrap/>
          </w:tcPr>
          <w:p w14:paraId="2C59EEC0" w14:textId="77777777" w:rsidR="00FD13B1" w:rsidRPr="00C57AD2" w:rsidRDefault="00FD13B1" w:rsidP="00F528FF">
            <w:pPr>
              <w:rPr>
                <w:sz w:val="22"/>
                <w:szCs w:val="22"/>
              </w:rPr>
            </w:pPr>
            <w:r w:rsidRPr="00C57AD2">
              <w:rPr>
                <w:sz w:val="22"/>
                <w:szCs w:val="22"/>
              </w:rPr>
              <w:t>Pacific</w:t>
            </w:r>
          </w:p>
        </w:tc>
        <w:tc>
          <w:tcPr>
            <w:tcW w:w="2142" w:type="dxa"/>
            <w:tcBorders>
              <w:top w:val="nil"/>
              <w:left w:val="single" w:sz="4" w:space="0" w:color="auto"/>
              <w:bottom w:val="nil"/>
            </w:tcBorders>
            <w:noWrap/>
          </w:tcPr>
          <w:p w14:paraId="11291717" w14:textId="77777777" w:rsidR="00FD13B1" w:rsidRPr="00C57AD2" w:rsidRDefault="00FD13B1" w:rsidP="00F528FF">
            <w:pPr>
              <w:rPr>
                <w:sz w:val="22"/>
                <w:szCs w:val="22"/>
              </w:rPr>
            </w:pPr>
            <w:r w:rsidRPr="00C57AD2">
              <w:rPr>
                <w:sz w:val="22"/>
                <w:szCs w:val="22"/>
              </w:rPr>
              <w:t>35MF20030123</w:t>
            </w:r>
          </w:p>
        </w:tc>
        <w:tc>
          <w:tcPr>
            <w:tcW w:w="1578" w:type="dxa"/>
            <w:tcBorders>
              <w:top w:val="nil"/>
              <w:bottom w:val="nil"/>
            </w:tcBorders>
            <w:noWrap/>
          </w:tcPr>
          <w:p w14:paraId="706790F0" w14:textId="77777777" w:rsidR="00FD13B1" w:rsidRPr="00C57AD2" w:rsidRDefault="00FD13B1" w:rsidP="00F528FF">
            <w:pPr>
              <w:rPr>
                <w:sz w:val="22"/>
                <w:szCs w:val="22"/>
              </w:rPr>
            </w:pPr>
            <w:r w:rsidRPr="00C57AD2">
              <w:rPr>
                <w:sz w:val="22"/>
                <w:szCs w:val="22"/>
              </w:rPr>
              <w:t>Indian</w:t>
            </w:r>
          </w:p>
        </w:tc>
      </w:tr>
      <w:tr w:rsidR="00FD13B1" w:rsidRPr="00C57AD2" w14:paraId="4E52E5A0" w14:textId="77777777" w:rsidTr="00F528FF">
        <w:trPr>
          <w:trHeight w:val="289"/>
        </w:trPr>
        <w:tc>
          <w:tcPr>
            <w:tcW w:w="2142" w:type="dxa"/>
            <w:tcBorders>
              <w:top w:val="nil"/>
              <w:left w:val="nil"/>
              <w:bottom w:val="nil"/>
            </w:tcBorders>
            <w:noWrap/>
          </w:tcPr>
          <w:p w14:paraId="6643E3AD" w14:textId="77777777" w:rsidR="00FD13B1" w:rsidRPr="00C57AD2" w:rsidRDefault="00FD13B1" w:rsidP="00F528FF">
            <w:pPr>
              <w:rPr>
                <w:sz w:val="22"/>
                <w:szCs w:val="22"/>
              </w:rPr>
            </w:pPr>
            <w:r w:rsidRPr="00C57AD2">
              <w:rPr>
                <w:sz w:val="22"/>
                <w:szCs w:val="22"/>
              </w:rPr>
              <w:t>320620151208</w:t>
            </w:r>
          </w:p>
        </w:tc>
        <w:tc>
          <w:tcPr>
            <w:tcW w:w="1575" w:type="dxa"/>
            <w:tcBorders>
              <w:top w:val="nil"/>
              <w:bottom w:val="nil"/>
            </w:tcBorders>
            <w:noWrap/>
          </w:tcPr>
          <w:p w14:paraId="5582633A" w14:textId="77777777" w:rsidR="00FD13B1" w:rsidRPr="00C57AD2" w:rsidRDefault="00FD13B1" w:rsidP="00F528FF">
            <w:pPr>
              <w:rPr>
                <w:sz w:val="22"/>
                <w:szCs w:val="22"/>
              </w:rPr>
            </w:pPr>
            <w:r w:rsidRPr="00C57AD2">
              <w:rPr>
                <w:sz w:val="22"/>
                <w:szCs w:val="22"/>
              </w:rPr>
              <w:t>Pacific</w:t>
            </w:r>
          </w:p>
        </w:tc>
        <w:tc>
          <w:tcPr>
            <w:tcW w:w="2142" w:type="dxa"/>
            <w:tcBorders>
              <w:top w:val="nil"/>
              <w:left w:val="single" w:sz="4" w:space="0" w:color="auto"/>
              <w:bottom w:val="nil"/>
            </w:tcBorders>
            <w:noWrap/>
          </w:tcPr>
          <w:p w14:paraId="062579D2" w14:textId="77777777" w:rsidR="00FD13B1" w:rsidRPr="00C57AD2" w:rsidRDefault="00FD13B1" w:rsidP="00F528FF">
            <w:pPr>
              <w:rPr>
                <w:sz w:val="22"/>
                <w:szCs w:val="22"/>
              </w:rPr>
            </w:pPr>
            <w:r w:rsidRPr="00C57AD2">
              <w:rPr>
                <w:sz w:val="22"/>
                <w:szCs w:val="22"/>
              </w:rPr>
              <w:t>29HE20130320</w:t>
            </w:r>
          </w:p>
        </w:tc>
        <w:tc>
          <w:tcPr>
            <w:tcW w:w="1578" w:type="dxa"/>
            <w:tcBorders>
              <w:top w:val="nil"/>
              <w:bottom w:val="nil"/>
              <w:right w:val="nil"/>
            </w:tcBorders>
            <w:noWrap/>
          </w:tcPr>
          <w:p w14:paraId="66BF2748" w14:textId="77777777" w:rsidR="00FD13B1" w:rsidRPr="00C57AD2" w:rsidRDefault="00FD13B1" w:rsidP="00F528FF">
            <w:pPr>
              <w:rPr>
                <w:sz w:val="22"/>
                <w:szCs w:val="22"/>
              </w:rPr>
            </w:pPr>
            <w:r w:rsidRPr="00C57AD2">
              <w:rPr>
                <w:sz w:val="22"/>
                <w:szCs w:val="22"/>
              </w:rPr>
              <w:t>Atlantic</w:t>
            </w:r>
          </w:p>
        </w:tc>
      </w:tr>
      <w:tr w:rsidR="00FD13B1" w:rsidRPr="00C57AD2" w14:paraId="09038892" w14:textId="77777777" w:rsidTr="00F528FF">
        <w:trPr>
          <w:trHeight w:val="289"/>
        </w:trPr>
        <w:tc>
          <w:tcPr>
            <w:tcW w:w="2142" w:type="dxa"/>
            <w:tcBorders>
              <w:top w:val="nil"/>
              <w:left w:val="nil"/>
              <w:bottom w:val="nil"/>
            </w:tcBorders>
            <w:noWrap/>
          </w:tcPr>
          <w:p w14:paraId="5D3FF740" w14:textId="77777777" w:rsidR="00FD13B1" w:rsidRPr="00C57AD2" w:rsidRDefault="00FD13B1" w:rsidP="00F528FF">
            <w:pPr>
              <w:rPr>
                <w:sz w:val="22"/>
                <w:szCs w:val="22"/>
              </w:rPr>
            </w:pPr>
            <w:r w:rsidRPr="00C57AD2">
              <w:rPr>
                <w:sz w:val="22"/>
                <w:szCs w:val="22"/>
              </w:rPr>
              <w:t>09AR20110104</w:t>
            </w:r>
          </w:p>
        </w:tc>
        <w:tc>
          <w:tcPr>
            <w:tcW w:w="1575" w:type="dxa"/>
            <w:tcBorders>
              <w:top w:val="nil"/>
              <w:bottom w:val="nil"/>
              <w:right w:val="single" w:sz="4" w:space="0" w:color="auto"/>
            </w:tcBorders>
            <w:noWrap/>
          </w:tcPr>
          <w:p w14:paraId="79FD4111"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03B61BD2" w14:textId="77777777" w:rsidR="00FD13B1" w:rsidRPr="00C57AD2" w:rsidRDefault="00FD13B1" w:rsidP="00F528FF">
            <w:pPr>
              <w:rPr>
                <w:sz w:val="22"/>
                <w:szCs w:val="22"/>
              </w:rPr>
            </w:pPr>
            <w:r w:rsidRPr="00C57AD2">
              <w:rPr>
                <w:sz w:val="22"/>
                <w:szCs w:val="22"/>
              </w:rPr>
              <w:t>74JC20100319</w:t>
            </w:r>
          </w:p>
        </w:tc>
        <w:tc>
          <w:tcPr>
            <w:tcW w:w="1578" w:type="dxa"/>
            <w:tcBorders>
              <w:top w:val="nil"/>
              <w:bottom w:val="nil"/>
              <w:right w:val="nil"/>
            </w:tcBorders>
            <w:noWrap/>
          </w:tcPr>
          <w:p w14:paraId="7C55F777" w14:textId="77777777" w:rsidR="00FD13B1" w:rsidRPr="00C57AD2" w:rsidRDefault="00FD13B1" w:rsidP="00F528FF">
            <w:pPr>
              <w:rPr>
                <w:sz w:val="22"/>
                <w:szCs w:val="22"/>
              </w:rPr>
            </w:pPr>
            <w:r w:rsidRPr="00C57AD2">
              <w:rPr>
                <w:sz w:val="22"/>
                <w:szCs w:val="22"/>
              </w:rPr>
              <w:t>Atlantic</w:t>
            </w:r>
          </w:p>
        </w:tc>
      </w:tr>
      <w:tr w:rsidR="00FD13B1" w:rsidRPr="00C57AD2" w14:paraId="097C6D55" w14:textId="77777777" w:rsidTr="00F528FF">
        <w:trPr>
          <w:trHeight w:val="289"/>
        </w:trPr>
        <w:tc>
          <w:tcPr>
            <w:tcW w:w="2142" w:type="dxa"/>
            <w:tcBorders>
              <w:top w:val="nil"/>
            </w:tcBorders>
            <w:noWrap/>
          </w:tcPr>
          <w:p w14:paraId="679AF1B9" w14:textId="77777777" w:rsidR="00FD13B1" w:rsidRPr="00C57AD2" w:rsidRDefault="00FD13B1" w:rsidP="00F528FF">
            <w:pPr>
              <w:rPr>
                <w:sz w:val="22"/>
                <w:szCs w:val="22"/>
              </w:rPr>
            </w:pPr>
            <w:r w:rsidRPr="00C57AD2">
              <w:rPr>
                <w:sz w:val="22"/>
                <w:szCs w:val="22"/>
              </w:rPr>
              <w:t>74DI20041103</w:t>
            </w:r>
          </w:p>
        </w:tc>
        <w:tc>
          <w:tcPr>
            <w:tcW w:w="1575" w:type="dxa"/>
            <w:tcBorders>
              <w:top w:val="nil"/>
              <w:right w:val="single" w:sz="4" w:space="0" w:color="auto"/>
            </w:tcBorders>
            <w:noWrap/>
          </w:tcPr>
          <w:p w14:paraId="3E383840"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0DD2B443" w14:textId="77777777" w:rsidR="00FD13B1" w:rsidRPr="00C57AD2" w:rsidRDefault="00FD13B1" w:rsidP="00F528FF">
            <w:pPr>
              <w:rPr>
                <w:sz w:val="22"/>
                <w:szCs w:val="22"/>
              </w:rPr>
            </w:pPr>
            <w:r w:rsidRPr="00C57AD2">
              <w:rPr>
                <w:sz w:val="22"/>
                <w:szCs w:val="22"/>
              </w:rPr>
              <w:t>74JC20151217</w:t>
            </w:r>
          </w:p>
        </w:tc>
        <w:tc>
          <w:tcPr>
            <w:tcW w:w="1578" w:type="dxa"/>
            <w:tcBorders>
              <w:top w:val="nil"/>
              <w:bottom w:val="nil"/>
              <w:right w:val="nil"/>
            </w:tcBorders>
            <w:noWrap/>
          </w:tcPr>
          <w:p w14:paraId="675A2CFA" w14:textId="77777777" w:rsidR="00FD13B1" w:rsidRPr="00C57AD2" w:rsidRDefault="00FD13B1" w:rsidP="00F528FF">
            <w:pPr>
              <w:rPr>
                <w:sz w:val="22"/>
                <w:szCs w:val="22"/>
              </w:rPr>
            </w:pPr>
            <w:r w:rsidRPr="00C57AD2">
              <w:rPr>
                <w:sz w:val="22"/>
                <w:szCs w:val="22"/>
              </w:rPr>
              <w:t>Atlantic</w:t>
            </w:r>
          </w:p>
        </w:tc>
      </w:tr>
      <w:tr w:rsidR="00FD13B1" w:rsidRPr="00C57AD2" w14:paraId="3FC2FCAC" w14:textId="77777777" w:rsidTr="00F528FF">
        <w:trPr>
          <w:trHeight w:val="289"/>
        </w:trPr>
        <w:tc>
          <w:tcPr>
            <w:tcW w:w="2142" w:type="dxa"/>
            <w:noWrap/>
          </w:tcPr>
          <w:p w14:paraId="057B08AF" w14:textId="77777777" w:rsidR="00FD13B1" w:rsidRPr="00C57AD2" w:rsidRDefault="00FD13B1" w:rsidP="00F528FF">
            <w:pPr>
              <w:rPr>
                <w:sz w:val="22"/>
                <w:szCs w:val="22"/>
              </w:rPr>
            </w:pPr>
            <w:r w:rsidRPr="00C57AD2">
              <w:rPr>
                <w:sz w:val="22"/>
                <w:szCs w:val="22"/>
              </w:rPr>
              <w:t>33RR20080204</w:t>
            </w:r>
          </w:p>
        </w:tc>
        <w:tc>
          <w:tcPr>
            <w:tcW w:w="1575" w:type="dxa"/>
            <w:tcBorders>
              <w:right w:val="single" w:sz="4" w:space="0" w:color="auto"/>
            </w:tcBorders>
            <w:noWrap/>
          </w:tcPr>
          <w:p w14:paraId="5C08DAE5"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5AC25B4E" w14:textId="77777777" w:rsidR="00FD13B1" w:rsidRPr="00C57AD2" w:rsidRDefault="00FD13B1" w:rsidP="00F528FF">
            <w:pPr>
              <w:rPr>
                <w:sz w:val="22"/>
                <w:szCs w:val="22"/>
              </w:rPr>
            </w:pPr>
            <w:r w:rsidRPr="00C57AD2">
              <w:rPr>
                <w:sz w:val="22"/>
                <w:szCs w:val="22"/>
              </w:rPr>
              <w:t>740H20090307</w:t>
            </w:r>
          </w:p>
        </w:tc>
        <w:tc>
          <w:tcPr>
            <w:tcW w:w="1578" w:type="dxa"/>
            <w:tcBorders>
              <w:top w:val="nil"/>
              <w:bottom w:val="nil"/>
              <w:right w:val="nil"/>
            </w:tcBorders>
            <w:noWrap/>
          </w:tcPr>
          <w:p w14:paraId="6D35B08D" w14:textId="77777777" w:rsidR="00FD13B1" w:rsidRPr="00C57AD2" w:rsidRDefault="00FD13B1" w:rsidP="00F528FF">
            <w:pPr>
              <w:rPr>
                <w:sz w:val="22"/>
                <w:szCs w:val="22"/>
              </w:rPr>
            </w:pPr>
            <w:r w:rsidRPr="00C57AD2">
              <w:rPr>
                <w:sz w:val="22"/>
                <w:szCs w:val="22"/>
              </w:rPr>
              <w:t>Atlantic</w:t>
            </w:r>
          </w:p>
        </w:tc>
      </w:tr>
      <w:tr w:rsidR="00FD13B1" w:rsidRPr="00C57AD2" w14:paraId="61706C91" w14:textId="77777777" w:rsidTr="00F528FF">
        <w:trPr>
          <w:trHeight w:val="289"/>
        </w:trPr>
        <w:tc>
          <w:tcPr>
            <w:tcW w:w="2142" w:type="dxa"/>
            <w:noWrap/>
          </w:tcPr>
          <w:p w14:paraId="3664183E" w14:textId="77777777" w:rsidR="00FD13B1" w:rsidRPr="00C57AD2" w:rsidRDefault="00FD13B1" w:rsidP="00F528FF">
            <w:pPr>
              <w:rPr>
                <w:sz w:val="22"/>
                <w:szCs w:val="22"/>
              </w:rPr>
            </w:pPr>
            <w:r w:rsidRPr="00C57AD2">
              <w:rPr>
                <w:sz w:val="22"/>
                <w:szCs w:val="22"/>
              </w:rPr>
              <w:t>740H20081226</w:t>
            </w:r>
          </w:p>
        </w:tc>
        <w:tc>
          <w:tcPr>
            <w:tcW w:w="1575" w:type="dxa"/>
            <w:tcBorders>
              <w:right w:val="single" w:sz="4" w:space="0" w:color="auto"/>
            </w:tcBorders>
            <w:noWrap/>
          </w:tcPr>
          <w:p w14:paraId="3902E07C"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3E6AC658" w14:textId="77777777" w:rsidR="00FD13B1" w:rsidRPr="00C57AD2" w:rsidRDefault="00FD13B1" w:rsidP="00F528FF">
            <w:pPr>
              <w:rPr>
                <w:sz w:val="22"/>
                <w:szCs w:val="22"/>
              </w:rPr>
            </w:pPr>
            <w:r w:rsidRPr="00C57AD2">
              <w:rPr>
                <w:sz w:val="22"/>
                <w:szCs w:val="22"/>
              </w:rPr>
              <w:t>49NZ20031106</w:t>
            </w:r>
          </w:p>
        </w:tc>
        <w:tc>
          <w:tcPr>
            <w:tcW w:w="1578" w:type="dxa"/>
            <w:tcBorders>
              <w:top w:val="nil"/>
              <w:bottom w:val="nil"/>
              <w:right w:val="nil"/>
            </w:tcBorders>
            <w:noWrap/>
          </w:tcPr>
          <w:p w14:paraId="2147FAE2" w14:textId="77777777" w:rsidR="00FD13B1" w:rsidRPr="00C57AD2" w:rsidRDefault="00FD13B1" w:rsidP="00F528FF">
            <w:pPr>
              <w:rPr>
                <w:sz w:val="22"/>
                <w:szCs w:val="22"/>
              </w:rPr>
            </w:pPr>
            <w:r w:rsidRPr="00C57AD2">
              <w:rPr>
                <w:sz w:val="22"/>
                <w:szCs w:val="22"/>
              </w:rPr>
              <w:t>Atlantic</w:t>
            </w:r>
          </w:p>
        </w:tc>
      </w:tr>
      <w:tr w:rsidR="00FD13B1" w:rsidRPr="00C57AD2" w14:paraId="4E1031CB" w14:textId="77777777" w:rsidTr="00F528FF">
        <w:trPr>
          <w:trHeight w:val="289"/>
        </w:trPr>
        <w:tc>
          <w:tcPr>
            <w:tcW w:w="2142" w:type="dxa"/>
            <w:noWrap/>
          </w:tcPr>
          <w:p w14:paraId="3101E6EB" w14:textId="77777777" w:rsidR="00FD13B1" w:rsidRPr="00C57AD2" w:rsidRDefault="00FD13B1" w:rsidP="00F528FF">
            <w:pPr>
              <w:rPr>
                <w:sz w:val="22"/>
                <w:szCs w:val="22"/>
              </w:rPr>
            </w:pPr>
            <w:r w:rsidRPr="00C57AD2">
              <w:rPr>
                <w:sz w:val="22"/>
                <w:szCs w:val="22"/>
              </w:rPr>
              <w:t>33RR20090320</w:t>
            </w:r>
          </w:p>
        </w:tc>
        <w:tc>
          <w:tcPr>
            <w:tcW w:w="1575" w:type="dxa"/>
            <w:tcBorders>
              <w:right w:val="single" w:sz="4" w:space="0" w:color="auto"/>
            </w:tcBorders>
            <w:noWrap/>
          </w:tcPr>
          <w:p w14:paraId="3104A2F5"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19EC65D3" w14:textId="77777777" w:rsidR="00FD13B1" w:rsidRPr="00C57AD2" w:rsidRDefault="00FD13B1" w:rsidP="00F528FF">
            <w:pPr>
              <w:rPr>
                <w:sz w:val="22"/>
                <w:szCs w:val="22"/>
              </w:rPr>
            </w:pPr>
            <w:r w:rsidRPr="00C57AD2">
              <w:rPr>
                <w:sz w:val="22"/>
                <w:szCs w:val="22"/>
              </w:rPr>
              <w:t>06AQ20060825</w:t>
            </w:r>
          </w:p>
        </w:tc>
        <w:tc>
          <w:tcPr>
            <w:tcW w:w="1578" w:type="dxa"/>
            <w:tcBorders>
              <w:top w:val="nil"/>
              <w:bottom w:val="nil"/>
              <w:right w:val="nil"/>
            </w:tcBorders>
            <w:noWrap/>
          </w:tcPr>
          <w:p w14:paraId="1D0B1ACF" w14:textId="77777777" w:rsidR="00FD13B1" w:rsidRPr="00C57AD2" w:rsidRDefault="00FD13B1" w:rsidP="00F528FF">
            <w:pPr>
              <w:rPr>
                <w:sz w:val="22"/>
                <w:szCs w:val="22"/>
              </w:rPr>
            </w:pPr>
            <w:r w:rsidRPr="00C57AD2">
              <w:rPr>
                <w:sz w:val="22"/>
                <w:szCs w:val="22"/>
              </w:rPr>
              <w:t>Atlantic</w:t>
            </w:r>
          </w:p>
        </w:tc>
      </w:tr>
      <w:tr w:rsidR="00FD13B1" w:rsidRPr="00C57AD2" w14:paraId="4E33576D" w14:textId="77777777" w:rsidTr="00F528FF">
        <w:trPr>
          <w:trHeight w:val="289"/>
        </w:trPr>
        <w:tc>
          <w:tcPr>
            <w:tcW w:w="2142" w:type="dxa"/>
            <w:noWrap/>
          </w:tcPr>
          <w:p w14:paraId="5E53143B" w14:textId="77777777" w:rsidR="00FD13B1" w:rsidRPr="00C57AD2" w:rsidRDefault="00FD13B1" w:rsidP="00F528FF">
            <w:pPr>
              <w:rPr>
                <w:sz w:val="22"/>
                <w:szCs w:val="22"/>
              </w:rPr>
            </w:pPr>
            <w:r w:rsidRPr="00C57AD2">
              <w:rPr>
                <w:sz w:val="22"/>
                <w:szCs w:val="22"/>
              </w:rPr>
              <w:t>74AB20020301</w:t>
            </w:r>
          </w:p>
        </w:tc>
        <w:tc>
          <w:tcPr>
            <w:tcW w:w="1575" w:type="dxa"/>
            <w:tcBorders>
              <w:right w:val="single" w:sz="4" w:space="0" w:color="auto"/>
            </w:tcBorders>
            <w:noWrap/>
          </w:tcPr>
          <w:p w14:paraId="343C1352"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7FBDFC3D" w14:textId="77777777" w:rsidR="00FD13B1" w:rsidRPr="00C57AD2" w:rsidRDefault="00FD13B1" w:rsidP="00F528FF">
            <w:pPr>
              <w:rPr>
                <w:sz w:val="22"/>
                <w:szCs w:val="22"/>
              </w:rPr>
            </w:pPr>
            <w:r w:rsidRPr="00C57AD2">
              <w:rPr>
                <w:sz w:val="22"/>
                <w:szCs w:val="22"/>
              </w:rPr>
              <w:t>33RO20050111</w:t>
            </w:r>
          </w:p>
        </w:tc>
        <w:tc>
          <w:tcPr>
            <w:tcW w:w="1578" w:type="dxa"/>
            <w:tcBorders>
              <w:top w:val="nil"/>
              <w:bottom w:val="nil"/>
              <w:right w:val="nil"/>
            </w:tcBorders>
            <w:noWrap/>
          </w:tcPr>
          <w:p w14:paraId="3682ACFE" w14:textId="77777777" w:rsidR="00FD13B1" w:rsidRPr="00C57AD2" w:rsidRDefault="00FD13B1" w:rsidP="00F528FF">
            <w:pPr>
              <w:rPr>
                <w:sz w:val="22"/>
                <w:szCs w:val="22"/>
              </w:rPr>
            </w:pPr>
            <w:r w:rsidRPr="00C57AD2">
              <w:rPr>
                <w:sz w:val="22"/>
                <w:szCs w:val="22"/>
              </w:rPr>
              <w:t>Atlantic</w:t>
            </w:r>
          </w:p>
        </w:tc>
      </w:tr>
      <w:tr w:rsidR="00FD13B1" w:rsidRPr="00C57AD2" w14:paraId="58599BB0" w14:textId="77777777" w:rsidTr="00F528FF">
        <w:trPr>
          <w:trHeight w:val="289"/>
        </w:trPr>
        <w:tc>
          <w:tcPr>
            <w:tcW w:w="2142" w:type="dxa"/>
            <w:noWrap/>
          </w:tcPr>
          <w:p w14:paraId="22ADD18F" w14:textId="77777777" w:rsidR="00FD13B1" w:rsidRPr="00C57AD2" w:rsidRDefault="00FD13B1" w:rsidP="00F528FF">
            <w:pPr>
              <w:rPr>
                <w:sz w:val="22"/>
                <w:szCs w:val="22"/>
              </w:rPr>
            </w:pPr>
            <w:r w:rsidRPr="00C57AD2">
              <w:rPr>
                <w:sz w:val="22"/>
                <w:szCs w:val="22"/>
              </w:rPr>
              <w:t>74DI20041213</w:t>
            </w:r>
          </w:p>
        </w:tc>
        <w:tc>
          <w:tcPr>
            <w:tcW w:w="1575" w:type="dxa"/>
            <w:tcBorders>
              <w:right w:val="single" w:sz="4" w:space="0" w:color="auto"/>
            </w:tcBorders>
            <w:noWrap/>
          </w:tcPr>
          <w:p w14:paraId="014D1014"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046E7A6E" w14:textId="77777777" w:rsidR="00FD13B1" w:rsidRPr="00C57AD2" w:rsidRDefault="00FD13B1" w:rsidP="00F528FF">
            <w:pPr>
              <w:rPr>
                <w:sz w:val="22"/>
                <w:szCs w:val="22"/>
              </w:rPr>
            </w:pPr>
            <w:r w:rsidRPr="00C57AD2">
              <w:rPr>
                <w:sz w:val="22"/>
                <w:szCs w:val="22"/>
              </w:rPr>
              <w:t>33RO20131223</w:t>
            </w:r>
          </w:p>
        </w:tc>
        <w:tc>
          <w:tcPr>
            <w:tcW w:w="1578" w:type="dxa"/>
            <w:tcBorders>
              <w:top w:val="nil"/>
              <w:bottom w:val="nil"/>
              <w:right w:val="nil"/>
            </w:tcBorders>
            <w:noWrap/>
          </w:tcPr>
          <w:p w14:paraId="1D5B730E" w14:textId="77777777" w:rsidR="00FD13B1" w:rsidRPr="00C57AD2" w:rsidRDefault="00FD13B1" w:rsidP="00F528FF">
            <w:pPr>
              <w:rPr>
                <w:sz w:val="22"/>
                <w:szCs w:val="22"/>
              </w:rPr>
            </w:pPr>
            <w:r w:rsidRPr="00C57AD2">
              <w:rPr>
                <w:sz w:val="22"/>
                <w:szCs w:val="22"/>
              </w:rPr>
              <w:t>Atlantic</w:t>
            </w:r>
          </w:p>
        </w:tc>
      </w:tr>
      <w:tr w:rsidR="00FD13B1" w:rsidRPr="00C57AD2" w14:paraId="597DD428" w14:textId="77777777" w:rsidTr="00F528FF">
        <w:trPr>
          <w:trHeight w:val="289"/>
        </w:trPr>
        <w:tc>
          <w:tcPr>
            <w:tcW w:w="2142" w:type="dxa"/>
            <w:noWrap/>
          </w:tcPr>
          <w:p w14:paraId="00B680F3" w14:textId="77777777" w:rsidR="00FD13B1" w:rsidRPr="00C57AD2" w:rsidRDefault="00FD13B1" w:rsidP="00F528FF">
            <w:pPr>
              <w:rPr>
                <w:sz w:val="22"/>
                <w:szCs w:val="22"/>
              </w:rPr>
            </w:pPr>
            <w:r w:rsidRPr="00C57AD2">
              <w:rPr>
                <w:sz w:val="22"/>
                <w:szCs w:val="22"/>
              </w:rPr>
              <w:t>35MF20020104</w:t>
            </w:r>
          </w:p>
        </w:tc>
        <w:tc>
          <w:tcPr>
            <w:tcW w:w="1575" w:type="dxa"/>
            <w:tcBorders>
              <w:right w:val="single" w:sz="4" w:space="0" w:color="auto"/>
            </w:tcBorders>
            <w:noWrap/>
          </w:tcPr>
          <w:p w14:paraId="747DA984"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13DD127C" w14:textId="77777777" w:rsidR="00FD13B1" w:rsidRPr="00C57AD2" w:rsidRDefault="00FD13B1" w:rsidP="00F528FF">
            <w:pPr>
              <w:rPr>
                <w:sz w:val="22"/>
                <w:szCs w:val="22"/>
              </w:rPr>
            </w:pPr>
            <w:r w:rsidRPr="00C57AD2">
              <w:rPr>
                <w:sz w:val="22"/>
                <w:szCs w:val="22"/>
              </w:rPr>
              <w:t>33RO20110926</w:t>
            </w:r>
          </w:p>
        </w:tc>
        <w:tc>
          <w:tcPr>
            <w:tcW w:w="1578" w:type="dxa"/>
            <w:tcBorders>
              <w:top w:val="nil"/>
              <w:bottom w:val="nil"/>
              <w:right w:val="nil"/>
            </w:tcBorders>
            <w:noWrap/>
          </w:tcPr>
          <w:p w14:paraId="231AE2DC" w14:textId="77777777" w:rsidR="00FD13B1" w:rsidRPr="00C57AD2" w:rsidRDefault="00FD13B1" w:rsidP="00F528FF">
            <w:pPr>
              <w:rPr>
                <w:sz w:val="22"/>
                <w:szCs w:val="22"/>
              </w:rPr>
            </w:pPr>
            <w:r w:rsidRPr="00C57AD2">
              <w:rPr>
                <w:sz w:val="22"/>
                <w:szCs w:val="22"/>
              </w:rPr>
              <w:t>Atlantic</w:t>
            </w:r>
          </w:p>
        </w:tc>
      </w:tr>
      <w:tr w:rsidR="00FD13B1" w:rsidRPr="00C57AD2" w14:paraId="5BC81900" w14:textId="77777777" w:rsidTr="00F528FF">
        <w:trPr>
          <w:trHeight w:val="289"/>
        </w:trPr>
        <w:tc>
          <w:tcPr>
            <w:tcW w:w="2142" w:type="dxa"/>
            <w:noWrap/>
          </w:tcPr>
          <w:p w14:paraId="4B40F240" w14:textId="77777777" w:rsidR="00FD13B1" w:rsidRPr="00C57AD2" w:rsidRDefault="00FD13B1" w:rsidP="00F528FF">
            <w:pPr>
              <w:rPr>
                <w:sz w:val="22"/>
                <w:szCs w:val="22"/>
              </w:rPr>
            </w:pPr>
            <w:r w:rsidRPr="00C57AD2">
              <w:rPr>
                <w:sz w:val="22"/>
                <w:szCs w:val="22"/>
              </w:rPr>
              <w:t>35MF20040103</w:t>
            </w:r>
          </w:p>
        </w:tc>
        <w:tc>
          <w:tcPr>
            <w:tcW w:w="1575" w:type="dxa"/>
            <w:tcBorders>
              <w:right w:val="single" w:sz="4" w:space="0" w:color="auto"/>
            </w:tcBorders>
            <w:noWrap/>
          </w:tcPr>
          <w:p w14:paraId="159A546C"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5CA57E89" w14:textId="77777777" w:rsidR="00FD13B1" w:rsidRPr="00C57AD2" w:rsidRDefault="00FD13B1" w:rsidP="00F528FF">
            <w:pPr>
              <w:rPr>
                <w:sz w:val="22"/>
                <w:szCs w:val="22"/>
              </w:rPr>
            </w:pPr>
            <w:r w:rsidRPr="00C57AD2">
              <w:rPr>
                <w:sz w:val="22"/>
                <w:szCs w:val="22"/>
              </w:rPr>
              <w:t>33RO20100308</w:t>
            </w:r>
          </w:p>
        </w:tc>
        <w:tc>
          <w:tcPr>
            <w:tcW w:w="1578" w:type="dxa"/>
            <w:tcBorders>
              <w:top w:val="nil"/>
              <w:bottom w:val="nil"/>
              <w:right w:val="nil"/>
            </w:tcBorders>
            <w:noWrap/>
          </w:tcPr>
          <w:p w14:paraId="53F43CAA" w14:textId="77777777" w:rsidR="00FD13B1" w:rsidRPr="00C57AD2" w:rsidRDefault="00FD13B1" w:rsidP="00F528FF">
            <w:pPr>
              <w:rPr>
                <w:sz w:val="22"/>
                <w:szCs w:val="22"/>
              </w:rPr>
            </w:pPr>
            <w:r w:rsidRPr="00C57AD2">
              <w:rPr>
                <w:sz w:val="22"/>
                <w:szCs w:val="22"/>
              </w:rPr>
              <w:t>Atlantic</w:t>
            </w:r>
          </w:p>
        </w:tc>
      </w:tr>
      <w:tr w:rsidR="00FD13B1" w:rsidRPr="00C57AD2" w14:paraId="3CAC91E2" w14:textId="77777777" w:rsidTr="00F528FF">
        <w:trPr>
          <w:trHeight w:val="289"/>
        </w:trPr>
        <w:tc>
          <w:tcPr>
            <w:tcW w:w="2142" w:type="dxa"/>
            <w:noWrap/>
          </w:tcPr>
          <w:p w14:paraId="26740DA3" w14:textId="77777777" w:rsidR="00FD13B1" w:rsidRPr="00C57AD2" w:rsidRDefault="00FD13B1" w:rsidP="00F528FF">
            <w:pPr>
              <w:rPr>
                <w:sz w:val="22"/>
                <w:szCs w:val="22"/>
              </w:rPr>
            </w:pPr>
            <w:r w:rsidRPr="00C57AD2">
              <w:rPr>
                <w:sz w:val="22"/>
                <w:szCs w:val="22"/>
              </w:rPr>
              <w:t>35MF20010103</w:t>
            </w:r>
          </w:p>
        </w:tc>
        <w:tc>
          <w:tcPr>
            <w:tcW w:w="1575" w:type="dxa"/>
            <w:tcBorders>
              <w:right w:val="single" w:sz="4" w:space="0" w:color="auto"/>
            </w:tcBorders>
            <w:noWrap/>
          </w:tcPr>
          <w:p w14:paraId="4D3BEAA0"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0EA4CFC0" w14:textId="77777777" w:rsidR="00FD13B1" w:rsidRPr="00C57AD2" w:rsidRDefault="00FD13B1" w:rsidP="00F528FF">
            <w:pPr>
              <w:rPr>
                <w:sz w:val="22"/>
                <w:szCs w:val="22"/>
              </w:rPr>
            </w:pPr>
            <w:r w:rsidRPr="00C57AD2">
              <w:rPr>
                <w:sz w:val="22"/>
                <w:szCs w:val="22"/>
              </w:rPr>
              <w:t>06AQ20101128</w:t>
            </w:r>
          </w:p>
        </w:tc>
        <w:tc>
          <w:tcPr>
            <w:tcW w:w="1578" w:type="dxa"/>
            <w:tcBorders>
              <w:top w:val="nil"/>
              <w:bottom w:val="nil"/>
              <w:right w:val="nil"/>
            </w:tcBorders>
            <w:noWrap/>
          </w:tcPr>
          <w:p w14:paraId="63C2A122" w14:textId="77777777" w:rsidR="00FD13B1" w:rsidRPr="00C57AD2" w:rsidRDefault="00FD13B1" w:rsidP="00F528FF">
            <w:pPr>
              <w:rPr>
                <w:sz w:val="22"/>
                <w:szCs w:val="22"/>
              </w:rPr>
            </w:pPr>
            <w:r w:rsidRPr="00C57AD2">
              <w:rPr>
                <w:sz w:val="22"/>
                <w:szCs w:val="22"/>
              </w:rPr>
              <w:t>Atlantic</w:t>
            </w:r>
          </w:p>
        </w:tc>
      </w:tr>
      <w:tr w:rsidR="00FD13B1" w:rsidRPr="00C57AD2" w14:paraId="1FE7E30D" w14:textId="77777777" w:rsidTr="00F528FF">
        <w:trPr>
          <w:trHeight w:val="289"/>
        </w:trPr>
        <w:tc>
          <w:tcPr>
            <w:tcW w:w="2142" w:type="dxa"/>
            <w:noWrap/>
          </w:tcPr>
          <w:p w14:paraId="43656098" w14:textId="77777777" w:rsidR="00FD13B1" w:rsidRPr="00C57AD2" w:rsidRDefault="00FD13B1" w:rsidP="00F528FF">
            <w:pPr>
              <w:rPr>
                <w:sz w:val="22"/>
                <w:szCs w:val="22"/>
              </w:rPr>
            </w:pPr>
            <w:r w:rsidRPr="00C57AD2">
              <w:rPr>
                <w:sz w:val="22"/>
                <w:szCs w:val="22"/>
              </w:rPr>
              <w:t>35MF20000117</w:t>
            </w:r>
          </w:p>
        </w:tc>
        <w:tc>
          <w:tcPr>
            <w:tcW w:w="1575" w:type="dxa"/>
            <w:tcBorders>
              <w:right w:val="single" w:sz="4" w:space="0" w:color="auto"/>
            </w:tcBorders>
            <w:noWrap/>
          </w:tcPr>
          <w:p w14:paraId="23378ABA"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24D1BD71" w14:textId="77777777" w:rsidR="00FD13B1" w:rsidRPr="00C57AD2" w:rsidRDefault="00FD13B1" w:rsidP="00F528FF">
            <w:pPr>
              <w:rPr>
                <w:sz w:val="22"/>
                <w:szCs w:val="22"/>
              </w:rPr>
            </w:pPr>
            <w:r w:rsidRPr="00C57AD2">
              <w:rPr>
                <w:sz w:val="22"/>
                <w:szCs w:val="22"/>
              </w:rPr>
              <w:t>06AQ20050122</w:t>
            </w:r>
          </w:p>
        </w:tc>
        <w:tc>
          <w:tcPr>
            <w:tcW w:w="1578" w:type="dxa"/>
            <w:tcBorders>
              <w:top w:val="nil"/>
              <w:bottom w:val="nil"/>
              <w:right w:val="nil"/>
            </w:tcBorders>
            <w:noWrap/>
          </w:tcPr>
          <w:p w14:paraId="1D5D508D" w14:textId="77777777" w:rsidR="00FD13B1" w:rsidRPr="00C57AD2" w:rsidRDefault="00FD13B1" w:rsidP="00F528FF">
            <w:pPr>
              <w:rPr>
                <w:sz w:val="22"/>
                <w:szCs w:val="22"/>
              </w:rPr>
            </w:pPr>
            <w:r w:rsidRPr="00C57AD2">
              <w:rPr>
                <w:sz w:val="22"/>
                <w:szCs w:val="22"/>
              </w:rPr>
              <w:t>Atlantic</w:t>
            </w:r>
          </w:p>
        </w:tc>
      </w:tr>
      <w:tr w:rsidR="00FD13B1" w:rsidRPr="00C57AD2" w14:paraId="5EDE62C7" w14:textId="77777777" w:rsidTr="00F528FF">
        <w:trPr>
          <w:trHeight w:val="289"/>
        </w:trPr>
        <w:tc>
          <w:tcPr>
            <w:tcW w:w="2142" w:type="dxa"/>
            <w:noWrap/>
          </w:tcPr>
          <w:p w14:paraId="1DFE3B8C" w14:textId="77777777" w:rsidR="00FD13B1" w:rsidRPr="00C57AD2" w:rsidRDefault="00FD13B1" w:rsidP="00F528FF">
            <w:pPr>
              <w:rPr>
                <w:sz w:val="22"/>
                <w:szCs w:val="22"/>
              </w:rPr>
            </w:pPr>
            <w:r w:rsidRPr="00C57AD2">
              <w:rPr>
                <w:sz w:val="22"/>
                <w:szCs w:val="22"/>
              </w:rPr>
              <w:t>35MF20000719</w:t>
            </w:r>
          </w:p>
        </w:tc>
        <w:tc>
          <w:tcPr>
            <w:tcW w:w="1575" w:type="dxa"/>
            <w:tcBorders>
              <w:right w:val="single" w:sz="4" w:space="0" w:color="auto"/>
            </w:tcBorders>
            <w:noWrap/>
          </w:tcPr>
          <w:p w14:paraId="3D3F2AD3"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3B5AA6A3" w14:textId="77777777" w:rsidR="00FD13B1" w:rsidRPr="00C57AD2" w:rsidRDefault="00FD13B1" w:rsidP="00F528FF">
            <w:pPr>
              <w:rPr>
                <w:sz w:val="22"/>
                <w:szCs w:val="22"/>
              </w:rPr>
            </w:pPr>
            <w:r w:rsidRPr="00C57AD2">
              <w:rPr>
                <w:sz w:val="22"/>
                <w:szCs w:val="22"/>
              </w:rPr>
              <w:t>06AQ20021124</w:t>
            </w:r>
          </w:p>
        </w:tc>
        <w:tc>
          <w:tcPr>
            <w:tcW w:w="1578" w:type="dxa"/>
            <w:tcBorders>
              <w:top w:val="nil"/>
              <w:bottom w:val="nil"/>
              <w:right w:val="nil"/>
            </w:tcBorders>
            <w:noWrap/>
          </w:tcPr>
          <w:p w14:paraId="1FB787B8" w14:textId="77777777" w:rsidR="00FD13B1" w:rsidRPr="00C57AD2" w:rsidRDefault="00FD13B1" w:rsidP="00F528FF">
            <w:pPr>
              <w:rPr>
                <w:sz w:val="22"/>
                <w:szCs w:val="22"/>
              </w:rPr>
            </w:pPr>
            <w:r w:rsidRPr="00C57AD2">
              <w:rPr>
                <w:sz w:val="22"/>
                <w:szCs w:val="22"/>
              </w:rPr>
              <w:t>Atlantic</w:t>
            </w:r>
          </w:p>
        </w:tc>
      </w:tr>
      <w:tr w:rsidR="00FD13B1" w:rsidRPr="00C57AD2" w14:paraId="71B45B1E" w14:textId="77777777" w:rsidTr="00F528FF">
        <w:trPr>
          <w:trHeight w:val="289"/>
        </w:trPr>
        <w:tc>
          <w:tcPr>
            <w:tcW w:w="2142" w:type="dxa"/>
            <w:noWrap/>
          </w:tcPr>
          <w:p w14:paraId="14804A55" w14:textId="77777777" w:rsidR="00FD13B1" w:rsidRPr="00C57AD2" w:rsidRDefault="00FD13B1" w:rsidP="00F528FF">
            <w:pPr>
              <w:rPr>
                <w:sz w:val="22"/>
                <w:szCs w:val="22"/>
              </w:rPr>
            </w:pPr>
            <w:r w:rsidRPr="00C57AD2">
              <w:rPr>
                <w:sz w:val="22"/>
                <w:szCs w:val="22"/>
              </w:rPr>
              <w:t>35MF20110114</w:t>
            </w:r>
          </w:p>
        </w:tc>
        <w:tc>
          <w:tcPr>
            <w:tcW w:w="1575" w:type="dxa"/>
            <w:tcBorders>
              <w:right w:val="single" w:sz="4" w:space="0" w:color="auto"/>
            </w:tcBorders>
            <w:noWrap/>
          </w:tcPr>
          <w:p w14:paraId="18B050C9"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3F17E172" w14:textId="77777777" w:rsidR="00FD13B1" w:rsidRPr="00C57AD2" w:rsidRDefault="00FD13B1" w:rsidP="00F528FF">
            <w:pPr>
              <w:rPr>
                <w:sz w:val="22"/>
                <w:szCs w:val="22"/>
              </w:rPr>
            </w:pPr>
            <w:r w:rsidRPr="00C57AD2">
              <w:rPr>
                <w:sz w:val="22"/>
                <w:szCs w:val="22"/>
              </w:rPr>
              <w:t>06AQ20080210</w:t>
            </w:r>
          </w:p>
        </w:tc>
        <w:tc>
          <w:tcPr>
            <w:tcW w:w="1578" w:type="dxa"/>
            <w:tcBorders>
              <w:top w:val="nil"/>
              <w:bottom w:val="nil"/>
              <w:right w:val="nil"/>
            </w:tcBorders>
            <w:noWrap/>
          </w:tcPr>
          <w:p w14:paraId="1230B59F" w14:textId="77777777" w:rsidR="00FD13B1" w:rsidRPr="00C57AD2" w:rsidRDefault="00FD13B1" w:rsidP="00F528FF">
            <w:pPr>
              <w:rPr>
                <w:sz w:val="22"/>
                <w:szCs w:val="22"/>
              </w:rPr>
            </w:pPr>
            <w:r w:rsidRPr="00C57AD2">
              <w:rPr>
                <w:sz w:val="22"/>
                <w:szCs w:val="22"/>
              </w:rPr>
              <w:t>Atlantic</w:t>
            </w:r>
          </w:p>
        </w:tc>
      </w:tr>
      <w:tr w:rsidR="00FD13B1" w:rsidRPr="00C57AD2" w14:paraId="68081E4E" w14:textId="77777777" w:rsidTr="00F528FF">
        <w:trPr>
          <w:trHeight w:val="289"/>
        </w:trPr>
        <w:tc>
          <w:tcPr>
            <w:tcW w:w="2142" w:type="dxa"/>
            <w:noWrap/>
          </w:tcPr>
          <w:p w14:paraId="2F187D3E" w14:textId="77777777" w:rsidR="00FD13B1" w:rsidRPr="00C57AD2" w:rsidRDefault="00FD13B1" w:rsidP="00F528FF">
            <w:pPr>
              <w:rPr>
                <w:sz w:val="22"/>
                <w:szCs w:val="22"/>
              </w:rPr>
            </w:pPr>
            <w:r w:rsidRPr="00C57AD2">
              <w:rPr>
                <w:sz w:val="22"/>
                <w:szCs w:val="22"/>
              </w:rPr>
              <w:t>35MF20050111</w:t>
            </w:r>
          </w:p>
        </w:tc>
        <w:tc>
          <w:tcPr>
            <w:tcW w:w="1575" w:type="dxa"/>
            <w:tcBorders>
              <w:right w:val="single" w:sz="4" w:space="0" w:color="auto"/>
            </w:tcBorders>
            <w:noWrap/>
          </w:tcPr>
          <w:p w14:paraId="59898A5D"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0C8DFFA2" w14:textId="77777777" w:rsidR="00FD13B1" w:rsidRPr="00C57AD2" w:rsidRDefault="00FD13B1" w:rsidP="00F528FF">
            <w:pPr>
              <w:rPr>
                <w:sz w:val="22"/>
                <w:szCs w:val="22"/>
              </w:rPr>
            </w:pPr>
            <w:r w:rsidRPr="00C57AD2">
              <w:rPr>
                <w:sz w:val="22"/>
                <w:szCs w:val="22"/>
              </w:rPr>
              <w:t>06AQ20141202</w:t>
            </w:r>
          </w:p>
        </w:tc>
        <w:tc>
          <w:tcPr>
            <w:tcW w:w="1578" w:type="dxa"/>
            <w:tcBorders>
              <w:top w:val="nil"/>
              <w:bottom w:val="nil"/>
              <w:right w:val="nil"/>
            </w:tcBorders>
            <w:noWrap/>
          </w:tcPr>
          <w:p w14:paraId="3E94A844" w14:textId="77777777" w:rsidR="00FD13B1" w:rsidRPr="00C57AD2" w:rsidRDefault="00FD13B1" w:rsidP="00F528FF">
            <w:pPr>
              <w:rPr>
                <w:sz w:val="22"/>
                <w:szCs w:val="22"/>
              </w:rPr>
            </w:pPr>
            <w:r w:rsidRPr="00C57AD2">
              <w:rPr>
                <w:sz w:val="22"/>
                <w:szCs w:val="22"/>
              </w:rPr>
              <w:t>Atlantic</w:t>
            </w:r>
          </w:p>
        </w:tc>
      </w:tr>
      <w:tr w:rsidR="00FD13B1" w:rsidRPr="00C57AD2" w14:paraId="66A43BFF" w14:textId="77777777" w:rsidTr="00F528FF">
        <w:trPr>
          <w:trHeight w:val="289"/>
        </w:trPr>
        <w:tc>
          <w:tcPr>
            <w:tcW w:w="2142" w:type="dxa"/>
            <w:noWrap/>
          </w:tcPr>
          <w:p w14:paraId="1A7F7BDE" w14:textId="77777777" w:rsidR="00FD13B1" w:rsidRPr="00C57AD2" w:rsidRDefault="00FD13B1" w:rsidP="00F528FF">
            <w:pPr>
              <w:rPr>
                <w:sz w:val="22"/>
                <w:szCs w:val="22"/>
              </w:rPr>
            </w:pPr>
            <w:r w:rsidRPr="00C57AD2">
              <w:rPr>
                <w:sz w:val="22"/>
                <w:szCs w:val="22"/>
              </w:rPr>
              <w:t>09AR20030103</w:t>
            </w:r>
          </w:p>
        </w:tc>
        <w:tc>
          <w:tcPr>
            <w:tcW w:w="1575" w:type="dxa"/>
            <w:tcBorders>
              <w:right w:val="single" w:sz="4" w:space="0" w:color="auto"/>
            </w:tcBorders>
            <w:noWrap/>
          </w:tcPr>
          <w:p w14:paraId="27BFABD9"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7F306025" w14:textId="77777777" w:rsidR="00FD13B1" w:rsidRPr="00C57AD2" w:rsidRDefault="00FD13B1" w:rsidP="00F528FF">
            <w:pPr>
              <w:rPr>
                <w:sz w:val="22"/>
                <w:szCs w:val="22"/>
              </w:rPr>
            </w:pPr>
            <w:r w:rsidRPr="00C57AD2">
              <w:rPr>
                <w:sz w:val="22"/>
                <w:szCs w:val="22"/>
              </w:rPr>
              <w:t>35MF20080207</w:t>
            </w:r>
          </w:p>
        </w:tc>
        <w:tc>
          <w:tcPr>
            <w:tcW w:w="1578" w:type="dxa"/>
            <w:tcBorders>
              <w:top w:val="nil"/>
              <w:bottom w:val="nil"/>
              <w:right w:val="nil"/>
            </w:tcBorders>
            <w:noWrap/>
          </w:tcPr>
          <w:p w14:paraId="7DE5741B" w14:textId="77777777" w:rsidR="00FD13B1" w:rsidRPr="00C57AD2" w:rsidRDefault="00FD13B1" w:rsidP="00F528FF">
            <w:pPr>
              <w:rPr>
                <w:sz w:val="22"/>
                <w:szCs w:val="22"/>
              </w:rPr>
            </w:pPr>
            <w:r w:rsidRPr="00C57AD2">
              <w:rPr>
                <w:sz w:val="22"/>
                <w:szCs w:val="22"/>
              </w:rPr>
              <w:t>Atlantic</w:t>
            </w:r>
          </w:p>
        </w:tc>
      </w:tr>
      <w:tr w:rsidR="00FD13B1" w:rsidRPr="00C57AD2" w14:paraId="2236240E" w14:textId="77777777" w:rsidTr="00F528FF">
        <w:trPr>
          <w:trHeight w:val="289"/>
        </w:trPr>
        <w:tc>
          <w:tcPr>
            <w:tcW w:w="2142" w:type="dxa"/>
            <w:noWrap/>
          </w:tcPr>
          <w:p w14:paraId="459EA025" w14:textId="77777777" w:rsidR="00FD13B1" w:rsidRPr="00C57AD2" w:rsidRDefault="00FD13B1" w:rsidP="00F528FF">
            <w:pPr>
              <w:rPr>
                <w:sz w:val="22"/>
                <w:szCs w:val="22"/>
              </w:rPr>
            </w:pPr>
            <w:r w:rsidRPr="00C57AD2">
              <w:rPr>
                <w:sz w:val="22"/>
                <w:szCs w:val="22"/>
              </w:rPr>
              <w:t>09AR20020126</w:t>
            </w:r>
          </w:p>
        </w:tc>
        <w:tc>
          <w:tcPr>
            <w:tcW w:w="1575" w:type="dxa"/>
            <w:tcBorders>
              <w:right w:val="single" w:sz="4" w:space="0" w:color="auto"/>
            </w:tcBorders>
            <w:noWrap/>
          </w:tcPr>
          <w:p w14:paraId="7172849A" w14:textId="77777777" w:rsidR="00FD13B1" w:rsidRPr="00C57AD2" w:rsidRDefault="00FD13B1" w:rsidP="00F528FF">
            <w:pPr>
              <w:rPr>
                <w:sz w:val="22"/>
                <w:szCs w:val="22"/>
              </w:rPr>
            </w:pPr>
            <w:r w:rsidRPr="00C57AD2">
              <w:rPr>
                <w:sz w:val="22"/>
                <w:szCs w:val="22"/>
              </w:rPr>
              <w:t>Indian</w:t>
            </w:r>
          </w:p>
        </w:tc>
        <w:tc>
          <w:tcPr>
            <w:tcW w:w="2142" w:type="dxa"/>
            <w:tcBorders>
              <w:top w:val="nil"/>
              <w:bottom w:val="nil"/>
            </w:tcBorders>
            <w:noWrap/>
          </w:tcPr>
          <w:p w14:paraId="51560DFE" w14:textId="77777777" w:rsidR="00FD13B1" w:rsidRPr="00C57AD2" w:rsidRDefault="00FD13B1" w:rsidP="00F528FF">
            <w:pPr>
              <w:rPr>
                <w:sz w:val="22"/>
                <w:szCs w:val="22"/>
              </w:rPr>
            </w:pPr>
            <w:r w:rsidRPr="00C57AD2">
              <w:rPr>
                <w:sz w:val="22"/>
                <w:szCs w:val="22"/>
              </w:rPr>
              <w:t>90AV20041104</w:t>
            </w:r>
          </w:p>
        </w:tc>
        <w:tc>
          <w:tcPr>
            <w:tcW w:w="1578" w:type="dxa"/>
            <w:tcBorders>
              <w:top w:val="nil"/>
              <w:bottom w:val="nil"/>
              <w:right w:val="nil"/>
            </w:tcBorders>
            <w:noWrap/>
          </w:tcPr>
          <w:p w14:paraId="6D63A176" w14:textId="77777777" w:rsidR="00FD13B1" w:rsidRPr="00C57AD2" w:rsidRDefault="00FD13B1" w:rsidP="00F528FF">
            <w:pPr>
              <w:rPr>
                <w:sz w:val="22"/>
                <w:szCs w:val="22"/>
              </w:rPr>
            </w:pPr>
            <w:r w:rsidRPr="00C57AD2">
              <w:rPr>
                <w:sz w:val="22"/>
                <w:szCs w:val="22"/>
              </w:rPr>
              <w:t>Atlantic</w:t>
            </w:r>
          </w:p>
        </w:tc>
      </w:tr>
      <w:tr w:rsidR="00FD13B1" w:rsidRPr="00C57AD2" w14:paraId="155E02AF" w14:textId="77777777" w:rsidTr="00F528FF">
        <w:trPr>
          <w:trHeight w:val="289"/>
        </w:trPr>
        <w:tc>
          <w:tcPr>
            <w:tcW w:w="2142" w:type="dxa"/>
            <w:noWrap/>
          </w:tcPr>
          <w:p w14:paraId="1211EE0D" w14:textId="77777777" w:rsidR="00FD13B1" w:rsidRPr="00C57AD2" w:rsidRDefault="00FD13B1" w:rsidP="00F528FF">
            <w:pPr>
              <w:rPr>
                <w:sz w:val="22"/>
                <w:szCs w:val="22"/>
              </w:rPr>
            </w:pPr>
            <w:r w:rsidRPr="00C57AD2">
              <w:rPr>
                <w:sz w:val="22"/>
                <w:szCs w:val="22"/>
              </w:rPr>
              <w:t>35MF20090103</w:t>
            </w:r>
          </w:p>
        </w:tc>
        <w:tc>
          <w:tcPr>
            <w:tcW w:w="1575" w:type="dxa"/>
            <w:tcBorders>
              <w:right w:val="single" w:sz="4" w:space="0" w:color="auto"/>
            </w:tcBorders>
            <w:noWrap/>
          </w:tcPr>
          <w:p w14:paraId="54E62EB4" w14:textId="77777777" w:rsidR="00FD13B1" w:rsidRPr="00C57AD2" w:rsidRDefault="00FD13B1" w:rsidP="00F528FF">
            <w:pPr>
              <w:rPr>
                <w:sz w:val="22"/>
                <w:szCs w:val="22"/>
              </w:rPr>
            </w:pPr>
            <w:r w:rsidRPr="00C57AD2">
              <w:rPr>
                <w:sz w:val="22"/>
                <w:szCs w:val="22"/>
              </w:rPr>
              <w:t>Indian</w:t>
            </w:r>
          </w:p>
        </w:tc>
        <w:tc>
          <w:tcPr>
            <w:tcW w:w="2142" w:type="dxa"/>
            <w:tcBorders>
              <w:top w:val="nil"/>
              <w:bottom w:val="single" w:sz="4" w:space="0" w:color="auto"/>
            </w:tcBorders>
            <w:noWrap/>
          </w:tcPr>
          <w:p w14:paraId="1D9AA242" w14:textId="77777777" w:rsidR="00FD13B1" w:rsidRPr="00C57AD2" w:rsidRDefault="00FD13B1" w:rsidP="00F528FF">
            <w:pPr>
              <w:rPr>
                <w:sz w:val="22"/>
                <w:szCs w:val="22"/>
              </w:rPr>
            </w:pPr>
          </w:p>
        </w:tc>
        <w:tc>
          <w:tcPr>
            <w:tcW w:w="1578" w:type="dxa"/>
            <w:tcBorders>
              <w:top w:val="nil"/>
              <w:bottom w:val="single" w:sz="4" w:space="0" w:color="auto"/>
              <w:right w:val="nil"/>
            </w:tcBorders>
            <w:noWrap/>
          </w:tcPr>
          <w:p w14:paraId="504F82E9" w14:textId="77777777" w:rsidR="00FD13B1" w:rsidRPr="00C57AD2" w:rsidRDefault="00FD13B1" w:rsidP="00F528FF">
            <w:pPr>
              <w:rPr>
                <w:sz w:val="22"/>
                <w:szCs w:val="22"/>
              </w:rPr>
            </w:pPr>
          </w:p>
        </w:tc>
      </w:tr>
      <w:bookmarkEnd w:id="7"/>
    </w:tbl>
    <w:p w14:paraId="5299A57A" w14:textId="77777777" w:rsidR="00FD13B1" w:rsidRPr="00C57AD2" w:rsidRDefault="00FD13B1" w:rsidP="00FD13B1"/>
    <w:p w14:paraId="6B6E121C" w14:textId="77777777" w:rsidR="00FD13B1" w:rsidRPr="00C57AD2" w:rsidRDefault="00FD13B1" w:rsidP="00FD13B1">
      <w:r w:rsidRPr="00C57AD2">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65"/>
        <w:gridCol w:w="2765"/>
        <w:gridCol w:w="2766"/>
      </w:tblGrid>
      <w:tr w:rsidR="00FD13B1" w:rsidRPr="00C57AD2" w14:paraId="76EA40A2" w14:textId="77777777" w:rsidTr="00F528FF">
        <w:tc>
          <w:tcPr>
            <w:tcW w:w="8296" w:type="dxa"/>
            <w:gridSpan w:val="3"/>
            <w:tcBorders>
              <w:top w:val="nil"/>
            </w:tcBorders>
          </w:tcPr>
          <w:p w14:paraId="78B99F60" w14:textId="77777777" w:rsidR="00FD13B1" w:rsidRPr="00C57AD2" w:rsidRDefault="00FD13B1" w:rsidP="00F528FF">
            <w:pPr>
              <w:rPr>
                <w:b/>
                <w:sz w:val="22"/>
              </w:rPr>
            </w:pPr>
          </w:p>
          <w:p w14:paraId="0424129A" w14:textId="77777777" w:rsidR="00FD13B1" w:rsidRPr="00C57AD2" w:rsidRDefault="00FD13B1" w:rsidP="00F528FF">
            <w:pPr>
              <w:rPr>
                <w:sz w:val="22"/>
              </w:rPr>
            </w:pPr>
            <w:r w:rsidRPr="00C57AD2">
              <w:rPr>
                <w:b/>
                <w:sz w:val="22"/>
              </w:rPr>
              <w:t xml:space="preserve">Table S2. </w:t>
            </w:r>
            <w:r w:rsidRPr="00C57AD2">
              <w:rPr>
                <w:bCs/>
                <w:sz w:val="22"/>
              </w:rPr>
              <w:t xml:space="preserve">Constraint conditions for </w:t>
            </w:r>
            <w:r w:rsidRPr="00C57AD2">
              <w:rPr>
                <w:bCs/>
                <w:sz w:val="22"/>
                <w:lang w:eastAsia="ja-JP"/>
              </w:rPr>
              <w:t>p</w:t>
            </w:r>
            <w:r w:rsidRPr="00C57AD2">
              <w:rPr>
                <w:bCs/>
                <w:sz w:val="22"/>
              </w:rPr>
              <w:t>arameterization of N</w:t>
            </w:r>
            <w:r w:rsidRPr="00C57AD2">
              <w:rPr>
                <w:bCs/>
                <w:sz w:val="22"/>
                <w:vertAlign w:val="subscript"/>
              </w:rPr>
              <w:t>p</w:t>
            </w:r>
            <w:r w:rsidRPr="00C57AD2">
              <w:rPr>
                <w:bCs/>
                <w:sz w:val="22"/>
              </w:rPr>
              <w:t xml:space="preserve"> in the SO.</w:t>
            </w:r>
            <w:r w:rsidRPr="00C57AD2">
              <w:rPr>
                <w:b/>
                <w:bCs/>
                <w:sz w:val="22"/>
              </w:rPr>
              <w:t xml:space="preserve"> </w:t>
            </w:r>
          </w:p>
        </w:tc>
      </w:tr>
      <w:tr w:rsidR="00FD13B1" w:rsidRPr="00C57AD2" w14:paraId="0FB39D00" w14:textId="77777777" w:rsidTr="00F528FF">
        <w:tc>
          <w:tcPr>
            <w:tcW w:w="2765" w:type="dxa"/>
            <w:tcBorders>
              <w:bottom w:val="single" w:sz="4" w:space="0" w:color="auto"/>
            </w:tcBorders>
          </w:tcPr>
          <w:p w14:paraId="13BE8AE1" w14:textId="77777777" w:rsidR="00FD13B1" w:rsidRPr="00C57AD2" w:rsidRDefault="00FD13B1" w:rsidP="00F528FF">
            <w:pPr>
              <w:rPr>
                <w:sz w:val="22"/>
                <w:szCs w:val="22"/>
              </w:rPr>
            </w:pPr>
            <w:r w:rsidRPr="00C57AD2">
              <w:rPr>
                <w:sz w:val="22"/>
                <w:szCs w:val="22"/>
              </w:rPr>
              <w:t>Constraints</w:t>
            </w:r>
          </w:p>
        </w:tc>
        <w:tc>
          <w:tcPr>
            <w:tcW w:w="2765" w:type="dxa"/>
            <w:tcBorders>
              <w:bottom w:val="single" w:sz="4" w:space="0" w:color="auto"/>
            </w:tcBorders>
          </w:tcPr>
          <w:p w14:paraId="0FE28F51" w14:textId="77777777" w:rsidR="00FD13B1" w:rsidRPr="00C57AD2" w:rsidRDefault="00FD13B1" w:rsidP="00F528FF">
            <w:pPr>
              <w:rPr>
                <w:sz w:val="22"/>
                <w:szCs w:val="22"/>
              </w:rPr>
            </w:pPr>
          </w:p>
        </w:tc>
        <w:tc>
          <w:tcPr>
            <w:tcW w:w="2766" w:type="dxa"/>
            <w:tcBorders>
              <w:bottom w:val="single" w:sz="4" w:space="0" w:color="auto"/>
            </w:tcBorders>
          </w:tcPr>
          <w:p w14:paraId="01A0C509" w14:textId="77777777" w:rsidR="00FD13B1" w:rsidRPr="00C57AD2" w:rsidRDefault="00FD13B1" w:rsidP="00F528FF">
            <w:pPr>
              <w:rPr>
                <w:sz w:val="22"/>
                <w:szCs w:val="22"/>
              </w:rPr>
            </w:pPr>
            <w:r w:rsidRPr="00C57AD2">
              <w:rPr>
                <w:sz w:val="22"/>
                <w:szCs w:val="22"/>
              </w:rPr>
              <w:t>Remarks</w:t>
            </w:r>
          </w:p>
        </w:tc>
      </w:tr>
      <w:tr w:rsidR="00FD13B1" w:rsidRPr="00C57AD2" w14:paraId="12C454F8" w14:textId="77777777" w:rsidTr="00F528FF">
        <w:tc>
          <w:tcPr>
            <w:tcW w:w="2765" w:type="dxa"/>
            <w:tcBorders>
              <w:top w:val="nil"/>
              <w:bottom w:val="nil"/>
            </w:tcBorders>
          </w:tcPr>
          <w:p w14:paraId="789ABB5A" w14:textId="77777777" w:rsidR="00FD13B1" w:rsidRPr="00C57AD2" w:rsidRDefault="00FD13B1" w:rsidP="00F528FF">
            <w:pPr>
              <w:rPr>
                <w:sz w:val="22"/>
                <w:szCs w:val="22"/>
              </w:rPr>
            </w:pPr>
            <w:r w:rsidRPr="00C57AD2">
              <w:rPr>
                <w:sz w:val="22"/>
                <w:szCs w:val="22"/>
              </w:rPr>
              <w:t>Bottom depth</w:t>
            </w:r>
          </w:p>
        </w:tc>
        <w:tc>
          <w:tcPr>
            <w:tcW w:w="2765" w:type="dxa"/>
            <w:tcBorders>
              <w:top w:val="nil"/>
              <w:bottom w:val="nil"/>
            </w:tcBorders>
          </w:tcPr>
          <w:p w14:paraId="6312536F" w14:textId="77777777" w:rsidR="00FD13B1" w:rsidRPr="00C57AD2" w:rsidRDefault="00FD13B1" w:rsidP="00F528FF">
            <w:pPr>
              <w:rPr>
                <w:sz w:val="22"/>
                <w:szCs w:val="22"/>
              </w:rPr>
            </w:pPr>
            <w:r w:rsidRPr="00C57AD2">
              <w:rPr>
                <w:sz w:val="22"/>
                <w:szCs w:val="22"/>
              </w:rPr>
              <w:t>&gt; 1500 m</w:t>
            </w:r>
          </w:p>
        </w:tc>
        <w:tc>
          <w:tcPr>
            <w:tcW w:w="2766" w:type="dxa"/>
            <w:tcBorders>
              <w:top w:val="nil"/>
              <w:bottom w:val="nil"/>
            </w:tcBorders>
          </w:tcPr>
          <w:p w14:paraId="5117A290" w14:textId="77777777" w:rsidR="00FD13B1" w:rsidRPr="00C57AD2" w:rsidRDefault="00FD13B1" w:rsidP="00F528FF">
            <w:pPr>
              <w:shd w:val="clear" w:color="auto" w:fill="FFFFFF"/>
              <w:rPr>
                <w:rFonts w:ascii="inherit" w:eastAsia="Times New Roman" w:hAnsi="inherit"/>
                <w:color w:val="212121"/>
                <w:sz w:val="22"/>
                <w:szCs w:val="22"/>
              </w:rPr>
            </w:pPr>
            <w:r w:rsidRPr="00C57AD2">
              <w:rPr>
                <w:rFonts w:eastAsia="Times New Roman"/>
                <w:sz w:val="22"/>
                <w:szCs w:val="22"/>
              </w:rPr>
              <w:t xml:space="preserve">Removing </w:t>
            </w:r>
            <w:r w:rsidRPr="00C57AD2">
              <w:rPr>
                <w:rFonts w:eastAsia="Times New Roman"/>
                <w:color w:val="212121"/>
                <w:sz w:val="22"/>
                <w:szCs w:val="22"/>
              </w:rPr>
              <w:t>continental shelf</w:t>
            </w:r>
          </w:p>
        </w:tc>
      </w:tr>
      <w:tr w:rsidR="00FD13B1" w:rsidRPr="00C57AD2" w14:paraId="196AC3A3" w14:textId="77777777" w:rsidTr="00F528FF">
        <w:tc>
          <w:tcPr>
            <w:tcW w:w="2765" w:type="dxa"/>
            <w:tcBorders>
              <w:top w:val="nil"/>
              <w:bottom w:val="nil"/>
            </w:tcBorders>
          </w:tcPr>
          <w:p w14:paraId="10FC5BBA" w14:textId="77777777" w:rsidR="00FD13B1" w:rsidRPr="00C57AD2" w:rsidRDefault="00FD13B1" w:rsidP="00F528FF">
            <w:pPr>
              <w:rPr>
                <w:sz w:val="22"/>
                <w:szCs w:val="22"/>
              </w:rPr>
            </w:pPr>
            <w:r w:rsidRPr="00C57AD2">
              <w:rPr>
                <w:sz w:val="22"/>
                <w:szCs w:val="22"/>
              </w:rPr>
              <w:t xml:space="preserve">Nitrate concentration </w:t>
            </w:r>
          </w:p>
        </w:tc>
        <w:tc>
          <w:tcPr>
            <w:tcW w:w="2765" w:type="dxa"/>
            <w:tcBorders>
              <w:top w:val="nil"/>
              <w:bottom w:val="nil"/>
            </w:tcBorders>
          </w:tcPr>
          <w:p w14:paraId="3C57B9CD" w14:textId="77777777" w:rsidR="00FD13B1" w:rsidRPr="00C57AD2" w:rsidRDefault="00FD13B1" w:rsidP="00F528FF">
            <w:pPr>
              <w:rPr>
                <w:sz w:val="22"/>
                <w:szCs w:val="22"/>
              </w:rPr>
            </w:pPr>
            <w:r w:rsidRPr="00C57AD2">
              <w:rPr>
                <w:sz w:val="22"/>
                <w:szCs w:val="22"/>
              </w:rPr>
              <w:t xml:space="preserve">&gt; 0.2 </w:t>
            </w:r>
            <w:r w:rsidRPr="00C57AD2">
              <w:rPr>
                <w:rFonts w:eastAsia="SimSun"/>
                <w:sz w:val="22"/>
                <w:szCs w:val="22"/>
              </w:rPr>
              <w:t>µ</w:t>
            </w:r>
            <w:r w:rsidRPr="00C57AD2">
              <w:rPr>
                <w:sz w:val="22"/>
                <w:szCs w:val="22"/>
              </w:rPr>
              <w:t xml:space="preserve">mol </w:t>
            </w:r>
            <w:proofErr w:type="gramStart"/>
            <w:r w:rsidRPr="00C57AD2">
              <w:rPr>
                <w:sz w:val="22"/>
                <w:szCs w:val="22"/>
              </w:rPr>
              <w:t>kg</w:t>
            </w:r>
            <w:r w:rsidRPr="00C57AD2">
              <w:rPr>
                <w:sz w:val="22"/>
                <w:szCs w:val="22"/>
                <w:vertAlign w:val="superscript"/>
              </w:rPr>
              <w:t>-1</w:t>
            </w:r>
            <w:proofErr w:type="gramEnd"/>
          </w:p>
        </w:tc>
        <w:tc>
          <w:tcPr>
            <w:tcW w:w="2766" w:type="dxa"/>
            <w:tcBorders>
              <w:top w:val="nil"/>
              <w:bottom w:val="nil"/>
            </w:tcBorders>
          </w:tcPr>
          <w:p w14:paraId="0C7FAF0A" w14:textId="77777777" w:rsidR="00FD13B1" w:rsidRPr="00C57AD2" w:rsidRDefault="00FD13B1" w:rsidP="00F528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olor w:val="212121"/>
                <w:sz w:val="22"/>
                <w:szCs w:val="22"/>
              </w:rPr>
            </w:pPr>
          </w:p>
        </w:tc>
      </w:tr>
      <w:tr w:rsidR="00FD13B1" w:rsidRPr="00C57AD2" w14:paraId="6CF98C61" w14:textId="77777777" w:rsidTr="00F528FF">
        <w:tc>
          <w:tcPr>
            <w:tcW w:w="2765" w:type="dxa"/>
            <w:tcBorders>
              <w:top w:val="nil"/>
              <w:bottom w:val="nil"/>
            </w:tcBorders>
          </w:tcPr>
          <w:p w14:paraId="2FE0161D" w14:textId="77777777" w:rsidR="00FD13B1" w:rsidRPr="00C57AD2" w:rsidRDefault="00FD13B1" w:rsidP="00F528FF">
            <w:pPr>
              <w:rPr>
                <w:sz w:val="22"/>
                <w:szCs w:val="22"/>
              </w:rPr>
            </w:pPr>
            <w:r w:rsidRPr="00C57AD2">
              <w:rPr>
                <w:sz w:val="22"/>
                <w:szCs w:val="22"/>
              </w:rPr>
              <w:t>Mixed layer depth</w:t>
            </w:r>
          </w:p>
        </w:tc>
        <w:tc>
          <w:tcPr>
            <w:tcW w:w="2765" w:type="dxa"/>
            <w:tcBorders>
              <w:top w:val="nil"/>
              <w:bottom w:val="nil"/>
            </w:tcBorders>
          </w:tcPr>
          <w:p w14:paraId="42BD1E77" w14:textId="77777777" w:rsidR="00FD13B1" w:rsidRPr="00C57AD2" w:rsidRDefault="00FD13B1" w:rsidP="00F528FF">
            <w:pPr>
              <w:rPr>
                <w:sz w:val="22"/>
                <w:szCs w:val="22"/>
              </w:rPr>
            </w:pPr>
            <w:r w:rsidRPr="00C57AD2">
              <w:rPr>
                <w:sz w:val="22"/>
                <w:szCs w:val="22"/>
              </w:rPr>
              <w:t xml:space="preserve">ΔT </w:t>
            </w:r>
            <w:r w:rsidRPr="00C57AD2">
              <w:rPr>
                <w:sz w:val="22"/>
                <w:szCs w:val="22"/>
                <w:lang w:eastAsia="ja-JP"/>
              </w:rPr>
              <w:t>&gt;</w:t>
            </w:r>
            <w:r w:rsidRPr="00C57AD2">
              <w:rPr>
                <w:sz w:val="22"/>
                <w:szCs w:val="22"/>
              </w:rPr>
              <w:t xml:space="preserve"> 0.5 ℃ </w:t>
            </w:r>
            <w:r w:rsidRPr="00C57AD2">
              <w:rPr>
                <w:sz w:val="22"/>
                <w:szCs w:val="22"/>
                <w:vertAlign w:val="superscript"/>
              </w:rPr>
              <w:t>a</w:t>
            </w:r>
          </w:p>
        </w:tc>
        <w:tc>
          <w:tcPr>
            <w:tcW w:w="2766" w:type="dxa"/>
            <w:tcBorders>
              <w:top w:val="nil"/>
              <w:bottom w:val="nil"/>
            </w:tcBorders>
          </w:tcPr>
          <w:p w14:paraId="6C46A374" w14:textId="77777777" w:rsidR="00FD13B1" w:rsidRPr="00C57AD2" w:rsidRDefault="00FD13B1" w:rsidP="00F528FF">
            <w:pPr>
              <w:rPr>
                <w:b/>
                <w:bCs/>
                <w:sz w:val="22"/>
                <w:szCs w:val="22"/>
              </w:rPr>
            </w:pPr>
            <w:r w:rsidRPr="00C57AD2">
              <w:rPr>
                <w:sz w:val="22"/>
                <w:szCs w:val="22"/>
              </w:rPr>
              <w:t>ΔT ≤ 0.5 ℃ was not used</w:t>
            </w:r>
          </w:p>
        </w:tc>
      </w:tr>
      <w:tr w:rsidR="00FD13B1" w:rsidRPr="00C57AD2" w14:paraId="15FA6701" w14:textId="77777777" w:rsidTr="00F528FF">
        <w:tc>
          <w:tcPr>
            <w:tcW w:w="2765" w:type="dxa"/>
            <w:tcBorders>
              <w:top w:val="nil"/>
              <w:bottom w:val="nil"/>
            </w:tcBorders>
          </w:tcPr>
          <w:p w14:paraId="3C8B4D2A" w14:textId="77777777" w:rsidR="00FD13B1" w:rsidRPr="00C57AD2" w:rsidRDefault="00FD13B1" w:rsidP="00F528FF">
            <w:pPr>
              <w:rPr>
                <w:sz w:val="22"/>
                <w:szCs w:val="22"/>
              </w:rPr>
            </w:pPr>
            <w:r w:rsidRPr="00C57AD2">
              <w:rPr>
                <w:sz w:val="22"/>
                <w:szCs w:val="22"/>
              </w:rPr>
              <w:t>Salinity</w:t>
            </w:r>
          </w:p>
        </w:tc>
        <w:tc>
          <w:tcPr>
            <w:tcW w:w="2765" w:type="dxa"/>
            <w:tcBorders>
              <w:top w:val="nil"/>
              <w:bottom w:val="nil"/>
            </w:tcBorders>
          </w:tcPr>
          <w:p w14:paraId="471C1BB3" w14:textId="77777777" w:rsidR="00FD13B1" w:rsidRPr="00C57AD2" w:rsidRDefault="00FD13B1" w:rsidP="00F528FF">
            <w:pPr>
              <w:rPr>
                <w:sz w:val="22"/>
                <w:szCs w:val="22"/>
              </w:rPr>
            </w:pPr>
            <w:r w:rsidRPr="00C57AD2">
              <w:rPr>
                <w:sz w:val="22"/>
                <w:szCs w:val="22"/>
              </w:rPr>
              <w:t>34 – 35</w:t>
            </w:r>
          </w:p>
        </w:tc>
        <w:tc>
          <w:tcPr>
            <w:tcW w:w="2766" w:type="dxa"/>
            <w:tcBorders>
              <w:top w:val="nil"/>
              <w:bottom w:val="nil"/>
            </w:tcBorders>
          </w:tcPr>
          <w:p w14:paraId="1C5F7AE5" w14:textId="77777777" w:rsidR="00FD13B1" w:rsidRPr="00C57AD2" w:rsidRDefault="00FD13B1" w:rsidP="00F528FF">
            <w:pPr>
              <w:rPr>
                <w:sz w:val="22"/>
                <w:szCs w:val="22"/>
              </w:rPr>
            </w:pPr>
          </w:p>
        </w:tc>
      </w:tr>
      <w:tr w:rsidR="00FD13B1" w:rsidRPr="00C57AD2" w14:paraId="5233109E" w14:textId="77777777" w:rsidTr="00F528FF">
        <w:tc>
          <w:tcPr>
            <w:tcW w:w="2765" w:type="dxa"/>
            <w:tcBorders>
              <w:top w:val="nil"/>
              <w:bottom w:val="single" w:sz="4" w:space="0" w:color="auto"/>
            </w:tcBorders>
          </w:tcPr>
          <w:p w14:paraId="424E539A" w14:textId="77777777" w:rsidR="00FD13B1" w:rsidRPr="00C57AD2" w:rsidRDefault="00FD13B1" w:rsidP="00F528FF">
            <w:pPr>
              <w:rPr>
                <w:sz w:val="22"/>
                <w:szCs w:val="22"/>
              </w:rPr>
            </w:pPr>
            <w:r w:rsidRPr="00C57AD2">
              <w:rPr>
                <w:sz w:val="22"/>
                <w:szCs w:val="22"/>
              </w:rPr>
              <w:t>Water masses</w:t>
            </w:r>
          </w:p>
        </w:tc>
        <w:tc>
          <w:tcPr>
            <w:tcW w:w="2765" w:type="dxa"/>
            <w:tcBorders>
              <w:top w:val="nil"/>
              <w:bottom w:val="single" w:sz="4" w:space="0" w:color="auto"/>
            </w:tcBorders>
          </w:tcPr>
          <w:p w14:paraId="51EA044D" w14:textId="77777777" w:rsidR="00FD13B1" w:rsidRPr="00C57AD2" w:rsidRDefault="00FD13B1" w:rsidP="00F528FF">
            <w:pPr>
              <w:rPr>
                <w:sz w:val="22"/>
                <w:szCs w:val="22"/>
              </w:rPr>
            </w:pPr>
            <w:r w:rsidRPr="00C57AD2">
              <w:rPr>
                <w:sz w:val="22"/>
                <w:szCs w:val="22"/>
              </w:rPr>
              <w:t xml:space="preserve">Except NADW </w:t>
            </w:r>
            <w:r w:rsidRPr="00C57AD2">
              <w:rPr>
                <w:sz w:val="22"/>
                <w:szCs w:val="22"/>
                <w:vertAlign w:val="superscript"/>
              </w:rPr>
              <w:t>b</w:t>
            </w:r>
            <w:r w:rsidRPr="00C57AD2">
              <w:rPr>
                <w:sz w:val="22"/>
                <w:szCs w:val="22"/>
              </w:rPr>
              <w:t xml:space="preserve">, SASW </w:t>
            </w:r>
            <w:r w:rsidRPr="00C57AD2">
              <w:rPr>
                <w:sz w:val="22"/>
                <w:szCs w:val="22"/>
                <w:vertAlign w:val="superscript"/>
              </w:rPr>
              <w:t>c</w:t>
            </w:r>
          </w:p>
        </w:tc>
        <w:tc>
          <w:tcPr>
            <w:tcW w:w="2766" w:type="dxa"/>
            <w:tcBorders>
              <w:top w:val="nil"/>
              <w:bottom w:val="single" w:sz="4" w:space="0" w:color="auto"/>
            </w:tcBorders>
          </w:tcPr>
          <w:p w14:paraId="19B3D125" w14:textId="77777777" w:rsidR="00FD13B1" w:rsidRPr="00C57AD2" w:rsidRDefault="00FD13B1" w:rsidP="00F528FF">
            <w:pPr>
              <w:rPr>
                <w:sz w:val="22"/>
                <w:szCs w:val="22"/>
              </w:rPr>
            </w:pPr>
            <w:r w:rsidRPr="00C57AD2">
              <w:rPr>
                <w:sz w:val="22"/>
                <w:szCs w:val="22"/>
              </w:rPr>
              <w:t>NADW: 34.8 &lt; S &lt; 35</w:t>
            </w:r>
          </w:p>
          <w:p w14:paraId="226B43BF" w14:textId="77777777" w:rsidR="00FD13B1" w:rsidRPr="00C57AD2" w:rsidRDefault="00FD13B1" w:rsidP="00F528FF">
            <w:pPr>
              <w:rPr>
                <w:sz w:val="22"/>
                <w:szCs w:val="22"/>
              </w:rPr>
            </w:pPr>
            <w:r w:rsidRPr="00C57AD2">
              <w:rPr>
                <w:sz w:val="22"/>
                <w:szCs w:val="22"/>
              </w:rPr>
              <w:t>1.5 ℃ &lt; T &lt; 4 ℃</w:t>
            </w:r>
          </w:p>
          <w:p w14:paraId="0812BEEC" w14:textId="77777777" w:rsidR="00FD13B1" w:rsidRPr="00C57AD2" w:rsidRDefault="00FD13B1" w:rsidP="00F528FF">
            <w:pPr>
              <w:rPr>
                <w:sz w:val="22"/>
                <w:szCs w:val="22"/>
              </w:rPr>
            </w:pPr>
            <w:r w:rsidRPr="00C57AD2">
              <w:rPr>
                <w:sz w:val="22"/>
                <w:szCs w:val="22"/>
              </w:rPr>
              <w:t xml:space="preserve">SASW: T &gt; 8 ℃ </w:t>
            </w:r>
            <w:r>
              <w:rPr>
                <w:sz w:val="22"/>
                <w:szCs w:val="22"/>
                <w:vertAlign w:val="superscript"/>
              </w:rPr>
              <w:fldChar w:fldCharType="begin" w:fldLock="1"/>
            </w:r>
            <w:r>
              <w:rPr>
                <w:sz w:val="22"/>
                <w:szCs w:val="22"/>
                <w:vertAlign w:val="superscript"/>
              </w:rPr>
              <w:instrText>ADDIN CSL_CITATION {"citationItems":[{"id":"ITEM-1","itemData":{"DOI":"10.1016/b0-12-227090-8/00279-7","author":[{"dropping-particle":"","family":"Emery","given":"W.J.","non-dropping-particle":"","parse-names":false,"suffix":""}],"container-title":"Ocean circulation/Water Types and Water Masses","id":"ITEM-1","issued":{"date-parts":[["2003"]]},"page":"1556-1567","publisher":"University of Colorado, Boulder","publisher-place":"Boulder","title":"Water Types and Water Masses","type":"chapter"},"uris":["http://www.mendeley.com/documents/?uuid=886cb098-4379-418c-877d-cb831519e7b3"]}],"mendeley":{"formattedCitation":"&lt;sup&gt;24&lt;/sup&gt;","plainTextFormattedCitation":"24","previouslyFormattedCitation":"&lt;sup&gt;24&lt;/sup&gt;"},"properties":{"noteIndex":0},"schema":"https://github.com/citation-style-language/schema/raw/master/csl-citation.json"}</w:instrText>
            </w:r>
            <w:r>
              <w:rPr>
                <w:sz w:val="22"/>
                <w:szCs w:val="22"/>
                <w:vertAlign w:val="superscript"/>
              </w:rPr>
              <w:fldChar w:fldCharType="separate"/>
            </w:r>
            <w:r w:rsidRPr="001904D0">
              <w:rPr>
                <w:noProof/>
                <w:sz w:val="22"/>
                <w:szCs w:val="22"/>
                <w:vertAlign w:val="superscript"/>
              </w:rPr>
              <w:t>24</w:t>
            </w:r>
            <w:r>
              <w:rPr>
                <w:sz w:val="22"/>
                <w:szCs w:val="22"/>
                <w:vertAlign w:val="superscript"/>
              </w:rPr>
              <w:fldChar w:fldCharType="end"/>
            </w:r>
          </w:p>
        </w:tc>
      </w:tr>
    </w:tbl>
    <w:p w14:paraId="0C114FAC" w14:textId="77777777" w:rsidR="00FD13B1" w:rsidRPr="00C57AD2" w:rsidRDefault="00FD13B1" w:rsidP="00FD13B1">
      <w:pPr>
        <w:rPr>
          <w:rFonts w:eastAsia="ＭＳ 明朝"/>
          <w:b/>
          <w:bCs/>
          <w:sz w:val="22"/>
          <w:szCs w:val="22"/>
          <w:lang w:eastAsia="ja-JP"/>
        </w:rPr>
      </w:pPr>
      <w:bookmarkStart w:id="8" w:name="_Hlk10468179"/>
      <w:bookmarkEnd w:id="6"/>
      <w:r w:rsidRPr="00C57AD2">
        <w:rPr>
          <w:rFonts w:eastAsia="ＭＳ 明朝"/>
          <w:bCs/>
          <w:sz w:val="22"/>
          <w:szCs w:val="22"/>
          <w:vertAlign w:val="superscript"/>
          <w:lang w:eastAsia="ja-JP"/>
        </w:rPr>
        <w:t>a</w:t>
      </w:r>
      <w:r w:rsidRPr="00C57AD2">
        <w:rPr>
          <w:rFonts w:eastAsia="ＭＳ 明朝"/>
          <w:b/>
          <w:bCs/>
          <w:sz w:val="22"/>
          <w:szCs w:val="22"/>
          <w:lang w:eastAsia="ja-JP"/>
        </w:rPr>
        <w:t xml:space="preserve"> </w:t>
      </w:r>
      <w:r w:rsidRPr="00C57AD2">
        <w:rPr>
          <w:sz w:val="22"/>
          <w:szCs w:val="22"/>
        </w:rPr>
        <w:t>Mixed layer depth is defined as the depth at which temperature (T) changes by a given threshold value (ΔT; here, ΔT = 0.5 ℃) relative to the temperature at the surface</w:t>
      </w:r>
      <w:r w:rsidRPr="00C57AD2">
        <w:rPr>
          <w:sz w:val="22"/>
          <w:szCs w:val="22"/>
          <w:lang w:eastAsia="ja-JP"/>
        </w:rPr>
        <w:t xml:space="preserve"> </w:t>
      </w:r>
      <w:r>
        <w:rPr>
          <w:sz w:val="22"/>
          <w:szCs w:val="22"/>
          <w:vertAlign w:val="superscript"/>
        </w:rPr>
        <w:fldChar w:fldCharType="begin" w:fldLock="1"/>
      </w:r>
      <w:r>
        <w:rPr>
          <w:sz w:val="22"/>
          <w:szCs w:val="22"/>
          <w:vertAlign w:val="superscript"/>
        </w:rPr>
        <w:instrText>ADDIN CSL_CITATION {"citationItems":[{"id":"ITEM-1","itemData":{"DOI":"10.1029/2004JC002378","ISSN":"2169-9275","abstract":"A new 2 resolution global climatology of the mixed layer depth (MLD) based on individual profiles is constructed. Previous global climatologies have been based on temperature or density-gridded climatologies. The criterion selected is a threshold value of temperature or density from a near-surface value at 10 m depth (ΔT = 0.2C or Δσ = 0.03 kg m3). A validation of the temperature criterion on moored time series data shows that the method is successful at following the base of the mixed layer. In particular, the first spring restratification is better captured than with a more commonly used larger criteria. In addition, we show that for a given 0.2C criterion, the MLD estimated from averaged profiles results in a shallow bias of 25% compared to the MLD estimated from individual profiles. A new global seasonal estimation of barrier layer thickness is also provided. An interesting result is the prevalence in mid- and high-latitude winter hemispheres of vertically density-compensated layers, creating an isopycnal but not mixed layer. Consequently, we propose an optimal estimate of MLD based on both temperature and density data. An independent validation of the maximum annual MLD with oxygen data shows that this oxygen estimate may be biased in regions of Ekman pumping or strong biological activity. Significant differences are shown compared to previous climatologies. The timing of the seasonal cycle of the mixed layer is shifted earlier in the year, and the maximum MLD captures finer structures and is shallower. These results are discussed in light of the different approaches and the choice of criterion.","author":[{"dropping-particle":"","family":"Boyer Montegut","given":"C.","non-dropping-particle":"de","parse-names":false,"suffix":""},{"dropping-particle":"","family":"Madec","given":"G.","non-dropping-particle":"","parse-names":false,"suffix":""},{"dropping-particle":"","family":"Fischer","given":"A. S.","non-dropping-particle":"","parse-names":false,"suffix":""},{"dropping-particle":"","family":"Lazar","given":"A.","non-dropping-particle":"","parse-names":false,"suffix":""},{"dropping-particle":"","family":"Iudicone","given":"D.","non-dropping-particle":"","parse-names":false,"suffix":""}],"container-title":"Journal of Geophysical Research-Oceans","id":"ITEM-1","issue":"C12","issued":{"date-parts":[["2004"]]},"title":"Mixed layer depth over the global ocean: An examination of profile data and a profile-based climatology","type":"article-journal","volume":"109"},"uris":["http://www.mendeley.com/documents/?uuid=593245cb-cb32-4d2d-be87-7d0a3469cfa3"]}],"mendeley":{"formattedCitation":"&lt;sup&gt;23&lt;/sup&gt;","plainTextFormattedCitation":"23","previouslyFormattedCitation":"&lt;sup&gt;23&lt;/sup&gt;"},"properties":{"noteIndex":0},"schema":"https://github.com/citation-style-language/schema/raw/master/csl-citation.json"}</w:instrText>
      </w:r>
      <w:r>
        <w:rPr>
          <w:sz w:val="22"/>
          <w:szCs w:val="22"/>
          <w:vertAlign w:val="superscript"/>
        </w:rPr>
        <w:fldChar w:fldCharType="separate"/>
      </w:r>
      <w:r w:rsidRPr="001904D0">
        <w:rPr>
          <w:noProof/>
          <w:sz w:val="22"/>
          <w:szCs w:val="22"/>
          <w:vertAlign w:val="superscript"/>
        </w:rPr>
        <w:t>23</w:t>
      </w:r>
      <w:r>
        <w:rPr>
          <w:sz w:val="22"/>
          <w:szCs w:val="22"/>
          <w:vertAlign w:val="superscript"/>
        </w:rPr>
        <w:fldChar w:fldCharType="end"/>
      </w:r>
      <w:r w:rsidRPr="00C57AD2">
        <w:rPr>
          <w:sz w:val="22"/>
          <w:szCs w:val="22"/>
        </w:rPr>
        <w:t>.</w:t>
      </w:r>
    </w:p>
    <w:p w14:paraId="0F2A3DE6" w14:textId="77777777" w:rsidR="00FD13B1" w:rsidRPr="00C57AD2" w:rsidRDefault="00FD13B1" w:rsidP="00FD13B1">
      <w:pPr>
        <w:rPr>
          <w:rFonts w:eastAsia="ＭＳ 明朝"/>
          <w:b/>
          <w:bCs/>
          <w:sz w:val="22"/>
          <w:szCs w:val="22"/>
          <w:lang w:eastAsia="ja-JP"/>
        </w:rPr>
      </w:pPr>
      <w:r w:rsidRPr="00C57AD2">
        <w:rPr>
          <w:rFonts w:eastAsia="ＭＳ 明朝"/>
          <w:bCs/>
          <w:sz w:val="22"/>
          <w:szCs w:val="22"/>
          <w:vertAlign w:val="superscript"/>
          <w:lang w:eastAsia="ja-JP"/>
        </w:rPr>
        <w:t>b</w:t>
      </w:r>
      <w:r w:rsidRPr="00C57AD2">
        <w:rPr>
          <w:rFonts w:eastAsia="ＭＳ 明朝"/>
          <w:b/>
          <w:bCs/>
          <w:sz w:val="22"/>
          <w:szCs w:val="22"/>
          <w:lang w:eastAsia="ja-JP"/>
        </w:rPr>
        <w:t xml:space="preserve"> </w:t>
      </w:r>
      <w:r w:rsidRPr="00C57AD2">
        <w:rPr>
          <w:rFonts w:eastAsia="ＭＳ 明朝"/>
          <w:sz w:val="22"/>
          <w:szCs w:val="22"/>
          <w:lang w:eastAsia="ja-JP"/>
        </w:rPr>
        <w:t>North Atlantic Deep Water</w:t>
      </w:r>
    </w:p>
    <w:p w14:paraId="62954DCF" w14:textId="77777777" w:rsidR="00FD13B1" w:rsidRPr="00C57AD2" w:rsidRDefault="00FD13B1" w:rsidP="00FD13B1">
      <w:pPr>
        <w:rPr>
          <w:rFonts w:eastAsia="ＭＳ 明朝"/>
          <w:b/>
          <w:bCs/>
          <w:sz w:val="22"/>
          <w:szCs w:val="22"/>
          <w:lang w:eastAsia="ja-JP"/>
        </w:rPr>
      </w:pPr>
      <w:r w:rsidRPr="00C57AD2">
        <w:rPr>
          <w:rFonts w:eastAsia="ＭＳ 明朝"/>
          <w:bCs/>
          <w:sz w:val="22"/>
          <w:szCs w:val="22"/>
          <w:vertAlign w:val="superscript"/>
          <w:lang w:eastAsia="ja-JP"/>
        </w:rPr>
        <w:t>c</w:t>
      </w:r>
      <w:r w:rsidRPr="00C57AD2">
        <w:rPr>
          <w:rFonts w:eastAsia="ＭＳ 明朝"/>
          <w:b/>
          <w:bCs/>
          <w:sz w:val="22"/>
          <w:szCs w:val="22"/>
          <w:lang w:eastAsia="ja-JP"/>
        </w:rPr>
        <w:t xml:space="preserve"> </w:t>
      </w:r>
      <w:proofErr w:type="spellStart"/>
      <w:r w:rsidRPr="00C57AD2">
        <w:rPr>
          <w:rFonts w:eastAsia="ＭＳ 明朝"/>
          <w:sz w:val="22"/>
          <w:szCs w:val="22"/>
          <w:lang w:eastAsia="ja-JP"/>
        </w:rPr>
        <w:t>Subantarctic</w:t>
      </w:r>
      <w:proofErr w:type="spellEnd"/>
      <w:r w:rsidRPr="00C57AD2">
        <w:rPr>
          <w:rFonts w:eastAsia="ＭＳ 明朝"/>
          <w:sz w:val="22"/>
          <w:szCs w:val="22"/>
          <w:lang w:eastAsia="ja-JP"/>
        </w:rPr>
        <w:t xml:space="preserve"> Surface Water; in this study, we only removed the northern part of SASW in the Pacific sector.</w:t>
      </w:r>
    </w:p>
    <w:p w14:paraId="14D6F351" w14:textId="77777777" w:rsidR="00FD13B1" w:rsidRPr="00C57AD2" w:rsidRDefault="00FD13B1" w:rsidP="00FD13B1">
      <w:pPr>
        <w:rPr>
          <w:rFonts w:eastAsia="ＭＳ 明朝"/>
          <w:b/>
          <w:bCs/>
          <w:sz w:val="22"/>
          <w:szCs w:val="22"/>
          <w:lang w:eastAsia="ja-JP"/>
        </w:rPr>
      </w:pPr>
      <w:r w:rsidRPr="00C57AD2">
        <w:rPr>
          <w:rFonts w:eastAsia="ＭＳ 明朝"/>
          <w:b/>
          <w:bCs/>
          <w:sz w:val="22"/>
          <w:szCs w:val="22"/>
          <w:lang w:eastAsia="ja-JP"/>
        </w:rPr>
        <w:br w:type="page"/>
      </w:r>
    </w:p>
    <w:p w14:paraId="15411A3C" w14:textId="77777777" w:rsidR="00FD13B1" w:rsidRPr="00C57AD2" w:rsidRDefault="00FD13B1" w:rsidP="00FD13B1">
      <w:pPr>
        <w:rPr>
          <w:sz w:val="22"/>
          <w:szCs w:val="22"/>
          <w:lang w:eastAsia="ja-JP"/>
        </w:rPr>
      </w:pPr>
      <w:bookmarkStart w:id="9" w:name="_Hlk22134047"/>
      <w:r w:rsidRPr="00C57AD2">
        <w:rPr>
          <w:b/>
          <w:bCs/>
          <w:sz w:val="22"/>
          <w:szCs w:val="22"/>
        </w:rPr>
        <w:lastRenderedPageBreak/>
        <w:t>Table S3.</w:t>
      </w:r>
      <w:r w:rsidRPr="00C57AD2">
        <w:rPr>
          <w:rFonts w:eastAsia="SimSun"/>
          <w:b/>
          <w:bCs/>
          <w:sz w:val="22"/>
          <w:szCs w:val="22"/>
        </w:rPr>
        <w:t xml:space="preserve"> </w:t>
      </w:r>
      <w:r w:rsidRPr="00C57AD2">
        <w:rPr>
          <w:sz w:val="22"/>
          <w:szCs w:val="22"/>
        </w:rPr>
        <w:t>Summary of the parameterization in our study for nitrate</w:t>
      </w:r>
      <w:r w:rsidRPr="00C57AD2">
        <w:rPr>
          <w:sz w:val="22"/>
          <w:szCs w:val="22"/>
          <w:lang w:eastAsia="ja-JP"/>
        </w:rPr>
        <w:t xml:space="preserve"> (N</w:t>
      </w:r>
      <w:r w:rsidRPr="00C57AD2">
        <w:rPr>
          <w:sz w:val="22"/>
          <w:szCs w:val="22"/>
          <w:vertAlign w:val="subscript"/>
          <w:lang w:eastAsia="ja-JP"/>
        </w:rPr>
        <w:t>p</w:t>
      </w:r>
      <w:r w:rsidRPr="00C57AD2">
        <w:rPr>
          <w:sz w:val="22"/>
          <w:szCs w:val="22"/>
          <w:lang w:eastAsia="ja-JP"/>
        </w:rPr>
        <w:t xml:space="preserve">) </w:t>
      </w:r>
      <w:r w:rsidRPr="00C57AD2">
        <w:rPr>
          <w:sz w:val="22"/>
          <w:szCs w:val="22"/>
        </w:rPr>
        <w:t>in the 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1559"/>
        <w:gridCol w:w="1418"/>
        <w:gridCol w:w="1843"/>
        <w:gridCol w:w="1275"/>
      </w:tblGrid>
      <w:tr w:rsidR="00FD13B1" w:rsidRPr="00C57AD2" w14:paraId="358A9BFA" w14:textId="77777777" w:rsidTr="00F528FF">
        <w:tc>
          <w:tcPr>
            <w:tcW w:w="1276" w:type="dxa"/>
            <w:tcBorders>
              <w:bottom w:val="single" w:sz="4" w:space="0" w:color="auto"/>
            </w:tcBorders>
          </w:tcPr>
          <w:p w14:paraId="7D981EEC" w14:textId="77777777" w:rsidR="00FD13B1" w:rsidRPr="00C57AD2" w:rsidRDefault="00FD13B1" w:rsidP="00F528FF">
            <w:pPr>
              <w:rPr>
                <w:sz w:val="22"/>
                <w:szCs w:val="22"/>
              </w:rPr>
            </w:pPr>
            <w:r w:rsidRPr="00C57AD2">
              <w:rPr>
                <w:sz w:val="22"/>
                <w:szCs w:val="22"/>
              </w:rPr>
              <w:t>Parameter</w:t>
            </w:r>
          </w:p>
        </w:tc>
        <w:tc>
          <w:tcPr>
            <w:tcW w:w="1559" w:type="dxa"/>
            <w:tcBorders>
              <w:bottom w:val="single" w:sz="4" w:space="0" w:color="auto"/>
            </w:tcBorders>
          </w:tcPr>
          <w:p w14:paraId="4FE74D9A" w14:textId="77777777" w:rsidR="00FD13B1" w:rsidRPr="00C57AD2" w:rsidRDefault="00FD13B1" w:rsidP="00F528FF">
            <w:pPr>
              <w:ind w:right="220"/>
              <w:jc w:val="right"/>
              <w:rPr>
                <w:sz w:val="22"/>
                <w:szCs w:val="22"/>
              </w:rPr>
            </w:pPr>
            <w:r w:rsidRPr="00C57AD2">
              <w:rPr>
                <w:i/>
                <w:iCs/>
                <w:sz w:val="22"/>
                <w:szCs w:val="22"/>
              </w:rPr>
              <w:t xml:space="preserve">F </w:t>
            </w:r>
            <w:r w:rsidRPr="00C57AD2">
              <w:rPr>
                <w:sz w:val="22"/>
                <w:szCs w:val="22"/>
                <w:vertAlign w:val="superscript"/>
              </w:rPr>
              <w:t>a</w:t>
            </w:r>
          </w:p>
        </w:tc>
        <w:tc>
          <w:tcPr>
            <w:tcW w:w="1418" w:type="dxa"/>
            <w:tcBorders>
              <w:bottom w:val="single" w:sz="4" w:space="0" w:color="auto"/>
            </w:tcBorders>
          </w:tcPr>
          <w:p w14:paraId="7798EF2C" w14:textId="79BE79EA" w:rsidR="00FD13B1" w:rsidRPr="00C57AD2" w:rsidRDefault="007A24F5" w:rsidP="00F528FF">
            <w:pPr>
              <w:ind w:right="220"/>
              <w:jc w:val="right"/>
              <w:rPr>
                <w:sz w:val="22"/>
                <w:szCs w:val="22"/>
              </w:rPr>
            </w:pPr>
            <w:r>
              <w:rPr>
                <w:i/>
                <w:iCs/>
                <w:sz w:val="22"/>
                <w:szCs w:val="22"/>
              </w:rPr>
              <w:t>B</w:t>
            </w:r>
            <w:r w:rsidRPr="00C57AD2">
              <w:rPr>
                <w:i/>
                <w:iCs/>
                <w:sz w:val="22"/>
                <w:szCs w:val="22"/>
              </w:rPr>
              <w:t xml:space="preserve"> </w:t>
            </w:r>
            <w:proofErr w:type="spellStart"/>
            <w:r w:rsidR="00FD13B1" w:rsidRPr="00C57AD2">
              <w:rPr>
                <w:sz w:val="22"/>
                <w:szCs w:val="22"/>
                <w:vertAlign w:val="superscript"/>
              </w:rPr>
              <w:t>b</w:t>
            </w:r>
            <w:proofErr w:type="spellEnd"/>
          </w:p>
        </w:tc>
        <w:tc>
          <w:tcPr>
            <w:tcW w:w="1843" w:type="dxa"/>
            <w:tcBorders>
              <w:bottom w:val="single" w:sz="4" w:space="0" w:color="auto"/>
            </w:tcBorders>
          </w:tcPr>
          <w:p w14:paraId="411C7035" w14:textId="77777777" w:rsidR="00FD13B1" w:rsidRPr="00C566F9" w:rsidRDefault="00FD13B1" w:rsidP="00F528FF">
            <w:pPr>
              <w:wordWrap w:val="0"/>
              <w:jc w:val="right"/>
              <w:rPr>
                <w:sz w:val="22"/>
                <w:szCs w:val="22"/>
              </w:rPr>
            </w:pPr>
            <w:r w:rsidRPr="00C566F9">
              <w:rPr>
                <w:sz w:val="22"/>
                <w:szCs w:val="22"/>
              </w:rPr>
              <w:t xml:space="preserve">Standardized </w:t>
            </w:r>
            <w:r w:rsidRPr="00C566F9">
              <w:rPr>
                <w:i/>
                <w:iCs/>
                <w:sz w:val="22"/>
                <w:szCs w:val="22"/>
              </w:rPr>
              <w:t>β</w:t>
            </w:r>
            <w:r w:rsidRPr="00C566F9">
              <w:rPr>
                <w:sz w:val="22"/>
                <w:szCs w:val="22"/>
                <w:vertAlign w:val="superscript"/>
              </w:rPr>
              <w:t xml:space="preserve"> c</w:t>
            </w:r>
          </w:p>
        </w:tc>
        <w:tc>
          <w:tcPr>
            <w:tcW w:w="1275" w:type="dxa"/>
            <w:tcBorders>
              <w:bottom w:val="single" w:sz="4" w:space="0" w:color="auto"/>
            </w:tcBorders>
          </w:tcPr>
          <w:p w14:paraId="7B097997" w14:textId="77777777" w:rsidR="00FD13B1" w:rsidRPr="00C57AD2" w:rsidRDefault="00FD13B1" w:rsidP="00F528FF">
            <w:pPr>
              <w:jc w:val="right"/>
              <w:rPr>
                <w:sz w:val="22"/>
                <w:szCs w:val="22"/>
              </w:rPr>
            </w:pPr>
            <w:r w:rsidRPr="00C57AD2">
              <w:rPr>
                <w:sz w:val="22"/>
                <w:szCs w:val="22"/>
              </w:rPr>
              <w:t xml:space="preserve">VIF </w:t>
            </w:r>
            <w:r w:rsidRPr="00C57AD2">
              <w:rPr>
                <w:sz w:val="22"/>
                <w:szCs w:val="22"/>
                <w:vertAlign w:val="superscript"/>
              </w:rPr>
              <w:t>d</w:t>
            </w:r>
          </w:p>
        </w:tc>
      </w:tr>
      <w:tr w:rsidR="00FD13B1" w:rsidRPr="00C57AD2" w14:paraId="648D1B9D" w14:textId="77777777" w:rsidTr="00F528FF">
        <w:tc>
          <w:tcPr>
            <w:tcW w:w="1276" w:type="dxa"/>
            <w:tcBorders>
              <w:bottom w:val="nil"/>
            </w:tcBorders>
          </w:tcPr>
          <w:p w14:paraId="218EA50E" w14:textId="77777777" w:rsidR="00FD13B1" w:rsidRPr="00C57AD2" w:rsidRDefault="00FD13B1" w:rsidP="00F528FF">
            <w:pPr>
              <w:rPr>
                <w:sz w:val="22"/>
                <w:szCs w:val="22"/>
              </w:rPr>
            </w:pPr>
            <w:r w:rsidRPr="00C57AD2">
              <w:rPr>
                <w:sz w:val="22"/>
                <w:szCs w:val="22"/>
              </w:rPr>
              <w:t>Intercept</w:t>
            </w:r>
          </w:p>
        </w:tc>
        <w:tc>
          <w:tcPr>
            <w:tcW w:w="1559" w:type="dxa"/>
            <w:tcBorders>
              <w:bottom w:val="nil"/>
            </w:tcBorders>
          </w:tcPr>
          <w:p w14:paraId="785EDEC0" w14:textId="77777777" w:rsidR="00FD13B1" w:rsidRPr="00C57AD2" w:rsidRDefault="00FD13B1" w:rsidP="00F528FF">
            <w:pPr>
              <w:jc w:val="right"/>
              <w:rPr>
                <w:sz w:val="22"/>
              </w:rPr>
            </w:pPr>
            <w:r w:rsidRPr="00C57AD2">
              <w:rPr>
                <w:sz w:val="22"/>
                <w:szCs w:val="22"/>
              </w:rPr>
              <w:t>–</w:t>
            </w:r>
          </w:p>
        </w:tc>
        <w:tc>
          <w:tcPr>
            <w:tcW w:w="1418" w:type="dxa"/>
            <w:tcBorders>
              <w:bottom w:val="nil"/>
            </w:tcBorders>
          </w:tcPr>
          <w:p w14:paraId="6A9475B1" w14:textId="77777777" w:rsidR="00FD13B1" w:rsidRPr="00C57AD2" w:rsidRDefault="00FD13B1" w:rsidP="00F528FF">
            <w:pPr>
              <w:jc w:val="right"/>
              <w:rPr>
                <w:sz w:val="22"/>
              </w:rPr>
            </w:pPr>
            <w:r w:rsidRPr="00C57AD2">
              <w:rPr>
                <w:sz w:val="22"/>
                <w:szCs w:val="22"/>
              </w:rPr>
              <w:t>394.3</w:t>
            </w:r>
          </w:p>
        </w:tc>
        <w:tc>
          <w:tcPr>
            <w:tcW w:w="1843" w:type="dxa"/>
            <w:tcBorders>
              <w:bottom w:val="nil"/>
            </w:tcBorders>
          </w:tcPr>
          <w:p w14:paraId="5C73F093" w14:textId="5BFBC1D7" w:rsidR="00FD13B1" w:rsidRPr="00C566F9" w:rsidRDefault="009E0B47" w:rsidP="00F528FF">
            <w:pPr>
              <w:jc w:val="right"/>
              <w:rPr>
                <w:sz w:val="22"/>
                <w:szCs w:val="22"/>
              </w:rPr>
            </w:pPr>
            <w:r w:rsidRPr="00C566F9">
              <w:rPr>
                <w:rFonts w:hint="eastAsia"/>
                <w:sz w:val="22"/>
                <w:szCs w:val="22"/>
              </w:rPr>
              <w:t>0</w:t>
            </w:r>
          </w:p>
        </w:tc>
        <w:tc>
          <w:tcPr>
            <w:tcW w:w="1275" w:type="dxa"/>
            <w:tcBorders>
              <w:bottom w:val="nil"/>
            </w:tcBorders>
          </w:tcPr>
          <w:p w14:paraId="66E1191B" w14:textId="77777777" w:rsidR="00FD13B1" w:rsidRPr="00C57AD2" w:rsidRDefault="00FD13B1" w:rsidP="00F528FF">
            <w:pPr>
              <w:jc w:val="right"/>
              <w:rPr>
                <w:sz w:val="22"/>
              </w:rPr>
            </w:pPr>
            <w:r w:rsidRPr="00C57AD2">
              <w:rPr>
                <w:sz w:val="22"/>
                <w:szCs w:val="22"/>
              </w:rPr>
              <w:t xml:space="preserve">        –</w:t>
            </w:r>
          </w:p>
        </w:tc>
      </w:tr>
      <w:tr w:rsidR="00FD13B1" w:rsidRPr="00C57AD2" w14:paraId="1529864B" w14:textId="77777777" w:rsidTr="00F528FF">
        <w:tc>
          <w:tcPr>
            <w:tcW w:w="1276" w:type="dxa"/>
            <w:tcBorders>
              <w:top w:val="nil"/>
              <w:bottom w:val="nil"/>
            </w:tcBorders>
          </w:tcPr>
          <w:p w14:paraId="14694B13" w14:textId="77777777" w:rsidR="00FD13B1" w:rsidRPr="00C57AD2" w:rsidRDefault="00FD13B1" w:rsidP="00F528FF">
            <w:pPr>
              <w:rPr>
                <w:sz w:val="22"/>
                <w:szCs w:val="22"/>
              </w:rPr>
            </w:pPr>
            <w:r w:rsidRPr="00C57AD2">
              <w:rPr>
                <w:sz w:val="22"/>
                <w:szCs w:val="22"/>
              </w:rPr>
              <w:t>DO</w:t>
            </w:r>
          </w:p>
        </w:tc>
        <w:tc>
          <w:tcPr>
            <w:tcW w:w="1559" w:type="dxa"/>
            <w:tcBorders>
              <w:top w:val="nil"/>
              <w:bottom w:val="nil"/>
            </w:tcBorders>
          </w:tcPr>
          <w:p w14:paraId="2671E71A" w14:textId="77777777" w:rsidR="00FD13B1" w:rsidRPr="00C57AD2" w:rsidRDefault="00FD13B1" w:rsidP="00F528FF">
            <w:pPr>
              <w:jc w:val="right"/>
              <w:rPr>
                <w:sz w:val="22"/>
              </w:rPr>
            </w:pPr>
            <w:r w:rsidRPr="00C57AD2">
              <w:rPr>
                <w:sz w:val="22"/>
                <w:szCs w:val="22"/>
              </w:rPr>
              <w:t>903,917</w:t>
            </w:r>
          </w:p>
        </w:tc>
        <w:tc>
          <w:tcPr>
            <w:tcW w:w="1418" w:type="dxa"/>
            <w:tcBorders>
              <w:top w:val="nil"/>
              <w:bottom w:val="nil"/>
            </w:tcBorders>
          </w:tcPr>
          <w:p w14:paraId="7ABBAA0E" w14:textId="77777777" w:rsidR="00FD13B1" w:rsidRPr="00C57AD2" w:rsidRDefault="00FD13B1" w:rsidP="00F528FF">
            <w:pPr>
              <w:jc w:val="right"/>
              <w:rPr>
                <w:sz w:val="22"/>
              </w:rPr>
            </w:pPr>
            <w:r w:rsidRPr="00C57AD2">
              <w:rPr>
                <w:sz w:val="22"/>
              </w:rPr>
              <w:t>–</w:t>
            </w:r>
            <w:r w:rsidRPr="00C57AD2">
              <w:rPr>
                <w:rFonts w:eastAsia="ＭＳ 明朝"/>
                <w:sz w:val="22"/>
                <w:szCs w:val="22"/>
                <w:lang w:eastAsia="ja-JP"/>
              </w:rPr>
              <w:t>9.208</w:t>
            </w:r>
            <m:oMath>
              <m:r>
                <w:rPr>
                  <w:rFonts w:ascii="Cambria Math" w:eastAsia="ＭＳ 明朝" w:hAnsi="Cambria Math"/>
                  <w:sz w:val="22"/>
                  <w:szCs w:val="22"/>
                  <w:lang w:eastAsia="ja-JP"/>
                </w:rPr>
                <m:t>×</m:t>
              </m:r>
            </m:oMath>
            <w:r w:rsidRPr="00C57AD2">
              <w:rPr>
                <w:rFonts w:eastAsia="ＭＳ 明朝"/>
                <w:sz w:val="22"/>
                <w:szCs w:val="22"/>
                <w:lang w:eastAsia="ja-JP"/>
              </w:rPr>
              <w:t xml:space="preserve">10 </w:t>
            </w:r>
            <w:r w:rsidRPr="00C57AD2">
              <w:rPr>
                <w:rFonts w:eastAsia="ＭＳ 明朝"/>
                <w:sz w:val="22"/>
                <w:szCs w:val="22"/>
                <w:vertAlign w:val="superscript"/>
                <w:lang w:eastAsia="ja-JP"/>
              </w:rPr>
              <w:t>-2</w:t>
            </w:r>
          </w:p>
        </w:tc>
        <w:tc>
          <w:tcPr>
            <w:tcW w:w="1843" w:type="dxa"/>
            <w:tcBorders>
              <w:top w:val="nil"/>
              <w:bottom w:val="nil"/>
            </w:tcBorders>
          </w:tcPr>
          <w:p w14:paraId="0C77E495" w14:textId="55ADD8F4" w:rsidR="00FD13B1" w:rsidRPr="00C566F9" w:rsidRDefault="009E0B47" w:rsidP="00F528FF">
            <w:pPr>
              <w:jc w:val="right"/>
              <w:rPr>
                <w:sz w:val="22"/>
                <w:szCs w:val="22"/>
              </w:rPr>
            </w:pPr>
            <w:r w:rsidRPr="00C566F9">
              <w:rPr>
                <w:sz w:val="22"/>
              </w:rPr>
              <w:t>–</w:t>
            </w:r>
            <w:r w:rsidRPr="00C566F9">
              <w:rPr>
                <w:rFonts w:hint="eastAsia"/>
                <w:sz w:val="22"/>
                <w:szCs w:val="22"/>
              </w:rPr>
              <w:t>0</w:t>
            </w:r>
            <w:r w:rsidRPr="00C566F9">
              <w:rPr>
                <w:sz w:val="22"/>
                <w:szCs w:val="22"/>
              </w:rPr>
              <w:t>.70</w:t>
            </w:r>
          </w:p>
        </w:tc>
        <w:tc>
          <w:tcPr>
            <w:tcW w:w="1275" w:type="dxa"/>
            <w:tcBorders>
              <w:top w:val="nil"/>
              <w:bottom w:val="nil"/>
            </w:tcBorders>
          </w:tcPr>
          <w:p w14:paraId="6E88E797" w14:textId="77777777" w:rsidR="00FD13B1" w:rsidRPr="00C57AD2" w:rsidRDefault="00FD13B1" w:rsidP="00F528FF">
            <w:pPr>
              <w:jc w:val="right"/>
              <w:rPr>
                <w:sz w:val="22"/>
              </w:rPr>
            </w:pPr>
            <w:r w:rsidRPr="00C57AD2">
              <w:rPr>
                <w:sz w:val="22"/>
                <w:szCs w:val="22"/>
              </w:rPr>
              <w:t>1.23</w:t>
            </w:r>
          </w:p>
        </w:tc>
      </w:tr>
      <w:tr w:rsidR="00FD13B1" w:rsidRPr="00C57AD2" w14:paraId="48A04009" w14:textId="77777777" w:rsidTr="00F528FF">
        <w:tc>
          <w:tcPr>
            <w:tcW w:w="1276" w:type="dxa"/>
            <w:tcBorders>
              <w:top w:val="nil"/>
              <w:bottom w:val="nil"/>
            </w:tcBorders>
          </w:tcPr>
          <w:p w14:paraId="7511973A" w14:textId="77777777" w:rsidR="00FD13B1" w:rsidRPr="00C57AD2" w:rsidRDefault="00FD13B1" w:rsidP="00F528FF">
            <w:pPr>
              <w:rPr>
                <w:sz w:val="22"/>
                <w:szCs w:val="22"/>
              </w:rPr>
            </w:pPr>
            <w:r w:rsidRPr="00C57AD2">
              <w:rPr>
                <w:sz w:val="22"/>
                <w:szCs w:val="22"/>
              </w:rPr>
              <w:t>T</w:t>
            </w:r>
          </w:p>
        </w:tc>
        <w:tc>
          <w:tcPr>
            <w:tcW w:w="1559" w:type="dxa"/>
            <w:tcBorders>
              <w:top w:val="nil"/>
              <w:bottom w:val="nil"/>
            </w:tcBorders>
          </w:tcPr>
          <w:p w14:paraId="3EE37DD0" w14:textId="77777777" w:rsidR="00FD13B1" w:rsidRPr="00C57AD2" w:rsidRDefault="00FD13B1" w:rsidP="00F528FF">
            <w:pPr>
              <w:shd w:val="clear" w:color="auto" w:fill="FFFFFF"/>
              <w:jc w:val="right"/>
              <w:rPr>
                <w:rFonts w:eastAsia="Times New Roman"/>
                <w:color w:val="212121"/>
              </w:rPr>
            </w:pPr>
            <w:r w:rsidRPr="00C57AD2">
              <w:rPr>
                <w:rFonts w:eastAsia="Times New Roman"/>
                <w:sz w:val="22"/>
              </w:rPr>
              <w:t>1,426,953</w:t>
            </w:r>
          </w:p>
        </w:tc>
        <w:tc>
          <w:tcPr>
            <w:tcW w:w="1418" w:type="dxa"/>
            <w:tcBorders>
              <w:top w:val="nil"/>
              <w:bottom w:val="nil"/>
            </w:tcBorders>
          </w:tcPr>
          <w:p w14:paraId="385E6436" w14:textId="77777777" w:rsidR="00FD13B1" w:rsidRPr="00C57AD2" w:rsidRDefault="00FD13B1" w:rsidP="00F528FF">
            <w:pPr>
              <w:shd w:val="clear" w:color="auto" w:fill="FFFFFF"/>
              <w:jc w:val="right"/>
              <w:rPr>
                <w:rFonts w:eastAsia="Times New Roman"/>
                <w:color w:val="212121"/>
                <w:sz w:val="22"/>
              </w:rPr>
            </w:pPr>
            <w:r w:rsidRPr="00C57AD2">
              <w:rPr>
                <w:rFonts w:eastAsia="Times New Roman"/>
                <w:sz w:val="22"/>
              </w:rPr>
              <w:t>–1.534</w:t>
            </w:r>
          </w:p>
        </w:tc>
        <w:tc>
          <w:tcPr>
            <w:tcW w:w="1843" w:type="dxa"/>
            <w:tcBorders>
              <w:top w:val="nil"/>
              <w:bottom w:val="nil"/>
            </w:tcBorders>
          </w:tcPr>
          <w:p w14:paraId="183748AE" w14:textId="0968ECE6" w:rsidR="00FD13B1" w:rsidRPr="00C566F9" w:rsidRDefault="009E0B47" w:rsidP="00F528FF">
            <w:pPr>
              <w:shd w:val="clear" w:color="auto" w:fill="FFFFFF"/>
              <w:jc w:val="right"/>
              <w:rPr>
                <w:rFonts w:eastAsia="Times New Roman"/>
                <w:sz w:val="22"/>
              </w:rPr>
            </w:pPr>
            <w:r w:rsidRPr="00C566F9">
              <w:rPr>
                <w:sz w:val="22"/>
              </w:rPr>
              <w:t>–</w:t>
            </w:r>
            <w:r w:rsidRPr="00C566F9">
              <w:rPr>
                <w:rFonts w:eastAsia="Times New Roman" w:hint="eastAsia"/>
                <w:sz w:val="22"/>
              </w:rPr>
              <w:t>0</w:t>
            </w:r>
            <w:r w:rsidRPr="00C566F9">
              <w:rPr>
                <w:rFonts w:eastAsia="Times New Roman"/>
                <w:sz w:val="22"/>
              </w:rPr>
              <w:t>.80</w:t>
            </w:r>
          </w:p>
        </w:tc>
        <w:tc>
          <w:tcPr>
            <w:tcW w:w="1275" w:type="dxa"/>
            <w:tcBorders>
              <w:top w:val="nil"/>
              <w:bottom w:val="nil"/>
            </w:tcBorders>
          </w:tcPr>
          <w:p w14:paraId="1BEC059E" w14:textId="77777777" w:rsidR="00FD13B1" w:rsidRPr="00C57AD2" w:rsidRDefault="00FD13B1" w:rsidP="00F528FF">
            <w:pPr>
              <w:shd w:val="clear" w:color="auto" w:fill="FFFFFF"/>
              <w:jc w:val="right"/>
              <w:rPr>
                <w:rFonts w:eastAsia="Times New Roman"/>
                <w:color w:val="212121"/>
                <w:sz w:val="22"/>
              </w:rPr>
            </w:pPr>
            <w:r w:rsidRPr="00C57AD2">
              <w:rPr>
                <w:rFonts w:eastAsia="Times New Roman"/>
                <w:sz w:val="22"/>
              </w:rPr>
              <w:t>1.26</w:t>
            </w:r>
          </w:p>
        </w:tc>
      </w:tr>
      <w:tr w:rsidR="00FD13B1" w:rsidRPr="00C57AD2" w14:paraId="33AFC464" w14:textId="77777777" w:rsidTr="00F528FF">
        <w:tc>
          <w:tcPr>
            <w:tcW w:w="1276" w:type="dxa"/>
            <w:tcBorders>
              <w:top w:val="nil"/>
              <w:bottom w:val="nil"/>
            </w:tcBorders>
          </w:tcPr>
          <w:p w14:paraId="46C5779B" w14:textId="77777777" w:rsidR="00FD13B1" w:rsidRPr="00C57AD2" w:rsidRDefault="00FD13B1" w:rsidP="00F528FF">
            <w:pPr>
              <w:rPr>
                <w:sz w:val="22"/>
                <w:szCs w:val="22"/>
              </w:rPr>
            </w:pPr>
            <w:r w:rsidRPr="00C57AD2">
              <w:rPr>
                <w:sz w:val="22"/>
                <w:szCs w:val="22"/>
              </w:rPr>
              <w:t>S</w:t>
            </w:r>
          </w:p>
        </w:tc>
        <w:tc>
          <w:tcPr>
            <w:tcW w:w="1559" w:type="dxa"/>
            <w:tcBorders>
              <w:top w:val="nil"/>
              <w:bottom w:val="nil"/>
            </w:tcBorders>
          </w:tcPr>
          <w:p w14:paraId="208A4316" w14:textId="77777777" w:rsidR="00FD13B1" w:rsidRPr="00C57AD2" w:rsidRDefault="00FD13B1" w:rsidP="00F528FF">
            <w:pPr>
              <w:jc w:val="right"/>
              <w:rPr>
                <w:sz w:val="22"/>
              </w:rPr>
            </w:pPr>
            <w:r w:rsidRPr="00C57AD2">
              <w:rPr>
                <w:color w:val="212121"/>
                <w:sz w:val="22"/>
                <w:szCs w:val="22"/>
              </w:rPr>
              <w:t>213,532</w:t>
            </w:r>
          </w:p>
        </w:tc>
        <w:tc>
          <w:tcPr>
            <w:tcW w:w="1418" w:type="dxa"/>
            <w:tcBorders>
              <w:top w:val="nil"/>
              <w:bottom w:val="nil"/>
            </w:tcBorders>
          </w:tcPr>
          <w:p w14:paraId="733C6B4C" w14:textId="77777777" w:rsidR="00FD13B1" w:rsidRPr="00C57AD2" w:rsidRDefault="00FD13B1" w:rsidP="00F528FF">
            <w:pPr>
              <w:jc w:val="right"/>
              <w:rPr>
                <w:sz w:val="22"/>
              </w:rPr>
            </w:pPr>
            <w:r w:rsidRPr="00C57AD2">
              <w:rPr>
                <w:sz w:val="22"/>
              </w:rPr>
              <w:t>–9.862</w:t>
            </w:r>
          </w:p>
        </w:tc>
        <w:tc>
          <w:tcPr>
            <w:tcW w:w="1843" w:type="dxa"/>
            <w:tcBorders>
              <w:top w:val="nil"/>
              <w:bottom w:val="nil"/>
            </w:tcBorders>
          </w:tcPr>
          <w:p w14:paraId="6FED274F" w14:textId="1954E862" w:rsidR="00FD13B1" w:rsidRPr="00C566F9" w:rsidRDefault="009E0B47" w:rsidP="00F528FF">
            <w:pPr>
              <w:jc w:val="right"/>
              <w:rPr>
                <w:sz w:val="22"/>
              </w:rPr>
            </w:pPr>
            <w:r w:rsidRPr="00C566F9">
              <w:rPr>
                <w:sz w:val="22"/>
              </w:rPr>
              <w:t>–</w:t>
            </w:r>
            <w:r w:rsidRPr="00C566F9">
              <w:rPr>
                <w:rFonts w:hint="eastAsia"/>
                <w:sz w:val="22"/>
              </w:rPr>
              <w:t>0</w:t>
            </w:r>
            <w:r w:rsidRPr="00C566F9">
              <w:rPr>
                <w:sz w:val="22"/>
              </w:rPr>
              <w:t>.37</w:t>
            </w:r>
          </w:p>
        </w:tc>
        <w:tc>
          <w:tcPr>
            <w:tcW w:w="1275" w:type="dxa"/>
            <w:tcBorders>
              <w:top w:val="nil"/>
              <w:bottom w:val="nil"/>
            </w:tcBorders>
          </w:tcPr>
          <w:p w14:paraId="780A06B2" w14:textId="77777777" w:rsidR="00FD13B1" w:rsidRPr="00C57AD2" w:rsidRDefault="00FD13B1" w:rsidP="00F528FF">
            <w:pPr>
              <w:jc w:val="right"/>
              <w:rPr>
                <w:sz w:val="22"/>
              </w:rPr>
            </w:pPr>
            <w:r w:rsidRPr="00C57AD2">
              <w:rPr>
                <w:sz w:val="22"/>
              </w:rPr>
              <w:t>1.63</w:t>
            </w:r>
          </w:p>
        </w:tc>
      </w:tr>
      <w:tr w:rsidR="00FD13B1" w:rsidRPr="00C57AD2" w14:paraId="49D77CFA" w14:textId="77777777" w:rsidTr="00F528FF">
        <w:tc>
          <w:tcPr>
            <w:tcW w:w="1276" w:type="dxa"/>
            <w:tcBorders>
              <w:top w:val="nil"/>
              <w:bottom w:val="single" w:sz="4" w:space="0" w:color="auto"/>
            </w:tcBorders>
          </w:tcPr>
          <w:p w14:paraId="790DEF31" w14:textId="77777777" w:rsidR="00FD13B1" w:rsidRPr="00C57AD2" w:rsidRDefault="00FD13B1" w:rsidP="00F528FF">
            <w:pPr>
              <w:rPr>
                <w:sz w:val="22"/>
                <w:szCs w:val="22"/>
              </w:rPr>
            </w:pPr>
            <w:proofErr w:type="spellStart"/>
            <w:r w:rsidRPr="00C57AD2">
              <w:rPr>
                <w:sz w:val="22"/>
                <w:szCs w:val="22"/>
              </w:rPr>
              <w:t>Pr</w:t>
            </w:r>
            <w:proofErr w:type="spellEnd"/>
          </w:p>
        </w:tc>
        <w:tc>
          <w:tcPr>
            <w:tcW w:w="1559" w:type="dxa"/>
            <w:tcBorders>
              <w:top w:val="nil"/>
              <w:bottom w:val="single" w:sz="4" w:space="0" w:color="auto"/>
            </w:tcBorders>
          </w:tcPr>
          <w:p w14:paraId="269E13DA" w14:textId="77777777" w:rsidR="00FD13B1" w:rsidRPr="00C57AD2" w:rsidRDefault="00FD13B1" w:rsidP="00F528FF">
            <w:pPr>
              <w:jc w:val="right"/>
              <w:rPr>
                <w:sz w:val="22"/>
              </w:rPr>
            </w:pPr>
            <w:r w:rsidRPr="00C57AD2">
              <w:rPr>
                <w:sz w:val="22"/>
              </w:rPr>
              <w:t>4,830</w:t>
            </w:r>
          </w:p>
        </w:tc>
        <w:tc>
          <w:tcPr>
            <w:tcW w:w="1418" w:type="dxa"/>
            <w:tcBorders>
              <w:top w:val="nil"/>
              <w:bottom w:val="single" w:sz="4" w:space="0" w:color="auto"/>
            </w:tcBorders>
          </w:tcPr>
          <w:p w14:paraId="196C5F26" w14:textId="77777777" w:rsidR="00FD13B1" w:rsidRPr="00C57AD2" w:rsidRDefault="00FD13B1" w:rsidP="00F528FF">
            <w:pPr>
              <w:jc w:val="right"/>
              <w:rPr>
                <w:sz w:val="22"/>
              </w:rPr>
            </w:pPr>
            <w:r w:rsidRPr="00C57AD2">
              <w:rPr>
                <w:sz w:val="22"/>
                <w:szCs w:val="22"/>
                <w:lang w:eastAsia="ja-JP"/>
              </w:rPr>
              <w:t>2.029</w:t>
            </w:r>
            <m:oMath>
              <m:r>
                <w:rPr>
                  <w:rFonts w:ascii="Cambria Math" w:eastAsia="ＭＳ 明朝" w:hAnsi="Cambria Math"/>
                  <w:sz w:val="22"/>
                  <w:szCs w:val="22"/>
                  <w:lang w:eastAsia="ja-JP"/>
                </w:rPr>
                <m:t>×</m:t>
              </m:r>
            </m:oMath>
            <w:r w:rsidRPr="00C57AD2">
              <w:rPr>
                <w:sz w:val="22"/>
                <w:szCs w:val="22"/>
                <w:lang w:eastAsia="ja-JP"/>
              </w:rPr>
              <w:t>10</w:t>
            </w:r>
            <w:r w:rsidRPr="00C57AD2">
              <w:rPr>
                <w:sz w:val="22"/>
                <w:szCs w:val="22"/>
                <w:vertAlign w:val="superscript"/>
                <w:lang w:eastAsia="ja-JP"/>
              </w:rPr>
              <w:t>-4</w:t>
            </w:r>
          </w:p>
        </w:tc>
        <w:tc>
          <w:tcPr>
            <w:tcW w:w="1843" w:type="dxa"/>
            <w:tcBorders>
              <w:top w:val="nil"/>
              <w:bottom w:val="single" w:sz="4" w:space="0" w:color="auto"/>
            </w:tcBorders>
          </w:tcPr>
          <w:p w14:paraId="6D8AFD2F" w14:textId="097AE78E" w:rsidR="00FD13B1" w:rsidRPr="00C566F9" w:rsidRDefault="009E0B47" w:rsidP="00F528FF">
            <w:pPr>
              <w:jc w:val="right"/>
              <w:rPr>
                <w:sz w:val="22"/>
              </w:rPr>
            </w:pPr>
            <w:r w:rsidRPr="00C566F9">
              <w:rPr>
                <w:rFonts w:hint="eastAsia"/>
                <w:sz w:val="22"/>
              </w:rPr>
              <w:t>0</w:t>
            </w:r>
            <w:r w:rsidRPr="00C566F9">
              <w:rPr>
                <w:sz w:val="22"/>
              </w:rPr>
              <w:t>.06</w:t>
            </w:r>
          </w:p>
        </w:tc>
        <w:tc>
          <w:tcPr>
            <w:tcW w:w="1275" w:type="dxa"/>
            <w:tcBorders>
              <w:top w:val="nil"/>
              <w:bottom w:val="single" w:sz="4" w:space="0" w:color="auto"/>
            </w:tcBorders>
          </w:tcPr>
          <w:p w14:paraId="081FDFC0" w14:textId="77777777" w:rsidR="00FD13B1" w:rsidRPr="00C57AD2" w:rsidRDefault="00FD13B1" w:rsidP="00F528FF">
            <w:pPr>
              <w:jc w:val="right"/>
              <w:rPr>
                <w:sz w:val="22"/>
              </w:rPr>
            </w:pPr>
            <w:r w:rsidRPr="00C57AD2">
              <w:rPr>
                <w:sz w:val="22"/>
              </w:rPr>
              <w:t>1.63</w:t>
            </w:r>
          </w:p>
        </w:tc>
      </w:tr>
    </w:tbl>
    <w:bookmarkEnd w:id="8"/>
    <w:p w14:paraId="6AE24D72" w14:textId="77777777" w:rsidR="00FD13B1" w:rsidRPr="00C566F9" w:rsidRDefault="00FD13B1" w:rsidP="00FD13B1">
      <w:pPr>
        <w:rPr>
          <w:rFonts w:eastAsia="ＭＳ 明朝"/>
          <w:sz w:val="21"/>
          <w:szCs w:val="21"/>
          <w:lang w:eastAsia="ja-JP"/>
        </w:rPr>
      </w:pPr>
      <w:r w:rsidRPr="00C57AD2">
        <w:rPr>
          <w:bCs/>
          <w:sz w:val="22"/>
          <w:szCs w:val="22"/>
          <w:vertAlign w:val="superscript"/>
        </w:rPr>
        <w:t>a</w:t>
      </w:r>
      <w:r w:rsidRPr="00C57AD2">
        <w:rPr>
          <w:sz w:val="22"/>
          <w:szCs w:val="22"/>
        </w:rPr>
        <w:t xml:space="preserve"> </w:t>
      </w:r>
      <w:r w:rsidRPr="00C566F9">
        <w:rPr>
          <w:i/>
          <w:iCs/>
          <w:sz w:val="22"/>
          <w:szCs w:val="22"/>
        </w:rPr>
        <w:t>F</w:t>
      </w:r>
      <w:r w:rsidRPr="00C566F9">
        <w:rPr>
          <w:sz w:val="22"/>
          <w:szCs w:val="22"/>
        </w:rPr>
        <w:t xml:space="preserve">-value with a significant level of </w:t>
      </w:r>
      <w:r w:rsidRPr="00C566F9">
        <w:rPr>
          <w:rFonts w:eastAsia="ＭＳ 明朝"/>
          <w:sz w:val="22"/>
          <w:szCs w:val="22"/>
        </w:rPr>
        <w:t>α</w:t>
      </w:r>
      <w:r w:rsidRPr="00C566F9">
        <w:rPr>
          <w:rFonts w:eastAsia="ＭＳ 明朝"/>
          <w:sz w:val="22"/>
          <w:szCs w:val="22"/>
          <w:lang w:eastAsia="ja-JP"/>
        </w:rPr>
        <w:t xml:space="preserve"> </w:t>
      </w:r>
      <w:r w:rsidRPr="00C566F9">
        <w:rPr>
          <w:sz w:val="22"/>
          <w:szCs w:val="22"/>
        </w:rPr>
        <w:t xml:space="preserve">= 0.05; significant when </w:t>
      </w:r>
      <w:r w:rsidRPr="00C566F9">
        <w:rPr>
          <w:i/>
          <w:iCs/>
          <w:sz w:val="22"/>
          <w:szCs w:val="22"/>
        </w:rPr>
        <w:t>F</w:t>
      </w:r>
      <w:r w:rsidRPr="00C566F9">
        <w:rPr>
          <w:sz w:val="22"/>
          <w:szCs w:val="22"/>
        </w:rPr>
        <w:t xml:space="preserve">-value over 2.4 </w:t>
      </w:r>
      <w:r w:rsidRPr="00C566F9">
        <w:rPr>
          <w:rFonts w:eastAsia="ＭＳ 明朝"/>
          <w:sz w:val="21"/>
          <w:szCs w:val="21"/>
          <w:vertAlign w:val="superscript"/>
        </w:rPr>
        <w:fldChar w:fldCharType="begin" w:fldLock="1"/>
      </w:r>
      <w:r w:rsidRPr="00C566F9">
        <w:rPr>
          <w:rFonts w:eastAsia="ＭＳ 明朝"/>
          <w:sz w:val="21"/>
          <w:szCs w:val="21"/>
          <w:vertAlign w:val="superscript"/>
        </w:rPr>
        <w:instrText>ADDIN CSL_CITATION {"citationItems":[{"id":"ITEM-1","itemData":{"ISBN":"9780127519661","author":[{"dropping-particle":"","family":"Wilks","given":"Daniel S.","non-dropping-particle":"","parse-names":false,"suffix":""}],"id":"ITEM-1","issued":{"date-parts":[["2011"]]},"publisher":"Academic Press,N.Y.","title":"Statistical methods in the atmospheric sciences","type":"book"},"uris":["http://www.mendeley.com/documents/?uuid=4b5f2d2e-c1ad-41c4-9195-2186c0f82e21"]}],"mendeley":{"formattedCitation":"&lt;sup&gt;25&lt;/sup&gt;","plainTextFormattedCitation":"25","previouslyFormattedCitation":"&lt;sup&gt;25&lt;/sup&gt;"},"properties":{"noteIndex":0},"schema":"https://github.com/citation-style-language/schema/raw/master/csl-citation.json"}</w:instrText>
      </w:r>
      <w:r w:rsidRPr="00C566F9">
        <w:rPr>
          <w:rFonts w:eastAsia="ＭＳ 明朝"/>
          <w:sz w:val="21"/>
          <w:szCs w:val="21"/>
          <w:vertAlign w:val="superscript"/>
        </w:rPr>
        <w:fldChar w:fldCharType="separate"/>
      </w:r>
      <w:r w:rsidRPr="00C566F9">
        <w:rPr>
          <w:rFonts w:eastAsia="ＭＳ 明朝"/>
          <w:noProof/>
          <w:sz w:val="21"/>
          <w:szCs w:val="21"/>
          <w:vertAlign w:val="superscript"/>
        </w:rPr>
        <w:t>25</w:t>
      </w:r>
      <w:r w:rsidRPr="00C566F9">
        <w:rPr>
          <w:rFonts w:eastAsia="ＭＳ 明朝"/>
          <w:sz w:val="21"/>
          <w:szCs w:val="21"/>
          <w:vertAlign w:val="superscript"/>
        </w:rPr>
        <w:fldChar w:fldCharType="end"/>
      </w:r>
    </w:p>
    <w:p w14:paraId="06C20B53" w14:textId="77777777" w:rsidR="00FD13B1" w:rsidRPr="00C566F9" w:rsidRDefault="00FD13B1" w:rsidP="00FD13B1">
      <w:pPr>
        <w:rPr>
          <w:sz w:val="22"/>
          <w:szCs w:val="22"/>
        </w:rPr>
      </w:pPr>
      <w:r w:rsidRPr="00C566F9">
        <w:rPr>
          <w:bCs/>
          <w:sz w:val="22"/>
          <w:szCs w:val="22"/>
          <w:vertAlign w:val="superscript"/>
        </w:rPr>
        <w:t>b</w:t>
      </w:r>
      <w:r w:rsidRPr="00C566F9">
        <w:rPr>
          <w:sz w:val="22"/>
          <w:szCs w:val="22"/>
        </w:rPr>
        <w:t xml:space="preserve"> Regression coefficient</w:t>
      </w:r>
    </w:p>
    <w:p w14:paraId="5D391AD6" w14:textId="53386D0B" w:rsidR="00FD13B1" w:rsidRPr="00C566F9" w:rsidRDefault="00FD13B1" w:rsidP="00FD13B1">
      <w:pPr>
        <w:rPr>
          <w:sz w:val="22"/>
          <w:szCs w:val="22"/>
          <w:lang w:eastAsia="zh-CN"/>
        </w:rPr>
      </w:pPr>
      <w:r w:rsidRPr="00C566F9">
        <w:rPr>
          <w:rFonts w:hint="eastAsia"/>
          <w:sz w:val="22"/>
          <w:szCs w:val="22"/>
          <w:vertAlign w:val="superscript"/>
        </w:rPr>
        <w:t>c</w:t>
      </w:r>
      <w:r w:rsidRPr="00C566F9">
        <w:rPr>
          <w:sz w:val="22"/>
          <w:szCs w:val="22"/>
        </w:rPr>
        <w:t xml:space="preserve"> Standardized regression coefficient</w:t>
      </w:r>
      <w:r w:rsidR="007A24F5" w:rsidRPr="00C566F9">
        <w:rPr>
          <w:sz w:val="22"/>
          <w:szCs w:val="22"/>
        </w:rPr>
        <w:t xml:space="preserve"> </w:t>
      </w:r>
    </w:p>
    <w:p w14:paraId="72C7599B" w14:textId="77777777" w:rsidR="00FD13B1" w:rsidRPr="00C57AD2" w:rsidRDefault="00FD13B1" w:rsidP="00FD13B1">
      <w:pPr>
        <w:rPr>
          <w:sz w:val="22"/>
          <w:szCs w:val="22"/>
        </w:rPr>
      </w:pPr>
      <w:r w:rsidRPr="00C566F9">
        <w:rPr>
          <w:bCs/>
          <w:sz w:val="22"/>
          <w:szCs w:val="22"/>
          <w:vertAlign w:val="superscript"/>
        </w:rPr>
        <w:t>d</w:t>
      </w:r>
      <w:r w:rsidRPr="00C566F9">
        <w:rPr>
          <w:sz w:val="22"/>
          <w:szCs w:val="22"/>
        </w:rPr>
        <w:t xml:space="preserve"> Variance Inflation Factor; indicat</w:t>
      </w:r>
      <w:r w:rsidRPr="00C57AD2">
        <w:rPr>
          <w:sz w:val="22"/>
          <w:szCs w:val="22"/>
        </w:rPr>
        <w:t>es no multicollinearity when VIF</w:t>
      </w:r>
      <w:r w:rsidRPr="00C57AD2">
        <w:rPr>
          <w:sz w:val="22"/>
          <w:szCs w:val="22"/>
          <w:lang w:eastAsia="ja-JP"/>
        </w:rPr>
        <w:t xml:space="preserve"> is</w:t>
      </w:r>
      <w:r w:rsidRPr="00C57AD2">
        <w:rPr>
          <w:sz w:val="22"/>
          <w:szCs w:val="22"/>
        </w:rPr>
        <w:t xml:space="preserve"> below 10 </w:t>
      </w:r>
      <w:r>
        <w:rPr>
          <w:sz w:val="22"/>
          <w:szCs w:val="22"/>
          <w:vertAlign w:val="superscript"/>
        </w:rPr>
        <w:fldChar w:fldCharType="begin" w:fldLock="1"/>
      </w:r>
      <w:r>
        <w:rPr>
          <w:sz w:val="22"/>
          <w:szCs w:val="22"/>
          <w:vertAlign w:val="superscript"/>
        </w:rPr>
        <w:instrText>ADDIN CSL_CITATION {"citationItems":[{"id":"ITEM-1","itemData":{"ISBN":"9780127519661","author":[{"dropping-particle":"","family":"Wilks","given":"Daniel S.","non-dropping-particle":"","parse-names":false,"suffix":""}],"id":"ITEM-1","issued":{"date-parts":[["2011"]]},"publisher":"Academic Press,N.Y.","title":"Statistical methods in the atmospheric sciences","type":"book"},"uris":["http://www.mendeley.com/documents/?uuid=4b5f2d2e-c1ad-41c4-9195-2186c0f82e21"]}],"mendeley":{"formattedCitation":"&lt;sup&gt;25&lt;/sup&gt;","plainTextFormattedCitation":"25","previouslyFormattedCitation":"&lt;sup&gt;25&lt;/sup&gt;"},"properties":{"noteIndex":0},"schema":"https://github.com/citation-style-language/schema/raw/master/csl-citation.json"}</w:instrText>
      </w:r>
      <w:r>
        <w:rPr>
          <w:sz w:val="22"/>
          <w:szCs w:val="22"/>
          <w:vertAlign w:val="superscript"/>
        </w:rPr>
        <w:fldChar w:fldCharType="separate"/>
      </w:r>
      <w:r w:rsidRPr="001904D0">
        <w:rPr>
          <w:noProof/>
          <w:sz w:val="22"/>
          <w:szCs w:val="22"/>
          <w:vertAlign w:val="superscript"/>
        </w:rPr>
        <w:t>25</w:t>
      </w:r>
      <w:r>
        <w:rPr>
          <w:sz w:val="22"/>
          <w:szCs w:val="22"/>
          <w:vertAlign w:val="superscript"/>
        </w:rPr>
        <w:fldChar w:fldCharType="end"/>
      </w:r>
    </w:p>
    <w:bookmarkEnd w:id="9"/>
    <w:p w14:paraId="64C595A7" w14:textId="77777777" w:rsidR="00FD13B1" w:rsidRPr="00C57AD2" w:rsidRDefault="00FD13B1" w:rsidP="00FD13B1">
      <w:pPr>
        <w:rPr>
          <w:sz w:val="22"/>
          <w:szCs w:val="22"/>
        </w:rPr>
      </w:pPr>
      <w:r w:rsidRPr="00C57AD2">
        <w:rPr>
          <w:sz w:val="22"/>
          <w:szCs w:val="22"/>
        </w:rPr>
        <w:br w:type="page"/>
      </w:r>
    </w:p>
    <w:p w14:paraId="0B0B1BBC" w14:textId="77777777" w:rsidR="00FD13B1" w:rsidRPr="00C57AD2" w:rsidRDefault="00FD13B1" w:rsidP="00FD13B1">
      <w:pPr>
        <w:rPr>
          <w:sz w:val="22"/>
          <w:szCs w:val="22"/>
        </w:rPr>
      </w:pPr>
    </w:p>
    <w:p w14:paraId="4433BCA2" w14:textId="77777777" w:rsidR="00FD13B1" w:rsidRPr="00C57AD2" w:rsidRDefault="00FD13B1" w:rsidP="00FD13B1">
      <w:pPr>
        <w:rPr>
          <w:sz w:val="22"/>
          <w:szCs w:val="22"/>
        </w:rPr>
      </w:pPr>
      <w:bookmarkStart w:id="10" w:name="_Hlk22134067"/>
      <w:r w:rsidRPr="00C57AD2">
        <w:rPr>
          <w:b/>
          <w:bCs/>
          <w:sz w:val="22"/>
          <w:szCs w:val="22"/>
        </w:rPr>
        <w:t>Table S4.</w:t>
      </w:r>
      <w:r w:rsidRPr="00C57AD2">
        <w:rPr>
          <w:rFonts w:eastAsia="SimSun"/>
          <w:b/>
          <w:bCs/>
          <w:sz w:val="22"/>
          <w:szCs w:val="22"/>
        </w:rPr>
        <w:t xml:space="preserve"> </w:t>
      </w:r>
      <w:r w:rsidRPr="005F712B">
        <w:rPr>
          <w:sz w:val="22"/>
          <w:szCs w:val="24"/>
        </w:rPr>
        <w:t>Mean Absolute Deviation (MAD) of difference between N</w:t>
      </w:r>
      <w:r w:rsidRPr="005F712B">
        <w:rPr>
          <w:sz w:val="22"/>
          <w:szCs w:val="24"/>
          <w:vertAlign w:val="subscript"/>
        </w:rPr>
        <w:t>obs</w:t>
      </w:r>
      <w:r w:rsidRPr="005F712B">
        <w:rPr>
          <w:sz w:val="22"/>
          <w:szCs w:val="24"/>
        </w:rPr>
        <w:t xml:space="preserve"> and N</w:t>
      </w:r>
      <w:r w:rsidRPr="005F712B">
        <w:rPr>
          <w:sz w:val="22"/>
          <w:szCs w:val="24"/>
          <w:vertAlign w:val="subscript"/>
        </w:rPr>
        <w:t>p</w:t>
      </w:r>
      <w:r w:rsidRPr="005F712B">
        <w:rPr>
          <w:sz w:val="22"/>
          <w:szCs w:val="24"/>
        </w:rPr>
        <w:t xml:space="preserve"> in three independent cruises along the Pacific, Indian, and Atlantic sectors in the SO during the period from 2000 to 2016.</w:t>
      </w:r>
    </w:p>
    <w:tbl>
      <w:tblPr>
        <w:tblW w:w="7230" w:type="dxa"/>
        <w:tblBorders>
          <w:top w:val="single" w:sz="8" w:space="0" w:color="000000" w:themeColor="text1"/>
          <w:bottom w:val="single" w:sz="8" w:space="0" w:color="000000" w:themeColor="text1"/>
          <w:insideH w:val="single" w:sz="8" w:space="0" w:color="000000" w:themeColor="text1"/>
        </w:tblBorders>
        <w:shd w:val="clear" w:color="auto" w:fill="FFFFFF" w:themeFill="background1"/>
        <w:tblCellMar>
          <w:left w:w="0" w:type="dxa"/>
          <w:right w:w="0" w:type="dxa"/>
        </w:tblCellMar>
        <w:tblLook w:val="0600" w:firstRow="0" w:lastRow="0" w:firstColumn="0" w:lastColumn="0" w:noHBand="1" w:noVBand="1"/>
      </w:tblPr>
      <w:tblGrid>
        <w:gridCol w:w="2264"/>
        <w:gridCol w:w="1442"/>
        <w:gridCol w:w="1410"/>
        <w:gridCol w:w="2114"/>
      </w:tblGrid>
      <w:tr w:rsidR="00FD13B1" w:rsidRPr="00C57AD2" w14:paraId="580B63DF" w14:textId="77777777" w:rsidTr="00F528FF">
        <w:trPr>
          <w:trHeight w:val="252"/>
        </w:trPr>
        <w:tc>
          <w:tcPr>
            <w:tcW w:w="2280" w:type="dxa"/>
            <w:tcBorders>
              <w:bottom w:val="single" w:sz="8" w:space="0" w:color="000000" w:themeColor="text1"/>
            </w:tcBorders>
            <w:shd w:val="clear" w:color="auto" w:fill="FFFFFF" w:themeFill="background1"/>
            <w:tcMar>
              <w:top w:w="12" w:type="dxa"/>
              <w:left w:w="12" w:type="dxa"/>
              <w:bottom w:w="0" w:type="dxa"/>
              <w:right w:w="12" w:type="dxa"/>
            </w:tcMar>
            <w:vAlign w:val="bottom"/>
            <w:hideMark/>
          </w:tcPr>
          <w:p w14:paraId="0FD87BAE" w14:textId="77777777" w:rsidR="00FD13B1" w:rsidRPr="00C57AD2" w:rsidRDefault="00FD13B1" w:rsidP="00F528FF">
            <w:pPr>
              <w:rPr>
                <w:sz w:val="22"/>
                <w:szCs w:val="22"/>
              </w:rPr>
            </w:pPr>
            <w:r w:rsidRPr="00C57AD2">
              <w:rPr>
                <w:sz w:val="22"/>
                <w:szCs w:val="22"/>
              </w:rPr>
              <w:t>Region</w:t>
            </w:r>
          </w:p>
        </w:tc>
        <w:tc>
          <w:tcPr>
            <w:tcW w:w="1400" w:type="dxa"/>
            <w:tcBorders>
              <w:bottom w:val="single" w:sz="8" w:space="0" w:color="000000" w:themeColor="text1"/>
            </w:tcBorders>
            <w:shd w:val="clear" w:color="auto" w:fill="FFFFFF" w:themeFill="background1"/>
            <w:tcMar>
              <w:top w:w="12" w:type="dxa"/>
              <w:left w:w="12" w:type="dxa"/>
              <w:bottom w:w="0" w:type="dxa"/>
              <w:right w:w="12" w:type="dxa"/>
            </w:tcMar>
            <w:vAlign w:val="bottom"/>
            <w:hideMark/>
          </w:tcPr>
          <w:p w14:paraId="7F0D7A1B" w14:textId="77777777" w:rsidR="00FD13B1" w:rsidRPr="00C57AD2" w:rsidRDefault="00FD13B1" w:rsidP="00F528FF">
            <w:pPr>
              <w:ind w:firstLineChars="150" w:firstLine="330"/>
              <w:rPr>
                <w:sz w:val="22"/>
                <w:szCs w:val="22"/>
              </w:rPr>
            </w:pPr>
            <w:r w:rsidRPr="00C57AD2">
              <w:rPr>
                <w:sz w:val="22"/>
                <w:szCs w:val="22"/>
              </w:rPr>
              <w:t>Cruise</w:t>
            </w:r>
          </w:p>
        </w:tc>
        <w:tc>
          <w:tcPr>
            <w:tcW w:w="1420" w:type="dxa"/>
            <w:tcBorders>
              <w:bottom w:val="single" w:sz="8" w:space="0" w:color="000000" w:themeColor="text1"/>
            </w:tcBorders>
            <w:shd w:val="clear" w:color="auto" w:fill="FFFFFF" w:themeFill="background1"/>
          </w:tcPr>
          <w:p w14:paraId="43124AFB" w14:textId="77777777" w:rsidR="00FD13B1" w:rsidRPr="00C57AD2" w:rsidRDefault="00FD13B1" w:rsidP="00F528FF">
            <w:pPr>
              <w:jc w:val="right"/>
              <w:rPr>
                <w:sz w:val="22"/>
                <w:szCs w:val="22"/>
              </w:rPr>
            </w:pPr>
            <w:r w:rsidRPr="00C57AD2">
              <w:rPr>
                <w:sz w:val="22"/>
                <w:szCs w:val="22"/>
                <w:lang w:eastAsia="ja-JP"/>
              </w:rPr>
              <w:t xml:space="preserve">n </w:t>
            </w:r>
            <w:r w:rsidRPr="00C57AD2">
              <w:rPr>
                <w:sz w:val="22"/>
                <w:szCs w:val="22"/>
                <w:vertAlign w:val="superscript"/>
              </w:rPr>
              <w:t>a</w:t>
            </w:r>
          </w:p>
        </w:tc>
        <w:tc>
          <w:tcPr>
            <w:tcW w:w="2130" w:type="dxa"/>
            <w:tcBorders>
              <w:bottom w:val="single" w:sz="8" w:space="0" w:color="000000" w:themeColor="text1"/>
            </w:tcBorders>
            <w:shd w:val="clear" w:color="auto" w:fill="FFFFFF" w:themeFill="background1"/>
            <w:tcMar>
              <w:top w:w="12" w:type="dxa"/>
              <w:left w:w="12" w:type="dxa"/>
              <w:bottom w:w="0" w:type="dxa"/>
              <w:right w:w="12" w:type="dxa"/>
            </w:tcMar>
            <w:vAlign w:val="bottom"/>
            <w:hideMark/>
          </w:tcPr>
          <w:p w14:paraId="2FD34BB0" w14:textId="77777777" w:rsidR="00FD13B1" w:rsidRPr="00C57AD2" w:rsidRDefault="00FD13B1" w:rsidP="00F528FF">
            <w:pPr>
              <w:jc w:val="right"/>
              <w:rPr>
                <w:sz w:val="22"/>
                <w:szCs w:val="22"/>
              </w:rPr>
            </w:pPr>
            <w:r w:rsidRPr="00C57AD2">
              <w:rPr>
                <w:sz w:val="22"/>
                <w:szCs w:val="22"/>
              </w:rPr>
              <w:t>MAD (</w:t>
            </w:r>
            <w:bookmarkStart w:id="11" w:name="_Hlk25584197"/>
            <w:r w:rsidRPr="00C57AD2">
              <w:rPr>
                <w:rFonts w:eastAsia="SimSun"/>
                <w:sz w:val="22"/>
                <w:szCs w:val="22"/>
              </w:rPr>
              <w:t>µ</w:t>
            </w:r>
            <w:r w:rsidRPr="00C57AD2">
              <w:rPr>
                <w:sz w:val="22"/>
                <w:szCs w:val="22"/>
              </w:rPr>
              <w:t xml:space="preserve">mol </w:t>
            </w:r>
            <w:proofErr w:type="gramStart"/>
            <w:r w:rsidRPr="00C57AD2">
              <w:rPr>
                <w:sz w:val="22"/>
                <w:szCs w:val="22"/>
              </w:rPr>
              <w:t>kg</w:t>
            </w:r>
            <w:r w:rsidRPr="00C57AD2">
              <w:rPr>
                <w:sz w:val="22"/>
                <w:szCs w:val="22"/>
                <w:vertAlign w:val="superscript"/>
              </w:rPr>
              <w:t>-1</w:t>
            </w:r>
            <w:bookmarkEnd w:id="11"/>
            <w:proofErr w:type="gramEnd"/>
            <w:r w:rsidRPr="00C57AD2">
              <w:rPr>
                <w:sz w:val="22"/>
                <w:szCs w:val="22"/>
              </w:rPr>
              <w:t>)</w:t>
            </w:r>
          </w:p>
        </w:tc>
      </w:tr>
      <w:tr w:rsidR="00FD13B1" w:rsidRPr="00C57AD2" w14:paraId="037BFE58" w14:textId="77777777" w:rsidTr="00F528FF">
        <w:trPr>
          <w:trHeight w:val="288"/>
        </w:trPr>
        <w:tc>
          <w:tcPr>
            <w:tcW w:w="2280" w:type="dxa"/>
            <w:tcBorders>
              <w:bottom w:val="nil"/>
            </w:tcBorders>
            <w:shd w:val="clear" w:color="auto" w:fill="FFFFFF" w:themeFill="background1"/>
            <w:tcMar>
              <w:top w:w="12" w:type="dxa"/>
              <w:left w:w="12" w:type="dxa"/>
              <w:bottom w:w="0" w:type="dxa"/>
              <w:right w:w="12" w:type="dxa"/>
            </w:tcMar>
            <w:vAlign w:val="bottom"/>
            <w:hideMark/>
          </w:tcPr>
          <w:p w14:paraId="4803400C" w14:textId="77777777" w:rsidR="00FD13B1" w:rsidRPr="00C57AD2" w:rsidRDefault="00FD13B1" w:rsidP="00F528FF">
            <w:pPr>
              <w:rPr>
                <w:sz w:val="22"/>
                <w:szCs w:val="22"/>
              </w:rPr>
            </w:pPr>
            <w:r w:rsidRPr="00C57AD2">
              <w:rPr>
                <w:sz w:val="22"/>
                <w:szCs w:val="22"/>
              </w:rPr>
              <w:t>Pacific Sector</w:t>
            </w:r>
          </w:p>
        </w:tc>
        <w:tc>
          <w:tcPr>
            <w:tcW w:w="1400" w:type="dxa"/>
            <w:tcBorders>
              <w:bottom w:val="nil"/>
            </w:tcBorders>
            <w:shd w:val="clear" w:color="auto" w:fill="FFFFFF" w:themeFill="background1"/>
            <w:tcMar>
              <w:top w:w="12" w:type="dxa"/>
              <w:left w:w="12" w:type="dxa"/>
              <w:bottom w:w="0" w:type="dxa"/>
              <w:right w:w="12" w:type="dxa"/>
            </w:tcMar>
            <w:vAlign w:val="bottom"/>
            <w:hideMark/>
          </w:tcPr>
          <w:p w14:paraId="3FBCE4A0" w14:textId="77777777" w:rsidR="00FD13B1" w:rsidRPr="00C57AD2" w:rsidRDefault="00FD13B1" w:rsidP="00F528FF">
            <w:pPr>
              <w:rPr>
                <w:sz w:val="22"/>
                <w:szCs w:val="22"/>
              </w:rPr>
            </w:pPr>
            <w:r w:rsidRPr="00C57AD2">
              <w:rPr>
                <w:sz w:val="22"/>
                <w:szCs w:val="22"/>
              </w:rPr>
              <w:t>320620140320</w:t>
            </w:r>
          </w:p>
        </w:tc>
        <w:tc>
          <w:tcPr>
            <w:tcW w:w="1420" w:type="dxa"/>
            <w:tcBorders>
              <w:bottom w:val="nil"/>
            </w:tcBorders>
            <w:shd w:val="clear" w:color="auto" w:fill="FFFFFF" w:themeFill="background1"/>
          </w:tcPr>
          <w:p w14:paraId="4C9BA6EA" w14:textId="77777777" w:rsidR="00FD13B1" w:rsidRPr="00C57AD2" w:rsidRDefault="00FD13B1" w:rsidP="00F528FF">
            <w:pPr>
              <w:jc w:val="right"/>
              <w:rPr>
                <w:sz w:val="22"/>
                <w:szCs w:val="22"/>
              </w:rPr>
            </w:pPr>
            <w:r w:rsidRPr="00C57AD2">
              <w:rPr>
                <w:sz w:val="22"/>
                <w:szCs w:val="22"/>
              </w:rPr>
              <w:t>1,306</w:t>
            </w:r>
          </w:p>
        </w:tc>
        <w:tc>
          <w:tcPr>
            <w:tcW w:w="2130" w:type="dxa"/>
            <w:tcBorders>
              <w:bottom w:val="nil"/>
            </w:tcBorders>
            <w:shd w:val="clear" w:color="auto" w:fill="FFFFFF" w:themeFill="background1"/>
            <w:tcMar>
              <w:top w:w="12" w:type="dxa"/>
              <w:left w:w="12" w:type="dxa"/>
              <w:bottom w:w="0" w:type="dxa"/>
              <w:right w:w="12" w:type="dxa"/>
            </w:tcMar>
            <w:vAlign w:val="bottom"/>
            <w:hideMark/>
          </w:tcPr>
          <w:p w14:paraId="0A5F4237" w14:textId="77777777" w:rsidR="00FD13B1" w:rsidRPr="00C57AD2" w:rsidRDefault="00FD13B1" w:rsidP="00F528FF">
            <w:pPr>
              <w:jc w:val="right"/>
              <w:rPr>
                <w:sz w:val="22"/>
                <w:szCs w:val="22"/>
              </w:rPr>
            </w:pPr>
            <w:r w:rsidRPr="00C57AD2">
              <w:rPr>
                <w:sz w:val="22"/>
                <w:szCs w:val="22"/>
              </w:rPr>
              <w:t>0.37</w:t>
            </w:r>
          </w:p>
        </w:tc>
      </w:tr>
      <w:tr w:rsidR="00FD13B1" w:rsidRPr="00C57AD2" w14:paraId="1B2EB8BF" w14:textId="77777777" w:rsidTr="00F528FF">
        <w:trPr>
          <w:trHeight w:val="288"/>
        </w:trPr>
        <w:tc>
          <w:tcPr>
            <w:tcW w:w="2280" w:type="dxa"/>
            <w:tcBorders>
              <w:top w:val="nil"/>
              <w:bottom w:val="nil"/>
            </w:tcBorders>
            <w:shd w:val="clear" w:color="auto" w:fill="FFFFFF" w:themeFill="background1"/>
            <w:tcMar>
              <w:top w:w="12" w:type="dxa"/>
              <w:left w:w="12" w:type="dxa"/>
              <w:bottom w:w="0" w:type="dxa"/>
              <w:right w:w="12" w:type="dxa"/>
            </w:tcMar>
            <w:vAlign w:val="bottom"/>
            <w:hideMark/>
          </w:tcPr>
          <w:p w14:paraId="46D91896" w14:textId="77777777" w:rsidR="00FD13B1" w:rsidRPr="00C57AD2" w:rsidRDefault="00FD13B1" w:rsidP="00F528FF">
            <w:pPr>
              <w:rPr>
                <w:sz w:val="22"/>
                <w:szCs w:val="22"/>
              </w:rPr>
            </w:pPr>
            <w:r w:rsidRPr="00C57AD2">
              <w:rPr>
                <w:sz w:val="22"/>
                <w:szCs w:val="22"/>
              </w:rPr>
              <w:t>Indian Sector</w:t>
            </w:r>
          </w:p>
        </w:tc>
        <w:tc>
          <w:tcPr>
            <w:tcW w:w="1400" w:type="dxa"/>
            <w:tcBorders>
              <w:top w:val="nil"/>
              <w:bottom w:val="nil"/>
            </w:tcBorders>
            <w:shd w:val="clear" w:color="auto" w:fill="FFFFFF" w:themeFill="background1"/>
            <w:tcMar>
              <w:top w:w="12" w:type="dxa"/>
              <w:left w:w="12" w:type="dxa"/>
              <w:bottom w:w="0" w:type="dxa"/>
              <w:right w:w="12" w:type="dxa"/>
            </w:tcMar>
            <w:vAlign w:val="bottom"/>
            <w:hideMark/>
          </w:tcPr>
          <w:p w14:paraId="11910930" w14:textId="77777777" w:rsidR="00FD13B1" w:rsidRPr="00C57AD2" w:rsidRDefault="00FD13B1" w:rsidP="00F528FF">
            <w:pPr>
              <w:rPr>
                <w:sz w:val="22"/>
                <w:szCs w:val="22"/>
              </w:rPr>
            </w:pPr>
            <w:r w:rsidRPr="00C57AD2">
              <w:rPr>
                <w:sz w:val="22"/>
                <w:szCs w:val="22"/>
              </w:rPr>
              <w:t>33RR20070204</w:t>
            </w:r>
          </w:p>
        </w:tc>
        <w:tc>
          <w:tcPr>
            <w:tcW w:w="1420" w:type="dxa"/>
            <w:tcBorders>
              <w:top w:val="nil"/>
              <w:bottom w:val="nil"/>
            </w:tcBorders>
            <w:shd w:val="clear" w:color="auto" w:fill="FFFFFF" w:themeFill="background1"/>
          </w:tcPr>
          <w:p w14:paraId="041A2FFD" w14:textId="77777777" w:rsidR="00FD13B1" w:rsidRPr="00C57AD2" w:rsidRDefault="00FD13B1" w:rsidP="00F528FF">
            <w:pPr>
              <w:jc w:val="right"/>
              <w:rPr>
                <w:sz w:val="22"/>
                <w:szCs w:val="22"/>
              </w:rPr>
            </w:pPr>
            <w:r w:rsidRPr="00C57AD2">
              <w:rPr>
                <w:sz w:val="22"/>
                <w:szCs w:val="22"/>
              </w:rPr>
              <w:t>2,022</w:t>
            </w:r>
          </w:p>
        </w:tc>
        <w:tc>
          <w:tcPr>
            <w:tcW w:w="2130" w:type="dxa"/>
            <w:tcBorders>
              <w:top w:val="nil"/>
              <w:bottom w:val="nil"/>
            </w:tcBorders>
            <w:shd w:val="clear" w:color="auto" w:fill="FFFFFF" w:themeFill="background1"/>
            <w:tcMar>
              <w:top w:w="12" w:type="dxa"/>
              <w:left w:w="12" w:type="dxa"/>
              <w:bottom w:w="0" w:type="dxa"/>
              <w:right w:w="12" w:type="dxa"/>
            </w:tcMar>
            <w:vAlign w:val="bottom"/>
            <w:hideMark/>
          </w:tcPr>
          <w:p w14:paraId="7BAF9D33" w14:textId="77777777" w:rsidR="00FD13B1" w:rsidRPr="00C57AD2" w:rsidRDefault="00FD13B1" w:rsidP="00F528FF">
            <w:pPr>
              <w:jc w:val="right"/>
              <w:rPr>
                <w:sz w:val="22"/>
                <w:szCs w:val="22"/>
              </w:rPr>
            </w:pPr>
            <w:r w:rsidRPr="00C57AD2">
              <w:rPr>
                <w:sz w:val="22"/>
                <w:szCs w:val="22"/>
              </w:rPr>
              <w:t>0.47</w:t>
            </w:r>
          </w:p>
        </w:tc>
      </w:tr>
      <w:tr w:rsidR="00FD13B1" w:rsidRPr="00C57AD2" w14:paraId="7F3C391B" w14:textId="77777777" w:rsidTr="00F528FF">
        <w:trPr>
          <w:trHeight w:val="288"/>
        </w:trPr>
        <w:tc>
          <w:tcPr>
            <w:tcW w:w="2280" w:type="dxa"/>
            <w:tcBorders>
              <w:top w:val="nil"/>
              <w:bottom w:val="nil"/>
            </w:tcBorders>
            <w:shd w:val="clear" w:color="auto" w:fill="FFFFFF" w:themeFill="background1"/>
            <w:tcMar>
              <w:top w:w="12" w:type="dxa"/>
              <w:left w:w="12" w:type="dxa"/>
              <w:bottom w:w="0" w:type="dxa"/>
              <w:right w:w="12" w:type="dxa"/>
            </w:tcMar>
            <w:vAlign w:val="bottom"/>
            <w:hideMark/>
          </w:tcPr>
          <w:p w14:paraId="6A723DBE" w14:textId="77777777" w:rsidR="00FD13B1" w:rsidRPr="00C57AD2" w:rsidRDefault="00FD13B1" w:rsidP="00F528FF">
            <w:pPr>
              <w:rPr>
                <w:sz w:val="22"/>
                <w:szCs w:val="22"/>
              </w:rPr>
            </w:pPr>
            <w:r w:rsidRPr="00C57AD2">
              <w:rPr>
                <w:sz w:val="22"/>
                <w:szCs w:val="22"/>
              </w:rPr>
              <w:t>Atlantic Sector</w:t>
            </w:r>
          </w:p>
        </w:tc>
        <w:tc>
          <w:tcPr>
            <w:tcW w:w="1400" w:type="dxa"/>
            <w:tcBorders>
              <w:top w:val="nil"/>
              <w:bottom w:val="nil"/>
            </w:tcBorders>
            <w:shd w:val="clear" w:color="auto" w:fill="FFFFFF" w:themeFill="background1"/>
            <w:tcMar>
              <w:top w:w="12" w:type="dxa"/>
              <w:left w:w="12" w:type="dxa"/>
              <w:bottom w:w="0" w:type="dxa"/>
              <w:right w:w="12" w:type="dxa"/>
            </w:tcMar>
            <w:vAlign w:val="center"/>
            <w:hideMark/>
          </w:tcPr>
          <w:p w14:paraId="3BB7915E" w14:textId="77777777" w:rsidR="00FD13B1" w:rsidRPr="00C57AD2" w:rsidRDefault="00FD13B1" w:rsidP="00F528FF">
            <w:pPr>
              <w:rPr>
                <w:sz w:val="22"/>
                <w:szCs w:val="22"/>
              </w:rPr>
            </w:pPr>
            <w:r w:rsidRPr="00C57AD2">
              <w:rPr>
                <w:sz w:val="22"/>
                <w:szCs w:val="22"/>
              </w:rPr>
              <w:t>06AQ20141202</w:t>
            </w:r>
          </w:p>
        </w:tc>
        <w:tc>
          <w:tcPr>
            <w:tcW w:w="1420" w:type="dxa"/>
            <w:tcBorders>
              <w:top w:val="nil"/>
              <w:bottom w:val="nil"/>
            </w:tcBorders>
            <w:shd w:val="clear" w:color="auto" w:fill="FFFFFF" w:themeFill="background1"/>
          </w:tcPr>
          <w:p w14:paraId="0C5099D8" w14:textId="77777777" w:rsidR="00FD13B1" w:rsidRPr="00C57AD2" w:rsidRDefault="00FD13B1" w:rsidP="00F528FF">
            <w:pPr>
              <w:jc w:val="right"/>
              <w:rPr>
                <w:sz w:val="22"/>
                <w:szCs w:val="22"/>
              </w:rPr>
            </w:pPr>
            <w:r w:rsidRPr="00C57AD2">
              <w:rPr>
                <w:sz w:val="22"/>
                <w:szCs w:val="22"/>
              </w:rPr>
              <w:t>223</w:t>
            </w:r>
          </w:p>
        </w:tc>
        <w:tc>
          <w:tcPr>
            <w:tcW w:w="2130" w:type="dxa"/>
            <w:tcBorders>
              <w:top w:val="nil"/>
              <w:bottom w:val="nil"/>
            </w:tcBorders>
            <w:shd w:val="clear" w:color="auto" w:fill="FFFFFF" w:themeFill="background1"/>
            <w:tcMar>
              <w:top w:w="12" w:type="dxa"/>
              <w:left w:w="12" w:type="dxa"/>
              <w:bottom w:w="0" w:type="dxa"/>
              <w:right w:w="12" w:type="dxa"/>
            </w:tcMar>
            <w:vAlign w:val="bottom"/>
            <w:hideMark/>
          </w:tcPr>
          <w:p w14:paraId="0B2AAD04" w14:textId="77777777" w:rsidR="00FD13B1" w:rsidRPr="00C57AD2" w:rsidRDefault="00FD13B1" w:rsidP="00F528FF">
            <w:pPr>
              <w:jc w:val="right"/>
              <w:rPr>
                <w:sz w:val="22"/>
                <w:szCs w:val="22"/>
              </w:rPr>
            </w:pPr>
            <w:r w:rsidRPr="00C57AD2">
              <w:rPr>
                <w:sz w:val="22"/>
                <w:szCs w:val="22"/>
              </w:rPr>
              <w:t>0.64</w:t>
            </w:r>
          </w:p>
        </w:tc>
      </w:tr>
      <w:tr w:rsidR="00FD13B1" w:rsidRPr="00C57AD2" w14:paraId="077BDCE7" w14:textId="77777777" w:rsidTr="00F528FF">
        <w:trPr>
          <w:trHeight w:val="288"/>
        </w:trPr>
        <w:tc>
          <w:tcPr>
            <w:tcW w:w="2280" w:type="dxa"/>
            <w:tcBorders>
              <w:top w:val="nil"/>
            </w:tcBorders>
            <w:shd w:val="clear" w:color="auto" w:fill="FFFFFF" w:themeFill="background1"/>
            <w:tcMar>
              <w:top w:w="12" w:type="dxa"/>
              <w:left w:w="12" w:type="dxa"/>
              <w:bottom w:w="0" w:type="dxa"/>
              <w:right w:w="12" w:type="dxa"/>
            </w:tcMar>
            <w:vAlign w:val="bottom"/>
          </w:tcPr>
          <w:p w14:paraId="4467CC07" w14:textId="77777777" w:rsidR="00FD13B1" w:rsidRPr="00C57AD2" w:rsidRDefault="00FD13B1" w:rsidP="00F528FF">
            <w:pPr>
              <w:rPr>
                <w:sz w:val="22"/>
                <w:szCs w:val="22"/>
              </w:rPr>
            </w:pPr>
            <w:r w:rsidRPr="00C57AD2">
              <w:rPr>
                <w:sz w:val="22"/>
                <w:szCs w:val="22"/>
              </w:rPr>
              <w:t xml:space="preserve">RMSE </w:t>
            </w:r>
            <w:r w:rsidRPr="00C57AD2">
              <w:rPr>
                <w:rFonts w:eastAsia="SimSun"/>
                <w:sz w:val="22"/>
                <w:szCs w:val="22"/>
              </w:rPr>
              <w:t>of</w:t>
            </w:r>
            <w:r w:rsidRPr="00C57AD2">
              <w:rPr>
                <w:sz w:val="22"/>
                <w:szCs w:val="22"/>
              </w:rPr>
              <w:t xml:space="preserve"> N</w:t>
            </w:r>
            <w:r w:rsidRPr="00C57AD2">
              <w:rPr>
                <w:rFonts w:eastAsia="SimSun"/>
                <w:sz w:val="22"/>
                <w:szCs w:val="22"/>
                <w:vertAlign w:val="subscript"/>
              </w:rPr>
              <w:t xml:space="preserve">p </w:t>
            </w:r>
            <w:r w:rsidRPr="00C57AD2">
              <w:rPr>
                <w:rFonts w:eastAsia="SimSun"/>
                <w:sz w:val="22"/>
                <w:szCs w:val="22"/>
              </w:rPr>
              <w:t>(µ</w:t>
            </w:r>
            <w:r w:rsidRPr="00C57AD2">
              <w:rPr>
                <w:sz w:val="22"/>
                <w:szCs w:val="22"/>
              </w:rPr>
              <w:t xml:space="preserve">mol </w:t>
            </w:r>
            <w:proofErr w:type="gramStart"/>
            <w:r w:rsidRPr="00C57AD2">
              <w:rPr>
                <w:sz w:val="22"/>
                <w:szCs w:val="22"/>
              </w:rPr>
              <w:t>kg</w:t>
            </w:r>
            <w:r w:rsidRPr="00C57AD2">
              <w:rPr>
                <w:sz w:val="22"/>
                <w:szCs w:val="22"/>
                <w:vertAlign w:val="superscript"/>
              </w:rPr>
              <w:t>-1</w:t>
            </w:r>
            <w:proofErr w:type="gramEnd"/>
            <w:r w:rsidRPr="00C57AD2">
              <w:rPr>
                <w:rFonts w:eastAsia="SimSun"/>
                <w:sz w:val="22"/>
                <w:szCs w:val="22"/>
              </w:rPr>
              <w:t>)</w:t>
            </w:r>
          </w:p>
        </w:tc>
        <w:tc>
          <w:tcPr>
            <w:tcW w:w="4950" w:type="dxa"/>
            <w:gridSpan w:val="3"/>
            <w:tcBorders>
              <w:top w:val="nil"/>
            </w:tcBorders>
            <w:shd w:val="clear" w:color="auto" w:fill="FFFFFF" w:themeFill="background1"/>
            <w:tcMar>
              <w:top w:w="12" w:type="dxa"/>
              <w:left w:w="12" w:type="dxa"/>
              <w:bottom w:w="0" w:type="dxa"/>
              <w:right w:w="12" w:type="dxa"/>
            </w:tcMar>
            <w:vAlign w:val="center"/>
          </w:tcPr>
          <w:p w14:paraId="5D0AEEE6" w14:textId="77777777" w:rsidR="00FD13B1" w:rsidRPr="00C57AD2" w:rsidRDefault="00FD13B1" w:rsidP="00F528FF">
            <w:pPr>
              <w:jc w:val="center"/>
              <w:rPr>
                <w:sz w:val="22"/>
                <w:szCs w:val="22"/>
              </w:rPr>
            </w:pPr>
            <w:r w:rsidRPr="00C57AD2">
              <w:rPr>
                <w:sz w:val="22"/>
                <w:szCs w:val="22"/>
              </w:rPr>
              <w:t xml:space="preserve">                                                                                  0.80</w:t>
            </w:r>
          </w:p>
        </w:tc>
      </w:tr>
    </w:tbl>
    <w:p w14:paraId="35D63A3F" w14:textId="77777777" w:rsidR="00FD13B1" w:rsidRPr="00C57AD2" w:rsidRDefault="00FD13B1" w:rsidP="00FD13B1">
      <w:pPr>
        <w:rPr>
          <w:rFonts w:eastAsia="ＭＳ 明朝"/>
          <w:sz w:val="22"/>
          <w:szCs w:val="22"/>
        </w:rPr>
      </w:pPr>
      <w:r w:rsidRPr="00C57AD2">
        <w:rPr>
          <w:rFonts w:eastAsia="ＭＳ 明朝"/>
          <w:bCs/>
          <w:sz w:val="22"/>
          <w:szCs w:val="22"/>
          <w:vertAlign w:val="superscript"/>
        </w:rPr>
        <w:t>a</w:t>
      </w:r>
      <w:r w:rsidRPr="00C57AD2">
        <w:rPr>
          <w:rFonts w:eastAsia="ＭＳ 明朝"/>
          <w:sz w:val="22"/>
          <w:szCs w:val="22"/>
        </w:rPr>
        <w:t xml:space="preserve"> Number of data points</w:t>
      </w:r>
    </w:p>
    <w:bookmarkEnd w:id="10"/>
    <w:p w14:paraId="768562CB" w14:textId="77777777" w:rsidR="00FD13B1" w:rsidRPr="00C57AD2" w:rsidRDefault="00FD13B1" w:rsidP="00FD13B1">
      <w:pPr>
        <w:rPr>
          <w:rFonts w:eastAsia="ＭＳ 明朝"/>
          <w:sz w:val="22"/>
          <w:szCs w:val="22"/>
        </w:rPr>
      </w:pPr>
      <w:r w:rsidRPr="00C57AD2">
        <w:rPr>
          <w:rFonts w:eastAsia="ＭＳ 明朝"/>
          <w:sz w:val="22"/>
          <w:szCs w:val="22"/>
        </w:rPr>
        <w:br w:type="page"/>
      </w:r>
    </w:p>
    <w:tbl>
      <w:tblPr>
        <w:tblW w:w="5534" w:type="dxa"/>
        <w:tblBorders>
          <w:top w:val="single" w:sz="4" w:space="0" w:color="auto"/>
          <w:bottom w:val="single" w:sz="4" w:space="0" w:color="auto"/>
        </w:tblBorders>
        <w:tblLook w:val="04A0" w:firstRow="1" w:lastRow="0" w:firstColumn="1" w:lastColumn="0" w:noHBand="0" w:noVBand="1"/>
      </w:tblPr>
      <w:tblGrid>
        <w:gridCol w:w="1659"/>
        <w:gridCol w:w="986"/>
        <w:gridCol w:w="1793"/>
        <w:gridCol w:w="1096"/>
      </w:tblGrid>
      <w:tr w:rsidR="00FD13B1" w:rsidRPr="00C57AD2" w14:paraId="07AF9B9B" w14:textId="77777777" w:rsidTr="00F528FF">
        <w:trPr>
          <w:trHeight w:val="288"/>
        </w:trPr>
        <w:tc>
          <w:tcPr>
            <w:tcW w:w="5534" w:type="dxa"/>
            <w:gridSpan w:val="4"/>
            <w:tcBorders>
              <w:top w:val="nil"/>
              <w:bottom w:val="single" w:sz="4" w:space="0" w:color="auto"/>
            </w:tcBorders>
            <w:shd w:val="clear" w:color="auto" w:fill="auto"/>
            <w:noWrap/>
            <w:vAlign w:val="bottom"/>
          </w:tcPr>
          <w:p w14:paraId="762BF2C4" w14:textId="77777777" w:rsidR="00FD13B1" w:rsidRPr="00C57AD2" w:rsidRDefault="00FD13B1" w:rsidP="00F528FF">
            <w:pPr>
              <w:rPr>
                <w:rFonts w:eastAsia="SimSun"/>
                <w:b/>
                <w:bCs/>
                <w:color w:val="000000"/>
                <w:sz w:val="22"/>
                <w:szCs w:val="22"/>
              </w:rPr>
            </w:pPr>
            <w:bookmarkStart w:id="12" w:name="_Hlk22134092"/>
          </w:p>
          <w:p w14:paraId="0F0D2E23" w14:textId="77777777" w:rsidR="00FD13B1" w:rsidRPr="00C57AD2" w:rsidRDefault="00FD13B1" w:rsidP="00F528FF">
            <w:pPr>
              <w:rPr>
                <w:rFonts w:eastAsia="SimSun"/>
                <w:b/>
                <w:bCs/>
                <w:color w:val="000000"/>
                <w:sz w:val="22"/>
                <w:szCs w:val="22"/>
                <w:lang w:eastAsia="ja-JP"/>
              </w:rPr>
            </w:pPr>
            <w:r w:rsidRPr="00C57AD2">
              <w:rPr>
                <w:rFonts w:eastAsia="SimSun"/>
                <w:b/>
                <w:bCs/>
                <w:color w:val="000000"/>
                <w:sz w:val="22"/>
                <w:szCs w:val="22"/>
              </w:rPr>
              <w:t>Table S5.</w:t>
            </w:r>
            <w:r w:rsidRPr="00C57AD2">
              <w:rPr>
                <w:rFonts w:eastAsia="SimSun"/>
                <w:b/>
                <w:bCs/>
                <w:sz w:val="22"/>
                <w:szCs w:val="22"/>
              </w:rPr>
              <w:t xml:space="preserve"> </w:t>
            </w:r>
            <w:r w:rsidRPr="00C57AD2">
              <w:rPr>
                <w:sz w:val="22"/>
                <w:szCs w:val="22"/>
                <w:lang w:eastAsia="ja-JP"/>
              </w:rPr>
              <w:t xml:space="preserve">Cruises </w:t>
            </w:r>
            <w:r w:rsidRPr="00C57AD2">
              <w:rPr>
                <w:sz w:val="22"/>
                <w:szCs w:val="22"/>
              </w:rPr>
              <w:t xml:space="preserve">used for estimating </w:t>
            </w:r>
            <w:proofErr w:type="spellStart"/>
            <w:r w:rsidRPr="00C57AD2">
              <w:rPr>
                <w:sz w:val="22"/>
                <w:szCs w:val="22"/>
              </w:rPr>
              <w:t>ΔN</w:t>
            </w:r>
            <w:r w:rsidRPr="00C57AD2">
              <w:rPr>
                <w:sz w:val="22"/>
                <w:szCs w:val="22"/>
                <w:vertAlign w:val="subscript"/>
              </w:rPr>
              <w:t>ex</w:t>
            </w:r>
            <w:proofErr w:type="spellEnd"/>
            <w:r w:rsidRPr="00C57AD2">
              <w:rPr>
                <w:sz w:val="22"/>
                <w:szCs w:val="22"/>
              </w:rPr>
              <w:t xml:space="preserve"> from</w:t>
            </w:r>
            <w:r w:rsidRPr="00C57AD2">
              <w:rPr>
                <w:sz w:val="22"/>
                <w:szCs w:val="22"/>
                <w:lang w:eastAsia="ja-JP"/>
              </w:rPr>
              <w:t xml:space="preserve"> G</w:t>
            </w:r>
            <w:r w:rsidRPr="00C57AD2">
              <w:rPr>
                <w:sz w:val="22"/>
                <w:szCs w:val="22"/>
              </w:rPr>
              <w:t xml:space="preserve">LODAPv2 </w:t>
            </w:r>
            <w:r>
              <w:rPr>
                <w:sz w:val="22"/>
                <w:szCs w:val="22"/>
                <w:vertAlign w:val="superscript"/>
              </w:rPr>
              <w:fldChar w:fldCharType="begin" w:fldLock="1"/>
            </w:r>
            <w:r>
              <w:rPr>
                <w:sz w:val="22"/>
                <w:szCs w:val="22"/>
                <w:vertAlign w:val="superscript"/>
              </w:rPr>
              <w:instrText xml:space="preserve">ADDIN CSL_CITATION {"citationItems":[{"id":"ITEM-1","itemData":{"DOI":"10.5194/essd-2019-66","abstract":"Abstract. The Global Ocean Data Analysis Project (GLODAP) is a synthesis effort providing regular compilations of surface to bottom ocean biogeochemical data, with an emphasis on seawater inorganic carbon 40 chemistry and related variables determined through chemical analysis of water samples. This update of GLODAPv2, v2.2019, adds data from 116 cruises to the previous version, extending its coverage in time from 2013 to 2017 while also adding some data from prior years. GLODAPv2.2019 includes measurements from more than 1.1 million water samples from the global oceans collected on 840 cruises. The data for the 12 GLODAP core variables (salinity, oxygen, nitrate, silicate, phosphate, dissolved inorganic carbon, total alkalinity, pH, CFC-11, CFC-12, CFC-113, and CCl4) have been subjected to extensive quality control, especially systematic evaluation of bias. The data are available in two formats: (i) as submitted by the data originator but updated to WOCE exchange format and (ii) as a merged data product with adjustments applied to minimize bias. These adjustments were derived by comparing the data from the 116 new cruises with the data from the 724 quality-controlled cruises of the GLODAPv2 data product. They correct for errors related to measurement, calibration, and data handling practices, taking into account any known or likely time trends or variations. The compiled and adjusted data product is believed to be consistent to better that 0.005 in salinity, 1&amp;thinsp;% in oxygen, 2&amp;thinsp;% in nitrate, 2&amp;thinsp;% in silicate, 2&amp;thinsp;% in phosphate, 4&amp;thinsp;μmol&amp;thinsp;kg&amp;minus;1 in dissolved inorganic carbon, 4&amp;thinsp;μmol&amp;thinsp;kg&amp;minus;1 in total alkalinity, 0.01 in pH, and 5&amp;thinsp;% in the halogenated transient tracers. The compilation also includes data for several other variables, such as isotopic tracers. These were not subjected to bias comparison or adjustments. The original data, their documentation and doi codes are available at the Ocean Carbon Data System of NOAA/NCEI (https://www.nodc.noaa.gov/ocads/oceans/GLODAPv2_2019/). This site also provides access to the merged data product, which is provided as a single global file or as four regional ones &amp;ndash; the Arctic, Atlantic, Indian, and Pacific oceans &amp;ndash; under the doi: https://doi.org/10.25921/xnme-wr20 (Olsen et al., 2019). The product files also include significant ancillary and approximated data. These were obtained by interpolation of, or calculation from, measured data. This…","author":[{"dropping-particle":"","family":"Olsen","given":"Are","non-dropping-particle":"","parse-names":false,"suffix":""},{"dropping-particle":"","family":"Lange","given":"Nico","non-dropping-particle":"","parse-names":false,"suffix":""},{"dropping-particle":"","family":"Key","given":"Robert M.","non-dropping-particle":"","parse-names":false,"suffix":""},{"dropping-particle":"","family":"Tanhua","given":"Toste","non-dropping-particle":"","parse-names":false,"suffix":""},{"dropping-particle":"","family":"Álvarez","given":"Marta","non-dropping-particle":"","parse-names":false,"suffix":""},{"dropping-particle":"","family":"Becker","given":"Susan","non-dropping-particle":"","parse-names":false,"suffix":""},{"dropping-particle":"","family":"Bittig","given":"Henry C.","non-dropping-particle":"","parse-names":false,"suffix":""},{"dropping-particle":"","family":"Carter","given":"Brendan R.","non-dropping-particle":"","parse-names":false,"suffix":""},{"dropping-particle":"","family":"Cotrim da Cunha","given":"Leticia","non-dropping-particle":"","parse-names":false,"suffix":""},{"dropping-particle":"","family":"Feely","given":"Richard A.","non-dropping-particle":"","parse-names":false,"suffix":""},{"dropping-particle":"","family":"Heuven","given":"Steven","non-dropping-particle":"van","parse-names":false,"suffix":""},{"dropping-particle":"","family":"Hoppema","given":"Mario","non-dropping-particle":"","parse-names":false,"suffix":""},{"dropping-particle":"","family":"Ishii","given":"Masao","non-dropping-particle":"","parse-names":false,"suffix":""},{"dropping-particle":"","family":"Jeansson","given":"Emil","non-dropping-particle":"","parse-names":false,"suffix":""},{"dropping-particle":"","family":"Jones","given":"Steve D.","non-dropping-particle":"","parse-names":false,"suffix":""},{"dropping-particle":"","family":"Jutterström","given":"Sara","non-dropping-particle":"","parse-names":false,"suffix":""},{"dropping-particle":"","family":"Karlsen","given":"Maren K.","non-dropping-particle":"","parse-names":false,"suffix":""},{"dropping-particle":"","family":"Kozyr","given":"Alex","non-dropping-particle":"","parse-names":false,"suffix":""},{"dropping-particle":"","family":"Lauvset","given":"Siv K.","non-dropping-particle":"","parse-names":false,"suffix":""},{"dropping-particle":"","family":"Monaco","given":"Claire","non-dropping-particle":"Lo","parse-names":false,"suffix":""},{"dropping-particle":"","family":"Murata","given":"Akihiko","non-dropping-particle":"","parse-names":false,"suffix":""},{"dropping-particle":"","family":"Pérez","given":"Fiz F.","non-dropping-particle":"","parse-names":false,"suffix":""},{"dropping-particle":"","family":"Pfeil","given":"Benjamin","non-dropping-particle":"","parse-names":false,"suffix":""},{"dropping-particle":"","family":"Schirnick","given":"Carsten","non-dropping-particle":"","parse-names":false,"suffix":""},{"dropping-particle":"","family":"Steinfeldt","given":"Reiner","non-dropping-particle":"","parse-names":false,"suffix":""},{"dropping-particle":"","family":"Suzuki","given":"Toru","non-dropping-particle":"","parse-names":false,"suffix":""},{"dropping-particle":"","family":"Telszewski","given":"Maciej","non-dropping-particle":"","parse-names":false,"suffix":""},{"dropping-particle":"","family":"Tilbrook","given":"Bronte","non-dropping-particle":"","parse-names":false,"suffix":""},{"dropping-particle":"","family":"Velo","given":"Anton","non-dropping-particle":"","parse-names":false,"suffix":""},{"dropping-particle":"","family":"Wanninkhof","given":"Rik","non-dropping-particle":"","parse-names":false,"suffix":""}],"container-title":"Earth System Science Data Discussions","id":"ITEM-1","issue":"April","issued":{"date-parts":[["2019"]]},"page":"1-39","title":"GLODAPv2.2019 </w:instrText>
            </w:r>
            <w:r>
              <w:rPr>
                <w:rFonts w:hint="eastAsia"/>
                <w:sz w:val="22"/>
                <w:szCs w:val="22"/>
                <w:vertAlign w:val="superscript"/>
              </w:rPr>
              <w:instrText>–</w:instrText>
            </w:r>
            <w:r>
              <w:rPr>
                <w:sz w:val="22"/>
                <w:szCs w:val="22"/>
                <w:vertAlign w:val="superscript"/>
              </w:rPr>
              <w:instrText xml:space="preserve"> an update of GLODAPv2","type":"article-journal"},"uris":["http://www.mendeley.com/documents/?uuid=52d3bdeb-d7fc-4b66-b7c1-38bff7b3e126"]}],"mendeley":{"formattedCitation":"&lt;sup&gt;22&lt;/sup&gt;","plainTextFormattedCitation":"22","previouslyFormattedCitation":"&lt;sup&gt;22&lt;/sup&gt;"},"properties":{"noteIndex":0},"schema":"https://github.com/citation-style-language/schema/raw/master/csl-citation.json"}</w:instrText>
            </w:r>
            <w:r>
              <w:rPr>
                <w:sz w:val="22"/>
                <w:szCs w:val="22"/>
                <w:vertAlign w:val="superscript"/>
              </w:rPr>
              <w:fldChar w:fldCharType="separate"/>
            </w:r>
            <w:r w:rsidRPr="001904D0">
              <w:rPr>
                <w:noProof/>
                <w:sz w:val="22"/>
                <w:szCs w:val="22"/>
                <w:vertAlign w:val="superscript"/>
              </w:rPr>
              <w:t>22</w:t>
            </w:r>
            <w:r>
              <w:rPr>
                <w:sz w:val="22"/>
                <w:szCs w:val="22"/>
                <w:vertAlign w:val="superscript"/>
              </w:rPr>
              <w:fldChar w:fldCharType="end"/>
            </w:r>
            <w:r w:rsidRPr="00C57AD2">
              <w:rPr>
                <w:sz w:val="22"/>
                <w:szCs w:val="22"/>
                <w:vertAlign w:val="superscript"/>
              </w:rPr>
              <w:t xml:space="preserve"> </w:t>
            </w:r>
            <w:r w:rsidRPr="00C57AD2">
              <w:rPr>
                <w:sz w:val="22"/>
                <w:szCs w:val="22"/>
              </w:rPr>
              <w:t>/CCHDO. (https://cchdo.ucsd.edu/). The map of cruise data is shown in Fig. S1(b).</w:t>
            </w:r>
          </w:p>
        </w:tc>
      </w:tr>
      <w:tr w:rsidR="00FD13B1" w:rsidRPr="00C57AD2" w14:paraId="27F727FA" w14:textId="77777777" w:rsidTr="00F528FF">
        <w:trPr>
          <w:trHeight w:val="288"/>
        </w:trPr>
        <w:tc>
          <w:tcPr>
            <w:tcW w:w="1659" w:type="dxa"/>
            <w:tcBorders>
              <w:top w:val="single" w:sz="4" w:space="0" w:color="auto"/>
              <w:bottom w:val="single" w:sz="4" w:space="0" w:color="auto"/>
            </w:tcBorders>
            <w:shd w:val="clear" w:color="auto" w:fill="auto"/>
            <w:noWrap/>
            <w:vAlign w:val="bottom"/>
            <w:hideMark/>
          </w:tcPr>
          <w:p w14:paraId="76F14732" w14:textId="77777777" w:rsidR="00FD13B1" w:rsidRPr="00C57AD2" w:rsidRDefault="00FD13B1" w:rsidP="00F528FF">
            <w:pPr>
              <w:rPr>
                <w:rFonts w:eastAsia="SimSun"/>
                <w:color w:val="000000"/>
                <w:sz w:val="22"/>
                <w:szCs w:val="22"/>
              </w:rPr>
            </w:pPr>
            <w:r w:rsidRPr="00C57AD2">
              <w:rPr>
                <w:rFonts w:eastAsia="SimSun"/>
                <w:color w:val="000000"/>
                <w:sz w:val="22"/>
                <w:szCs w:val="22"/>
              </w:rPr>
              <w:t>EXPOCODE</w:t>
            </w:r>
          </w:p>
        </w:tc>
        <w:tc>
          <w:tcPr>
            <w:tcW w:w="986" w:type="dxa"/>
            <w:tcBorders>
              <w:top w:val="single" w:sz="4" w:space="0" w:color="auto"/>
              <w:bottom w:val="single" w:sz="4" w:space="0" w:color="auto"/>
              <w:right w:val="single" w:sz="4" w:space="0" w:color="auto"/>
            </w:tcBorders>
            <w:shd w:val="clear" w:color="auto" w:fill="auto"/>
            <w:noWrap/>
            <w:vAlign w:val="bottom"/>
            <w:hideMark/>
          </w:tcPr>
          <w:p w14:paraId="21454AB8" w14:textId="77777777" w:rsidR="00FD13B1" w:rsidRPr="00C57AD2" w:rsidRDefault="00FD13B1" w:rsidP="00F528FF">
            <w:pPr>
              <w:rPr>
                <w:rFonts w:eastAsia="SimSun"/>
                <w:color w:val="000000"/>
                <w:sz w:val="22"/>
                <w:szCs w:val="22"/>
              </w:rPr>
            </w:pPr>
            <w:r w:rsidRPr="00C57AD2">
              <w:rPr>
                <w:rFonts w:eastAsia="SimSun"/>
                <w:color w:val="000000"/>
                <w:sz w:val="22"/>
                <w:szCs w:val="22"/>
              </w:rPr>
              <w:t>Sector</w:t>
            </w:r>
          </w:p>
        </w:tc>
        <w:tc>
          <w:tcPr>
            <w:tcW w:w="1793" w:type="dxa"/>
            <w:tcBorders>
              <w:top w:val="single" w:sz="4" w:space="0" w:color="auto"/>
              <w:left w:val="single" w:sz="4" w:space="0" w:color="auto"/>
              <w:bottom w:val="single" w:sz="4" w:space="0" w:color="auto"/>
            </w:tcBorders>
            <w:shd w:val="clear" w:color="auto" w:fill="auto"/>
            <w:noWrap/>
            <w:vAlign w:val="bottom"/>
            <w:hideMark/>
          </w:tcPr>
          <w:p w14:paraId="7A502A90" w14:textId="77777777" w:rsidR="00FD13B1" w:rsidRPr="00C57AD2" w:rsidRDefault="00FD13B1" w:rsidP="00F528FF">
            <w:pPr>
              <w:rPr>
                <w:rFonts w:eastAsia="SimSun"/>
                <w:color w:val="000000"/>
                <w:sz w:val="22"/>
                <w:szCs w:val="22"/>
              </w:rPr>
            </w:pPr>
            <w:r w:rsidRPr="00C57AD2">
              <w:rPr>
                <w:rFonts w:eastAsia="SimSun"/>
                <w:color w:val="000000"/>
                <w:sz w:val="22"/>
                <w:szCs w:val="22"/>
              </w:rPr>
              <w:t>EXPOCODE</w:t>
            </w:r>
          </w:p>
        </w:tc>
        <w:tc>
          <w:tcPr>
            <w:tcW w:w="1096" w:type="dxa"/>
            <w:tcBorders>
              <w:top w:val="single" w:sz="4" w:space="0" w:color="auto"/>
              <w:bottom w:val="single" w:sz="4" w:space="0" w:color="auto"/>
            </w:tcBorders>
            <w:shd w:val="clear" w:color="auto" w:fill="auto"/>
            <w:noWrap/>
            <w:vAlign w:val="bottom"/>
            <w:hideMark/>
          </w:tcPr>
          <w:p w14:paraId="707DDF94" w14:textId="77777777" w:rsidR="00FD13B1" w:rsidRPr="00C57AD2" w:rsidRDefault="00FD13B1" w:rsidP="00F528FF">
            <w:pPr>
              <w:rPr>
                <w:rFonts w:eastAsia="SimSun"/>
                <w:color w:val="000000"/>
                <w:sz w:val="22"/>
                <w:szCs w:val="22"/>
              </w:rPr>
            </w:pPr>
            <w:r w:rsidRPr="00C57AD2">
              <w:rPr>
                <w:rFonts w:eastAsia="SimSun"/>
                <w:color w:val="000000"/>
                <w:sz w:val="22"/>
                <w:szCs w:val="22"/>
              </w:rPr>
              <w:t>Sector</w:t>
            </w:r>
          </w:p>
        </w:tc>
      </w:tr>
      <w:tr w:rsidR="00FD13B1" w:rsidRPr="00C57AD2" w14:paraId="3C6BE532" w14:textId="77777777" w:rsidTr="00F528FF">
        <w:trPr>
          <w:trHeight w:val="288"/>
        </w:trPr>
        <w:tc>
          <w:tcPr>
            <w:tcW w:w="1659" w:type="dxa"/>
            <w:tcBorders>
              <w:top w:val="single" w:sz="4" w:space="0" w:color="auto"/>
            </w:tcBorders>
            <w:shd w:val="clear" w:color="auto" w:fill="auto"/>
            <w:noWrap/>
            <w:vAlign w:val="bottom"/>
            <w:hideMark/>
          </w:tcPr>
          <w:p w14:paraId="4FC57B5C" w14:textId="77777777" w:rsidR="00FD13B1" w:rsidRPr="00C57AD2" w:rsidRDefault="00FD13B1" w:rsidP="00F528FF">
            <w:pPr>
              <w:rPr>
                <w:rFonts w:eastAsia="SimSun"/>
                <w:color w:val="000000"/>
                <w:sz w:val="22"/>
                <w:szCs w:val="22"/>
              </w:rPr>
            </w:pPr>
            <w:r w:rsidRPr="00C57AD2">
              <w:rPr>
                <w:rFonts w:eastAsia="SimSun"/>
                <w:color w:val="000000"/>
                <w:sz w:val="22"/>
                <w:szCs w:val="22"/>
              </w:rPr>
              <w:t>096U20160426</w:t>
            </w:r>
          </w:p>
        </w:tc>
        <w:tc>
          <w:tcPr>
            <w:tcW w:w="986" w:type="dxa"/>
            <w:tcBorders>
              <w:top w:val="single" w:sz="4" w:space="0" w:color="auto"/>
              <w:right w:val="single" w:sz="4" w:space="0" w:color="auto"/>
            </w:tcBorders>
            <w:shd w:val="clear" w:color="auto" w:fill="auto"/>
            <w:noWrap/>
            <w:vAlign w:val="bottom"/>
            <w:hideMark/>
          </w:tcPr>
          <w:p w14:paraId="661A5495"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top w:val="single" w:sz="4" w:space="0" w:color="auto"/>
              <w:left w:val="single" w:sz="4" w:space="0" w:color="auto"/>
            </w:tcBorders>
            <w:shd w:val="clear" w:color="auto" w:fill="auto"/>
            <w:noWrap/>
            <w:vAlign w:val="bottom"/>
            <w:hideMark/>
          </w:tcPr>
          <w:p w14:paraId="1B2BC201" w14:textId="77777777" w:rsidR="00FD13B1" w:rsidRPr="00C57AD2" w:rsidRDefault="00FD13B1" w:rsidP="00F528FF">
            <w:pPr>
              <w:rPr>
                <w:rFonts w:eastAsia="SimSun"/>
                <w:color w:val="000000"/>
                <w:sz w:val="22"/>
                <w:szCs w:val="22"/>
              </w:rPr>
            </w:pPr>
            <w:r w:rsidRPr="00C57AD2">
              <w:rPr>
                <w:rFonts w:eastAsia="SimSun"/>
                <w:color w:val="000000"/>
                <w:sz w:val="22"/>
                <w:szCs w:val="22"/>
              </w:rPr>
              <w:t>316N19950310</w:t>
            </w:r>
          </w:p>
        </w:tc>
        <w:tc>
          <w:tcPr>
            <w:tcW w:w="1096" w:type="dxa"/>
            <w:tcBorders>
              <w:top w:val="single" w:sz="4" w:space="0" w:color="auto"/>
            </w:tcBorders>
            <w:shd w:val="clear" w:color="auto" w:fill="auto"/>
            <w:noWrap/>
            <w:vAlign w:val="bottom"/>
            <w:hideMark/>
          </w:tcPr>
          <w:p w14:paraId="78BE6D16"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0A2CB3AB" w14:textId="77777777" w:rsidTr="00F528FF">
        <w:trPr>
          <w:trHeight w:val="288"/>
        </w:trPr>
        <w:tc>
          <w:tcPr>
            <w:tcW w:w="1659" w:type="dxa"/>
            <w:shd w:val="clear" w:color="auto" w:fill="auto"/>
            <w:noWrap/>
            <w:vAlign w:val="bottom"/>
            <w:hideMark/>
          </w:tcPr>
          <w:p w14:paraId="124480EA" w14:textId="77777777" w:rsidR="00FD13B1" w:rsidRPr="00C57AD2" w:rsidRDefault="00FD13B1" w:rsidP="00F528FF">
            <w:pPr>
              <w:rPr>
                <w:rFonts w:eastAsia="SimSun"/>
                <w:color w:val="000000"/>
                <w:sz w:val="22"/>
                <w:szCs w:val="22"/>
              </w:rPr>
            </w:pPr>
            <w:r w:rsidRPr="00C57AD2">
              <w:rPr>
                <w:rFonts w:eastAsia="SimSun"/>
                <w:color w:val="000000"/>
                <w:sz w:val="22"/>
                <w:szCs w:val="22"/>
              </w:rPr>
              <w:t>06AQ20050122</w:t>
            </w:r>
          </w:p>
        </w:tc>
        <w:tc>
          <w:tcPr>
            <w:tcW w:w="986" w:type="dxa"/>
            <w:tcBorders>
              <w:right w:val="single" w:sz="4" w:space="0" w:color="auto"/>
            </w:tcBorders>
            <w:shd w:val="clear" w:color="auto" w:fill="auto"/>
            <w:noWrap/>
            <w:vAlign w:val="bottom"/>
            <w:hideMark/>
          </w:tcPr>
          <w:p w14:paraId="69124B00"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DD42F77" w14:textId="77777777" w:rsidR="00FD13B1" w:rsidRPr="00C57AD2" w:rsidRDefault="00FD13B1" w:rsidP="00F528FF">
            <w:pPr>
              <w:rPr>
                <w:rFonts w:eastAsia="SimSun"/>
                <w:color w:val="000000"/>
                <w:sz w:val="22"/>
                <w:szCs w:val="22"/>
              </w:rPr>
            </w:pPr>
            <w:r w:rsidRPr="00C57AD2">
              <w:rPr>
                <w:rFonts w:eastAsia="SimSun"/>
                <w:color w:val="000000"/>
                <w:sz w:val="22"/>
                <w:szCs w:val="22"/>
              </w:rPr>
              <w:t>316N19950611</w:t>
            </w:r>
          </w:p>
        </w:tc>
        <w:tc>
          <w:tcPr>
            <w:tcW w:w="1096" w:type="dxa"/>
            <w:shd w:val="clear" w:color="auto" w:fill="auto"/>
            <w:noWrap/>
            <w:vAlign w:val="bottom"/>
            <w:hideMark/>
          </w:tcPr>
          <w:p w14:paraId="502DDAB8"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7544F8B5" w14:textId="77777777" w:rsidTr="00F528FF">
        <w:trPr>
          <w:trHeight w:val="288"/>
        </w:trPr>
        <w:tc>
          <w:tcPr>
            <w:tcW w:w="1659" w:type="dxa"/>
            <w:shd w:val="clear" w:color="auto" w:fill="auto"/>
            <w:noWrap/>
            <w:vAlign w:val="bottom"/>
            <w:hideMark/>
          </w:tcPr>
          <w:p w14:paraId="6FF54D08" w14:textId="77777777" w:rsidR="00FD13B1" w:rsidRPr="00C57AD2" w:rsidRDefault="00FD13B1" w:rsidP="00F528FF">
            <w:pPr>
              <w:rPr>
                <w:rFonts w:eastAsia="SimSun"/>
                <w:color w:val="000000"/>
                <w:sz w:val="22"/>
                <w:szCs w:val="22"/>
              </w:rPr>
            </w:pPr>
            <w:r w:rsidRPr="00C57AD2">
              <w:rPr>
                <w:rFonts w:eastAsia="SimSun"/>
                <w:color w:val="000000"/>
                <w:sz w:val="22"/>
                <w:szCs w:val="22"/>
              </w:rPr>
              <w:t>06AQ20080210</w:t>
            </w:r>
          </w:p>
        </w:tc>
        <w:tc>
          <w:tcPr>
            <w:tcW w:w="986" w:type="dxa"/>
            <w:tcBorders>
              <w:right w:val="single" w:sz="4" w:space="0" w:color="auto"/>
            </w:tcBorders>
            <w:shd w:val="clear" w:color="auto" w:fill="auto"/>
            <w:noWrap/>
            <w:vAlign w:val="bottom"/>
            <w:hideMark/>
          </w:tcPr>
          <w:p w14:paraId="309928A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EB9C5DD" w14:textId="77777777" w:rsidR="00FD13B1" w:rsidRPr="00C57AD2" w:rsidRDefault="00FD13B1" w:rsidP="00F528FF">
            <w:pPr>
              <w:rPr>
                <w:rFonts w:eastAsia="SimSun"/>
                <w:color w:val="000000"/>
                <w:sz w:val="22"/>
                <w:szCs w:val="22"/>
              </w:rPr>
            </w:pPr>
            <w:r w:rsidRPr="00C57AD2">
              <w:rPr>
                <w:rFonts w:eastAsia="SimSun"/>
                <w:color w:val="000000"/>
                <w:sz w:val="22"/>
                <w:szCs w:val="22"/>
              </w:rPr>
              <w:t>33MW19950922</w:t>
            </w:r>
          </w:p>
        </w:tc>
        <w:tc>
          <w:tcPr>
            <w:tcW w:w="1096" w:type="dxa"/>
            <w:shd w:val="clear" w:color="auto" w:fill="auto"/>
            <w:noWrap/>
            <w:vAlign w:val="bottom"/>
            <w:hideMark/>
          </w:tcPr>
          <w:p w14:paraId="37E8B3C2"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4936E6C" w14:textId="77777777" w:rsidTr="00F528FF">
        <w:trPr>
          <w:trHeight w:val="288"/>
        </w:trPr>
        <w:tc>
          <w:tcPr>
            <w:tcW w:w="1659" w:type="dxa"/>
            <w:shd w:val="clear" w:color="auto" w:fill="auto"/>
            <w:noWrap/>
            <w:vAlign w:val="bottom"/>
            <w:hideMark/>
          </w:tcPr>
          <w:p w14:paraId="720632C9" w14:textId="77777777" w:rsidR="00FD13B1" w:rsidRPr="00C57AD2" w:rsidRDefault="00FD13B1" w:rsidP="00F528FF">
            <w:pPr>
              <w:rPr>
                <w:rFonts w:eastAsia="SimSun"/>
                <w:color w:val="000000"/>
                <w:sz w:val="22"/>
                <w:szCs w:val="22"/>
              </w:rPr>
            </w:pPr>
            <w:r w:rsidRPr="00C57AD2">
              <w:rPr>
                <w:rFonts w:eastAsia="SimSun"/>
                <w:color w:val="000000"/>
                <w:sz w:val="22"/>
                <w:szCs w:val="22"/>
              </w:rPr>
              <w:t>06MT19900123</w:t>
            </w:r>
          </w:p>
        </w:tc>
        <w:tc>
          <w:tcPr>
            <w:tcW w:w="986" w:type="dxa"/>
            <w:tcBorders>
              <w:right w:val="single" w:sz="4" w:space="0" w:color="auto"/>
            </w:tcBorders>
            <w:shd w:val="clear" w:color="auto" w:fill="auto"/>
            <w:noWrap/>
            <w:vAlign w:val="bottom"/>
            <w:hideMark/>
          </w:tcPr>
          <w:p w14:paraId="72D72CBF"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43DC9299" w14:textId="77777777" w:rsidR="00FD13B1" w:rsidRPr="00C57AD2" w:rsidRDefault="00FD13B1" w:rsidP="00F528FF">
            <w:pPr>
              <w:rPr>
                <w:rFonts w:eastAsia="SimSun"/>
                <w:color w:val="000000"/>
                <w:sz w:val="22"/>
                <w:szCs w:val="22"/>
              </w:rPr>
            </w:pPr>
            <w:r w:rsidRPr="00C57AD2">
              <w:rPr>
                <w:rFonts w:eastAsia="SimSun"/>
                <w:color w:val="000000"/>
                <w:sz w:val="22"/>
                <w:szCs w:val="22"/>
              </w:rPr>
              <w:t>33RR20070204</w:t>
            </w:r>
          </w:p>
        </w:tc>
        <w:tc>
          <w:tcPr>
            <w:tcW w:w="1096" w:type="dxa"/>
            <w:shd w:val="clear" w:color="auto" w:fill="auto"/>
            <w:noWrap/>
            <w:vAlign w:val="bottom"/>
            <w:hideMark/>
          </w:tcPr>
          <w:p w14:paraId="7FF0D11E"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289E9E9" w14:textId="77777777" w:rsidTr="00F528FF">
        <w:trPr>
          <w:trHeight w:val="288"/>
        </w:trPr>
        <w:tc>
          <w:tcPr>
            <w:tcW w:w="1659" w:type="dxa"/>
            <w:shd w:val="clear" w:color="auto" w:fill="auto"/>
            <w:noWrap/>
            <w:vAlign w:val="bottom"/>
            <w:hideMark/>
          </w:tcPr>
          <w:p w14:paraId="37000F42" w14:textId="77777777" w:rsidR="00FD13B1" w:rsidRPr="00C57AD2" w:rsidRDefault="00FD13B1" w:rsidP="00F528FF">
            <w:pPr>
              <w:rPr>
                <w:rFonts w:eastAsia="SimSun"/>
                <w:color w:val="000000"/>
                <w:sz w:val="22"/>
                <w:szCs w:val="22"/>
              </w:rPr>
            </w:pPr>
            <w:r w:rsidRPr="00C57AD2">
              <w:rPr>
                <w:rFonts w:eastAsia="SimSun"/>
                <w:color w:val="000000"/>
                <w:sz w:val="22"/>
                <w:szCs w:val="22"/>
              </w:rPr>
              <w:t>09FA20010524</w:t>
            </w:r>
          </w:p>
        </w:tc>
        <w:tc>
          <w:tcPr>
            <w:tcW w:w="986" w:type="dxa"/>
            <w:tcBorders>
              <w:right w:val="single" w:sz="4" w:space="0" w:color="auto"/>
            </w:tcBorders>
            <w:shd w:val="clear" w:color="auto" w:fill="auto"/>
            <w:noWrap/>
            <w:vAlign w:val="bottom"/>
            <w:hideMark/>
          </w:tcPr>
          <w:p w14:paraId="185631A4"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3DBB322D" w14:textId="77777777" w:rsidR="00FD13B1" w:rsidRPr="00C57AD2" w:rsidRDefault="00FD13B1" w:rsidP="00F528FF">
            <w:pPr>
              <w:rPr>
                <w:rFonts w:eastAsia="SimSun"/>
                <w:color w:val="000000"/>
                <w:sz w:val="22"/>
                <w:szCs w:val="22"/>
              </w:rPr>
            </w:pPr>
            <w:r w:rsidRPr="00C57AD2">
              <w:rPr>
                <w:rFonts w:eastAsia="SimSun"/>
                <w:color w:val="000000"/>
                <w:sz w:val="22"/>
                <w:szCs w:val="22"/>
              </w:rPr>
              <w:t>33RR20080204</w:t>
            </w:r>
          </w:p>
        </w:tc>
        <w:tc>
          <w:tcPr>
            <w:tcW w:w="1096" w:type="dxa"/>
            <w:shd w:val="clear" w:color="auto" w:fill="auto"/>
            <w:noWrap/>
            <w:vAlign w:val="bottom"/>
            <w:hideMark/>
          </w:tcPr>
          <w:p w14:paraId="5180BAC5"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4916AFA4" w14:textId="77777777" w:rsidTr="00F528FF">
        <w:trPr>
          <w:trHeight w:val="288"/>
        </w:trPr>
        <w:tc>
          <w:tcPr>
            <w:tcW w:w="1659" w:type="dxa"/>
            <w:shd w:val="clear" w:color="auto" w:fill="auto"/>
            <w:noWrap/>
            <w:vAlign w:val="bottom"/>
            <w:hideMark/>
          </w:tcPr>
          <w:p w14:paraId="0FDF8164" w14:textId="77777777" w:rsidR="00FD13B1" w:rsidRPr="00C57AD2" w:rsidRDefault="00FD13B1" w:rsidP="00F528FF">
            <w:pPr>
              <w:rPr>
                <w:rFonts w:eastAsia="SimSun"/>
                <w:color w:val="000000"/>
                <w:sz w:val="22"/>
                <w:szCs w:val="22"/>
              </w:rPr>
            </w:pPr>
            <w:r w:rsidRPr="00C57AD2">
              <w:rPr>
                <w:rFonts w:eastAsia="SimSun"/>
                <w:color w:val="000000"/>
                <w:sz w:val="22"/>
                <w:szCs w:val="22"/>
              </w:rPr>
              <w:t>09SS20090203</w:t>
            </w:r>
          </w:p>
        </w:tc>
        <w:tc>
          <w:tcPr>
            <w:tcW w:w="986" w:type="dxa"/>
            <w:tcBorders>
              <w:right w:val="single" w:sz="4" w:space="0" w:color="auto"/>
            </w:tcBorders>
            <w:shd w:val="clear" w:color="auto" w:fill="auto"/>
            <w:noWrap/>
            <w:vAlign w:val="bottom"/>
            <w:hideMark/>
          </w:tcPr>
          <w:p w14:paraId="0C738278"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4660DE5B" w14:textId="77777777" w:rsidR="00FD13B1" w:rsidRPr="00C57AD2" w:rsidRDefault="00FD13B1" w:rsidP="00F528FF">
            <w:pPr>
              <w:rPr>
                <w:rFonts w:eastAsia="SimSun"/>
                <w:color w:val="000000"/>
                <w:sz w:val="22"/>
                <w:szCs w:val="22"/>
              </w:rPr>
            </w:pPr>
            <w:r w:rsidRPr="00C57AD2">
              <w:rPr>
                <w:rFonts w:eastAsia="SimSun"/>
                <w:color w:val="000000"/>
                <w:sz w:val="22"/>
                <w:szCs w:val="22"/>
              </w:rPr>
              <w:t>33RR20090320</w:t>
            </w:r>
          </w:p>
        </w:tc>
        <w:tc>
          <w:tcPr>
            <w:tcW w:w="1096" w:type="dxa"/>
            <w:shd w:val="clear" w:color="auto" w:fill="auto"/>
            <w:noWrap/>
            <w:vAlign w:val="bottom"/>
            <w:hideMark/>
          </w:tcPr>
          <w:p w14:paraId="0D3F1BB5"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050E41E2" w14:textId="77777777" w:rsidTr="00F528FF">
        <w:trPr>
          <w:trHeight w:val="288"/>
        </w:trPr>
        <w:tc>
          <w:tcPr>
            <w:tcW w:w="1659" w:type="dxa"/>
            <w:shd w:val="clear" w:color="auto" w:fill="auto"/>
            <w:noWrap/>
            <w:vAlign w:val="bottom"/>
            <w:hideMark/>
          </w:tcPr>
          <w:p w14:paraId="065D0BF6" w14:textId="77777777" w:rsidR="00FD13B1" w:rsidRPr="00C57AD2" w:rsidRDefault="00FD13B1" w:rsidP="00F528FF">
            <w:pPr>
              <w:rPr>
                <w:rFonts w:eastAsia="SimSun"/>
                <w:color w:val="000000"/>
                <w:sz w:val="22"/>
                <w:szCs w:val="22"/>
              </w:rPr>
            </w:pPr>
            <w:r w:rsidRPr="00C57AD2">
              <w:rPr>
                <w:rFonts w:eastAsia="SimSun"/>
                <w:color w:val="000000"/>
                <w:sz w:val="22"/>
                <w:szCs w:val="22"/>
              </w:rPr>
              <w:t>29HE19951203</w:t>
            </w:r>
          </w:p>
        </w:tc>
        <w:tc>
          <w:tcPr>
            <w:tcW w:w="986" w:type="dxa"/>
            <w:tcBorders>
              <w:right w:val="single" w:sz="4" w:space="0" w:color="auto"/>
            </w:tcBorders>
            <w:shd w:val="clear" w:color="auto" w:fill="auto"/>
            <w:noWrap/>
            <w:vAlign w:val="bottom"/>
            <w:hideMark/>
          </w:tcPr>
          <w:p w14:paraId="3AA086A1"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3B59930C" w14:textId="77777777" w:rsidR="00FD13B1" w:rsidRPr="00C57AD2" w:rsidRDefault="00FD13B1" w:rsidP="00F528FF">
            <w:pPr>
              <w:rPr>
                <w:rFonts w:eastAsia="SimSun"/>
                <w:color w:val="000000"/>
                <w:sz w:val="22"/>
                <w:szCs w:val="22"/>
              </w:rPr>
            </w:pPr>
            <w:r w:rsidRPr="00C57AD2">
              <w:rPr>
                <w:rFonts w:eastAsia="SimSun"/>
                <w:color w:val="000000"/>
                <w:sz w:val="22"/>
                <w:szCs w:val="22"/>
              </w:rPr>
              <w:t>33RR20160208</w:t>
            </w:r>
          </w:p>
        </w:tc>
        <w:tc>
          <w:tcPr>
            <w:tcW w:w="1096" w:type="dxa"/>
            <w:shd w:val="clear" w:color="auto" w:fill="auto"/>
            <w:noWrap/>
            <w:vAlign w:val="bottom"/>
            <w:hideMark/>
          </w:tcPr>
          <w:p w14:paraId="766B14EA"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4279E981" w14:textId="77777777" w:rsidTr="00F528FF">
        <w:trPr>
          <w:trHeight w:val="288"/>
        </w:trPr>
        <w:tc>
          <w:tcPr>
            <w:tcW w:w="1659" w:type="dxa"/>
            <w:shd w:val="clear" w:color="auto" w:fill="auto"/>
            <w:noWrap/>
            <w:vAlign w:val="bottom"/>
            <w:hideMark/>
          </w:tcPr>
          <w:p w14:paraId="0F022BBC" w14:textId="77777777" w:rsidR="00FD13B1" w:rsidRPr="00C57AD2" w:rsidRDefault="00FD13B1" w:rsidP="00F528FF">
            <w:pPr>
              <w:rPr>
                <w:rFonts w:eastAsia="SimSun"/>
                <w:color w:val="000000"/>
                <w:sz w:val="22"/>
                <w:szCs w:val="22"/>
              </w:rPr>
            </w:pPr>
            <w:r w:rsidRPr="00C57AD2">
              <w:rPr>
                <w:rFonts w:eastAsia="SimSun"/>
                <w:color w:val="000000"/>
                <w:sz w:val="22"/>
                <w:szCs w:val="22"/>
              </w:rPr>
              <w:t>29HE19960117</w:t>
            </w:r>
          </w:p>
        </w:tc>
        <w:tc>
          <w:tcPr>
            <w:tcW w:w="986" w:type="dxa"/>
            <w:tcBorders>
              <w:right w:val="single" w:sz="4" w:space="0" w:color="auto"/>
            </w:tcBorders>
            <w:shd w:val="clear" w:color="auto" w:fill="auto"/>
            <w:noWrap/>
            <w:vAlign w:val="bottom"/>
            <w:hideMark/>
          </w:tcPr>
          <w:p w14:paraId="61547A5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00E6AB3C" w14:textId="77777777" w:rsidR="00FD13B1" w:rsidRPr="00C57AD2" w:rsidRDefault="00FD13B1" w:rsidP="00F528FF">
            <w:pPr>
              <w:rPr>
                <w:rFonts w:eastAsia="SimSun"/>
                <w:color w:val="000000"/>
                <w:sz w:val="22"/>
                <w:szCs w:val="22"/>
              </w:rPr>
            </w:pPr>
            <w:r w:rsidRPr="00C57AD2">
              <w:rPr>
                <w:rFonts w:eastAsia="SimSun"/>
                <w:color w:val="000000"/>
                <w:sz w:val="22"/>
                <w:szCs w:val="22"/>
              </w:rPr>
              <w:t>35MF19930123</w:t>
            </w:r>
          </w:p>
        </w:tc>
        <w:tc>
          <w:tcPr>
            <w:tcW w:w="1096" w:type="dxa"/>
            <w:shd w:val="clear" w:color="auto" w:fill="auto"/>
            <w:noWrap/>
            <w:vAlign w:val="bottom"/>
            <w:hideMark/>
          </w:tcPr>
          <w:p w14:paraId="2C43DCCA"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165D93EB" w14:textId="77777777" w:rsidTr="00F528FF">
        <w:trPr>
          <w:trHeight w:val="288"/>
        </w:trPr>
        <w:tc>
          <w:tcPr>
            <w:tcW w:w="1659" w:type="dxa"/>
            <w:shd w:val="clear" w:color="auto" w:fill="auto"/>
            <w:noWrap/>
            <w:vAlign w:val="bottom"/>
            <w:hideMark/>
          </w:tcPr>
          <w:p w14:paraId="59FFE113" w14:textId="77777777" w:rsidR="00FD13B1" w:rsidRPr="00C57AD2" w:rsidRDefault="00FD13B1" w:rsidP="00F528FF">
            <w:pPr>
              <w:rPr>
                <w:rFonts w:eastAsia="SimSun"/>
                <w:color w:val="000000"/>
                <w:sz w:val="22"/>
                <w:szCs w:val="22"/>
              </w:rPr>
            </w:pPr>
            <w:r w:rsidRPr="00C57AD2">
              <w:rPr>
                <w:rFonts w:eastAsia="SimSun"/>
                <w:color w:val="000000"/>
                <w:sz w:val="22"/>
                <w:szCs w:val="22"/>
              </w:rPr>
              <w:t>316N19920502</w:t>
            </w:r>
          </w:p>
        </w:tc>
        <w:tc>
          <w:tcPr>
            <w:tcW w:w="986" w:type="dxa"/>
            <w:tcBorders>
              <w:right w:val="single" w:sz="4" w:space="0" w:color="auto"/>
            </w:tcBorders>
            <w:shd w:val="clear" w:color="auto" w:fill="auto"/>
            <w:noWrap/>
            <w:vAlign w:val="bottom"/>
            <w:hideMark/>
          </w:tcPr>
          <w:p w14:paraId="486A8AF1"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3A610EC0" w14:textId="77777777" w:rsidR="00FD13B1" w:rsidRPr="00C57AD2" w:rsidRDefault="00FD13B1" w:rsidP="00F528FF">
            <w:pPr>
              <w:rPr>
                <w:rFonts w:eastAsia="SimSun"/>
                <w:color w:val="000000"/>
                <w:sz w:val="22"/>
                <w:szCs w:val="22"/>
              </w:rPr>
            </w:pPr>
            <w:r w:rsidRPr="00C57AD2">
              <w:rPr>
                <w:rFonts w:eastAsia="SimSun"/>
                <w:color w:val="000000"/>
                <w:sz w:val="22"/>
                <w:szCs w:val="22"/>
              </w:rPr>
              <w:t>35MF19960220</w:t>
            </w:r>
          </w:p>
        </w:tc>
        <w:tc>
          <w:tcPr>
            <w:tcW w:w="1096" w:type="dxa"/>
            <w:shd w:val="clear" w:color="auto" w:fill="auto"/>
            <w:noWrap/>
            <w:vAlign w:val="bottom"/>
            <w:hideMark/>
          </w:tcPr>
          <w:p w14:paraId="387FB55D"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2E0B3388" w14:textId="77777777" w:rsidTr="00F528FF">
        <w:trPr>
          <w:trHeight w:val="288"/>
        </w:trPr>
        <w:tc>
          <w:tcPr>
            <w:tcW w:w="1659" w:type="dxa"/>
            <w:shd w:val="clear" w:color="auto" w:fill="auto"/>
            <w:noWrap/>
            <w:vAlign w:val="bottom"/>
            <w:hideMark/>
          </w:tcPr>
          <w:p w14:paraId="1F005DC3" w14:textId="77777777" w:rsidR="00FD13B1" w:rsidRPr="00C57AD2" w:rsidRDefault="00FD13B1" w:rsidP="00F528FF">
            <w:pPr>
              <w:rPr>
                <w:rFonts w:eastAsia="SimSun"/>
                <w:color w:val="000000"/>
                <w:sz w:val="22"/>
                <w:szCs w:val="22"/>
              </w:rPr>
            </w:pPr>
            <w:r w:rsidRPr="00C57AD2">
              <w:rPr>
                <w:rFonts w:eastAsia="SimSun"/>
                <w:color w:val="000000"/>
                <w:sz w:val="22"/>
                <w:szCs w:val="22"/>
              </w:rPr>
              <w:t>316N19920901</w:t>
            </w:r>
          </w:p>
        </w:tc>
        <w:tc>
          <w:tcPr>
            <w:tcW w:w="986" w:type="dxa"/>
            <w:tcBorders>
              <w:right w:val="single" w:sz="4" w:space="0" w:color="auto"/>
            </w:tcBorders>
            <w:shd w:val="clear" w:color="auto" w:fill="auto"/>
            <w:noWrap/>
            <w:vAlign w:val="bottom"/>
            <w:hideMark/>
          </w:tcPr>
          <w:p w14:paraId="6C19CEF0"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3524C9DF" w14:textId="77777777" w:rsidR="00FD13B1" w:rsidRPr="00C57AD2" w:rsidRDefault="00FD13B1" w:rsidP="00F528FF">
            <w:pPr>
              <w:rPr>
                <w:rFonts w:eastAsia="SimSun"/>
                <w:color w:val="000000"/>
                <w:sz w:val="22"/>
                <w:szCs w:val="22"/>
              </w:rPr>
            </w:pPr>
            <w:r w:rsidRPr="00C57AD2">
              <w:rPr>
                <w:rFonts w:eastAsia="SimSun"/>
                <w:color w:val="000000"/>
                <w:sz w:val="22"/>
                <w:szCs w:val="22"/>
              </w:rPr>
              <w:t>35MF19980121</w:t>
            </w:r>
          </w:p>
        </w:tc>
        <w:tc>
          <w:tcPr>
            <w:tcW w:w="1096" w:type="dxa"/>
            <w:shd w:val="clear" w:color="auto" w:fill="auto"/>
            <w:noWrap/>
            <w:vAlign w:val="bottom"/>
            <w:hideMark/>
          </w:tcPr>
          <w:p w14:paraId="5F612D14"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7F762338" w14:textId="77777777" w:rsidTr="00F528FF">
        <w:trPr>
          <w:trHeight w:val="288"/>
        </w:trPr>
        <w:tc>
          <w:tcPr>
            <w:tcW w:w="1659" w:type="dxa"/>
            <w:shd w:val="clear" w:color="auto" w:fill="auto"/>
            <w:noWrap/>
            <w:vAlign w:val="bottom"/>
            <w:hideMark/>
          </w:tcPr>
          <w:p w14:paraId="7EC4A505" w14:textId="77777777" w:rsidR="00FD13B1" w:rsidRPr="00C57AD2" w:rsidRDefault="00FD13B1" w:rsidP="00F528FF">
            <w:pPr>
              <w:rPr>
                <w:rFonts w:eastAsia="SimSun"/>
                <w:color w:val="000000"/>
                <w:sz w:val="22"/>
                <w:szCs w:val="22"/>
              </w:rPr>
            </w:pPr>
            <w:r w:rsidRPr="00C57AD2">
              <w:rPr>
                <w:rFonts w:eastAsia="SimSun"/>
                <w:color w:val="000000"/>
                <w:sz w:val="22"/>
                <w:szCs w:val="22"/>
              </w:rPr>
              <w:t>316N19921006</w:t>
            </w:r>
          </w:p>
        </w:tc>
        <w:tc>
          <w:tcPr>
            <w:tcW w:w="986" w:type="dxa"/>
            <w:tcBorders>
              <w:right w:val="single" w:sz="4" w:space="0" w:color="auto"/>
            </w:tcBorders>
            <w:shd w:val="clear" w:color="auto" w:fill="auto"/>
            <w:noWrap/>
            <w:vAlign w:val="bottom"/>
            <w:hideMark/>
          </w:tcPr>
          <w:p w14:paraId="58FBAEFF"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4A7541FB" w14:textId="77777777" w:rsidR="00FD13B1" w:rsidRPr="00C57AD2" w:rsidRDefault="00FD13B1" w:rsidP="00F528FF">
            <w:pPr>
              <w:rPr>
                <w:rFonts w:eastAsia="SimSun"/>
                <w:color w:val="000000"/>
                <w:sz w:val="22"/>
                <w:szCs w:val="22"/>
              </w:rPr>
            </w:pPr>
            <w:r w:rsidRPr="00C57AD2">
              <w:rPr>
                <w:rFonts w:eastAsia="SimSun"/>
                <w:color w:val="000000"/>
                <w:sz w:val="22"/>
                <w:szCs w:val="22"/>
              </w:rPr>
              <w:t>35MF19980818</w:t>
            </w:r>
          </w:p>
        </w:tc>
        <w:tc>
          <w:tcPr>
            <w:tcW w:w="1096" w:type="dxa"/>
            <w:shd w:val="clear" w:color="auto" w:fill="auto"/>
            <w:noWrap/>
            <w:vAlign w:val="bottom"/>
            <w:hideMark/>
          </w:tcPr>
          <w:p w14:paraId="0F710FC1"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43E87DEB" w14:textId="77777777" w:rsidTr="00F528FF">
        <w:trPr>
          <w:trHeight w:val="288"/>
        </w:trPr>
        <w:tc>
          <w:tcPr>
            <w:tcW w:w="1659" w:type="dxa"/>
            <w:shd w:val="clear" w:color="auto" w:fill="auto"/>
            <w:noWrap/>
            <w:vAlign w:val="bottom"/>
            <w:hideMark/>
          </w:tcPr>
          <w:p w14:paraId="72321FD0" w14:textId="77777777" w:rsidR="00FD13B1" w:rsidRPr="00C57AD2" w:rsidRDefault="00FD13B1" w:rsidP="00F528FF">
            <w:pPr>
              <w:rPr>
                <w:rFonts w:eastAsia="SimSun"/>
                <w:color w:val="000000"/>
                <w:sz w:val="22"/>
                <w:szCs w:val="22"/>
              </w:rPr>
            </w:pPr>
            <w:r w:rsidRPr="00C57AD2">
              <w:rPr>
                <w:rFonts w:eastAsia="SimSun"/>
                <w:color w:val="000000"/>
                <w:sz w:val="22"/>
                <w:szCs w:val="22"/>
              </w:rPr>
              <w:t>316N19921204</w:t>
            </w:r>
          </w:p>
        </w:tc>
        <w:tc>
          <w:tcPr>
            <w:tcW w:w="986" w:type="dxa"/>
            <w:tcBorders>
              <w:right w:val="single" w:sz="4" w:space="0" w:color="auto"/>
            </w:tcBorders>
            <w:shd w:val="clear" w:color="auto" w:fill="auto"/>
            <w:noWrap/>
            <w:vAlign w:val="bottom"/>
            <w:hideMark/>
          </w:tcPr>
          <w:p w14:paraId="07FB742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4A41DA3" w14:textId="77777777" w:rsidR="00FD13B1" w:rsidRPr="00C57AD2" w:rsidRDefault="00FD13B1" w:rsidP="00F528FF">
            <w:pPr>
              <w:rPr>
                <w:rFonts w:eastAsia="SimSun"/>
                <w:color w:val="000000"/>
                <w:sz w:val="22"/>
                <w:szCs w:val="22"/>
              </w:rPr>
            </w:pPr>
            <w:r w:rsidRPr="00C57AD2">
              <w:rPr>
                <w:rFonts w:eastAsia="SimSun"/>
                <w:color w:val="000000"/>
                <w:sz w:val="22"/>
                <w:szCs w:val="22"/>
              </w:rPr>
              <w:t>35MF19981205</w:t>
            </w:r>
          </w:p>
        </w:tc>
        <w:tc>
          <w:tcPr>
            <w:tcW w:w="1096" w:type="dxa"/>
            <w:shd w:val="clear" w:color="auto" w:fill="auto"/>
            <w:noWrap/>
            <w:vAlign w:val="bottom"/>
            <w:hideMark/>
          </w:tcPr>
          <w:p w14:paraId="3711E0C4"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7BF51C0E" w14:textId="77777777" w:rsidTr="00F528FF">
        <w:trPr>
          <w:trHeight w:val="288"/>
        </w:trPr>
        <w:tc>
          <w:tcPr>
            <w:tcW w:w="1659" w:type="dxa"/>
            <w:shd w:val="clear" w:color="auto" w:fill="auto"/>
            <w:noWrap/>
            <w:vAlign w:val="bottom"/>
            <w:hideMark/>
          </w:tcPr>
          <w:p w14:paraId="49337B7C" w14:textId="77777777" w:rsidR="00FD13B1" w:rsidRPr="00C57AD2" w:rsidRDefault="00FD13B1" w:rsidP="00F528FF">
            <w:pPr>
              <w:rPr>
                <w:rFonts w:eastAsia="SimSun"/>
                <w:color w:val="000000"/>
                <w:sz w:val="22"/>
                <w:szCs w:val="22"/>
              </w:rPr>
            </w:pPr>
            <w:r w:rsidRPr="00C57AD2">
              <w:rPr>
                <w:rFonts w:eastAsia="SimSun"/>
                <w:color w:val="000000"/>
                <w:sz w:val="22"/>
                <w:szCs w:val="22"/>
              </w:rPr>
              <w:t>316N19930222</w:t>
            </w:r>
          </w:p>
        </w:tc>
        <w:tc>
          <w:tcPr>
            <w:tcW w:w="986" w:type="dxa"/>
            <w:tcBorders>
              <w:right w:val="single" w:sz="4" w:space="0" w:color="auto"/>
            </w:tcBorders>
            <w:shd w:val="clear" w:color="auto" w:fill="auto"/>
            <w:noWrap/>
            <w:vAlign w:val="bottom"/>
            <w:hideMark/>
          </w:tcPr>
          <w:p w14:paraId="57151917"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F706769" w14:textId="77777777" w:rsidR="00FD13B1" w:rsidRPr="00C57AD2" w:rsidRDefault="00FD13B1" w:rsidP="00F528FF">
            <w:pPr>
              <w:rPr>
                <w:rFonts w:eastAsia="SimSun"/>
                <w:color w:val="000000"/>
                <w:sz w:val="22"/>
                <w:szCs w:val="22"/>
              </w:rPr>
            </w:pPr>
            <w:r w:rsidRPr="00C57AD2">
              <w:rPr>
                <w:rFonts w:eastAsia="SimSun"/>
                <w:color w:val="000000"/>
                <w:sz w:val="22"/>
                <w:szCs w:val="22"/>
              </w:rPr>
              <w:t>35MF19990104</w:t>
            </w:r>
          </w:p>
        </w:tc>
        <w:tc>
          <w:tcPr>
            <w:tcW w:w="1096" w:type="dxa"/>
            <w:shd w:val="clear" w:color="auto" w:fill="auto"/>
            <w:noWrap/>
            <w:vAlign w:val="bottom"/>
            <w:hideMark/>
          </w:tcPr>
          <w:p w14:paraId="763C2219"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087F567" w14:textId="77777777" w:rsidTr="00F528FF">
        <w:trPr>
          <w:trHeight w:val="288"/>
        </w:trPr>
        <w:tc>
          <w:tcPr>
            <w:tcW w:w="1659" w:type="dxa"/>
            <w:shd w:val="clear" w:color="auto" w:fill="auto"/>
            <w:noWrap/>
            <w:vAlign w:val="bottom"/>
            <w:hideMark/>
          </w:tcPr>
          <w:p w14:paraId="05423269" w14:textId="77777777" w:rsidR="00FD13B1" w:rsidRPr="00C57AD2" w:rsidRDefault="00FD13B1" w:rsidP="00F528FF">
            <w:pPr>
              <w:rPr>
                <w:rFonts w:eastAsia="SimSun"/>
                <w:color w:val="000000"/>
                <w:sz w:val="22"/>
                <w:szCs w:val="22"/>
              </w:rPr>
            </w:pPr>
            <w:r w:rsidRPr="00C57AD2">
              <w:rPr>
                <w:rFonts w:eastAsia="SimSun"/>
                <w:color w:val="000000"/>
                <w:sz w:val="22"/>
                <w:szCs w:val="22"/>
              </w:rPr>
              <w:t>316N20050821</w:t>
            </w:r>
          </w:p>
        </w:tc>
        <w:tc>
          <w:tcPr>
            <w:tcW w:w="986" w:type="dxa"/>
            <w:tcBorders>
              <w:right w:val="single" w:sz="4" w:space="0" w:color="auto"/>
            </w:tcBorders>
            <w:shd w:val="clear" w:color="auto" w:fill="auto"/>
            <w:noWrap/>
            <w:vAlign w:val="bottom"/>
            <w:hideMark/>
          </w:tcPr>
          <w:p w14:paraId="57949A38"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AED3965" w14:textId="77777777" w:rsidR="00FD13B1" w:rsidRPr="00C57AD2" w:rsidRDefault="00FD13B1" w:rsidP="00F528FF">
            <w:pPr>
              <w:rPr>
                <w:rFonts w:eastAsia="SimSun"/>
                <w:color w:val="000000"/>
                <w:sz w:val="22"/>
                <w:szCs w:val="22"/>
              </w:rPr>
            </w:pPr>
            <w:r w:rsidRPr="00C57AD2">
              <w:rPr>
                <w:rFonts w:eastAsia="SimSun"/>
                <w:color w:val="000000"/>
                <w:sz w:val="22"/>
                <w:szCs w:val="22"/>
              </w:rPr>
              <w:t>35MF20000117</w:t>
            </w:r>
          </w:p>
        </w:tc>
        <w:tc>
          <w:tcPr>
            <w:tcW w:w="1096" w:type="dxa"/>
            <w:shd w:val="clear" w:color="auto" w:fill="auto"/>
            <w:noWrap/>
            <w:vAlign w:val="bottom"/>
            <w:hideMark/>
          </w:tcPr>
          <w:p w14:paraId="79BFDCD6"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1F52D215" w14:textId="77777777" w:rsidTr="00F528FF">
        <w:trPr>
          <w:trHeight w:val="288"/>
        </w:trPr>
        <w:tc>
          <w:tcPr>
            <w:tcW w:w="1659" w:type="dxa"/>
            <w:shd w:val="clear" w:color="auto" w:fill="auto"/>
            <w:noWrap/>
            <w:vAlign w:val="bottom"/>
            <w:hideMark/>
          </w:tcPr>
          <w:p w14:paraId="0ADE4D68" w14:textId="77777777" w:rsidR="00FD13B1" w:rsidRPr="00C57AD2" w:rsidRDefault="00FD13B1" w:rsidP="00F528FF">
            <w:pPr>
              <w:rPr>
                <w:rFonts w:eastAsia="SimSun"/>
                <w:color w:val="000000"/>
                <w:sz w:val="22"/>
                <w:szCs w:val="22"/>
              </w:rPr>
            </w:pPr>
            <w:r w:rsidRPr="00C57AD2">
              <w:rPr>
                <w:rFonts w:eastAsia="SimSun"/>
                <w:color w:val="000000"/>
                <w:sz w:val="22"/>
                <w:szCs w:val="22"/>
              </w:rPr>
              <w:t>316N20060130</w:t>
            </w:r>
          </w:p>
        </w:tc>
        <w:tc>
          <w:tcPr>
            <w:tcW w:w="986" w:type="dxa"/>
            <w:tcBorders>
              <w:right w:val="single" w:sz="4" w:space="0" w:color="auto"/>
            </w:tcBorders>
            <w:shd w:val="clear" w:color="auto" w:fill="auto"/>
            <w:noWrap/>
            <w:vAlign w:val="bottom"/>
            <w:hideMark/>
          </w:tcPr>
          <w:p w14:paraId="0D4C5238"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43FAF41A" w14:textId="77777777" w:rsidR="00FD13B1" w:rsidRPr="00C57AD2" w:rsidRDefault="00FD13B1" w:rsidP="00F528FF">
            <w:pPr>
              <w:rPr>
                <w:rFonts w:eastAsia="SimSun"/>
                <w:color w:val="000000"/>
                <w:sz w:val="22"/>
                <w:szCs w:val="22"/>
              </w:rPr>
            </w:pPr>
            <w:r w:rsidRPr="00C57AD2">
              <w:rPr>
                <w:rFonts w:eastAsia="SimSun"/>
                <w:color w:val="000000"/>
                <w:sz w:val="22"/>
                <w:szCs w:val="22"/>
              </w:rPr>
              <w:t>35MF20000719</w:t>
            </w:r>
          </w:p>
        </w:tc>
        <w:tc>
          <w:tcPr>
            <w:tcW w:w="1096" w:type="dxa"/>
            <w:shd w:val="clear" w:color="auto" w:fill="auto"/>
            <w:noWrap/>
            <w:vAlign w:val="bottom"/>
            <w:hideMark/>
          </w:tcPr>
          <w:p w14:paraId="0D736769"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6F2552DE" w14:textId="77777777" w:rsidTr="00F528FF">
        <w:trPr>
          <w:trHeight w:val="288"/>
        </w:trPr>
        <w:tc>
          <w:tcPr>
            <w:tcW w:w="1659" w:type="dxa"/>
            <w:shd w:val="clear" w:color="auto" w:fill="auto"/>
            <w:noWrap/>
            <w:vAlign w:val="bottom"/>
            <w:hideMark/>
          </w:tcPr>
          <w:p w14:paraId="4752262D" w14:textId="77777777" w:rsidR="00FD13B1" w:rsidRPr="00C57AD2" w:rsidRDefault="00FD13B1" w:rsidP="00F528FF">
            <w:pPr>
              <w:rPr>
                <w:rFonts w:eastAsia="SimSun"/>
                <w:color w:val="000000"/>
                <w:sz w:val="22"/>
                <w:szCs w:val="22"/>
              </w:rPr>
            </w:pPr>
            <w:r w:rsidRPr="00C57AD2">
              <w:rPr>
                <w:rFonts w:eastAsia="SimSun"/>
                <w:color w:val="000000"/>
                <w:sz w:val="22"/>
                <w:szCs w:val="22"/>
              </w:rPr>
              <w:t>318M20091121</w:t>
            </w:r>
          </w:p>
        </w:tc>
        <w:tc>
          <w:tcPr>
            <w:tcW w:w="986" w:type="dxa"/>
            <w:tcBorders>
              <w:right w:val="single" w:sz="4" w:space="0" w:color="auto"/>
            </w:tcBorders>
            <w:shd w:val="clear" w:color="auto" w:fill="auto"/>
            <w:noWrap/>
            <w:vAlign w:val="bottom"/>
            <w:hideMark/>
          </w:tcPr>
          <w:p w14:paraId="358F6F2E"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AA90197" w14:textId="77777777" w:rsidR="00FD13B1" w:rsidRPr="00C57AD2" w:rsidRDefault="00FD13B1" w:rsidP="00F528FF">
            <w:pPr>
              <w:rPr>
                <w:rFonts w:eastAsia="SimSun"/>
                <w:color w:val="000000"/>
                <w:sz w:val="22"/>
                <w:szCs w:val="22"/>
              </w:rPr>
            </w:pPr>
            <w:r w:rsidRPr="00C57AD2">
              <w:rPr>
                <w:rFonts w:eastAsia="SimSun"/>
                <w:color w:val="000000"/>
                <w:sz w:val="22"/>
                <w:szCs w:val="22"/>
              </w:rPr>
              <w:t>35MF20010103</w:t>
            </w:r>
          </w:p>
        </w:tc>
        <w:tc>
          <w:tcPr>
            <w:tcW w:w="1096" w:type="dxa"/>
            <w:shd w:val="clear" w:color="auto" w:fill="auto"/>
            <w:noWrap/>
            <w:vAlign w:val="bottom"/>
            <w:hideMark/>
          </w:tcPr>
          <w:p w14:paraId="20AEDB71"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60FA90A1" w14:textId="77777777" w:rsidTr="00F528FF">
        <w:trPr>
          <w:trHeight w:val="288"/>
        </w:trPr>
        <w:tc>
          <w:tcPr>
            <w:tcW w:w="1659" w:type="dxa"/>
            <w:shd w:val="clear" w:color="auto" w:fill="auto"/>
            <w:noWrap/>
            <w:vAlign w:val="bottom"/>
            <w:hideMark/>
          </w:tcPr>
          <w:p w14:paraId="05E9002B" w14:textId="77777777" w:rsidR="00FD13B1" w:rsidRPr="00C57AD2" w:rsidRDefault="00FD13B1" w:rsidP="00F528FF">
            <w:pPr>
              <w:rPr>
                <w:rFonts w:eastAsia="SimSun"/>
                <w:color w:val="000000"/>
                <w:sz w:val="22"/>
                <w:szCs w:val="22"/>
              </w:rPr>
            </w:pPr>
            <w:r w:rsidRPr="00C57AD2">
              <w:rPr>
                <w:rFonts w:eastAsia="SimSun"/>
                <w:color w:val="000000"/>
                <w:sz w:val="22"/>
                <w:szCs w:val="22"/>
              </w:rPr>
              <w:t>31DS19940126</w:t>
            </w:r>
          </w:p>
        </w:tc>
        <w:tc>
          <w:tcPr>
            <w:tcW w:w="986" w:type="dxa"/>
            <w:tcBorders>
              <w:right w:val="single" w:sz="4" w:space="0" w:color="auto"/>
            </w:tcBorders>
            <w:shd w:val="clear" w:color="auto" w:fill="auto"/>
            <w:noWrap/>
            <w:vAlign w:val="bottom"/>
            <w:hideMark/>
          </w:tcPr>
          <w:p w14:paraId="56B82C4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287F556" w14:textId="77777777" w:rsidR="00FD13B1" w:rsidRPr="00C57AD2" w:rsidRDefault="00FD13B1" w:rsidP="00F528FF">
            <w:pPr>
              <w:rPr>
                <w:rFonts w:eastAsia="SimSun"/>
                <w:color w:val="000000"/>
                <w:sz w:val="22"/>
                <w:szCs w:val="22"/>
              </w:rPr>
            </w:pPr>
            <w:r w:rsidRPr="00C57AD2">
              <w:rPr>
                <w:rFonts w:eastAsia="SimSun"/>
                <w:color w:val="000000"/>
                <w:sz w:val="22"/>
                <w:szCs w:val="22"/>
              </w:rPr>
              <w:t>35MF20020104</w:t>
            </w:r>
          </w:p>
        </w:tc>
        <w:tc>
          <w:tcPr>
            <w:tcW w:w="1096" w:type="dxa"/>
            <w:shd w:val="clear" w:color="auto" w:fill="auto"/>
            <w:noWrap/>
            <w:vAlign w:val="bottom"/>
            <w:hideMark/>
          </w:tcPr>
          <w:p w14:paraId="64DBD801"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2F14A0A5" w14:textId="77777777" w:rsidTr="00F528FF">
        <w:trPr>
          <w:trHeight w:val="288"/>
        </w:trPr>
        <w:tc>
          <w:tcPr>
            <w:tcW w:w="1659" w:type="dxa"/>
            <w:shd w:val="clear" w:color="auto" w:fill="auto"/>
            <w:noWrap/>
            <w:vAlign w:val="bottom"/>
            <w:hideMark/>
          </w:tcPr>
          <w:p w14:paraId="078B4A68" w14:textId="77777777" w:rsidR="00FD13B1" w:rsidRPr="00C57AD2" w:rsidRDefault="00FD13B1" w:rsidP="00F528FF">
            <w:pPr>
              <w:rPr>
                <w:rFonts w:eastAsia="SimSun"/>
                <w:color w:val="000000"/>
                <w:sz w:val="22"/>
                <w:szCs w:val="22"/>
              </w:rPr>
            </w:pPr>
            <w:r w:rsidRPr="00C57AD2">
              <w:rPr>
                <w:rFonts w:eastAsia="SimSun"/>
                <w:color w:val="000000"/>
                <w:sz w:val="22"/>
                <w:szCs w:val="22"/>
              </w:rPr>
              <w:t>31DS19960105</w:t>
            </w:r>
          </w:p>
        </w:tc>
        <w:tc>
          <w:tcPr>
            <w:tcW w:w="986" w:type="dxa"/>
            <w:tcBorders>
              <w:right w:val="single" w:sz="4" w:space="0" w:color="auto"/>
            </w:tcBorders>
            <w:shd w:val="clear" w:color="auto" w:fill="auto"/>
            <w:noWrap/>
            <w:vAlign w:val="bottom"/>
            <w:hideMark/>
          </w:tcPr>
          <w:p w14:paraId="05B22A10"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1F0456B8" w14:textId="77777777" w:rsidR="00FD13B1" w:rsidRPr="00C57AD2" w:rsidRDefault="00FD13B1" w:rsidP="00F528FF">
            <w:pPr>
              <w:rPr>
                <w:rFonts w:eastAsia="SimSun"/>
                <w:color w:val="000000"/>
                <w:sz w:val="22"/>
                <w:szCs w:val="22"/>
              </w:rPr>
            </w:pPr>
            <w:r w:rsidRPr="00C57AD2">
              <w:rPr>
                <w:rFonts w:eastAsia="SimSun"/>
                <w:color w:val="000000"/>
                <w:sz w:val="22"/>
                <w:szCs w:val="22"/>
              </w:rPr>
              <w:t>35MF20040103</w:t>
            </w:r>
          </w:p>
        </w:tc>
        <w:tc>
          <w:tcPr>
            <w:tcW w:w="1096" w:type="dxa"/>
            <w:shd w:val="clear" w:color="auto" w:fill="auto"/>
            <w:noWrap/>
            <w:vAlign w:val="bottom"/>
            <w:hideMark/>
          </w:tcPr>
          <w:p w14:paraId="047F9F73"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9BB4C2A" w14:textId="77777777" w:rsidTr="00F528FF">
        <w:trPr>
          <w:trHeight w:val="288"/>
        </w:trPr>
        <w:tc>
          <w:tcPr>
            <w:tcW w:w="1659" w:type="dxa"/>
            <w:shd w:val="clear" w:color="auto" w:fill="auto"/>
            <w:noWrap/>
            <w:vAlign w:val="bottom"/>
            <w:hideMark/>
          </w:tcPr>
          <w:p w14:paraId="4563B7AD" w14:textId="77777777" w:rsidR="00FD13B1" w:rsidRPr="00C57AD2" w:rsidRDefault="00FD13B1" w:rsidP="00F528FF">
            <w:pPr>
              <w:rPr>
                <w:rFonts w:eastAsia="SimSun"/>
                <w:color w:val="000000"/>
                <w:sz w:val="22"/>
                <w:szCs w:val="22"/>
              </w:rPr>
            </w:pPr>
            <w:r w:rsidRPr="00C57AD2">
              <w:rPr>
                <w:rFonts w:eastAsia="SimSun"/>
                <w:color w:val="000000"/>
                <w:sz w:val="22"/>
                <w:szCs w:val="22"/>
              </w:rPr>
              <w:t>31WT19910716</w:t>
            </w:r>
          </w:p>
        </w:tc>
        <w:tc>
          <w:tcPr>
            <w:tcW w:w="986" w:type="dxa"/>
            <w:tcBorders>
              <w:right w:val="single" w:sz="4" w:space="0" w:color="auto"/>
            </w:tcBorders>
            <w:shd w:val="clear" w:color="auto" w:fill="auto"/>
            <w:noWrap/>
            <w:vAlign w:val="bottom"/>
            <w:hideMark/>
          </w:tcPr>
          <w:p w14:paraId="1D8A4A9B"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D5CDF38" w14:textId="77777777" w:rsidR="00FD13B1" w:rsidRPr="00C57AD2" w:rsidRDefault="00FD13B1" w:rsidP="00F528FF">
            <w:pPr>
              <w:rPr>
                <w:rFonts w:eastAsia="SimSun"/>
                <w:color w:val="000000"/>
                <w:sz w:val="22"/>
                <w:szCs w:val="22"/>
              </w:rPr>
            </w:pPr>
            <w:r w:rsidRPr="00C57AD2">
              <w:rPr>
                <w:rFonts w:eastAsia="SimSun"/>
                <w:color w:val="000000"/>
                <w:sz w:val="22"/>
                <w:szCs w:val="22"/>
              </w:rPr>
              <w:t>35MF20090103</w:t>
            </w:r>
          </w:p>
        </w:tc>
        <w:tc>
          <w:tcPr>
            <w:tcW w:w="1096" w:type="dxa"/>
            <w:shd w:val="clear" w:color="auto" w:fill="auto"/>
            <w:noWrap/>
            <w:vAlign w:val="bottom"/>
            <w:hideMark/>
          </w:tcPr>
          <w:p w14:paraId="4EEC490D"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24813245" w14:textId="77777777" w:rsidTr="00F528FF">
        <w:trPr>
          <w:trHeight w:val="288"/>
        </w:trPr>
        <w:tc>
          <w:tcPr>
            <w:tcW w:w="1659" w:type="dxa"/>
            <w:shd w:val="clear" w:color="auto" w:fill="auto"/>
            <w:noWrap/>
            <w:vAlign w:val="bottom"/>
            <w:hideMark/>
          </w:tcPr>
          <w:p w14:paraId="0165DC4D" w14:textId="77777777" w:rsidR="00FD13B1" w:rsidRPr="00C57AD2" w:rsidRDefault="00FD13B1" w:rsidP="00F528FF">
            <w:pPr>
              <w:rPr>
                <w:rFonts w:eastAsia="SimSun"/>
                <w:color w:val="000000"/>
                <w:sz w:val="22"/>
                <w:szCs w:val="22"/>
              </w:rPr>
            </w:pPr>
            <w:r w:rsidRPr="00C57AD2">
              <w:rPr>
                <w:rFonts w:eastAsia="SimSun"/>
                <w:color w:val="000000"/>
                <w:sz w:val="22"/>
                <w:szCs w:val="22"/>
              </w:rPr>
              <w:t>33RO20071215</w:t>
            </w:r>
          </w:p>
        </w:tc>
        <w:tc>
          <w:tcPr>
            <w:tcW w:w="986" w:type="dxa"/>
            <w:tcBorders>
              <w:right w:val="single" w:sz="4" w:space="0" w:color="auto"/>
            </w:tcBorders>
            <w:shd w:val="clear" w:color="auto" w:fill="auto"/>
            <w:noWrap/>
            <w:vAlign w:val="bottom"/>
            <w:hideMark/>
          </w:tcPr>
          <w:p w14:paraId="3BC11ECF"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AC7C4D0" w14:textId="77777777" w:rsidR="00FD13B1" w:rsidRPr="00C57AD2" w:rsidRDefault="00FD13B1" w:rsidP="00F528FF">
            <w:pPr>
              <w:rPr>
                <w:rFonts w:eastAsia="SimSun"/>
                <w:color w:val="000000"/>
                <w:sz w:val="22"/>
                <w:szCs w:val="22"/>
              </w:rPr>
            </w:pPr>
            <w:r w:rsidRPr="00C57AD2">
              <w:rPr>
                <w:rFonts w:eastAsia="SimSun"/>
                <w:color w:val="000000"/>
                <w:sz w:val="22"/>
                <w:szCs w:val="22"/>
              </w:rPr>
              <w:t>35UCKERFIXTS</w:t>
            </w:r>
          </w:p>
        </w:tc>
        <w:tc>
          <w:tcPr>
            <w:tcW w:w="1096" w:type="dxa"/>
            <w:shd w:val="clear" w:color="auto" w:fill="auto"/>
            <w:noWrap/>
            <w:vAlign w:val="bottom"/>
            <w:hideMark/>
          </w:tcPr>
          <w:p w14:paraId="5CD64E28"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F593E16" w14:textId="77777777" w:rsidTr="00F528FF">
        <w:trPr>
          <w:trHeight w:val="288"/>
        </w:trPr>
        <w:tc>
          <w:tcPr>
            <w:tcW w:w="1659" w:type="dxa"/>
            <w:shd w:val="clear" w:color="auto" w:fill="auto"/>
            <w:noWrap/>
            <w:vAlign w:val="bottom"/>
            <w:hideMark/>
          </w:tcPr>
          <w:p w14:paraId="0B723D76" w14:textId="77777777" w:rsidR="00FD13B1" w:rsidRPr="00C57AD2" w:rsidRDefault="00FD13B1" w:rsidP="00F528FF">
            <w:pPr>
              <w:rPr>
                <w:rFonts w:eastAsia="SimSun"/>
                <w:color w:val="000000"/>
                <w:sz w:val="22"/>
                <w:szCs w:val="22"/>
              </w:rPr>
            </w:pPr>
            <w:r w:rsidRPr="00C57AD2">
              <w:rPr>
                <w:rFonts w:eastAsia="SimSun"/>
                <w:color w:val="000000"/>
                <w:sz w:val="22"/>
                <w:szCs w:val="22"/>
              </w:rPr>
              <w:t>33RO20161119</w:t>
            </w:r>
          </w:p>
        </w:tc>
        <w:tc>
          <w:tcPr>
            <w:tcW w:w="986" w:type="dxa"/>
            <w:tcBorders>
              <w:right w:val="single" w:sz="4" w:space="0" w:color="auto"/>
            </w:tcBorders>
            <w:shd w:val="clear" w:color="auto" w:fill="auto"/>
            <w:noWrap/>
            <w:vAlign w:val="bottom"/>
            <w:hideMark/>
          </w:tcPr>
          <w:p w14:paraId="38AC9AC7"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0BAA600" w14:textId="77777777" w:rsidR="00FD13B1" w:rsidRPr="00C57AD2" w:rsidRDefault="00FD13B1" w:rsidP="00F528FF">
            <w:pPr>
              <w:rPr>
                <w:rFonts w:eastAsia="SimSun"/>
                <w:color w:val="000000"/>
                <w:sz w:val="22"/>
                <w:szCs w:val="22"/>
              </w:rPr>
            </w:pPr>
            <w:r w:rsidRPr="00C57AD2">
              <w:rPr>
                <w:rFonts w:eastAsia="SimSun"/>
                <w:color w:val="000000"/>
                <w:sz w:val="22"/>
                <w:szCs w:val="22"/>
              </w:rPr>
              <w:t>49HH19941213</w:t>
            </w:r>
          </w:p>
        </w:tc>
        <w:tc>
          <w:tcPr>
            <w:tcW w:w="1096" w:type="dxa"/>
            <w:shd w:val="clear" w:color="auto" w:fill="auto"/>
            <w:noWrap/>
            <w:vAlign w:val="bottom"/>
            <w:hideMark/>
          </w:tcPr>
          <w:p w14:paraId="237F2272"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C799145" w14:textId="77777777" w:rsidTr="00F528FF">
        <w:trPr>
          <w:trHeight w:val="288"/>
        </w:trPr>
        <w:tc>
          <w:tcPr>
            <w:tcW w:w="1659" w:type="dxa"/>
            <w:shd w:val="clear" w:color="auto" w:fill="auto"/>
            <w:noWrap/>
            <w:vAlign w:val="bottom"/>
            <w:hideMark/>
          </w:tcPr>
          <w:p w14:paraId="7DAFC78D" w14:textId="77777777" w:rsidR="00FD13B1" w:rsidRPr="00C57AD2" w:rsidRDefault="00FD13B1" w:rsidP="00F528FF">
            <w:pPr>
              <w:rPr>
                <w:rFonts w:eastAsia="SimSun"/>
                <w:color w:val="000000"/>
                <w:sz w:val="22"/>
                <w:szCs w:val="22"/>
              </w:rPr>
            </w:pPr>
            <w:r w:rsidRPr="00C57AD2">
              <w:rPr>
                <w:rFonts w:eastAsia="SimSun"/>
                <w:color w:val="000000"/>
                <w:sz w:val="22"/>
                <w:szCs w:val="22"/>
              </w:rPr>
              <w:t>33RR19971020</w:t>
            </w:r>
          </w:p>
        </w:tc>
        <w:tc>
          <w:tcPr>
            <w:tcW w:w="986" w:type="dxa"/>
            <w:tcBorders>
              <w:right w:val="single" w:sz="4" w:space="0" w:color="auto"/>
            </w:tcBorders>
            <w:shd w:val="clear" w:color="auto" w:fill="auto"/>
            <w:noWrap/>
            <w:vAlign w:val="bottom"/>
            <w:hideMark/>
          </w:tcPr>
          <w:p w14:paraId="5B876C33"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54EC3A8" w14:textId="77777777" w:rsidR="00FD13B1" w:rsidRPr="00C57AD2" w:rsidRDefault="00FD13B1" w:rsidP="00F528FF">
            <w:pPr>
              <w:rPr>
                <w:rFonts w:eastAsia="SimSun"/>
                <w:color w:val="000000"/>
                <w:sz w:val="22"/>
                <w:szCs w:val="22"/>
              </w:rPr>
            </w:pPr>
            <w:r w:rsidRPr="00C57AD2">
              <w:rPr>
                <w:rFonts w:eastAsia="SimSun"/>
                <w:color w:val="000000"/>
                <w:sz w:val="22"/>
                <w:szCs w:val="22"/>
              </w:rPr>
              <w:t>49ZS19921203</w:t>
            </w:r>
          </w:p>
        </w:tc>
        <w:tc>
          <w:tcPr>
            <w:tcW w:w="1096" w:type="dxa"/>
            <w:shd w:val="clear" w:color="auto" w:fill="auto"/>
            <w:noWrap/>
            <w:vAlign w:val="bottom"/>
            <w:hideMark/>
          </w:tcPr>
          <w:p w14:paraId="69B4E9C8"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6E4CC164" w14:textId="77777777" w:rsidTr="00F528FF">
        <w:trPr>
          <w:trHeight w:val="288"/>
        </w:trPr>
        <w:tc>
          <w:tcPr>
            <w:tcW w:w="1659" w:type="dxa"/>
            <w:shd w:val="clear" w:color="auto" w:fill="auto"/>
            <w:noWrap/>
            <w:vAlign w:val="bottom"/>
            <w:hideMark/>
          </w:tcPr>
          <w:p w14:paraId="3EC6E852" w14:textId="77777777" w:rsidR="00FD13B1" w:rsidRPr="00C57AD2" w:rsidRDefault="00FD13B1" w:rsidP="00F528FF">
            <w:pPr>
              <w:rPr>
                <w:rFonts w:eastAsia="SimSun"/>
                <w:color w:val="000000"/>
                <w:sz w:val="22"/>
                <w:szCs w:val="22"/>
              </w:rPr>
            </w:pPr>
            <w:r w:rsidRPr="00C57AD2">
              <w:rPr>
                <w:rFonts w:eastAsia="SimSun"/>
                <w:color w:val="000000"/>
                <w:sz w:val="22"/>
                <w:szCs w:val="22"/>
              </w:rPr>
              <w:t>33RR19971202</w:t>
            </w:r>
          </w:p>
        </w:tc>
        <w:tc>
          <w:tcPr>
            <w:tcW w:w="986" w:type="dxa"/>
            <w:tcBorders>
              <w:right w:val="single" w:sz="4" w:space="0" w:color="auto"/>
            </w:tcBorders>
            <w:shd w:val="clear" w:color="auto" w:fill="auto"/>
            <w:noWrap/>
            <w:vAlign w:val="bottom"/>
            <w:hideMark/>
          </w:tcPr>
          <w:p w14:paraId="6FCB6CF9"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6A208ED4" w14:textId="77777777" w:rsidR="00FD13B1" w:rsidRPr="00C57AD2" w:rsidRDefault="00FD13B1" w:rsidP="00F528FF">
            <w:pPr>
              <w:rPr>
                <w:rFonts w:eastAsia="SimSun"/>
                <w:color w:val="000000"/>
                <w:sz w:val="22"/>
                <w:szCs w:val="22"/>
              </w:rPr>
            </w:pPr>
            <w:r w:rsidRPr="00C57AD2">
              <w:rPr>
                <w:rFonts w:eastAsia="SimSun"/>
                <w:color w:val="000000"/>
                <w:sz w:val="22"/>
                <w:szCs w:val="22"/>
              </w:rPr>
              <w:t>61TG20020206</w:t>
            </w:r>
          </w:p>
        </w:tc>
        <w:tc>
          <w:tcPr>
            <w:tcW w:w="1096" w:type="dxa"/>
            <w:shd w:val="clear" w:color="auto" w:fill="auto"/>
            <w:noWrap/>
            <w:vAlign w:val="bottom"/>
            <w:hideMark/>
          </w:tcPr>
          <w:p w14:paraId="7E145D50"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10D873FC" w14:textId="77777777" w:rsidTr="00F528FF">
        <w:trPr>
          <w:trHeight w:val="288"/>
        </w:trPr>
        <w:tc>
          <w:tcPr>
            <w:tcW w:w="1659" w:type="dxa"/>
            <w:shd w:val="clear" w:color="auto" w:fill="auto"/>
            <w:noWrap/>
            <w:vAlign w:val="bottom"/>
            <w:hideMark/>
          </w:tcPr>
          <w:p w14:paraId="11A418EF" w14:textId="77777777" w:rsidR="00FD13B1" w:rsidRPr="00C57AD2" w:rsidRDefault="00FD13B1" w:rsidP="00F528FF">
            <w:pPr>
              <w:rPr>
                <w:rFonts w:eastAsia="SimSun"/>
                <w:color w:val="000000"/>
                <w:sz w:val="22"/>
                <w:szCs w:val="22"/>
              </w:rPr>
            </w:pPr>
            <w:r w:rsidRPr="00C57AD2">
              <w:rPr>
                <w:rFonts w:eastAsia="SimSun"/>
                <w:color w:val="000000"/>
                <w:sz w:val="22"/>
                <w:szCs w:val="22"/>
              </w:rPr>
              <w:t>33RR20050109</w:t>
            </w:r>
          </w:p>
        </w:tc>
        <w:tc>
          <w:tcPr>
            <w:tcW w:w="986" w:type="dxa"/>
            <w:tcBorders>
              <w:right w:val="single" w:sz="4" w:space="0" w:color="auto"/>
            </w:tcBorders>
            <w:shd w:val="clear" w:color="auto" w:fill="auto"/>
            <w:noWrap/>
            <w:vAlign w:val="bottom"/>
            <w:hideMark/>
          </w:tcPr>
          <w:p w14:paraId="5F5D4930"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18CD9167" w14:textId="77777777" w:rsidR="00FD13B1" w:rsidRPr="00C57AD2" w:rsidRDefault="00FD13B1" w:rsidP="00F528FF">
            <w:pPr>
              <w:rPr>
                <w:rFonts w:eastAsia="SimSun"/>
                <w:color w:val="000000"/>
                <w:sz w:val="22"/>
                <w:szCs w:val="22"/>
              </w:rPr>
            </w:pPr>
            <w:r w:rsidRPr="00C57AD2">
              <w:rPr>
                <w:rFonts w:eastAsia="SimSun"/>
                <w:color w:val="000000"/>
                <w:sz w:val="22"/>
                <w:szCs w:val="22"/>
              </w:rPr>
              <w:t>61TG20030217</w:t>
            </w:r>
          </w:p>
        </w:tc>
        <w:tc>
          <w:tcPr>
            <w:tcW w:w="1096" w:type="dxa"/>
            <w:shd w:val="clear" w:color="auto" w:fill="auto"/>
            <w:noWrap/>
            <w:vAlign w:val="bottom"/>
            <w:hideMark/>
          </w:tcPr>
          <w:p w14:paraId="214FE387"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3ABE0E14" w14:textId="77777777" w:rsidTr="00F528FF">
        <w:trPr>
          <w:trHeight w:val="288"/>
        </w:trPr>
        <w:tc>
          <w:tcPr>
            <w:tcW w:w="1659" w:type="dxa"/>
            <w:shd w:val="clear" w:color="auto" w:fill="auto"/>
            <w:noWrap/>
            <w:vAlign w:val="bottom"/>
            <w:hideMark/>
          </w:tcPr>
          <w:p w14:paraId="5AE63807" w14:textId="77777777" w:rsidR="00FD13B1" w:rsidRPr="00C57AD2" w:rsidRDefault="00FD13B1" w:rsidP="00F528FF">
            <w:pPr>
              <w:rPr>
                <w:rFonts w:eastAsia="SimSun"/>
                <w:color w:val="000000"/>
                <w:sz w:val="22"/>
                <w:szCs w:val="22"/>
              </w:rPr>
            </w:pPr>
            <w:r w:rsidRPr="00C57AD2">
              <w:rPr>
                <w:rFonts w:eastAsia="SimSun"/>
                <w:color w:val="000000"/>
                <w:sz w:val="22"/>
                <w:szCs w:val="22"/>
              </w:rPr>
              <w:t>49HG19950414</w:t>
            </w:r>
          </w:p>
        </w:tc>
        <w:tc>
          <w:tcPr>
            <w:tcW w:w="986" w:type="dxa"/>
            <w:tcBorders>
              <w:right w:val="single" w:sz="4" w:space="0" w:color="auto"/>
            </w:tcBorders>
            <w:shd w:val="clear" w:color="auto" w:fill="auto"/>
            <w:noWrap/>
            <w:vAlign w:val="bottom"/>
            <w:hideMark/>
          </w:tcPr>
          <w:p w14:paraId="4D004832"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1EDE9656" w14:textId="77777777" w:rsidR="00FD13B1" w:rsidRPr="00C57AD2" w:rsidRDefault="00FD13B1" w:rsidP="00F528FF">
            <w:pPr>
              <w:rPr>
                <w:rFonts w:eastAsia="SimSun"/>
                <w:color w:val="000000"/>
                <w:sz w:val="22"/>
                <w:szCs w:val="22"/>
              </w:rPr>
            </w:pPr>
            <w:r w:rsidRPr="00C57AD2">
              <w:rPr>
                <w:rFonts w:eastAsia="SimSun"/>
                <w:color w:val="000000"/>
                <w:sz w:val="22"/>
                <w:szCs w:val="22"/>
              </w:rPr>
              <w:t>74AB20020301</w:t>
            </w:r>
          </w:p>
        </w:tc>
        <w:tc>
          <w:tcPr>
            <w:tcW w:w="1096" w:type="dxa"/>
            <w:shd w:val="clear" w:color="auto" w:fill="auto"/>
            <w:noWrap/>
            <w:vAlign w:val="bottom"/>
            <w:hideMark/>
          </w:tcPr>
          <w:p w14:paraId="5C3A117F"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15704793" w14:textId="77777777" w:rsidTr="00F528FF">
        <w:trPr>
          <w:trHeight w:val="288"/>
        </w:trPr>
        <w:tc>
          <w:tcPr>
            <w:tcW w:w="1659" w:type="dxa"/>
            <w:shd w:val="clear" w:color="auto" w:fill="auto"/>
            <w:noWrap/>
            <w:vAlign w:val="bottom"/>
            <w:hideMark/>
          </w:tcPr>
          <w:p w14:paraId="282EE00C" w14:textId="77777777" w:rsidR="00FD13B1" w:rsidRPr="00C57AD2" w:rsidRDefault="00FD13B1" w:rsidP="00F528FF">
            <w:pPr>
              <w:rPr>
                <w:rFonts w:eastAsia="SimSun"/>
                <w:color w:val="000000"/>
                <w:sz w:val="22"/>
                <w:szCs w:val="22"/>
              </w:rPr>
            </w:pPr>
            <w:r w:rsidRPr="00C57AD2">
              <w:rPr>
                <w:rFonts w:eastAsia="SimSun"/>
                <w:color w:val="000000"/>
                <w:sz w:val="22"/>
                <w:szCs w:val="22"/>
              </w:rPr>
              <w:t>49HG19960412</w:t>
            </w:r>
          </w:p>
        </w:tc>
        <w:tc>
          <w:tcPr>
            <w:tcW w:w="986" w:type="dxa"/>
            <w:tcBorders>
              <w:right w:val="single" w:sz="4" w:space="0" w:color="auto"/>
            </w:tcBorders>
            <w:shd w:val="clear" w:color="auto" w:fill="auto"/>
            <w:noWrap/>
            <w:vAlign w:val="bottom"/>
            <w:hideMark/>
          </w:tcPr>
          <w:p w14:paraId="2955EA7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6011140C" w14:textId="77777777" w:rsidR="00FD13B1" w:rsidRPr="00C57AD2" w:rsidRDefault="00FD13B1" w:rsidP="00F528FF">
            <w:pPr>
              <w:rPr>
                <w:rFonts w:eastAsia="SimSun"/>
                <w:color w:val="000000"/>
                <w:sz w:val="22"/>
                <w:szCs w:val="22"/>
              </w:rPr>
            </w:pPr>
            <w:r w:rsidRPr="00C57AD2">
              <w:rPr>
                <w:rFonts w:eastAsia="SimSun"/>
                <w:color w:val="000000"/>
                <w:sz w:val="22"/>
                <w:szCs w:val="22"/>
              </w:rPr>
              <w:t>74DI19940219</w:t>
            </w:r>
          </w:p>
        </w:tc>
        <w:tc>
          <w:tcPr>
            <w:tcW w:w="1096" w:type="dxa"/>
            <w:shd w:val="clear" w:color="auto" w:fill="auto"/>
            <w:noWrap/>
            <w:vAlign w:val="bottom"/>
            <w:hideMark/>
          </w:tcPr>
          <w:p w14:paraId="0A3B0660"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20D6914E" w14:textId="77777777" w:rsidTr="00F528FF">
        <w:trPr>
          <w:trHeight w:val="288"/>
        </w:trPr>
        <w:tc>
          <w:tcPr>
            <w:tcW w:w="1659" w:type="dxa"/>
            <w:shd w:val="clear" w:color="auto" w:fill="auto"/>
            <w:noWrap/>
            <w:vAlign w:val="bottom"/>
            <w:hideMark/>
          </w:tcPr>
          <w:p w14:paraId="0F769CCF" w14:textId="77777777" w:rsidR="00FD13B1" w:rsidRPr="00C57AD2" w:rsidRDefault="00FD13B1" w:rsidP="00F528FF">
            <w:pPr>
              <w:rPr>
                <w:rFonts w:eastAsia="SimSun"/>
                <w:color w:val="000000"/>
                <w:sz w:val="22"/>
                <w:szCs w:val="22"/>
              </w:rPr>
            </w:pPr>
            <w:r w:rsidRPr="00C57AD2">
              <w:rPr>
                <w:rFonts w:eastAsia="SimSun"/>
                <w:color w:val="000000"/>
                <w:sz w:val="22"/>
                <w:szCs w:val="22"/>
              </w:rPr>
              <w:t>49HH20011127</w:t>
            </w:r>
          </w:p>
        </w:tc>
        <w:tc>
          <w:tcPr>
            <w:tcW w:w="986" w:type="dxa"/>
            <w:tcBorders>
              <w:right w:val="single" w:sz="4" w:space="0" w:color="auto"/>
            </w:tcBorders>
            <w:shd w:val="clear" w:color="auto" w:fill="auto"/>
            <w:noWrap/>
            <w:vAlign w:val="bottom"/>
            <w:hideMark/>
          </w:tcPr>
          <w:p w14:paraId="546A72D6"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12C45A14" w14:textId="77777777" w:rsidR="00FD13B1" w:rsidRPr="00C57AD2" w:rsidRDefault="00FD13B1" w:rsidP="00F528FF">
            <w:pPr>
              <w:rPr>
                <w:rFonts w:eastAsia="SimSun"/>
                <w:color w:val="000000"/>
                <w:sz w:val="22"/>
                <w:szCs w:val="22"/>
              </w:rPr>
            </w:pPr>
            <w:r w:rsidRPr="00C57AD2">
              <w:rPr>
                <w:rFonts w:eastAsia="SimSun"/>
                <w:color w:val="000000"/>
                <w:sz w:val="22"/>
                <w:szCs w:val="22"/>
              </w:rPr>
              <w:t>74DI19950106</w:t>
            </w:r>
          </w:p>
        </w:tc>
        <w:tc>
          <w:tcPr>
            <w:tcW w:w="1096" w:type="dxa"/>
            <w:shd w:val="clear" w:color="auto" w:fill="auto"/>
            <w:noWrap/>
            <w:vAlign w:val="bottom"/>
            <w:hideMark/>
          </w:tcPr>
          <w:p w14:paraId="11C07F0B"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39A674C2" w14:textId="77777777" w:rsidTr="00F528FF">
        <w:trPr>
          <w:trHeight w:val="288"/>
        </w:trPr>
        <w:tc>
          <w:tcPr>
            <w:tcW w:w="1659" w:type="dxa"/>
            <w:shd w:val="clear" w:color="auto" w:fill="auto"/>
            <w:noWrap/>
            <w:vAlign w:val="bottom"/>
            <w:hideMark/>
          </w:tcPr>
          <w:p w14:paraId="62911BAD" w14:textId="77777777" w:rsidR="00FD13B1" w:rsidRPr="00C57AD2" w:rsidRDefault="00FD13B1" w:rsidP="00F528FF">
            <w:pPr>
              <w:rPr>
                <w:rFonts w:eastAsia="SimSun"/>
                <w:color w:val="000000"/>
                <w:sz w:val="22"/>
                <w:szCs w:val="22"/>
              </w:rPr>
            </w:pPr>
            <w:r w:rsidRPr="00C57AD2">
              <w:rPr>
                <w:rFonts w:eastAsia="SimSun"/>
                <w:color w:val="000000"/>
                <w:sz w:val="22"/>
                <w:szCs w:val="22"/>
              </w:rPr>
              <w:t>49NZ20030803</w:t>
            </w:r>
          </w:p>
        </w:tc>
        <w:tc>
          <w:tcPr>
            <w:tcW w:w="986" w:type="dxa"/>
            <w:tcBorders>
              <w:right w:val="single" w:sz="4" w:space="0" w:color="auto"/>
            </w:tcBorders>
            <w:shd w:val="clear" w:color="auto" w:fill="auto"/>
            <w:noWrap/>
            <w:vAlign w:val="bottom"/>
            <w:hideMark/>
          </w:tcPr>
          <w:p w14:paraId="73DF9A7B"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64364A55" w14:textId="77777777" w:rsidR="00FD13B1" w:rsidRPr="00C57AD2" w:rsidRDefault="00FD13B1" w:rsidP="00F528FF">
            <w:pPr>
              <w:rPr>
                <w:rFonts w:eastAsia="SimSun"/>
                <w:color w:val="000000"/>
                <w:sz w:val="22"/>
                <w:szCs w:val="22"/>
              </w:rPr>
            </w:pPr>
            <w:r w:rsidRPr="00C57AD2">
              <w:rPr>
                <w:rFonts w:eastAsia="SimSun"/>
                <w:color w:val="000000"/>
                <w:sz w:val="22"/>
                <w:szCs w:val="22"/>
              </w:rPr>
              <w:t>74DI20041103</w:t>
            </w:r>
          </w:p>
        </w:tc>
        <w:tc>
          <w:tcPr>
            <w:tcW w:w="1096" w:type="dxa"/>
            <w:shd w:val="clear" w:color="auto" w:fill="auto"/>
            <w:noWrap/>
            <w:vAlign w:val="bottom"/>
            <w:hideMark/>
          </w:tcPr>
          <w:p w14:paraId="11CE7D37"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5B875BA1" w14:textId="77777777" w:rsidTr="00F528FF">
        <w:trPr>
          <w:trHeight w:val="288"/>
        </w:trPr>
        <w:tc>
          <w:tcPr>
            <w:tcW w:w="1659" w:type="dxa"/>
            <w:shd w:val="clear" w:color="auto" w:fill="auto"/>
            <w:noWrap/>
            <w:vAlign w:val="bottom"/>
            <w:hideMark/>
          </w:tcPr>
          <w:p w14:paraId="41D9FEC8" w14:textId="77777777" w:rsidR="00FD13B1" w:rsidRPr="00C57AD2" w:rsidRDefault="00FD13B1" w:rsidP="00F528FF">
            <w:pPr>
              <w:rPr>
                <w:rFonts w:eastAsia="SimSun"/>
                <w:color w:val="000000"/>
                <w:sz w:val="22"/>
                <w:szCs w:val="22"/>
              </w:rPr>
            </w:pPr>
            <w:r w:rsidRPr="00C57AD2">
              <w:rPr>
                <w:rFonts w:eastAsia="SimSun"/>
                <w:color w:val="000000"/>
                <w:sz w:val="22"/>
                <w:szCs w:val="22"/>
              </w:rPr>
              <w:t>49NZ20071122</w:t>
            </w:r>
          </w:p>
        </w:tc>
        <w:tc>
          <w:tcPr>
            <w:tcW w:w="986" w:type="dxa"/>
            <w:tcBorders>
              <w:right w:val="single" w:sz="4" w:space="0" w:color="auto"/>
            </w:tcBorders>
            <w:shd w:val="clear" w:color="auto" w:fill="auto"/>
            <w:noWrap/>
            <w:vAlign w:val="bottom"/>
            <w:hideMark/>
          </w:tcPr>
          <w:p w14:paraId="6310235C"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D295F0E" w14:textId="77777777" w:rsidR="00FD13B1" w:rsidRPr="00C57AD2" w:rsidRDefault="00FD13B1" w:rsidP="00F528FF">
            <w:pPr>
              <w:rPr>
                <w:rFonts w:eastAsia="SimSun"/>
                <w:color w:val="000000"/>
                <w:sz w:val="22"/>
                <w:szCs w:val="22"/>
              </w:rPr>
            </w:pPr>
            <w:r w:rsidRPr="00C57AD2">
              <w:rPr>
                <w:rFonts w:eastAsia="SimSun"/>
                <w:color w:val="000000"/>
                <w:sz w:val="22"/>
                <w:szCs w:val="22"/>
              </w:rPr>
              <w:t>74DI20041213</w:t>
            </w:r>
          </w:p>
        </w:tc>
        <w:tc>
          <w:tcPr>
            <w:tcW w:w="1096" w:type="dxa"/>
            <w:shd w:val="clear" w:color="auto" w:fill="auto"/>
            <w:noWrap/>
            <w:vAlign w:val="bottom"/>
            <w:hideMark/>
          </w:tcPr>
          <w:p w14:paraId="373085BC"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r>
      <w:tr w:rsidR="00FD13B1" w:rsidRPr="00C57AD2" w14:paraId="00AD6CB0" w14:textId="77777777" w:rsidTr="00F528FF">
        <w:trPr>
          <w:trHeight w:val="288"/>
        </w:trPr>
        <w:tc>
          <w:tcPr>
            <w:tcW w:w="1659" w:type="dxa"/>
            <w:shd w:val="clear" w:color="auto" w:fill="auto"/>
            <w:noWrap/>
            <w:vAlign w:val="bottom"/>
            <w:hideMark/>
          </w:tcPr>
          <w:p w14:paraId="72D323A0" w14:textId="77777777" w:rsidR="00FD13B1" w:rsidRPr="00C57AD2" w:rsidRDefault="00FD13B1" w:rsidP="00F528FF">
            <w:pPr>
              <w:rPr>
                <w:rFonts w:eastAsia="SimSun"/>
                <w:color w:val="000000"/>
                <w:sz w:val="22"/>
                <w:szCs w:val="22"/>
              </w:rPr>
            </w:pPr>
            <w:r w:rsidRPr="00C57AD2">
              <w:rPr>
                <w:rFonts w:eastAsia="SimSun"/>
                <w:color w:val="000000"/>
                <w:sz w:val="22"/>
                <w:szCs w:val="22"/>
              </w:rPr>
              <w:t>740H20090203</w:t>
            </w:r>
          </w:p>
        </w:tc>
        <w:tc>
          <w:tcPr>
            <w:tcW w:w="986" w:type="dxa"/>
            <w:tcBorders>
              <w:right w:val="single" w:sz="4" w:space="0" w:color="auto"/>
            </w:tcBorders>
            <w:shd w:val="clear" w:color="auto" w:fill="auto"/>
            <w:noWrap/>
            <w:vAlign w:val="bottom"/>
            <w:hideMark/>
          </w:tcPr>
          <w:p w14:paraId="290A9FCC"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17A11387" w14:textId="77777777" w:rsidR="00FD13B1" w:rsidRPr="00C57AD2" w:rsidRDefault="00FD13B1" w:rsidP="00F528FF">
            <w:pPr>
              <w:rPr>
                <w:rFonts w:eastAsia="SimSun"/>
                <w:color w:val="000000"/>
                <w:sz w:val="22"/>
                <w:szCs w:val="22"/>
              </w:rPr>
            </w:pPr>
            <w:r w:rsidRPr="00C57AD2">
              <w:rPr>
                <w:rFonts w:eastAsia="SimSun"/>
                <w:color w:val="000000"/>
                <w:sz w:val="22"/>
                <w:szCs w:val="22"/>
              </w:rPr>
              <w:t>06AQ19901117</w:t>
            </w:r>
          </w:p>
        </w:tc>
        <w:tc>
          <w:tcPr>
            <w:tcW w:w="1096" w:type="dxa"/>
            <w:shd w:val="clear" w:color="auto" w:fill="auto"/>
            <w:noWrap/>
            <w:vAlign w:val="bottom"/>
            <w:hideMark/>
          </w:tcPr>
          <w:p w14:paraId="1976E149"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AF3D8C4" w14:textId="77777777" w:rsidTr="00F528FF">
        <w:trPr>
          <w:trHeight w:val="288"/>
        </w:trPr>
        <w:tc>
          <w:tcPr>
            <w:tcW w:w="1659" w:type="dxa"/>
            <w:shd w:val="clear" w:color="auto" w:fill="auto"/>
            <w:noWrap/>
            <w:vAlign w:val="bottom"/>
            <w:hideMark/>
          </w:tcPr>
          <w:p w14:paraId="182F5423" w14:textId="77777777" w:rsidR="00FD13B1" w:rsidRPr="00C57AD2" w:rsidRDefault="00FD13B1" w:rsidP="00F528FF">
            <w:pPr>
              <w:rPr>
                <w:rFonts w:eastAsia="SimSun"/>
                <w:color w:val="000000"/>
                <w:sz w:val="22"/>
                <w:szCs w:val="22"/>
              </w:rPr>
            </w:pPr>
            <w:r w:rsidRPr="00C57AD2">
              <w:rPr>
                <w:rFonts w:eastAsia="SimSun"/>
                <w:color w:val="000000"/>
                <w:sz w:val="22"/>
                <w:szCs w:val="22"/>
              </w:rPr>
              <w:t>90KD19920214</w:t>
            </w:r>
          </w:p>
        </w:tc>
        <w:tc>
          <w:tcPr>
            <w:tcW w:w="986" w:type="dxa"/>
            <w:tcBorders>
              <w:right w:val="single" w:sz="4" w:space="0" w:color="auto"/>
            </w:tcBorders>
            <w:shd w:val="clear" w:color="auto" w:fill="auto"/>
            <w:noWrap/>
            <w:vAlign w:val="bottom"/>
            <w:hideMark/>
          </w:tcPr>
          <w:p w14:paraId="6ABB7F08"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360543B7" w14:textId="77777777" w:rsidR="00FD13B1" w:rsidRPr="00C57AD2" w:rsidRDefault="00FD13B1" w:rsidP="00F528FF">
            <w:pPr>
              <w:rPr>
                <w:rFonts w:eastAsia="SimSun"/>
                <w:color w:val="000000"/>
                <w:sz w:val="22"/>
                <w:szCs w:val="22"/>
              </w:rPr>
            </w:pPr>
            <w:r w:rsidRPr="00C57AD2">
              <w:rPr>
                <w:rFonts w:eastAsia="SimSun"/>
                <w:color w:val="000000"/>
                <w:sz w:val="22"/>
                <w:szCs w:val="22"/>
              </w:rPr>
              <w:t>06AQ19920521</w:t>
            </w:r>
          </w:p>
        </w:tc>
        <w:tc>
          <w:tcPr>
            <w:tcW w:w="1096" w:type="dxa"/>
            <w:shd w:val="clear" w:color="auto" w:fill="auto"/>
            <w:noWrap/>
            <w:vAlign w:val="bottom"/>
            <w:hideMark/>
          </w:tcPr>
          <w:p w14:paraId="0303918F"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73645B40" w14:textId="77777777" w:rsidTr="00F528FF">
        <w:trPr>
          <w:trHeight w:val="288"/>
        </w:trPr>
        <w:tc>
          <w:tcPr>
            <w:tcW w:w="1659" w:type="dxa"/>
            <w:shd w:val="clear" w:color="auto" w:fill="auto"/>
            <w:noWrap/>
            <w:vAlign w:val="bottom"/>
            <w:hideMark/>
          </w:tcPr>
          <w:p w14:paraId="37CFAB6D" w14:textId="77777777" w:rsidR="00FD13B1" w:rsidRPr="00C57AD2" w:rsidRDefault="00FD13B1" w:rsidP="00F528FF">
            <w:pPr>
              <w:rPr>
                <w:rFonts w:eastAsia="SimSun"/>
                <w:color w:val="000000"/>
                <w:sz w:val="22"/>
                <w:szCs w:val="22"/>
              </w:rPr>
            </w:pPr>
            <w:r w:rsidRPr="00C57AD2">
              <w:rPr>
                <w:rFonts w:eastAsia="SimSun"/>
                <w:color w:val="000000"/>
                <w:sz w:val="22"/>
                <w:szCs w:val="22"/>
              </w:rPr>
              <w:t>32o619960906</w:t>
            </w:r>
          </w:p>
        </w:tc>
        <w:tc>
          <w:tcPr>
            <w:tcW w:w="986" w:type="dxa"/>
            <w:tcBorders>
              <w:right w:val="single" w:sz="4" w:space="0" w:color="auto"/>
            </w:tcBorders>
            <w:shd w:val="clear" w:color="auto" w:fill="auto"/>
            <w:noWrap/>
            <w:vAlign w:val="bottom"/>
            <w:hideMark/>
          </w:tcPr>
          <w:p w14:paraId="34F0455F"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00A22003" w14:textId="77777777" w:rsidR="00FD13B1" w:rsidRPr="00C57AD2" w:rsidRDefault="00FD13B1" w:rsidP="00F528FF">
            <w:pPr>
              <w:rPr>
                <w:rFonts w:eastAsia="SimSun"/>
                <w:color w:val="000000"/>
                <w:sz w:val="22"/>
                <w:szCs w:val="22"/>
              </w:rPr>
            </w:pPr>
            <w:r w:rsidRPr="00C57AD2">
              <w:rPr>
                <w:rFonts w:eastAsia="SimSun"/>
                <w:color w:val="000000"/>
                <w:sz w:val="22"/>
                <w:szCs w:val="22"/>
              </w:rPr>
              <w:t>06AQ19920929</w:t>
            </w:r>
          </w:p>
        </w:tc>
        <w:tc>
          <w:tcPr>
            <w:tcW w:w="1096" w:type="dxa"/>
            <w:shd w:val="clear" w:color="auto" w:fill="auto"/>
            <w:noWrap/>
            <w:vAlign w:val="bottom"/>
            <w:hideMark/>
          </w:tcPr>
          <w:p w14:paraId="66B2C60A"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4156CE0" w14:textId="77777777" w:rsidTr="00F528FF">
        <w:trPr>
          <w:trHeight w:val="288"/>
        </w:trPr>
        <w:tc>
          <w:tcPr>
            <w:tcW w:w="1659" w:type="dxa"/>
            <w:shd w:val="clear" w:color="auto" w:fill="auto"/>
            <w:noWrap/>
            <w:vAlign w:val="bottom"/>
            <w:hideMark/>
          </w:tcPr>
          <w:p w14:paraId="6C0DA7F3" w14:textId="77777777" w:rsidR="00FD13B1" w:rsidRPr="00C57AD2" w:rsidRDefault="00FD13B1" w:rsidP="00F528FF">
            <w:pPr>
              <w:rPr>
                <w:rFonts w:eastAsia="SimSun"/>
                <w:color w:val="000000"/>
                <w:sz w:val="22"/>
                <w:szCs w:val="22"/>
              </w:rPr>
            </w:pPr>
            <w:r w:rsidRPr="00C57AD2">
              <w:rPr>
                <w:rFonts w:eastAsia="SimSun"/>
                <w:color w:val="000000"/>
                <w:sz w:val="22"/>
                <w:szCs w:val="22"/>
              </w:rPr>
              <w:t>32o619970125</w:t>
            </w:r>
          </w:p>
        </w:tc>
        <w:tc>
          <w:tcPr>
            <w:tcW w:w="986" w:type="dxa"/>
            <w:tcBorders>
              <w:right w:val="single" w:sz="4" w:space="0" w:color="auto"/>
            </w:tcBorders>
            <w:shd w:val="clear" w:color="auto" w:fill="auto"/>
            <w:noWrap/>
            <w:vAlign w:val="bottom"/>
            <w:hideMark/>
          </w:tcPr>
          <w:p w14:paraId="62F0FF4D"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527F07B6" w14:textId="77777777" w:rsidR="00FD13B1" w:rsidRPr="00C57AD2" w:rsidRDefault="00FD13B1" w:rsidP="00F528FF">
            <w:pPr>
              <w:rPr>
                <w:rFonts w:eastAsia="SimSun"/>
                <w:color w:val="000000"/>
                <w:sz w:val="22"/>
                <w:szCs w:val="22"/>
              </w:rPr>
            </w:pPr>
            <w:r w:rsidRPr="00C57AD2">
              <w:rPr>
                <w:rFonts w:eastAsia="SimSun"/>
                <w:color w:val="000000"/>
                <w:sz w:val="22"/>
                <w:szCs w:val="22"/>
              </w:rPr>
              <w:t>06AQ19921203</w:t>
            </w:r>
          </w:p>
        </w:tc>
        <w:tc>
          <w:tcPr>
            <w:tcW w:w="1096" w:type="dxa"/>
            <w:shd w:val="clear" w:color="auto" w:fill="auto"/>
            <w:noWrap/>
            <w:vAlign w:val="bottom"/>
            <w:hideMark/>
          </w:tcPr>
          <w:p w14:paraId="6E57A9AE"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14D2DEEB" w14:textId="77777777" w:rsidTr="00F528FF">
        <w:trPr>
          <w:trHeight w:val="288"/>
        </w:trPr>
        <w:tc>
          <w:tcPr>
            <w:tcW w:w="1659" w:type="dxa"/>
            <w:shd w:val="clear" w:color="auto" w:fill="auto"/>
            <w:noWrap/>
            <w:vAlign w:val="bottom"/>
            <w:hideMark/>
          </w:tcPr>
          <w:p w14:paraId="34FEA02C" w14:textId="77777777" w:rsidR="00FD13B1" w:rsidRPr="00C57AD2" w:rsidRDefault="00FD13B1" w:rsidP="00F528FF">
            <w:pPr>
              <w:rPr>
                <w:rFonts w:eastAsia="SimSun"/>
                <w:color w:val="000000"/>
                <w:sz w:val="22"/>
                <w:szCs w:val="22"/>
              </w:rPr>
            </w:pPr>
            <w:r w:rsidRPr="00C57AD2">
              <w:rPr>
                <w:rFonts w:eastAsia="SimSun"/>
                <w:color w:val="000000"/>
                <w:sz w:val="22"/>
                <w:szCs w:val="22"/>
              </w:rPr>
              <w:t>32o620070205</w:t>
            </w:r>
          </w:p>
        </w:tc>
        <w:tc>
          <w:tcPr>
            <w:tcW w:w="986" w:type="dxa"/>
            <w:tcBorders>
              <w:right w:val="single" w:sz="4" w:space="0" w:color="auto"/>
            </w:tcBorders>
            <w:shd w:val="clear" w:color="auto" w:fill="auto"/>
            <w:noWrap/>
            <w:vAlign w:val="bottom"/>
            <w:hideMark/>
          </w:tcPr>
          <w:p w14:paraId="275386D0"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4A679056" w14:textId="77777777" w:rsidR="00FD13B1" w:rsidRPr="00C57AD2" w:rsidRDefault="00FD13B1" w:rsidP="00F528FF">
            <w:pPr>
              <w:rPr>
                <w:rFonts w:eastAsia="SimSun"/>
                <w:color w:val="000000"/>
                <w:sz w:val="22"/>
                <w:szCs w:val="22"/>
              </w:rPr>
            </w:pPr>
            <w:r w:rsidRPr="00C57AD2">
              <w:rPr>
                <w:rFonts w:eastAsia="SimSun"/>
                <w:color w:val="000000"/>
                <w:sz w:val="22"/>
                <w:szCs w:val="22"/>
              </w:rPr>
              <w:t>06AQ19960317</w:t>
            </w:r>
          </w:p>
        </w:tc>
        <w:tc>
          <w:tcPr>
            <w:tcW w:w="1096" w:type="dxa"/>
            <w:shd w:val="clear" w:color="auto" w:fill="auto"/>
            <w:noWrap/>
            <w:vAlign w:val="bottom"/>
            <w:hideMark/>
          </w:tcPr>
          <w:p w14:paraId="0219049E"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FB78FE0" w14:textId="77777777" w:rsidTr="00F528FF">
        <w:trPr>
          <w:trHeight w:val="288"/>
        </w:trPr>
        <w:tc>
          <w:tcPr>
            <w:tcW w:w="1659" w:type="dxa"/>
            <w:shd w:val="clear" w:color="auto" w:fill="auto"/>
            <w:noWrap/>
            <w:vAlign w:val="bottom"/>
            <w:hideMark/>
          </w:tcPr>
          <w:p w14:paraId="78BE95B7" w14:textId="77777777" w:rsidR="00FD13B1" w:rsidRPr="00C57AD2" w:rsidRDefault="00FD13B1" w:rsidP="00F528FF">
            <w:pPr>
              <w:rPr>
                <w:rFonts w:eastAsia="SimSun"/>
                <w:color w:val="000000"/>
                <w:sz w:val="22"/>
                <w:szCs w:val="22"/>
              </w:rPr>
            </w:pPr>
            <w:r w:rsidRPr="00C57AD2">
              <w:rPr>
                <w:rFonts w:eastAsia="SimSun"/>
                <w:color w:val="000000"/>
                <w:sz w:val="22"/>
                <w:szCs w:val="22"/>
              </w:rPr>
              <w:t>32o620110223</w:t>
            </w:r>
          </w:p>
        </w:tc>
        <w:tc>
          <w:tcPr>
            <w:tcW w:w="986" w:type="dxa"/>
            <w:tcBorders>
              <w:right w:val="single" w:sz="4" w:space="0" w:color="auto"/>
            </w:tcBorders>
            <w:shd w:val="clear" w:color="auto" w:fill="auto"/>
            <w:noWrap/>
            <w:vAlign w:val="bottom"/>
            <w:hideMark/>
          </w:tcPr>
          <w:p w14:paraId="4282951A"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269ED798" w14:textId="77777777" w:rsidR="00FD13B1" w:rsidRPr="00C57AD2" w:rsidRDefault="00FD13B1" w:rsidP="00F528FF">
            <w:pPr>
              <w:rPr>
                <w:rFonts w:eastAsia="SimSun"/>
                <w:color w:val="000000"/>
                <w:sz w:val="22"/>
                <w:szCs w:val="22"/>
              </w:rPr>
            </w:pPr>
            <w:r w:rsidRPr="00C57AD2">
              <w:rPr>
                <w:rFonts w:eastAsia="SimSun"/>
                <w:color w:val="000000"/>
                <w:sz w:val="22"/>
                <w:szCs w:val="22"/>
              </w:rPr>
              <w:t>06AQ19980328</w:t>
            </w:r>
          </w:p>
        </w:tc>
        <w:tc>
          <w:tcPr>
            <w:tcW w:w="1096" w:type="dxa"/>
            <w:shd w:val="clear" w:color="auto" w:fill="auto"/>
            <w:noWrap/>
            <w:vAlign w:val="bottom"/>
            <w:hideMark/>
          </w:tcPr>
          <w:p w14:paraId="36C1B132"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60A09FE0" w14:textId="77777777" w:rsidTr="00F528FF">
        <w:trPr>
          <w:trHeight w:val="288"/>
        </w:trPr>
        <w:tc>
          <w:tcPr>
            <w:tcW w:w="1659" w:type="dxa"/>
            <w:shd w:val="clear" w:color="auto" w:fill="auto"/>
            <w:noWrap/>
            <w:vAlign w:val="bottom"/>
            <w:hideMark/>
          </w:tcPr>
          <w:p w14:paraId="00174D82" w14:textId="77777777" w:rsidR="00FD13B1" w:rsidRPr="00C57AD2" w:rsidRDefault="00FD13B1" w:rsidP="00F528FF">
            <w:pPr>
              <w:rPr>
                <w:rFonts w:eastAsia="SimSun"/>
                <w:color w:val="000000"/>
                <w:sz w:val="22"/>
                <w:szCs w:val="22"/>
              </w:rPr>
            </w:pPr>
            <w:r w:rsidRPr="00C57AD2">
              <w:rPr>
                <w:rFonts w:eastAsia="SimSun"/>
                <w:color w:val="000000"/>
                <w:sz w:val="22"/>
                <w:szCs w:val="22"/>
              </w:rPr>
              <w:t>32o620151208</w:t>
            </w:r>
          </w:p>
        </w:tc>
        <w:tc>
          <w:tcPr>
            <w:tcW w:w="986" w:type="dxa"/>
            <w:tcBorders>
              <w:right w:val="single" w:sz="4" w:space="0" w:color="auto"/>
            </w:tcBorders>
            <w:shd w:val="clear" w:color="auto" w:fill="auto"/>
            <w:noWrap/>
            <w:vAlign w:val="bottom"/>
            <w:hideMark/>
          </w:tcPr>
          <w:p w14:paraId="1905327F" w14:textId="77777777" w:rsidR="00FD13B1" w:rsidRPr="00C57AD2" w:rsidRDefault="00FD13B1" w:rsidP="00F528FF">
            <w:pPr>
              <w:rPr>
                <w:rFonts w:eastAsia="SimSun"/>
                <w:color w:val="000000"/>
                <w:sz w:val="22"/>
                <w:szCs w:val="22"/>
              </w:rPr>
            </w:pPr>
            <w:r w:rsidRPr="00C57AD2">
              <w:rPr>
                <w:rFonts w:eastAsia="SimSun"/>
                <w:color w:val="000000"/>
                <w:sz w:val="22"/>
                <w:szCs w:val="22"/>
              </w:rPr>
              <w:t>Pacific</w:t>
            </w:r>
          </w:p>
        </w:tc>
        <w:tc>
          <w:tcPr>
            <w:tcW w:w="1793" w:type="dxa"/>
            <w:tcBorders>
              <w:left w:val="single" w:sz="4" w:space="0" w:color="auto"/>
            </w:tcBorders>
            <w:shd w:val="clear" w:color="auto" w:fill="auto"/>
            <w:noWrap/>
            <w:vAlign w:val="bottom"/>
            <w:hideMark/>
          </w:tcPr>
          <w:p w14:paraId="776EE370" w14:textId="77777777" w:rsidR="00FD13B1" w:rsidRPr="00C57AD2" w:rsidRDefault="00FD13B1" w:rsidP="00F528FF">
            <w:pPr>
              <w:rPr>
                <w:rFonts w:eastAsia="SimSun"/>
                <w:color w:val="000000"/>
                <w:sz w:val="22"/>
                <w:szCs w:val="22"/>
              </w:rPr>
            </w:pPr>
            <w:r w:rsidRPr="00C57AD2">
              <w:rPr>
                <w:rFonts w:eastAsia="SimSun"/>
                <w:color w:val="000000"/>
                <w:sz w:val="22"/>
                <w:szCs w:val="22"/>
              </w:rPr>
              <w:t>06AQ20021124</w:t>
            </w:r>
          </w:p>
        </w:tc>
        <w:tc>
          <w:tcPr>
            <w:tcW w:w="1096" w:type="dxa"/>
            <w:shd w:val="clear" w:color="auto" w:fill="auto"/>
            <w:noWrap/>
            <w:vAlign w:val="bottom"/>
            <w:hideMark/>
          </w:tcPr>
          <w:p w14:paraId="74183B1C"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67A57FE" w14:textId="77777777" w:rsidTr="00F528FF">
        <w:trPr>
          <w:trHeight w:val="288"/>
        </w:trPr>
        <w:tc>
          <w:tcPr>
            <w:tcW w:w="1659" w:type="dxa"/>
            <w:shd w:val="clear" w:color="auto" w:fill="auto"/>
            <w:noWrap/>
            <w:vAlign w:val="bottom"/>
            <w:hideMark/>
          </w:tcPr>
          <w:p w14:paraId="0D223436" w14:textId="77777777" w:rsidR="00FD13B1" w:rsidRPr="00C57AD2" w:rsidRDefault="00FD13B1" w:rsidP="00F528FF">
            <w:pPr>
              <w:rPr>
                <w:rFonts w:eastAsia="SimSun"/>
                <w:color w:val="000000"/>
                <w:sz w:val="22"/>
                <w:szCs w:val="22"/>
              </w:rPr>
            </w:pPr>
            <w:r w:rsidRPr="00C57AD2">
              <w:rPr>
                <w:rFonts w:eastAsia="SimSun"/>
                <w:color w:val="000000"/>
                <w:sz w:val="22"/>
                <w:szCs w:val="22"/>
              </w:rPr>
              <w:t>096U20150321</w:t>
            </w:r>
          </w:p>
        </w:tc>
        <w:tc>
          <w:tcPr>
            <w:tcW w:w="986" w:type="dxa"/>
            <w:tcBorders>
              <w:right w:val="single" w:sz="4" w:space="0" w:color="auto"/>
            </w:tcBorders>
            <w:shd w:val="clear" w:color="auto" w:fill="auto"/>
            <w:noWrap/>
            <w:vAlign w:val="bottom"/>
            <w:hideMark/>
          </w:tcPr>
          <w:p w14:paraId="7439BB4E"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793" w:type="dxa"/>
            <w:tcBorders>
              <w:left w:val="single" w:sz="4" w:space="0" w:color="auto"/>
            </w:tcBorders>
            <w:shd w:val="clear" w:color="auto" w:fill="auto"/>
            <w:noWrap/>
            <w:vAlign w:val="bottom"/>
            <w:hideMark/>
          </w:tcPr>
          <w:p w14:paraId="65D3884F" w14:textId="77777777" w:rsidR="00FD13B1" w:rsidRPr="00C57AD2" w:rsidRDefault="00FD13B1" w:rsidP="00F528FF">
            <w:pPr>
              <w:rPr>
                <w:rFonts w:eastAsia="SimSun"/>
                <w:color w:val="000000"/>
                <w:sz w:val="22"/>
                <w:szCs w:val="22"/>
              </w:rPr>
            </w:pPr>
            <w:r w:rsidRPr="00C57AD2">
              <w:rPr>
                <w:rFonts w:eastAsia="SimSun"/>
                <w:color w:val="000000"/>
                <w:sz w:val="22"/>
                <w:szCs w:val="22"/>
              </w:rPr>
              <w:t>06AQ20060825</w:t>
            </w:r>
          </w:p>
        </w:tc>
        <w:tc>
          <w:tcPr>
            <w:tcW w:w="1096" w:type="dxa"/>
            <w:shd w:val="clear" w:color="auto" w:fill="auto"/>
            <w:noWrap/>
            <w:vAlign w:val="bottom"/>
            <w:hideMark/>
          </w:tcPr>
          <w:p w14:paraId="7F212AF8"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bl>
    <w:p w14:paraId="0E8E7455" w14:textId="77777777" w:rsidR="00FD13B1" w:rsidRPr="00C57AD2" w:rsidRDefault="00FD13B1" w:rsidP="00FD13B1">
      <w:pPr>
        <w:rPr>
          <w:rFonts w:eastAsia="SimSun"/>
          <w:b/>
          <w:bCs/>
          <w:color w:val="000000"/>
          <w:sz w:val="22"/>
          <w:szCs w:val="22"/>
        </w:rPr>
      </w:pPr>
      <w:bookmarkStart w:id="13" w:name="_Hlk22134283"/>
      <w:bookmarkEnd w:id="12"/>
    </w:p>
    <w:p w14:paraId="0A11982E" w14:textId="77777777" w:rsidR="00FD13B1" w:rsidRPr="00C57AD2" w:rsidRDefault="00FD13B1" w:rsidP="00FD13B1">
      <w:pPr>
        <w:rPr>
          <w:rFonts w:eastAsia="SimSun"/>
          <w:b/>
          <w:bCs/>
          <w:color w:val="000000"/>
          <w:sz w:val="22"/>
          <w:szCs w:val="22"/>
        </w:rPr>
      </w:pPr>
    </w:p>
    <w:p w14:paraId="6007D222" w14:textId="77777777" w:rsidR="00FD13B1" w:rsidRPr="00C57AD2" w:rsidRDefault="00FD13B1" w:rsidP="00FD13B1">
      <w:pPr>
        <w:rPr>
          <w:rFonts w:eastAsia="SimSun"/>
          <w:b/>
          <w:bCs/>
          <w:color w:val="000000"/>
          <w:sz w:val="22"/>
          <w:szCs w:val="22"/>
        </w:rPr>
      </w:pPr>
    </w:p>
    <w:p w14:paraId="27154FC0" w14:textId="77777777" w:rsidR="00FD13B1" w:rsidRPr="00C57AD2" w:rsidRDefault="00FD13B1" w:rsidP="00FD13B1">
      <w:pPr>
        <w:rPr>
          <w:rFonts w:eastAsia="SimSun"/>
          <w:b/>
          <w:bCs/>
          <w:color w:val="000000"/>
          <w:sz w:val="22"/>
          <w:szCs w:val="22"/>
        </w:rPr>
      </w:pPr>
    </w:p>
    <w:p w14:paraId="77A133B7" w14:textId="77777777" w:rsidR="00FD13B1" w:rsidRPr="00C57AD2" w:rsidRDefault="00FD13B1" w:rsidP="00FD13B1">
      <w:pPr>
        <w:rPr>
          <w:rFonts w:eastAsia="SimSun"/>
          <w:b/>
          <w:bCs/>
          <w:color w:val="000000"/>
          <w:sz w:val="22"/>
          <w:szCs w:val="22"/>
        </w:rPr>
      </w:pPr>
    </w:p>
    <w:p w14:paraId="7E49F1CE" w14:textId="77777777" w:rsidR="00FD13B1" w:rsidRPr="00C57AD2" w:rsidRDefault="00FD13B1" w:rsidP="00FD13B1">
      <w:pPr>
        <w:rPr>
          <w:rFonts w:eastAsia="SimSun"/>
          <w:b/>
          <w:bCs/>
          <w:color w:val="000000"/>
          <w:sz w:val="22"/>
          <w:szCs w:val="22"/>
        </w:rPr>
      </w:pPr>
    </w:p>
    <w:p w14:paraId="75CE75A0" w14:textId="77777777" w:rsidR="00FD13B1" w:rsidRPr="00C57AD2" w:rsidRDefault="00FD13B1" w:rsidP="00FD13B1">
      <w:pPr>
        <w:rPr>
          <w:rFonts w:eastAsia="SimSun"/>
          <w:b/>
          <w:bCs/>
          <w:color w:val="000000"/>
          <w:sz w:val="22"/>
          <w:szCs w:val="22"/>
        </w:rPr>
      </w:pPr>
    </w:p>
    <w:p w14:paraId="0C837CD4" w14:textId="77777777" w:rsidR="00FD13B1" w:rsidRPr="00C57AD2" w:rsidRDefault="00FD13B1" w:rsidP="00FD13B1">
      <w:pPr>
        <w:rPr>
          <w:rFonts w:eastAsia="SimSun"/>
          <w:b/>
          <w:bCs/>
          <w:color w:val="000000"/>
          <w:sz w:val="22"/>
          <w:szCs w:val="22"/>
        </w:rPr>
      </w:pPr>
    </w:p>
    <w:p w14:paraId="2B5894AD" w14:textId="77777777" w:rsidR="00FD13B1" w:rsidRPr="00C57AD2" w:rsidRDefault="00FD13B1" w:rsidP="00FD13B1">
      <w:r w:rsidRPr="00C57AD2">
        <w:rPr>
          <w:rFonts w:eastAsia="SimSun"/>
          <w:b/>
          <w:bCs/>
          <w:color w:val="000000"/>
          <w:sz w:val="22"/>
          <w:szCs w:val="22"/>
        </w:rPr>
        <w:lastRenderedPageBreak/>
        <w:t xml:space="preserve">Table S5. </w:t>
      </w:r>
      <w:r w:rsidRPr="00C57AD2">
        <w:rPr>
          <w:rFonts w:eastAsia="SimSun"/>
          <w:color w:val="000000"/>
          <w:sz w:val="22"/>
          <w:szCs w:val="22"/>
        </w:rPr>
        <w:t>Continued</w:t>
      </w:r>
    </w:p>
    <w:tbl>
      <w:tblPr>
        <w:tblW w:w="5362" w:type="dxa"/>
        <w:tblBorders>
          <w:top w:val="single" w:sz="4" w:space="0" w:color="auto"/>
          <w:bottom w:val="single" w:sz="4" w:space="0" w:color="auto"/>
        </w:tblBorders>
        <w:tblLook w:val="04A0" w:firstRow="1" w:lastRow="0" w:firstColumn="1" w:lastColumn="0" w:noHBand="0" w:noVBand="1"/>
      </w:tblPr>
      <w:tblGrid>
        <w:gridCol w:w="1634"/>
        <w:gridCol w:w="986"/>
        <w:gridCol w:w="1646"/>
        <w:gridCol w:w="1096"/>
      </w:tblGrid>
      <w:tr w:rsidR="00FD13B1" w:rsidRPr="00C57AD2" w14:paraId="23AEC8AB" w14:textId="77777777" w:rsidTr="00F528FF">
        <w:trPr>
          <w:trHeight w:val="288"/>
        </w:trPr>
        <w:tc>
          <w:tcPr>
            <w:tcW w:w="1634" w:type="dxa"/>
            <w:tcBorders>
              <w:bottom w:val="single" w:sz="4" w:space="0" w:color="auto"/>
            </w:tcBorders>
            <w:shd w:val="clear" w:color="auto" w:fill="auto"/>
            <w:noWrap/>
            <w:vAlign w:val="bottom"/>
          </w:tcPr>
          <w:p w14:paraId="004C8B84" w14:textId="77777777" w:rsidR="00FD13B1" w:rsidRPr="00C57AD2" w:rsidRDefault="00FD13B1" w:rsidP="00F528FF">
            <w:pPr>
              <w:rPr>
                <w:rFonts w:eastAsia="SimSun"/>
                <w:color w:val="000000"/>
                <w:sz w:val="22"/>
                <w:szCs w:val="22"/>
              </w:rPr>
            </w:pPr>
            <w:r w:rsidRPr="00C57AD2">
              <w:rPr>
                <w:rFonts w:eastAsia="SimSun"/>
                <w:color w:val="000000"/>
                <w:sz w:val="22"/>
                <w:szCs w:val="22"/>
              </w:rPr>
              <w:t>EXPOCODE</w:t>
            </w:r>
          </w:p>
        </w:tc>
        <w:tc>
          <w:tcPr>
            <w:tcW w:w="986" w:type="dxa"/>
            <w:tcBorders>
              <w:bottom w:val="single" w:sz="4" w:space="0" w:color="auto"/>
              <w:right w:val="single" w:sz="4" w:space="0" w:color="auto"/>
            </w:tcBorders>
            <w:shd w:val="clear" w:color="auto" w:fill="auto"/>
            <w:noWrap/>
            <w:vAlign w:val="bottom"/>
          </w:tcPr>
          <w:p w14:paraId="1390F231" w14:textId="77777777" w:rsidR="00FD13B1" w:rsidRPr="00C57AD2" w:rsidRDefault="00FD13B1" w:rsidP="00F528FF">
            <w:pPr>
              <w:rPr>
                <w:rFonts w:eastAsia="SimSun"/>
                <w:color w:val="000000"/>
                <w:sz w:val="22"/>
                <w:szCs w:val="22"/>
              </w:rPr>
            </w:pPr>
            <w:r w:rsidRPr="00C57AD2">
              <w:rPr>
                <w:rFonts w:eastAsia="SimSun"/>
                <w:color w:val="000000"/>
                <w:sz w:val="22"/>
                <w:szCs w:val="22"/>
              </w:rPr>
              <w:t>Sector</w:t>
            </w:r>
          </w:p>
        </w:tc>
        <w:tc>
          <w:tcPr>
            <w:tcW w:w="1646" w:type="dxa"/>
            <w:tcBorders>
              <w:left w:val="single" w:sz="4" w:space="0" w:color="auto"/>
              <w:bottom w:val="single" w:sz="4" w:space="0" w:color="auto"/>
            </w:tcBorders>
            <w:shd w:val="clear" w:color="auto" w:fill="auto"/>
            <w:noWrap/>
            <w:vAlign w:val="bottom"/>
          </w:tcPr>
          <w:p w14:paraId="3AA7EDDC" w14:textId="77777777" w:rsidR="00FD13B1" w:rsidRPr="00C57AD2" w:rsidRDefault="00FD13B1" w:rsidP="00F528FF">
            <w:pPr>
              <w:rPr>
                <w:rFonts w:eastAsia="SimSun"/>
                <w:color w:val="000000"/>
                <w:sz w:val="22"/>
                <w:szCs w:val="22"/>
              </w:rPr>
            </w:pPr>
            <w:r w:rsidRPr="00C57AD2">
              <w:rPr>
                <w:rFonts w:eastAsia="SimSun"/>
                <w:color w:val="000000"/>
                <w:sz w:val="22"/>
                <w:szCs w:val="22"/>
              </w:rPr>
              <w:t>EXPOCODE</w:t>
            </w:r>
          </w:p>
        </w:tc>
        <w:tc>
          <w:tcPr>
            <w:tcW w:w="1096" w:type="dxa"/>
            <w:tcBorders>
              <w:bottom w:val="single" w:sz="4" w:space="0" w:color="auto"/>
            </w:tcBorders>
            <w:shd w:val="clear" w:color="auto" w:fill="auto"/>
            <w:noWrap/>
            <w:vAlign w:val="bottom"/>
          </w:tcPr>
          <w:p w14:paraId="575CF1A2" w14:textId="77777777" w:rsidR="00FD13B1" w:rsidRPr="00C57AD2" w:rsidRDefault="00FD13B1" w:rsidP="00F528FF">
            <w:pPr>
              <w:rPr>
                <w:rFonts w:eastAsia="SimSun"/>
                <w:color w:val="000000"/>
                <w:sz w:val="22"/>
                <w:szCs w:val="22"/>
              </w:rPr>
            </w:pPr>
            <w:r w:rsidRPr="00C57AD2">
              <w:rPr>
                <w:rFonts w:eastAsia="SimSun"/>
                <w:color w:val="000000"/>
                <w:sz w:val="22"/>
                <w:szCs w:val="22"/>
              </w:rPr>
              <w:t>Sector</w:t>
            </w:r>
          </w:p>
        </w:tc>
      </w:tr>
      <w:tr w:rsidR="00FD13B1" w:rsidRPr="00C57AD2" w14:paraId="00322C5C" w14:textId="77777777" w:rsidTr="00F528FF">
        <w:trPr>
          <w:trHeight w:val="288"/>
        </w:trPr>
        <w:tc>
          <w:tcPr>
            <w:tcW w:w="1634" w:type="dxa"/>
            <w:tcBorders>
              <w:top w:val="single" w:sz="4" w:space="0" w:color="auto"/>
            </w:tcBorders>
            <w:shd w:val="clear" w:color="auto" w:fill="auto"/>
            <w:noWrap/>
            <w:vAlign w:val="bottom"/>
            <w:hideMark/>
          </w:tcPr>
          <w:p w14:paraId="0355026B" w14:textId="77777777" w:rsidR="00FD13B1" w:rsidRPr="00C57AD2" w:rsidRDefault="00FD13B1" w:rsidP="00F528FF">
            <w:pPr>
              <w:rPr>
                <w:rFonts w:eastAsia="SimSun"/>
                <w:color w:val="000000"/>
                <w:sz w:val="22"/>
                <w:szCs w:val="22"/>
              </w:rPr>
            </w:pPr>
            <w:r w:rsidRPr="00C57AD2">
              <w:rPr>
                <w:rFonts w:eastAsia="SimSun"/>
                <w:color w:val="000000"/>
                <w:sz w:val="22"/>
                <w:szCs w:val="22"/>
              </w:rPr>
              <w:t>096U20160108</w:t>
            </w:r>
          </w:p>
        </w:tc>
        <w:tc>
          <w:tcPr>
            <w:tcW w:w="986" w:type="dxa"/>
            <w:tcBorders>
              <w:top w:val="single" w:sz="4" w:space="0" w:color="auto"/>
              <w:right w:val="single" w:sz="4" w:space="0" w:color="auto"/>
            </w:tcBorders>
            <w:shd w:val="clear" w:color="auto" w:fill="auto"/>
            <w:noWrap/>
            <w:vAlign w:val="bottom"/>
            <w:hideMark/>
          </w:tcPr>
          <w:p w14:paraId="6F4A827C"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top w:val="single" w:sz="4" w:space="0" w:color="auto"/>
              <w:left w:val="single" w:sz="4" w:space="0" w:color="auto"/>
            </w:tcBorders>
            <w:shd w:val="clear" w:color="auto" w:fill="auto"/>
            <w:noWrap/>
            <w:vAlign w:val="bottom"/>
            <w:hideMark/>
          </w:tcPr>
          <w:p w14:paraId="187CB10F" w14:textId="77777777" w:rsidR="00FD13B1" w:rsidRPr="00C57AD2" w:rsidRDefault="00FD13B1" w:rsidP="00F528FF">
            <w:pPr>
              <w:rPr>
                <w:rFonts w:eastAsia="SimSun"/>
                <w:color w:val="000000"/>
                <w:sz w:val="22"/>
                <w:szCs w:val="22"/>
              </w:rPr>
            </w:pPr>
            <w:r w:rsidRPr="00C57AD2">
              <w:rPr>
                <w:rFonts w:eastAsia="SimSun"/>
                <w:color w:val="000000"/>
                <w:sz w:val="22"/>
                <w:szCs w:val="22"/>
              </w:rPr>
              <w:t>06AQ20101128</w:t>
            </w:r>
          </w:p>
        </w:tc>
        <w:tc>
          <w:tcPr>
            <w:tcW w:w="1096" w:type="dxa"/>
            <w:tcBorders>
              <w:top w:val="single" w:sz="4" w:space="0" w:color="auto"/>
            </w:tcBorders>
            <w:shd w:val="clear" w:color="auto" w:fill="auto"/>
            <w:noWrap/>
            <w:vAlign w:val="bottom"/>
            <w:hideMark/>
          </w:tcPr>
          <w:p w14:paraId="02A1471F"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196C892D" w14:textId="77777777" w:rsidTr="00F528FF">
        <w:trPr>
          <w:trHeight w:val="288"/>
        </w:trPr>
        <w:tc>
          <w:tcPr>
            <w:tcW w:w="1634" w:type="dxa"/>
            <w:shd w:val="clear" w:color="auto" w:fill="auto"/>
            <w:noWrap/>
            <w:vAlign w:val="bottom"/>
            <w:hideMark/>
          </w:tcPr>
          <w:p w14:paraId="1FDC6C77" w14:textId="77777777" w:rsidR="00FD13B1" w:rsidRPr="00C57AD2" w:rsidRDefault="00FD13B1" w:rsidP="00F528FF">
            <w:pPr>
              <w:rPr>
                <w:rFonts w:eastAsia="SimSun"/>
                <w:color w:val="000000"/>
                <w:sz w:val="22"/>
                <w:szCs w:val="22"/>
              </w:rPr>
            </w:pPr>
            <w:r w:rsidRPr="00C57AD2">
              <w:rPr>
                <w:rFonts w:eastAsia="SimSun"/>
                <w:color w:val="000000"/>
                <w:sz w:val="22"/>
                <w:szCs w:val="22"/>
              </w:rPr>
              <w:t>096U20160314</w:t>
            </w:r>
          </w:p>
        </w:tc>
        <w:tc>
          <w:tcPr>
            <w:tcW w:w="986" w:type="dxa"/>
            <w:tcBorders>
              <w:right w:val="single" w:sz="4" w:space="0" w:color="auto"/>
            </w:tcBorders>
            <w:shd w:val="clear" w:color="auto" w:fill="auto"/>
            <w:noWrap/>
            <w:vAlign w:val="bottom"/>
            <w:hideMark/>
          </w:tcPr>
          <w:p w14:paraId="6639CDB1"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5294DF48" w14:textId="77777777" w:rsidR="00FD13B1" w:rsidRPr="00C57AD2" w:rsidRDefault="00FD13B1" w:rsidP="00F528FF">
            <w:pPr>
              <w:rPr>
                <w:rFonts w:eastAsia="SimSun"/>
                <w:color w:val="000000"/>
                <w:sz w:val="22"/>
                <w:szCs w:val="22"/>
              </w:rPr>
            </w:pPr>
            <w:r w:rsidRPr="00C57AD2">
              <w:rPr>
                <w:rFonts w:eastAsia="SimSun"/>
                <w:color w:val="000000"/>
                <w:sz w:val="22"/>
                <w:szCs w:val="22"/>
              </w:rPr>
              <w:t>06AQ20141202</w:t>
            </w:r>
          </w:p>
        </w:tc>
        <w:tc>
          <w:tcPr>
            <w:tcW w:w="1096" w:type="dxa"/>
            <w:shd w:val="clear" w:color="auto" w:fill="auto"/>
            <w:noWrap/>
            <w:vAlign w:val="bottom"/>
            <w:hideMark/>
          </w:tcPr>
          <w:p w14:paraId="3446C125"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5E73E6F1" w14:textId="77777777" w:rsidTr="00F528FF">
        <w:trPr>
          <w:trHeight w:val="288"/>
        </w:trPr>
        <w:tc>
          <w:tcPr>
            <w:tcW w:w="1634" w:type="dxa"/>
            <w:shd w:val="clear" w:color="auto" w:fill="auto"/>
            <w:noWrap/>
            <w:vAlign w:val="bottom"/>
            <w:hideMark/>
          </w:tcPr>
          <w:p w14:paraId="73D749ED" w14:textId="77777777" w:rsidR="00FD13B1" w:rsidRPr="00C57AD2" w:rsidRDefault="00FD13B1" w:rsidP="00F528FF">
            <w:pPr>
              <w:rPr>
                <w:rFonts w:eastAsia="SimSun"/>
                <w:color w:val="000000"/>
                <w:sz w:val="22"/>
                <w:szCs w:val="22"/>
              </w:rPr>
            </w:pPr>
            <w:r w:rsidRPr="00C57AD2">
              <w:rPr>
                <w:rFonts w:eastAsia="SimSun"/>
                <w:color w:val="000000"/>
                <w:sz w:val="22"/>
                <w:szCs w:val="22"/>
              </w:rPr>
              <w:t>35MF20110114</w:t>
            </w:r>
          </w:p>
        </w:tc>
        <w:tc>
          <w:tcPr>
            <w:tcW w:w="986" w:type="dxa"/>
            <w:tcBorders>
              <w:right w:val="single" w:sz="4" w:space="0" w:color="auto"/>
            </w:tcBorders>
            <w:shd w:val="clear" w:color="auto" w:fill="auto"/>
            <w:noWrap/>
            <w:vAlign w:val="bottom"/>
            <w:hideMark/>
          </w:tcPr>
          <w:p w14:paraId="253C0D59"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0BD8D9BD" w14:textId="77777777" w:rsidR="00FD13B1" w:rsidRPr="00C57AD2" w:rsidRDefault="00FD13B1" w:rsidP="00F528FF">
            <w:pPr>
              <w:rPr>
                <w:rFonts w:eastAsia="SimSun"/>
                <w:color w:val="000000"/>
                <w:sz w:val="22"/>
                <w:szCs w:val="22"/>
              </w:rPr>
            </w:pPr>
            <w:r w:rsidRPr="00C57AD2">
              <w:rPr>
                <w:rFonts w:eastAsia="SimSun"/>
                <w:color w:val="000000"/>
                <w:sz w:val="22"/>
                <w:szCs w:val="22"/>
              </w:rPr>
              <w:t>06MT19921227</w:t>
            </w:r>
          </w:p>
        </w:tc>
        <w:tc>
          <w:tcPr>
            <w:tcW w:w="1096" w:type="dxa"/>
            <w:shd w:val="clear" w:color="auto" w:fill="auto"/>
            <w:noWrap/>
            <w:vAlign w:val="bottom"/>
            <w:hideMark/>
          </w:tcPr>
          <w:p w14:paraId="1925E94D"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7E12BBDA" w14:textId="77777777" w:rsidTr="00F528FF">
        <w:trPr>
          <w:trHeight w:val="288"/>
        </w:trPr>
        <w:tc>
          <w:tcPr>
            <w:tcW w:w="1634" w:type="dxa"/>
            <w:shd w:val="clear" w:color="auto" w:fill="auto"/>
            <w:noWrap/>
            <w:vAlign w:val="bottom"/>
            <w:hideMark/>
          </w:tcPr>
          <w:p w14:paraId="1F6F9FB1" w14:textId="77777777" w:rsidR="00FD13B1" w:rsidRPr="00C57AD2" w:rsidRDefault="00FD13B1" w:rsidP="00F528FF">
            <w:pPr>
              <w:rPr>
                <w:rFonts w:eastAsia="SimSun"/>
                <w:color w:val="000000"/>
                <w:sz w:val="22"/>
                <w:szCs w:val="22"/>
              </w:rPr>
            </w:pPr>
            <w:r w:rsidRPr="00C57AD2">
              <w:rPr>
                <w:rFonts w:eastAsia="SimSun"/>
                <w:color w:val="000000"/>
                <w:sz w:val="22"/>
                <w:szCs w:val="22"/>
              </w:rPr>
              <w:t>49NZ20121128</w:t>
            </w:r>
          </w:p>
        </w:tc>
        <w:tc>
          <w:tcPr>
            <w:tcW w:w="986" w:type="dxa"/>
            <w:tcBorders>
              <w:right w:val="single" w:sz="4" w:space="0" w:color="auto"/>
            </w:tcBorders>
            <w:shd w:val="clear" w:color="auto" w:fill="auto"/>
            <w:noWrap/>
            <w:vAlign w:val="bottom"/>
            <w:hideMark/>
          </w:tcPr>
          <w:p w14:paraId="184E119C"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06064C04" w14:textId="77777777" w:rsidR="00FD13B1" w:rsidRPr="00C57AD2" w:rsidRDefault="00FD13B1" w:rsidP="00F528FF">
            <w:pPr>
              <w:rPr>
                <w:rFonts w:eastAsia="SimSun"/>
                <w:color w:val="000000"/>
                <w:sz w:val="22"/>
                <w:szCs w:val="22"/>
              </w:rPr>
            </w:pPr>
            <w:r w:rsidRPr="00C57AD2">
              <w:rPr>
                <w:rFonts w:eastAsia="SimSun"/>
                <w:color w:val="000000"/>
                <w:sz w:val="22"/>
                <w:szCs w:val="22"/>
              </w:rPr>
              <w:t>29HE20100208</w:t>
            </w:r>
          </w:p>
        </w:tc>
        <w:tc>
          <w:tcPr>
            <w:tcW w:w="1096" w:type="dxa"/>
            <w:shd w:val="clear" w:color="auto" w:fill="auto"/>
            <w:noWrap/>
            <w:vAlign w:val="bottom"/>
            <w:hideMark/>
          </w:tcPr>
          <w:p w14:paraId="3A9EEDBA"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76BB81A6" w14:textId="77777777" w:rsidTr="00F528FF">
        <w:trPr>
          <w:trHeight w:val="288"/>
        </w:trPr>
        <w:tc>
          <w:tcPr>
            <w:tcW w:w="1634" w:type="dxa"/>
            <w:shd w:val="clear" w:color="auto" w:fill="auto"/>
            <w:noWrap/>
            <w:vAlign w:val="bottom"/>
            <w:hideMark/>
          </w:tcPr>
          <w:p w14:paraId="2FBD9EBF" w14:textId="77777777" w:rsidR="00FD13B1" w:rsidRPr="00C57AD2" w:rsidRDefault="00FD13B1" w:rsidP="00F528FF">
            <w:pPr>
              <w:rPr>
                <w:rFonts w:eastAsia="SimSun"/>
                <w:color w:val="000000"/>
                <w:sz w:val="22"/>
                <w:szCs w:val="22"/>
              </w:rPr>
            </w:pPr>
            <w:r w:rsidRPr="00C57AD2">
              <w:rPr>
                <w:rFonts w:eastAsia="SimSun"/>
                <w:color w:val="000000"/>
                <w:sz w:val="22"/>
                <w:szCs w:val="22"/>
              </w:rPr>
              <w:t>49NZ20130106</w:t>
            </w:r>
          </w:p>
        </w:tc>
        <w:tc>
          <w:tcPr>
            <w:tcW w:w="986" w:type="dxa"/>
            <w:tcBorders>
              <w:right w:val="single" w:sz="4" w:space="0" w:color="auto"/>
            </w:tcBorders>
            <w:shd w:val="clear" w:color="auto" w:fill="auto"/>
            <w:noWrap/>
            <w:vAlign w:val="bottom"/>
            <w:hideMark/>
          </w:tcPr>
          <w:p w14:paraId="187FC54E"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78C0F27C" w14:textId="77777777" w:rsidR="00FD13B1" w:rsidRPr="00C57AD2" w:rsidRDefault="00FD13B1" w:rsidP="00F528FF">
            <w:pPr>
              <w:rPr>
                <w:rFonts w:eastAsia="SimSun"/>
                <w:color w:val="000000"/>
                <w:sz w:val="22"/>
                <w:szCs w:val="22"/>
              </w:rPr>
            </w:pPr>
            <w:r w:rsidRPr="00C57AD2">
              <w:rPr>
                <w:rFonts w:eastAsia="SimSun"/>
                <w:color w:val="000000"/>
                <w:sz w:val="22"/>
                <w:szCs w:val="22"/>
              </w:rPr>
              <w:t>29HE20130320</w:t>
            </w:r>
          </w:p>
        </w:tc>
        <w:tc>
          <w:tcPr>
            <w:tcW w:w="1096" w:type="dxa"/>
            <w:shd w:val="clear" w:color="auto" w:fill="auto"/>
            <w:noWrap/>
            <w:vAlign w:val="bottom"/>
            <w:hideMark/>
          </w:tcPr>
          <w:p w14:paraId="1D23853F"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D6F24E8" w14:textId="77777777" w:rsidTr="00F528FF">
        <w:trPr>
          <w:trHeight w:val="288"/>
        </w:trPr>
        <w:tc>
          <w:tcPr>
            <w:tcW w:w="1634" w:type="dxa"/>
            <w:shd w:val="clear" w:color="auto" w:fill="auto"/>
            <w:noWrap/>
            <w:vAlign w:val="bottom"/>
            <w:hideMark/>
          </w:tcPr>
          <w:p w14:paraId="1269AD40" w14:textId="77777777" w:rsidR="00FD13B1" w:rsidRPr="00C57AD2" w:rsidRDefault="00FD13B1" w:rsidP="00F528FF">
            <w:pPr>
              <w:rPr>
                <w:rFonts w:eastAsia="SimSun"/>
                <w:color w:val="000000"/>
                <w:sz w:val="22"/>
                <w:szCs w:val="22"/>
              </w:rPr>
            </w:pPr>
            <w:r w:rsidRPr="00C57AD2">
              <w:rPr>
                <w:rFonts w:eastAsia="SimSun"/>
                <w:color w:val="000000"/>
                <w:sz w:val="22"/>
                <w:szCs w:val="22"/>
              </w:rPr>
              <w:t>09AR19910925</w:t>
            </w:r>
          </w:p>
        </w:tc>
        <w:tc>
          <w:tcPr>
            <w:tcW w:w="986" w:type="dxa"/>
            <w:tcBorders>
              <w:right w:val="single" w:sz="4" w:space="0" w:color="auto"/>
            </w:tcBorders>
            <w:shd w:val="clear" w:color="auto" w:fill="auto"/>
            <w:noWrap/>
            <w:vAlign w:val="bottom"/>
            <w:hideMark/>
          </w:tcPr>
          <w:p w14:paraId="7B28321C"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50174F69" w14:textId="77777777" w:rsidR="00FD13B1" w:rsidRPr="00C57AD2" w:rsidRDefault="00FD13B1" w:rsidP="00F528FF">
            <w:pPr>
              <w:rPr>
                <w:rFonts w:eastAsia="SimSun"/>
                <w:color w:val="000000"/>
                <w:sz w:val="22"/>
                <w:szCs w:val="22"/>
              </w:rPr>
            </w:pPr>
            <w:r w:rsidRPr="00C57AD2">
              <w:rPr>
                <w:rFonts w:eastAsia="SimSun"/>
                <w:color w:val="000000"/>
                <w:sz w:val="22"/>
                <w:szCs w:val="22"/>
              </w:rPr>
              <w:t>316N19940403</w:t>
            </w:r>
          </w:p>
        </w:tc>
        <w:tc>
          <w:tcPr>
            <w:tcW w:w="1096" w:type="dxa"/>
            <w:shd w:val="clear" w:color="auto" w:fill="auto"/>
            <w:noWrap/>
            <w:vAlign w:val="bottom"/>
            <w:hideMark/>
          </w:tcPr>
          <w:p w14:paraId="294E5712"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6DEE060A" w14:textId="77777777" w:rsidTr="00F528FF">
        <w:trPr>
          <w:trHeight w:val="288"/>
        </w:trPr>
        <w:tc>
          <w:tcPr>
            <w:tcW w:w="1634" w:type="dxa"/>
            <w:shd w:val="clear" w:color="auto" w:fill="auto"/>
            <w:noWrap/>
            <w:vAlign w:val="bottom"/>
            <w:hideMark/>
          </w:tcPr>
          <w:p w14:paraId="6BE7AA2D" w14:textId="77777777" w:rsidR="00FD13B1" w:rsidRPr="00C57AD2" w:rsidRDefault="00FD13B1" w:rsidP="00F528FF">
            <w:pPr>
              <w:rPr>
                <w:rFonts w:eastAsia="SimSun"/>
                <w:color w:val="000000"/>
                <w:sz w:val="22"/>
                <w:szCs w:val="22"/>
              </w:rPr>
            </w:pPr>
            <w:r w:rsidRPr="00C57AD2">
              <w:rPr>
                <w:rFonts w:eastAsia="SimSun"/>
                <w:color w:val="000000"/>
                <w:sz w:val="22"/>
                <w:szCs w:val="22"/>
              </w:rPr>
              <w:t>09AR19930404</w:t>
            </w:r>
          </w:p>
        </w:tc>
        <w:tc>
          <w:tcPr>
            <w:tcW w:w="986" w:type="dxa"/>
            <w:tcBorders>
              <w:right w:val="single" w:sz="4" w:space="0" w:color="auto"/>
            </w:tcBorders>
            <w:shd w:val="clear" w:color="auto" w:fill="auto"/>
            <w:noWrap/>
            <w:vAlign w:val="bottom"/>
            <w:hideMark/>
          </w:tcPr>
          <w:p w14:paraId="31786EA5"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743971CD" w14:textId="77777777" w:rsidR="00FD13B1" w:rsidRPr="00C57AD2" w:rsidRDefault="00FD13B1" w:rsidP="00F528FF">
            <w:pPr>
              <w:rPr>
                <w:rFonts w:eastAsia="SimSun"/>
                <w:color w:val="000000"/>
                <w:sz w:val="22"/>
                <w:szCs w:val="22"/>
              </w:rPr>
            </w:pPr>
            <w:r w:rsidRPr="00C57AD2">
              <w:rPr>
                <w:rFonts w:eastAsia="SimSun"/>
                <w:color w:val="000000"/>
                <w:sz w:val="22"/>
                <w:szCs w:val="22"/>
              </w:rPr>
              <w:t>32O619960503</w:t>
            </w:r>
          </w:p>
        </w:tc>
        <w:tc>
          <w:tcPr>
            <w:tcW w:w="1096" w:type="dxa"/>
            <w:shd w:val="clear" w:color="auto" w:fill="auto"/>
            <w:noWrap/>
            <w:vAlign w:val="bottom"/>
            <w:hideMark/>
          </w:tcPr>
          <w:p w14:paraId="5ACFB8B6"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53FA31A3" w14:textId="77777777" w:rsidTr="00F528FF">
        <w:trPr>
          <w:trHeight w:val="288"/>
        </w:trPr>
        <w:tc>
          <w:tcPr>
            <w:tcW w:w="1634" w:type="dxa"/>
            <w:shd w:val="clear" w:color="auto" w:fill="auto"/>
            <w:noWrap/>
            <w:vAlign w:val="bottom"/>
            <w:hideMark/>
          </w:tcPr>
          <w:p w14:paraId="5F6AAB5C" w14:textId="77777777" w:rsidR="00FD13B1" w:rsidRPr="00C57AD2" w:rsidRDefault="00FD13B1" w:rsidP="00F528FF">
            <w:pPr>
              <w:rPr>
                <w:rFonts w:eastAsia="SimSun"/>
                <w:color w:val="000000"/>
                <w:sz w:val="22"/>
                <w:szCs w:val="22"/>
              </w:rPr>
            </w:pPr>
            <w:r w:rsidRPr="00C57AD2">
              <w:rPr>
                <w:rFonts w:eastAsia="SimSun"/>
                <w:color w:val="000000"/>
                <w:sz w:val="22"/>
                <w:szCs w:val="22"/>
              </w:rPr>
              <w:t>09AR19941213</w:t>
            </w:r>
          </w:p>
        </w:tc>
        <w:tc>
          <w:tcPr>
            <w:tcW w:w="986" w:type="dxa"/>
            <w:tcBorders>
              <w:right w:val="single" w:sz="4" w:space="0" w:color="auto"/>
            </w:tcBorders>
            <w:shd w:val="clear" w:color="auto" w:fill="auto"/>
            <w:noWrap/>
            <w:vAlign w:val="bottom"/>
            <w:hideMark/>
          </w:tcPr>
          <w:p w14:paraId="1A3CE0D6"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2C8A2140" w14:textId="77777777" w:rsidR="00FD13B1" w:rsidRPr="00C57AD2" w:rsidRDefault="00FD13B1" w:rsidP="00F528FF">
            <w:pPr>
              <w:rPr>
                <w:rFonts w:eastAsia="SimSun"/>
                <w:color w:val="000000"/>
                <w:sz w:val="22"/>
                <w:szCs w:val="22"/>
              </w:rPr>
            </w:pPr>
            <w:r w:rsidRPr="00C57AD2">
              <w:rPr>
                <w:rFonts w:eastAsia="SimSun"/>
                <w:color w:val="000000"/>
                <w:sz w:val="22"/>
                <w:szCs w:val="22"/>
              </w:rPr>
              <w:t>33RO20050111</w:t>
            </w:r>
          </w:p>
        </w:tc>
        <w:tc>
          <w:tcPr>
            <w:tcW w:w="1096" w:type="dxa"/>
            <w:shd w:val="clear" w:color="auto" w:fill="auto"/>
            <w:noWrap/>
            <w:vAlign w:val="bottom"/>
            <w:hideMark/>
          </w:tcPr>
          <w:p w14:paraId="4A2A4DDF"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2C82B614" w14:textId="77777777" w:rsidTr="00F528FF">
        <w:trPr>
          <w:trHeight w:val="288"/>
        </w:trPr>
        <w:tc>
          <w:tcPr>
            <w:tcW w:w="1634" w:type="dxa"/>
            <w:shd w:val="clear" w:color="auto" w:fill="auto"/>
            <w:noWrap/>
            <w:vAlign w:val="bottom"/>
            <w:hideMark/>
          </w:tcPr>
          <w:p w14:paraId="404F1AF3" w14:textId="77777777" w:rsidR="00FD13B1" w:rsidRPr="00C57AD2" w:rsidRDefault="00FD13B1" w:rsidP="00F528FF">
            <w:pPr>
              <w:rPr>
                <w:rFonts w:eastAsia="SimSun"/>
                <w:color w:val="000000"/>
                <w:sz w:val="22"/>
                <w:szCs w:val="22"/>
              </w:rPr>
            </w:pPr>
            <w:r w:rsidRPr="00C57AD2">
              <w:rPr>
                <w:rFonts w:eastAsia="SimSun"/>
                <w:color w:val="000000"/>
                <w:sz w:val="22"/>
                <w:szCs w:val="22"/>
              </w:rPr>
              <w:t>09AR19960822</w:t>
            </w:r>
          </w:p>
        </w:tc>
        <w:tc>
          <w:tcPr>
            <w:tcW w:w="986" w:type="dxa"/>
            <w:tcBorders>
              <w:right w:val="single" w:sz="4" w:space="0" w:color="auto"/>
            </w:tcBorders>
            <w:shd w:val="clear" w:color="auto" w:fill="auto"/>
            <w:noWrap/>
            <w:vAlign w:val="bottom"/>
            <w:hideMark/>
          </w:tcPr>
          <w:p w14:paraId="35C9A2DC"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1379AFCF" w14:textId="77777777" w:rsidR="00FD13B1" w:rsidRPr="00C57AD2" w:rsidRDefault="00FD13B1" w:rsidP="00F528FF">
            <w:pPr>
              <w:rPr>
                <w:rFonts w:eastAsia="SimSun"/>
                <w:color w:val="000000"/>
                <w:sz w:val="22"/>
                <w:szCs w:val="22"/>
              </w:rPr>
            </w:pPr>
            <w:r w:rsidRPr="00C57AD2">
              <w:rPr>
                <w:rFonts w:eastAsia="SimSun"/>
                <w:color w:val="000000"/>
                <w:sz w:val="22"/>
                <w:szCs w:val="22"/>
              </w:rPr>
              <w:t>33RO20100308</w:t>
            </w:r>
          </w:p>
        </w:tc>
        <w:tc>
          <w:tcPr>
            <w:tcW w:w="1096" w:type="dxa"/>
            <w:shd w:val="clear" w:color="auto" w:fill="auto"/>
            <w:noWrap/>
            <w:vAlign w:val="bottom"/>
            <w:hideMark/>
          </w:tcPr>
          <w:p w14:paraId="3E5A6287"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70BB0240" w14:textId="77777777" w:rsidTr="00F528FF">
        <w:trPr>
          <w:trHeight w:val="288"/>
        </w:trPr>
        <w:tc>
          <w:tcPr>
            <w:tcW w:w="1634" w:type="dxa"/>
            <w:shd w:val="clear" w:color="auto" w:fill="auto"/>
            <w:noWrap/>
            <w:vAlign w:val="bottom"/>
            <w:hideMark/>
          </w:tcPr>
          <w:p w14:paraId="2D8FD95C" w14:textId="77777777" w:rsidR="00FD13B1" w:rsidRPr="00C57AD2" w:rsidRDefault="00FD13B1" w:rsidP="00F528FF">
            <w:pPr>
              <w:rPr>
                <w:rFonts w:eastAsia="SimSun"/>
                <w:color w:val="000000"/>
                <w:sz w:val="22"/>
                <w:szCs w:val="22"/>
              </w:rPr>
            </w:pPr>
            <w:r w:rsidRPr="00C57AD2">
              <w:rPr>
                <w:rFonts w:eastAsia="SimSun"/>
                <w:color w:val="000000"/>
                <w:sz w:val="22"/>
                <w:szCs w:val="22"/>
              </w:rPr>
              <w:t>09AR19980228</w:t>
            </w:r>
          </w:p>
        </w:tc>
        <w:tc>
          <w:tcPr>
            <w:tcW w:w="986" w:type="dxa"/>
            <w:tcBorders>
              <w:right w:val="single" w:sz="4" w:space="0" w:color="auto"/>
            </w:tcBorders>
            <w:shd w:val="clear" w:color="auto" w:fill="auto"/>
            <w:noWrap/>
            <w:vAlign w:val="bottom"/>
            <w:hideMark/>
          </w:tcPr>
          <w:p w14:paraId="02926BD4"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463F497B" w14:textId="77777777" w:rsidR="00FD13B1" w:rsidRPr="00C57AD2" w:rsidRDefault="00FD13B1" w:rsidP="00F528FF">
            <w:pPr>
              <w:rPr>
                <w:rFonts w:eastAsia="SimSun"/>
                <w:color w:val="000000"/>
                <w:sz w:val="22"/>
                <w:szCs w:val="22"/>
              </w:rPr>
            </w:pPr>
            <w:r w:rsidRPr="00C57AD2">
              <w:rPr>
                <w:rFonts w:eastAsia="SimSun"/>
                <w:color w:val="000000"/>
                <w:sz w:val="22"/>
                <w:szCs w:val="22"/>
              </w:rPr>
              <w:t>33RO20110926</w:t>
            </w:r>
          </w:p>
        </w:tc>
        <w:tc>
          <w:tcPr>
            <w:tcW w:w="1096" w:type="dxa"/>
            <w:shd w:val="clear" w:color="auto" w:fill="auto"/>
            <w:noWrap/>
            <w:vAlign w:val="bottom"/>
            <w:hideMark/>
          </w:tcPr>
          <w:p w14:paraId="04F2C6A3"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1451287A" w14:textId="77777777" w:rsidTr="00F528FF">
        <w:trPr>
          <w:trHeight w:val="288"/>
        </w:trPr>
        <w:tc>
          <w:tcPr>
            <w:tcW w:w="1634" w:type="dxa"/>
            <w:shd w:val="clear" w:color="auto" w:fill="auto"/>
            <w:noWrap/>
            <w:vAlign w:val="bottom"/>
            <w:hideMark/>
          </w:tcPr>
          <w:p w14:paraId="51524371" w14:textId="77777777" w:rsidR="00FD13B1" w:rsidRPr="00C57AD2" w:rsidRDefault="00FD13B1" w:rsidP="00F528FF">
            <w:pPr>
              <w:rPr>
                <w:rFonts w:eastAsia="SimSun"/>
                <w:color w:val="000000"/>
                <w:sz w:val="22"/>
                <w:szCs w:val="22"/>
              </w:rPr>
            </w:pPr>
            <w:r w:rsidRPr="00C57AD2">
              <w:rPr>
                <w:rFonts w:eastAsia="SimSun"/>
                <w:color w:val="000000"/>
                <w:sz w:val="22"/>
                <w:szCs w:val="22"/>
              </w:rPr>
              <w:t>09AR20011029</w:t>
            </w:r>
          </w:p>
        </w:tc>
        <w:tc>
          <w:tcPr>
            <w:tcW w:w="986" w:type="dxa"/>
            <w:tcBorders>
              <w:right w:val="single" w:sz="4" w:space="0" w:color="auto"/>
            </w:tcBorders>
            <w:shd w:val="clear" w:color="auto" w:fill="auto"/>
            <w:noWrap/>
            <w:vAlign w:val="bottom"/>
            <w:hideMark/>
          </w:tcPr>
          <w:p w14:paraId="5BF218FF"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71B5CB65" w14:textId="77777777" w:rsidR="00FD13B1" w:rsidRPr="00C57AD2" w:rsidRDefault="00FD13B1" w:rsidP="00F528FF">
            <w:pPr>
              <w:rPr>
                <w:rFonts w:eastAsia="SimSun"/>
                <w:color w:val="000000"/>
                <w:sz w:val="22"/>
                <w:szCs w:val="22"/>
              </w:rPr>
            </w:pPr>
            <w:r w:rsidRPr="00C57AD2">
              <w:rPr>
                <w:rFonts w:eastAsia="SimSun"/>
                <w:color w:val="000000"/>
                <w:sz w:val="22"/>
                <w:szCs w:val="22"/>
              </w:rPr>
              <w:t>33RO20131223</w:t>
            </w:r>
          </w:p>
        </w:tc>
        <w:tc>
          <w:tcPr>
            <w:tcW w:w="1096" w:type="dxa"/>
            <w:shd w:val="clear" w:color="auto" w:fill="auto"/>
            <w:noWrap/>
            <w:vAlign w:val="bottom"/>
            <w:hideMark/>
          </w:tcPr>
          <w:p w14:paraId="6648DCF2"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4580E052" w14:textId="77777777" w:rsidTr="00F528FF">
        <w:trPr>
          <w:trHeight w:val="288"/>
        </w:trPr>
        <w:tc>
          <w:tcPr>
            <w:tcW w:w="1634" w:type="dxa"/>
            <w:shd w:val="clear" w:color="auto" w:fill="auto"/>
            <w:noWrap/>
            <w:vAlign w:val="bottom"/>
            <w:hideMark/>
          </w:tcPr>
          <w:p w14:paraId="088A8DC4" w14:textId="77777777" w:rsidR="00FD13B1" w:rsidRPr="00C57AD2" w:rsidRDefault="00FD13B1" w:rsidP="00F528FF">
            <w:pPr>
              <w:rPr>
                <w:rFonts w:eastAsia="SimSun"/>
                <w:color w:val="000000"/>
                <w:sz w:val="22"/>
                <w:szCs w:val="22"/>
              </w:rPr>
            </w:pPr>
            <w:r w:rsidRPr="00C57AD2">
              <w:rPr>
                <w:rFonts w:eastAsia="SimSun"/>
                <w:color w:val="000000"/>
                <w:sz w:val="22"/>
                <w:szCs w:val="22"/>
              </w:rPr>
              <w:t>09AR20030103</w:t>
            </w:r>
          </w:p>
        </w:tc>
        <w:tc>
          <w:tcPr>
            <w:tcW w:w="986" w:type="dxa"/>
            <w:tcBorders>
              <w:right w:val="single" w:sz="4" w:space="0" w:color="auto"/>
            </w:tcBorders>
            <w:shd w:val="clear" w:color="auto" w:fill="auto"/>
            <w:noWrap/>
            <w:vAlign w:val="bottom"/>
            <w:hideMark/>
          </w:tcPr>
          <w:p w14:paraId="466D4995"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69ACA780" w14:textId="77777777" w:rsidR="00FD13B1" w:rsidRPr="00C57AD2" w:rsidRDefault="00FD13B1" w:rsidP="00F528FF">
            <w:pPr>
              <w:rPr>
                <w:rFonts w:eastAsia="SimSun"/>
                <w:color w:val="000000"/>
                <w:sz w:val="22"/>
                <w:szCs w:val="22"/>
              </w:rPr>
            </w:pPr>
            <w:r w:rsidRPr="00C57AD2">
              <w:rPr>
                <w:rFonts w:eastAsia="SimSun"/>
                <w:color w:val="000000"/>
                <w:sz w:val="22"/>
                <w:szCs w:val="22"/>
              </w:rPr>
              <w:t>35A319950113</w:t>
            </w:r>
          </w:p>
        </w:tc>
        <w:tc>
          <w:tcPr>
            <w:tcW w:w="1096" w:type="dxa"/>
            <w:shd w:val="clear" w:color="auto" w:fill="auto"/>
            <w:noWrap/>
            <w:vAlign w:val="bottom"/>
            <w:hideMark/>
          </w:tcPr>
          <w:p w14:paraId="1FA2D98E"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0483DE4D" w14:textId="77777777" w:rsidTr="00F528FF">
        <w:trPr>
          <w:trHeight w:val="288"/>
        </w:trPr>
        <w:tc>
          <w:tcPr>
            <w:tcW w:w="1634" w:type="dxa"/>
            <w:shd w:val="clear" w:color="auto" w:fill="auto"/>
            <w:noWrap/>
            <w:vAlign w:val="bottom"/>
            <w:hideMark/>
          </w:tcPr>
          <w:p w14:paraId="7C2A8B6B" w14:textId="77777777" w:rsidR="00FD13B1" w:rsidRPr="00C57AD2" w:rsidRDefault="00FD13B1" w:rsidP="00F528FF">
            <w:pPr>
              <w:rPr>
                <w:rFonts w:eastAsia="SimSun"/>
                <w:color w:val="000000"/>
                <w:sz w:val="22"/>
                <w:szCs w:val="22"/>
              </w:rPr>
            </w:pPr>
            <w:r w:rsidRPr="00C57AD2">
              <w:rPr>
                <w:rFonts w:eastAsia="SimSun"/>
                <w:color w:val="000000"/>
                <w:sz w:val="22"/>
                <w:szCs w:val="22"/>
              </w:rPr>
              <w:t>09AR20041223</w:t>
            </w:r>
          </w:p>
        </w:tc>
        <w:tc>
          <w:tcPr>
            <w:tcW w:w="986" w:type="dxa"/>
            <w:tcBorders>
              <w:right w:val="single" w:sz="4" w:space="0" w:color="auto"/>
            </w:tcBorders>
            <w:shd w:val="clear" w:color="auto" w:fill="auto"/>
            <w:noWrap/>
            <w:vAlign w:val="bottom"/>
            <w:hideMark/>
          </w:tcPr>
          <w:p w14:paraId="07337BB7"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5D1DC810" w14:textId="77777777" w:rsidR="00FD13B1" w:rsidRPr="00C57AD2" w:rsidRDefault="00FD13B1" w:rsidP="00F528FF">
            <w:pPr>
              <w:rPr>
                <w:rFonts w:eastAsia="SimSun"/>
                <w:color w:val="000000"/>
                <w:sz w:val="22"/>
                <w:szCs w:val="22"/>
              </w:rPr>
            </w:pPr>
            <w:r w:rsidRPr="00C57AD2">
              <w:rPr>
                <w:rFonts w:eastAsia="SimSun"/>
                <w:color w:val="000000"/>
                <w:sz w:val="22"/>
                <w:szCs w:val="22"/>
              </w:rPr>
              <w:t>35A319950221</w:t>
            </w:r>
          </w:p>
        </w:tc>
        <w:tc>
          <w:tcPr>
            <w:tcW w:w="1096" w:type="dxa"/>
            <w:shd w:val="clear" w:color="auto" w:fill="auto"/>
            <w:noWrap/>
            <w:vAlign w:val="bottom"/>
            <w:hideMark/>
          </w:tcPr>
          <w:p w14:paraId="5A90EA93"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6E1D9D93" w14:textId="77777777" w:rsidTr="00F528FF">
        <w:trPr>
          <w:trHeight w:val="288"/>
        </w:trPr>
        <w:tc>
          <w:tcPr>
            <w:tcW w:w="1634" w:type="dxa"/>
            <w:shd w:val="clear" w:color="auto" w:fill="auto"/>
            <w:noWrap/>
            <w:vAlign w:val="bottom"/>
            <w:hideMark/>
          </w:tcPr>
          <w:p w14:paraId="51F3DBBB" w14:textId="77777777" w:rsidR="00FD13B1" w:rsidRPr="00C57AD2" w:rsidRDefault="00FD13B1" w:rsidP="00F528FF">
            <w:pPr>
              <w:rPr>
                <w:rFonts w:eastAsia="SimSun"/>
                <w:color w:val="000000"/>
                <w:sz w:val="22"/>
                <w:szCs w:val="22"/>
              </w:rPr>
            </w:pPr>
            <w:r w:rsidRPr="00C57AD2">
              <w:rPr>
                <w:rFonts w:eastAsia="SimSun"/>
                <w:color w:val="000000"/>
                <w:sz w:val="22"/>
                <w:szCs w:val="22"/>
              </w:rPr>
              <w:t>09AR20060102</w:t>
            </w:r>
          </w:p>
        </w:tc>
        <w:tc>
          <w:tcPr>
            <w:tcW w:w="986" w:type="dxa"/>
            <w:tcBorders>
              <w:right w:val="single" w:sz="4" w:space="0" w:color="auto"/>
            </w:tcBorders>
            <w:shd w:val="clear" w:color="auto" w:fill="auto"/>
            <w:noWrap/>
            <w:vAlign w:val="bottom"/>
            <w:hideMark/>
          </w:tcPr>
          <w:p w14:paraId="134171C6"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50B66E6E" w14:textId="77777777" w:rsidR="00FD13B1" w:rsidRPr="00C57AD2" w:rsidRDefault="00FD13B1" w:rsidP="00F528FF">
            <w:pPr>
              <w:rPr>
                <w:rFonts w:eastAsia="SimSun"/>
                <w:color w:val="000000"/>
                <w:sz w:val="22"/>
                <w:szCs w:val="22"/>
              </w:rPr>
            </w:pPr>
            <w:r w:rsidRPr="00C57AD2">
              <w:rPr>
                <w:rFonts w:eastAsia="SimSun"/>
                <w:color w:val="000000"/>
                <w:sz w:val="22"/>
                <w:szCs w:val="22"/>
              </w:rPr>
              <w:t>35MF20080207</w:t>
            </w:r>
          </w:p>
        </w:tc>
        <w:tc>
          <w:tcPr>
            <w:tcW w:w="1096" w:type="dxa"/>
            <w:shd w:val="clear" w:color="auto" w:fill="auto"/>
            <w:noWrap/>
            <w:vAlign w:val="bottom"/>
            <w:hideMark/>
          </w:tcPr>
          <w:p w14:paraId="01B73FF7"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013FD14D" w14:textId="77777777" w:rsidTr="00F528FF">
        <w:trPr>
          <w:trHeight w:val="288"/>
        </w:trPr>
        <w:tc>
          <w:tcPr>
            <w:tcW w:w="1634" w:type="dxa"/>
            <w:shd w:val="clear" w:color="auto" w:fill="auto"/>
            <w:noWrap/>
            <w:vAlign w:val="bottom"/>
            <w:hideMark/>
          </w:tcPr>
          <w:p w14:paraId="01330F1D" w14:textId="77777777" w:rsidR="00FD13B1" w:rsidRPr="00C57AD2" w:rsidRDefault="00FD13B1" w:rsidP="00F528FF">
            <w:pPr>
              <w:rPr>
                <w:rFonts w:eastAsia="SimSun"/>
                <w:color w:val="000000"/>
                <w:sz w:val="22"/>
                <w:szCs w:val="22"/>
              </w:rPr>
            </w:pPr>
            <w:r w:rsidRPr="00C57AD2">
              <w:rPr>
                <w:rFonts w:eastAsia="SimSun"/>
                <w:color w:val="000000"/>
                <w:sz w:val="22"/>
                <w:szCs w:val="22"/>
              </w:rPr>
              <w:t>09AR20071216</w:t>
            </w:r>
          </w:p>
        </w:tc>
        <w:tc>
          <w:tcPr>
            <w:tcW w:w="986" w:type="dxa"/>
            <w:tcBorders>
              <w:right w:val="single" w:sz="4" w:space="0" w:color="auto"/>
            </w:tcBorders>
            <w:shd w:val="clear" w:color="auto" w:fill="auto"/>
            <w:noWrap/>
            <w:vAlign w:val="bottom"/>
            <w:hideMark/>
          </w:tcPr>
          <w:p w14:paraId="1ED77593"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4AC6380F" w14:textId="77777777" w:rsidR="00FD13B1" w:rsidRPr="00C57AD2" w:rsidRDefault="00FD13B1" w:rsidP="00F528FF">
            <w:pPr>
              <w:rPr>
                <w:rFonts w:eastAsia="SimSun"/>
                <w:color w:val="000000"/>
                <w:sz w:val="22"/>
                <w:szCs w:val="22"/>
              </w:rPr>
            </w:pPr>
            <w:r w:rsidRPr="00C57AD2">
              <w:rPr>
                <w:rFonts w:eastAsia="SimSun"/>
                <w:color w:val="000000"/>
                <w:sz w:val="22"/>
                <w:szCs w:val="22"/>
              </w:rPr>
              <w:t>49NZ20031106</w:t>
            </w:r>
          </w:p>
        </w:tc>
        <w:tc>
          <w:tcPr>
            <w:tcW w:w="1096" w:type="dxa"/>
            <w:shd w:val="clear" w:color="auto" w:fill="auto"/>
            <w:noWrap/>
            <w:vAlign w:val="bottom"/>
            <w:hideMark/>
          </w:tcPr>
          <w:p w14:paraId="31616A82"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3E6AEA20" w14:textId="77777777" w:rsidTr="00F528FF">
        <w:trPr>
          <w:trHeight w:val="288"/>
        </w:trPr>
        <w:tc>
          <w:tcPr>
            <w:tcW w:w="1634" w:type="dxa"/>
            <w:shd w:val="clear" w:color="auto" w:fill="auto"/>
            <w:noWrap/>
            <w:vAlign w:val="bottom"/>
            <w:hideMark/>
          </w:tcPr>
          <w:p w14:paraId="084D22CF" w14:textId="77777777" w:rsidR="00FD13B1" w:rsidRPr="00C57AD2" w:rsidRDefault="00FD13B1" w:rsidP="00F528FF">
            <w:pPr>
              <w:rPr>
                <w:rFonts w:eastAsia="SimSun"/>
                <w:color w:val="000000"/>
                <w:sz w:val="22"/>
                <w:szCs w:val="22"/>
              </w:rPr>
            </w:pPr>
            <w:r w:rsidRPr="00C57AD2">
              <w:rPr>
                <w:rFonts w:eastAsia="SimSun"/>
                <w:color w:val="000000"/>
                <w:sz w:val="22"/>
                <w:szCs w:val="22"/>
              </w:rPr>
              <w:t>09AR20080322</w:t>
            </w:r>
          </w:p>
        </w:tc>
        <w:tc>
          <w:tcPr>
            <w:tcW w:w="986" w:type="dxa"/>
            <w:tcBorders>
              <w:right w:val="single" w:sz="4" w:space="0" w:color="auto"/>
            </w:tcBorders>
            <w:shd w:val="clear" w:color="auto" w:fill="auto"/>
            <w:noWrap/>
            <w:vAlign w:val="bottom"/>
            <w:hideMark/>
          </w:tcPr>
          <w:p w14:paraId="123D1CA5"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4D80A2D2" w14:textId="77777777" w:rsidR="00FD13B1" w:rsidRPr="00C57AD2" w:rsidRDefault="00FD13B1" w:rsidP="00F528FF">
            <w:pPr>
              <w:rPr>
                <w:rFonts w:eastAsia="SimSun"/>
                <w:color w:val="000000"/>
                <w:sz w:val="22"/>
                <w:szCs w:val="22"/>
              </w:rPr>
            </w:pPr>
            <w:r w:rsidRPr="00C57AD2">
              <w:rPr>
                <w:rFonts w:eastAsia="SimSun"/>
                <w:color w:val="000000"/>
                <w:sz w:val="22"/>
                <w:szCs w:val="22"/>
              </w:rPr>
              <w:t>740H20081226</w:t>
            </w:r>
          </w:p>
        </w:tc>
        <w:tc>
          <w:tcPr>
            <w:tcW w:w="1096" w:type="dxa"/>
            <w:shd w:val="clear" w:color="auto" w:fill="auto"/>
            <w:noWrap/>
            <w:vAlign w:val="bottom"/>
            <w:hideMark/>
          </w:tcPr>
          <w:p w14:paraId="5AF32F50"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2550EC95" w14:textId="77777777" w:rsidTr="00F528FF">
        <w:trPr>
          <w:trHeight w:val="288"/>
        </w:trPr>
        <w:tc>
          <w:tcPr>
            <w:tcW w:w="1634" w:type="dxa"/>
            <w:shd w:val="clear" w:color="auto" w:fill="auto"/>
            <w:noWrap/>
            <w:vAlign w:val="bottom"/>
            <w:hideMark/>
          </w:tcPr>
          <w:p w14:paraId="26A4B434" w14:textId="77777777" w:rsidR="00FD13B1" w:rsidRPr="00C57AD2" w:rsidRDefault="00FD13B1" w:rsidP="00F528FF">
            <w:pPr>
              <w:rPr>
                <w:rFonts w:eastAsia="SimSun"/>
                <w:color w:val="000000"/>
                <w:sz w:val="22"/>
                <w:szCs w:val="22"/>
              </w:rPr>
            </w:pPr>
            <w:r w:rsidRPr="00C57AD2">
              <w:rPr>
                <w:rFonts w:eastAsia="SimSun"/>
                <w:color w:val="000000"/>
                <w:sz w:val="22"/>
                <w:szCs w:val="22"/>
              </w:rPr>
              <w:t>09AR20110104</w:t>
            </w:r>
          </w:p>
        </w:tc>
        <w:tc>
          <w:tcPr>
            <w:tcW w:w="986" w:type="dxa"/>
            <w:tcBorders>
              <w:right w:val="single" w:sz="4" w:space="0" w:color="auto"/>
            </w:tcBorders>
            <w:shd w:val="clear" w:color="auto" w:fill="auto"/>
            <w:noWrap/>
            <w:vAlign w:val="bottom"/>
            <w:hideMark/>
          </w:tcPr>
          <w:p w14:paraId="17A1FBEB"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3C4A35B9" w14:textId="77777777" w:rsidR="00FD13B1" w:rsidRPr="00C57AD2" w:rsidRDefault="00FD13B1" w:rsidP="00F528FF">
            <w:pPr>
              <w:rPr>
                <w:rFonts w:eastAsia="SimSun"/>
                <w:color w:val="000000"/>
                <w:sz w:val="22"/>
                <w:szCs w:val="22"/>
              </w:rPr>
            </w:pPr>
            <w:r w:rsidRPr="00C57AD2">
              <w:rPr>
                <w:rFonts w:eastAsia="SimSun"/>
                <w:color w:val="000000"/>
                <w:sz w:val="22"/>
                <w:szCs w:val="22"/>
              </w:rPr>
              <w:t>740H20090307</w:t>
            </w:r>
          </w:p>
        </w:tc>
        <w:tc>
          <w:tcPr>
            <w:tcW w:w="1096" w:type="dxa"/>
            <w:shd w:val="clear" w:color="auto" w:fill="auto"/>
            <w:noWrap/>
            <w:vAlign w:val="bottom"/>
            <w:hideMark/>
          </w:tcPr>
          <w:p w14:paraId="05FBBB66"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6A458AAC" w14:textId="77777777" w:rsidTr="00F528FF">
        <w:trPr>
          <w:trHeight w:val="288"/>
        </w:trPr>
        <w:tc>
          <w:tcPr>
            <w:tcW w:w="1634" w:type="dxa"/>
            <w:shd w:val="clear" w:color="auto" w:fill="auto"/>
            <w:noWrap/>
            <w:vAlign w:val="bottom"/>
            <w:hideMark/>
          </w:tcPr>
          <w:p w14:paraId="2C90D045" w14:textId="77777777" w:rsidR="00FD13B1" w:rsidRPr="00C57AD2" w:rsidRDefault="00FD13B1" w:rsidP="00F528FF">
            <w:pPr>
              <w:rPr>
                <w:rFonts w:eastAsia="SimSun"/>
                <w:color w:val="000000"/>
                <w:sz w:val="22"/>
                <w:szCs w:val="22"/>
              </w:rPr>
            </w:pPr>
            <w:r w:rsidRPr="00C57AD2">
              <w:rPr>
                <w:rFonts w:eastAsia="SimSun"/>
                <w:color w:val="000000"/>
                <w:sz w:val="22"/>
                <w:szCs w:val="22"/>
              </w:rPr>
              <w:t>09AR20120105</w:t>
            </w:r>
          </w:p>
        </w:tc>
        <w:tc>
          <w:tcPr>
            <w:tcW w:w="986" w:type="dxa"/>
            <w:tcBorders>
              <w:right w:val="single" w:sz="4" w:space="0" w:color="auto"/>
            </w:tcBorders>
            <w:shd w:val="clear" w:color="auto" w:fill="auto"/>
            <w:noWrap/>
            <w:vAlign w:val="bottom"/>
            <w:hideMark/>
          </w:tcPr>
          <w:p w14:paraId="4A92AD20"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78087818" w14:textId="77777777" w:rsidR="00FD13B1" w:rsidRPr="00C57AD2" w:rsidRDefault="00FD13B1" w:rsidP="00F528FF">
            <w:pPr>
              <w:rPr>
                <w:rFonts w:eastAsia="SimSun"/>
                <w:color w:val="000000"/>
                <w:sz w:val="22"/>
                <w:szCs w:val="22"/>
              </w:rPr>
            </w:pPr>
            <w:r w:rsidRPr="00C57AD2">
              <w:rPr>
                <w:rFonts w:eastAsia="SimSun"/>
                <w:color w:val="000000"/>
                <w:sz w:val="22"/>
                <w:szCs w:val="22"/>
              </w:rPr>
              <w:t>74DI19921222</w:t>
            </w:r>
          </w:p>
        </w:tc>
        <w:tc>
          <w:tcPr>
            <w:tcW w:w="1096" w:type="dxa"/>
            <w:shd w:val="clear" w:color="auto" w:fill="auto"/>
            <w:noWrap/>
            <w:vAlign w:val="bottom"/>
            <w:hideMark/>
          </w:tcPr>
          <w:p w14:paraId="77F417E4"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7EFED5D9" w14:textId="77777777" w:rsidTr="00F528FF">
        <w:trPr>
          <w:trHeight w:val="288"/>
        </w:trPr>
        <w:tc>
          <w:tcPr>
            <w:tcW w:w="1634" w:type="dxa"/>
            <w:shd w:val="clear" w:color="auto" w:fill="auto"/>
            <w:noWrap/>
            <w:vAlign w:val="bottom"/>
            <w:hideMark/>
          </w:tcPr>
          <w:p w14:paraId="08E5EAA3" w14:textId="77777777" w:rsidR="00FD13B1" w:rsidRPr="00C57AD2" w:rsidRDefault="00FD13B1" w:rsidP="00F528FF">
            <w:pPr>
              <w:rPr>
                <w:rFonts w:eastAsia="SimSun"/>
                <w:color w:val="000000"/>
                <w:sz w:val="22"/>
                <w:szCs w:val="22"/>
              </w:rPr>
            </w:pPr>
            <w:r w:rsidRPr="00C57AD2">
              <w:rPr>
                <w:rFonts w:eastAsia="SimSun"/>
                <w:color w:val="000000"/>
                <w:sz w:val="22"/>
                <w:szCs w:val="22"/>
              </w:rPr>
              <w:t>09FA19930624</w:t>
            </w:r>
          </w:p>
        </w:tc>
        <w:tc>
          <w:tcPr>
            <w:tcW w:w="986" w:type="dxa"/>
            <w:tcBorders>
              <w:right w:val="single" w:sz="4" w:space="0" w:color="auto"/>
            </w:tcBorders>
            <w:shd w:val="clear" w:color="auto" w:fill="auto"/>
            <w:noWrap/>
            <w:vAlign w:val="bottom"/>
            <w:hideMark/>
          </w:tcPr>
          <w:p w14:paraId="7767363E"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4D98F038" w14:textId="77777777" w:rsidR="00FD13B1" w:rsidRPr="00C57AD2" w:rsidRDefault="00FD13B1" w:rsidP="00F528FF">
            <w:pPr>
              <w:rPr>
                <w:rFonts w:eastAsia="SimSun"/>
                <w:color w:val="000000"/>
                <w:sz w:val="22"/>
                <w:szCs w:val="22"/>
              </w:rPr>
            </w:pPr>
            <w:r w:rsidRPr="00C57AD2">
              <w:rPr>
                <w:rFonts w:eastAsia="SimSun"/>
                <w:color w:val="000000"/>
                <w:sz w:val="22"/>
                <w:szCs w:val="22"/>
              </w:rPr>
              <w:t>74DI19930206</w:t>
            </w:r>
          </w:p>
        </w:tc>
        <w:tc>
          <w:tcPr>
            <w:tcW w:w="1096" w:type="dxa"/>
            <w:shd w:val="clear" w:color="auto" w:fill="auto"/>
            <w:noWrap/>
            <w:vAlign w:val="bottom"/>
            <w:hideMark/>
          </w:tcPr>
          <w:p w14:paraId="7F446C62"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6C14B5CF" w14:textId="77777777" w:rsidTr="00F528FF">
        <w:trPr>
          <w:trHeight w:val="288"/>
        </w:trPr>
        <w:tc>
          <w:tcPr>
            <w:tcW w:w="1634" w:type="dxa"/>
            <w:shd w:val="clear" w:color="auto" w:fill="auto"/>
            <w:noWrap/>
            <w:vAlign w:val="bottom"/>
            <w:hideMark/>
          </w:tcPr>
          <w:p w14:paraId="115ED58E" w14:textId="77777777" w:rsidR="00FD13B1" w:rsidRPr="00C57AD2" w:rsidRDefault="00FD13B1" w:rsidP="00F528FF">
            <w:pPr>
              <w:rPr>
                <w:rFonts w:eastAsia="SimSun"/>
                <w:color w:val="000000"/>
                <w:sz w:val="22"/>
                <w:szCs w:val="22"/>
              </w:rPr>
            </w:pPr>
            <w:r w:rsidRPr="00C57AD2">
              <w:rPr>
                <w:rFonts w:eastAsia="SimSun"/>
                <w:color w:val="000000"/>
                <w:sz w:val="22"/>
                <w:szCs w:val="22"/>
              </w:rPr>
              <w:t>09FA19941112</w:t>
            </w:r>
          </w:p>
        </w:tc>
        <w:tc>
          <w:tcPr>
            <w:tcW w:w="986" w:type="dxa"/>
            <w:tcBorders>
              <w:right w:val="single" w:sz="4" w:space="0" w:color="auto"/>
            </w:tcBorders>
            <w:shd w:val="clear" w:color="auto" w:fill="auto"/>
            <w:noWrap/>
            <w:vAlign w:val="bottom"/>
            <w:hideMark/>
          </w:tcPr>
          <w:p w14:paraId="7E335577"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1262AEDE" w14:textId="77777777" w:rsidR="00FD13B1" w:rsidRPr="00C57AD2" w:rsidRDefault="00FD13B1" w:rsidP="00F528FF">
            <w:pPr>
              <w:rPr>
                <w:rFonts w:eastAsia="SimSun"/>
                <w:color w:val="000000"/>
                <w:sz w:val="22"/>
                <w:szCs w:val="22"/>
              </w:rPr>
            </w:pPr>
            <w:r w:rsidRPr="00C57AD2">
              <w:rPr>
                <w:rFonts w:eastAsia="SimSun"/>
                <w:color w:val="000000"/>
                <w:sz w:val="22"/>
                <w:szCs w:val="22"/>
              </w:rPr>
              <w:t>74JC20100319</w:t>
            </w:r>
          </w:p>
        </w:tc>
        <w:tc>
          <w:tcPr>
            <w:tcW w:w="1096" w:type="dxa"/>
            <w:shd w:val="clear" w:color="auto" w:fill="auto"/>
            <w:noWrap/>
            <w:vAlign w:val="bottom"/>
            <w:hideMark/>
          </w:tcPr>
          <w:p w14:paraId="6EDB3F35"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28A4156C" w14:textId="77777777" w:rsidTr="00F528FF">
        <w:trPr>
          <w:trHeight w:val="288"/>
        </w:trPr>
        <w:tc>
          <w:tcPr>
            <w:tcW w:w="1634" w:type="dxa"/>
            <w:shd w:val="clear" w:color="auto" w:fill="auto"/>
            <w:noWrap/>
            <w:vAlign w:val="bottom"/>
            <w:hideMark/>
          </w:tcPr>
          <w:p w14:paraId="718FB338" w14:textId="77777777" w:rsidR="00FD13B1" w:rsidRPr="00C57AD2" w:rsidRDefault="00FD13B1" w:rsidP="00F528FF">
            <w:pPr>
              <w:rPr>
                <w:rFonts w:eastAsia="SimSun"/>
                <w:color w:val="000000"/>
                <w:sz w:val="22"/>
                <w:szCs w:val="22"/>
              </w:rPr>
            </w:pPr>
            <w:r w:rsidRPr="00C57AD2">
              <w:rPr>
                <w:rFonts w:eastAsia="SimSun"/>
                <w:color w:val="000000"/>
                <w:sz w:val="22"/>
                <w:szCs w:val="22"/>
              </w:rPr>
              <w:t>09FA19960507</w:t>
            </w:r>
          </w:p>
        </w:tc>
        <w:tc>
          <w:tcPr>
            <w:tcW w:w="986" w:type="dxa"/>
            <w:tcBorders>
              <w:right w:val="single" w:sz="4" w:space="0" w:color="auto"/>
            </w:tcBorders>
            <w:shd w:val="clear" w:color="auto" w:fill="auto"/>
            <w:noWrap/>
            <w:vAlign w:val="bottom"/>
            <w:hideMark/>
          </w:tcPr>
          <w:p w14:paraId="30DB5046"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68A35AAE" w14:textId="77777777" w:rsidR="00FD13B1" w:rsidRPr="00C57AD2" w:rsidRDefault="00FD13B1" w:rsidP="00F528FF">
            <w:pPr>
              <w:rPr>
                <w:rFonts w:eastAsia="SimSun"/>
                <w:color w:val="000000"/>
                <w:sz w:val="22"/>
                <w:szCs w:val="22"/>
              </w:rPr>
            </w:pPr>
            <w:r w:rsidRPr="00C57AD2">
              <w:rPr>
                <w:rFonts w:eastAsia="SimSun"/>
                <w:color w:val="000000"/>
                <w:sz w:val="22"/>
                <w:szCs w:val="22"/>
              </w:rPr>
              <w:t>74JC20151217</w:t>
            </w:r>
          </w:p>
        </w:tc>
        <w:tc>
          <w:tcPr>
            <w:tcW w:w="1096" w:type="dxa"/>
            <w:shd w:val="clear" w:color="auto" w:fill="auto"/>
            <w:noWrap/>
            <w:vAlign w:val="bottom"/>
            <w:hideMark/>
          </w:tcPr>
          <w:p w14:paraId="5DDAA977"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497235CD" w14:textId="77777777" w:rsidTr="00F528FF">
        <w:trPr>
          <w:trHeight w:val="288"/>
        </w:trPr>
        <w:tc>
          <w:tcPr>
            <w:tcW w:w="1634" w:type="dxa"/>
            <w:shd w:val="clear" w:color="auto" w:fill="auto"/>
            <w:noWrap/>
            <w:vAlign w:val="bottom"/>
            <w:hideMark/>
          </w:tcPr>
          <w:p w14:paraId="39D685E2" w14:textId="77777777" w:rsidR="00FD13B1" w:rsidRPr="00C57AD2" w:rsidRDefault="00FD13B1" w:rsidP="00F528FF">
            <w:pPr>
              <w:rPr>
                <w:rFonts w:eastAsia="SimSun"/>
                <w:color w:val="000000"/>
                <w:sz w:val="22"/>
                <w:szCs w:val="22"/>
              </w:rPr>
            </w:pPr>
            <w:r w:rsidRPr="00C57AD2">
              <w:rPr>
                <w:rFonts w:eastAsia="SimSun"/>
                <w:color w:val="000000"/>
                <w:sz w:val="22"/>
                <w:szCs w:val="22"/>
              </w:rPr>
              <w:t>09FA20000926</w:t>
            </w:r>
          </w:p>
        </w:tc>
        <w:tc>
          <w:tcPr>
            <w:tcW w:w="986" w:type="dxa"/>
            <w:tcBorders>
              <w:right w:val="single" w:sz="4" w:space="0" w:color="auto"/>
            </w:tcBorders>
            <w:shd w:val="clear" w:color="auto" w:fill="auto"/>
            <w:noWrap/>
            <w:vAlign w:val="bottom"/>
            <w:hideMark/>
          </w:tcPr>
          <w:p w14:paraId="75DB0B09"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6F435399" w14:textId="77777777" w:rsidR="00FD13B1" w:rsidRPr="00C57AD2" w:rsidRDefault="00FD13B1" w:rsidP="00F528FF">
            <w:pPr>
              <w:rPr>
                <w:rFonts w:eastAsia="SimSun"/>
                <w:color w:val="000000"/>
                <w:sz w:val="22"/>
                <w:szCs w:val="22"/>
              </w:rPr>
            </w:pPr>
            <w:r w:rsidRPr="00C57AD2">
              <w:rPr>
                <w:rFonts w:eastAsia="SimSun"/>
                <w:color w:val="000000"/>
                <w:sz w:val="22"/>
                <w:szCs w:val="22"/>
              </w:rPr>
              <w:t>32o619960503</w:t>
            </w:r>
          </w:p>
        </w:tc>
        <w:tc>
          <w:tcPr>
            <w:tcW w:w="1096" w:type="dxa"/>
            <w:shd w:val="clear" w:color="auto" w:fill="auto"/>
            <w:noWrap/>
            <w:vAlign w:val="bottom"/>
            <w:hideMark/>
          </w:tcPr>
          <w:p w14:paraId="04EB1430"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0FD8A18C" w14:textId="77777777" w:rsidTr="00F528FF">
        <w:trPr>
          <w:trHeight w:val="288"/>
        </w:trPr>
        <w:tc>
          <w:tcPr>
            <w:tcW w:w="1634" w:type="dxa"/>
            <w:shd w:val="clear" w:color="auto" w:fill="auto"/>
            <w:noWrap/>
            <w:vAlign w:val="bottom"/>
            <w:hideMark/>
          </w:tcPr>
          <w:p w14:paraId="3D86D470" w14:textId="77777777" w:rsidR="00FD13B1" w:rsidRPr="00C57AD2" w:rsidRDefault="00FD13B1" w:rsidP="00F528FF">
            <w:pPr>
              <w:rPr>
                <w:rFonts w:eastAsia="SimSun"/>
                <w:color w:val="000000"/>
                <w:sz w:val="22"/>
                <w:szCs w:val="22"/>
              </w:rPr>
            </w:pPr>
            <w:r w:rsidRPr="00C57AD2">
              <w:rPr>
                <w:rFonts w:eastAsia="SimSun"/>
                <w:color w:val="000000"/>
                <w:sz w:val="22"/>
                <w:szCs w:val="22"/>
              </w:rPr>
              <w:t>316N19941201</w:t>
            </w:r>
          </w:p>
        </w:tc>
        <w:tc>
          <w:tcPr>
            <w:tcW w:w="986" w:type="dxa"/>
            <w:tcBorders>
              <w:right w:val="single" w:sz="4" w:space="0" w:color="auto"/>
            </w:tcBorders>
            <w:shd w:val="clear" w:color="auto" w:fill="auto"/>
            <w:noWrap/>
            <w:vAlign w:val="bottom"/>
            <w:hideMark/>
          </w:tcPr>
          <w:p w14:paraId="789093CB"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5D82BB0B" w14:textId="77777777" w:rsidR="00FD13B1" w:rsidRPr="00C57AD2" w:rsidRDefault="00FD13B1" w:rsidP="00F528FF">
            <w:pPr>
              <w:rPr>
                <w:rFonts w:eastAsia="SimSun"/>
                <w:color w:val="000000"/>
                <w:sz w:val="22"/>
                <w:szCs w:val="22"/>
              </w:rPr>
            </w:pPr>
            <w:r w:rsidRPr="00C57AD2">
              <w:rPr>
                <w:rFonts w:eastAsia="SimSun"/>
                <w:color w:val="000000"/>
                <w:sz w:val="22"/>
                <w:szCs w:val="22"/>
              </w:rPr>
              <w:t>323o19940104</w:t>
            </w:r>
          </w:p>
        </w:tc>
        <w:tc>
          <w:tcPr>
            <w:tcW w:w="1096" w:type="dxa"/>
            <w:shd w:val="clear" w:color="auto" w:fill="auto"/>
            <w:noWrap/>
            <w:vAlign w:val="bottom"/>
            <w:hideMark/>
          </w:tcPr>
          <w:p w14:paraId="7B4E8F33" w14:textId="77777777" w:rsidR="00FD13B1" w:rsidRPr="00C57AD2" w:rsidRDefault="00FD13B1" w:rsidP="00F528FF">
            <w:pPr>
              <w:rPr>
                <w:rFonts w:eastAsia="SimSun"/>
                <w:color w:val="000000"/>
                <w:sz w:val="22"/>
                <w:szCs w:val="22"/>
              </w:rPr>
            </w:pPr>
            <w:r w:rsidRPr="00C57AD2">
              <w:rPr>
                <w:rFonts w:eastAsia="SimSun"/>
                <w:color w:val="000000"/>
                <w:sz w:val="22"/>
                <w:szCs w:val="22"/>
              </w:rPr>
              <w:t>Atlantic</w:t>
            </w:r>
          </w:p>
        </w:tc>
      </w:tr>
      <w:tr w:rsidR="00FD13B1" w:rsidRPr="00C57AD2" w14:paraId="4E008C7A" w14:textId="77777777" w:rsidTr="00F528FF">
        <w:trPr>
          <w:trHeight w:val="288"/>
        </w:trPr>
        <w:tc>
          <w:tcPr>
            <w:tcW w:w="1634" w:type="dxa"/>
            <w:tcBorders>
              <w:bottom w:val="single" w:sz="4" w:space="0" w:color="auto"/>
            </w:tcBorders>
            <w:shd w:val="clear" w:color="auto" w:fill="auto"/>
            <w:noWrap/>
            <w:vAlign w:val="bottom"/>
            <w:hideMark/>
          </w:tcPr>
          <w:p w14:paraId="04BA41D1" w14:textId="77777777" w:rsidR="00FD13B1" w:rsidRPr="00C57AD2" w:rsidRDefault="00FD13B1" w:rsidP="00F528FF">
            <w:pPr>
              <w:rPr>
                <w:rFonts w:eastAsia="SimSun"/>
                <w:color w:val="000000"/>
                <w:sz w:val="22"/>
                <w:szCs w:val="22"/>
              </w:rPr>
            </w:pPr>
            <w:r w:rsidRPr="00C57AD2">
              <w:rPr>
                <w:rFonts w:eastAsia="SimSun"/>
                <w:color w:val="000000"/>
                <w:sz w:val="22"/>
                <w:szCs w:val="22"/>
              </w:rPr>
              <w:t>316N19950124</w:t>
            </w:r>
          </w:p>
        </w:tc>
        <w:tc>
          <w:tcPr>
            <w:tcW w:w="986" w:type="dxa"/>
            <w:tcBorders>
              <w:bottom w:val="single" w:sz="4" w:space="0" w:color="auto"/>
              <w:right w:val="single" w:sz="4" w:space="0" w:color="auto"/>
            </w:tcBorders>
            <w:shd w:val="clear" w:color="auto" w:fill="auto"/>
            <w:noWrap/>
            <w:vAlign w:val="bottom"/>
            <w:hideMark/>
          </w:tcPr>
          <w:p w14:paraId="787BAD1D" w14:textId="77777777" w:rsidR="00FD13B1" w:rsidRPr="00C57AD2" w:rsidRDefault="00FD13B1" w:rsidP="00F528FF">
            <w:pPr>
              <w:rPr>
                <w:rFonts w:eastAsia="SimSun"/>
                <w:color w:val="000000"/>
                <w:sz w:val="22"/>
                <w:szCs w:val="22"/>
              </w:rPr>
            </w:pPr>
            <w:r w:rsidRPr="00C57AD2">
              <w:rPr>
                <w:rFonts w:eastAsia="SimSun"/>
                <w:color w:val="000000"/>
                <w:sz w:val="22"/>
                <w:szCs w:val="22"/>
              </w:rPr>
              <w:t>Indian</w:t>
            </w:r>
          </w:p>
        </w:tc>
        <w:tc>
          <w:tcPr>
            <w:tcW w:w="1646" w:type="dxa"/>
            <w:tcBorders>
              <w:left w:val="single" w:sz="4" w:space="0" w:color="auto"/>
            </w:tcBorders>
            <w:shd w:val="clear" w:color="auto" w:fill="auto"/>
            <w:noWrap/>
            <w:vAlign w:val="bottom"/>
            <w:hideMark/>
          </w:tcPr>
          <w:p w14:paraId="3BAD2899" w14:textId="77777777" w:rsidR="00FD13B1" w:rsidRPr="00C57AD2" w:rsidRDefault="00FD13B1" w:rsidP="00F528FF">
            <w:pPr>
              <w:rPr>
                <w:rFonts w:eastAsia="SimSun"/>
                <w:color w:val="000000"/>
                <w:sz w:val="22"/>
                <w:szCs w:val="22"/>
              </w:rPr>
            </w:pPr>
          </w:p>
        </w:tc>
        <w:tc>
          <w:tcPr>
            <w:tcW w:w="1096" w:type="dxa"/>
            <w:shd w:val="clear" w:color="auto" w:fill="auto"/>
            <w:noWrap/>
            <w:vAlign w:val="bottom"/>
            <w:hideMark/>
          </w:tcPr>
          <w:p w14:paraId="7CFB412E" w14:textId="77777777" w:rsidR="00FD13B1" w:rsidRPr="00C57AD2" w:rsidRDefault="00FD13B1" w:rsidP="00F528FF">
            <w:pPr>
              <w:rPr>
                <w:rFonts w:eastAsia="Times New Roman"/>
                <w:sz w:val="22"/>
                <w:szCs w:val="22"/>
              </w:rPr>
            </w:pPr>
          </w:p>
        </w:tc>
      </w:tr>
    </w:tbl>
    <w:p w14:paraId="061A0D73" w14:textId="77777777" w:rsidR="00FD13B1" w:rsidRPr="00C57AD2" w:rsidRDefault="00FD13B1" w:rsidP="00FD13B1"/>
    <w:p w14:paraId="3082A22F" w14:textId="77777777" w:rsidR="00FD13B1" w:rsidRPr="005F712B" w:rsidRDefault="00FD13B1" w:rsidP="00FD13B1">
      <w:pPr>
        <w:rPr>
          <w:sz w:val="22"/>
          <w:szCs w:val="22"/>
        </w:rPr>
      </w:pPr>
      <w:r w:rsidRPr="00C57AD2">
        <w:br w:type="page"/>
      </w:r>
      <w:r w:rsidRPr="00C57AD2">
        <w:rPr>
          <w:rFonts w:eastAsia="SimSun"/>
          <w:b/>
          <w:bCs/>
          <w:color w:val="000000" w:themeColor="text1"/>
          <w:sz w:val="22"/>
          <w:szCs w:val="22"/>
        </w:rPr>
        <w:lastRenderedPageBreak/>
        <w:t xml:space="preserve">Table S6. </w:t>
      </w:r>
      <w:r w:rsidRPr="005F712B">
        <w:rPr>
          <w:rFonts w:eastAsia="SimSun"/>
          <w:color w:val="000000" w:themeColor="text1"/>
          <w:sz w:val="22"/>
          <w:szCs w:val="22"/>
        </w:rPr>
        <w:t xml:space="preserve">Uncertainty of the estimation of </w:t>
      </w:r>
      <w:proofErr w:type="spellStart"/>
      <w:r w:rsidRPr="005F712B">
        <w:rPr>
          <w:color w:val="000000" w:themeColor="text1"/>
          <w:sz w:val="22"/>
          <w:szCs w:val="22"/>
        </w:rPr>
        <w:t>ΔN</w:t>
      </w:r>
      <w:r w:rsidRPr="005F712B">
        <w:rPr>
          <w:color w:val="000000" w:themeColor="text1"/>
          <w:sz w:val="22"/>
          <w:szCs w:val="22"/>
          <w:vertAlign w:val="subscript"/>
        </w:rPr>
        <w:t>ex</w:t>
      </w:r>
      <w:proofErr w:type="spellEnd"/>
      <w:r w:rsidRPr="005F712B">
        <w:rPr>
          <w:color w:val="000000" w:themeColor="text1"/>
          <w:sz w:val="22"/>
          <w:szCs w:val="22"/>
          <w:vertAlign w:val="subscript"/>
        </w:rPr>
        <w:t xml:space="preserve"> </w:t>
      </w:r>
      <w:r w:rsidRPr="005F712B">
        <w:rPr>
          <w:rFonts w:eastAsia="SimSun"/>
          <w:color w:val="000000" w:themeColor="text1"/>
          <w:sz w:val="22"/>
          <w:szCs w:val="22"/>
        </w:rPr>
        <w:t>water column inventory in the SO.</w:t>
      </w:r>
    </w:p>
    <w:tbl>
      <w:tblPr>
        <w:tblW w:w="8900" w:type="dxa"/>
        <w:tblLook w:val="04A0" w:firstRow="1" w:lastRow="0" w:firstColumn="1" w:lastColumn="0" w:noHBand="0" w:noVBand="1"/>
      </w:tblPr>
      <w:tblGrid>
        <w:gridCol w:w="1440"/>
        <w:gridCol w:w="1580"/>
        <w:gridCol w:w="1480"/>
        <w:gridCol w:w="1400"/>
        <w:gridCol w:w="1520"/>
        <w:gridCol w:w="1480"/>
      </w:tblGrid>
      <w:tr w:rsidR="00FD13B1" w:rsidRPr="00C57AD2" w14:paraId="702132D6" w14:textId="77777777" w:rsidTr="00F528FF">
        <w:trPr>
          <w:trHeight w:val="288"/>
        </w:trPr>
        <w:tc>
          <w:tcPr>
            <w:tcW w:w="1440" w:type="dxa"/>
            <w:tcBorders>
              <w:top w:val="single" w:sz="8" w:space="0" w:color="auto"/>
              <w:left w:val="nil"/>
              <w:bottom w:val="single" w:sz="8" w:space="0" w:color="auto"/>
              <w:right w:val="nil"/>
            </w:tcBorders>
            <w:shd w:val="clear" w:color="auto" w:fill="auto"/>
            <w:vAlign w:val="center"/>
            <w:hideMark/>
          </w:tcPr>
          <w:p w14:paraId="1E94C1C3" w14:textId="77777777" w:rsidR="00FD13B1" w:rsidRPr="00C57AD2" w:rsidRDefault="00FD13B1" w:rsidP="00F528FF">
            <w:pPr>
              <w:jc w:val="both"/>
              <w:rPr>
                <w:rFonts w:eastAsia="DengXian"/>
                <w:color w:val="000000"/>
                <w:sz w:val="22"/>
                <w:szCs w:val="22"/>
                <w:lang w:eastAsia="zh-CN"/>
              </w:rPr>
            </w:pPr>
            <w:r w:rsidRPr="00C57AD2">
              <w:rPr>
                <w:rFonts w:eastAsia="DengXian"/>
                <w:color w:val="000000"/>
                <w:sz w:val="22"/>
                <w:szCs w:val="22"/>
                <w:lang w:eastAsia="zh-CN"/>
              </w:rPr>
              <w:t>Period</w:t>
            </w:r>
          </w:p>
        </w:tc>
        <w:tc>
          <w:tcPr>
            <w:tcW w:w="1580" w:type="dxa"/>
            <w:tcBorders>
              <w:top w:val="single" w:sz="8" w:space="0" w:color="auto"/>
              <w:left w:val="nil"/>
              <w:bottom w:val="single" w:sz="8" w:space="0" w:color="auto"/>
              <w:right w:val="nil"/>
            </w:tcBorders>
            <w:shd w:val="clear" w:color="auto" w:fill="auto"/>
            <w:noWrap/>
            <w:vAlign w:val="bottom"/>
            <w:hideMark/>
          </w:tcPr>
          <w:p w14:paraId="4BDA23C4" w14:textId="77777777" w:rsidR="00FD13B1" w:rsidRPr="00C57AD2" w:rsidRDefault="00FD13B1" w:rsidP="00F528FF">
            <w:pPr>
              <w:rPr>
                <w:rFonts w:ascii="DengXian" w:eastAsia="DengXian" w:hAnsi="DengXian" w:cs="SimSun"/>
                <w:color w:val="000000"/>
                <w:sz w:val="22"/>
                <w:szCs w:val="22"/>
                <w:lang w:eastAsia="zh-CN"/>
              </w:rPr>
            </w:pPr>
            <w:r w:rsidRPr="00C57AD2">
              <w:rPr>
                <w:rFonts w:ascii="DengXian" w:eastAsia="DengXian" w:hAnsi="DengXian" w:cs="SimSun" w:hint="eastAsia"/>
                <w:color w:val="000000"/>
                <w:sz w:val="22"/>
                <w:szCs w:val="22"/>
                <w:lang w:eastAsia="zh-CN"/>
              </w:rPr>
              <w:t xml:space="preserve">　</w:t>
            </w:r>
          </w:p>
        </w:tc>
        <w:tc>
          <w:tcPr>
            <w:tcW w:w="1480" w:type="dxa"/>
            <w:tcBorders>
              <w:top w:val="single" w:sz="8" w:space="0" w:color="auto"/>
              <w:left w:val="nil"/>
              <w:bottom w:val="single" w:sz="8" w:space="0" w:color="auto"/>
              <w:right w:val="nil"/>
            </w:tcBorders>
            <w:shd w:val="clear" w:color="auto" w:fill="auto"/>
            <w:noWrap/>
            <w:vAlign w:val="center"/>
            <w:hideMark/>
          </w:tcPr>
          <w:p w14:paraId="0A9AEC73" w14:textId="77777777" w:rsidR="00FD13B1" w:rsidRPr="00C57AD2" w:rsidRDefault="00FD13B1" w:rsidP="00F528FF">
            <w:pPr>
              <w:jc w:val="both"/>
              <w:rPr>
                <w:rFonts w:eastAsia="DengXian"/>
                <w:color w:val="000000"/>
                <w:sz w:val="22"/>
                <w:szCs w:val="22"/>
                <w:lang w:eastAsia="zh-CN"/>
              </w:rPr>
            </w:pPr>
            <w:r w:rsidRPr="00C57AD2">
              <w:rPr>
                <w:rFonts w:eastAsia="DengXian"/>
                <w:color w:val="000000"/>
                <w:sz w:val="22"/>
                <w:szCs w:val="22"/>
                <w:lang w:eastAsia="zh-CN"/>
              </w:rPr>
              <w:t>Pacific Sector</w:t>
            </w:r>
          </w:p>
        </w:tc>
        <w:tc>
          <w:tcPr>
            <w:tcW w:w="1400" w:type="dxa"/>
            <w:tcBorders>
              <w:top w:val="single" w:sz="8" w:space="0" w:color="auto"/>
              <w:left w:val="nil"/>
              <w:bottom w:val="single" w:sz="8" w:space="0" w:color="auto"/>
              <w:right w:val="nil"/>
            </w:tcBorders>
            <w:shd w:val="clear" w:color="auto" w:fill="auto"/>
            <w:noWrap/>
            <w:vAlign w:val="center"/>
            <w:hideMark/>
          </w:tcPr>
          <w:p w14:paraId="746DADDF" w14:textId="77777777" w:rsidR="00FD13B1" w:rsidRPr="00C57AD2" w:rsidRDefault="00FD13B1" w:rsidP="00F528FF">
            <w:pPr>
              <w:jc w:val="both"/>
              <w:rPr>
                <w:rFonts w:eastAsia="DengXian"/>
                <w:color w:val="000000"/>
                <w:sz w:val="22"/>
                <w:szCs w:val="22"/>
                <w:lang w:eastAsia="zh-CN"/>
              </w:rPr>
            </w:pPr>
            <w:r w:rsidRPr="00C57AD2">
              <w:rPr>
                <w:rFonts w:eastAsia="DengXian"/>
                <w:color w:val="000000"/>
                <w:sz w:val="22"/>
                <w:szCs w:val="22"/>
                <w:lang w:eastAsia="zh-CN"/>
              </w:rPr>
              <w:t>Indian Sector</w:t>
            </w:r>
          </w:p>
        </w:tc>
        <w:tc>
          <w:tcPr>
            <w:tcW w:w="1520" w:type="dxa"/>
            <w:tcBorders>
              <w:top w:val="single" w:sz="8" w:space="0" w:color="auto"/>
              <w:left w:val="nil"/>
              <w:bottom w:val="single" w:sz="8" w:space="0" w:color="auto"/>
              <w:right w:val="nil"/>
            </w:tcBorders>
            <w:shd w:val="clear" w:color="auto" w:fill="auto"/>
            <w:vAlign w:val="center"/>
            <w:hideMark/>
          </w:tcPr>
          <w:p w14:paraId="2EB449C3" w14:textId="77777777" w:rsidR="00FD13B1" w:rsidRPr="00C57AD2" w:rsidRDefault="00FD13B1" w:rsidP="00F528FF">
            <w:pPr>
              <w:jc w:val="both"/>
              <w:rPr>
                <w:rFonts w:eastAsia="DengXian"/>
                <w:color w:val="000000"/>
                <w:sz w:val="22"/>
                <w:szCs w:val="22"/>
                <w:lang w:eastAsia="zh-CN"/>
              </w:rPr>
            </w:pPr>
            <w:r w:rsidRPr="00C57AD2">
              <w:rPr>
                <w:rFonts w:eastAsia="DengXian"/>
                <w:color w:val="000000"/>
                <w:sz w:val="22"/>
                <w:szCs w:val="22"/>
                <w:lang w:eastAsia="zh-CN"/>
              </w:rPr>
              <w:t>Atlantic Sector</w:t>
            </w:r>
          </w:p>
        </w:tc>
        <w:tc>
          <w:tcPr>
            <w:tcW w:w="1480" w:type="dxa"/>
            <w:tcBorders>
              <w:top w:val="single" w:sz="8" w:space="0" w:color="auto"/>
              <w:left w:val="nil"/>
              <w:bottom w:val="single" w:sz="8" w:space="0" w:color="auto"/>
              <w:right w:val="nil"/>
            </w:tcBorders>
            <w:shd w:val="clear" w:color="auto" w:fill="auto"/>
            <w:noWrap/>
            <w:vAlign w:val="center"/>
            <w:hideMark/>
          </w:tcPr>
          <w:p w14:paraId="557E7A28" w14:textId="77777777" w:rsidR="00FD13B1" w:rsidRPr="00C57AD2" w:rsidRDefault="00FD13B1" w:rsidP="00F528FF">
            <w:pPr>
              <w:jc w:val="both"/>
              <w:rPr>
                <w:rFonts w:eastAsia="DengXian"/>
                <w:color w:val="000000"/>
                <w:sz w:val="22"/>
                <w:szCs w:val="22"/>
                <w:lang w:eastAsia="zh-CN"/>
              </w:rPr>
            </w:pPr>
            <w:r w:rsidRPr="00C57AD2">
              <w:rPr>
                <w:rFonts w:eastAsia="DengXian"/>
                <w:color w:val="000000"/>
                <w:sz w:val="22"/>
                <w:szCs w:val="22"/>
                <w:lang w:eastAsia="zh-CN"/>
              </w:rPr>
              <w:t>Southern Ocean</w:t>
            </w:r>
          </w:p>
        </w:tc>
      </w:tr>
      <w:tr w:rsidR="00FD13B1" w:rsidRPr="00C57AD2" w14:paraId="01A2D8B1" w14:textId="77777777" w:rsidTr="00F528FF">
        <w:trPr>
          <w:trHeight w:val="276"/>
        </w:trPr>
        <w:tc>
          <w:tcPr>
            <w:tcW w:w="1440" w:type="dxa"/>
            <w:tcBorders>
              <w:top w:val="nil"/>
              <w:left w:val="nil"/>
              <w:bottom w:val="nil"/>
              <w:right w:val="nil"/>
            </w:tcBorders>
            <w:shd w:val="clear" w:color="auto" w:fill="auto"/>
            <w:noWrap/>
            <w:vAlign w:val="bottom"/>
            <w:hideMark/>
          </w:tcPr>
          <w:p w14:paraId="44A82192" w14:textId="77777777" w:rsidR="00FD13B1" w:rsidRPr="00C57AD2" w:rsidRDefault="00FD13B1" w:rsidP="00F528FF">
            <w:pPr>
              <w:jc w:val="both"/>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011CB230"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grid number</w:t>
            </w:r>
          </w:p>
        </w:tc>
        <w:tc>
          <w:tcPr>
            <w:tcW w:w="1480" w:type="dxa"/>
            <w:tcBorders>
              <w:top w:val="nil"/>
              <w:left w:val="nil"/>
              <w:bottom w:val="nil"/>
              <w:right w:val="nil"/>
            </w:tcBorders>
            <w:shd w:val="clear" w:color="auto" w:fill="auto"/>
            <w:noWrap/>
            <w:vAlign w:val="center"/>
            <w:hideMark/>
          </w:tcPr>
          <w:p w14:paraId="44EC8E3D"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5</w:t>
            </w:r>
            <w:r w:rsidRPr="00C57AD2">
              <w:rPr>
                <w:rFonts w:eastAsia="游明朝"/>
                <w:color w:val="000000"/>
                <w:sz w:val="22"/>
                <w:szCs w:val="22"/>
                <w:lang w:eastAsia="ja-JP"/>
              </w:rPr>
              <w:t>,</w:t>
            </w:r>
            <w:r w:rsidRPr="00C57AD2">
              <w:rPr>
                <w:rFonts w:eastAsia="DengXian"/>
                <w:color w:val="000000"/>
                <w:sz w:val="22"/>
                <w:szCs w:val="22"/>
                <w:lang w:eastAsia="zh-CN"/>
              </w:rPr>
              <w:t>309</w:t>
            </w:r>
          </w:p>
        </w:tc>
        <w:tc>
          <w:tcPr>
            <w:tcW w:w="1400" w:type="dxa"/>
            <w:tcBorders>
              <w:top w:val="nil"/>
              <w:left w:val="nil"/>
              <w:bottom w:val="nil"/>
              <w:right w:val="nil"/>
            </w:tcBorders>
            <w:shd w:val="clear" w:color="auto" w:fill="auto"/>
            <w:noWrap/>
            <w:vAlign w:val="center"/>
            <w:hideMark/>
          </w:tcPr>
          <w:p w14:paraId="421999D8"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4,365</w:t>
            </w:r>
          </w:p>
        </w:tc>
        <w:tc>
          <w:tcPr>
            <w:tcW w:w="1520" w:type="dxa"/>
            <w:tcBorders>
              <w:top w:val="nil"/>
              <w:left w:val="nil"/>
              <w:bottom w:val="nil"/>
              <w:right w:val="nil"/>
            </w:tcBorders>
            <w:shd w:val="clear" w:color="auto" w:fill="auto"/>
            <w:vAlign w:val="center"/>
            <w:hideMark/>
          </w:tcPr>
          <w:p w14:paraId="6B2FD70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2,802</w:t>
            </w:r>
          </w:p>
        </w:tc>
        <w:tc>
          <w:tcPr>
            <w:tcW w:w="1480" w:type="dxa"/>
            <w:tcBorders>
              <w:top w:val="nil"/>
              <w:left w:val="nil"/>
              <w:bottom w:val="nil"/>
              <w:right w:val="nil"/>
            </w:tcBorders>
            <w:shd w:val="clear" w:color="auto" w:fill="auto"/>
            <w:noWrap/>
            <w:vAlign w:val="center"/>
            <w:hideMark/>
          </w:tcPr>
          <w:p w14:paraId="2559D090"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12,476</w:t>
            </w:r>
          </w:p>
        </w:tc>
      </w:tr>
      <w:tr w:rsidR="00FD13B1" w:rsidRPr="00C57AD2" w14:paraId="7A0C59B6" w14:textId="77777777" w:rsidTr="00F528FF">
        <w:trPr>
          <w:trHeight w:val="276"/>
        </w:trPr>
        <w:tc>
          <w:tcPr>
            <w:tcW w:w="1440" w:type="dxa"/>
            <w:tcBorders>
              <w:top w:val="nil"/>
              <w:left w:val="nil"/>
              <w:bottom w:val="nil"/>
              <w:right w:val="nil"/>
            </w:tcBorders>
            <w:shd w:val="clear" w:color="auto" w:fill="auto"/>
            <w:vAlign w:val="center"/>
            <w:hideMark/>
          </w:tcPr>
          <w:p w14:paraId="5F5FB080"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1990s–2000s</w:t>
            </w:r>
          </w:p>
        </w:tc>
        <w:tc>
          <w:tcPr>
            <w:tcW w:w="1580" w:type="dxa"/>
            <w:tcBorders>
              <w:top w:val="nil"/>
              <w:left w:val="nil"/>
              <w:bottom w:val="nil"/>
              <w:right w:val="nil"/>
            </w:tcBorders>
            <w:shd w:val="clear" w:color="auto" w:fill="auto"/>
            <w:noWrap/>
            <w:vAlign w:val="bottom"/>
            <w:hideMark/>
          </w:tcPr>
          <w:p w14:paraId="75031329"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average</w:t>
            </w:r>
          </w:p>
        </w:tc>
        <w:tc>
          <w:tcPr>
            <w:tcW w:w="1480" w:type="dxa"/>
            <w:tcBorders>
              <w:top w:val="nil"/>
              <w:left w:val="nil"/>
              <w:bottom w:val="nil"/>
              <w:right w:val="nil"/>
            </w:tcBorders>
            <w:shd w:val="clear" w:color="auto" w:fill="auto"/>
            <w:noWrap/>
            <w:vAlign w:val="center"/>
            <w:hideMark/>
          </w:tcPr>
          <w:p w14:paraId="12031072"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0.0044</w:t>
            </w:r>
          </w:p>
        </w:tc>
        <w:tc>
          <w:tcPr>
            <w:tcW w:w="1400" w:type="dxa"/>
            <w:tcBorders>
              <w:top w:val="nil"/>
              <w:left w:val="nil"/>
              <w:bottom w:val="nil"/>
              <w:right w:val="nil"/>
            </w:tcBorders>
            <w:shd w:val="clear" w:color="auto" w:fill="auto"/>
            <w:noWrap/>
            <w:vAlign w:val="center"/>
            <w:hideMark/>
          </w:tcPr>
          <w:p w14:paraId="1A9AA55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0.0009</w:t>
            </w:r>
          </w:p>
        </w:tc>
        <w:tc>
          <w:tcPr>
            <w:tcW w:w="1520" w:type="dxa"/>
            <w:tcBorders>
              <w:top w:val="nil"/>
              <w:left w:val="nil"/>
              <w:bottom w:val="nil"/>
              <w:right w:val="nil"/>
            </w:tcBorders>
            <w:shd w:val="clear" w:color="auto" w:fill="auto"/>
            <w:vAlign w:val="center"/>
            <w:hideMark/>
          </w:tcPr>
          <w:p w14:paraId="39C55F08"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0.0055</w:t>
            </w:r>
          </w:p>
        </w:tc>
        <w:tc>
          <w:tcPr>
            <w:tcW w:w="1480" w:type="dxa"/>
            <w:tcBorders>
              <w:top w:val="nil"/>
              <w:left w:val="nil"/>
              <w:bottom w:val="nil"/>
              <w:right w:val="nil"/>
            </w:tcBorders>
            <w:shd w:val="clear" w:color="auto" w:fill="auto"/>
            <w:noWrap/>
            <w:vAlign w:val="center"/>
            <w:hideMark/>
          </w:tcPr>
          <w:p w14:paraId="63DB95BD"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0.3652</w:t>
            </w:r>
          </w:p>
        </w:tc>
      </w:tr>
      <w:tr w:rsidR="00FD13B1" w:rsidRPr="00C57AD2" w14:paraId="7C3E6646" w14:textId="77777777" w:rsidTr="00F528FF">
        <w:trPr>
          <w:trHeight w:val="276"/>
        </w:trPr>
        <w:tc>
          <w:tcPr>
            <w:tcW w:w="1440" w:type="dxa"/>
            <w:tcBorders>
              <w:top w:val="nil"/>
              <w:left w:val="nil"/>
              <w:bottom w:val="nil"/>
              <w:right w:val="nil"/>
            </w:tcBorders>
            <w:shd w:val="clear" w:color="auto" w:fill="auto"/>
            <w:vAlign w:val="center"/>
            <w:hideMark/>
          </w:tcPr>
          <w:p w14:paraId="46DA8417" w14:textId="77777777" w:rsidR="00FD13B1" w:rsidRPr="00C57AD2" w:rsidRDefault="00FD13B1" w:rsidP="00F528FF">
            <w:pPr>
              <w:jc w:val="center"/>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480A52A0"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SE</w:t>
            </w:r>
          </w:p>
        </w:tc>
        <w:tc>
          <w:tcPr>
            <w:tcW w:w="1480" w:type="dxa"/>
            <w:tcBorders>
              <w:top w:val="nil"/>
              <w:left w:val="nil"/>
              <w:bottom w:val="nil"/>
              <w:right w:val="nil"/>
            </w:tcBorders>
            <w:shd w:val="clear" w:color="auto" w:fill="auto"/>
            <w:noWrap/>
            <w:vAlign w:val="center"/>
            <w:hideMark/>
          </w:tcPr>
          <w:p w14:paraId="4F10B00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0.00016</w:t>
            </w:r>
          </w:p>
        </w:tc>
        <w:tc>
          <w:tcPr>
            <w:tcW w:w="1400" w:type="dxa"/>
            <w:tcBorders>
              <w:top w:val="nil"/>
              <w:left w:val="nil"/>
              <w:bottom w:val="nil"/>
              <w:right w:val="nil"/>
            </w:tcBorders>
            <w:shd w:val="clear" w:color="auto" w:fill="auto"/>
            <w:noWrap/>
            <w:vAlign w:val="center"/>
            <w:hideMark/>
          </w:tcPr>
          <w:p w14:paraId="4E3D9F3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0.00021</w:t>
            </w:r>
          </w:p>
        </w:tc>
        <w:tc>
          <w:tcPr>
            <w:tcW w:w="1520" w:type="dxa"/>
            <w:tcBorders>
              <w:top w:val="nil"/>
              <w:left w:val="nil"/>
              <w:bottom w:val="nil"/>
              <w:right w:val="nil"/>
            </w:tcBorders>
            <w:shd w:val="clear" w:color="auto" w:fill="auto"/>
            <w:vAlign w:val="center"/>
            <w:hideMark/>
          </w:tcPr>
          <w:p w14:paraId="2D129E7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0.00022</w:t>
            </w:r>
          </w:p>
        </w:tc>
        <w:tc>
          <w:tcPr>
            <w:tcW w:w="1480" w:type="dxa"/>
            <w:tcBorders>
              <w:top w:val="nil"/>
              <w:left w:val="nil"/>
              <w:bottom w:val="nil"/>
              <w:right w:val="nil"/>
            </w:tcBorders>
            <w:shd w:val="clear" w:color="auto" w:fill="auto"/>
            <w:noWrap/>
            <w:vAlign w:val="center"/>
            <w:hideMark/>
          </w:tcPr>
          <w:p w14:paraId="3E55CA4B"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0.01628</w:t>
            </w:r>
          </w:p>
        </w:tc>
      </w:tr>
      <w:tr w:rsidR="00FD13B1" w:rsidRPr="00C57AD2" w14:paraId="4DB6449B" w14:textId="77777777" w:rsidTr="00F528FF">
        <w:trPr>
          <w:trHeight w:val="276"/>
        </w:trPr>
        <w:tc>
          <w:tcPr>
            <w:tcW w:w="1440" w:type="dxa"/>
            <w:tcBorders>
              <w:top w:val="nil"/>
              <w:left w:val="nil"/>
              <w:bottom w:val="nil"/>
              <w:right w:val="nil"/>
            </w:tcBorders>
            <w:shd w:val="clear" w:color="auto" w:fill="auto"/>
            <w:vAlign w:val="center"/>
            <w:hideMark/>
          </w:tcPr>
          <w:p w14:paraId="00E69321" w14:textId="77777777" w:rsidR="00FD13B1" w:rsidRPr="00C57AD2" w:rsidRDefault="00FD13B1" w:rsidP="00F528FF">
            <w:pPr>
              <w:jc w:val="center"/>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28A70AAB" w14:textId="77777777" w:rsidR="00FD13B1" w:rsidRPr="00C57AD2" w:rsidRDefault="00FD13B1" w:rsidP="00F528FF">
            <w:pPr>
              <w:rPr>
                <w:rFonts w:eastAsia="DengXian"/>
                <w:i/>
                <w:iCs/>
                <w:color w:val="000000"/>
                <w:sz w:val="22"/>
                <w:szCs w:val="22"/>
                <w:lang w:eastAsia="zh-CN"/>
              </w:rPr>
            </w:pPr>
            <w:r w:rsidRPr="00C57AD2">
              <w:rPr>
                <w:rFonts w:eastAsia="DengXian"/>
                <w:i/>
                <w:iCs/>
                <w:color w:val="000000"/>
                <w:sz w:val="22"/>
                <w:szCs w:val="22"/>
                <w:lang w:eastAsia="zh-CN"/>
              </w:rPr>
              <w:t>uncertainty</w:t>
            </w:r>
          </w:p>
        </w:tc>
        <w:tc>
          <w:tcPr>
            <w:tcW w:w="1480" w:type="dxa"/>
            <w:tcBorders>
              <w:top w:val="nil"/>
              <w:left w:val="nil"/>
              <w:bottom w:val="nil"/>
              <w:right w:val="nil"/>
            </w:tcBorders>
            <w:shd w:val="clear" w:color="auto" w:fill="auto"/>
            <w:noWrap/>
            <w:vAlign w:val="center"/>
            <w:hideMark/>
          </w:tcPr>
          <w:p w14:paraId="2B510602"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c>
          <w:tcPr>
            <w:tcW w:w="1400" w:type="dxa"/>
            <w:tcBorders>
              <w:top w:val="nil"/>
              <w:left w:val="nil"/>
              <w:bottom w:val="nil"/>
              <w:right w:val="nil"/>
            </w:tcBorders>
            <w:shd w:val="clear" w:color="auto" w:fill="auto"/>
            <w:noWrap/>
            <w:vAlign w:val="center"/>
            <w:hideMark/>
          </w:tcPr>
          <w:p w14:paraId="5E604F6E"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22%</w:t>
            </w:r>
          </w:p>
        </w:tc>
        <w:tc>
          <w:tcPr>
            <w:tcW w:w="1520" w:type="dxa"/>
            <w:tcBorders>
              <w:top w:val="nil"/>
              <w:left w:val="nil"/>
              <w:bottom w:val="nil"/>
              <w:right w:val="nil"/>
            </w:tcBorders>
            <w:shd w:val="clear" w:color="auto" w:fill="auto"/>
            <w:vAlign w:val="center"/>
            <w:hideMark/>
          </w:tcPr>
          <w:p w14:paraId="2FD4293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c>
          <w:tcPr>
            <w:tcW w:w="1480" w:type="dxa"/>
            <w:tcBorders>
              <w:top w:val="nil"/>
              <w:left w:val="nil"/>
              <w:bottom w:val="nil"/>
              <w:right w:val="nil"/>
            </w:tcBorders>
            <w:shd w:val="clear" w:color="auto" w:fill="auto"/>
            <w:noWrap/>
            <w:vAlign w:val="center"/>
            <w:hideMark/>
          </w:tcPr>
          <w:p w14:paraId="793DAA2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r>
      <w:tr w:rsidR="00FD13B1" w:rsidRPr="00C57AD2" w14:paraId="512C99A5" w14:textId="77777777" w:rsidTr="00F528FF">
        <w:trPr>
          <w:trHeight w:val="276"/>
        </w:trPr>
        <w:tc>
          <w:tcPr>
            <w:tcW w:w="1440" w:type="dxa"/>
            <w:tcBorders>
              <w:top w:val="nil"/>
              <w:left w:val="nil"/>
              <w:bottom w:val="nil"/>
              <w:right w:val="nil"/>
            </w:tcBorders>
            <w:shd w:val="clear" w:color="auto" w:fill="auto"/>
            <w:vAlign w:val="center"/>
            <w:hideMark/>
          </w:tcPr>
          <w:p w14:paraId="6472DA6E"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2000s–2010s</w:t>
            </w:r>
          </w:p>
        </w:tc>
        <w:tc>
          <w:tcPr>
            <w:tcW w:w="1580" w:type="dxa"/>
            <w:tcBorders>
              <w:top w:val="nil"/>
              <w:left w:val="nil"/>
              <w:bottom w:val="nil"/>
              <w:right w:val="nil"/>
            </w:tcBorders>
            <w:shd w:val="clear" w:color="auto" w:fill="auto"/>
            <w:noWrap/>
            <w:vAlign w:val="bottom"/>
            <w:hideMark/>
          </w:tcPr>
          <w:p w14:paraId="25328BEC"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average</w:t>
            </w:r>
          </w:p>
        </w:tc>
        <w:tc>
          <w:tcPr>
            <w:tcW w:w="1480" w:type="dxa"/>
            <w:tcBorders>
              <w:top w:val="nil"/>
              <w:left w:val="nil"/>
              <w:bottom w:val="nil"/>
              <w:right w:val="nil"/>
            </w:tcBorders>
            <w:shd w:val="clear" w:color="auto" w:fill="auto"/>
            <w:noWrap/>
            <w:vAlign w:val="center"/>
            <w:hideMark/>
          </w:tcPr>
          <w:p w14:paraId="1F2EAE09"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0.0042</w:t>
            </w:r>
          </w:p>
        </w:tc>
        <w:tc>
          <w:tcPr>
            <w:tcW w:w="1400" w:type="dxa"/>
            <w:tcBorders>
              <w:top w:val="nil"/>
              <w:left w:val="nil"/>
              <w:bottom w:val="nil"/>
              <w:right w:val="nil"/>
            </w:tcBorders>
            <w:shd w:val="clear" w:color="auto" w:fill="auto"/>
            <w:noWrap/>
            <w:vAlign w:val="center"/>
            <w:hideMark/>
          </w:tcPr>
          <w:p w14:paraId="5CD745D1"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0.0230</w:t>
            </w:r>
          </w:p>
        </w:tc>
        <w:tc>
          <w:tcPr>
            <w:tcW w:w="1520" w:type="dxa"/>
            <w:tcBorders>
              <w:top w:val="nil"/>
              <w:left w:val="nil"/>
              <w:bottom w:val="nil"/>
              <w:right w:val="nil"/>
            </w:tcBorders>
            <w:shd w:val="clear" w:color="auto" w:fill="auto"/>
            <w:vAlign w:val="center"/>
            <w:hideMark/>
          </w:tcPr>
          <w:p w14:paraId="499E45C2"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0.0069</w:t>
            </w:r>
          </w:p>
        </w:tc>
        <w:tc>
          <w:tcPr>
            <w:tcW w:w="1480" w:type="dxa"/>
            <w:tcBorders>
              <w:top w:val="nil"/>
              <w:left w:val="nil"/>
              <w:bottom w:val="nil"/>
              <w:right w:val="nil"/>
            </w:tcBorders>
            <w:shd w:val="clear" w:color="auto" w:fill="auto"/>
            <w:noWrap/>
            <w:vAlign w:val="center"/>
            <w:hideMark/>
          </w:tcPr>
          <w:p w14:paraId="57E6ED5B"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0.9354</w:t>
            </w:r>
          </w:p>
        </w:tc>
      </w:tr>
      <w:tr w:rsidR="00FD13B1" w:rsidRPr="00C57AD2" w14:paraId="36EA396E" w14:textId="77777777" w:rsidTr="00F528FF">
        <w:trPr>
          <w:trHeight w:val="276"/>
        </w:trPr>
        <w:tc>
          <w:tcPr>
            <w:tcW w:w="1440" w:type="dxa"/>
            <w:tcBorders>
              <w:top w:val="nil"/>
              <w:left w:val="nil"/>
              <w:bottom w:val="nil"/>
              <w:right w:val="nil"/>
            </w:tcBorders>
            <w:shd w:val="clear" w:color="auto" w:fill="auto"/>
            <w:vAlign w:val="center"/>
            <w:hideMark/>
          </w:tcPr>
          <w:p w14:paraId="370F23C3" w14:textId="77777777" w:rsidR="00FD13B1" w:rsidRPr="00C57AD2" w:rsidRDefault="00FD13B1" w:rsidP="00F528FF">
            <w:pPr>
              <w:jc w:val="center"/>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5ADBBAFE"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SE</w:t>
            </w:r>
          </w:p>
        </w:tc>
        <w:tc>
          <w:tcPr>
            <w:tcW w:w="1480" w:type="dxa"/>
            <w:tcBorders>
              <w:top w:val="nil"/>
              <w:left w:val="nil"/>
              <w:bottom w:val="nil"/>
              <w:right w:val="nil"/>
            </w:tcBorders>
            <w:shd w:val="clear" w:color="auto" w:fill="auto"/>
            <w:noWrap/>
            <w:vAlign w:val="center"/>
            <w:hideMark/>
          </w:tcPr>
          <w:p w14:paraId="3AA1833B"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0.00016</w:t>
            </w:r>
          </w:p>
        </w:tc>
        <w:tc>
          <w:tcPr>
            <w:tcW w:w="1400" w:type="dxa"/>
            <w:tcBorders>
              <w:top w:val="nil"/>
              <w:left w:val="nil"/>
              <w:bottom w:val="nil"/>
              <w:right w:val="nil"/>
            </w:tcBorders>
            <w:shd w:val="clear" w:color="auto" w:fill="auto"/>
            <w:noWrap/>
            <w:vAlign w:val="center"/>
            <w:hideMark/>
          </w:tcPr>
          <w:p w14:paraId="613449EB"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0.00036</w:t>
            </w:r>
          </w:p>
        </w:tc>
        <w:tc>
          <w:tcPr>
            <w:tcW w:w="1520" w:type="dxa"/>
            <w:tcBorders>
              <w:top w:val="nil"/>
              <w:left w:val="nil"/>
              <w:bottom w:val="nil"/>
              <w:right w:val="nil"/>
            </w:tcBorders>
            <w:shd w:val="clear" w:color="auto" w:fill="auto"/>
            <w:vAlign w:val="center"/>
            <w:hideMark/>
          </w:tcPr>
          <w:p w14:paraId="2E04B442"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0.00033</w:t>
            </w:r>
          </w:p>
        </w:tc>
        <w:tc>
          <w:tcPr>
            <w:tcW w:w="1480" w:type="dxa"/>
            <w:tcBorders>
              <w:top w:val="nil"/>
              <w:left w:val="nil"/>
              <w:bottom w:val="nil"/>
              <w:right w:val="nil"/>
            </w:tcBorders>
            <w:shd w:val="clear" w:color="auto" w:fill="auto"/>
            <w:noWrap/>
            <w:vAlign w:val="center"/>
            <w:hideMark/>
          </w:tcPr>
          <w:p w14:paraId="0584136F"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0.02455</w:t>
            </w:r>
          </w:p>
        </w:tc>
      </w:tr>
      <w:tr w:rsidR="00FD13B1" w:rsidRPr="00C57AD2" w14:paraId="2DA907AF" w14:textId="77777777" w:rsidTr="00F528FF">
        <w:trPr>
          <w:trHeight w:val="276"/>
        </w:trPr>
        <w:tc>
          <w:tcPr>
            <w:tcW w:w="1440" w:type="dxa"/>
            <w:tcBorders>
              <w:top w:val="nil"/>
              <w:left w:val="nil"/>
              <w:bottom w:val="nil"/>
              <w:right w:val="nil"/>
            </w:tcBorders>
            <w:shd w:val="clear" w:color="auto" w:fill="auto"/>
            <w:vAlign w:val="center"/>
            <w:hideMark/>
          </w:tcPr>
          <w:p w14:paraId="52A9FBF7" w14:textId="77777777" w:rsidR="00FD13B1" w:rsidRPr="00C57AD2" w:rsidRDefault="00FD13B1" w:rsidP="00F528FF">
            <w:pPr>
              <w:jc w:val="center"/>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5E3405C0" w14:textId="77777777" w:rsidR="00FD13B1" w:rsidRPr="00C57AD2" w:rsidRDefault="00FD13B1" w:rsidP="00F528FF">
            <w:pPr>
              <w:rPr>
                <w:rFonts w:eastAsia="DengXian"/>
                <w:i/>
                <w:iCs/>
                <w:color w:val="000000"/>
                <w:sz w:val="22"/>
                <w:szCs w:val="22"/>
                <w:lang w:eastAsia="zh-CN"/>
              </w:rPr>
            </w:pPr>
            <w:r w:rsidRPr="00C57AD2">
              <w:rPr>
                <w:rFonts w:eastAsia="DengXian"/>
                <w:i/>
                <w:iCs/>
                <w:color w:val="000000"/>
                <w:sz w:val="22"/>
                <w:szCs w:val="22"/>
                <w:lang w:eastAsia="zh-CN"/>
              </w:rPr>
              <w:t>uncertainty</w:t>
            </w:r>
          </w:p>
        </w:tc>
        <w:tc>
          <w:tcPr>
            <w:tcW w:w="1480" w:type="dxa"/>
            <w:tcBorders>
              <w:top w:val="nil"/>
              <w:left w:val="nil"/>
              <w:bottom w:val="nil"/>
              <w:right w:val="nil"/>
            </w:tcBorders>
            <w:shd w:val="clear" w:color="auto" w:fill="auto"/>
            <w:noWrap/>
            <w:vAlign w:val="center"/>
            <w:hideMark/>
          </w:tcPr>
          <w:p w14:paraId="0CCD7A7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c>
          <w:tcPr>
            <w:tcW w:w="1400" w:type="dxa"/>
            <w:tcBorders>
              <w:top w:val="nil"/>
              <w:left w:val="nil"/>
              <w:bottom w:val="nil"/>
              <w:right w:val="nil"/>
            </w:tcBorders>
            <w:shd w:val="clear" w:color="auto" w:fill="auto"/>
            <w:noWrap/>
            <w:vAlign w:val="center"/>
            <w:hideMark/>
          </w:tcPr>
          <w:p w14:paraId="41E0917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2%</w:t>
            </w:r>
          </w:p>
        </w:tc>
        <w:tc>
          <w:tcPr>
            <w:tcW w:w="1520" w:type="dxa"/>
            <w:tcBorders>
              <w:top w:val="nil"/>
              <w:left w:val="nil"/>
              <w:bottom w:val="nil"/>
              <w:right w:val="nil"/>
            </w:tcBorders>
            <w:shd w:val="clear" w:color="auto" w:fill="auto"/>
            <w:vAlign w:val="center"/>
            <w:hideMark/>
          </w:tcPr>
          <w:p w14:paraId="5F390800"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5%</w:t>
            </w:r>
          </w:p>
        </w:tc>
        <w:tc>
          <w:tcPr>
            <w:tcW w:w="1480" w:type="dxa"/>
            <w:tcBorders>
              <w:top w:val="nil"/>
              <w:left w:val="nil"/>
              <w:bottom w:val="nil"/>
              <w:right w:val="nil"/>
            </w:tcBorders>
            <w:shd w:val="clear" w:color="auto" w:fill="auto"/>
            <w:noWrap/>
            <w:vAlign w:val="center"/>
            <w:hideMark/>
          </w:tcPr>
          <w:p w14:paraId="29F4C151"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3%</w:t>
            </w:r>
          </w:p>
        </w:tc>
      </w:tr>
      <w:tr w:rsidR="00FD13B1" w:rsidRPr="00C57AD2" w14:paraId="050135F3" w14:textId="77777777" w:rsidTr="00F528FF">
        <w:trPr>
          <w:trHeight w:val="276"/>
        </w:trPr>
        <w:tc>
          <w:tcPr>
            <w:tcW w:w="1440" w:type="dxa"/>
            <w:tcBorders>
              <w:top w:val="nil"/>
              <w:left w:val="nil"/>
              <w:bottom w:val="nil"/>
              <w:right w:val="nil"/>
            </w:tcBorders>
            <w:shd w:val="clear" w:color="auto" w:fill="auto"/>
            <w:vAlign w:val="center"/>
            <w:hideMark/>
          </w:tcPr>
          <w:p w14:paraId="48989473"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1990s–2010s</w:t>
            </w:r>
          </w:p>
        </w:tc>
        <w:tc>
          <w:tcPr>
            <w:tcW w:w="1580" w:type="dxa"/>
            <w:tcBorders>
              <w:top w:val="nil"/>
              <w:left w:val="nil"/>
              <w:bottom w:val="nil"/>
              <w:right w:val="nil"/>
            </w:tcBorders>
            <w:shd w:val="clear" w:color="auto" w:fill="auto"/>
            <w:noWrap/>
            <w:vAlign w:val="bottom"/>
            <w:hideMark/>
          </w:tcPr>
          <w:p w14:paraId="2083CB62"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average</w:t>
            </w:r>
          </w:p>
        </w:tc>
        <w:tc>
          <w:tcPr>
            <w:tcW w:w="1480" w:type="dxa"/>
            <w:tcBorders>
              <w:top w:val="nil"/>
              <w:left w:val="nil"/>
              <w:bottom w:val="nil"/>
              <w:right w:val="nil"/>
            </w:tcBorders>
            <w:shd w:val="clear" w:color="auto" w:fill="auto"/>
            <w:noWrap/>
            <w:vAlign w:val="center"/>
            <w:hideMark/>
          </w:tcPr>
          <w:p w14:paraId="7B1E2CA4"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0.0043</w:t>
            </w:r>
          </w:p>
        </w:tc>
        <w:tc>
          <w:tcPr>
            <w:tcW w:w="1400" w:type="dxa"/>
            <w:tcBorders>
              <w:top w:val="nil"/>
              <w:left w:val="nil"/>
              <w:bottom w:val="nil"/>
              <w:right w:val="nil"/>
            </w:tcBorders>
            <w:shd w:val="clear" w:color="auto" w:fill="auto"/>
            <w:noWrap/>
            <w:vAlign w:val="center"/>
            <w:hideMark/>
          </w:tcPr>
          <w:p w14:paraId="4FA378B4"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0.0107</w:t>
            </w:r>
          </w:p>
        </w:tc>
        <w:tc>
          <w:tcPr>
            <w:tcW w:w="1520" w:type="dxa"/>
            <w:tcBorders>
              <w:top w:val="nil"/>
              <w:left w:val="nil"/>
              <w:bottom w:val="nil"/>
              <w:right w:val="nil"/>
            </w:tcBorders>
            <w:shd w:val="clear" w:color="auto" w:fill="auto"/>
            <w:vAlign w:val="center"/>
            <w:hideMark/>
          </w:tcPr>
          <w:p w14:paraId="4D5A653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0.0061</w:t>
            </w:r>
          </w:p>
        </w:tc>
        <w:tc>
          <w:tcPr>
            <w:tcW w:w="1480" w:type="dxa"/>
            <w:tcBorders>
              <w:top w:val="nil"/>
              <w:left w:val="nil"/>
              <w:bottom w:val="nil"/>
              <w:right w:val="nil"/>
            </w:tcBorders>
            <w:shd w:val="clear" w:color="auto" w:fill="auto"/>
            <w:noWrap/>
            <w:vAlign w:val="center"/>
            <w:hideMark/>
          </w:tcPr>
          <w:p w14:paraId="1FEA9274"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0.6186</w:t>
            </w:r>
          </w:p>
        </w:tc>
      </w:tr>
      <w:tr w:rsidR="00FD13B1" w:rsidRPr="00C57AD2" w14:paraId="1908D274" w14:textId="77777777" w:rsidTr="00F528FF">
        <w:trPr>
          <w:trHeight w:val="276"/>
        </w:trPr>
        <w:tc>
          <w:tcPr>
            <w:tcW w:w="1440" w:type="dxa"/>
            <w:tcBorders>
              <w:top w:val="nil"/>
              <w:left w:val="nil"/>
              <w:bottom w:val="nil"/>
              <w:right w:val="nil"/>
            </w:tcBorders>
            <w:shd w:val="clear" w:color="auto" w:fill="auto"/>
            <w:vAlign w:val="center"/>
            <w:hideMark/>
          </w:tcPr>
          <w:p w14:paraId="1A7F5B89" w14:textId="77777777" w:rsidR="00FD13B1" w:rsidRPr="00C57AD2" w:rsidRDefault="00FD13B1" w:rsidP="00F528FF">
            <w:pPr>
              <w:jc w:val="center"/>
              <w:rPr>
                <w:rFonts w:eastAsia="DengXian"/>
                <w:color w:val="000000"/>
                <w:sz w:val="22"/>
                <w:szCs w:val="22"/>
                <w:lang w:eastAsia="zh-CN"/>
              </w:rPr>
            </w:pPr>
          </w:p>
        </w:tc>
        <w:tc>
          <w:tcPr>
            <w:tcW w:w="1580" w:type="dxa"/>
            <w:tcBorders>
              <w:top w:val="nil"/>
              <w:left w:val="nil"/>
              <w:bottom w:val="nil"/>
              <w:right w:val="nil"/>
            </w:tcBorders>
            <w:shd w:val="clear" w:color="auto" w:fill="auto"/>
            <w:noWrap/>
            <w:vAlign w:val="bottom"/>
            <w:hideMark/>
          </w:tcPr>
          <w:p w14:paraId="22E74959" w14:textId="77777777" w:rsidR="00FD13B1" w:rsidRPr="00C57AD2" w:rsidRDefault="00FD13B1" w:rsidP="00F528FF">
            <w:pPr>
              <w:rPr>
                <w:rFonts w:eastAsia="DengXian"/>
                <w:color w:val="000000"/>
                <w:sz w:val="22"/>
                <w:szCs w:val="22"/>
                <w:lang w:eastAsia="zh-CN"/>
              </w:rPr>
            </w:pPr>
            <w:r w:rsidRPr="00C57AD2">
              <w:rPr>
                <w:rFonts w:eastAsia="DengXian"/>
                <w:color w:val="000000"/>
                <w:sz w:val="22"/>
                <w:szCs w:val="22"/>
                <w:lang w:eastAsia="zh-CN"/>
              </w:rPr>
              <w:t>SE</w:t>
            </w:r>
          </w:p>
        </w:tc>
        <w:tc>
          <w:tcPr>
            <w:tcW w:w="1480" w:type="dxa"/>
            <w:tcBorders>
              <w:top w:val="nil"/>
              <w:left w:val="nil"/>
              <w:bottom w:val="nil"/>
              <w:right w:val="nil"/>
            </w:tcBorders>
            <w:shd w:val="clear" w:color="auto" w:fill="auto"/>
            <w:noWrap/>
            <w:vAlign w:val="center"/>
            <w:hideMark/>
          </w:tcPr>
          <w:p w14:paraId="1DF5A61D"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0.00016</w:t>
            </w:r>
          </w:p>
        </w:tc>
        <w:tc>
          <w:tcPr>
            <w:tcW w:w="1400" w:type="dxa"/>
            <w:tcBorders>
              <w:top w:val="nil"/>
              <w:left w:val="nil"/>
              <w:bottom w:val="nil"/>
              <w:right w:val="nil"/>
            </w:tcBorders>
            <w:shd w:val="clear" w:color="auto" w:fill="auto"/>
            <w:noWrap/>
            <w:vAlign w:val="center"/>
            <w:hideMark/>
          </w:tcPr>
          <w:p w14:paraId="73F264A6"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0.00028</w:t>
            </w:r>
          </w:p>
        </w:tc>
        <w:tc>
          <w:tcPr>
            <w:tcW w:w="1520" w:type="dxa"/>
            <w:tcBorders>
              <w:top w:val="nil"/>
              <w:left w:val="nil"/>
              <w:bottom w:val="nil"/>
              <w:right w:val="nil"/>
            </w:tcBorders>
            <w:shd w:val="clear" w:color="auto" w:fill="auto"/>
            <w:vAlign w:val="center"/>
            <w:hideMark/>
          </w:tcPr>
          <w:p w14:paraId="350C2466"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0.00027</w:t>
            </w:r>
          </w:p>
        </w:tc>
        <w:tc>
          <w:tcPr>
            <w:tcW w:w="1480" w:type="dxa"/>
            <w:tcBorders>
              <w:top w:val="nil"/>
              <w:left w:val="nil"/>
              <w:bottom w:val="nil"/>
              <w:right w:val="nil"/>
            </w:tcBorders>
            <w:shd w:val="clear" w:color="auto" w:fill="auto"/>
            <w:noWrap/>
            <w:vAlign w:val="center"/>
            <w:hideMark/>
          </w:tcPr>
          <w:p w14:paraId="2DDD2CB4"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0.01189</w:t>
            </w:r>
          </w:p>
        </w:tc>
      </w:tr>
      <w:tr w:rsidR="00FD13B1" w:rsidRPr="00C57AD2" w14:paraId="40429C30" w14:textId="77777777" w:rsidTr="00F528FF">
        <w:trPr>
          <w:trHeight w:val="288"/>
        </w:trPr>
        <w:tc>
          <w:tcPr>
            <w:tcW w:w="1440" w:type="dxa"/>
            <w:tcBorders>
              <w:top w:val="nil"/>
              <w:left w:val="nil"/>
              <w:bottom w:val="single" w:sz="8" w:space="0" w:color="auto"/>
              <w:right w:val="nil"/>
            </w:tcBorders>
            <w:shd w:val="clear" w:color="auto" w:fill="auto"/>
            <w:noWrap/>
            <w:vAlign w:val="bottom"/>
            <w:hideMark/>
          </w:tcPr>
          <w:p w14:paraId="027E768C" w14:textId="77777777" w:rsidR="00FD13B1" w:rsidRPr="00C57AD2" w:rsidRDefault="00FD13B1" w:rsidP="00F528FF">
            <w:pPr>
              <w:rPr>
                <w:rFonts w:ascii="DengXian" w:eastAsia="DengXian" w:hAnsi="DengXian" w:cs="SimSun"/>
                <w:color w:val="000000"/>
                <w:sz w:val="22"/>
                <w:szCs w:val="22"/>
                <w:lang w:eastAsia="zh-CN"/>
              </w:rPr>
            </w:pPr>
            <w:r w:rsidRPr="00C57AD2">
              <w:rPr>
                <w:rFonts w:ascii="DengXian" w:eastAsia="DengXian" w:hAnsi="DengXian" w:cs="SimSun" w:hint="eastAsia"/>
                <w:color w:val="000000"/>
                <w:sz w:val="22"/>
                <w:szCs w:val="22"/>
                <w:lang w:eastAsia="zh-CN"/>
              </w:rPr>
              <w:t xml:space="preserve">　</w:t>
            </w:r>
          </w:p>
        </w:tc>
        <w:tc>
          <w:tcPr>
            <w:tcW w:w="1580" w:type="dxa"/>
            <w:tcBorders>
              <w:top w:val="nil"/>
              <w:left w:val="nil"/>
              <w:bottom w:val="single" w:sz="8" w:space="0" w:color="auto"/>
              <w:right w:val="nil"/>
            </w:tcBorders>
            <w:shd w:val="clear" w:color="auto" w:fill="auto"/>
            <w:noWrap/>
            <w:vAlign w:val="bottom"/>
            <w:hideMark/>
          </w:tcPr>
          <w:p w14:paraId="48969A7F" w14:textId="77777777" w:rsidR="00FD13B1" w:rsidRPr="00C57AD2" w:rsidRDefault="00FD13B1" w:rsidP="00F528FF">
            <w:pPr>
              <w:rPr>
                <w:rFonts w:eastAsia="DengXian"/>
                <w:i/>
                <w:iCs/>
                <w:color w:val="000000"/>
                <w:sz w:val="22"/>
                <w:szCs w:val="22"/>
                <w:lang w:eastAsia="zh-CN"/>
              </w:rPr>
            </w:pPr>
            <w:r w:rsidRPr="00C57AD2">
              <w:rPr>
                <w:rFonts w:eastAsia="DengXian"/>
                <w:i/>
                <w:iCs/>
                <w:color w:val="000000"/>
                <w:sz w:val="22"/>
                <w:szCs w:val="22"/>
                <w:lang w:eastAsia="zh-CN"/>
              </w:rPr>
              <w:t>uncertainty</w:t>
            </w:r>
          </w:p>
        </w:tc>
        <w:tc>
          <w:tcPr>
            <w:tcW w:w="1480" w:type="dxa"/>
            <w:tcBorders>
              <w:top w:val="nil"/>
              <w:left w:val="nil"/>
              <w:bottom w:val="single" w:sz="8" w:space="0" w:color="auto"/>
              <w:right w:val="nil"/>
            </w:tcBorders>
            <w:shd w:val="clear" w:color="auto" w:fill="auto"/>
            <w:noWrap/>
            <w:vAlign w:val="center"/>
            <w:hideMark/>
          </w:tcPr>
          <w:p w14:paraId="54B1D879"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c>
          <w:tcPr>
            <w:tcW w:w="1400" w:type="dxa"/>
            <w:tcBorders>
              <w:top w:val="nil"/>
              <w:left w:val="nil"/>
              <w:bottom w:val="single" w:sz="8" w:space="0" w:color="auto"/>
              <w:right w:val="nil"/>
            </w:tcBorders>
            <w:shd w:val="clear" w:color="auto" w:fill="auto"/>
            <w:noWrap/>
            <w:vAlign w:val="center"/>
            <w:hideMark/>
          </w:tcPr>
          <w:p w14:paraId="45CA7EBC"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3%</w:t>
            </w:r>
          </w:p>
        </w:tc>
        <w:tc>
          <w:tcPr>
            <w:tcW w:w="1520" w:type="dxa"/>
            <w:tcBorders>
              <w:top w:val="nil"/>
              <w:left w:val="nil"/>
              <w:bottom w:val="single" w:sz="8" w:space="0" w:color="auto"/>
              <w:right w:val="nil"/>
            </w:tcBorders>
            <w:shd w:val="clear" w:color="auto" w:fill="auto"/>
            <w:vAlign w:val="center"/>
            <w:hideMark/>
          </w:tcPr>
          <w:p w14:paraId="046CD7E7"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4%</w:t>
            </w:r>
          </w:p>
        </w:tc>
        <w:tc>
          <w:tcPr>
            <w:tcW w:w="1480" w:type="dxa"/>
            <w:tcBorders>
              <w:top w:val="nil"/>
              <w:left w:val="nil"/>
              <w:bottom w:val="single" w:sz="8" w:space="0" w:color="auto"/>
              <w:right w:val="nil"/>
            </w:tcBorders>
            <w:shd w:val="clear" w:color="auto" w:fill="auto"/>
            <w:noWrap/>
            <w:vAlign w:val="center"/>
            <w:hideMark/>
          </w:tcPr>
          <w:p w14:paraId="5EA37815" w14:textId="77777777" w:rsidR="00FD13B1" w:rsidRPr="00C57AD2" w:rsidRDefault="00FD13B1" w:rsidP="00F528FF">
            <w:pPr>
              <w:jc w:val="center"/>
              <w:rPr>
                <w:rFonts w:eastAsia="DengXian"/>
                <w:color w:val="000000"/>
                <w:sz w:val="22"/>
                <w:szCs w:val="22"/>
                <w:lang w:eastAsia="zh-CN"/>
              </w:rPr>
            </w:pPr>
            <w:r w:rsidRPr="00C57AD2">
              <w:rPr>
                <w:rFonts w:eastAsia="DengXian"/>
                <w:color w:val="000000"/>
                <w:sz w:val="22"/>
                <w:szCs w:val="22"/>
                <w:lang w:eastAsia="zh-CN"/>
              </w:rPr>
              <w:t>2%</w:t>
            </w:r>
          </w:p>
        </w:tc>
      </w:tr>
    </w:tbl>
    <w:p w14:paraId="566EC01E" w14:textId="77777777" w:rsidR="00FD13B1" w:rsidRPr="00C57AD2" w:rsidRDefault="00FD13B1" w:rsidP="00FD13B1">
      <w:pPr>
        <w:tabs>
          <w:tab w:val="left" w:pos="876"/>
        </w:tabs>
        <w:rPr>
          <w:rFonts w:eastAsia="SimSun"/>
          <w:color w:val="000000" w:themeColor="text1"/>
        </w:rPr>
      </w:pPr>
      <w:r w:rsidRPr="00C57AD2">
        <w:rPr>
          <w:rFonts w:eastAsia="SimSun"/>
          <w:color w:val="000000" w:themeColor="text1"/>
          <w:vertAlign w:val="superscript"/>
        </w:rPr>
        <w:t>a</w:t>
      </w:r>
      <w:r w:rsidRPr="00C57AD2">
        <w:rPr>
          <w:rFonts w:eastAsia="SimSun"/>
          <w:color w:val="000000" w:themeColor="text1"/>
        </w:rPr>
        <w:t xml:space="preserve"> Grid number in each sector when calculated the </w:t>
      </w:r>
      <w:proofErr w:type="spellStart"/>
      <w:r w:rsidRPr="00C57AD2">
        <w:rPr>
          <w:color w:val="000000" w:themeColor="text1"/>
          <w:sz w:val="22"/>
          <w:szCs w:val="22"/>
        </w:rPr>
        <w:t>ΔN</w:t>
      </w:r>
      <w:r w:rsidRPr="00C57AD2">
        <w:rPr>
          <w:color w:val="000000" w:themeColor="text1"/>
          <w:sz w:val="22"/>
          <w:szCs w:val="22"/>
          <w:vertAlign w:val="subscript"/>
        </w:rPr>
        <w:t>ex</w:t>
      </w:r>
      <w:proofErr w:type="spellEnd"/>
      <w:r w:rsidRPr="00C57AD2">
        <w:rPr>
          <w:color w:val="000000" w:themeColor="text1"/>
          <w:sz w:val="22"/>
          <w:szCs w:val="22"/>
          <w:vertAlign w:val="subscript"/>
        </w:rPr>
        <w:t xml:space="preserve"> </w:t>
      </w:r>
      <w:r w:rsidRPr="00C57AD2">
        <w:rPr>
          <w:rFonts w:eastAsia="SimSun"/>
          <w:color w:val="000000" w:themeColor="text1"/>
        </w:rPr>
        <w:t>water column inventory.</w:t>
      </w:r>
    </w:p>
    <w:p w14:paraId="71CD2134" w14:textId="77777777" w:rsidR="00FD13B1" w:rsidRPr="00C57AD2" w:rsidRDefault="00FD13B1" w:rsidP="00FD13B1">
      <w:pPr>
        <w:tabs>
          <w:tab w:val="left" w:pos="876"/>
        </w:tabs>
        <w:rPr>
          <w:rFonts w:eastAsia="SimSun"/>
          <w:color w:val="000000" w:themeColor="text1"/>
        </w:rPr>
      </w:pPr>
      <w:r w:rsidRPr="00C57AD2">
        <w:rPr>
          <w:rFonts w:eastAsia="SimSun"/>
          <w:color w:val="000000" w:themeColor="text1"/>
          <w:vertAlign w:val="superscript"/>
        </w:rPr>
        <w:t>b</w:t>
      </w:r>
      <w:r w:rsidRPr="00C57AD2">
        <w:rPr>
          <w:rFonts w:eastAsia="SimSun"/>
          <w:color w:val="000000" w:themeColor="text1"/>
        </w:rPr>
        <w:t xml:space="preserve"> Average of the inventory value of each grid point in unit of </w:t>
      </w:r>
      <w:proofErr w:type="spellStart"/>
      <w:r w:rsidRPr="00C57AD2">
        <w:rPr>
          <w:rFonts w:eastAsia="SimSun"/>
          <w:color w:val="000000" w:themeColor="text1"/>
          <w:sz w:val="22"/>
          <w:szCs w:val="22"/>
        </w:rPr>
        <w:t>Tg</w:t>
      </w:r>
      <w:proofErr w:type="spellEnd"/>
      <w:r w:rsidRPr="00C57AD2">
        <w:rPr>
          <w:rFonts w:eastAsia="SimSun"/>
          <w:color w:val="000000" w:themeColor="text1"/>
          <w:sz w:val="22"/>
          <w:szCs w:val="22"/>
        </w:rPr>
        <w:t>-N year</w:t>
      </w:r>
      <w:r w:rsidRPr="00C57AD2">
        <w:rPr>
          <w:color w:val="000000" w:themeColor="text1"/>
          <w:sz w:val="22"/>
          <w:szCs w:val="22"/>
          <w:vertAlign w:val="superscript"/>
        </w:rPr>
        <w:t>-1</w:t>
      </w:r>
      <w:r w:rsidRPr="00C57AD2">
        <w:rPr>
          <w:rFonts w:eastAsia="SimSun"/>
          <w:color w:val="000000" w:themeColor="text1"/>
        </w:rPr>
        <w:t>.</w:t>
      </w:r>
    </w:p>
    <w:p w14:paraId="657FADB7" w14:textId="77777777" w:rsidR="00FD13B1" w:rsidRPr="00C57AD2" w:rsidRDefault="00FD13B1" w:rsidP="00FD13B1">
      <w:pPr>
        <w:tabs>
          <w:tab w:val="left" w:pos="876"/>
        </w:tabs>
        <w:rPr>
          <w:rFonts w:eastAsia="SimSun"/>
          <w:color w:val="000000" w:themeColor="text1"/>
        </w:rPr>
      </w:pPr>
      <w:r w:rsidRPr="00C57AD2">
        <w:rPr>
          <w:rFonts w:eastAsia="SimSun"/>
          <w:color w:val="000000" w:themeColor="text1"/>
          <w:vertAlign w:val="superscript"/>
        </w:rPr>
        <w:t>c</w:t>
      </w:r>
      <w:r w:rsidRPr="00C57AD2">
        <w:rPr>
          <w:rFonts w:eastAsia="SimSun"/>
          <w:color w:val="000000" w:themeColor="text1"/>
        </w:rPr>
        <w:t xml:space="preserve"> Standard error of the inventory value of each grid point in unit of </w:t>
      </w:r>
      <w:proofErr w:type="spellStart"/>
      <w:r w:rsidRPr="00C57AD2">
        <w:rPr>
          <w:rFonts w:eastAsia="SimSun"/>
          <w:color w:val="000000" w:themeColor="text1"/>
          <w:sz w:val="22"/>
          <w:szCs w:val="22"/>
        </w:rPr>
        <w:t>Tg</w:t>
      </w:r>
      <w:proofErr w:type="spellEnd"/>
      <w:r w:rsidRPr="00C57AD2">
        <w:rPr>
          <w:rFonts w:eastAsia="SimSun"/>
          <w:color w:val="000000" w:themeColor="text1"/>
          <w:sz w:val="22"/>
          <w:szCs w:val="22"/>
        </w:rPr>
        <w:t>-N year</w:t>
      </w:r>
      <w:r w:rsidRPr="00C57AD2">
        <w:rPr>
          <w:color w:val="000000" w:themeColor="text1"/>
          <w:sz w:val="22"/>
          <w:szCs w:val="22"/>
          <w:vertAlign w:val="superscript"/>
        </w:rPr>
        <w:t>-1</w:t>
      </w:r>
      <w:r w:rsidRPr="00C57AD2">
        <w:rPr>
          <w:rFonts w:eastAsia="SimSun"/>
          <w:color w:val="000000" w:themeColor="text1"/>
        </w:rPr>
        <w:t>.</w:t>
      </w:r>
    </w:p>
    <w:p w14:paraId="6E383FFC" w14:textId="77777777" w:rsidR="00FD13B1" w:rsidRPr="00C57AD2" w:rsidRDefault="00FD13B1" w:rsidP="00FD13B1">
      <w:pPr>
        <w:tabs>
          <w:tab w:val="left" w:pos="567"/>
          <w:tab w:val="left" w:pos="1134"/>
        </w:tabs>
        <w:ind w:left="100" w:hangingChars="50" w:hanging="100"/>
        <w:rPr>
          <w:rFonts w:eastAsia="SimSun"/>
          <w:color w:val="000000" w:themeColor="text1"/>
        </w:rPr>
      </w:pPr>
      <w:r w:rsidRPr="00C57AD2">
        <w:rPr>
          <w:rFonts w:eastAsia="SimSun"/>
          <w:color w:val="000000" w:themeColor="text1"/>
          <w:vertAlign w:val="superscript"/>
        </w:rPr>
        <w:t>d</w:t>
      </w:r>
      <w:r w:rsidRPr="00C57AD2">
        <w:rPr>
          <w:rFonts w:eastAsia="SimSun"/>
          <w:color w:val="000000" w:themeColor="text1"/>
        </w:rPr>
        <w:t xml:space="preserve"> Uncertainty of the </w:t>
      </w:r>
      <w:proofErr w:type="spellStart"/>
      <w:r w:rsidRPr="00C57AD2">
        <w:rPr>
          <w:color w:val="000000" w:themeColor="text1"/>
          <w:sz w:val="22"/>
          <w:szCs w:val="22"/>
        </w:rPr>
        <w:t>ΔN</w:t>
      </w:r>
      <w:r w:rsidRPr="00C57AD2">
        <w:rPr>
          <w:color w:val="000000" w:themeColor="text1"/>
          <w:sz w:val="22"/>
          <w:szCs w:val="22"/>
          <w:vertAlign w:val="subscript"/>
        </w:rPr>
        <w:t>ex</w:t>
      </w:r>
      <w:proofErr w:type="spellEnd"/>
      <w:r w:rsidRPr="00C57AD2">
        <w:rPr>
          <w:color w:val="000000" w:themeColor="text1"/>
          <w:sz w:val="22"/>
          <w:szCs w:val="22"/>
          <w:vertAlign w:val="subscript"/>
        </w:rPr>
        <w:t xml:space="preserve"> </w:t>
      </w:r>
      <w:r w:rsidRPr="00C57AD2">
        <w:rPr>
          <w:rFonts w:eastAsia="SimSun"/>
          <w:color w:val="000000" w:themeColor="text1"/>
        </w:rPr>
        <w:t>water column inventory, which is calculated by SE/average in each sector.</w:t>
      </w:r>
    </w:p>
    <w:bookmarkEnd w:id="13"/>
    <w:p w14:paraId="7EFBA612" w14:textId="77777777" w:rsidR="00FD13B1" w:rsidRPr="00C57AD2" w:rsidRDefault="00FD13B1" w:rsidP="00FD13B1">
      <w:pPr>
        <w:rPr>
          <w:rFonts w:eastAsia="Times New Roman"/>
          <w:sz w:val="24"/>
          <w:szCs w:val="24"/>
        </w:rPr>
      </w:pPr>
      <w:r w:rsidRPr="00C57AD2">
        <w:br w:type="page"/>
      </w:r>
    </w:p>
    <w:p w14:paraId="171F06BD" w14:textId="1C49DA9F" w:rsidR="00FD13B1" w:rsidRPr="00C57AD2" w:rsidRDefault="00FD13B1" w:rsidP="00FD13B1">
      <w:pPr>
        <w:ind w:leftChars="283" w:left="566"/>
        <w:jc w:val="both"/>
        <w:rPr>
          <w:color w:val="0000FF"/>
          <w:sz w:val="24"/>
          <w:szCs w:val="24"/>
          <w:lang w:eastAsia="ja-JP"/>
        </w:rPr>
      </w:pPr>
      <w:bookmarkStart w:id="14" w:name="_Hlk22134976"/>
      <w:r w:rsidRPr="00C57AD2">
        <w:rPr>
          <w:b/>
          <w:bCs/>
          <w:sz w:val="24"/>
          <w:szCs w:val="24"/>
        </w:rPr>
        <w:lastRenderedPageBreak/>
        <w:t xml:space="preserve">Fig. S1. </w:t>
      </w:r>
      <w:r w:rsidRPr="00C57AD2">
        <w:rPr>
          <w:rFonts w:eastAsia="SimSun"/>
          <w:sz w:val="24"/>
          <w:szCs w:val="24"/>
        </w:rPr>
        <w:t>Map of cruise data used in this study. The color shows the date of each cruise. The notation ‘</w:t>
      </w:r>
      <w:r w:rsidRPr="00C57AD2">
        <w:rPr>
          <w:rFonts w:eastAsia="ＭＳ 明朝"/>
          <w:sz w:val="24"/>
          <w:szCs w:val="24"/>
        </w:rPr>
        <w:t xml:space="preserve">n’ indicates the number of data points. </w:t>
      </w:r>
      <w:r w:rsidRPr="00051A76">
        <w:rPr>
          <w:rFonts w:eastAsia="ＭＳ 明朝"/>
          <w:b/>
          <w:bCs/>
          <w:sz w:val="24"/>
          <w:szCs w:val="24"/>
        </w:rPr>
        <w:t xml:space="preserve">(a) </w:t>
      </w:r>
      <w:r w:rsidRPr="00C57AD2">
        <w:rPr>
          <w:rFonts w:eastAsia="ＭＳ 明朝"/>
          <w:sz w:val="24"/>
          <w:szCs w:val="24"/>
        </w:rPr>
        <w:t xml:space="preserve">Cruise data during the period from 2000 to 2016 used for </w:t>
      </w:r>
      <w:r w:rsidRPr="00C57AD2">
        <w:rPr>
          <w:rFonts w:eastAsia="ＭＳ 明朝"/>
          <w:sz w:val="24"/>
          <w:szCs w:val="24"/>
          <w:lang w:eastAsia="ja-JP"/>
        </w:rPr>
        <w:t>constructing the</w:t>
      </w:r>
      <w:r w:rsidRPr="00C57AD2">
        <w:rPr>
          <w:rFonts w:eastAsia="ＭＳ 明朝"/>
          <w:sz w:val="24"/>
          <w:szCs w:val="24"/>
        </w:rPr>
        <w:t xml:space="preserve"> parameterization in this study. </w:t>
      </w:r>
      <w:r w:rsidRPr="00051A76">
        <w:rPr>
          <w:rFonts w:eastAsia="ＭＳ 明朝"/>
          <w:b/>
          <w:bCs/>
          <w:sz w:val="24"/>
          <w:szCs w:val="24"/>
        </w:rPr>
        <w:t>(b)</w:t>
      </w:r>
      <w:r w:rsidRPr="00C57AD2">
        <w:rPr>
          <w:rFonts w:eastAsia="ＭＳ 明朝"/>
          <w:sz w:val="24"/>
          <w:szCs w:val="24"/>
        </w:rPr>
        <w:t xml:space="preserve"> Cruise data used for </w:t>
      </w:r>
      <w:r w:rsidRPr="00C57AD2">
        <w:rPr>
          <w:sz w:val="24"/>
          <w:szCs w:val="24"/>
        </w:rPr>
        <w:t xml:space="preserve">estimating </w:t>
      </w:r>
      <w:proofErr w:type="spellStart"/>
      <w:r w:rsidRPr="00C57AD2">
        <w:rPr>
          <w:sz w:val="24"/>
          <w:szCs w:val="24"/>
        </w:rPr>
        <w:t>ΔN</w:t>
      </w:r>
      <w:r w:rsidRPr="00C57AD2">
        <w:rPr>
          <w:sz w:val="24"/>
          <w:szCs w:val="24"/>
          <w:vertAlign w:val="subscript"/>
        </w:rPr>
        <w:t>ex</w:t>
      </w:r>
      <w:proofErr w:type="spellEnd"/>
      <w:r w:rsidRPr="00C57AD2">
        <w:rPr>
          <w:sz w:val="24"/>
          <w:szCs w:val="24"/>
        </w:rPr>
        <w:t>.</w:t>
      </w:r>
      <w:r w:rsidR="00263A8D">
        <w:rPr>
          <w:sz w:val="24"/>
          <w:szCs w:val="24"/>
        </w:rPr>
        <w:t xml:space="preserve"> This figure was drawn using Ocean Data View </w:t>
      </w:r>
      <w:r w:rsidR="00263A8D" w:rsidRPr="00263A8D">
        <w:rPr>
          <w:sz w:val="24"/>
          <w:szCs w:val="24"/>
          <w:vertAlign w:val="superscript"/>
        </w:rPr>
        <w:t>31</w:t>
      </w:r>
      <w:r w:rsidR="00263A8D">
        <w:rPr>
          <w:sz w:val="24"/>
          <w:szCs w:val="24"/>
        </w:rPr>
        <w:t>.</w:t>
      </w:r>
    </w:p>
    <w:bookmarkEnd w:id="14"/>
    <w:p w14:paraId="1C52406D" w14:textId="77777777" w:rsidR="00FD13B1" w:rsidRPr="00C57AD2" w:rsidRDefault="00FD13B1" w:rsidP="00FD13B1">
      <w:pPr>
        <w:ind w:leftChars="283" w:left="566"/>
        <w:jc w:val="both"/>
        <w:rPr>
          <w:sz w:val="24"/>
          <w:szCs w:val="24"/>
        </w:rPr>
      </w:pPr>
    </w:p>
    <w:p w14:paraId="1A7E5F2E" w14:textId="125A2A4E" w:rsidR="00FD13B1" w:rsidRPr="00C57AD2" w:rsidRDefault="00FD13B1" w:rsidP="00FD13B1">
      <w:pPr>
        <w:ind w:leftChars="283" w:left="566"/>
        <w:jc w:val="both"/>
        <w:rPr>
          <w:sz w:val="24"/>
          <w:szCs w:val="24"/>
        </w:rPr>
      </w:pPr>
      <w:bookmarkStart w:id="15" w:name="_Hlk22135129"/>
      <w:r w:rsidRPr="00C57AD2">
        <w:rPr>
          <w:b/>
          <w:bCs/>
          <w:sz w:val="24"/>
          <w:szCs w:val="24"/>
        </w:rPr>
        <w:t xml:space="preserve">Fig. S2. </w:t>
      </w:r>
      <w:r w:rsidRPr="00C57AD2">
        <w:rPr>
          <w:sz w:val="24"/>
          <w:szCs w:val="24"/>
        </w:rPr>
        <w:t>Relationship between predicted nitrate (N</w:t>
      </w:r>
      <w:r w:rsidRPr="00C57AD2">
        <w:rPr>
          <w:sz w:val="24"/>
          <w:szCs w:val="24"/>
          <w:vertAlign w:val="subscript"/>
        </w:rPr>
        <w:t>p</w:t>
      </w:r>
      <w:r w:rsidRPr="00C57AD2">
        <w:rPr>
          <w:sz w:val="24"/>
          <w:szCs w:val="24"/>
        </w:rPr>
        <w:t>) and observed nitrate (N</w:t>
      </w:r>
      <w:r w:rsidRPr="00C57AD2">
        <w:rPr>
          <w:sz w:val="24"/>
          <w:szCs w:val="24"/>
          <w:vertAlign w:val="subscript"/>
        </w:rPr>
        <w:t>obs</w:t>
      </w:r>
      <w:r w:rsidRPr="00C57AD2">
        <w:rPr>
          <w:sz w:val="24"/>
          <w:szCs w:val="24"/>
        </w:rPr>
        <w:t>) from 0</w:t>
      </w:r>
      <w:r w:rsidRPr="00C57AD2">
        <w:rPr>
          <w:sz w:val="24"/>
          <w:szCs w:val="24"/>
          <w:lang w:eastAsia="ja-JP"/>
        </w:rPr>
        <w:t xml:space="preserve"> </w:t>
      </w:r>
      <w:r w:rsidRPr="00C57AD2">
        <w:rPr>
          <w:sz w:val="24"/>
          <w:szCs w:val="24"/>
        </w:rPr>
        <w:t>– 6</w:t>
      </w:r>
      <w:r w:rsidR="00305F1E">
        <w:rPr>
          <w:sz w:val="24"/>
          <w:szCs w:val="24"/>
        </w:rPr>
        <w:t>,</w:t>
      </w:r>
      <w:r w:rsidRPr="00C57AD2">
        <w:rPr>
          <w:sz w:val="24"/>
          <w:szCs w:val="24"/>
        </w:rPr>
        <w:t>000</w:t>
      </w:r>
      <w:r w:rsidR="00051A76">
        <w:rPr>
          <w:sz w:val="24"/>
          <w:szCs w:val="24"/>
        </w:rPr>
        <w:t xml:space="preserve"> </w:t>
      </w:r>
      <w:r w:rsidRPr="00C57AD2">
        <w:rPr>
          <w:sz w:val="24"/>
          <w:szCs w:val="24"/>
        </w:rPr>
        <w:t>m south of 30</w:t>
      </w:r>
      <w:r w:rsidRPr="00C57AD2">
        <w:rPr>
          <w:rFonts w:eastAsia="SimSun"/>
          <w:sz w:val="24"/>
          <w:szCs w:val="24"/>
        </w:rPr>
        <w:t>°S</w:t>
      </w:r>
      <w:r w:rsidRPr="00C57AD2">
        <w:rPr>
          <w:sz w:val="24"/>
          <w:szCs w:val="24"/>
        </w:rPr>
        <w:t xml:space="preserve"> during the period from 2000 to 2016 in the SO.</w:t>
      </w:r>
      <w:r w:rsidRPr="00C57AD2">
        <w:rPr>
          <w:rFonts w:eastAsia="ＭＳ 明朝"/>
          <w:sz w:val="24"/>
          <w:szCs w:val="24"/>
        </w:rPr>
        <w:t xml:space="preserve"> </w:t>
      </w:r>
      <w:r w:rsidRPr="00C57AD2">
        <w:rPr>
          <w:rFonts w:eastAsia="SimSun"/>
          <w:sz w:val="24"/>
          <w:szCs w:val="24"/>
        </w:rPr>
        <w:t xml:space="preserve">The notation </w:t>
      </w:r>
      <w:r w:rsidRPr="00C57AD2">
        <w:rPr>
          <w:rFonts w:eastAsia="ＭＳ 明朝"/>
          <w:sz w:val="24"/>
          <w:szCs w:val="24"/>
          <w:lang w:eastAsia="ja-JP"/>
        </w:rPr>
        <w:t>‘</w:t>
      </w:r>
      <w:r w:rsidRPr="00C57AD2">
        <w:rPr>
          <w:rFonts w:eastAsia="ＭＳ 明朝"/>
          <w:sz w:val="24"/>
          <w:szCs w:val="24"/>
        </w:rPr>
        <w:t>n’ indicates the number of data points; R</w:t>
      </w:r>
      <w:r w:rsidRPr="00C57AD2">
        <w:rPr>
          <w:rFonts w:eastAsia="ＭＳ 明朝"/>
          <w:sz w:val="24"/>
          <w:szCs w:val="24"/>
          <w:vertAlign w:val="superscript"/>
        </w:rPr>
        <w:t>2</w:t>
      </w:r>
      <w:r w:rsidRPr="00C57AD2">
        <w:rPr>
          <w:rFonts w:eastAsia="ＭＳ 明朝"/>
          <w:sz w:val="24"/>
          <w:szCs w:val="24"/>
        </w:rPr>
        <w:t xml:space="preserve"> indicates the coefficient of determination; RMSE indicates the root-mean-square error. The number of data used in the Pacific sector, Indian sector, and Atlantic sector are 29,391, 22,566, and 13,300, respectively.</w:t>
      </w:r>
      <w:bookmarkStart w:id="16" w:name="_Hlk15548496"/>
      <w:r w:rsidRPr="00C57AD2">
        <w:rPr>
          <w:sz w:val="24"/>
          <w:szCs w:val="24"/>
        </w:rPr>
        <w:t xml:space="preserve"> (Pacific Sector: 150</w:t>
      </w:r>
      <w:r w:rsidRPr="00C57AD2">
        <w:rPr>
          <w:rFonts w:eastAsia="SimSun"/>
          <w:sz w:val="24"/>
          <w:szCs w:val="24"/>
        </w:rPr>
        <w:t xml:space="preserve">° </w:t>
      </w:r>
      <w:r w:rsidRPr="00C57AD2">
        <w:rPr>
          <w:sz w:val="24"/>
          <w:szCs w:val="24"/>
        </w:rPr>
        <w:t>E–60</w:t>
      </w:r>
      <w:r w:rsidRPr="00C57AD2">
        <w:rPr>
          <w:rFonts w:eastAsia="SimSun"/>
          <w:sz w:val="24"/>
          <w:szCs w:val="24"/>
        </w:rPr>
        <w:t>°</w:t>
      </w:r>
      <w:r w:rsidRPr="00C57AD2">
        <w:rPr>
          <w:sz w:val="24"/>
          <w:szCs w:val="24"/>
        </w:rPr>
        <w:t>W; Indian Sector: 20</w:t>
      </w:r>
      <w:r w:rsidRPr="00C57AD2">
        <w:rPr>
          <w:rFonts w:eastAsia="SimSun"/>
          <w:sz w:val="24"/>
          <w:szCs w:val="24"/>
        </w:rPr>
        <w:t>°</w:t>
      </w:r>
      <w:r w:rsidRPr="00C57AD2">
        <w:rPr>
          <w:sz w:val="24"/>
          <w:szCs w:val="24"/>
        </w:rPr>
        <w:t>E–150</w:t>
      </w:r>
      <w:r w:rsidRPr="00C57AD2">
        <w:rPr>
          <w:rFonts w:eastAsia="SimSun"/>
          <w:sz w:val="24"/>
          <w:szCs w:val="24"/>
        </w:rPr>
        <w:t>°</w:t>
      </w:r>
      <w:r w:rsidRPr="00C57AD2">
        <w:rPr>
          <w:sz w:val="24"/>
          <w:szCs w:val="24"/>
        </w:rPr>
        <w:t>E; Atlantic Sector: 60</w:t>
      </w:r>
      <w:r w:rsidRPr="00C57AD2">
        <w:rPr>
          <w:rFonts w:eastAsia="SimSun"/>
          <w:sz w:val="24"/>
          <w:szCs w:val="24"/>
        </w:rPr>
        <w:t>°</w:t>
      </w:r>
      <w:r w:rsidRPr="00C57AD2">
        <w:rPr>
          <w:sz w:val="24"/>
          <w:szCs w:val="24"/>
        </w:rPr>
        <w:t>W–20</w:t>
      </w:r>
      <w:r w:rsidRPr="00C57AD2">
        <w:rPr>
          <w:rFonts w:eastAsia="SimSun"/>
          <w:sz w:val="24"/>
          <w:szCs w:val="24"/>
        </w:rPr>
        <w:t>°</w:t>
      </w:r>
      <w:r w:rsidRPr="00C57AD2">
        <w:rPr>
          <w:sz w:val="24"/>
          <w:szCs w:val="24"/>
        </w:rPr>
        <w:t>E)</w:t>
      </w:r>
      <w:bookmarkEnd w:id="16"/>
      <w:r w:rsidRPr="00C57AD2">
        <w:rPr>
          <w:sz w:val="24"/>
          <w:szCs w:val="24"/>
        </w:rPr>
        <w:t>.</w:t>
      </w:r>
      <w:bookmarkEnd w:id="15"/>
    </w:p>
    <w:p w14:paraId="7D16296B" w14:textId="77777777" w:rsidR="00FD13B1" w:rsidRPr="00C57AD2" w:rsidRDefault="00FD13B1" w:rsidP="00FD13B1">
      <w:pPr>
        <w:ind w:leftChars="283" w:left="566"/>
        <w:jc w:val="both"/>
        <w:rPr>
          <w:rFonts w:eastAsia="SimSun"/>
          <w:sz w:val="24"/>
          <w:szCs w:val="24"/>
        </w:rPr>
      </w:pPr>
    </w:p>
    <w:p w14:paraId="563FF989" w14:textId="77777777" w:rsidR="00FD13B1" w:rsidRPr="00C57AD2" w:rsidRDefault="00FD13B1" w:rsidP="00FD13B1">
      <w:pPr>
        <w:ind w:leftChars="283" w:left="566"/>
        <w:jc w:val="both"/>
        <w:rPr>
          <w:sz w:val="24"/>
          <w:szCs w:val="24"/>
        </w:rPr>
      </w:pPr>
      <w:bookmarkStart w:id="17" w:name="_Hlk22135197"/>
      <w:r w:rsidRPr="00C57AD2">
        <w:rPr>
          <w:b/>
          <w:bCs/>
          <w:sz w:val="24"/>
          <w:szCs w:val="24"/>
        </w:rPr>
        <w:t>Fig. S3.</w:t>
      </w:r>
      <w:r w:rsidRPr="00C57AD2">
        <w:rPr>
          <w:rFonts w:eastAsia="SimSun"/>
          <w:b/>
          <w:bCs/>
          <w:sz w:val="24"/>
          <w:szCs w:val="24"/>
        </w:rPr>
        <w:t xml:space="preserve"> </w:t>
      </w:r>
      <w:r w:rsidRPr="00C57AD2">
        <w:rPr>
          <w:rFonts w:eastAsia="SimSun"/>
          <w:sz w:val="24"/>
          <w:szCs w:val="24"/>
          <w:lang w:eastAsia="ja-JP"/>
        </w:rPr>
        <w:t>The differences between N</w:t>
      </w:r>
      <w:r w:rsidRPr="00C57AD2">
        <w:rPr>
          <w:rFonts w:eastAsia="SimSun"/>
          <w:sz w:val="24"/>
          <w:szCs w:val="24"/>
          <w:vertAlign w:val="subscript"/>
        </w:rPr>
        <w:t>obs</w:t>
      </w:r>
      <w:r w:rsidRPr="00C57AD2">
        <w:rPr>
          <w:rFonts w:eastAsia="SimSun"/>
          <w:sz w:val="24"/>
          <w:szCs w:val="24"/>
        </w:rPr>
        <w:t xml:space="preserve"> </w:t>
      </w:r>
      <w:r w:rsidRPr="00C57AD2">
        <w:rPr>
          <w:sz w:val="24"/>
          <w:szCs w:val="24"/>
          <w:lang w:eastAsia="ja-JP"/>
        </w:rPr>
        <w:t xml:space="preserve">and </w:t>
      </w:r>
      <w:r w:rsidRPr="00C57AD2">
        <w:rPr>
          <w:rFonts w:eastAsia="SimSun"/>
          <w:sz w:val="24"/>
          <w:szCs w:val="24"/>
        </w:rPr>
        <w:t>N</w:t>
      </w:r>
      <w:r w:rsidRPr="00C57AD2">
        <w:rPr>
          <w:rFonts w:eastAsia="SimSun"/>
          <w:sz w:val="24"/>
          <w:szCs w:val="24"/>
          <w:vertAlign w:val="subscript"/>
        </w:rPr>
        <w:t>p</w:t>
      </w:r>
      <w:r w:rsidRPr="00C57AD2">
        <w:rPr>
          <w:rFonts w:eastAsia="SimSun"/>
          <w:sz w:val="24"/>
          <w:szCs w:val="24"/>
          <w:lang w:eastAsia="ja-JP"/>
        </w:rPr>
        <w:t xml:space="preserve"> (N</w:t>
      </w:r>
      <w:r w:rsidRPr="00C57AD2">
        <w:rPr>
          <w:rFonts w:eastAsia="SimSun"/>
          <w:sz w:val="24"/>
          <w:szCs w:val="24"/>
          <w:vertAlign w:val="subscript"/>
        </w:rPr>
        <w:t>obs</w:t>
      </w:r>
      <w:r w:rsidRPr="00C57AD2">
        <w:rPr>
          <w:rFonts w:eastAsia="SimSun"/>
          <w:sz w:val="24"/>
          <w:szCs w:val="24"/>
        </w:rPr>
        <w:t xml:space="preserve"> </w:t>
      </w:r>
      <w:r w:rsidRPr="00C57AD2">
        <w:rPr>
          <w:sz w:val="24"/>
          <w:szCs w:val="24"/>
          <w:lang w:eastAsia="ja-JP"/>
        </w:rPr>
        <w:t xml:space="preserve">– </w:t>
      </w:r>
      <w:r w:rsidRPr="00C57AD2">
        <w:rPr>
          <w:rFonts w:eastAsia="SimSun"/>
          <w:sz w:val="24"/>
          <w:szCs w:val="24"/>
        </w:rPr>
        <w:t>N</w:t>
      </w:r>
      <w:r w:rsidRPr="00C57AD2">
        <w:rPr>
          <w:rFonts w:eastAsia="SimSun"/>
          <w:sz w:val="24"/>
          <w:szCs w:val="24"/>
          <w:vertAlign w:val="subscript"/>
        </w:rPr>
        <w:t>p</w:t>
      </w:r>
      <w:r w:rsidRPr="00C57AD2">
        <w:rPr>
          <w:rFonts w:eastAsia="SimSun"/>
          <w:sz w:val="24"/>
          <w:szCs w:val="24"/>
        </w:rPr>
        <w:t>) for the data used in the three independent cruises</w:t>
      </w:r>
      <w:r w:rsidRPr="00C57AD2">
        <w:rPr>
          <w:rFonts w:eastAsia="SimSun" w:hint="eastAsia"/>
          <w:sz w:val="24"/>
          <w:szCs w:val="24"/>
          <w:lang w:eastAsia="ja-JP"/>
        </w:rPr>
        <w:t>;</w:t>
      </w:r>
      <w:r w:rsidRPr="00C57AD2">
        <w:rPr>
          <w:rFonts w:eastAsia="SimSun"/>
          <w:sz w:val="24"/>
          <w:szCs w:val="24"/>
        </w:rPr>
        <w:t xml:space="preserve"> P16 (2014) </w:t>
      </w:r>
      <w:r w:rsidRPr="00C57AD2">
        <w:rPr>
          <w:rFonts w:eastAsia="SimSun"/>
          <w:sz w:val="24"/>
          <w:szCs w:val="24"/>
          <w:lang w:eastAsia="ja-JP"/>
        </w:rPr>
        <w:t xml:space="preserve">for the Pacific sector; </w:t>
      </w:r>
      <w:r w:rsidRPr="00C57AD2">
        <w:rPr>
          <w:rFonts w:eastAsia="SimSun"/>
          <w:sz w:val="24"/>
          <w:szCs w:val="24"/>
        </w:rPr>
        <w:t xml:space="preserve">I08 (2007) for the Indian sector; A12 (2014) for the Atlantic sector. Grey crosses indicate data within 100 m from the surface. </w:t>
      </w:r>
      <w:bookmarkEnd w:id="17"/>
    </w:p>
    <w:p w14:paraId="6F54ECC9" w14:textId="77777777" w:rsidR="00FD13B1" w:rsidRPr="00C57AD2" w:rsidRDefault="00FD13B1" w:rsidP="00FD13B1">
      <w:pPr>
        <w:ind w:leftChars="283" w:left="566"/>
        <w:jc w:val="both"/>
        <w:rPr>
          <w:rFonts w:eastAsia="SimSun"/>
          <w:sz w:val="24"/>
          <w:szCs w:val="24"/>
        </w:rPr>
      </w:pPr>
    </w:p>
    <w:p w14:paraId="280CCA11" w14:textId="76DE698E" w:rsidR="00FD13B1" w:rsidRPr="00C57AD2" w:rsidRDefault="00FD13B1" w:rsidP="00FD13B1">
      <w:pPr>
        <w:ind w:leftChars="283" w:left="566"/>
        <w:jc w:val="both"/>
        <w:rPr>
          <w:rFonts w:eastAsia="SimSun"/>
          <w:sz w:val="24"/>
          <w:szCs w:val="24"/>
        </w:rPr>
      </w:pPr>
      <w:r w:rsidRPr="00C57AD2">
        <w:rPr>
          <w:b/>
          <w:sz w:val="24"/>
          <w:szCs w:val="24"/>
        </w:rPr>
        <w:t>Fig. S4.</w:t>
      </w:r>
      <w:r w:rsidRPr="00C57AD2">
        <w:rPr>
          <w:rFonts w:eastAsia="SimSun"/>
          <w:b/>
          <w:bCs/>
          <w:sz w:val="24"/>
          <w:szCs w:val="24"/>
        </w:rPr>
        <w:t xml:space="preserve"> </w:t>
      </w:r>
      <w:r w:rsidRPr="00C57AD2">
        <w:rPr>
          <w:rFonts w:eastAsia="SimSun"/>
          <w:sz w:val="24"/>
          <w:szCs w:val="24"/>
        </w:rPr>
        <w:t>Comparison</w:t>
      </w:r>
      <w:r w:rsidRPr="00C57AD2">
        <w:rPr>
          <w:rFonts w:eastAsia="SimSun"/>
          <w:b/>
          <w:bCs/>
          <w:sz w:val="24"/>
          <w:szCs w:val="24"/>
        </w:rPr>
        <w:t xml:space="preserve"> </w:t>
      </w:r>
      <w:r w:rsidRPr="00C57AD2">
        <w:rPr>
          <w:rFonts w:eastAsia="SimSun"/>
          <w:sz w:val="24"/>
          <w:szCs w:val="24"/>
        </w:rPr>
        <w:t>between the distributions</w:t>
      </w:r>
      <w:r w:rsidRPr="00C57AD2">
        <w:rPr>
          <w:rFonts w:eastAsia="SimSun"/>
          <w:b/>
          <w:bCs/>
          <w:sz w:val="24"/>
          <w:szCs w:val="24"/>
        </w:rPr>
        <w:t xml:space="preserve"> </w:t>
      </w:r>
      <w:r w:rsidRPr="00C57AD2">
        <w:rPr>
          <w:rFonts w:eastAsia="SimSun"/>
          <w:sz w:val="24"/>
          <w:szCs w:val="24"/>
        </w:rPr>
        <w:t>of N</w:t>
      </w:r>
      <w:r w:rsidRPr="00C57AD2">
        <w:rPr>
          <w:rFonts w:eastAsia="SimSun"/>
          <w:sz w:val="24"/>
          <w:szCs w:val="24"/>
          <w:vertAlign w:val="subscript"/>
        </w:rPr>
        <w:t>obs</w:t>
      </w:r>
      <w:r w:rsidRPr="00C57AD2">
        <w:rPr>
          <w:rFonts w:eastAsia="SimSun"/>
          <w:sz w:val="24"/>
          <w:szCs w:val="24"/>
        </w:rPr>
        <w:t xml:space="preserve"> (upper) and N</w:t>
      </w:r>
      <w:r w:rsidRPr="00C57AD2">
        <w:rPr>
          <w:rFonts w:eastAsia="SimSun"/>
          <w:sz w:val="24"/>
          <w:szCs w:val="24"/>
          <w:vertAlign w:val="subscript"/>
        </w:rPr>
        <w:t>p</w:t>
      </w:r>
      <w:r w:rsidRPr="00C57AD2">
        <w:rPr>
          <w:rFonts w:eastAsia="SimSun"/>
          <w:sz w:val="24"/>
          <w:szCs w:val="24"/>
        </w:rPr>
        <w:t xml:space="preserve"> (below) in the SO of 30°S south at surface, 500 m, 1</w:t>
      </w:r>
      <w:r w:rsidR="00BB4C8B">
        <w:rPr>
          <w:rFonts w:eastAsia="SimSun"/>
          <w:sz w:val="24"/>
          <w:szCs w:val="24"/>
        </w:rPr>
        <w:t>,</w:t>
      </w:r>
      <w:r w:rsidRPr="00C57AD2">
        <w:rPr>
          <w:rFonts w:eastAsia="SimSun"/>
          <w:sz w:val="24"/>
          <w:szCs w:val="24"/>
        </w:rPr>
        <w:t>500 m, 3</w:t>
      </w:r>
      <w:r w:rsidR="00305F1E">
        <w:rPr>
          <w:rFonts w:eastAsia="SimSun"/>
          <w:sz w:val="24"/>
          <w:szCs w:val="24"/>
        </w:rPr>
        <w:t>,</w:t>
      </w:r>
      <w:r w:rsidRPr="00C57AD2">
        <w:rPr>
          <w:rFonts w:eastAsia="SimSun"/>
          <w:sz w:val="24"/>
          <w:szCs w:val="24"/>
        </w:rPr>
        <w:t>000</w:t>
      </w:r>
      <w:r w:rsidR="00051A76">
        <w:rPr>
          <w:rFonts w:eastAsia="SimSun"/>
          <w:sz w:val="24"/>
          <w:szCs w:val="24"/>
        </w:rPr>
        <w:t xml:space="preserve"> </w:t>
      </w:r>
      <w:r w:rsidRPr="00C57AD2">
        <w:rPr>
          <w:rFonts w:eastAsia="SimSun"/>
          <w:sz w:val="24"/>
          <w:szCs w:val="24"/>
        </w:rPr>
        <w:t>m and 5</w:t>
      </w:r>
      <w:r w:rsidR="00305F1E">
        <w:rPr>
          <w:rFonts w:eastAsia="SimSun"/>
          <w:sz w:val="24"/>
          <w:szCs w:val="24"/>
        </w:rPr>
        <w:t>,</w:t>
      </w:r>
      <w:r w:rsidRPr="00C57AD2">
        <w:rPr>
          <w:rFonts w:eastAsia="SimSun"/>
          <w:sz w:val="24"/>
          <w:szCs w:val="24"/>
        </w:rPr>
        <w:t>000</w:t>
      </w:r>
      <w:r w:rsidR="00051A76">
        <w:rPr>
          <w:rFonts w:eastAsia="SimSun"/>
          <w:sz w:val="24"/>
          <w:szCs w:val="24"/>
        </w:rPr>
        <w:t xml:space="preserve"> </w:t>
      </w:r>
      <w:r w:rsidRPr="00C57AD2">
        <w:rPr>
          <w:rFonts w:eastAsia="SimSun"/>
          <w:sz w:val="24"/>
          <w:szCs w:val="24"/>
        </w:rPr>
        <w:t xml:space="preserve">m </w:t>
      </w:r>
      <w:r w:rsidRPr="00C57AD2">
        <w:rPr>
          <w:sz w:val="24"/>
          <w:szCs w:val="24"/>
        </w:rPr>
        <w:t>south of 30</w:t>
      </w:r>
      <w:r w:rsidRPr="00C57AD2">
        <w:rPr>
          <w:rFonts w:eastAsia="SimSun"/>
          <w:sz w:val="24"/>
          <w:szCs w:val="24"/>
        </w:rPr>
        <w:t>°S</w:t>
      </w:r>
      <w:r w:rsidRPr="00C57AD2">
        <w:rPr>
          <w:sz w:val="24"/>
          <w:szCs w:val="24"/>
        </w:rPr>
        <w:t xml:space="preserve"> between 2000 and 2016</w:t>
      </w:r>
      <w:r w:rsidRPr="00C57AD2">
        <w:rPr>
          <w:rFonts w:eastAsia="SimSun"/>
          <w:sz w:val="24"/>
          <w:szCs w:val="24"/>
        </w:rPr>
        <w:t xml:space="preserve">. Color of the map shows the nitrate concentration in unit of µmol </w:t>
      </w:r>
      <w:proofErr w:type="gramStart"/>
      <w:r w:rsidRPr="00C57AD2">
        <w:rPr>
          <w:rFonts w:eastAsia="SimSun"/>
          <w:sz w:val="24"/>
          <w:szCs w:val="24"/>
        </w:rPr>
        <w:t>kg</w:t>
      </w:r>
      <w:r w:rsidRPr="00C57AD2">
        <w:rPr>
          <w:rFonts w:eastAsia="SimSun"/>
          <w:sz w:val="24"/>
          <w:szCs w:val="24"/>
          <w:vertAlign w:val="superscript"/>
        </w:rPr>
        <w:t>-1</w:t>
      </w:r>
      <w:proofErr w:type="gramEnd"/>
      <w:r w:rsidRPr="00C57AD2">
        <w:rPr>
          <w:rFonts w:eastAsia="SimSun"/>
          <w:sz w:val="24"/>
          <w:szCs w:val="24"/>
        </w:rPr>
        <w:t>. Gray dots show the position of observed data used for the parameterization.</w:t>
      </w:r>
      <w:r w:rsidR="00C1546E" w:rsidRPr="00C1546E">
        <w:rPr>
          <w:sz w:val="24"/>
          <w:szCs w:val="24"/>
        </w:rPr>
        <w:t xml:space="preserve"> </w:t>
      </w:r>
      <w:r w:rsidR="00C1546E">
        <w:rPr>
          <w:sz w:val="24"/>
          <w:szCs w:val="24"/>
        </w:rPr>
        <w:t xml:space="preserve">This figure was drawn using Ocean Data View </w:t>
      </w:r>
      <w:r w:rsidR="00C1546E" w:rsidRPr="00263A8D">
        <w:rPr>
          <w:sz w:val="24"/>
          <w:szCs w:val="24"/>
          <w:vertAlign w:val="superscript"/>
        </w:rPr>
        <w:t>31</w:t>
      </w:r>
      <w:r w:rsidR="00C1546E">
        <w:rPr>
          <w:sz w:val="24"/>
          <w:szCs w:val="24"/>
        </w:rPr>
        <w:t>.</w:t>
      </w:r>
    </w:p>
    <w:p w14:paraId="0DB0A926" w14:textId="77777777" w:rsidR="00FD13B1" w:rsidRPr="00C57AD2" w:rsidRDefault="00FD13B1" w:rsidP="00FD13B1">
      <w:pPr>
        <w:ind w:leftChars="283" w:left="566"/>
        <w:jc w:val="both"/>
        <w:rPr>
          <w:rFonts w:eastAsia="SimSun"/>
          <w:sz w:val="24"/>
          <w:szCs w:val="24"/>
        </w:rPr>
      </w:pPr>
    </w:p>
    <w:p w14:paraId="4D55C868" w14:textId="3777ACB2" w:rsidR="00FD13B1" w:rsidRPr="00C57AD2" w:rsidRDefault="00FD13B1" w:rsidP="00FD13B1">
      <w:pPr>
        <w:ind w:leftChars="283" w:left="566"/>
        <w:jc w:val="both"/>
        <w:rPr>
          <w:rFonts w:eastAsia="SimSun"/>
          <w:sz w:val="24"/>
          <w:szCs w:val="24"/>
        </w:rPr>
      </w:pPr>
      <w:bookmarkStart w:id="18" w:name="_Hlk22135263"/>
      <w:r w:rsidRPr="00C57AD2">
        <w:rPr>
          <w:b/>
          <w:sz w:val="24"/>
          <w:szCs w:val="24"/>
        </w:rPr>
        <w:t>Fig. S5.</w:t>
      </w:r>
      <w:r w:rsidRPr="00C57AD2">
        <w:rPr>
          <w:rFonts w:eastAsia="SimSun"/>
          <w:b/>
          <w:bCs/>
          <w:sz w:val="24"/>
          <w:szCs w:val="24"/>
        </w:rPr>
        <w:t xml:space="preserve"> </w:t>
      </w:r>
      <w:r w:rsidRPr="00C57AD2">
        <w:rPr>
          <w:rFonts w:eastAsia="SimSun"/>
          <w:sz w:val="24"/>
          <w:szCs w:val="24"/>
        </w:rPr>
        <w:t xml:space="preserve">Weighted averaging of data values at a grid point, redrawn based on </w:t>
      </w:r>
      <w:r w:rsidRPr="00C57AD2">
        <w:rPr>
          <w:rFonts w:eastAsia="SimSun"/>
          <w:iCs/>
          <w:sz w:val="24"/>
          <w:szCs w:val="24"/>
        </w:rPr>
        <w:t xml:space="preserve">ODV </w:t>
      </w:r>
      <w:r w:rsidRPr="00C57AD2">
        <w:rPr>
          <w:iCs/>
          <w:sz w:val="24"/>
          <w:szCs w:val="24"/>
        </w:rPr>
        <w:t>User’s Guide Version 5.2.0</w:t>
      </w:r>
      <w:r w:rsidRPr="00C57AD2">
        <w:rPr>
          <w:rFonts w:eastAsia="SimSun"/>
          <w:iCs/>
          <w:sz w:val="24"/>
          <w:szCs w:val="24"/>
        </w:rPr>
        <w:t>, Fig. 16-2</w:t>
      </w:r>
      <w:r w:rsidRPr="00C57AD2">
        <w:rPr>
          <w:rFonts w:eastAsia="SimSun"/>
          <w:iCs/>
          <w:sz w:val="24"/>
          <w:szCs w:val="24"/>
          <w:lang w:eastAsia="ja-JP"/>
        </w:rPr>
        <w:t>.</w:t>
      </w:r>
      <w:r w:rsidRPr="00C57AD2">
        <w:rPr>
          <w:rFonts w:eastAsia="ＭＳ 明朝"/>
          <w:sz w:val="24"/>
          <w:szCs w:val="24"/>
          <w:lang w:eastAsia="ja-JP"/>
        </w:rPr>
        <w:t xml:space="preserve"> </w:t>
      </w:r>
      <w:r w:rsidRPr="00C1546E">
        <w:rPr>
          <w:sz w:val="24"/>
          <w:szCs w:val="24"/>
        </w:rPr>
        <w:t>(</w:t>
      </w:r>
      <w:r w:rsidR="00C1546E" w:rsidRPr="00C1546E">
        <w:rPr>
          <w:rFonts w:eastAsia="ＭＳ 明朝"/>
          <w:sz w:val="24"/>
          <w:szCs w:val="24"/>
          <w:lang w:eastAsia="ja-JP"/>
        </w:rPr>
        <w:t>https://odv.awi.de/documentation/</w:t>
      </w:r>
      <w:r w:rsidRPr="00C1546E">
        <w:rPr>
          <w:rFonts w:eastAsia="ＭＳ 明朝"/>
          <w:sz w:val="24"/>
          <w:szCs w:val="24"/>
          <w:lang w:eastAsia="ja-JP"/>
        </w:rPr>
        <w:t>)</w:t>
      </w:r>
      <w:r w:rsidR="00C1546E" w:rsidRPr="00C1546E">
        <w:rPr>
          <w:rFonts w:eastAsia="ＭＳ 明朝"/>
          <w:sz w:val="24"/>
          <w:szCs w:val="24"/>
          <w:vertAlign w:val="superscript"/>
          <w:lang w:eastAsia="ja-JP"/>
        </w:rPr>
        <w:t xml:space="preserve"> 31</w:t>
      </w:r>
      <w:r w:rsidRPr="00C1546E">
        <w:rPr>
          <w:rFonts w:eastAsia="ＭＳ 明朝"/>
          <w:sz w:val="24"/>
          <w:szCs w:val="24"/>
          <w:lang w:eastAsia="ja-JP"/>
        </w:rPr>
        <w:t>.</w:t>
      </w:r>
      <w:bookmarkEnd w:id="18"/>
    </w:p>
    <w:p w14:paraId="6EF6210F" w14:textId="77777777" w:rsidR="00FD13B1" w:rsidRPr="00C57AD2" w:rsidRDefault="00FD13B1" w:rsidP="00FD13B1">
      <w:pPr>
        <w:ind w:leftChars="283" w:left="566"/>
        <w:jc w:val="both"/>
        <w:rPr>
          <w:rFonts w:eastAsia="SimSun"/>
          <w:sz w:val="24"/>
          <w:szCs w:val="24"/>
        </w:rPr>
      </w:pPr>
    </w:p>
    <w:p w14:paraId="735F3023" w14:textId="77777777" w:rsidR="00FD13B1" w:rsidRPr="00C57AD2" w:rsidRDefault="00FD13B1" w:rsidP="00FD13B1">
      <w:pPr>
        <w:ind w:leftChars="283" w:left="566"/>
        <w:jc w:val="both"/>
        <w:rPr>
          <w:rFonts w:eastAsia="SimSun"/>
          <w:sz w:val="24"/>
          <w:szCs w:val="24"/>
        </w:rPr>
      </w:pPr>
      <w:bookmarkStart w:id="19" w:name="_Hlk22135402"/>
      <w:r w:rsidRPr="00C57AD2">
        <w:rPr>
          <w:b/>
          <w:sz w:val="24"/>
          <w:szCs w:val="24"/>
        </w:rPr>
        <w:t>Fig. S6.</w:t>
      </w:r>
      <w:r w:rsidRPr="00C57AD2">
        <w:rPr>
          <w:rFonts w:eastAsia="SimSun"/>
          <w:b/>
          <w:bCs/>
          <w:sz w:val="24"/>
          <w:szCs w:val="24"/>
        </w:rPr>
        <w:t xml:space="preserve"> </w:t>
      </w:r>
      <w:r w:rsidRPr="00C57AD2">
        <w:rPr>
          <w:rFonts w:eastAsia="SimSun"/>
          <w:sz w:val="24"/>
          <w:szCs w:val="24"/>
        </w:rPr>
        <w:t xml:space="preserve">Schematic illustrations of </w:t>
      </w:r>
      <w:r w:rsidRPr="00C57AD2">
        <w:rPr>
          <w:rFonts w:eastAsia="SimSun"/>
          <w:sz w:val="24"/>
          <w:szCs w:val="24"/>
          <w:lang w:eastAsia="ja-JP"/>
        </w:rPr>
        <w:t xml:space="preserve">our </w:t>
      </w:r>
      <w:r w:rsidRPr="00C57AD2">
        <w:rPr>
          <w:rFonts w:eastAsia="SimSun"/>
          <w:sz w:val="24"/>
          <w:szCs w:val="24"/>
        </w:rPr>
        <w:t xml:space="preserve">method to estimate </w:t>
      </w:r>
      <w:proofErr w:type="spellStart"/>
      <w:r w:rsidRPr="00C57AD2">
        <w:rPr>
          <w:rFonts w:eastAsia="SimSun"/>
          <w:sz w:val="24"/>
          <w:szCs w:val="24"/>
        </w:rPr>
        <w:t>ΔN</w:t>
      </w:r>
      <w:r w:rsidRPr="00C57AD2">
        <w:rPr>
          <w:rFonts w:eastAsia="SimSun"/>
          <w:sz w:val="24"/>
          <w:szCs w:val="24"/>
          <w:vertAlign w:val="subscript"/>
        </w:rPr>
        <w:t>ex</w:t>
      </w:r>
      <w:proofErr w:type="spellEnd"/>
      <w:r w:rsidRPr="00C57AD2">
        <w:rPr>
          <w:rFonts w:eastAsia="SimSun"/>
          <w:sz w:val="24"/>
          <w:szCs w:val="24"/>
        </w:rPr>
        <w:t>. In (</w:t>
      </w:r>
      <w:r w:rsidRPr="00C57AD2">
        <w:rPr>
          <w:rFonts w:eastAsia="SimSun"/>
          <w:b/>
          <w:sz w:val="24"/>
          <w:szCs w:val="24"/>
        </w:rPr>
        <w:t>a</w:t>
      </w:r>
      <w:r w:rsidRPr="00C57AD2">
        <w:rPr>
          <w:rFonts w:eastAsia="SimSun"/>
          <w:sz w:val="24"/>
          <w:szCs w:val="24"/>
        </w:rPr>
        <w:t xml:space="preserve">), </w:t>
      </w:r>
      <w:r w:rsidRPr="00C57AD2">
        <w:rPr>
          <w:rFonts w:eastAsia="SimSun"/>
          <w:sz w:val="24"/>
          <w:szCs w:val="24"/>
          <w:lang w:eastAsia="ja-JP"/>
        </w:rPr>
        <w:t>the s</w:t>
      </w:r>
      <w:r w:rsidRPr="00C57AD2">
        <w:rPr>
          <w:rFonts w:eastAsia="SimSun"/>
          <w:sz w:val="24"/>
          <w:szCs w:val="24"/>
        </w:rPr>
        <w:t>olid line indicates the observed nitrate value (N</w:t>
      </w:r>
      <w:r w:rsidRPr="00C57AD2">
        <w:rPr>
          <w:rFonts w:eastAsia="SimSun"/>
          <w:sz w:val="24"/>
          <w:szCs w:val="24"/>
          <w:vertAlign w:val="subscript"/>
        </w:rPr>
        <w:t>obs</w:t>
      </w:r>
      <w:r w:rsidRPr="00C57AD2">
        <w:rPr>
          <w:rFonts w:eastAsia="SimSun"/>
          <w:sz w:val="24"/>
          <w:szCs w:val="24"/>
        </w:rPr>
        <w:t>); the dashed line indicates the predicted nitrate value (N</w:t>
      </w:r>
      <w:r w:rsidRPr="00C57AD2">
        <w:rPr>
          <w:rFonts w:eastAsia="SimSun"/>
          <w:sz w:val="24"/>
          <w:szCs w:val="24"/>
          <w:vertAlign w:val="subscript"/>
        </w:rPr>
        <w:t>p</w:t>
      </w:r>
      <w:r w:rsidRPr="00C57AD2">
        <w:rPr>
          <w:rFonts w:eastAsia="SimSun"/>
          <w:sz w:val="24"/>
          <w:szCs w:val="24"/>
        </w:rPr>
        <w:t xml:space="preserve">); the </w:t>
      </w:r>
      <w:r w:rsidRPr="00C57AD2">
        <w:rPr>
          <w:rFonts w:eastAsia="SimSun"/>
          <w:sz w:val="24"/>
          <w:szCs w:val="24"/>
          <w:lang w:eastAsia="ja-JP"/>
        </w:rPr>
        <w:t xml:space="preserve">short-dashed </w:t>
      </w:r>
      <w:r w:rsidRPr="00C57AD2">
        <w:rPr>
          <w:rFonts w:eastAsia="SimSun"/>
          <w:sz w:val="24"/>
          <w:szCs w:val="24"/>
        </w:rPr>
        <w:t xml:space="preserve">line indicates the </w:t>
      </w:r>
      <w:proofErr w:type="spellStart"/>
      <w:r w:rsidRPr="00C57AD2">
        <w:rPr>
          <w:rFonts w:eastAsia="SimSun"/>
          <w:sz w:val="24"/>
          <w:szCs w:val="24"/>
        </w:rPr>
        <w:t>N</w:t>
      </w:r>
      <w:r w:rsidRPr="00C57AD2">
        <w:rPr>
          <w:rFonts w:eastAsia="SimSun"/>
          <w:sz w:val="24"/>
          <w:szCs w:val="24"/>
          <w:vertAlign w:val="subscript"/>
        </w:rPr>
        <w:t>ex</w:t>
      </w:r>
      <w:proofErr w:type="spellEnd"/>
      <w:r w:rsidRPr="00C57AD2">
        <w:rPr>
          <w:rFonts w:eastAsia="SimSun"/>
          <w:sz w:val="24"/>
          <w:szCs w:val="24"/>
        </w:rPr>
        <w:t xml:space="preserve"> in 2008 (N</w:t>
      </w:r>
      <w:r w:rsidRPr="00C57AD2">
        <w:rPr>
          <w:rFonts w:eastAsia="SimSun"/>
          <w:sz w:val="24"/>
          <w:szCs w:val="24"/>
          <w:vertAlign w:val="subscript"/>
        </w:rPr>
        <w:t>ex2008</w:t>
      </w:r>
      <w:r w:rsidRPr="00C57AD2">
        <w:rPr>
          <w:rFonts w:eastAsia="SimSun"/>
          <w:sz w:val="24"/>
          <w:szCs w:val="24"/>
        </w:rPr>
        <w:t>), which can be assumed to be a constant with time. In (</w:t>
      </w:r>
      <w:r w:rsidRPr="00C57AD2">
        <w:rPr>
          <w:rFonts w:eastAsia="SimSun"/>
          <w:b/>
          <w:sz w:val="24"/>
          <w:szCs w:val="24"/>
        </w:rPr>
        <w:t>b</w:t>
      </w:r>
      <w:r w:rsidRPr="00C57AD2">
        <w:rPr>
          <w:rFonts w:eastAsia="SimSun"/>
          <w:sz w:val="24"/>
          <w:szCs w:val="24"/>
        </w:rPr>
        <w:t>), the solid line indicates the change in N</w:t>
      </w:r>
      <w:r w:rsidRPr="00C57AD2">
        <w:rPr>
          <w:rFonts w:eastAsia="SimSun"/>
          <w:sz w:val="24"/>
          <w:szCs w:val="24"/>
          <w:vertAlign w:val="subscript"/>
        </w:rPr>
        <w:t>obs</w:t>
      </w:r>
      <w:r w:rsidRPr="00C57AD2">
        <w:rPr>
          <w:rFonts w:eastAsia="SimSun"/>
          <w:sz w:val="24"/>
          <w:szCs w:val="24"/>
        </w:rPr>
        <w:t xml:space="preserve"> (</w:t>
      </w:r>
      <w:proofErr w:type="spellStart"/>
      <w:r w:rsidRPr="00C57AD2">
        <w:rPr>
          <w:rFonts w:eastAsia="SimSun"/>
          <w:sz w:val="24"/>
          <w:szCs w:val="24"/>
        </w:rPr>
        <w:t>ΔN</w:t>
      </w:r>
      <w:r w:rsidRPr="00C57AD2">
        <w:rPr>
          <w:rFonts w:eastAsia="SimSun"/>
          <w:sz w:val="24"/>
          <w:szCs w:val="24"/>
          <w:vertAlign w:val="subscript"/>
        </w:rPr>
        <w:t>obs</w:t>
      </w:r>
      <w:proofErr w:type="spellEnd"/>
      <w:r w:rsidRPr="00C57AD2">
        <w:rPr>
          <w:rFonts w:eastAsia="SimSun"/>
          <w:sz w:val="24"/>
          <w:szCs w:val="24"/>
        </w:rPr>
        <w:t>) between arbitrary different years; the dashed line indicates the change in N</w:t>
      </w:r>
      <w:r w:rsidRPr="00C57AD2">
        <w:rPr>
          <w:rFonts w:eastAsia="SimSun"/>
          <w:sz w:val="24"/>
          <w:szCs w:val="24"/>
          <w:vertAlign w:val="subscript"/>
        </w:rPr>
        <w:t>p</w:t>
      </w:r>
      <w:r w:rsidRPr="00C57AD2">
        <w:rPr>
          <w:rFonts w:eastAsia="SimSun"/>
          <w:sz w:val="24"/>
          <w:szCs w:val="24"/>
        </w:rPr>
        <w:t xml:space="preserve"> (</w:t>
      </w:r>
      <w:proofErr w:type="spellStart"/>
      <w:r w:rsidRPr="00C57AD2">
        <w:rPr>
          <w:rFonts w:eastAsia="SimSun"/>
          <w:sz w:val="24"/>
          <w:szCs w:val="24"/>
        </w:rPr>
        <w:t>ΔN</w:t>
      </w:r>
      <w:r w:rsidRPr="00C57AD2">
        <w:rPr>
          <w:rFonts w:eastAsia="SimSun"/>
          <w:sz w:val="24"/>
          <w:szCs w:val="24"/>
          <w:vertAlign w:val="subscript"/>
        </w:rPr>
        <w:t>p</w:t>
      </w:r>
      <w:proofErr w:type="spellEnd"/>
      <w:r w:rsidRPr="00C57AD2">
        <w:rPr>
          <w:rFonts w:eastAsia="SimSun"/>
          <w:sz w:val="24"/>
          <w:szCs w:val="24"/>
        </w:rPr>
        <w:t xml:space="preserve">) between arbitrary different years; the shadow area shows the difference between </w:t>
      </w:r>
      <w:proofErr w:type="spellStart"/>
      <w:r w:rsidRPr="00C57AD2">
        <w:rPr>
          <w:rFonts w:eastAsia="SimSun"/>
          <w:sz w:val="24"/>
          <w:szCs w:val="24"/>
        </w:rPr>
        <w:t>ΔN</w:t>
      </w:r>
      <w:r w:rsidRPr="00C57AD2">
        <w:rPr>
          <w:rFonts w:eastAsia="SimSun"/>
          <w:sz w:val="24"/>
          <w:szCs w:val="24"/>
          <w:vertAlign w:val="subscript"/>
        </w:rPr>
        <w:t>obs</w:t>
      </w:r>
      <w:proofErr w:type="spellEnd"/>
      <w:r w:rsidRPr="00C57AD2">
        <w:rPr>
          <w:rFonts w:eastAsia="SimSun"/>
          <w:sz w:val="24"/>
          <w:szCs w:val="24"/>
        </w:rPr>
        <w:t xml:space="preserve"> and </w:t>
      </w:r>
      <w:proofErr w:type="spellStart"/>
      <w:r w:rsidRPr="00C57AD2">
        <w:rPr>
          <w:rFonts w:eastAsia="SimSun"/>
          <w:sz w:val="24"/>
          <w:szCs w:val="24"/>
        </w:rPr>
        <w:t>ΔN</w:t>
      </w:r>
      <w:r w:rsidRPr="00C57AD2">
        <w:rPr>
          <w:rFonts w:eastAsia="SimSun"/>
          <w:sz w:val="24"/>
          <w:szCs w:val="24"/>
          <w:vertAlign w:val="subscript"/>
        </w:rPr>
        <w:t>p</w:t>
      </w:r>
      <w:proofErr w:type="spellEnd"/>
      <w:r w:rsidRPr="00C57AD2">
        <w:rPr>
          <w:rFonts w:eastAsia="SimSun"/>
          <w:sz w:val="24"/>
          <w:szCs w:val="24"/>
        </w:rPr>
        <w:t xml:space="preserve">, which is the change in </w:t>
      </w:r>
      <w:proofErr w:type="spellStart"/>
      <w:r w:rsidRPr="00C57AD2">
        <w:rPr>
          <w:rFonts w:eastAsia="SimSun"/>
          <w:sz w:val="24"/>
          <w:szCs w:val="24"/>
        </w:rPr>
        <w:t>N</w:t>
      </w:r>
      <w:r w:rsidRPr="00C57AD2">
        <w:rPr>
          <w:rFonts w:eastAsia="SimSun"/>
          <w:sz w:val="24"/>
          <w:szCs w:val="24"/>
          <w:vertAlign w:val="subscript"/>
        </w:rPr>
        <w:t>ex</w:t>
      </w:r>
      <w:proofErr w:type="spellEnd"/>
      <w:r w:rsidRPr="00C57AD2">
        <w:rPr>
          <w:rFonts w:eastAsia="SimSun"/>
          <w:sz w:val="24"/>
          <w:szCs w:val="24"/>
        </w:rPr>
        <w:t xml:space="preserve"> (</w:t>
      </w:r>
      <w:proofErr w:type="spellStart"/>
      <w:r w:rsidRPr="00C57AD2">
        <w:rPr>
          <w:rFonts w:eastAsia="SimSun"/>
          <w:sz w:val="24"/>
          <w:szCs w:val="24"/>
        </w:rPr>
        <w:t>ΔN</w:t>
      </w:r>
      <w:r w:rsidRPr="00C57AD2">
        <w:rPr>
          <w:rFonts w:eastAsia="SimSun"/>
          <w:sz w:val="24"/>
          <w:szCs w:val="24"/>
          <w:vertAlign w:val="subscript"/>
        </w:rPr>
        <w:t>ex</w:t>
      </w:r>
      <w:proofErr w:type="spellEnd"/>
      <w:r w:rsidRPr="00C57AD2">
        <w:rPr>
          <w:rFonts w:eastAsia="SimSun"/>
          <w:sz w:val="24"/>
          <w:szCs w:val="24"/>
        </w:rPr>
        <w:t>) between arbitrary different years.</w:t>
      </w:r>
      <w:bookmarkEnd w:id="19"/>
    </w:p>
    <w:p w14:paraId="25C699F0" w14:textId="77777777" w:rsidR="00FD13B1" w:rsidRPr="00C57AD2" w:rsidRDefault="00FD13B1" w:rsidP="00FD13B1">
      <w:pPr>
        <w:ind w:leftChars="283" w:left="566"/>
        <w:jc w:val="both"/>
        <w:rPr>
          <w:rFonts w:eastAsia="SimSun"/>
          <w:sz w:val="24"/>
          <w:szCs w:val="24"/>
        </w:rPr>
      </w:pPr>
    </w:p>
    <w:p w14:paraId="4F0C6354" w14:textId="69CD4FE4" w:rsidR="00FD13B1" w:rsidRPr="00C57AD2" w:rsidRDefault="00FD13B1" w:rsidP="00FD13B1">
      <w:pPr>
        <w:ind w:leftChars="283" w:left="566"/>
        <w:jc w:val="both"/>
        <w:rPr>
          <w:sz w:val="24"/>
          <w:szCs w:val="24"/>
        </w:rPr>
      </w:pPr>
      <w:bookmarkStart w:id="20" w:name="_Hlk22135421"/>
      <w:r w:rsidRPr="00C57AD2">
        <w:rPr>
          <w:b/>
          <w:sz w:val="24"/>
          <w:szCs w:val="24"/>
        </w:rPr>
        <w:t>Fig. S7.</w:t>
      </w:r>
      <w:r w:rsidRPr="00C57AD2">
        <w:rPr>
          <w:rFonts w:eastAsia="SimSun"/>
          <w:b/>
          <w:bCs/>
          <w:sz w:val="24"/>
          <w:szCs w:val="24"/>
        </w:rPr>
        <w:t xml:space="preserve"> </w:t>
      </w:r>
      <w:r w:rsidRPr="00C57AD2">
        <w:rPr>
          <w:rFonts w:eastAsia="SimSun"/>
          <w:sz w:val="24"/>
          <w:szCs w:val="24"/>
        </w:rPr>
        <w:t>Cross section distributions of</w:t>
      </w:r>
      <w:r w:rsidRPr="00C57AD2">
        <w:rPr>
          <w:rFonts w:eastAsia="SimSun"/>
          <w:b/>
          <w:bCs/>
          <w:sz w:val="24"/>
          <w:szCs w:val="24"/>
        </w:rPr>
        <w:t xml:space="preserve"> </w:t>
      </w:r>
      <w:proofErr w:type="spellStart"/>
      <w:r w:rsidRPr="00C57AD2">
        <w:rPr>
          <w:sz w:val="24"/>
          <w:szCs w:val="24"/>
        </w:rPr>
        <w:t>ΔN</w:t>
      </w:r>
      <w:r w:rsidRPr="00C57AD2">
        <w:rPr>
          <w:sz w:val="24"/>
          <w:szCs w:val="24"/>
          <w:vertAlign w:val="subscript"/>
        </w:rPr>
        <w:t>ex</w:t>
      </w:r>
      <w:proofErr w:type="spellEnd"/>
      <w:r w:rsidRPr="00C57AD2">
        <w:rPr>
          <w:rFonts w:eastAsia="SimSun"/>
          <w:sz w:val="24"/>
          <w:szCs w:val="24"/>
        </w:rPr>
        <w:t xml:space="preserve"> in SR03 (top), I08 (middle), and A16 (bottom) from the 1990s to the 2010s. White solid lines indicate the potential density of seawater. Grey arrows show the supposed trajectory of </w:t>
      </w:r>
      <w:proofErr w:type="spellStart"/>
      <w:r w:rsidRPr="00C57AD2">
        <w:rPr>
          <w:sz w:val="24"/>
          <w:szCs w:val="24"/>
        </w:rPr>
        <w:t>ΔN</w:t>
      </w:r>
      <w:r w:rsidRPr="00C57AD2">
        <w:rPr>
          <w:sz w:val="24"/>
          <w:szCs w:val="24"/>
          <w:vertAlign w:val="subscript"/>
        </w:rPr>
        <w:t>ex</w:t>
      </w:r>
      <w:proofErr w:type="spellEnd"/>
      <w:r w:rsidRPr="00C57AD2">
        <w:rPr>
          <w:rFonts w:eastAsia="SimSun"/>
          <w:sz w:val="24"/>
          <w:szCs w:val="24"/>
        </w:rPr>
        <w:t xml:space="preserve"> inflow. Red circles emphasize</w:t>
      </w:r>
      <w:r w:rsidRPr="00C57AD2">
        <w:rPr>
          <w:rFonts w:eastAsia="SimSun"/>
          <w:sz w:val="24"/>
          <w:szCs w:val="24"/>
          <w:lang w:eastAsia="ja-JP"/>
        </w:rPr>
        <w:t xml:space="preserve"> </w:t>
      </w:r>
      <w:r w:rsidRPr="00C57AD2">
        <w:rPr>
          <w:rFonts w:eastAsia="SimSun"/>
          <w:sz w:val="24"/>
          <w:szCs w:val="24"/>
        </w:rPr>
        <w:t xml:space="preserve">the regions where </w:t>
      </w:r>
      <w:proofErr w:type="spellStart"/>
      <w:r w:rsidRPr="00C57AD2">
        <w:rPr>
          <w:rFonts w:eastAsia="SimSun"/>
          <w:sz w:val="24"/>
          <w:szCs w:val="24"/>
        </w:rPr>
        <w:t>N</w:t>
      </w:r>
      <w:r w:rsidRPr="00C57AD2">
        <w:rPr>
          <w:rFonts w:eastAsia="SimSun"/>
          <w:sz w:val="24"/>
          <w:szCs w:val="24"/>
          <w:vertAlign w:val="subscript"/>
        </w:rPr>
        <w:t>ex</w:t>
      </w:r>
      <w:proofErr w:type="spellEnd"/>
      <w:r w:rsidRPr="00C57AD2">
        <w:rPr>
          <w:rFonts w:eastAsia="SimSun"/>
          <w:sz w:val="24"/>
          <w:szCs w:val="24"/>
        </w:rPr>
        <w:t xml:space="preserve"> increased remarkably.</w:t>
      </w:r>
      <w:r w:rsidR="00C1546E" w:rsidRPr="00C1546E">
        <w:rPr>
          <w:sz w:val="24"/>
          <w:szCs w:val="24"/>
        </w:rPr>
        <w:t xml:space="preserve"> </w:t>
      </w:r>
      <w:r w:rsidR="00C1546E">
        <w:rPr>
          <w:sz w:val="24"/>
          <w:szCs w:val="24"/>
        </w:rPr>
        <w:t xml:space="preserve">This figure was drawn using Ocean Data View </w:t>
      </w:r>
      <w:r w:rsidR="00C1546E" w:rsidRPr="00263A8D">
        <w:rPr>
          <w:sz w:val="24"/>
          <w:szCs w:val="24"/>
          <w:vertAlign w:val="superscript"/>
        </w:rPr>
        <w:t>31</w:t>
      </w:r>
      <w:r w:rsidR="00C1546E">
        <w:rPr>
          <w:sz w:val="24"/>
          <w:szCs w:val="24"/>
        </w:rPr>
        <w:t>.</w:t>
      </w:r>
    </w:p>
    <w:bookmarkEnd w:id="20"/>
    <w:p w14:paraId="294B70DF" w14:textId="77777777" w:rsidR="00FD13B1" w:rsidRPr="00C57AD2" w:rsidRDefault="00FD13B1" w:rsidP="00FD13B1">
      <w:pPr>
        <w:ind w:leftChars="283" w:left="566"/>
        <w:jc w:val="both"/>
        <w:rPr>
          <w:rFonts w:eastAsia="SimSun"/>
          <w:sz w:val="24"/>
          <w:szCs w:val="24"/>
        </w:rPr>
      </w:pPr>
    </w:p>
    <w:p w14:paraId="4E35EF4E" w14:textId="52B8CB9D" w:rsidR="00FD13B1" w:rsidRPr="00C57AD2" w:rsidRDefault="00FD13B1" w:rsidP="00FD13B1">
      <w:pPr>
        <w:ind w:leftChars="283" w:left="566"/>
        <w:jc w:val="both"/>
        <w:rPr>
          <w:rFonts w:eastAsia="SimSun"/>
          <w:sz w:val="24"/>
          <w:szCs w:val="24"/>
        </w:rPr>
      </w:pPr>
      <w:bookmarkStart w:id="21" w:name="_Hlk22135435"/>
      <w:r w:rsidRPr="00C57AD2">
        <w:rPr>
          <w:b/>
          <w:sz w:val="24"/>
          <w:szCs w:val="24"/>
        </w:rPr>
        <w:t>Fig. S8.</w:t>
      </w:r>
      <w:r w:rsidRPr="00C57AD2">
        <w:rPr>
          <w:rFonts w:eastAsia="SimSun"/>
          <w:sz w:val="24"/>
          <w:szCs w:val="24"/>
        </w:rPr>
        <w:t xml:space="preserve"> Vertical distributions of average N</w:t>
      </w:r>
      <w:r w:rsidRPr="00C57AD2">
        <w:rPr>
          <w:rFonts w:eastAsia="SimSun"/>
          <w:sz w:val="24"/>
          <w:szCs w:val="24"/>
          <w:vertAlign w:val="subscript"/>
        </w:rPr>
        <w:t>obs</w:t>
      </w:r>
      <w:r w:rsidRPr="00C57AD2">
        <w:rPr>
          <w:rFonts w:eastAsia="SimSun"/>
          <w:sz w:val="24"/>
          <w:szCs w:val="24"/>
        </w:rPr>
        <w:t xml:space="preserve"> and N</w:t>
      </w:r>
      <w:r w:rsidRPr="00C57AD2">
        <w:rPr>
          <w:rFonts w:eastAsia="SimSun"/>
          <w:sz w:val="24"/>
          <w:szCs w:val="24"/>
          <w:vertAlign w:val="subscript"/>
        </w:rPr>
        <w:t>p</w:t>
      </w:r>
      <w:r w:rsidRPr="00C57AD2">
        <w:rPr>
          <w:rFonts w:eastAsia="SimSun"/>
          <w:sz w:val="24"/>
          <w:szCs w:val="24"/>
        </w:rPr>
        <w:t xml:space="preserve"> for summertime (blue circle) and wintertime (orange circle) based on the data from the 1990s to the 2010s</w:t>
      </w:r>
      <w:r w:rsidRPr="00C57AD2">
        <w:rPr>
          <w:sz w:val="24"/>
          <w:szCs w:val="24"/>
        </w:rPr>
        <w:t xml:space="preserve"> south of 30</w:t>
      </w:r>
      <w:r w:rsidRPr="00C57AD2">
        <w:rPr>
          <w:rFonts w:eastAsia="SimSun"/>
          <w:sz w:val="24"/>
          <w:szCs w:val="24"/>
        </w:rPr>
        <w:t>°S. Differences between summertime and wintertime indicate seasonal variations.</w:t>
      </w:r>
      <w:bookmarkEnd w:id="21"/>
    </w:p>
    <w:p w14:paraId="65D0559E" w14:textId="4B201D23" w:rsidR="004A10BE" w:rsidRPr="00213CDC" w:rsidRDefault="004A10BE" w:rsidP="00213CDC">
      <w:pPr>
        <w:rPr>
          <w:rFonts w:eastAsia="Times New Roman"/>
          <w:b/>
          <w:bCs/>
          <w:sz w:val="24"/>
          <w:szCs w:val="24"/>
        </w:rPr>
      </w:pPr>
    </w:p>
    <w:sectPr w:rsidR="004A10BE" w:rsidRPr="00213CDC" w:rsidSect="008647CC">
      <w:footerReference w:type="default" r:id="rId8"/>
      <w:headerReference w:type="first" r:id="rId9"/>
      <w:footerReference w:type="first" r:id="rId10"/>
      <w:pgSz w:w="12240" w:h="15840"/>
      <w:pgMar w:top="994" w:right="1987" w:bottom="806" w:left="806" w:header="432"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12AA" w14:textId="77777777" w:rsidR="005D01AF" w:rsidRDefault="005D01AF" w:rsidP="004A10BE">
      <w:r>
        <w:separator/>
      </w:r>
    </w:p>
  </w:endnote>
  <w:endnote w:type="continuationSeparator" w:id="0">
    <w:p w14:paraId="0719B323" w14:textId="77777777" w:rsidR="005D01AF" w:rsidRDefault="005D01AF"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8092" w14:textId="4F6B6BBD" w:rsidR="00051A76" w:rsidRPr="004021D9" w:rsidRDefault="00051A76" w:rsidP="00C86292">
    <w:pPr>
      <w:pStyle w:val="af"/>
      <w:pBdr>
        <w:top w:val="single" w:sz="4" w:space="1" w:color="auto"/>
      </w:pBdr>
      <w:ind w:firstLineChars="650" w:firstLine="1170"/>
      <w:rPr>
        <w:sz w:val="18"/>
        <w:szCs w:val="18"/>
      </w:rPr>
    </w:pPr>
    <w:r>
      <w:rPr>
        <w:sz w:val="18"/>
        <w:szCs w:val="18"/>
      </w:rPr>
      <w:t xml:space="preserve">                                                                                                                                                            </w:t>
    </w: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Pr>
        <w:b/>
        <w:bCs/>
        <w:noProof/>
        <w:sz w:val="18"/>
        <w:szCs w:val="18"/>
      </w:rPr>
      <w:t>2</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Pr>
        <w:b/>
        <w:bCs/>
        <w:noProof/>
        <w:sz w:val="18"/>
        <w:szCs w:val="18"/>
      </w:rPr>
      <w:t>6</w:t>
    </w:r>
    <w:r w:rsidRPr="004021D9">
      <w:rPr>
        <w:b/>
        <w:bCs/>
        <w:sz w:val="18"/>
        <w:szCs w:val="18"/>
      </w:rPr>
      <w:fldChar w:fldCharType="end"/>
    </w:r>
  </w:p>
  <w:p w14:paraId="433A296C" w14:textId="77777777" w:rsidR="00051A76" w:rsidRPr="00B547A9" w:rsidRDefault="00051A76" w:rsidP="00B547A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91EB" w14:textId="27F897DB" w:rsidR="00051A76" w:rsidRPr="004021D9" w:rsidRDefault="00051A76" w:rsidP="004021D9">
    <w:pPr>
      <w:pStyle w:val="af"/>
      <w:pBdr>
        <w:top w:val="single" w:sz="4" w:space="1" w:color="auto"/>
      </w:pBdr>
      <w:rPr>
        <w:sz w:val="18"/>
        <w:szCs w:val="18"/>
      </w:rPr>
    </w:pPr>
    <w:r>
      <w:rPr>
        <w:sz w:val="18"/>
        <w:szCs w:val="18"/>
      </w:rPr>
      <w:t xml:space="preserve">                                                                                                                                                                                        </w:t>
    </w:r>
    <w:r w:rsidRPr="004021D9">
      <w:rPr>
        <w:sz w:val="18"/>
        <w:szCs w:val="18"/>
      </w:rPr>
      <w:t xml:space="preserve">Page </w:t>
    </w:r>
    <w:r w:rsidRPr="004021D9">
      <w:rPr>
        <w:b/>
        <w:bCs/>
        <w:sz w:val="18"/>
        <w:szCs w:val="18"/>
      </w:rPr>
      <w:fldChar w:fldCharType="begin"/>
    </w:r>
    <w:r w:rsidRPr="004021D9">
      <w:rPr>
        <w:b/>
        <w:bCs/>
        <w:sz w:val="18"/>
        <w:szCs w:val="18"/>
      </w:rPr>
      <w:instrText xml:space="preserve"> PAGE </w:instrText>
    </w:r>
    <w:r w:rsidRPr="004021D9">
      <w:rPr>
        <w:b/>
        <w:bCs/>
        <w:sz w:val="18"/>
        <w:szCs w:val="18"/>
      </w:rPr>
      <w:fldChar w:fldCharType="separate"/>
    </w:r>
    <w:r>
      <w:rPr>
        <w:b/>
        <w:bCs/>
        <w:noProof/>
        <w:sz w:val="18"/>
        <w:szCs w:val="18"/>
      </w:rPr>
      <w:t>1</w:t>
    </w:r>
    <w:r w:rsidRPr="004021D9">
      <w:rPr>
        <w:b/>
        <w:bCs/>
        <w:sz w:val="18"/>
        <w:szCs w:val="18"/>
      </w:rPr>
      <w:fldChar w:fldCharType="end"/>
    </w:r>
    <w:r w:rsidRPr="004021D9">
      <w:rPr>
        <w:sz w:val="18"/>
        <w:szCs w:val="18"/>
      </w:rPr>
      <w:t xml:space="preserve"> of </w:t>
    </w:r>
    <w:r w:rsidRPr="004021D9">
      <w:rPr>
        <w:b/>
        <w:bCs/>
        <w:sz w:val="18"/>
        <w:szCs w:val="18"/>
      </w:rPr>
      <w:fldChar w:fldCharType="begin"/>
    </w:r>
    <w:r w:rsidRPr="004021D9">
      <w:rPr>
        <w:b/>
        <w:bCs/>
        <w:sz w:val="18"/>
        <w:szCs w:val="18"/>
      </w:rPr>
      <w:instrText xml:space="preserve"> NUMPAGES  </w:instrText>
    </w:r>
    <w:r w:rsidRPr="004021D9">
      <w:rPr>
        <w:b/>
        <w:bCs/>
        <w:sz w:val="18"/>
        <w:szCs w:val="18"/>
      </w:rPr>
      <w:fldChar w:fldCharType="separate"/>
    </w:r>
    <w:r>
      <w:rPr>
        <w:b/>
        <w:bCs/>
        <w:noProof/>
        <w:sz w:val="18"/>
        <w:szCs w:val="18"/>
      </w:rPr>
      <w:t>6</w:t>
    </w:r>
    <w:r w:rsidRPr="004021D9">
      <w:rPr>
        <w:b/>
        <w:bCs/>
        <w:sz w:val="18"/>
        <w:szCs w:val="18"/>
      </w:rPr>
      <w:fldChar w:fldCharType="end"/>
    </w:r>
  </w:p>
  <w:p w14:paraId="544AC16E" w14:textId="77777777" w:rsidR="00051A76" w:rsidRDefault="00051A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32D36" w14:textId="77777777" w:rsidR="005D01AF" w:rsidRDefault="005D01AF" w:rsidP="004A10BE">
      <w:r>
        <w:separator/>
      </w:r>
    </w:p>
  </w:footnote>
  <w:footnote w:type="continuationSeparator" w:id="0">
    <w:p w14:paraId="696A28A5" w14:textId="77777777" w:rsidR="005D01AF" w:rsidRDefault="005D01AF"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8403" w14:textId="77777777" w:rsidR="00051A76" w:rsidRDefault="00051A76" w:rsidP="004A10BE">
    <w:pPr>
      <w:pStyle w:val="af2"/>
    </w:pPr>
    <w:r>
      <w:tab/>
    </w:r>
  </w:p>
  <w:p w14:paraId="7E1E0DC7" w14:textId="77777777" w:rsidR="00051A76" w:rsidRDefault="00051A76" w:rsidP="004A10B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3"/>
  </w:num>
  <w:num w:numId="14">
    <w:abstractNumId w:val="1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cienc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4261D"/>
    <w:rsid w:val="0000238D"/>
    <w:rsid w:val="000113D2"/>
    <w:rsid w:val="00012937"/>
    <w:rsid w:val="00014D96"/>
    <w:rsid w:val="00017FBF"/>
    <w:rsid w:val="00020A67"/>
    <w:rsid w:val="000344E9"/>
    <w:rsid w:val="000355E0"/>
    <w:rsid w:val="0003674A"/>
    <w:rsid w:val="0003739A"/>
    <w:rsid w:val="00037583"/>
    <w:rsid w:val="0004134A"/>
    <w:rsid w:val="00050A43"/>
    <w:rsid w:val="00051A76"/>
    <w:rsid w:val="000543B7"/>
    <w:rsid w:val="00067048"/>
    <w:rsid w:val="00074CE2"/>
    <w:rsid w:val="00077A71"/>
    <w:rsid w:val="00080969"/>
    <w:rsid w:val="00082203"/>
    <w:rsid w:val="0008322B"/>
    <w:rsid w:val="00085F77"/>
    <w:rsid w:val="000A18A2"/>
    <w:rsid w:val="000A3B65"/>
    <w:rsid w:val="000B1B10"/>
    <w:rsid w:val="000B2C20"/>
    <w:rsid w:val="000B7F0C"/>
    <w:rsid w:val="000C6269"/>
    <w:rsid w:val="000C6EAE"/>
    <w:rsid w:val="000E6BEF"/>
    <w:rsid w:val="00104973"/>
    <w:rsid w:val="00106391"/>
    <w:rsid w:val="00113E47"/>
    <w:rsid w:val="0012111E"/>
    <w:rsid w:val="0012244C"/>
    <w:rsid w:val="00125D8F"/>
    <w:rsid w:val="0014081C"/>
    <w:rsid w:val="001417C1"/>
    <w:rsid w:val="001424FB"/>
    <w:rsid w:val="00143D0F"/>
    <w:rsid w:val="001503ED"/>
    <w:rsid w:val="001534A9"/>
    <w:rsid w:val="00157597"/>
    <w:rsid w:val="00161C59"/>
    <w:rsid w:val="00165C2C"/>
    <w:rsid w:val="001662E0"/>
    <w:rsid w:val="001860AC"/>
    <w:rsid w:val="001946B7"/>
    <w:rsid w:val="001972B1"/>
    <w:rsid w:val="001A14AB"/>
    <w:rsid w:val="001A1DA5"/>
    <w:rsid w:val="001B3B1A"/>
    <w:rsid w:val="001B5133"/>
    <w:rsid w:val="001C6741"/>
    <w:rsid w:val="001D1F51"/>
    <w:rsid w:val="001D3A65"/>
    <w:rsid w:val="001D6345"/>
    <w:rsid w:val="001E0E8E"/>
    <w:rsid w:val="001F179F"/>
    <w:rsid w:val="002027EB"/>
    <w:rsid w:val="00202BD8"/>
    <w:rsid w:val="002056A7"/>
    <w:rsid w:val="00213A46"/>
    <w:rsid w:val="00213CDC"/>
    <w:rsid w:val="002149C3"/>
    <w:rsid w:val="002228F7"/>
    <w:rsid w:val="00223F87"/>
    <w:rsid w:val="0022648E"/>
    <w:rsid w:val="00237B12"/>
    <w:rsid w:val="00244B6A"/>
    <w:rsid w:val="00244F9B"/>
    <w:rsid w:val="0024652B"/>
    <w:rsid w:val="002522AD"/>
    <w:rsid w:val="00254DED"/>
    <w:rsid w:val="00261E13"/>
    <w:rsid w:val="00263A8D"/>
    <w:rsid w:val="00263B8F"/>
    <w:rsid w:val="002666AB"/>
    <w:rsid w:val="00266FB0"/>
    <w:rsid w:val="002750C2"/>
    <w:rsid w:val="00275718"/>
    <w:rsid w:val="00276E76"/>
    <w:rsid w:val="00282E2A"/>
    <w:rsid w:val="00287AF1"/>
    <w:rsid w:val="00292C1C"/>
    <w:rsid w:val="00293416"/>
    <w:rsid w:val="00293A41"/>
    <w:rsid w:val="002A3DEB"/>
    <w:rsid w:val="002A6A5F"/>
    <w:rsid w:val="002B326F"/>
    <w:rsid w:val="002B42FB"/>
    <w:rsid w:val="002D013F"/>
    <w:rsid w:val="002D2AB4"/>
    <w:rsid w:val="002D33F0"/>
    <w:rsid w:val="002E28AB"/>
    <w:rsid w:val="002F10A8"/>
    <w:rsid w:val="002F2FBA"/>
    <w:rsid w:val="002F4616"/>
    <w:rsid w:val="002F67DC"/>
    <w:rsid w:val="00300917"/>
    <w:rsid w:val="00305F1E"/>
    <w:rsid w:val="0031083F"/>
    <w:rsid w:val="00327E95"/>
    <w:rsid w:val="00331B33"/>
    <w:rsid w:val="003322B3"/>
    <w:rsid w:val="00340593"/>
    <w:rsid w:val="003472F2"/>
    <w:rsid w:val="003514DF"/>
    <w:rsid w:val="003549CF"/>
    <w:rsid w:val="00355CCB"/>
    <w:rsid w:val="003567B3"/>
    <w:rsid w:val="0036410B"/>
    <w:rsid w:val="003668FF"/>
    <w:rsid w:val="00370DD0"/>
    <w:rsid w:val="0038217B"/>
    <w:rsid w:val="003903EE"/>
    <w:rsid w:val="003910EF"/>
    <w:rsid w:val="00397122"/>
    <w:rsid w:val="003A2DB0"/>
    <w:rsid w:val="003B3A91"/>
    <w:rsid w:val="003B46CD"/>
    <w:rsid w:val="003B6753"/>
    <w:rsid w:val="003B6E68"/>
    <w:rsid w:val="003C63AD"/>
    <w:rsid w:val="003D5D7A"/>
    <w:rsid w:val="003D718E"/>
    <w:rsid w:val="003E79BE"/>
    <w:rsid w:val="003F1E59"/>
    <w:rsid w:val="003F2F71"/>
    <w:rsid w:val="003F62C1"/>
    <w:rsid w:val="003F7D58"/>
    <w:rsid w:val="004021D9"/>
    <w:rsid w:val="00402374"/>
    <w:rsid w:val="00403D32"/>
    <w:rsid w:val="004051FC"/>
    <w:rsid w:val="00412040"/>
    <w:rsid w:val="0041521B"/>
    <w:rsid w:val="004208A7"/>
    <w:rsid w:val="00420A98"/>
    <w:rsid w:val="00425518"/>
    <w:rsid w:val="00426F9A"/>
    <w:rsid w:val="004276B5"/>
    <w:rsid w:val="00434940"/>
    <w:rsid w:val="00436797"/>
    <w:rsid w:val="00442966"/>
    <w:rsid w:val="00443B51"/>
    <w:rsid w:val="00454396"/>
    <w:rsid w:val="00454D04"/>
    <w:rsid w:val="00455EDF"/>
    <w:rsid w:val="00456A89"/>
    <w:rsid w:val="00462D36"/>
    <w:rsid w:val="0046588A"/>
    <w:rsid w:val="0047034A"/>
    <w:rsid w:val="004741C8"/>
    <w:rsid w:val="00483501"/>
    <w:rsid w:val="0048551B"/>
    <w:rsid w:val="004873D5"/>
    <w:rsid w:val="00490034"/>
    <w:rsid w:val="004A10BE"/>
    <w:rsid w:val="004A18F5"/>
    <w:rsid w:val="004A3C5A"/>
    <w:rsid w:val="004A4A54"/>
    <w:rsid w:val="004A63B2"/>
    <w:rsid w:val="004B08E2"/>
    <w:rsid w:val="004B0FAD"/>
    <w:rsid w:val="004B65F1"/>
    <w:rsid w:val="004C306E"/>
    <w:rsid w:val="004C6454"/>
    <w:rsid w:val="004C6F85"/>
    <w:rsid w:val="004D773D"/>
    <w:rsid w:val="004F5EA5"/>
    <w:rsid w:val="004F7291"/>
    <w:rsid w:val="004F7CD3"/>
    <w:rsid w:val="005053D0"/>
    <w:rsid w:val="005117F9"/>
    <w:rsid w:val="005158AE"/>
    <w:rsid w:val="00516D77"/>
    <w:rsid w:val="005229B3"/>
    <w:rsid w:val="00524B43"/>
    <w:rsid w:val="00531000"/>
    <w:rsid w:val="00531BD6"/>
    <w:rsid w:val="005341F3"/>
    <w:rsid w:val="00534E77"/>
    <w:rsid w:val="00541158"/>
    <w:rsid w:val="005424E9"/>
    <w:rsid w:val="00546B56"/>
    <w:rsid w:val="00556452"/>
    <w:rsid w:val="00564D17"/>
    <w:rsid w:val="005677D3"/>
    <w:rsid w:val="00571B7C"/>
    <w:rsid w:val="005729B7"/>
    <w:rsid w:val="00582994"/>
    <w:rsid w:val="0058688A"/>
    <w:rsid w:val="0059245F"/>
    <w:rsid w:val="00593B96"/>
    <w:rsid w:val="005A05C2"/>
    <w:rsid w:val="005A39F1"/>
    <w:rsid w:val="005A4948"/>
    <w:rsid w:val="005A62DE"/>
    <w:rsid w:val="005A67DC"/>
    <w:rsid w:val="005B1276"/>
    <w:rsid w:val="005B36C0"/>
    <w:rsid w:val="005B39DF"/>
    <w:rsid w:val="005B58A0"/>
    <w:rsid w:val="005B66D8"/>
    <w:rsid w:val="005C52DC"/>
    <w:rsid w:val="005C59D2"/>
    <w:rsid w:val="005D01AF"/>
    <w:rsid w:val="005D0726"/>
    <w:rsid w:val="005D3BD6"/>
    <w:rsid w:val="005D578E"/>
    <w:rsid w:val="005D6E77"/>
    <w:rsid w:val="005E5C4D"/>
    <w:rsid w:val="005F712B"/>
    <w:rsid w:val="00612101"/>
    <w:rsid w:val="00615F63"/>
    <w:rsid w:val="006259D8"/>
    <w:rsid w:val="00626ABA"/>
    <w:rsid w:val="0063280E"/>
    <w:rsid w:val="00641CC4"/>
    <w:rsid w:val="0064261D"/>
    <w:rsid w:val="00647975"/>
    <w:rsid w:val="00652D84"/>
    <w:rsid w:val="006664A2"/>
    <w:rsid w:val="0066747F"/>
    <w:rsid w:val="006772C0"/>
    <w:rsid w:val="00677536"/>
    <w:rsid w:val="006807A1"/>
    <w:rsid w:val="0069227A"/>
    <w:rsid w:val="0069612A"/>
    <w:rsid w:val="006A2883"/>
    <w:rsid w:val="006A4CCA"/>
    <w:rsid w:val="006B7719"/>
    <w:rsid w:val="006C60B0"/>
    <w:rsid w:val="006D1426"/>
    <w:rsid w:val="006D4377"/>
    <w:rsid w:val="006E5393"/>
    <w:rsid w:val="006E740B"/>
    <w:rsid w:val="006E7EED"/>
    <w:rsid w:val="006F01F7"/>
    <w:rsid w:val="006F445B"/>
    <w:rsid w:val="0070712C"/>
    <w:rsid w:val="00711705"/>
    <w:rsid w:val="00714D57"/>
    <w:rsid w:val="00714EE5"/>
    <w:rsid w:val="0072653A"/>
    <w:rsid w:val="007266A2"/>
    <w:rsid w:val="007315A3"/>
    <w:rsid w:val="00737D19"/>
    <w:rsid w:val="00740499"/>
    <w:rsid w:val="00744EEE"/>
    <w:rsid w:val="00763A80"/>
    <w:rsid w:val="00773319"/>
    <w:rsid w:val="00774521"/>
    <w:rsid w:val="00776214"/>
    <w:rsid w:val="00783E8D"/>
    <w:rsid w:val="007A1339"/>
    <w:rsid w:val="007A24F5"/>
    <w:rsid w:val="007A5578"/>
    <w:rsid w:val="007B74FD"/>
    <w:rsid w:val="007B7760"/>
    <w:rsid w:val="007D32CB"/>
    <w:rsid w:val="007E1FBC"/>
    <w:rsid w:val="007E4BCD"/>
    <w:rsid w:val="007F125C"/>
    <w:rsid w:val="007F374C"/>
    <w:rsid w:val="00800B9E"/>
    <w:rsid w:val="0080276D"/>
    <w:rsid w:val="00811943"/>
    <w:rsid w:val="008145A9"/>
    <w:rsid w:val="008166A6"/>
    <w:rsid w:val="00824B76"/>
    <w:rsid w:val="00826121"/>
    <w:rsid w:val="008354B4"/>
    <w:rsid w:val="00835FE0"/>
    <w:rsid w:val="00844432"/>
    <w:rsid w:val="00845597"/>
    <w:rsid w:val="0084709E"/>
    <w:rsid w:val="008573F1"/>
    <w:rsid w:val="00863890"/>
    <w:rsid w:val="008645E8"/>
    <w:rsid w:val="008647CC"/>
    <w:rsid w:val="00865346"/>
    <w:rsid w:val="008707B4"/>
    <w:rsid w:val="00880B1A"/>
    <w:rsid w:val="008843AE"/>
    <w:rsid w:val="008953A2"/>
    <w:rsid w:val="00895EEF"/>
    <w:rsid w:val="008A280D"/>
    <w:rsid w:val="008A2BA0"/>
    <w:rsid w:val="008A6A08"/>
    <w:rsid w:val="008A7468"/>
    <w:rsid w:val="008B3041"/>
    <w:rsid w:val="008B4B34"/>
    <w:rsid w:val="008B5DA1"/>
    <w:rsid w:val="008B601B"/>
    <w:rsid w:val="008D08BC"/>
    <w:rsid w:val="008D50F3"/>
    <w:rsid w:val="008D7751"/>
    <w:rsid w:val="008E0198"/>
    <w:rsid w:val="008E70DF"/>
    <w:rsid w:val="008E7716"/>
    <w:rsid w:val="008F2E99"/>
    <w:rsid w:val="0090405E"/>
    <w:rsid w:val="00904DEC"/>
    <w:rsid w:val="00910808"/>
    <w:rsid w:val="00912AF5"/>
    <w:rsid w:val="00916CA5"/>
    <w:rsid w:val="009221A1"/>
    <w:rsid w:val="00930C03"/>
    <w:rsid w:val="0093615D"/>
    <w:rsid w:val="00943A12"/>
    <w:rsid w:val="00943D39"/>
    <w:rsid w:val="00954E34"/>
    <w:rsid w:val="00956AF3"/>
    <w:rsid w:val="009660CC"/>
    <w:rsid w:val="00966B11"/>
    <w:rsid w:val="00970760"/>
    <w:rsid w:val="0097101D"/>
    <w:rsid w:val="00985310"/>
    <w:rsid w:val="00985DD8"/>
    <w:rsid w:val="009911B4"/>
    <w:rsid w:val="00994E48"/>
    <w:rsid w:val="00997188"/>
    <w:rsid w:val="00997950"/>
    <w:rsid w:val="009A11F3"/>
    <w:rsid w:val="009A2C27"/>
    <w:rsid w:val="009A5EA3"/>
    <w:rsid w:val="009A6229"/>
    <w:rsid w:val="009C125A"/>
    <w:rsid w:val="009C2772"/>
    <w:rsid w:val="009C54FF"/>
    <w:rsid w:val="009D10A3"/>
    <w:rsid w:val="009D5D0B"/>
    <w:rsid w:val="009E0B47"/>
    <w:rsid w:val="009E49D9"/>
    <w:rsid w:val="009E4D71"/>
    <w:rsid w:val="009E7118"/>
    <w:rsid w:val="009F0173"/>
    <w:rsid w:val="00A03871"/>
    <w:rsid w:val="00A04CD2"/>
    <w:rsid w:val="00A058A2"/>
    <w:rsid w:val="00A07051"/>
    <w:rsid w:val="00A16922"/>
    <w:rsid w:val="00A16C38"/>
    <w:rsid w:val="00A17637"/>
    <w:rsid w:val="00A20538"/>
    <w:rsid w:val="00A26576"/>
    <w:rsid w:val="00A335C1"/>
    <w:rsid w:val="00A423AB"/>
    <w:rsid w:val="00A4355B"/>
    <w:rsid w:val="00A4424B"/>
    <w:rsid w:val="00A461C1"/>
    <w:rsid w:val="00A54E5A"/>
    <w:rsid w:val="00A65BD2"/>
    <w:rsid w:val="00A761AB"/>
    <w:rsid w:val="00A80C66"/>
    <w:rsid w:val="00A81E31"/>
    <w:rsid w:val="00A85EA0"/>
    <w:rsid w:val="00A86F9C"/>
    <w:rsid w:val="00A9311D"/>
    <w:rsid w:val="00A96E1E"/>
    <w:rsid w:val="00AB1E3B"/>
    <w:rsid w:val="00AB5717"/>
    <w:rsid w:val="00AC1076"/>
    <w:rsid w:val="00AC1F56"/>
    <w:rsid w:val="00AC2069"/>
    <w:rsid w:val="00AC364C"/>
    <w:rsid w:val="00AC4193"/>
    <w:rsid w:val="00AC603B"/>
    <w:rsid w:val="00AD3755"/>
    <w:rsid w:val="00AD6430"/>
    <w:rsid w:val="00AD70F1"/>
    <w:rsid w:val="00AD7821"/>
    <w:rsid w:val="00AE09BF"/>
    <w:rsid w:val="00AE4746"/>
    <w:rsid w:val="00AE6F15"/>
    <w:rsid w:val="00AF008C"/>
    <w:rsid w:val="00AF6017"/>
    <w:rsid w:val="00AF6818"/>
    <w:rsid w:val="00B00080"/>
    <w:rsid w:val="00B00F4A"/>
    <w:rsid w:val="00B01DA5"/>
    <w:rsid w:val="00B121F2"/>
    <w:rsid w:val="00B151F8"/>
    <w:rsid w:val="00B16F54"/>
    <w:rsid w:val="00B221C5"/>
    <w:rsid w:val="00B22398"/>
    <w:rsid w:val="00B25A60"/>
    <w:rsid w:val="00B33C12"/>
    <w:rsid w:val="00B33F87"/>
    <w:rsid w:val="00B378C0"/>
    <w:rsid w:val="00B4386E"/>
    <w:rsid w:val="00B43C16"/>
    <w:rsid w:val="00B547A9"/>
    <w:rsid w:val="00B549AD"/>
    <w:rsid w:val="00B57B85"/>
    <w:rsid w:val="00B73E8C"/>
    <w:rsid w:val="00B84109"/>
    <w:rsid w:val="00B9057C"/>
    <w:rsid w:val="00B92AC7"/>
    <w:rsid w:val="00B949F9"/>
    <w:rsid w:val="00BA209E"/>
    <w:rsid w:val="00BA3E46"/>
    <w:rsid w:val="00BB1801"/>
    <w:rsid w:val="00BB2127"/>
    <w:rsid w:val="00BB4C8B"/>
    <w:rsid w:val="00BB51B8"/>
    <w:rsid w:val="00BC0564"/>
    <w:rsid w:val="00BC5A1B"/>
    <w:rsid w:val="00BD1E0A"/>
    <w:rsid w:val="00BE07DF"/>
    <w:rsid w:val="00BF1772"/>
    <w:rsid w:val="00BF179F"/>
    <w:rsid w:val="00BF7790"/>
    <w:rsid w:val="00C01674"/>
    <w:rsid w:val="00C062CC"/>
    <w:rsid w:val="00C1319D"/>
    <w:rsid w:val="00C1546E"/>
    <w:rsid w:val="00C21A0B"/>
    <w:rsid w:val="00C239D1"/>
    <w:rsid w:val="00C32274"/>
    <w:rsid w:val="00C3269C"/>
    <w:rsid w:val="00C566F9"/>
    <w:rsid w:val="00C753D5"/>
    <w:rsid w:val="00C86292"/>
    <w:rsid w:val="00C87A78"/>
    <w:rsid w:val="00C917E9"/>
    <w:rsid w:val="00C97888"/>
    <w:rsid w:val="00CA152B"/>
    <w:rsid w:val="00CB31D5"/>
    <w:rsid w:val="00CB5299"/>
    <w:rsid w:val="00CC3888"/>
    <w:rsid w:val="00CE0655"/>
    <w:rsid w:val="00CE3B9E"/>
    <w:rsid w:val="00CE685C"/>
    <w:rsid w:val="00CE6AA7"/>
    <w:rsid w:val="00CE7D55"/>
    <w:rsid w:val="00CF4D43"/>
    <w:rsid w:val="00CF5E89"/>
    <w:rsid w:val="00D01F58"/>
    <w:rsid w:val="00D05A1E"/>
    <w:rsid w:val="00D06FA4"/>
    <w:rsid w:val="00D150E4"/>
    <w:rsid w:val="00D176A7"/>
    <w:rsid w:val="00D20A75"/>
    <w:rsid w:val="00D20C48"/>
    <w:rsid w:val="00D213BD"/>
    <w:rsid w:val="00D21A24"/>
    <w:rsid w:val="00D22EE7"/>
    <w:rsid w:val="00D232DA"/>
    <w:rsid w:val="00D23942"/>
    <w:rsid w:val="00D24AD1"/>
    <w:rsid w:val="00D25211"/>
    <w:rsid w:val="00D25866"/>
    <w:rsid w:val="00D43FF3"/>
    <w:rsid w:val="00D45F2E"/>
    <w:rsid w:val="00D473FA"/>
    <w:rsid w:val="00D4751A"/>
    <w:rsid w:val="00D512CE"/>
    <w:rsid w:val="00D52420"/>
    <w:rsid w:val="00D57978"/>
    <w:rsid w:val="00D66708"/>
    <w:rsid w:val="00D70688"/>
    <w:rsid w:val="00D913D9"/>
    <w:rsid w:val="00D92A65"/>
    <w:rsid w:val="00D9429F"/>
    <w:rsid w:val="00DA3BF8"/>
    <w:rsid w:val="00DA5AA6"/>
    <w:rsid w:val="00DB01C8"/>
    <w:rsid w:val="00DB3B5F"/>
    <w:rsid w:val="00DC0215"/>
    <w:rsid w:val="00DC300C"/>
    <w:rsid w:val="00DC5358"/>
    <w:rsid w:val="00DD03D5"/>
    <w:rsid w:val="00DD0C83"/>
    <w:rsid w:val="00DD478A"/>
    <w:rsid w:val="00DD6FBA"/>
    <w:rsid w:val="00DF04D9"/>
    <w:rsid w:val="00DF29EB"/>
    <w:rsid w:val="00DF2EEA"/>
    <w:rsid w:val="00DF594A"/>
    <w:rsid w:val="00DF59D1"/>
    <w:rsid w:val="00DF5F2E"/>
    <w:rsid w:val="00DF64A8"/>
    <w:rsid w:val="00E00BE3"/>
    <w:rsid w:val="00E02787"/>
    <w:rsid w:val="00E10F2C"/>
    <w:rsid w:val="00E12498"/>
    <w:rsid w:val="00E14092"/>
    <w:rsid w:val="00E158CC"/>
    <w:rsid w:val="00E229FE"/>
    <w:rsid w:val="00E27E82"/>
    <w:rsid w:val="00E313AE"/>
    <w:rsid w:val="00E4368A"/>
    <w:rsid w:val="00E43B73"/>
    <w:rsid w:val="00E51353"/>
    <w:rsid w:val="00E56C7B"/>
    <w:rsid w:val="00E66F0B"/>
    <w:rsid w:val="00E6736E"/>
    <w:rsid w:val="00E7549F"/>
    <w:rsid w:val="00E76322"/>
    <w:rsid w:val="00E76632"/>
    <w:rsid w:val="00E81A31"/>
    <w:rsid w:val="00E96C70"/>
    <w:rsid w:val="00E97365"/>
    <w:rsid w:val="00EA0F7D"/>
    <w:rsid w:val="00EA21D5"/>
    <w:rsid w:val="00EA3AC7"/>
    <w:rsid w:val="00EA75EC"/>
    <w:rsid w:val="00EB3AC7"/>
    <w:rsid w:val="00EB6D47"/>
    <w:rsid w:val="00EC2FA8"/>
    <w:rsid w:val="00EC3451"/>
    <w:rsid w:val="00EC5A6C"/>
    <w:rsid w:val="00EC5EE1"/>
    <w:rsid w:val="00EC6675"/>
    <w:rsid w:val="00ED3846"/>
    <w:rsid w:val="00ED3CC6"/>
    <w:rsid w:val="00EE5070"/>
    <w:rsid w:val="00EF293B"/>
    <w:rsid w:val="00EF779E"/>
    <w:rsid w:val="00F01E4D"/>
    <w:rsid w:val="00F02265"/>
    <w:rsid w:val="00F0367E"/>
    <w:rsid w:val="00F13DBE"/>
    <w:rsid w:val="00F25CFC"/>
    <w:rsid w:val="00F4064E"/>
    <w:rsid w:val="00F44665"/>
    <w:rsid w:val="00F5209C"/>
    <w:rsid w:val="00F522BD"/>
    <w:rsid w:val="00F528FF"/>
    <w:rsid w:val="00F5369F"/>
    <w:rsid w:val="00F619DE"/>
    <w:rsid w:val="00F62920"/>
    <w:rsid w:val="00F62B91"/>
    <w:rsid w:val="00F63DEB"/>
    <w:rsid w:val="00F663F3"/>
    <w:rsid w:val="00F71ACB"/>
    <w:rsid w:val="00F71CCA"/>
    <w:rsid w:val="00F73880"/>
    <w:rsid w:val="00F7476B"/>
    <w:rsid w:val="00F753F8"/>
    <w:rsid w:val="00F8146C"/>
    <w:rsid w:val="00F916E5"/>
    <w:rsid w:val="00F94C8E"/>
    <w:rsid w:val="00FA6774"/>
    <w:rsid w:val="00FB136C"/>
    <w:rsid w:val="00FB322C"/>
    <w:rsid w:val="00FB32D5"/>
    <w:rsid w:val="00FB64FA"/>
    <w:rsid w:val="00FC0A4C"/>
    <w:rsid w:val="00FC0F76"/>
    <w:rsid w:val="00FC1FB0"/>
    <w:rsid w:val="00FC57D1"/>
    <w:rsid w:val="00FD003F"/>
    <w:rsid w:val="00FD13B1"/>
    <w:rsid w:val="00FD3088"/>
    <w:rsid w:val="00FD4D87"/>
    <w:rsid w:val="00FE12C5"/>
    <w:rsid w:val="00FF0BC8"/>
    <w:rsid w:val="00FF32E5"/>
    <w:rsid w:val="00FF3E8E"/>
    <w:rsid w:val="00FF5437"/>
    <w:rsid w:val="00FF5A71"/>
    <w:rsid w:val="00FF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EF1F9"/>
  <w15:chartTrackingRefBased/>
  <w15:docId w15:val="{994DB281-2227-4199-92BB-D472226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F20"/>
  </w:style>
  <w:style w:type="paragraph" w:styleId="1">
    <w:name w:val="heading 1"/>
    <w:basedOn w:val="a"/>
    <w:next w:val="a"/>
    <w:link w:val="10"/>
    <w:uiPriority w:val="9"/>
    <w:qFormat/>
    <w:rsid w:val="00462D3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50F3"/>
    <w:pPr>
      <w:keepNext/>
      <w:keepLines/>
      <w:widowControl w:val="0"/>
      <w:spacing w:before="100" w:beforeAutospacing="1" w:after="100" w:afterAutospacing="1" w:line="360" w:lineRule="auto"/>
      <w:ind w:leftChars="100" w:left="100"/>
      <w:jc w:val="both"/>
      <w:outlineLvl w:val="1"/>
    </w:pPr>
    <w:rPr>
      <w:rFonts w:eastAsiaTheme="majorEastAsia" w:cstheme="majorBidi"/>
      <w:b/>
      <w:bCs/>
      <w:kern w:val="2"/>
      <w:sz w:val="2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2D36"/>
    <w:rPr>
      <w:b/>
      <w:bCs/>
      <w:kern w:val="44"/>
      <w:sz w:val="44"/>
      <w:szCs w:val="44"/>
    </w:rPr>
  </w:style>
  <w:style w:type="character" w:customStyle="1" w:styleId="20">
    <w:name w:val="見出し 2 (文字)"/>
    <w:basedOn w:val="a0"/>
    <w:link w:val="2"/>
    <w:uiPriority w:val="9"/>
    <w:rsid w:val="008D50F3"/>
    <w:rPr>
      <w:rFonts w:eastAsiaTheme="majorEastAsia" w:cstheme="majorBidi"/>
      <w:b/>
      <w:bCs/>
      <w:kern w:val="2"/>
      <w:sz w:val="22"/>
      <w:szCs w:val="32"/>
      <w:lang w:eastAsia="zh-CN"/>
    </w:rPr>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a3">
    <w:name w:val="Balloon Text"/>
    <w:basedOn w:val="a"/>
    <w:link w:val="a4"/>
    <w:uiPriority w:val="99"/>
    <w:semiHidden/>
    <w:rsid w:val="009A3899"/>
    <w:rPr>
      <w:rFonts w:ascii="Lucida Grande" w:eastAsia="Times New Roman" w:hAnsi="Lucida Grande"/>
      <w:sz w:val="18"/>
      <w:szCs w:val="18"/>
    </w:rPr>
  </w:style>
  <w:style w:type="character" w:customStyle="1" w:styleId="a4">
    <w:name w:val="吹き出し (文字)"/>
    <w:link w:val="a3"/>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a5">
    <w:name w:val="annotation reference"/>
    <w:uiPriority w:val="99"/>
    <w:rsid w:val="009A3899"/>
    <w:rPr>
      <w:sz w:val="18"/>
      <w:szCs w:val="18"/>
    </w:rPr>
  </w:style>
  <w:style w:type="paragraph" w:styleId="a6">
    <w:name w:val="annotation text"/>
    <w:basedOn w:val="a"/>
    <w:link w:val="a7"/>
    <w:uiPriority w:val="99"/>
    <w:semiHidden/>
    <w:rsid w:val="009A3899"/>
    <w:rPr>
      <w:rFonts w:eastAsia="Times New Roman"/>
    </w:rPr>
  </w:style>
  <w:style w:type="character" w:customStyle="1" w:styleId="a7">
    <w:name w:val="コメント文字列 (文字)"/>
    <w:link w:val="a6"/>
    <w:uiPriority w:val="99"/>
    <w:semiHidden/>
    <w:rsid w:val="009A3899"/>
    <w:rPr>
      <w:rFonts w:ascii="Times New Roman" w:eastAsia="Times New Roman" w:hAnsi="Times New Roman"/>
      <w:sz w:val="20"/>
      <w:szCs w:val="20"/>
    </w:rPr>
  </w:style>
  <w:style w:type="paragraph" w:styleId="a8">
    <w:name w:val="annotation subject"/>
    <w:basedOn w:val="a6"/>
    <w:next w:val="a6"/>
    <w:link w:val="a9"/>
    <w:uiPriority w:val="99"/>
    <w:semiHidden/>
    <w:unhideWhenUsed/>
    <w:rsid w:val="009A3899"/>
    <w:rPr>
      <w:b/>
      <w:bCs/>
    </w:rPr>
  </w:style>
  <w:style w:type="character" w:customStyle="1" w:styleId="a9">
    <w:name w:val="コメント内容 (文字)"/>
    <w:link w:val="a8"/>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aa">
    <w:name w:val="Emphasis"/>
    <w:uiPriority w:val="20"/>
    <w:qFormat/>
    <w:rsid w:val="009A3899"/>
    <w:rPr>
      <w:i/>
      <w:iCs/>
    </w:rPr>
  </w:style>
  <w:style w:type="character" w:styleId="ab">
    <w:name w:val="endnote reference"/>
    <w:semiHidden/>
    <w:rsid w:val="009A3899"/>
    <w:rPr>
      <w:vertAlign w:val="superscript"/>
    </w:rPr>
  </w:style>
  <w:style w:type="paragraph" w:styleId="ac">
    <w:name w:val="endnote text"/>
    <w:basedOn w:val="a"/>
    <w:link w:val="ad"/>
    <w:semiHidden/>
    <w:rsid w:val="009A3899"/>
    <w:rPr>
      <w:rFonts w:ascii="Cambria" w:eastAsia="Cambria" w:hAnsi="Cambria"/>
    </w:rPr>
  </w:style>
  <w:style w:type="character" w:customStyle="1" w:styleId="ad">
    <w:name w:val="文末脚注文字列 (文字)"/>
    <w:link w:val="ac"/>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ae">
    <w:name w:val="FollowedHyperlink"/>
    <w:uiPriority w:val="99"/>
    <w:rsid w:val="009A3899"/>
    <w:rPr>
      <w:color w:val="800080"/>
      <w:u w:val="single"/>
    </w:rPr>
  </w:style>
  <w:style w:type="paragraph" w:styleId="af">
    <w:name w:val="footer"/>
    <w:basedOn w:val="a"/>
    <w:link w:val="af0"/>
    <w:uiPriority w:val="99"/>
    <w:rsid w:val="009A3899"/>
    <w:pPr>
      <w:tabs>
        <w:tab w:val="center" w:pos="4320"/>
        <w:tab w:val="right" w:pos="8640"/>
      </w:tabs>
    </w:pPr>
    <w:rPr>
      <w:rFonts w:eastAsia="Times New Roman"/>
    </w:rPr>
  </w:style>
  <w:style w:type="character" w:customStyle="1" w:styleId="af0">
    <w:name w:val="フッター (文字)"/>
    <w:link w:val="af"/>
    <w:uiPriority w:val="99"/>
    <w:rsid w:val="009A3899"/>
    <w:rPr>
      <w:rFonts w:ascii="Times New Roman" w:eastAsia="Times New Roman" w:hAnsi="Times New Roman"/>
      <w:sz w:val="20"/>
      <w:szCs w:val="20"/>
    </w:rPr>
  </w:style>
  <w:style w:type="character" w:styleId="af1">
    <w:name w:val="footnote reference"/>
    <w:uiPriority w:val="99"/>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af2">
    <w:name w:val="header"/>
    <w:basedOn w:val="a"/>
    <w:link w:val="af3"/>
    <w:uiPriority w:val="99"/>
    <w:rsid w:val="009A3899"/>
    <w:pPr>
      <w:tabs>
        <w:tab w:val="center" w:pos="4320"/>
        <w:tab w:val="right" w:pos="8640"/>
      </w:tabs>
    </w:pPr>
    <w:rPr>
      <w:rFonts w:eastAsia="Times New Roman"/>
    </w:rPr>
  </w:style>
  <w:style w:type="character" w:customStyle="1" w:styleId="af3">
    <w:name w:val="ヘッダー (文字)"/>
    <w:link w:val="af2"/>
    <w:uiPriority w:val="99"/>
    <w:rsid w:val="009A3899"/>
    <w:rPr>
      <w:rFonts w:ascii="Times New Roman" w:eastAsia="Times New Roman" w:hAnsi="Times New Roman"/>
      <w:sz w:val="20"/>
      <w:szCs w:val="20"/>
    </w:rPr>
  </w:style>
  <w:style w:type="character" w:styleId="HTML">
    <w:name w:val="HTML Acronym"/>
    <w:basedOn w:val="a0"/>
    <w:rsid w:val="009A3899"/>
  </w:style>
  <w:style w:type="character" w:styleId="HTML0">
    <w:name w:val="HTML Cite"/>
    <w:rsid w:val="009A3899"/>
    <w:rPr>
      <w:i/>
      <w:iCs/>
    </w:rPr>
  </w:style>
  <w:style w:type="character" w:styleId="HTML1">
    <w:name w:val="HTML Code"/>
    <w:rsid w:val="009A3899"/>
    <w:rPr>
      <w:rFonts w:ascii="Courier New" w:hAnsi="Courier New" w:cs="Courier New"/>
      <w:sz w:val="20"/>
      <w:szCs w:val="20"/>
    </w:rPr>
  </w:style>
  <w:style w:type="character" w:styleId="HTML2">
    <w:name w:val="HTML Definition"/>
    <w:rsid w:val="009A3899"/>
    <w:rPr>
      <w:i/>
      <w:iCs/>
    </w:rPr>
  </w:style>
  <w:style w:type="character" w:styleId="HTML3">
    <w:name w:val="HTML Keyboard"/>
    <w:rsid w:val="009A3899"/>
    <w:rPr>
      <w:rFonts w:ascii="Courier New" w:hAnsi="Courier New" w:cs="Courier New"/>
      <w:sz w:val="20"/>
      <w:szCs w:val="20"/>
    </w:rPr>
  </w:style>
  <w:style w:type="paragraph" w:styleId="HTML4">
    <w:name w:val="HTML Preformatted"/>
    <w:basedOn w:val="a"/>
    <w:link w:val="HTML5"/>
    <w:uiPriority w:val="99"/>
    <w:rsid w:val="009A3899"/>
    <w:rPr>
      <w:rFonts w:ascii="Consolas" w:eastAsia="Times New Roman" w:hAnsi="Consolas"/>
    </w:rPr>
  </w:style>
  <w:style w:type="character" w:customStyle="1" w:styleId="HTML5">
    <w:name w:val="HTML 書式付き (文字)"/>
    <w:link w:val="HTML4"/>
    <w:uiPriority w:val="99"/>
    <w:rsid w:val="009A3899"/>
    <w:rPr>
      <w:rFonts w:ascii="Consolas" w:eastAsia="Times New Roman" w:hAnsi="Consolas"/>
      <w:sz w:val="20"/>
      <w:szCs w:val="20"/>
    </w:rPr>
  </w:style>
  <w:style w:type="character" w:styleId="HTML6">
    <w:name w:val="HTML Sample"/>
    <w:rsid w:val="009A3899"/>
    <w:rPr>
      <w:rFonts w:ascii="Courier New" w:hAnsi="Courier New" w:cs="Courier New"/>
    </w:rPr>
  </w:style>
  <w:style w:type="character" w:styleId="HTML7">
    <w:name w:val="HTML Typewriter"/>
    <w:rsid w:val="009A3899"/>
    <w:rPr>
      <w:rFonts w:ascii="Courier New" w:hAnsi="Courier New" w:cs="Courier New"/>
      <w:sz w:val="20"/>
      <w:szCs w:val="20"/>
    </w:rPr>
  </w:style>
  <w:style w:type="character" w:styleId="HTML8">
    <w:name w:val="HTML Variable"/>
    <w:rsid w:val="009A3899"/>
    <w:rPr>
      <w:i/>
      <w:iCs/>
    </w:rPr>
  </w:style>
  <w:style w:type="character" w:styleId="af4">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af5">
    <w:name w:val="line number"/>
    <w:basedOn w:val="a0"/>
    <w:uiPriority w:val="99"/>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af6">
    <w:name w:val="page number"/>
    <w:basedOn w:val="a0"/>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af7">
    <w:name w:val="Strong"/>
    <w:uiPriority w:val="22"/>
    <w:qFormat/>
    <w:rsid w:val="009A3899"/>
    <w:rPr>
      <w:b/>
      <w:bCs/>
    </w:rPr>
  </w:style>
  <w:style w:type="paragraph" w:customStyle="1" w:styleId="SX-Abstract">
    <w:name w:val="SX-Abstract"/>
    <w:basedOn w:val="a"/>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9A3899"/>
    <w:pPr>
      <w:spacing w:after="160" w:line="190" w:lineRule="exact"/>
    </w:pPr>
    <w:rPr>
      <w:rFonts w:ascii="BlissRegular" w:eastAsia="Times New Roman" w:hAnsi="BlissRegular"/>
      <w:sz w:val="16"/>
    </w:rPr>
  </w:style>
  <w:style w:type="paragraph" w:customStyle="1" w:styleId="SX-Articlehead">
    <w:name w:val="SX-Article head"/>
    <w:basedOn w:val="a"/>
    <w:qFormat/>
    <w:rsid w:val="009A3899"/>
    <w:pPr>
      <w:spacing w:before="210" w:line="210" w:lineRule="exact"/>
      <w:ind w:firstLine="288"/>
      <w:jc w:val="both"/>
    </w:pPr>
    <w:rPr>
      <w:rFonts w:eastAsia="Times New Roman"/>
      <w:b/>
      <w:sz w:val="18"/>
    </w:rPr>
  </w:style>
  <w:style w:type="paragraph" w:customStyle="1" w:styleId="SX-Authornames">
    <w:name w:val="SX-Author names"/>
    <w:basedOn w:val="a"/>
    <w:rsid w:val="009A3899"/>
    <w:pPr>
      <w:spacing w:after="120" w:line="210" w:lineRule="exact"/>
    </w:pPr>
    <w:rPr>
      <w:rFonts w:ascii="BlissMedium" w:eastAsia="Times New Roman" w:hAnsi="BlissMedium"/>
    </w:rPr>
  </w:style>
  <w:style w:type="paragraph" w:customStyle="1" w:styleId="SX-Bodytext">
    <w:name w:val="SX-Body text"/>
    <w:basedOn w:val="a"/>
    <w:next w:val="a"/>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a"/>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a"/>
    <w:rsid w:val="009A3899"/>
    <w:pPr>
      <w:spacing w:line="190" w:lineRule="exact"/>
      <w:ind w:left="245" w:hanging="245"/>
      <w:jc w:val="both"/>
    </w:pPr>
    <w:rPr>
      <w:rFonts w:eastAsia="Times New Roman"/>
      <w:sz w:val="16"/>
    </w:rPr>
  </w:style>
  <w:style w:type="paragraph" w:customStyle="1" w:styleId="SX-RefHead">
    <w:name w:val="SX-RefHead"/>
    <w:basedOn w:val="a"/>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a"/>
    <w:qFormat/>
    <w:rsid w:val="009A3899"/>
    <w:rPr>
      <w:rFonts w:eastAsia="Times New Roman"/>
      <w:szCs w:val="24"/>
    </w:rPr>
  </w:style>
  <w:style w:type="paragraph" w:customStyle="1" w:styleId="SX-Tablelegend">
    <w:name w:val="SX-Tablelegend"/>
    <w:basedOn w:val="a"/>
    <w:qFormat/>
    <w:rsid w:val="009A3899"/>
    <w:pPr>
      <w:spacing w:line="190" w:lineRule="exact"/>
      <w:ind w:left="245" w:hanging="245"/>
      <w:jc w:val="both"/>
    </w:pPr>
    <w:rPr>
      <w:rFonts w:eastAsia="Times New Roman"/>
      <w:sz w:val="16"/>
    </w:rPr>
  </w:style>
  <w:style w:type="paragraph" w:customStyle="1" w:styleId="SX-Tabletext">
    <w:name w:val="SX-Tabletext"/>
    <w:basedOn w:val="a"/>
    <w:qFormat/>
    <w:rsid w:val="009A3899"/>
    <w:pPr>
      <w:spacing w:line="210" w:lineRule="exact"/>
      <w:jc w:val="center"/>
    </w:pPr>
    <w:rPr>
      <w:rFonts w:eastAsia="Times New Roman"/>
      <w:sz w:val="18"/>
    </w:rPr>
  </w:style>
  <w:style w:type="paragraph" w:customStyle="1" w:styleId="SX-Tabletitle">
    <w:name w:val="SX-Tabletitle"/>
    <w:basedOn w:val="a"/>
    <w:qFormat/>
    <w:rsid w:val="009A3899"/>
    <w:pPr>
      <w:spacing w:after="120" w:line="210" w:lineRule="exact"/>
      <w:jc w:val="both"/>
    </w:pPr>
    <w:rPr>
      <w:rFonts w:ascii="BlissMedium" w:eastAsia="Times New Roman" w:hAnsi="BlissMedium"/>
      <w:sz w:val="18"/>
    </w:rPr>
  </w:style>
  <w:style w:type="paragraph" w:customStyle="1" w:styleId="SX-Title">
    <w:name w:val="SX-Title"/>
    <w:basedOn w:val="a"/>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a"/>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a0"/>
    <w:rsid w:val="00943D39"/>
  </w:style>
  <w:style w:type="character" w:customStyle="1" w:styleId="custom-cit-title">
    <w:name w:val="custom-cit-title"/>
    <w:basedOn w:val="a0"/>
    <w:rsid w:val="00943D39"/>
  </w:style>
  <w:style w:type="character" w:customStyle="1" w:styleId="custom-cit-jour-title">
    <w:name w:val="custom-cit-jour-title"/>
    <w:basedOn w:val="a0"/>
    <w:rsid w:val="00943D39"/>
  </w:style>
  <w:style w:type="character" w:customStyle="1" w:styleId="custom-cit-volume">
    <w:name w:val="custom-cit-volume"/>
    <w:basedOn w:val="a0"/>
    <w:rsid w:val="00943D39"/>
  </w:style>
  <w:style w:type="character" w:customStyle="1" w:styleId="custom-cit-volume-sep">
    <w:name w:val="custom-cit-volume-sep"/>
    <w:basedOn w:val="a0"/>
    <w:rsid w:val="00943D39"/>
  </w:style>
  <w:style w:type="character" w:customStyle="1" w:styleId="custom-cit-fpage">
    <w:name w:val="custom-cit-fpage"/>
    <w:basedOn w:val="a0"/>
    <w:rsid w:val="00943D39"/>
  </w:style>
  <w:style w:type="character" w:customStyle="1" w:styleId="custom-cit-date">
    <w:name w:val="custom-cit-date"/>
    <w:basedOn w:val="a0"/>
    <w:rsid w:val="00943D39"/>
  </w:style>
  <w:style w:type="paragraph" w:customStyle="1" w:styleId="MediumList2-Accent21">
    <w:name w:val="Medium List 2 - Accent 21"/>
    <w:hidden/>
    <w:uiPriority w:val="99"/>
    <w:semiHidden/>
    <w:rsid w:val="001B3B1A"/>
  </w:style>
  <w:style w:type="table" w:styleId="af8">
    <w:name w:val="Table Grid"/>
    <w:basedOn w:val="a1"/>
    <w:uiPriority w:val="39"/>
    <w:rsid w:val="00B547A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462D36"/>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afa">
    <w:name w:val="副題 (文字)"/>
    <w:basedOn w:val="a0"/>
    <w:link w:val="af9"/>
    <w:uiPriority w:val="11"/>
    <w:rsid w:val="00462D36"/>
    <w:rPr>
      <w:rFonts w:asciiTheme="minorHAnsi" w:hAnsiTheme="minorHAnsi" w:cstheme="minorBidi"/>
      <w:b/>
      <w:bCs/>
      <w:kern w:val="28"/>
      <w:sz w:val="32"/>
      <w:szCs w:val="32"/>
      <w:lang w:eastAsia="zh-CN"/>
    </w:rPr>
  </w:style>
  <w:style w:type="character" w:customStyle="1" w:styleId="afb">
    <w:name w:val="表題 (文字)"/>
    <w:basedOn w:val="a0"/>
    <w:link w:val="afc"/>
    <w:uiPriority w:val="10"/>
    <w:rsid w:val="008E7716"/>
    <w:rPr>
      <w:rFonts w:asciiTheme="majorHAnsi" w:eastAsiaTheme="majorEastAsia" w:hAnsiTheme="majorHAnsi" w:cstheme="majorBidi"/>
      <w:b/>
      <w:bCs/>
      <w:kern w:val="2"/>
      <w:sz w:val="32"/>
      <w:szCs w:val="32"/>
      <w:lang w:eastAsia="zh-CN"/>
    </w:rPr>
  </w:style>
  <w:style w:type="paragraph" w:styleId="afc">
    <w:name w:val="Title"/>
    <w:basedOn w:val="a"/>
    <w:next w:val="a"/>
    <w:link w:val="afb"/>
    <w:uiPriority w:val="10"/>
    <w:qFormat/>
    <w:rsid w:val="008E7716"/>
    <w:pPr>
      <w:widowControl w:val="0"/>
      <w:spacing w:before="240" w:after="60"/>
      <w:jc w:val="center"/>
      <w:outlineLvl w:val="0"/>
    </w:pPr>
    <w:rPr>
      <w:rFonts w:asciiTheme="majorHAnsi" w:eastAsiaTheme="majorEastAsia" w:hAnsiTheme="majorHAnsi" w:cstheme="majorBidi"/>
      <w:b/>
      <w:bCs/>
      <w:kern w:val="2"/>
      <w:sz w:val="32"/>
      <w:szCs w:val="32"/>
      <w:lang w:eastAsia="zh-CN"/>
    </w:rPr>
  </w:style>
  <w:style w:type="character" w:customStyle="1" w:styleId="afd">
    <w:name w:val="引用文 (文字)"/>
    <w:basedOn w:val="a0"/>
    <w:link w:val="afe"/>
    <w:uiPriority w:val="29"/>
    <w:rsid w:val="008E7716"/>
    <w:rPr>
      <w:rFonts w:asciiTheme="minorHAnsi" w:hAnsiTheme="minorHAnsi" w:cstheme="minorBidi"/>
      <w:i/>
      <w:iCs/>
      <w:color w:val="404040" w:themeColor="text1" w:themeTint="BF"/>
      <w:kern w:val="2"/>
      <w:sz w:val="24"/>
      <w:szCs w:val="24"/>
      <w:lang w:eastAsia="zh-CN"/>
    </w:rPr>
  </w:style>
  <w:style w:type="paragraph" w:styleId="afe">
    <w:name w:val="Quote"/>
    <w:basedOn w:val="a"/>
    <w:next w:val="a"/>
    <w:link w:val="afd"/>
    <w:uiPriority w:val="29"/>
    <w:qFormat/>
    <w:rsid w:val="008E7716"/>
    <w:pPr>
      <w:widowControl w:val="0"/>
      <w:spacing w:before="200" w:after="160"/>
      <w:ind w:left="864" w:right="864"/>
      <w:jc w:val="center"/>
    </w:pPr>
    <w:rPr>
      <w:rFonts w:asciiTheme="minorHAnsi" w:hAnsiTheme="minorHAnsi" w:cstheme="minorBidi"/>
      <w:i/>
      <w:iCs/>
      <w:color w:val="404040" w:themeColor="text1" w:themeTint="BF"/>
      <w:kern w:val="2"/>
      <w:sz w:val="24"/>
      <w:szCs w:val="24"/>
      <w:lang w:eastAsia="zh-CN"/>
    </w:rPr>
  </w:style>
  <w:style w:type="paragraph" w:styleId="aff">
    <w:name w:val="Revision"/>
    <w:hidden/>
    <w:uiPriority w:val="99"/>
    <w:semiHidden/>
    <w:rsid w:val="0047034A"/>
  </w:style>
  <w:style w:type="character" w:styleId="aff0">
    <w:name w:val="Unresolved Mention"/>
    <w:basedOn w:val="a0"/>
    <w:uiPriority w:val="99"/>
    <w:semiHidden/>
    <w:unhideWhenUsed/>
    <w:rsid w:val="0026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3387">
      <w:bodyDiv w:val="1"/>
      <w:marLeft w:val="0"/>
      <w:marRight w:val="0"/>
      <w:marTop w:val="0"/>
      <w:marBottom w:val="0"/>
      <w:divBdr>
        <w:top w:val="none" w:sz="0" w:space="0" w:color="auto"/>
        <w:left w:val="none" w:sz="0" w:space="0" w:color="auto"/>
        <w:bottom w:val="none" w:sz="0" w:space="0" w:color="auto"/>
        <w:right w:val="none" w:sz="0" w:space="0" w:color="auto"/>
      </w:divBdr>
    </w:div>
    <w:div w:id="823282318">
      <w:bodyDiv w:val="1"/>
      <w:marLeft w:val="0"/>
      <w:marRight w:val="0"/>
      <w:marTop w:val="0"/>
      <w:marBottom w:val="0"/>
      <w:divBdr>
        <w:top w:val="none" w:sz="0" w:space="0" w:color="auto"/>
        <w:left w:val="none" w:sz="0" w:space="0" w:color="auto"/>
        <w:bottom w:val="none" w:sz="0" w:space="0" w:color="auto"/>
        <w:right w:val="none" w:sz="0" w:space="0" w:color="auto"/>
      </w:divBdr>
    </w:div>
    <w:div w:id="968128719">
      <w:bodyDiv w:val="1"/>
      <w:marLeft w:val="0"/>
      <w:marRight w:val="0"/>
      <w:marTop w:val="0"/>
      <w:marBottom w:val="0"/>
      <w:divBdr>
        <w:top w:val="none" w:sz="0" w:space="0" w:color="auto"/>
        <w:left w:val="none" w:sz="0" w:space="0" w:color="auto"/>
        <w:bottom w:val="none" w:sz="0" w:space="0" w:color="auto"/>
        <w:right w:val="none" w:sz="0" w:space="0" w:color="auto"/>
      </w:divBdr>
    </w:div>
    <w:div w:id="150936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235EAD-C4C4-BD4A-8B1B-471221C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11898</Words>
  <Characters>67825</Characters>
  <Application>Microsoft Office Word</Application>
  <DocSecurity>0</DocSecurity>
  <Lines>565</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Science Manuscript Template</vt:lpstr>
      <vt:lpstr>Science Manuscript Template</vt:lpstr>
    </vt:vector>
  </TitlesOfParts>
  <Company>Microsoft</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潘　先亮</cp:lastModifiedBy>
  <cp:revision>2</cp:revision>
  <cp:lastPrinted>2020-01-15T04:58:00Z</cp:lastPrinted>
  <dcterms:created xsi:type="dcterms:W3CDTF">2020-05-11T12:47:00Z</dcterms:created>
  <dcterms:modified xsi:type="dcterms:W3CDTF">2020-05-11T12:47:00Z</dcterms:modified>
</cp:coreProperties>
</file>