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54519" w14:textId="77777777" w:rsidR="009D1C3A" w:rsidRPr="009D1C3A" w:rsidRDefault="009D1C3A" w:rsidP="009D1C3A">
      <w:pPr>
        <w:jc w:val="center"/>
        <w:rPr>
          <w:b/>
          <w:sz w:val="28"/>
          <w:szCs w:val="28"/>
          <w:lang w:val="en-GB"/>
        </w:rPr>
      </w:pPr>
      <w:r w:rsidRPr="009D1C3A">
        <w:rPr>
          <w:b/>
          <w:sz w:val="28"/>
          <w:szCs w:val="28"/>
          <w:lang w:val="en-GB"/>
        </w:rPr>
        <w:t>Low oxygen levels can help to prevent the detrimental effect of acute warming on mitochondrial efficiency in fish</w:t>
      </w:r>
    </w:p>
    <w:p w14:paraId="2FA8CD97" w14:textId="77777777" w:rsidR="009D1C3A" w:rsidRPr="009D1C3A" w:rsidRDefault="009D1C3A" w:rsidP="009D1C3A">
      <w:pPr>
        <w:jc w:val="center"/>
      </w:pPr>
      <w:r w:rsidRPr="009D1C3A">
        <w:t>*Elisa Thoral</w:t>
      </w:r>
      <w:r w:rsidRPr="009D1C3A">
        <w:rPr>
          <w:vertAlign w:val="superscript"/>
        </w:rPr>
        <w:t>1</w:t>
      </w:r>
      <w:r w:rsidRPr="009D1C3A">
        <w:t>, Damien Roussel</w:t>
      </w:r>
      <w:r w:rsidRPr="009D1C3A">
        <w:rPr>
          <w:vertAlign w:val="superscript"/>
        </w:rPr>
        <w:t>1</w:t>
      </w:r>
      <w:r w:rsidRPr="009D1C3A">
        <w:t>, Christos Chinopoulos</w:t>
      </w:r>
      <w:r w:rsidRPr="009D1C3A">
        <w:rPr>
          <w:vertAlign w:val="superscript"/>
        </w:rPr>
        <w:t>2</w:t>
      </w:r>
      <w:r w:rsidRPr="009D1C3A">
        <w:t>, Loïc Teulier</w:t>
      </w:r>
      <w:r w:rsidRPr="009D1C3A">
        <w:rPr>
          <w:vertAlign w:val="superscript"/>
        </w:rPr>
        <w:t>1</w:t>
      </w:r>
      <w:r w:rsidRPr="009D1C3A">
        <w:t>, Karine Salin</w:t>
      </w:r>
      <w:r w:rsidRPr="009D1C3A">
        <w:rPr>
          <w:vertAlign w:val="superscript"/>
        </w:rPr>
        <w:t>3</w:t>
      </w:r>
    </w:p>
    <w:p w14:paraId="79E3D6EB" w14:textId="77777777" w:rsidR="009D1C3A" w:rsidRPr="009D1C3A" w:rsidRDefault="009D1C3A" w:rsidP="009D1C3A">
      <w:r w:rsidRPr="009D1C3A">
        <w:rPr>
          <w:vertAlign w:val="superscript"/>
        </w:rPr>
        <w:t>1</w:t>
      </w:r>
      <w:r w:rsidRPr="009D1C3A">
        <w:t>Univ Lyon, Université Claude Bernard Lyon 1, CNRS, ENTPE, UMR 5023 LEHNA, F-69622, Villeurbanne, France</w:t>
      </w:r>
    </w:p>
    <w:p w14:paraId="34B8F700" w14:textId="77777777" w:rsidR="009D1C3A" w:rsidRPr="009D1C3A" w:rsidRDefault="009D1C3A" w:rsidP="009D1C3A">
      <w:pPr>
        <w:rPr>
          <w:lang w:val="en-GB"/>
        </w:rPr>
      </w:pPr>
      <w:r w:rsidRPr="009D1C3A">
        <w:rPr>
          <w:vertAlign w:val="superscript"/>
          <w:lang w:val="en-GB"/>
        </w:rPr>
        <w:t>2</w:t>
      </w:r>
      <w:r w:rsidRPr="009D1C3A">
        <w:rPr>
          <w:lang w:val="en-GB"/>
        </w:rPr>
        <w:t>Department of Medical Biochemistry, Semmelweis University, Budapest, Hungary</w:t>
      </w:r>
    </w:p>
    <w:p w14:paraId="36E877C5" w14:textId="77777777" w:rsidR="009D1C3A" w:rsidRPr="009D1C3A" w:rsidRDefault="009D1C3A" w:rsidP="009D1C3A">
      <w:r w:rsidRPr="009D1C3A">
        <w:rPr>
          <w:vertAlign w:val="superscript"/>
        </w:rPr>
        <w:t>3</w:t>
      </w:r>
      <w:r w:rsidRPr="009D1C3A">
        <w:t>Université de Brest, Ifremer, CNRS, RD, Laboratory of Environmental Marine Sciences, 29280 Plouzané, France</w:t>
      </w:r>
    </w:p>
    <w:p w14:paraId="0F477FF6" w14:textId="6F8F8D0A" w:rsidR="009D1C3A" w:rsidRDefault="009D1C3A" w:rsidP="009D1C3A">
      <w:pPr>
        <w:rPr>
          <w:lang w:val="en-GB"/>
        </w:rPr>
      </w:pPr>
      <w:r w:rsidRPr="009D1C3A">
        <w:rPr>
          <w:lang w:val="en-GB"/>
        </w:rPr>
        <w:t>*</w:t>
      </w:r>
      <w:r w:rsidR="00BD114C" w:rsidRPr="00BD114C">
        <w:rPr>
          <w:b/>
          <w:bCs/>
          <w:lang w:val="en-GB"/>
        </w:rPr>
        <w:t>Corresponding author</w:t>
      </w:r>
      <w:r w:rsidRPr="009D1C3A">
        <w:rPr>
          <w:lang w:val="en-GB"/>
        </w:rPr>
        <w:t xml:space="preserve">: Elisa Thoral; elisathoral@gmail.com  </w:t>
      </w:r>
    </w:p>
    <w:p w14:paraId="7122AD2E" w14:textId="6DDC4ADF" w:rsidR="00643A6F" w:rsidRPr="009D1C3A" w:rsidRDefault="00643A6F" w:rsidP="009D1C3A">
      <w:pPr>
        <w:rPr>
          <w:lang w:val="en-GB"/>
        </w:rPr>
      </w:pPr>
      <w:r w:rsidRPr="00643A6F">
        <w:rPr>
          <w:b/>
          <w:bCs/>
          <w:lang w:val="en-GB"/>
        </w:rPr>
        <w:t>Journal name:</w:t>
      </w:r>
      <w:r>
        <w:rPr>
          <w:lang w:val="en-GB"/>
        </w:rPr>
        <w:t xml:space="preserve"> Biology Letters</w:t>
      </w:r>
    </w:p>
    <w:p w14:paraId="4504A71B" w14:textId="77777777" w:rsidR="009D1C3A" w:rsidRPr="009D1C3A" w:rsidRDefault="009D1C3A" w:rsidP="009D1C3A">
      <w:pPr>
        <w:rPr>
          <w:b/>
          <w:sz w:val="28"/>
          <w:szCs w:val="28"/>
          <w:lang w:val="en-GB"/>
        </w:rPr>
      </w:pPr>
    </w:p>
    <w:p w14:paraId="5E8B8D20" w14:textId="77777777" w:rsidR="009D1C3A" w:rsidRPr="009D1C3A" w:rsidRDefault="009D1C3A" w:rsidP="009D1C3A">
      <w:pPr>
        <w:rPr>
          <w:b/>
          <w:sz w:val="28"/>
          <w:szCs w:val="28"/>
          <w:lang w:val="en-GB"/>
        </w:rPr>
      </w:pPr>
      <w:r w:rsidRPr="009D1C3A">
        <w:rPr>
          <w:b/>
          <w:sz w:val="28"/>
          <w:szCs w:val="28"/>
          <w:lang w:val="en-GB"/>
        </w:rPr>
        <w:t xml:space="preserve">Electronic supplementary material </w:t>
      </w:r>
    </w:p>
    <w:p w14:paraId="2AB1E80E" w14:textId="77777777" w:rsidR="009D1C3A" w:rsidRPr="009D1C3A" w:rsidRDefault="009D1C3A" w:rsidP="009D1C3A">
      <w:pPr>
        <w:rPr>
          <w:b/>
          <w:lang w:val="en-GB"/>
        </w:rPr>
      </w:pPr>
      <w:r w:rsidRPr="009D1C3A">
        <w:rPr>
          <w:b/>
          <w:lang w:val="en-GB"/>
        </w:rPr>
        <w:t>Animal cares</w:t>
      </w:r>
    </w:p>
    <w:p w14:paraId="06203C5A" w14:textId="390706F0" w:rsidR="009D1C3A" w:rsidRPr="009D1C3A" w:rsidRDefault="009D1C3A" w:rsidP="009D1C3A">
      <w:pPr>
        <w:ind w:firstLine="708"/>
        <w:rPr>
          <w:lang w:val="en-GB"/>
        </w:rPr>
      </w:pPr>
      <w:r w:rsidRPr="009D1C3A">
        <w:rPr>
          <w:lang w:val="en-GB"/>
        </w:rPr>
        <w:t>In April 2017, fish were moved from the hatchery (Les Poissons du Soleil, Balaruc-les-Bains, France) to fish facilities in Ifremer (Plouzané, France). The fish were kept in a communal tank of 1m</w:t>
      </w:r>
      <w:r w:rsidRPr="009D1C3A">
        <w:rPr>
          <w:vertAlign w:val="superscript"/>
          <w:lang w:val="en-GB"/>
        </w:rPr>
        <w:t>3</w:t>
      </w:r>
      <w:r w:rsidRPr="009D1C3A">
        <w:rPr>
          <w:lang w:val="en-GB"/>
        </w:rPr>
        <w:t>, fed once a day with pellets (Neo grower extra marin, Le Gouessant, Lamballe, France), with a photoperiod of 12:12. The seawater was directly pumped in the harbour. Because of the high capacity of the stock tank (350 m</w:t>
      </w:r>
      <w:r w:rsidRPr="009D1C3A">
        <w:rPr>
          <w:vertAlign w:val="superscript"/>
          <w:lang w:val="en-GB"/>
        </w:rPr>
        <w:t>3</w:t>
      </w:r>
      <w:r w:rsidRPr="009D1C3A">
        <w:rPr>
          <w:lang w:val="en-GB"/>
        </w:rPr>
        <w:t xml:space="preserve">), the seawater temperature matched the mean temperature of the harbour </w:t>
      </w:r>
      <w:r w:rsidRPr="009D1C3A">
        <w:rPr>
          <w:lang w:val="en-GB"/>
        </w:rPr>
        <w:fldChar w:fldCharType="begin" w:fldLock="1"/>
      </w:r>
      <w:r w:rsidR="006234D0">
        <w:rPr>
          <w:lang w:val="en-GB"/>
        </w:rPr>
        <w:instrText>ADDIN CSL_CITATION {"citationItems":[{"id":"ITEM-1","itemData":{"DOI":"10.17882/42493","author":[{"dropping-particle":"","family":"Petton","given":"S","non-dropping-particle":"","parse-names":false,"suffix":""},{"dropping-particle":"","family":"Roy","given":"V","non-dropping-particle":"Le","parse-names":false,"suffix":""},{"dropping-particle":"","family":"Bellec","given":"G","non-dropping-particle":"","parse-names":false,"suffix":""},{"dropping-particle":"","family":"Queau","given":"I","non-dropping-particle":"","parse-names":false,"suffix":""},{"dropping-particle":"","family":"Souchu","given":"P","non-dropping-particle":"Le","parse-names":false,"suffix":""},{"dropping-particle":"","family":"Pouvreau","given":"S","non-dropping-particle":"","parse-names":false,"suffix":""}],"id":"ITEM-1","issued":{"date-parts":[["2018"]]},"title":"Marine environmental station database of Daoulas bay.","type":"webpage"},"uris":["http://www.mendeley.com/documents/?uuid=36937a98-8de9-46e3-ab92-24a85e9e323f"]}],"mendeley":{"formattedCitation":"[1]","plainTextFormattedCitation":"[1]","previouslyFormattedCitation":"[1]"},"properties":{"noteIndex":0},"schema":"https://github.com/citation-style-language/schema/raw/master/csl-citation.json"}</w:instrText>
      </w:r>
      <w:r w:rsidRPr="009D1C3A">
        <w:rPr>
          <w:lang w:val="en-GB"/>
        </w:rPr>
        <w:fldChar w:fldCharType="separate"/>
      </w:r>
      <w:r w:rsidRPr="009D1C3A">
        <w:rPr>
          <w:noProof/>
          <w:lang w:val="en-GB"/>
        </w:rPr>
        <w:t>[1]</w:t>
      </w:r>
      <w:r w:rsidRPr="009D1C3A">
        <w:rPr>
          <w:lang w:val="en-GB"/>
        </w:rPr>
        <w:fldChar w:fldCharType="end"/>
      </w:r>
      <w:r w:rsidRPr="009D1C3A">
        <w:rPr>
          <w:lang w:val="en-GB"/>
        </w:rPr>
        <w:t xml:space="preserve"> but with virtually no daily fluctuation.</w:t>
      </w:r>
    </w:p>
    <w:p w14:paraId="1DB80551" w14:textId="77777777" w:rsidR="009D1C3A" w:rsidRPr="009D1C3A" w:rsidRDefault="009D1C3A" w:rsidP="009D1C3A">
      <w:pPr>
        <w:ind w:firstLine="708"/>
        <w:rPr>
          <w:rFonts w:cs="Times New Roman"/>
          <w:lang w:val="en-GB"/>
        </w:rPr>
      </w:pPr>
      <w:r w:rsidRPr="009D1C3A">
        <w:rPr>
          <w:lang w:val="en-GB"/>
        </w:rPr>
        <w:t xml:space="preserve">In January 2019, fish (n = 8) were moved into two replicated 500L-tanks which were supplied with filtered seawater at a flow rate of 550L/hour. Extra fish (n = 24) were added to obtain an optimal fish density in the tanks. Fish were then left 3 months in this new condition, </w:t>
      </w:r>
      <w:r w:rsidRPr="009D1C3A">
        <w:rPr>
          <w:lang w:val="en-GB"/>
        </w:rPr>
        <w:lastRenderedPageBreak/>
        <w:t xml:space="preserve">fed to satiation every second day. In April 2019, water temperature was monitored twice daily (CellOx® 325, WTW) over the two weeks before the mitochondrial assay </w:t>
      </w:r>
      <w:r w:rsidRPr="009D1C3A">
        <w:rPr>
          <w:rFonts w:cs="Times New Roman"/>
          <w:lang w:val="en-GB"/>
        </w:rPr>
        <w:t>to match the assay temperature of the mitochondria with the water temperature in fish tanks. Fish were fasted for 24h before sacrifice. Because of the logistics constraint associated with assaying fresh mitochondria, fish sampling and mitochondrial assay were staggered over four days. Each day, one fish was processed the morning and the afternoon. Preliminary analyses show that mitochondrial properties in our study were not affected by the day of measurement and the time of the day.</w:t>
      </w:r>
    </w:p>
    <w:p w14:paraId="37B0A5E1" w14:textId="77777777" w:rsidR="009D1C3A" w:rsidRPr="009D1C3A" w:rsidRDefault="009D1C3A" w:rsidP="009D1C3A">
      <w:pPr>
        <w:ind w:firstLine="708"/>
        <w:rPr>
          <w:lang w:val="en-GB"/>
        </w:rPr>
      </w:pPr>
    </w:p>
    <w:p w14:paraId="0ED87E16" w14:textId="77777777" w:rsidR="009D1C3A" w:rsidRPr="009D1C3A" w:rsidRDefault="009D1C3A" w:rsidP="009D1C3A">
      <w:pPr>
        <w:rPr>
          <w:b/>
          <w:lang w:val="en-GB"/>
        </w:rPr>
      </w:pPr>
      <w:r w:rsidRPr="009D1C3A">
        <w:rPr>
          <w:b/>
          <w:lang w:val="en-GB"/>
        </w:rPr>
        <w:t>Red muscle homogenate preparation</w:t>
      </w:r>
    </w:p>
    <w:p w14:paraId="2269C133" w14:textId="464BAC69" w:rsidR="009D1C3A" w:rsidRPr="009D1C3A" w:rsidRDefault="009D1C3A" w:rsidP="009D1C3A">
      <w:pPr>
        <w:rPr>
          <w:lang w:val="en-GB"/>
        </w:rPr>
      </w:pPr>
      <w:r w:rsidRPr="009D1C3A">
        <w:rPr>
          <w:lang w:val="en-GB"/>
        </w:rPr>
        <w:tab/>
        <w:t xml:space="preserve"> The fish was anesthetized with eugenol [0.5 mg mL</w:t>
      </w:r>
      <w:r w:rsidRPr="009D1C3A">
        <w:rPr>
          <w:vertAlign w:val="superscript"/>
          <w:lang w:val="en-GB"/>
        </w:rPr>
        <w:t>-1</w:t>
      </w:r>
      <w:r w:rsidRPr="009D1C3A">
        <w:rPr>
          <w:lang w:val="en-GB"/>
        </w:rPr>
        <w:t xml:space="preserve"> eugenol and 0.5 mg mL</w:t>
      </w:r>
      <w:r w:rsidRPr="009D1C3A">
        <w:rPr>
          <w:vertAlign w:val="superscript"/>
          <w:lang w:val="en-GB"/>
        </w:rPr>
        <w:t>-1</w:t>
      </w:r>
      <w:r w:rsidRPr="009D1C3A">
        <w:rPr>
          <w:lang w:val="en-GB"/>
        </w:rPr>
        <w:t xml:space="preserve"> ethanol] diluted in seawater [final concentration</w:t>
      </w:r>
      <w:r w:rsidR="003F3082">
        <w:rPr>
          <w:lang w:val="en-GB"/>
        </w:rPr>
        <w:t xml:space="preserve"> </w:t>
      </w:r>
      <w:r w:rsidRPr="009D1C3A">
        <w:rPr>
          <w:lang w:val="en-GB"/>
        </w:rPr>
        <w:t>= 1 mg L</w:t>
      </w:r>
      <w:r w:rsidRPr="009D1C3A">
        <w:rPr>
          <w:vertAlign w:val="superscript"/>
          <w:lang w:val="en-GB"/>
        </w:rPr>
        <w:t>-1</w:t>
      </w:r>
      <w:r w:rsidRPr="009D1C3A">
        <w:rPr>
          <w:lang w:val="en-GB"/>
        </w:rPr>
        <w:t xml:space="preserve">]. </w:t>
      </w:r>
      <w:bookmarkStart w:id="0" w:name="_Hlk61431659"/>
      <w:bookmarkStart w:id="1" w:name="_Hlk61432334"/>
      <w:r w:rsidR="004B6659" w:rsidRPr="004B6659">
        <w:rPr>
          <w:lang w:val="en-GB"/>
        </w:rPr>
        <w:t xml:space="preserve">After the fish showed signs of </w:t>
      </w:r>
      <w:r w:rsidR="00300902">
        <w:rPr>
          <w:lang w:val="en-GB"/>
        </w:rPr>
        <w:t xml:space="preserve">profound </w:t>
      </w:r>
      <w:r w:rsidR="004B6659">
        <w:rPr>
          <w:lang w:val="en-GB"/>
        </w:rPr>
        <w:t>ana</w:t>
      </w:r>
      <w:r w:rsidR="00EA3C18">
        <w:rPr>
          <w:lang w:val="en-GB"/>
        </w:rPr>
        <w:t>esthesia</w:t>
      </w:r>
      <w:r w:rsidR="004B6659" w:rsidRPr="004B6659">
        <w:rPr>
          <w:lang w:val="en-GB"/>
        </w:rPr>
        <w:t xml:space="preserve"> (</w:t>
      </w:r>
      <w:r w:rsidR="00EA3C18">
        <w:rPr>
          <w:lang w:val="en-GB"/>
        </w:rPr>
        <w:t xml:space="preserve">total loss of equilibrium, slow and irregular opercular movement, see </w:t>
      </w:r>
      <w:r w:rsidR="00EA3C18">
        <w:rPr>
          <w:lang w:val="en-GB"/>
        </w:rPr>
        <w:fldChar w:fldCharType="begin" w:fldLock="1"/>
      </w:r>
      <w:r w:rsidR="005E44DD">
        <w:rPr>
          <w:lang w:val="en-GB"/>
        </w:rPr>
        <w:instrText>ADDIN CSL_CITATION {"citationItems":[{"id":"ITEM-1","itemData":{"DOI":"10.1111/are.12188","ISSN":"13652109","abstract":"Anaesthetic efficacy of eugenol was investigated on iridescent shark, Pangasius hypophthalmus. Fish (2, 5, 10 and 20 g) subjected to 20-200 mg L-1 eugenol and behavioural response as well as induction and recovery times were recorded. Induction and recovery times were significantly affected by eugenol concentration as well as fish weight (P &lt; 0.05). Generally, 27-300 s after exposure to 20-200 mg L-1 eugenol, iridescent sharks reached stage 3 anaesthesia (suitable for general handling). Fish entered stage 4 anaesthesia (suitable for surgery and blood sampling) over 54-710 s exposure to such concentrations. Recovery time was 109-600 s in all weight classes as well as eugenol concentrations. Mortality (44-100%) was only observed in 2 g fish when subjected to 110-170 mg L-1 eugenol. This study, for the first time, showed behavioural response of iridescent shark to anaesthesia as well as effectiveness of eugenol as anaesthetic in this important aquaculture-ornamental species. According to the models obtained in this study, minimum eugenol concentrations to induce anaesthesia over less than 3 min were 53.8-81.5 mg L-1 in 2-20 g fish. Likewise, maximum eugenol concentrations in which fish recovered over less than 5 min were 65.9-105.8 mg L-1 in 2-20 g fish.","author":[{"dropping-particle":"","family":"Hoseini","given":"Seyyed Morteza","non-dropping-particle":"","parse-names":false,"suffix":""},{"dropping-particle":"","family":"Rajabiesterabadi","given":"Hamid","non-dropping-particle":"","parse-names":false,"suffix":""},{"dropping-particle":"","family":"Tarkhani","given":"Reza","non-dropping-particle":"","parse-names":false,"suffix":""}],"container-title":"Aquaculture Research","id":"ITEM-1","issue":"2","issued":{"date-parts":[["2015"]]},"page":"405-412","title":"Anaesthetic efficacy of eugenol on iridescent shark, &lt;i&gt;Pangasius hypophthalmus&lt;/i&gt; (Sauvage, 1878) in different size classes","type":"article-journal","volume":"46"},"uris":["http://www.mendeley.com/documents/?uuid=6787424f-c557-4054-976d-1b4ab5df3c5f"]}],"mendeley":{"formattedCitation":"[2]","plainTextFormattedCitation":"[2]","previouslyFormattedCitation":"[2]"},"properties":{"noteIndex":0},"schema":"https://github.com/citation-style-language/schema/raw/master/csl-citation.json"}</w:instrText>
      </w:r>
      <w:r w:rsidR="00EA3C18">
        <w:rPr>
          <w:lang w:val="en-GB"/>
        </w:rPr>
        <w:fldChar w:fldCharType="separate"/>
      </w:r>
      <w:r w:rsidR="00EA3C18" w:rsidRPr="00EA3C18">
        <w:rPr>
          <w:noProof/>
          <w:lang w:val="en-GB"/>
        </w:rPr>
        <w:t>[2]</w:t>
      </w:r>
      <w:r w:rsidR="00EA3C18">
        <w:rPr>
          <w:lang w:val="en-GB"/>
        </w:rPr>
        <w:fldChar w:fldCharType="end"/>
      </w:r>
      <w:r w:rsidR="004B6659" w:rsidRPr="004B6659">
        <w:rPr>
          <w:lang w:val="en-GB"/>
        </w:rPr>
        <w:t xml:space="preserve">), </w:t>
      </w:r>
      <w:r w:rsidR="004B6659">
        <w:rPr>
          <w:lang w:val="en-GB"/>
        </w:rPr>
        <w:t>the fish</w:t>
      </w:r>
      <w:r w:rsidR="004B6659" w:rsidRPr="004B6659">
        <w:rPr>
          <w:lang w:val="en-GB"/>
        </w:rPr>
        <w:t xml:space="preserve"> w</w:t>
      </w:r>
      <w:r w:rsidR="004B6659">
        <w:rPr>
          <w:lang w:val="en-GB"/>
        </w:rPr>
        <w:t>as</w:t>
      </w:r>
      <w:r w:rsidR="004B6659" w:rsidRPr="004B6659">
        <w:rPr>
          <w:lang w:val="en-GB"/>
        </w:rPr>
        <w:t xml:space="preserve"> </w:t>
      </w:r>
      <w:r w:rsidR="0080317B">
        <w:rPr>
          <w:lang w:val="en-GB"/>
        </w:rPr>
        <w:t>immediately</w:t>
      </w:r>
      <w:r w:rsidR="0080317B" w:rsidRPr="004B6659">
        <w:rPr>
          <w:lang w:val="en-GB"/>
        </w:rPr>
        <w:t xml:space="preserve"> </w:t>
      </w:r>
      <w:r w:rsidR="004B6659" w:rsidRPr="004B6659">
        <w:rPr>
          <w:lang w:val="en-GB"/>
        </w:rPr>
        <w:t>taken out of the water</w:t>
      </w:r>
      <w:r w:rsidR="004B6659">
        <w:rPr>
          <w:lang w:val="en-GB"/>
        </w:rPr>
        <w:t>,</w:t>
      </w:r>
      <w:r w:rsidR="004B6659" w:rsidRPr="004B6659">
        <w:rPr>
          <w:lang w:val="en-GB"/>
        </w:rPr>
        <w:t xml:space="preserve"> </w:t>
      </w:r>
      <w:r w:rsidR="004B6659" w:rsidRPr="009D1C3A">
        <w:rPr>
          <w:lang w:val="en-GB"/>
        </w:rPr>
        <w:t>weighed</w:t>
      </w:r>
      <w:r w:rsidR="004B6659" w:rsidRPr="004B6659">
        <w:rPr>
          <w:lang w:val="en-GB"/>
        </w:rPr>
        <w:t xml:space="preserve"> and </w:t>
      </w:r>
      <w:r w:rsidR="004B6659" w:rsidRPr="009D1C3A">
        <w:rPr>
          <w:lang w:val="en-GB"/>
        </w:rPr>
        <w:t>culled by decapitation</w:t>
      </w:r>
      <w:bookmarkEnd w:id="0"/>
      <w:r w:rsidR="00300902">
        <w:rPr>
          <w:lang w:val="en-GB"/>
        </w:rPr>
        <w:t xml:space="preserve"> </w:t>
      </w:r>
      <w:r w:rsidR="00300902">
        <w:rPr>
          <w:lang w:val="en-GB"/>
        </w:rPr>
        <w:fldChar w:fldCharType="begin" w:fldLock="1"/>
      </w:r>
      <w:r w:rsidR="00215FA6">
        <w:rPr>
          <w:lang w:val="en-GB"/>
        </w:rPr>
        <w:instrText>ADDIN CSL_CITATION {"citationItems":[{"id":"ITEM-1","itemData":{"DOI":"10.1163/9789004294530_006","ISBN":"9781882691548","abstract":"*The AVMA Panel on Euthanasia develops the content of the guidelines, with support from its working groups. The panel is required to do a comprehensive review and update of the report at least every 10 years, although more frequent major revisions are possible based on substantive information gleaned from new research and experience with practical implementation. To ensure the guidelines remain as up-to-date as possible, interim revisions (reflecting substantive updates, but of a less extensive nature than a major revision) are also accommodated.","author":[{"dropping-particle":"","family":"AVMA","given":"","non-dropping-particle":"","parse-names":false,"suffix":""}],"id":"ITEM-1","issued":{"date-parts":[["2020"]]},"title":"Guidelines for the Euthanasia of Animals","type":"article-journal"},"uris":["http://www.mendeley.com/documents/?uuid=c5927647-4739-4427-87cd-0740bd355a33"]},{"id":"ITEM-2","itemData":{"DOI":"10.1007/s00360-010-0477-7","ISSN":"01741578","PMID":"20461387","abstract":"The heart is acutely sensitive to temperature in aquatic ectotherms and appears to fail before any other organ as the thermal maximum is reached, although the exact cause of this failure remains unknown. The heart is highly aerobic and therefore dependent on mitochondrial oxidative phosphorylation (OXPHOS) to meet energy requirements, but the role of cardiac mitochondria in limiting heart function at high temperatures remains unclear. We used permeabilised ventricle fibres to explore heart mitochondrial function in situ in three closely related species of small New Zealand triplefin fishes in response to temperature. We compared this to measures of whole animal respiration rates and critical oxygen tensions in these fishes. Bellapiscis medius, an intertidal species, had the greatest tolerance to hypoxia at higher temperatures and had more efficient OXPHOS at 30°C than the two subtidal species Forsterygion varium and F. malcolmi. B. medius also displayed the highest cytochrome c oxidase flux, which may in part explain how B. medius tolerates higher temperatures and hypoxia. Triplefin heart mitochondria exhibit decreased coupling to phosphorylation with increasing temperature. This most likely impairs ATP supply to the heart at elevated temperatures, potentially contributing to heart failure at ecologically relevant temperatures. © 2010 Springer-Verlag.","author":[{"dropping-particle":"","family":"Hilton","given":"Z.","non-dropping-particle":"","parse-names":false,"suffix":""},{"dropping-particle":"","family":"Clements","given":"Kendall D.","non-dropping-particle":"","parse-names":false,"suffix":""},{"dropping-particle":"","family":"Hickey","given":"Anthony J.R.","non-dropping-particle":"","parse-names":false,"suffix":""}],"container-title":"Journal of Comparative Physiology B: Biochemical, Systemic, and Environmental Physiology","id":"ITEM-2","issue":"7","issued":{"date-parts":[["2010"]]},"page":"979-990","title":"Temperature sensitivity of cardiac mitochondria in intertidal and subtidal triplefin fishes","type":"article-journal","volume":"180"},"uris":["http://www.mendeley.com/documents/?uuid=c0b6cd69-5c6a-4c55-b457-b20095de2781"]}],"mendeley":{"formattedCitation":"[3,4]","plainTextFormattedCitation":"[3,4]","previouslyFormattedCitation":"[3,4]"},"properties":{"noteIndex":0},"schema":"https://github.com/citation-style-language/schema/raw/master/csl-citation.json"}</w:instrText>
      </w:r>
      <w:r w:rsidR="00300902">
        <w:rPr>
          <w:lang w:val="en-GB"/>
        </w:rPr>
        <w:fldChar w:fldCharType="separate"/>
      </w:r>
      <w:r w:rsidR="00215FA6" w:rsidRPr="00215FA6">
        <w:rPr>
          <w:noProof/>
          <w:lang w:val="en-GB"/>
        </w:rPr>
        <w:t>[3,4]</w:t>
      </w:r>
      <w:r w:rsidR="00300902">
        <w:rPr>
          <w:lang w:val="en-GB"/>
        </w:rPr>
        <w:fldChar w:fldCharType="end"/>
      </w:r>
      <w:bookmarkEnd w:id="1"/>
      <w:r w:rsidRPr="009D1C3A">
        <w:rPr>
          <w:lang w:val="en-GB"/>
        </w:rPr>
        <w:t xml:space="preserve">. Then a piece of red muscle was taken from the left flank below the dorsal fin [muscle sample mass: mean </w:t>
      </w:r>
      <w:r w:rsidRPr="009D1C3A">
        <w:rPr>
          <w:rFonts w:cs="Times New Roman"/>
          <w:lang w:val="en-GB"/>
        </w:rPr>
        <w:t>± s.e.m. =</w:t>
      </w:r>
      <w:r w:rsidRPr="009D1C3A">
        <w:rPr>
          <w:lang w:val="en-GB"/>
        </w:rPr>
        <w:t xml:space="preserve"> 13.4 </w:t>
      </w:r>
      <w:r w:rsidRPr="009D1C3A">
        <w:rPr>
          <w:rFonts w:cs="Times New Roman"/>
          <w:lang w:val="en-GB"/>
        </w:rPr>
        <w:t>±</w:t>
      </w:r>
      <w:r w:rsidRPr="009D1C3A">
        <w:rPr>
          <w:lang w:val="en-GB"/>
        </w:rPr>
        <w:t xml:space="preserve"> 0.8 mg] and placed in 1 mL of respirometry buffer (20 mmol L</w:t>
      </w:r>
      <w:r w:rsidRPr="009D1C3A">
        <w:rPr>
          <w:vertAlign w:val="superscript"/>
          <w:lang w:val="en-GB"/>
        </w:rPr>
        <w:t>-1</w:t>
      </w:r>
      <w:r w:rsidRPr="009D1C3A">
        <w:rPr>
          <w:lang w:val="en-GB"/>
        </w:rPr>
        <w:t xml:space="preserve"> Taurine, 10 mmol L</w:t>
      </w:r>
      <w:r w:rsidRPr="009D1C3A">
        <w:rPr>
          <w:vertAlign w:val="superscript"/>
          <w:lang w:val="en-GB"/>
        </w:rPr>
        <w:t>-1</w:t>
      </w:r>
      <w:r w:rsidRPr="009D1C3A">
        <w:rPr>
          <w:lang w:val="en-GB"/>
        </w:rPr>
        <w:t xml:space="preserve"> KH</w:t>
      </w:r>
      <w:r w:rsidRPr="009D1C3A">
        <w:rPr>
          <w:sz w:val="13"/>
          <w:szCs w:val="13"/>
          <w:lang w:val="en-GB"/>
        </w:rPr>
        <w:t>2</w:t>
      </w:r>
      <w:r w:rsidRPr="009D1C3A">
        <w:rPr>
          <w:lang w:val="en-GB"/>
        </w:rPr>
        <w:t>PO</w:t>
      </w:r>
      <w:r w:rsidRPr="009D1C3A">
        <w:rPr>
          <w:sz w:val="13"/>
          <w:szCs w:val="13"/>
          <w:lang w:val="en-GB"/>
        </w:rPr>
        <w:t>4</w:t>
      </w:r>
      <w:r w:rsidRPr="009D1C3A">
        <w:rPr>
          <w:lang w:val="en-GB"/>
        </w:rPr>
        <w:t>, 20 mmol L</w:t>
      </w:r>
      <w:r w:rsidRPr="009D1C3A">
        <w:rPr>
          <w:vertAlign w:val="superscript"/>
          <w:lang w:val="en-GB"/>
        </w:rPr>
        <w:t>-1</w:t>
      </w:r>
      <w:r w:rsidRPr="009D1C3A">
        <w:rPr>
          <w:lang w:val="en-GB"/>
        </w:rPr>
        <w:t xml:space="preserve"> HEPES, 110 mmol L</w:t>
      </w:r>
      <w:r w:rsidRPr="009D1C3A">
        <w:rPr>
          <w:vertAlign w:val="superscript"/>
          <w:lang w:val="en-GB"/>
        </w:rPr>
        <w:t>-1</w:t>
      </w:r>
      <w:r w:rsidRPr="009D1C3A">
        <w:rPr>
          <w:lang w:val="en-GB"/>
        </w:rPr>
        <w:t xml:space="preserve"> D-sucrose, 60 mmol L</w:t>
      </w:r>
      <w:r w:rsidRPr="009D1C3A">
        <w:rPr>
          <w:vertAlign w:val="superscript"/>
          <w:lang w:val="en-GB"/>
        </w:rPr>
        <w:t>-1</w:t>
      </w:r>
      <w:r w:rsidRPr="009D1C3A">
        <w:rPr>
          <w:lang w:val="en-GB"/>
        </w:rPr>
        <w:t xml:space="preserve"> K-lactobionate, 1 g L</w:t>
      </w:r>
      <w:r w:rsidRPr="009D1C3A">
        <w:rPr>
          <w:vertAlign w:val="superscript"/>
          <w:lang w:val="en-GB"/>
        </w:rPr>
        <w:t>-1</w:t>
      </w:r>
      <w:r w:rsidRPr="009D1C3A">
        <w:rPr>
          <w:lang w:val="en-GB"/>
        </w:rPr>
        <w:t xml:space="preserve"> BSA fatty acid free, and pH 7.2 at 12</w:t>
      </w:r>
      <w:r w:rsidRPr="009D1C3A">
        <w:rPr>
          <w:rFonts w:ascii="AdvTTec369687" w:hAnsi="AdvTTec369687" w:cs="AdvTTec369687"/>
          <w:lang w:val="en-GB"/>
        </w:rPr>
        <w:t>°</w:t>
      </w:r>
      <w:r w:rsidRPr="009D1C3A">
        <w:rPr>
          <w:lang w:val="en-GB"/>
        </w:rPr>
        <w:t xml:space="preserve">C). The piece of red muscle was then cut with microdissecting scissors to obtain a homogenous solution (see the Appendix of </w:t>
      </w:r>
      <w:r w:rsidRPr="009D1C3A">
        <w:rPr>
          <w:lang w:val="en-GB"/>
        </w:rPr>
        <w:fldChar w:fldCharType="begin" w:fldLock="1"/>
      </w:r>
      <w:r w:rsidR="00215FA6">
        <w:rPr>
          <w:lang w:val="en-GB"/>
        </w:rPr>
        <w:instrText>ADDIN CSL_CITATION {"citationItems":[{"id":"ITEM-1","itemData":{"DOI":"10.1086/688769","ISSN":"15222152","PMID":"27792536","abstract":"Standard metabolic rate (SMR) and maximum metabolic rate (MMR) typically vary two-or threefold among conspecifics, with both traits assumed to significantly impact fitness. However, the underlying mechanisms that determine such intraspecific variation are not well understood. We examined the influence of mitochondrial properties on intraspecific variation in SMR and MMR and hypothesized that if SMR supports the cost of maintaining the metabolic machinery required for MMR, then the mitochondrial properties underlying these traits should be shared. Mitochondrial respiratory capacity (leak and phosphorylating respiration) and mitochondrial content (cytochrome c oxidase activity) were determined in the liver and white muscle of brown trout Salmo trutta of similar age and maintenance conditions. SMR and MMR were uncorrelated across individuals and were not associated with the same mitochondrial properties, suggesting that they are under the control of separate physiological processes. Moreover, tissue-specific relationships between mitochondrial properties and whole-organism metabolic traits were observed. Specifically, SMR was positively associated with leak respiration in liver mitochondria, while MMR was positively associated with muscle mitochondrial leak respiration and mitochondrial content. These results suggest that a high SMR or MMR, rather than signaling a higher ability for respiration-driven ATP synthesis, may actually reflect greater dissipation of energy, driven by proton leak across the mitochondrial inner membrane. Knowledge of these links should aid interpretation of the potential fitness consequences of such variation in metabolism, given the importance of mitochondria in the utilization of resources and their allocation to performance.","author":[{"dropping-particle":"","family":"Salin","given":"Karine","non-dropping-particle":"","parse-names":false,"suffix":""},{"dropping-particle":"","family":"Auer","given":"Sonya K.","non-dropping-particle":"","parse-names":false,"suffix":""},{"dropping-particle":"","family":"Rudolf","given":"Agata M.","non-dropping-particle":"","parse-names":false,"suffix":""},{"dropping-particle":"","family":"Anderson","given":"Graeme J.","non-dropping-particle":"","parse-names":false,"suffix":""},{"dropping-particle":"","family":"Selman","given":"Colin","non-dropping-particle":"","parse-names":false,"suffix":""},{"dropping-particle":"","family":"Metcalfe","given":"Neil B.","non-dropping-particle":"","parse-names":false,"suffix":""}],"container-title":"Physiological and Biochemical Zoology","id":"ITEM-1","issue":"6","issued":{"date-parts":[["2016"]]},"page":"511-523","title":"Variation in metabolic rate among individuals is related to tissue-specific differences in mitochondrial leak respiration","type":"article-journal","volume":"89"},"uris":["http://www.mendeley.com/documents/?uuid=b742ef12-602b-402a-952c-0ee36aba7e33"]}],"mendeley":{"formattedCitation":"[5]","plainTextFormattedCitation":"[5]","previouslyFormattedCitation":"[5]"},"properties":{"noteIndex":0},"schema":"https://github.com/citation-style-language/schema/raw/master/csl-citation.json"}</w:instrText>
      </w:r>
      <w:r w:rsidRPr="009D1C3A">
        <w:rPr>
          <w:lang w:val="en-GB"/>
        </w:rPr>
        <w:fldChar w:fldCharType="separate"/>
      </w:r>
      <w:r w:rsidR="00215FA6" w:rsidRPr="00215FA6">
        <w:rPr>
          <w:noProof/>
          <w:lang w:val="en-GB"/>
        </w:rPr>
        <w:t>[5]</w:t>
      </w:r>
      <w:r w:rsidRPr="009D1C3A">
        <w:rPr>
          <w:lang w:val="en-GB"/>
        </w:rPr>
        <w:fldChar w:fldCharType="end"/>
      </w:r>
      <w:r w:rsidRPr="009D1C3A">
        <w:rPr>
          <w:lang w:val="en-GB"/>
        </w:rPr>
        <w:t>). Then this shredded solution was diluted in respirometry buffer to a concentration of 1 mg mL</w:t>
      </w:r>
      <w:r w:rsidRPr="009D1C3A">
        <w:rPr>
          <w:vertAlign w:val="superscript"/>
          <w:lang w:val="en-GB"/>
        </w:rPr>
        <w:t>-1</w:t>
      </w:r>
      <w:r w:rsidRPr="009D1C3A">
        <w:rPr>
          <w:lang w:val="en-GB"/>
        </w:rPr>
        <w:t xml:space="preserve"> [concentration: mean </w:t>
      </w:r>
      <w:r w:rsidRPr="009D1C3A">
        <w:rPr>
          <w:rFonts w:cs="Times New Roman"/>
          <w:lang w:val="en-GB"/>
        </w:rPr>
        <w:t xml:space="preserve">± s.e.m. = </w:t>
      </w:r>
      <w:r w:rsidRPr="009D1C3A">
        <w:rPr>
          <w:lang w:val="en-GB"/>
        </w:rPr>
        <w:t xml:space="preserve">1.00 </w:t>
      </w:r>
      <w:r w:rsidRPr="009D1C3A">
        <w:rPr>
          <w:rFonts w:cs="Times New Roman"/>
          <w:lang w:val="en-GB"/>
        </w:rPr>
        <w:t>± 0.00 mg mL</w:t>
      </w:r>
      <w:r w:rsidRPr="009D1C3A">
        <w:rPr>
          <w:rFonts w:cs="Times New Roman"/>
          <w:vertAlign w:val="superscript"/>
          <w:lang w:val="en-GB"/>
        </w:rPr>
        <w:t>-1</w:t>
      </w:r>
      <w:r w:rsidRPr="009D1C3A">
        <w:rPr>
          <w:rFonts w:cs="Times New Roman"/>
          <w:lang w:val="en-GB"/>
        </w:rPr>
        <w:t>)</w:t>
      </w:r>
      <w:r w:rsidRPr="009D1C3A">
        <w:rPr>
          <w:lang w:val="en-GB"/>
        </w:rPr>
        <w:t xml:space="preserve">. This homogenization technique permeabilized the plasma membranes of muscle myocytes. This can be shown with the very high stimulation of respiratory fluxes after addition of ADP molecules (mean </w:t>
      </w:r>
      <w:r w:rsidRPr="009D1C3A">
        <w:rPr>
          <w:rFonts w:cs="Times New Roman"/>
          <w:lang w:val="en-GB"/>
        </w:rPr>
        <w:t xml:space="preserve">± s.e.m. = 6.3 ± 0.1-fold increase, n = 32) as ADP molecule only crosses a permeable plasma membrane. This </w:t>
      </w:r>
      <w:r w:rsidRPr="009D1C3A">
        <w:rPr>
          <w:rFonts w:cs="Times New Roman"/>
          <w:lang w:val="en-GB"/>
        </w:rPr>
        <w:lastRenderedPageBreak/>
        <w:t xml:space="preserve">homogenization procedure is as efficient as procedures that used detergents for the permeabilization of the plasma membrane, as validated in Appendix of </w:t>
      </w:r>
      <w:r w:rsidRPr="009D1C3A">
        <w:rPr>
          <w:rFonts w:cs="Times New Roman"/>
          <w:lang w:val="en-GB"/>
        </w:rPr>
        <w:fldChar w:fldCharType="begin" w:fldLock="1"/>
      </w:r>
      <w:r w:rsidR="00215FA6">
        <w:rPr>
          <w:rFonts w:cs="Times New Roman"/>
          <w:lang w:val="en-GB"/>
        </w:rPr>
        <w:instrText>ADDIN CSL_CITATION {"citationItems":[{"id":"ITEM-1","itemData":{"DOI":"10.1086/688769","ISSN":"15222152","PMID":"27792536","abstract":"Standard metabolic rate (SMR) and maximum metabolic rate (MMR) typically vary two-or threefold among conspecifics, with both traits assumed to significantly impact fitness. However, the underlying mechanisms that determine such intraspecific variation are not well understood. We examined the influence of mitochondrial properties on intraspecific variation in SMR and MMR and hypothesized that if SMR supports the cost of maintaining the metabolic machinery required for MMR, then the mitochondrial properties underlying these traits should be shared. Mitochondrial respiratory capacity (leak and phosphorylating respiration) and mitochondrial content (cytochrome c oxidase activity) were determined in the liver and white muscle of brown trout Salmo trutta of similar age and maintenance conditions. SMR and MMR were uncorrelated across individuals and were not associated with the same mitochondrial properties, suggesting that they are under the control of separate physiological processes. Moreover, tissue-specific relationships between mitochondrial properties and whole-organism metabolic traits were observed. Specifically, SMR was positively associated with leak respiration in liver mitochondria, while MMR was positively associated with muscle mitochondrial leak respiration and mitochondrial content. These results suggest that a high SMR or MMR, rather than signaling a higher ability for respiration-driven ATP synthesis, may actually reflect greater dissipation of energy, driven by proton leak across the mitochondrial inner membrane. Knowledge of these links should aid interpretation of the potential fitness consequences of such variation in metabolism, given the importance of mitochondria in the utilization of resources and their allocation to performance.","author":[{"dropping-particle":"","family":"Salin","given":"Karine","non-dropping-particle":"","parse-names":false,"suffix":""},{"dropping-particle":"","family":"Auer","given":"Sonya K.","non-dropping-particle":"","parse-names":false,"suffix":""},{"dropping-particle":"","family":"Rudolf","given":"Agata M.","non-dropping-particle":"","parse-names":false,"suffix":""},{"dropping-particle":"","family":"Anderson","given":"Graeme J.","non-dropping-particle":"","parse-names":false,"suffix":""},{"dropping-particle":"","family":"Selman","given":"Colin","non-dropping-particle":"","parse-names":false,"suffix":""},{"dropping-particle":"","family":"Metcalfe","given":"Neil B.","non-dropping-particle":"","parse-names":false,"suffix":""}],"container-title":"Physiological and Biochemical Zoology","id":"ITEM-1","issue":"6","issued":{"date-parts":[["2016"]]},"page":"511-523","title":"Variation in metabolic rate among individuals is related to tissue-specific differences in mitochondrial leak respiration","type":"article-journal","volume":"89"},"uris":["http://www.mendeley.com/documents/?uuid=b742ef12-602b-402a-952c-0ee36aba7e33"]}],"mendeley":{"formattedCitation":"[5]","plainTextFormattedCitation":"[5]","previouslyFormattedCitation":"[5]"},"properties":{"noteIndex":0},"schema":"https://github.com/citation-style-language/schema/raw/master/csl-citation.json"}</w:instrText>
      </w:r>
      <w:r w:rsidRPr="009D1C3A">
        <w:rPr>
          <w:rFonts w:cs="Times New Roman"/>
          <w:lang w:val="en-GB"/>
        </w:rPr>
        <w:fldChar w:fldCharType="separate"/>
      </w:r>
      <w:r w:rsidR="00215FA6" w:rsidRPr="00215FA6">
        <w:rPr>
          <w:rFonts w:cs="Times New Roman"/>
          <w:noProof/>
          <w:lang w:val="en-GB"/>
        </w:rPr>
        <w:t>[5]</w:t>
      </w:r>
      <w:r w:rsidRPr="009D1C3A">
        <w:rPr>
          <w:rFonts w:cs="Times New Roman"/>
          <w:lang w:val="en-GB"/>
        </w:rPr>
        <w:fldChar w:fldCharType="end"/>
      </w:r>
      <w:r w:rsidRPr="009D1C3A">
        <w:rPr>
          <w:rFonts w:cs="Times New Roman"/>
          <w:lang w:val="en-GB"/>
        </w:rPr>
        <w:t xml:space="preserve">. </w:t>
      </w:r>
    </w:p>
    <w:p w14:paraId="4E2585A3" w14:textId="77777777" w:rsidR="009D1C3A" w:rsidRPr="009D1C3A" w:rsidRDefault="009D1C3A" w:rsidP="009D1C3A">
      <w:pPr>
        <w:rPr>
          <w:lang w:val="en-GB"/>
        </w:rPr>
      </w:pPr>
    </w:p>
    <w:p w14:paraId="10849C54" w14:textId="77777777" w:rsidR="009D1C3A" w:rsidRPr="009D1C3A" w:rsidRDefault="009D1C3A" w:rsidP="009D1C3A">
      <w:pPr>
        <w:rPr>
          <w:b/>
          <w:lang w:val="en-GB"/>
        </w:rPr>
      </w:pPr>
      <w:r w:rsidRPr="009D1C3A">
        <w:rPr>
          <w:b/>
          <w:lang w:val="en-GB"/>
        </w:rPr>
        <w:t>Mitochondrial respiration and phosphorylation</w:t>
      </w:r>
    </w:p>
    <w:p w14:paraId="4A6DFB63" w14:textId="77777777" w:rsidR="009D1C3A" w:rsidRPr="009D1C3A" w:rsidRDefault="009D1C3A" w:rsidP="009D1C3A">
      <w:pPr>
        <w:rPr>
          <w:i/>
          <w:lang w:val="en-GB"/>
        </w:rPr>
      </w:pPr>
      <w:r w:rsidRPr="009D1C3A">
        <w:rPr>
          <w:i/>
          <w:lang w:val="en-GB"/>
        </w:rPr>
        <w:t>Temperature and oxygen conditions</w:t>
      </w:r>
    </w:p>
    <w:p w14:paraId="7851D9A1" w14:textId="2E8EBBCA" w:rsidR="009D1C3A" w:rsidRPr="009D1C3A" w:rsidRDefault="009D1C3A" w:rsidP="009D1C3A">
      <w:pPr>
        <w:ind w:firstLine="708"/>
        <w:rPr>
          <w:rFonts w:cs="Times New Roman"/>
          <w:lang w:val="en-GB"/>
        </w:rPr>
      </w:pPr>
      <w:r w:rsidRPr="009D1C3A">
        <w:rPr>
          <w:rFonts w:cs="Times New Roman"/>
          <w:lang w:val="en-GB"/>
        </w:rPr>
        <w:t xml:space="preserve">Mitochondria properties of red muscle were determined in four </w:t>
      </w:r>
      <w:r w:rsidRPr="009D1C3A">
        <w:rPr>
          <w:rFonts w:cs="Times New Roman"/>
          <w:i/>
          <w:lang w:val="en-GB"/>
        </w:rPr>
        <w:t>in vitro</w:t>
      </w:r>
      <w:r w:rsidRPr="009D1C3A">
        <w:rPr>
          <w:rFonts w:cs="Times New Roman"/>
          <w:lang w:val="en-GB"/>
        </w:rPr>
        <w:t xml:space="preserve"> conditions: (i) 13.00°C – High [O</w:t>
      </w:r>
      <w:r w:rsidRPr="009D1C3A">
        <w:rPr>
          <w:rFonts w:cs="Times New Roman"/>
          <w:vertAlign w:val="subscript"/>
          <w:lang w:val="en-GB"/>
        </w:rPr>
        <w:t>2</w:t>
      </w:r>
      <w:r w:rsidRPr="009D1C3A">
        <w:rPr>
          <w:rFonts w:cs="Times New Roman"/>
          <w:lang w:val="en-GB"/>
        </w:rPr>
        <w:t>], (ii) 13.00°C – Low [O</w:t>
      </w:r>
      <w:r w:rsidRPr="009D1C3A">
        <w:rPr>
          <w:rFonts w:cs="Times New Roman"/>
          <w:vertAlign w:val="subscript"/>
          <w:lang w:val="en-GB"/>
        </w:rPr>
        <w:t>2</w:t>
      </w:r>
      <w:r w:rsidRPr="009D1C3A">
        <w:rPr>
          <w:rFonts w:cs="Times New Roman"/>
          <w:lang w:val="en-GB"/>
        </w:rPr>
        <w:t>], (iii) 16.00°C – High [O</w:t>
      </w:r>
      <w:r w:rsidRPr="009D1C3A">
        <w:rPr>
          <w:rFonts w:cs="Times New Roman"/>
          <w:vertAlign w:val="subscript"/>
          <w:lang w:val="en-GB"/>
        </w:rPr>
        <w:t>2</w:t>
      </w:r>
      <w:r w:rsidRPr="009D1C3A">
        <w:rPr>
          <w:rFonts w:cs="Times New Roman"/>
          <w:lang w:val="en-GB"/>
        </w:rPr>
        <w:t>] and (iv) 16.00°C – Low [O</w:t>
      </w:r>
      <w:r w:rsidRPr="009D1C3A">
        <w:rPr>
          <w:rFonts w:cs="Times New Roman"/>
          <w:vertAlign w:val="subscript"/>
          <w:lang w:val="en-GB"/>
        </w:rPr>
        <w:t>2</w:t>
      </w:r>
      <w:r w:rsidRPr="009D1C3A">
        <w:rPr>
          <w:rFonts w:cs="Times New Roman"/>
          <w:lang w:val="en-GB"/>
        </w:rPr>
        <w:t xml:space="preserve">]. </w:t>
      </w:r>
      <w:r w:rsidRPr="009D1C3A">
        <w:rPr>
          <w:lang w:val="en-GB"/>
        </w:rPr>
        <w:t xml:space="preserve">Oxygen levels were determined for practical reasons. Oxygen levels have been manipulated in the respirometry chambers with addition of gas (e.g. pure oxygen). </w:t>
      </w:r>
      <w:r w:rsidRPr="009D1C3A">
        <w:rPr>
          <w:rFonts w:cs="Times New Roman"/>
          <w:lang w:val="en-GB"/>
        </w:rPr>
        <w:t>For the condition “Low [O</w:t>
      </w:r>
      <w:r w:rsidRPr="009D1C3A">
        <w:rPr>
          <w:rFonts w:cs="Times New Roman"/>
          <w:vertAlign w:val="subscript"/>
          <w:lang w:val="en-GB"/>
        </w:rPr>
        <w:t>2</w:t>
      </w:r>
      <w:r w:rsidRPr="009D1C3A">
        <w:rPr>
          <w:rFonts w:cs="Times New Roman"/>
          <w:lang w:val="en-GB"/>
        </w:rPr>
        <w:t xml:space="preserve">]”, we have reoxygenated the respirometry chambers once during the protocol to stay above a sufficient oxygen level to prevent limitation of oxygen diffusion </w:t>
      </w:r>
      <w:r w:rsidRPr="009D1C3A">
        <w:rPr>
          <w:rFonts w:cs="Times New Roman"/>
          <w:lang w:val="en-GB"/>
        </w:rPr>
        <w:fldChar w:fldCharType="begin" w:fldLock="1"/>
      </w:r>
      <w:r w:rsidR="00215FA6">
        <w:rPr>
          <w:rFonts w:cs="Times New Roman"/>
          <w:lang w:val="en-GB"/>
        </w:rPr>
        <w:instrText>ADDIN CSL_CITATION {"citationItems":[{"id":"ITEM-1","itemData":{"author":[{"dropping-particle":"","family":"E Gnaiger, B Lassnig, A Kuznetsov","given":"G Rieger and R Margreiter","non-dropping-particle":"","parse-names":false,"suffix":""}],"container-title":"Journal of Experimental Biology","id":"ITEM-1","issued":{"date-parts":[["1998"]]},"page":"1129-1139","title":"Mitochondrial oxygen affinity, respiratory flux control and excess capacity of cytochrome c oxidase","type":"article-journal","volume":"1139"},"uris":["http://www.mendeley.com/documents/?uuid=20cf7d57-981c-4edf-beaf-11df9f751c44"]}],"mendeley":{"formattedCitation":"[6]","plainTextFormattedCitation":"[6]","previouslyFormattedCitation":"[6]"},"properties":{"noteIndex":0},"schema":"https://github.com/citation-style-language/schema/raw/master/csl-citation.json"}</w:instrText>
      </w:r>
      <w:r w:rsidRPr="009D1C3A">
        <w:rPr>
          <w:rFonts w:cs="Times New Roman"/>
          <w:lang w:val="en-GB"/>
        </w:rPr>
        <w:fldChar w:fldCharType="separate"/>
      </w:r>
      <w:r w:rsidR="00215FA6" w:rsidRPr="00215FA6">
        <w:rPr>
          <w:rFonts w:cs="Times New Roman"/>
          <w:noProof/>
          <w:lang w:val="en-GB"/>
        </w:rPr>
        <w:t>[6]</w:t>
      </w:r>
      <w:r w:rsidRPr="009D1C3A">
        <w:rPr>
          <w:rFonts w:cs="Times New Roman"/>
          <w:lang w:val="en-GB"/>
        </w:rPr>
        <w:fldChar w:fldCharType="end"/>
      </w:r>
      <w:r w:rsidRPr="009D1C3A">
        <w:rPr>
          <w:rFonts w:cs="Times New Roman"/>
          <w:lang w:val="en-GB"/>
        </w:rPr>
        <w:t>. See minimum and maximum oxygen levels over the course of the assay in Table S1.</w:t>
      </w:r>
    </w:p>
    <w:p w14:paraId="7716FF6E" w14:textId="77777777" w:rsidR="009D1C3A" w:rsidRPr="009D1C3A" w:rsidRDefault="009D1C3A" w:rsidP="009D1C3A">
      <w:pPr>
        <w:ind w:firstLine="708"/>
        <w:rPr>
          <w:rFonts w:cs="Times New Roman"/>
          <w:lang w:val="en-GB"/>
        </w:rPr>
      </w:pPr>
      <w:r w:rsidRPr="009D1C3A">
        <w:rPr>
          <w:rFonts w:cs="Times New Roman"/>
          <w:lang w:val="en-GB"/>
        </w:rPr>
        <w:t xml:space="preserve">The 3°C warming of the mitochondrial assay simulated the acute warming conditions seabass would naturally experience at the season of the study. Temperature was monitored at least every 60 minutes over eleven years (2007 – 2017) in the Brest Harbour </w:t>
      </w:r>
      <w:r w:rsidRPr="009D1C3A">
        <w:rPr>
          <w:rFonts w:cs="Times New Roman"/>
          <w:lang w:val="en-GB"/>
        </w:rPr>
        <w:fldChar w:fldCharType="begin" w:fldLock="1"/>
      </w:r>
      <w:r w:rsidRPr="009D1C3A">
        <w:rPr>
          <w:rFonts w:cs="Times New Roman"/>
          <w:lang w:val="en-GB"/>
        </w:rPr>
        <w:instrText>ADDIN CSL_CITATION {"citationItems":[{"id":"ITEM-1","itemData":{"DOI":"10.17882/42493","author":[{"dropping-particle":"","family":"Petton","given":"S","non-dropping-particle":"","parse-names":false,"suffix":""},{"dropping-particle":"","family":"Roy","given":"V","non-dropping-particle":"Le","parse-names":false,"suffix":""},{"dropping-particle":"","family":"Bellec","given":"G","non-dropping-particle":"","parse-names":false,"suffix":""},{"dropping-particle":"","family":"Queau","given":"I","non-dropping-particle":"","parse-names":false,"suffix":""},{"dropping-particle":"","family":"Souchu","given":"P","non-dropping-particle":"Le","parse-names":false,"suffix":""},{"dropping-particle":"","family":"Pouvreau","given":"S","non-dropping-particle":"","parse-names":false,"suffix":""}],"id":"ITEM-1","issued":{"date-parts":[["2018"]]},"title":"Marine environmental station database of Daoulas bay.","type":"webpage"},"uris":["http://www.mendeley.com/documents/?uuid=36937a98-8de9-46e3-ab92-24a85e9e323f"]}],"mendeley":{"formattedCitation":"[1]","plainTextFormattedCitation":"[1]","previouslyFormattedCitation":"[1]"},"properties":{"noteIndex":0},"schema":"https://github.com/citation-style-language/schema/raw/master/csl-citation.json"}</w:instrText>
      </w:r>
      <w:r w:rsidRPr="009D1C3A">
        <w:rPr>
          <w:rFonts w:cs="Times New Roman"/>
          <w:lang w:val="en-GB"/>
        </w:rPr>
        <w:fldChar w:fldCharType="separate"/>
      </w:r>
      <w:r w:rsidRPr="009D1C3A">
        <w:rPr>
          <w:rFonts w:cs="Times New Roman"/>
          <w:noProof/>
          <w:lang w:val="en-GB"/>
        </w:rPr>
        <w:t>[1]</w:t>
      </w:r>
      <w:r w:rsidRPr="009D1C3A">
        <w:rPr>
          <w:rFonts w:cs="Times New Roman"/>
          <w:lang w:val="en-GB"/>
        </w:rPr>
        <w:fldChar w:fldCharType="end"/>
      </w:r>
      <w:r w:rsidRPr="009D1C3A">
        <w:rPr>
          <w:rFonts w:cs="Times New Roman"/>
          <w:lang w:val="en-GB"/>
        </w:rPr>
        <w:t>, where juvenile seabass naturally occurs. Temperature data from 1</w:t>
      </w:r>
      <w:r w:rsidRPr="009D1C3A">
        <w:rPr>
          <w:rFonts w:cs="Times New Roman"/>
          <w:vertAlign w:val="superscript"/>
          <w:lang w:val="en-GB"/>
        </w:rPr>
        <w:t>st</w:t>
      </w:r>
      <w:r w:rsidRPr="009D1C3A">
        <w:rPr>
          <w:rFonts w:cs="Times New Roman"/>
          <w:lang w:val="en-GB"/>
        </w:rPr>
        <w:t xml:space="preserve"> April until 31</w:t>
      </w:r>
      <w:r w:rsidRPr="009D1C3A">
        <w:rPr>
          <w:rFonts w:cs="Times New Roman"/>
          <w:vertAlign w:val="superscript"/>
          <w:lang w:val="en-GB"/>
        </w:rPr>
        <w:t>st</w:t>
      </w:r>
      <w:r w:rsidRPr="009D1C3A">
        <w:rPr>
          <w:rFonts w:cs="Times New Roman"/>
          <w:lang w:val="en-GB"/>
        </w:rPr>
        <w:t xml:space="preserve"> May was used to calculate the daily thermal range in Brest Harbour. Maximal daily thermal ranges between 1</w:t>
      </w:r>
      <w:r w:rsidRPr="009D1C3A">
        <w:rPr>
          <w:rFonts w:cs="Times New Roman"/>
          <w:vertAlign w:val="superscript"/>
          <w:lang w:val="en-GB"/>
        </w:rPr>
        <w:t>st</w:t>
      </w:r>
      <w:r w:rsidRPr="009D1C3A">
        <w:rPr>
          <w:rFonts w:cs="Times New Roman"/>
          <w:lang w:val="en-GB"/>
        </w:rPr>
        <w:t xml:space="preserve"> April and 31</w:t>
      </w:r>
      <w:r w:rsidRPr="009D1C3A">
        <w:rPr>
          <w:rFonts w:cs="Times New Roman"/>
          <w:vertAlign w:val="superscript"/>
          <w:lang w:val="en-GB"/>
        </w:rPr>
        <w:t>st</w:t>
      </w:r>
      <w:r w:rsidRPr="009D1C3A">
        <w:rPr>
          <w:rFonts w:cs="Times New Roman"/>
          <w:lang w:val="en-GB"/>
        </w:rPr>
        <w:t xml:space="preserve"> May for each year were averaged (3.06 ± 0.09°C).  A warming of 3°C is considered as representative of extreme acute warming that juvenile seabass can naturally meet in their environment from April to May. The 13°C experimental condition corresponded to the water temperature of fish tanks at the time of the tissue sampling (12.8°C ± 0.3°C) and to which mitochondria were acclimatized. This temperature was also representative of the temperature in Brest Harbour at this time of the year, when a daily +3°C warming can be considered extreme.</w:t>
      </w:r>
    </w:p>
    <w:p w14:paraId="4852083C" w14:textId="77777777" w:rsidR="009D1C3A" w:rsidRPr="009D1C3A" w:rsidRDefault="009D1C3A" w:rsidP="009D1C3A">
      <w:pPr>
        <w:rPr>
          <w:rFonts w:cs="Times New Roman"/>
          <w:lang w:val="en-GB"/>
        </w:rPr>
      </w:pPr>
    </w:p>
    <w:p w14:paraId="0E12C795" w14:textId="77777777" w:rsidR="009D1C3A" w:rsidRPr="009D1C3A" w:rsidRDefault="009D1C3A" w:rsidP="009D1C3A">
      <w:pPr>
        <w:rPr>
          <w:rFonts w:cs="Times New Roman"/>
          <w:i/>
          <w:lang w:val="en-GB"/>
        </w:rPr>
      </w:pPr>
      <w:r w:rsidRPr="009D1C3A">
        <w:rPr>
          <w:rFonts w:cs="Times New Roman"/>
          <w:i/>
          <w:lang w:val="en-GB"/>
        </w:rPr>
        <w:t>Equipment preparation</w:t>
      </w:r>
    </w:p>
    <w:p w14:paraId="017F542F" w14:textId="77777777" w:rsidR="009D1C3A" w:rsidRPr="009D1C3A" w:rsidRDefault="009D1C3A" w:rsidP="009D1C3A">
      <w:pPr>
        <w:ind w:firstLine="708"/>
        <w:rPr>
          <w:lang w:val="en-GB"/>
        </w:rPr>
      </w:pPr>
      <w:r w:rsidRPr="009D1C3A">
        <w:rPr>
          <w:lang w:val="en-GB"/>
        </w:rPr>
        <w:t xml:space="preserve">We used two respirometers Oroboros® (Oroboros Instruments, Innsbruck, Austria) to measure the mitochondrial respiration. ATP flux was estimated with variation in concentration of free magnesium with the fluorescence of the Magnesium Green probe (MgGreen). Each had two respirometry chambers and was equipped with fluorescent sensors. One respirometer was set at 13.00 </w:t>
      </w:r>
      <w:r w:rsidRPr="009D1C3A">
        <w:rPr>
          <w:rFonts w:cs="Times New Roman"/>
          <w:lang w:val="en-GB"/>
        </w:rPr>
        <w:t xml:space="preserve">± 0.00°C </w:t>
      </w:r>
      <w:r w:rsidRPr="009D1C3A">
        <w:rPr>
          <w:lang w:val="en-GB"/>
        </w:rPr>
        <w:t xml:space="preserve">and the other at 16.00 </w:t>
      </w:r>
      <w:r w:rsidRPr="009D1C3A">
        <w:rPr>
          <w:rFonts w:cs="Times New Roman"/>
          <w:lang w:val="en-GB"/>
        </w:rPr>
        <w:t>± 0.00°C</w:t>
      </w:r>
      <w:r w:rsidRPr="009D1C3A">
        <w:rPr>
          <w:lang w:val="en-GB"/>
        </w:rPr>
        <w:t>. For each respirometer, one chamber was at Low [O</w:t>
      </w:r>
      <w:r w:rsidRPr="009D1C3A">
        <w:rPr>
          <w:vertAlign w:val="subscript"/>
          <w:lang w:val="en-GB"/>
        </w:rPr>
        <w:t>2</w:t>
      </w:r>
      <w:r w:rsidRPr="009D1C3A">
        <w:rPr>
          <w:lang w:val="en-GB"/>
        </w:rPr>
        <w:t>] and the other chamber was at High [O</w:t>
      </w:r>
      <w:r w:rsidRPr="009D1C3A">
        <w:rPr>
          <w:vertAlign w:val="subscript"/>
          <w:lang w:val="en-GB"/>
        </w:rPr>
        <w:t>2</w:t>
      </w:r>
      <w:r w:rsidRPr="009D1C3A">
        <w:rPr>
          <w:lang w:val="en-GB"/>
        </w:rPr>
        <w:t>]. Respirometers have been calibrated for instrumental background over a large range of [O</w:t>
      </w:r>
      <w:r w:rsidRPr="009D1C3A">
        <w:rPr>
          <w:vertAlign w:val="subscript"/>
          <w:lang w:val="en-GB"/>
        </w:rPr>
        <w:t>2</w:t>
      </w:r>
      <w:r w:rsidRPr="009D1C3A">
        <w:rPr>
          <w:lang w:val="en-GB"/>
        </w:rPr>
        <w:t xml:space="preserve">] (100 to 600 µM), zero oxygen and air saturation oxygen level at 13°C and 16°C. The simultaneous measurement of oxygen consumption and ATP production allow us to determine the mitochondrial efficiency to produce ATP (ATP/O ratio). </w:t>
      </w:r>
    </w:p>
    <w:p w14:paraId="0CCD3345" w14:textId="77777777" w:rsidR="009D1C3A" w:rsidRPr="009D1C3A" w:rsidRDefault="009D1C3A" w:rsidP="009D1C3A">
      <w:pPr>
        <w:ind w:firstLine="708"/>
        <w:rPr>
          <w:lang w:val="en-GB"/>
        </w:rPr>
      </w:pPr>
    </w:p>
    <w:p w14:paraId="37348747" w14:textId="77777777" w:rsidR="009D1C3A" w:rsidRPr="009D1C3A" w:rsidRDefault="009D1C3A" w:rsidP="009D1C3A">
      <w:pPr>
        <w:rPr>
          <w:i/>
          <w:lang w:val="en-GB"/>
        </w:rPr>
      </w:pPr>
      <w:r w:rsidRPr="009D1C3A">
        <w:rPr>
          <w:i/>
          <w:lang w:val="en-GB"/>
        </w:rPr>
        <w:t>Measurement of mitochondrial metabolic traits</w:t>
      </w:r>
    </w:p>
    <w:p w14:paraId="75369062" w14:textId="446BE5BE" w:rsidR="009D1C3A" w:rsidRPr="009D1C3A" w:rsidRDefault="009D1C3A" w:rsidP="009D1C3A">
      <w:pPr>
        <w:ind w:firstLine="708"/>
        <w:rPr>
          <w:lang w:val="en-GB"/>
        </w:rPr>
      </w:pPr>
      <w:r w:rsidRPr="009D1C3A">
        <w:rPr>
          <w:lang w:val="en-GB"/>
        </w:rPr>
        <w:t xml:space="preserve">Immediately after the red muscle homogenate preparation, 2.1 mL of the homogenous solution were pipetted and placed in each respirometry chambers of respirometers. The mitochondrial efficiency measurement protocol is based on </w:t>
      </w:r>
      <w:r w:rsidRPr="009D1C3A">
        <w:rPr>
          <w:lang w:val="en-GB"/>
        </w:rPr>
        <w:fldChar w:fldCharType="begin" w:fldLock="1"/>
      </w:r>
      <w:r w:rsidR="00215FA6">
        <w:rPr>
          <w:lang w:val="en-GB"/>
        </w:rPr>
        <w:instrText>ADDIN CSL_CITATION {"citationItems":[{"id":"ITEM-1","itemData":{"DOI":"10.14814/phy2.13007","ISSN":"2051817X","PMID":"27798358","abstract":"The use of tissue homogenate has greatly aided the study of the functioning of mitochondria. However, the amount of ATP produced per oxygen molecule consumed, that is, the effective P/O ratio, has never been measured directly in tissue homogenate. Here we combine and refine existing methods previously used in permeabilized cells and isolated mitochondria to simultaneously measure mitochondrial ATP production (JATP) and oxygen consumption (JO2) in tissue homogenate. A major improvement over existing methods is in the control of ATPases that otherwise interfere with the ATP assay: our modified technique facilitates simultaneous measurement of the rates of “uncorrected” ATP synthesis and of ATP hydrolysis, thus minimizing the amount of tissue and time needed. Finally, we develop a novel method of calculating effective P/O ratios which corrects measurements of JATP and JO2 for rates of nonmitochondrial ATP hydrolysis and respiration, respectively. Measurements of JATP and JO2 in liver homogenates from brown trout (Salmo trutta) were highly reproducible, although activity declined once homogenates were 2 h old. We compared mitochondrial properties from fed and food-deprived animals to demonstrate that the method can detect mitochondrial flexibility in P/O ratios in response to nutritional state. This method simplifies studies examining the mitochondrial bioenergetics of tissue homogenates, obviating the need for differential centrifugation or chemical permeabilization and avoiding the use of nonmitochondrial ATPase inhibitors. We conclude that our approach for characterizing effective P/O ratio opens up new possibilities in the study of mitochondrial function in very small samples, where the use of other methods is limited.","author":[{"dropping-particle":"","family":"Salin","given":"Karine","non-dropping-particle":"","parse-names":false,"suffix":""},{"dropping-particle":"","family":"Villasevil","given":"Eugenia M.","non-dropping-particle":"","parse-names":false,"suffix":""},{"dropping-particle":"","family":"Auer","given":"Sonya K.","non-dropping-particle":"","parse-names":false,"suffix":""},{"dropping-particle":"","family":"Anderson","given":"Graeme J.","non-dropping-particle":"","parse-names":false,"suffix":""},{"dropping-particle":"","family":"Selman","given":"Colin","non-dropping-particle":"","parse-names":false,"suffix":""},{"dropping-particle":"","family":"Metcalfe","given":"Neil B.","non-dropping-particle":"","parse-names":false,"suffix":""},{"dropping-particle":"","family":"Chinopoulos","given":"Christos","non-dropping-particle":"","parse-names":false,"suffix":""}],"container-title":"Physiological Reports","id":"ITEM-1","issue":"20","issued":{"date-parts":[["2016"]]},"page":"1-9","title":"Simultaneous measurement of mitochondrial respiration and ATP production in tissue homogenates and calculation of effective P/O ratios","type":"article-journal","volume":"4"},"uris":["http://www.mendeley.com/documents/?uuid=ae9c37a2-35a6-48fd-9c80-9f0a1ab5f97f"]}],"mendeley":{"formattedCitation":"[7]","plainTextFormattedCitation":"[7]","previouslyFormattedCitation":"[7]"},"properties":{"noteIndex":0},"schema":"https://github.com/citation-style-language/schema/raw/master/csl-citation.json"}</w:instrText>
      </w:r>
      <w:r w:rsidRPr="009D1C3A">
        <w:rPr>
          <w:lang w:val="en-GB"/>
        </w:rPr>
        <w:fldChar w:fldCharType="separate"/>
      </w:r>
      <w:r w:rsidR="00215FA6" w:rsidRPr="00215FA6">
        <w:rPr>
          <w:noProof/>
          <w:lang w:val="en-GB"/>
        </w:rPr>
        <w:t>[7]</w:t>
      </w:r>
      <w:r w:rsidRPr="009D1C3A">
        <w:rPr>
          <w:lang w:val="en-GB"/>
        </w:rPr>
        <w:fldChar w:fldCharType="end"/>
      </w:r>
      <w:r w:rsidRPr="009D1C3A">
        <w:rPr>
          <w:lang w:val="en-GB"/>
        </w:rPr>
        <w:t>. We started with an injection of an ATPase inhibitor, Ap5A (100µM). The respiration of red muscle fibres was then stimulated by the addition of pyruvate (5 mM) and malate (0.5 mM). After the addition of the probe Magnesium Green (MgGreen) (2.2µM), EGTA (0.1mM) and EDTA (15µM) were subsequently added. Then, stepwise additions of MgCl</w:t>
      </w:r>
      <w:r w:rsidRPr="009D1C3A">
        <w:rPr>
          <w:sz w:val="13"/>
          <w:szCs w:val="13"/>
          <w:lang w:val="en-GB"/>
        </w:rPr>
        <w:t xml:space="preserve">2 </w:t>
      </w:r>
      <w:r w:rsidRPr="009D1C3A">
        <w:rPr>
          <w:lang w:val="en-GB"/>
        </w:rPr>
        <w:t xml:space="preserve">were performed. Succinate (2 mM) was then added, and the phosphorylation respiration rate (i.e. OXPHOS respiration) was reached by adding a saturating concentration of ADP (2 mM). Carboxylatractyloside (4 µM) was added to inhibit adenylate nucleotide translocases and to obtain the respiration rate that offsets proton </w:t>
      </w:r>
      <w:r w:rsidRPr="009D1C3A">
        <w:rPr>
          <w:lang w:val="en-GB"/>
        </w:rPr>
        <w:lastRenderedPageBreak/>
        <w:t>leak (i.e. LEAK respiration). Antimycine A (2.5 µM) was added to inhibit complex III and then obtained a residual oxygen consumption, which was removed from other oxygen consumption measurements. Finally, cytochrome c oxidase (COX) activity was measured in presence of ascorbate (8 mM) and N, N, N’, N’ -tetramethyl-p-phenylenediamine dihydrochloride (500 µM). In a separate run, auto-oxidation of ascorbate and TMPD was measured under each oxygen and temperature conditions. The chemical auto-oxidation was 13.41 pmol O</w:t>
      </w:r>
      <w:r w:rsidRPr="009D1C3A">
        <w:rPr>
          <w:vertAlign w:val="subscript"/>
          <w:lang w:val="en-GB"/>
        </w:rPr>
        <w:t>2</w:t>
      </w:r>
      <w:r w:rsidRPr="009D1C3A">
        <w:rPr>
          <w:lang w:val="en-GB"/>
        </w:rPr>
        <w:t xml:space="preserve"> s</w:t>
      </w:r>
      <w:r w:rsidRPr="009D1C3A">
        <w:rPr>
          <w:vertAlign w:val="superscript"/>
          <w:lang w:val="en-GB"/>
        </w:rPr>
        <w:t>-1</w:t>
      </w:r>
      <w:r w:rsidRPr="009D1C3A">
        <w:rPr>
          <w:lang w:val="en-GB"/>
        </w:rPr>
        <w:t xml:space="preserve"> mL</w:t>
      </w:r>
      <w:r w:rsidRPr="009D1C3A">
        <w:rPr>
          <w:vertAlign w:val="superscript"/>
          <w:lang w:val="en-GB"/>
        </w:rPr>
        <w:t>-1</w:t>
      </w:r>
      <w:r w:rsidRPr="009D1C3A">
        <w:rPr>
          <w:lang w:val="en-GB"/>
        </w:rPr>
        <w:t xml:space="preserve"> at 13°C/High [O</w:t>
      </w:r>
      <w:r w:rsidRPr="009D1C3A">
        <w:rPr>
          <w:vertAlign w:val="subscript"/>
          <w:lang w:val="en-GB"/>
        </w:rPr>
        <w:t>2</w:t>
      </w:r>
      <w:r w:rsidRPr="009D1C3A">
        <w:rPr>
          <w:lang w:val="en-GB"/>
        </w:rPr>
        <w:t>], 9.28 pmol O</w:t>
      </w:r>
      <w:r w:rsidRPr="009D1C3A">
        <w:rPr>
          <w:vertAlign w:val="subscript"/>
          <w:lang w:val="en-GB"/>
        </w:rPr>
        <w:t>2</w:t>
      </w:r>
      <w:r w:rsidRPr="009D1C3A">
        <w:rPr>
          <w:lang w:val="en-GB"/>
        </w:rPr>
        <w:t xml:space="preserve"> s</w:t>
      </w:r>
      <w:r w:rsidRPr="009D1C3A">
        <w:rPr>
          <w:vertAlign w:val="superscript"/>
          <w:lang w:val="en-GB"/>
        </w:rPr>
        <w:t>-1</w:t>
      </w:r>
      <w:r w:rsidRPr="009D1C3A">
        <w:rPr>
          <w:lang w:val="en-GB"/>
        </w:rPr>
        <w:t xml:space="preserve"> mL</w:t>
      </w:r>
      <w:r w:rsidRPr="009D1C3A">
        <w:rPr>
          <w:vertAlign w:val="superscript"/>
          <w:lang w:val="en-GB"/>
        </w:rPr>
        <w:t xml:space="preserve">-1 </w:t>
      </w:r>
      <w:r w:rsidRPr="009D1C3A">
        <w:rPr>
          <w:lang w:val="en-GB"/>
        </w:rPr>
        <w:t>at 13°C/Low [O</w:t>
      </w:r>
      <w:r w:rsidRPr="009D1C3A">
        <w:rPr>
          <w:vertAlign w:val="subscript"/>
          <w:lang w:val="en-GB"/>
        </w:rPr>
        <w:t>2</w:t>
      </w:r>
      <w:r w:rsidRPr="009D1C3A">
        <w:rPr>
          <w:lang w:val="en-GB"/>
        </w:rPr>
        <w:t>], 16.34 pmol O</w:t>
      </w:r>
      <w:r w:rsidRPr="009D1C3A">
        <w:rPr>
          <w:vertAlign w:val="subscript"/>
          <w:lang w:val="en-GB"/>
        </w:rPr>
        <w:t>2</w:t>
      </w:r>
      <w:r w:rsidRPr="009D1C3A">
        <w:rPr>
          <w:lang w:val="en-GB"/>
        </w:rPr>
        <w:t xml:space="preserve"> s</w:t>
      </w:r>
      <w:r w:rsidRPr="009D1C3A">
        <w:rPr>
          <w:vertAlign w:val="superscript"/>
          <w:lang w:val="en-GB"/>
        </w:rPr>
        <w:t>-1</w:t>
      </w:r>
      <w:r w:rsidRPr="009D1C3A">
        <w:rPr>
          <w:lang w:val="en-GB"/>
        </w:rPr>
        <w:t xml:space="preserve"> mL</w:t>
      </w:r>
      <w:r w:rsidRPr="009D1C3A">
        <w:rPr>
          <w:vertAlign w:val="superscript"/>
          <w:lang w:val="en-GB"/>
        </w:rPr>
        <w:t>-1</w:t>
      </w:r>
      <w:r w:rsidRPr="009D1C3A">
        <w:rPr>
          <w:lang w:val="en-GB"/>
        </w:rPr>
        <w:t xml:space="preserve"> at 16°C/High [O</w:t>
      </w:r>
      <w:r w:rsidRPr="009D1C3A">
        <w:rPr>
          <w:vertAlign w:val="subscript"/>
          <w:lang w:val="en-GB"/>
        </w:rPr>
        <w:t>2</w:t>
      </w:r>
      <w:r w:rsidRPr="009D1C3A">
        <w:rPr>
          <w:lang w:val="en-GB"/>
        </w:rPr>
        <w:t>], and 9.82</w:t>
      </w:r>
      <w:r w:rsidRPr="009D1C3A">
        <w:rPr>
          <w:vertAlign w:val="superscript"/>
          <w:lang w:val="en-GB"/>
        </w:rPr>
        <w:t xml:space="preserve"> </w:t>
      </w:r>
      <w:r w:rsidRPr="009D1C3A">
        <w:rPr>
          <w:lang w:val="en-GB"/>
        </w:rPr>
        <w:t>pmol O</w:t>
      </w:r>
      <w:r w:rsidRPr="009D1C3A">
        <w:rPr>
          <w:vertAlign w:val="subscript"/>
          <w:lang w:val="en-GB"/>
        </w:rPr>
        <w:t>2</w:t>
      </w:r>
      <w:r w:rsidRPr="009D1C3A">
        <w:rPr>
          <w:lang w:val="en-GB"/>
        </w:rPr>
        <w:t xml:space="preserve"> s</w:t>
      </w:r>
      <w:r w:rsidRPr="009D1C3A">
        <w:rPr>
          <w:vertAlign w:val="superscript"/>
          <w:lang w:val="en-GB"/>
        </w:rPr>
        <w:t>-1</w:t>
      </w:r>
      <w:r w:rsidRPr="009D1C3A">
        <w:rPr>
          <w:lang w:val="en-GB"/>
        </w:rPr>
        <w:t xml:space="preserve"> mL</w:t>
      </w:r>
      <w:r w:rsidRPr="009D1C3A">
        <w:rPr>
          <w:vertAlign w:val="superscript"/>
          <w:lang w:val="en-GB"/>
        </w:rPr>
        <w:t>-1</w:t>
      </w:r>
      <w:r w:rsidRPr="009D1C3A">
        <w:rPr>
          <w:lang w:val="en-GB"/>
        </w:rPr>
        <w:t xml:space="preserve"> at 16°C/Low [O</w:t>
      </w:r>
      <w:r w:rsidRPr="009D1C3A">
        <w:rPr>
          <w:vertAlign w:val="subscript"/>
          <w:lang w:val="en-GB"/>
        </w:rPr>
        <w:t>2</w:t>
      </w:r>
      <w:r w:rsidRPr="009D1C3A">
        <w:rPr>
          <w:lang w:val="en-GB"/>
        </w:rPr>
        <w:t>]. This chemical auto-oxidation was removed from the respiratory fluxes after adding ascorbate and TMPD in presence of red muscle homogenate.</w:t>
      </w:r>
    </w:p>
    <w:p w14:paraId="494E032D" w14:textId="77777777" w:rsidR="009D1C3A" w:rsidRPr="009D1C3A" w:rsidRDefault="009D1C3A" w:rsidP="009D1C3A">
      <w:pPr>
        <w:rPr>
          <w:i/>
          <w:lang w:val="en-GB"/>
        </w:rPr>
      </w:pPr>
    </w:p>
    <w:p w14:paraId="50DCADB0" w14:textId="77777777" w:rsidR="009D1C3A" w:rsidRPr="009D1C3A" w:rsidRDefault="009D1C3A" w:rsidP="009D1C3A">
      <w:pPr>
        <w:rPr>
          <w:i/>
          <w:lang w:val="en-GB"/>
        </w:rPr>
      </w:pPr>
      <w:r w:rsidRPr="009D1C3A">
        <w:rPr>
          <w:i/>
          <w:lang w:val="en-GB"/>
        </w:rPr>
        <w:t>Determination of the affinity (Kd) of free magnesium for ADP and ATP</w:t>
      </w:r>
    </w:p>
    <w:p w14:paraId="3D0018B2" w14:textId="656A5A1E" w:rsidR="009D1C3A" w:rsidRPr="009D1C3A" w:rsidRDefault="009D1C3A" w:rsidP="009D1C3A">
      <w:pPr>
        <w:ind w:firstLine="708"/>
        <w:rPr>
          <w:lang w:val="en-GB"/>
        </w:rPr>
      </w:pPr>
      <w:r w:rsidRPr="009D1C3A">
        <w:rPr>
          <w:lang w:val="en-GB"/>
        </w:rPr>
        <w:t>The ATP concentration in the respirometry chamber was estimated from measurement of changes in free magnesium concentration, [Mg</w:t>
      </w:r>
      <w:r w:rsidRPr="009D1C3A">
        <w:rPr>
          <w:vertAlign w:val="superscript"/>
          <w:lang w:val="en-GB"/>
        </w:rPr>
        <w:t>2+</w:t>
      </w:r>
      <w:r w:rsidRPr="009D1C3A">
        <w:rPr>
          <w:lang w:val="en-GB"/>
        </w:rPr>
        <w:t>] and is based on the unequal affinities of ATP and ADP for [Mg</w:t>
      </w:r>
      <w:r w:rsidRPr="009D1C3A">
        <w:rPr>
          <w:vertAlign w:val="superscript"/>
          <w:lang w:val="en-GB"/>
        </w:rPr>
        <w:t>2+</w:t>
      </w:r>
      <w:r w:rsidRPr="009D1C3A">
        <w:rPr>
          <w:lang w:val="en-GB"/>
        </w:rPr>
        <w:t xml:space="preserve">] </w:t>
      </w:r>
      <w:r w:rsidRPr="009D1C3A">
        <w:rPr>
          <w:lang w:val="en-GB"/>
        </w:rPr>
        <w:fldChar w:fldCharType="begin" w:fldLock="1"/>
      </w:r>
      <w:r w:rsidR="00215FA6">
        <w:rPr>
          <w:lang w:val="en-GB"/>
        </w:rPr>
        <w:instrText>ADDIN CSL_CITATION {"citationItems":[{"id":"ITEM-1","itemData":{"author":[{"dropping-particle":"","family":"Leyssens","given":"Anne","non-dropping-particle":"","parse-names":false,"suffix":""},{"dropping-particle":"V","family":"Nowicky","given":"Alex","non-dropping-particle":"","parse-names":false,"suffix":""},{"dropping-particle":"","family":"Patterson","given":"Lilian","non-dropping-particle":"","parse-names":false,"suffix":""},{"dropping-particle":"","family":"Crompton","given":"Martin","non-dropping-particle":"","parse-names":false,"suffix":""},{"dropping-particle":"","family":"Duchen","given":"Michael R","non-dropping-particle":"","parse-names":false,"suffix":""}],"container-title":"Journal of Physiology","id":"ITEM-1","issued":{"date-parts":[["1996"]]},"page":"111-128","title":"The relationship between mitochondrial state, ATP hydrolysis, [Mg&lt;sup&gt;2+&lt;/sup&gt;]&lt;sub&gt;i&lt;/sub&gt; and [Ca&lt;sup&gt;2+&lt;/sup&gt;]&lt;sub&gt;i&lt;/sub&gt; studied in isolated rat cadiomyocytes","type":"article-journal","volume":"496.1"},"uris":["http://www.mendeley.com/documents/?uuid=e9525b2b-7291-4061-b788-1b2598f505cc"]}],"mendeley":{"formattedCitation":"[8]","plainTextFormattedCitation":"[8]","previouslyFormattedCitation":"[8]"},"properties":{"noteIndex":0},"schema":"https://github.com/citation-style-language/schema/raw/master/csl-citation.json"}</w:instrText>
      </w:r>
      <w:r w:rsidRPr="009D1C3A">
        <w:rPr>
          <w:lang w:val="en-GB"/>
        </w:rPr>
        <w:fldChar w:fldCharType="separate"/>
      </w:r>
      <w:r w:rsidR="00215FA6" w:rsidRPr="00215FA6">
        <w:rPr>
          <w:noProof/>
          <w:lang w:val="en-GB"/>
        </w:rPr>
        <w:t>[8]</w:t>
      </w:r>
      <w:r w:rsidRPr="009D1C3A">
        <w:rPr>
          <w:lang w:val="en-GB"/>
        </w:rPr>
        <w:fldChar w:fldCharType="end"/>
      </w:r>
      <w:r w:rsidRPr="009D1C3A">
        <w:rPr>
          <w:lang w:val="en-GB"/>
        </w:rPr>
        <w:t xml:space="preserve">. The method for determining the affinity of the magnesium with nucleotides was adapted from </w:t>
      </w:r>
      <w:r w:rsidRPr="009D1C3A">
        <w:rPr>
          <w:lang w:val="en-GB"/>
        </w:rPr>
        <w:fldChar w:fldCharType="begin" w:fldLock="1"/>
      </w:r>
      <w:r w:rsidR="00215FA6">
        <w:rPr>
          <w:lang w:val="en-GB"/>
        </w:rPr>
        <w:instrText>ADDIN CSL_CITATION {"citationItems":[{"id":"ITEM-1","itemData":{"DOI":"10.1016/B978-0-12-416618-9.00017-0","ISBN":"9780124166189","ISSN":"15577988","PMID":"24862274","abstract":"We have previously described a fluorometric method to measure ADP-ATP exchange rates in mitochondria of permeabilized cells, in which several enzymes that consume substantial amounts of ATP and other competing reactions interconverting adenine nucleotides are present. This method relies on recording changes in free extramitochondrial Mg2 + with the Mg 2 +-sensitive fluorescent indicator Magnesium Green (MgGr)™, exploiting the differential affinity of ADP and ATP for Mg2 +. In particular, cells are permeabilized with digitonin in the presence of BeF3 O and Na3VO4, inhibiting all ATP- and ADP-utilizing reactions but mitochondrial exchange of ATP with ADP catalyzed by the adenine nucleotide translocase. The rate of ATP appearing in the medium upon the addition of ADP to energized mitochondria is then calculated from the rate of change in free extramitochondrial Mg2 + using standard binding equations. Here, we describe a variant of this method involving an improved calibration step. This step minimizes errors that may be introduced during the conversion of the MgGr™ signal into free extramitochondrial [Mg 2 +] and ATP. Furthermore, we describe an approach for combining this methodology with the measurement of mitochondrial membrane potential and oxygen consumption in the same sample. The method described herein is useful for the study of malignant cells, which are known to thrive in hypoxic environments and to harbor mitochondria with profound functional alterations. © 2014 Elsevier Inc. All rights reserved.","author":[{"dropping-particle":"","family":"Chinopoulos","given":"Christos","non-dropping-particle":"","parse-names":false,"suffix":""},{"dropping-particle":"","family":"Kiss","given":"Gergely","non-dropping-particle":"","parse-names":false,"suffix":""},{"dropping-particle":"","family":"Kawamata","given":"Hibiki","non-dropping-particle":"","parse-names":false,"suffix":""},{"dropping-particle":"","family":"Starkov","given":"Anatoly A.","non-dropping-particle":"","parse-names":false,"suffix":""}],"container-title":"Methods in Enzymology","edition":"1","id":"ITEM-1","issued":{"date-parts":[["2014"]]},"page":"333-348","publisher":"Elsevier Inc.","title":"Measurement of ADP-ATP exchange in relation to mitochondrial transmembrane potential and oxygen consumption","type":"article-journal","volume":"542"},"uris":["http://www.mendeley.com/documents/?uuid=c737b3d8-a7c9-46c3-a45d-ff1fdc607e4e"]}],"mendeley":{"formattedCitation":"[9]","plainTextFormattedCitation":"[9]","previouslyFormattedCitation":"[9]"},"properties":{"noteIndex":0},"schema":"https://github.com/citation-style-language/schema/raw/master/csl-citation.json"}</w:instrText>
      </w:r>
      <w:r w:rsidRPr="009D1C3A">
        <w:rPr>
          <w:lang w:val="en-GB"/>
        </w:rPr>
        <w:fldChar w:fldCharType="separate"/>
      </w:r>
      <w:r w:rsidR="00215FA6" w:rsidRPr="00215FA6">
        <w:rPr>
          <w:noProof/>
          <w:lang w:val="en-GB"/>
        </w:rPr>
        <w:t>[9]</w:t>
      </w:r>
      <w:r w:rsidRPr="009D1C3A">
        <w:rPr>
          <w:lang w:val="en-GB"/>
        </w:rPr>
        <w:fldChar w:fldCharType="end"/>
      </w:r>
      <w:r w:rsidRPr="009D1C3A">
        <w:rPr>
          <w:lang w:val="en-GB"/>
        </w:rPr>
        <w:t xml:space="preserve">. Determination of </w:t>
      </w:r>
      <w:r w:rsidRPr="009D1C3A">
        <w:rPr>
          <w:i/>
          <w:lang w:val="en-GB"/>
        </w:rPr>
        <w:t>Kd</w:t>
      </w:r>
      <w:r w:rsidRPr="009D1C3A">
        <w:rPr>
          <w:lang w:val="en-GB"/>
        </w:rPr>
        <w:t xml:space="preserve"> was performed at 1 mg red muscle homogenate per mL of respiration buffer, in presence of carboxylatractyloside (4 µM), oligomycin (2 µg mL</w:t>
      </w:r>
      <w:r w:rsidRPr="009D1C3A">
        <w:rPr>
          <w:vertAlign w:val="superscript"/>
          <w:lang w:val="en-GB"/>
        </w:rPr>
        <w:t>-1</w:t>
      </w:r>
      <w:r w:rsidRPr="009D1C3A">
        <w:rPr>
          <w:lang w:val="en-GB"/>
        </w:rPr>
        <w:t>) and P1,P5 - Di(adenosine-5') pentaphosphate (Ap5A, 25 µM) to inhibit the adenylate nucleotide translocases, the ATP synthase and adenylate kinases, respectively. Pyruvate (5 mM) and malate (0.5 mM) were then injected, followed by the fluorescent probe MgGreen (2.2 µM). The calcium and magnesium ions were chelated by EGTA (0.1 mM) and EDTA (15 µM). MgCl</w:t>
      </w:r>
      <w:r w:rsidRPr="009D1C3A">
        <w:rPr>
          <w:vertAlign w:val="subscript"/>
          <w:lang w:val="en-GB"/>
        </w:rPr>
        <w:t>2</w:t>
      </w:r>
      <w:r w:rsidRPr="009D1C3A">
        <w:rPr>
          <w:lang w:val="en-GB"/>
        </w:rPr>
        <w:t xml:space="preserve"> was then added per 10-step addition (final concentration, C</w:t>
      </w:r>
      <w:r w:rsidRPr="009D1C3A">
        <w:rPr>
          <w:vertAlign w:val="subscript"/>
          <w:lang w:val="en-GB"/>
        </w:rPr>
        <w:t>f</w:t>
      </w:r>
      <w:r w:rsidRPr="009D1C3A">
        <w:rPr>
          <w:lang w:val="en-GB"/>
        </w:rPr>
        <w:t xml:space="preserve"> = 0.1 mM) for the calibration of the fluorescent signal into Mg</w:t>
      </w:r>
      <w:r w:rsidRPr="009D1C3A">
        <w:rPr>
          <w:vertAlign w:val="superscript"/>
          <w:lang w:val="en-GB"/>
        </w:rPr>
        <w:t>2+</w:t>
      </w:r>
      <w:r w:rsidRPr="009D1C3A">
        <w:rPr>
          <w:lang w:val="en-GB"/>
        </w:rPr>
        <w:t xml:space="preserve">. After addition of succinate (10 mM), the </w:t>
      </w:r>
      <w:r w:rsidRPr="009D1C3A">
        <w:rPr>
          <w:i/>
          <w:lang w:val="en-GB"/>
        </w:rPr>
        <w:t>Kd</w:t>
      </w:r>
      <w:r w:rsidRPr="009D1C3A">
        <w:rPr>
          <w:lang w:val="en-GB"/>
        </w:rPr>
        <w:t xml:space="preserve"> of Mg</w:t>
      </w:r>
      <w:r w:rsidRPr="009D1C3A">
        <w:rPr>
          <w:vertAlign w:val="superscript"/>
          <w:lang w:val="en-GB"/>
        </w:rPr>
        <w:t>2+</w:t>
      </w:r>
      <w:r w:rsidRPr="009D1C3A">
        <w:rPr>
          <w:lang w:val="en-GB"/>
        </w:rPr>
        <w:t xml:space="preserve"> for ATP and ADP was estimated with a 32-step addition of ATP (C</w:t>
      </w:r>
      <w:r w:rsidRPr="009D1C3A">
        <w:rPr>
          <w:vertAlign w:val="subscript"/>
          <w:lang w:val="en-GB"/>
        </w:rPr>
        <w:t>f</w:t>
      </w:r>
      <w:r w:rsidRPr="009D1C3A">
        <w:rPr>
          <w:lang w:val="en-GB"/>
        </w:rPr>
        <w:t xml:space="preserve"> = 6.4 mM) </w:t>
      </w:r>
      <w:r w:rsidRPr="009D1C3A">
        <w:rPr>
          <w:lang w:val="en-GB"/>
        </w:rPr>
        <w:lastRenderedPageBreak/>
        <w:t>and ADP (C</w:t>
      </w:r>
      <w:r w:rsidRPr="009D1C3A">
        <w:rPr>
          <w:vertAlign w:val="subscript"/>
          <w:lang w:val="en-GB"/>
        </w:rPr>
        <w:t>f</w:t>
      </w:r>
      <w:r w:rsidRPr="009D1C3A">
        <w:rPr>
          <w:lang w:val="en-GB"/>
        </w:rPr>
        <w:t xml:space="preserve"> = 8 mM), respectively. The </w:t>
      </w:r>
      <w:r w:rsidRPr="009D1C3A">
        <w:rPr>
          <w:i/>
          <w:lang w:val="en-GB"/>
        </w:rPr>
        <w:t>Kd</w:t>
      </w:r>
      <w:r w:rsidRPr="009D1C3A">
        <w:rPr>
          <w:lang w:val="en-GB"/>
        </w:rPr>
        <w:t xml:space="preserve"> of free magnesium for ATP (13°C= 0.266 mmol L</w:t>
      </w:r>
      <w:r w:rsidRPr="009D1C3A">
        <w:rPr>
          <w:vertAlign w:val="superscript"/>
          <w:lang w:val="en-GB"/>
        </w:rPr>
        <w:t>-1</w:t>
      </w:r>
      <w:r w:rsidRPr="009D1C3A">
        <w:rPr>
          <w:lang w:val="en-GB"/>
        </w:rPr>
        <w:t>, 16°C= 0.221 mmol L</w:t>
      </w:r>
      <w:r w:rsidRPr="009D1C3A">
        <w:rPr>
          <w:vertAlign w:val="superscript"/>
          <w:lang w:val="en-GB"/>
        </w:rPr>
        <w:t>-1</w:t>
      </w:r>
      <w:r w:rsidRPr="009D1C3A">
        <w:rPr>
          <w:lang w:val="en-GB"/>
        </w:rPr>
        <w:t>) and for ADP (13°C= 1.803 mmol L</w:t>
      </w:r>
      <w:r w:rsidRPr="009D1C3A">
        <w:rPr>
          <w:vertAlign w:val="superscript"/>
          <w:lang w:val="en-GB"/>
        </w:rPr>
        <w:t>-1</w:t>
      </w:r>
      <w:r w:rsidRPr="009D1C3A">
        <w:rPr>
          <w:lang w:val="en-GB"/>
        </w:rPr>
        <w:t>, 16°C= 1.886 mmol L</w:t>
      </w:r>
      <w:r w:rsidRPr="009D1C3A">
        <w:rPr>
          <w:vertAlign w:val="superscript"/>
          <w:lang w:val="en-GB"/>
        </w:rPr>
        <w:t>-1</w:t>
      </w:r>
      <w:r w:rsidRPr="009D1C3A">
        <w:rPr>
          <w:lang w:val="en-GB"/>
        </w:rPr>
        <w:t>) was estimated to convert Mg</w:t>
      </w:r>
      <w:r w:rsidRPr="009D1C3A">
        <w:rPr>
          <w:vertAlign w:val="superscript"/>
          <w:lang w:val="en-GB"/>
        </w:rPr>
        <w:t>2+</w:t>
      </w:r>
      <w:r w:rsidRPr="009D1C3A">
        <w:rPr>
          <w:lang w:val="en-GB"/>
        </w:rPr>
        <w:t xml:space="preserve"> signal into ATP flux (adapted from </w:t>
      </w:r>
      <w:r w:rsidRPr="009D1C3A">
        <w:rPr>
          <w:lang w:val="en-GB"/>
        </w:rPr>
        <w:fldChar w:fldCharType="begin" w:fldLock="1"/>
      </w:r>
      <w:r w:rsidR="00215FA6">
        <w:rPr>
          <w:lang w:val="en-GB"/>
        </w:rPr>
        <w:instrText>ADDIN CSL_CITATION {"citationItems":[{"id":"ITEM-1","itemData":{"DOI":"10.1016/B978-0-12-416618-9.00017-0","ISBN":"9780124166189","ISSN":"15577988","PMID":"24862274","abstract":"We have previously described a fluorometric method to measure ADP-ATP exchange rates in mitochondria of permeabilized cells, in which several enzymes that consume substantial amounts of ATP and other competing reactions interconverting adenine nucleotides are present. This method relies on recording changes in free extramitochondrial Mg2 + with the Mg 2 +-sensitive fluorescent indicator Magnesium Green (MgGr)™, exploiting the differential affinity of ADP and ATP for Mg2 +. In particular, cells are permeabilized with digitonin in the presence of BeF3 O and Na3VO4, inhibiting all ATP- and ADP-utilizing reactions but mitochondrial exchange of ATP with ADP catalyzed by the adenine nucleotide translocase. The rate of ATP appearing in the medium upon the addition of ADP to energized mitochondria is then calculated from the rate of change in free extramitochondrial Mg2 + using standard binding equations. Here, we describe a variant of this method involving an improved calibration step. This step minimizes errors that may be introduced during the conversion of the MgGr™ signal into free extramitochondrial [Mg 2 +] and ATP. Furthermore, we describe an approach for combining this methodology with the measurement of mitochondrial membrane potential and oxygen consumption in the same sample. The method described herein is useful for the study of malignant cells, which are known to thrive in hypoxic environments and to harbor mitochondria with profound functional alterations. © 2014 Elsevier Inc. All rights reserved.","author":[{"dropping-particle":"","family":"Chinopoulos","given":"Christos","non-dropping-particle":"","parse-names":false,"suffix":""},{"dropping-particle":"","family":"Kiss","given":"Gergely","non-dropping-particle":"","parse-names":false,"suffix":""},{"dropping-particle":"","family":"Kawamata","given":"Hibiki","non-dropping-particle":"","parse-names":false,"suffix":""},{"dropping-particle":"","family":"Starkov","given":"Anatoly A.","non-dropping-particle":"","parse-names":false,"suffix":""}],"container-title":"Methods in Enzymology","edition":"1","id":"ITEM-1","issued":{"date-parts":[["2014"]]},"page":"333-348","publisher":"Elsevier Inc.","title":"Measurement of ADP-ATP exchange in relation to mitochondrial transmembrane potential and oxygen consumption","type":"article-journal","volume":"542"},"uris":["http://www.mendeley.com/documents/?uuid=c737b3d8-a7c9-46c3-a45d-ff1fdc607e4e"]}],"mendeley":{"formattedCitation":"[9]","plainTextFormattedCitation":"[9]","previouslyFormattedCitation":"[9]"},"properties":{"noteIndex":0},"schema":"https://github.com/citation-style-language/schema/raw/master/csl-citation.json"}</w:instrText>
      </w:r>
      <w:r w:rsidRPr="009D1C3A">
        <w:rPr>
          <w:lang w:val="en-GB"/>
        </w:rPr>
        <w:fldChar w:fldCharType="separate"/>
      </w:r>
      <w:r w:rsidR="00215FA6" w:rsidRPr="00215FA6">
        <w:rPr>
          <w:noProof/>
          <w:lang w:val="en-GB"/>
        </w:rPr>
        <w:t>[9]</w:t>
      </w:r>
      <w:r w:rsidRPr="009D1C3A">
        <w:rPr>
          <w:lang w:val="en-GB"/>
        </w:rPr>
        <w:fldChar w:fldCharType="end"/>
      </w:r>
      <w:r w:rsidRPr="009D1C3A">
        <w:rPr>
          <w:lang w:val="en-GB"/>
        </w:rPr>
        <w:t xml:space="preserve">). </w:t>
      </w:r>
    </w:p>
    <w:p w14:paraId="47C043BF" w14:textId="77777777" w:rsidR="009D1C3A" w:rsidRPr="009D1C3A" w:rsidRDefault="009D1C3A" w:rsidP="009D1C3A">
      <w:pPr>
        <w:ind w:firstLine="708"/>
        <w:rPr>
          <w:lang w:val="en-GB"/>
        </w:rPr>
      </w:pPr>
    </w:p>
    <w:p w14:paraId="35F3E37C" w14:textId="77777777" w:rsidR="009D1C3A" w:rsidRPr="009D1C3A" w:rsidRDefault="009D1C3A" w:rsidP="009D1C3A">
      <w:pPr>
        <w:rPr>
          <w:lang w:val="en-GB"/>
        </w:rPr>
      </w:pPr>
      <w:r w:rsidRPr="009D1C3A">
        <w:rPr>
          <w:b/>
          <w:lang w:val="en-GB"/>
        </w:rPr>
        <w:t xml:space="preserve">Table S1. Minimum and maximum oxygen levels reached in the respirometry chamber, for each temperature and oxygen conditions. </w:t>
      </w:r>
      <w:r w:rsidRPr="009D1C3A">
        <w:rPr>
          <w:lang w:val="en-GB"/>
        </w:rPr>
        <w:t xml:space="preserve">The oxygen levels are expressed in mean </w:t>
      </w:r>
      <w:r w:rsidRPr="009D1C3A">
        <w:rPr>
          <w:rFonts w:cs="Times New Roman"/>
          <w:lang w:val="en-GB"/>
        </w:rPr>
        <w:t>±</w:t>
      </w:r>
      <w:r w:rsidRPr="009D1C3A">
        <w:rPr>
          <w:lang w:val="en-GB"/>
        </w:rPr>
        <w:t xml:space="preserve"> SD µmol O</w:t>
      </w:r>
      <w:r w:rsidRPr="009D1C3A">
        <w:rPr>
          <w:vertAlign w:val="subscript"/>
          <w:lang w:val="en-GB"/>
        </w:rPr>
        <w:t>2</w:t>
      </w:r>
      <w:r w:rsidRPr="009D1C3A">
        <w:rPr>
          <w:lang w:val="en-GB"/>
        </w:rPr>
        <w:t xml:space="preserve"> L</w:t>
      </w:r>
      <w:r w:rsidRPr="009D1C3A">
        <w:rPr>
          <w:vertAlign w:val="superscript"/>
          <w:lang w:val="en-GB"/>
        </w:rPr>
        <w:t>-1</w:t>
      </w:r>
      <w:r w:rsidRPr="009D1C3A">
        <w:rPr>
          <w:lang w:val="en-GB"/>
        </w:rPr>
        <w:t>.</w:t>
      </w:r>
    </w:p>
    <w:tbl>
      <w:tblPr>
        <w:tblStyle w:val="Grilledutableau"/>
        <w:tblW w:w="0" w:type="auto"/>
        <w:shd w:val="clear" w:color="auto" w:fill="FFFFFF" w:themeFill="background1"/>
        <w:tblLook w:val="04A0" w:firstRow="1" w:lastRow="0" w:firstColumn="1" w:lastColumn="0" w:noHBand="0" w:noVBand="1"/>
      </w:tblPr>
      <w:tblGrid>
        <w:gridCol w:w="1555"/>
        <w:gridCol w:w="2126"/>
        <w:gridCol w:w="2693"/>
        <w:gridCol w:w="2686"/>
      </w:tblGrid>
      <w:tr w:rsidR="009D1C3A" w:rsidRPr="009D1C3A" w14:paraId="4D137DA8" w14:textId="77777777" w:rsidTr="00DB32AA">
        <w:trPr>
          <w:trHeight w:val="449"/>
        </w:trPr>
        <w:tc>
          <w:tcPr>
            <w:tcW w:w="1555" w:type="dxa"/>
            <w:shd w:val="clear" w:color="auto" w:fill="FFFFFF" w:themeFill="background1"/>
            <w:vAlign w:val="center"/>
          </w:tcPr>
          <w:p w14:paraId="686AD181" w14:textId="77777777" w:rsidR="009D1C3A" w:rsidRPr="009D1C3A" w:rsidRDefault="009D1C3A" w:rsidP="00DB32AA">
            <w:pPr>
              <w:pStyle w:val="Sansinterligne"/>
              <w:jc w:val="center"/>
              <w:rPr>
                <w:lang w:val="en-GB"/>
              </w:rPr>
            </w:pPr>
            <w:r w:rsidRPr="009D1C3A">
              <w:rPr>
                <w:lang w:val="en-GB"/>
              </w:rPr>
              <w:t>Temperature</w:t>
            </w:r>
          </w:p>
        </w:tc>
        <w:tc>
          <w:tcPr>
            <w:tcW w:w="2126" w:type="dxa"/>
            <w:shd w:val="clear" w:color="auto" w:fill="FFFFFF" w:themeFill="background1"/>
            <w:vAlign w:val="center"/>
          </w:tcPr>
          <w:p w14:paraId="64F42A50" w14:textId="77777777" w:rsidR="009D1C3A" w:rsidRPr="009D1C3A" w:rsidRDefault="009D1C3A" w:rsidP="00DB32AA">
            <w:pPr>
              <w:pStyle w:val="Sansinterligne"/>
              <w:jc w:val="center"/>
              <w:rPr>
                <w:lang w:val="en-GB"/>
              </w:rPr>
            </w:pPr>
            <w:r w:rsidRPr="009D1C3A">
              <w:rPr>
                <w:lang w:val="en-GB"/>
              </w:rPr>
              <w:t>Oxygen conditions</w:t>
            </w:r>
          </w:p>
        </w:tc>
        <w:tc>
          <w:tcPr>
            <w:tcW w:w="2693" w:type="dxa"/>
            <w:shd w:val="clear" w:color="auto" w:fill="FFFFFF" w:themeFill="background1"/>
            <w:vAlign w:val="center"/>
          </w:tcPr>
          <w:p w14:paraId="060820D9" w14:textId="77777777" w:rsidR="009D1C3A" w:rsidRPr="009D1C3A" w:rsidRDefault="009D1C3A" w:rsidP="00DB32AA">
            <w:pPr>
              <w:pStyle w:val="Sansinterligne"/>
              <w:jc w:val="center"/>
              <w:rPr>
                <w:lang w:val="en-GB"/>
              </w:rPr>
            </w:pPr>
            <w:r w:rsidRPr="009D1C3A">
              <w:rPr>
                <w:lang w:val="en-GB"/>
              </w:rPr>
              <w:t>Minimum [O</w:t>
            </w:r>
            <w:r w:rsidRPr="009D1C3A">
              <w:rPr>
                <w:vertAlign w:val="subscript"/>
                <w:lang w:val="en-GB"/>
              </w:rPr>
              <w:t>2</w:t>
            </w:r>
            <w:r w:rsidRPr="009D1C3A">
              <w:rPr>
                <w:lang w:val="en-GB"/>
              </w:rPr>
              <w:t>]</w:t>
            </w:r>
          </w:p>
        </w:tc>
        <w:tc>
          <w:tcPr>
            <w:tcW w:w="2686" w:type="dxa"/>
            <w:shd w:val="clear" w:color="auto" w:fill="FFFFFF" w:themeFill="background1"/>
            <w:vAlign w:val="center"/>
          </w:tcPr>
          <w:p w14:paraId="00E0D9E3" w14:textId="77777777" w:rsidR="009D1C3A" w:rsidRPr="009D1C3A" w:rsidRDefault="009D1C3A" w:rsidP="00DB32AA">
            <w:pPr>
              <w:pStyle w:val="Sansinterligne"/>
              <w:jc w:val="center"/>
              <w:rPr>
                <w:lang w:val="en-GB"/>
              </w:rPr>
            </w:pPr>
            <w:r w:rsidRPr="009D1C3A">
              <w:rPr>
                <w:lang w:val="en-GB"/>
              </w:rPr>
              <w:t>Maximum [O</w:t>
            </w:r>
            <w:r w:rsidRPr="009D1C3A">
              <w:rPr>
                <w:vertAlign w:val="subscript"/>
                <w:lang w:val="en-GB"/>
              </w:rPr>
              <w:t>2</w:t>
            </w:r>
            <w:r w:rsidRPr="009D1C3A">
              <w:rPr>
                <w:lang w:val="en-GB"/>
              </w:rPr>
              <w:t>]</w:t>
            </w:r>
          </w:p>
        </w:tc>
      </w:tr>
      <w:tr w:rsidR="009D1C3A" w:rsidRPr="009D1C3A" w14:paraId="346FDE29" w14:textId="77777777" w:rsidTr="00DB32AA">
        <w:trPr>
          <w:trHeight w:val="413"/>
        </w:trPr>
        <w:tc>
          <w:tcPr>
            <w:tcW w:w="1555" w:type="dxa"/>
            <w:shd w:val="clear" w:color="auto" w:fill="FFFFFF" w:themeFill="background1"/>
            <w:vAlign w:val="center"/>
          </w:tcPr>
          <w:p w14:paraId="7FC8659A" w14:textId="77777777" w:rsidR="009D1C3A" w:rsidRPr="009D1C3A" w:rsidRDefault="009D1C3A" w:rsidP="00DB32AA">
            <w:pPr>
              <w:pStyle w:val="Sansinterligne"/>
              <w:jc w:val="center"/>
              <w:rPr>
                <w:lang w:val="en-GB"/>
              </w:rPr>
            </w:pPr>
            <w:r w:rsidRPr="009D1C3A">
              <w:rPr>
                <w:lang w:val="en-GB"/>
              </w:rPr>
              <w:t>13°C</w:t>
            </w:r>
          </w:p>
        </w:tc>
        <w:tc>
          <w:tcPr>
            <w:tcW w:w="2126" w:type="dxa"/>
            <w:shd w:val="clear" w:color="auto" w:fill="FFFFFF" w:themeFill="background1"/>
            <w:vAlign w:val="center"/>
          </w:tcPr>
          <w:p w14:paraId="45EECCDD" w14:textId="77777777" w:rsidR="009D1C3A" w:rsidRPr="009D1C3A" w:rsidRDefault="009D1C3A" w:rsidP="00DB32AA">
            <w:pPr>
              <w:pStyle w:val="Sansinterligne"/>
              <w:jc w:val="center"/>
              <w:rPr>
                <w:lang w:val="en-GB"/>
              </w:rPr>
            </w:pPr>
            <w:r w:rsidRPr="009D1C3A">
              <w:rPr>
                <w:lang w:val="en-GB"/>
              </w:rPr>
              <w:t>High [O</w:t>
            </w:r>
            <w:r w:rsidRPr="009D1C3A">
              <w:rPr>
                <w:vertAlign w:val="subscript"/>
                <w:lang w:val="en-GB"/>
              </w:rPr>
              <w:t>2</w:t>
            </w:r>
            <w:r w:rsidRPr="009D1C3A">
              <w:rPr>
                <w:lang w:val="en-GB"/>
              </w:rPr>
              <w:t>]</w:t>
            </w:r>
          </w:p>
        </w:tc>
        <w:tc>
          <w:tcPr>
            <w:tcW w:w="2693" w:type="dxa"/>
            <w:shd w:val="clear" w:color="auto" w:fill="FFFFFF" w:themeFill="background1"/>
            <w:vAlign w:val="center"/>
          </w:tcPr>
          <w:p w14:paraId="7536274E" w14:textId="77777777" w:rsidR="009D1C3A" w:rsidRPr="009D1C3A" w:rsidRDefault="009D1C3A" w:rsidP="00DB32AA">
            <w:pPr>
              <w:pStyle w:val="Sansinterligne"/>
              <w:jc w:val="center"/>
              <w:rPr>
                <w:rFonts w:cs="Times New Roman"/>
                <w:lang w:val="en-GB"/>
              </w:rPr>
            </w:pPr>
            <w:r w:rsidRPr="009D1C3A">
              <w:rPr>
                <w:lang w:val="en-GB"/>
              </w:rPr>
              <w:t xml:space="preserve">287.9 </w:t>
            </w:r>
            <w:r w:rsidRPr="009D1C3A">
              <w:rPr>
                <w:rFonts w:cs="Times New Roman"/>
                <w:lang w:val="en-GB"/>
              </w:rPr>
              <w:t>± 45.0</w:t>
            </w:r>
          </w:p>
        </w:tc>
        <w:tc>
          <w:tcPr>
            <w:tcW w:w="2686" w:type="dxa"/>
            <w:shd w:val="clear" w:color="auto" w:fill="FFFFFF" w:themeFill="background1"/>
            <w:vAlign w:val="center"/>
          </w:tcPr>
          <w:p w14:paraId="398EC031" w14:textId="77777777" w:rsidR="009D1C3A" w:rsidRPr="009D1C3A" w:rsidRDefault="009D1C3A" w:rsidP="00DB32AA">
            <w:pPr>
              <w:pStyle w:val="Sansinterligne"/>
              <w:jc w:val="center"/>
              <w:rPr>
                <w:rFonts w:cs="Times New Roman"/>
                <w:lang w:val="en-GB"/>
              </w:rPr>
            </w:pPr>
            <w:r w:rsidRPr="009D1C3A">
              <w:rPr>
                <w:lang w:val="en-GB"/>
              </w:rPr>
              <w:t xml:space="preserve">552.4 </w:t>
            </w:r>
            <w:r w:rsidRPr="009D1C3A">
              <w:rPr>
                <w:rFonts w:cs="Times New Roman"/>
                <w:lang w:val="en-GB"/>
              </w:rPr>
              <w:t>± 51.3</w:t>
            </w:r>
          </w:p>
        </w:tc>
      </w:tr>
      <w:tr w:rsidR="009D1C3A" w:rsidRPr="009D1C3A" w14:paraId="780F2628" w14:textId="77777777" w:rsidTr="00DB32AA">
        <w:trPr>
          <w:trHeight w:val="413"/>
        </w:trPr>
        <w:tc>
          <w:tcPr>
            <w:tcW w:w="1555" w:type="dxa"/>
            <w:shd w:val="clear" w:color="auto" w:fill="FFFFFF" w:themeFill="background1"/>
            <w:vAlign w:val="center"/>
          </w:tcPr>
          <w:p w14:paraId="42AA93E0" w14:textId="77777777" w:rsidR="009D1C3A" w:rsidRPr="009D1C3A" w:rsidRDefault="009D1C3A" w:rsidP="00DB32AA">
            <w:pPr>
              <w:pStyle w:val="Sansinterligne"/>
              <w:jc w:val="center"/>
              <w:rPr>
                <w:lang w:val="en-GB"/>
              </w:rPr>
            </w:pPr>
            <w:r w:rsidRPr="009D1C3A">
              <w:rPr>
                <w:lang w:val="en-GB"/>
              </w:rPr>
              <w:t>13°C</w:t>
            </w:r>
          </w:p>
        </w:tc>
        <w:tc>
          <w:tcPr>
            <w:tcW w:w="2126" w:type="dxa"/>
            <w:shd w:val="clear" w:color="auto" w:fill="FFFFFF" w:themeFill="background1"/>
            <w:vAlign w:val="center"/>
          </w:tcPr>
          <w:p w14:paraId="24F7CF12" w14:textId="77777777" w:rsidR="009D1C3A" w:rsidRPr="009D1C3A" w:rsidRDefault="009D1C3A" w:rsidP="00DB32AA">
            <w:pPr>
              <w:pStyle w:val="Sansinterligne"/>
              <w:jc w:val="center"/>
              <w:rPr>
                <w:lang w:val="en-GB"/>
              </w:rPr>
            </w:pPr>
            <w:r w:rsidRPr="009D1C3A">
              <w:rPr>
                <w:lang w:val="en-GB"/>
              </w:rPr>
              <w:t>Low [O</w:t>
            </w:r>
            <w:r w:rsidRPr="009D1C3A">
              <w:rPr>
                <w:vertAlign w:val="subscript"/>
                <w:lang w:val="en-GB"/>
              </w:rPr>
              <w:t>2</w:t>
            </w:r>
            <w:r w:rsidRPr="009D1C3A">
              <w:rPr>
                <w:lang w:val="en-GB"/>
              </w:rPr>
              <w:t>]</w:t>
            </w:r>
          </w:p>
        </w:tc>
        <w:tc>
          <w:tcPr>
            <w:tcW w:w="2693" w:type="dxa"/>
            <w:shd w:val="clear" w:color="auto" w:fill="FFFFFF" w:themeFill="background1"/>
            <w:vAlign w:val="center"/>
          </w:tcPr>
          <w:p w14:paraId="51CF9F15" w14:textId="77777777" w:rsidR="009D1C3A" w:rsidRPr="009D1C3A" w:rsidRDefault="009D1C3A" w:rsidP="00DB32AA">
            <w:pPr>
              <w:pStyle w:val="Sansinterligne"/>
              <w:jc w:val="center"/>
              <w:rPr>
                <w:lang w:val="en-GB"/>
              </w:rPr>
            </w:pPr>
            <w:r w:rsidRPr="009D1C3A">
              <w:rPr>
                <w:lang w:val="en-GB"/>
              </w:rPr>
              <w:t xml:space="preserve">177.1 </w:t>
            </w:r>
            <w:r w:rsidRPr="009D1C3A">
              <w:rPr>
                <w:rFonts w:cs="Times New Roman"/>
                <w:lang w:val="en-GB"/>
              </w:rPr>
              <w:t>± 28.0</w:t>
            </w:r>
          </w:p>
        </w:tc>
        <w:tc>
          <w:tcPr>
            <w:tcW w:w="2686" w:type="dxa"/>
            <w:shd w:val="clear" w:color="auto" w:fill="FFFFFF" w:themeFill="background1"/>
            <w:vAlign w:val="center"/>
          </w:tcPr>
          <w:p w14:paraId="2516D5A7" w14:textId="77777777" w:rsidR="009D1C3A" w:rsidRPr="009D1C3A" w:rsidRDefault="009D1C3A" w:rsidP="00DB32AA">
            <w:pPr>
              <w:pStyle w:val="Sansinterligne"/>
              <w:jc w:val="center"/>
              <w:rPr>
                <w:lang w:val="en-GB"/>
              </w:rPr>
            </w:pPr>
            <w:r w:rsidRPr="009D1C3A">
              <w:rPr>
                <w:lang w:val="en-GB"/>
              </w:rPr>
              <w:t xml:space="preserve">288.3 </w:t>
            </w:r>
            <w:r w:rsidRPr="009D1C3A">
              <w:rPr>
                <w:rFonts w:cs="Times New Roman"/>
                <w:lang w:val="en-GB"/>
              </w:rPr>
              <w:t>± 5.4</w:t>
            </w:r>
          </w:p>
        </w:tc>
      </w:tr>
      <w:tr w:rsidR="009D1C3A" w:rsidRPr="009D1C3A" w14:paraId="77B86798" w14:textId="77777777" w:rsidTr="00DB32AA">
        <w:trPr>
          <w:trHeight w:val="405"/>
        </w:trPr>
        <w:tc>
          <w:tcPr>
            <w:tcW w:w="1555" w:type="dxa"/>
            <w:shd w:val="clear" w:color="auto" w:fill="FFFFFF" w:themeFill="background1"/>
            <w:vAlign w:val="center"/>
          </w:tcPr>
          <w:p w14:paraId="7837B919" w14:textId="77777777" w:rsidR="009D1C3A" w:rsidRPr="009D1C3A" w:rsidRDefault="009D1C3A" w:rsidP="00DB32AA">
            <w:pPr>
              <w:pStyle w:val="Sansinterligne"/>
              <w:jc w:val="center"/>
              <w:rPr>
                <w:lang w:val="en-GB"/>
              </w:rPr>
            </w:pPr>
            <w:r w:rsidRPr="009D1C3A">
              <w:rPr>
                <w:lang w:val="en-GB"/>
              </w:rPr>
              <w:t>16°C</w:t>
            </w:r>
          </w:p>
        </w:tc>
        <w:tc>
          <w:tcPr>
            <w:tcW w:w="2126" w:type="dxa"/>
            <w:shd w:val="clear" w:color="auto" w:fill="FFFFFF" w:themeFill="background1"/>
            <w:vAlign w:val="center"/>
          </w:tcPr>
          <w:p w14:paraId="0CC4FBEE" w14:textId="77777777" w:rsidR="009D1C3A" w:rsidRPr="009D1C3A" w:rsidRDefault="009D1C3A" w:rsidP="00DB32AA">
            <w:pPr>
              <w:pStyle w:val="Sansinterligne"/>
              <w:jc w:val="center"/>
              <w:rPr>
                <w:lang w:val="en-GB"/>
              </w:rPr>
            </w:pPr>
            <w:r w:rsidRPr="009D1C3A">
              <w:rPr>
                <w:lang w:val="en-GB"/>
              </w:rPr>
              <w:t>High [O</w:t>
            </w:r>
            <w:r w:rsidRPr="009D1C3A">
              <w:rPr>
                <w:vertAlign w:val="subscript"/>
                <w:lang w:val="en-GB"/>
              </w:rPr>
              <w:t>2</w:t>
            </w:r>
            <w:r w:rsidRPr="009D1C3A">
              <w:rPr>
                <w:lang w:val="en-GB"/>
              </w:rPr>
              <w:t>]</w:t>
            </w:r>
          </w:p>
        </w:tc>
        <w:tc>
          <w:tcPr>
            <w:tcW w:w="2693" w:type="dxa"/>
            <w:shd w:val="clear" w:color="auto" w:fill="FFFFFF" w:themeFill="background1"/>
            <w:vAlign w:val="center"/>
          </w:tcPr>
          <w:p w14:paraId="7C019912" w14:textId="77777777" w:rsidR="009D1C3A" w:rsidRPr="009D1C3A" w:rsidRDefault="009D1C3A" w:rsidP="00DB32AA">
            <w:pPr>
              <w:pStyle w:val="Sansinterligne"/>
              <w:jc w:val="center"/>
              <w:rPr>
                <w:lang w:val="en-GB"/>
              </w:rPr>
            </w:pPr>
            <w:r w:rsidRPr="009D1C3A">
              <w:rPr>
                <w:lang w:val="en-GB"/>
              </w:rPr>
              <w:t xml:space="preserve">243.4 </w:t>
            </w:r>
            <w:r w:rsidRPr="009D1C3A">
              <w:rPr>
                <w:rFonts w:cs="Times New Roman"/>
                <w:lang w:val="en-GB"/>
              </w:rPr>
              <w:t>± 63.0</w:t>
            </w:r>
          </w:p>
        </w:tc>
        <w:tc>
          <w:tcPr>
            <w:tcW w:w="2686" w:type="dxa"/>
            <w:shd w:val="clear" w:color="auto" w:fill="FFFFFF" w:themeFill="background1"/>
            <w:vAlign w:val="center"/>
          </w:tcPr>
          <w:p w14:paraId="645A4FE8" w14:textId="77777777" w:rsidR="009D1C3A" w:rsidRPr="009D1C3A" w:rsidRDefault="009D1C3A" w:rsidP="00DB32AA">
            <w:pPr>
              <w:pStyle w:val="Sansinterligne"/>
              <w:jc w:val="center"/>
              <w:rPr>
                <w:rFonts w:cs="Times New Roman"/>
                <w:lang w:val="en-GB"/>
              </w:rPr>
            </w:pPr>
            <w:r w:rsidRPr="009D1C3A">
              <w:rPr>
                <w:lang w:val="en-GB"/>
              </w:rPr>
              <w:t xml:space="preserve">557.7 </w:t>
            </w:r>
            <w:r w:rsidRPr="009D1C3A">
              <w:rPr>
                <w:rFonts w:cs="Times New Roman"/>
                <w:lang w:val="en-GB"/>
              </w:rPr>
              <w:t>± 33.2</w:t>
            </w:r>
          </w:p>
        </w:tc>
      </w:tr>
      <w:tr w:rsidR="009D1C3A" w:rsidRPr="009D1C3A" w14:paraId="5D5944EE" w14:textId="77777777" w:rsidTr="00DB32AA">
        <w:trPr>
          <w:trHeight w:val="424"/>
        </w:trPr>
        <w:tc>
          <w:tcPr>
            <w:tcW w:w="1555" w:type="dxa"/>
            <w:shd w:val="clear" w:color="auto" w:fill="FFFFFF" w:themeFill="background1"/>
            <w:vAlign w:val="center"/>
          </w:tcPr>
          <w:p w14:paraId="786B3D22" w14:textId="77777777" w:rsidR="009D1C3A" w:rsidRPr="009D1C3A" w:rsidRDefault="009D1C3A" w:rsidP="00DB32AA">
            <w:pPr>
              <w:pStyle w:val="Sansinterligne"/>
              <w:jc w:val="center"/>
              <w:rPr>
                <w:lang w:val="en-GB"/>
              </w:rPr>
            </w:pPr>
            <w:r w:rsidRPr="009D1C3A">
              <w:rPr>
                <w:lang w:val="en-GB"/>
              </w:rPr>
              <w:t>16°C</w:t>
            </w:r>
          </w:p>
        </w:tc>
        <w:tc>
          <w:tcPr>
            <w:tcW w:w="2126" w:type="dxa"/>
            <w:shd w:val="clear" w:color="auto" w:fill="FFFFFF" w:themeFill="background1"/>
            <w:vAlign w:val="center"/>
          </w:tcPr>
          <w:p w14:paraId="45153890" w14:textId="77777777" w:rsidR="009D1C3A" w:rsidRPr="009D1C3A" w:rsidRDefault="009D1C3A" w:rsidP="00DB32AA">
            <w:pPr>
              <w:pStyle w:val="Sansinterligne"/>
              <w:jc w:val="center"/>
              <w:rPr>
                <w:lang w:val="en-GB"/>
              </w:rPr>
            </w:pPr>
            <w:r w:rsidRPr="009D1C3A">
              <w:rPr>
                <w:lang w:val="en-GB"/>
              </w:rPr>
              <w:t>Low [O</w:t>
            </w:r>
            <w:r w:rsidRPr="009D1C3A">
              <w:rPr>
                <w:vertAlign w:val="subscript"/>
                <w:lang w:val="en-GB"/>
              </w:rPr>
              <w:t>2</w:t>
            </w:r>
            <w:r w:rsidRPr="009D1C3A">
              <w:rPr>
                <w:lang w:val="en-GB"/>
              </w:rPr>
              <w:t>]</w:t>
            </w:r>
          </w:p>
        </w:tc>
        <w:tc>
          <w:tcPr>
            <w:tcW w:w="2693" w:type="dxa"/>
            <w:shd w:val="clear" w:color="auto" w:fill="FFFFFF" w:themeFill="background1"/>
            <w:vAlign w:val="center"/>
          </w:tcPr>
          <w:p w14:paraId="5A27C5DA" w14:textId="77777777" w:rsidR="009D1C3A" w:rsidRPr="009D1C3A" w:rsidRDefault="009D1C3A" w:rsidP="00DB32AA">
            <w:pPr>
              <w:pStyle w:val="Sansinterligne"/>
              <w:jc w:val="center"/>
              <w:rPr>
                <w:lang w:val="en-GB"/>
              </w:rPr>
            </w:pPr>
            <w:r w:rsidRPr="009D1C3A">
              <w:rPr>
                <w:lang w:val="en-GB"/>
              </w:rPr>
              <w:t xml:space="preserve">117.8 </w:t>
            </w:r>
            <w:r w:rsidRPr="009D1C3A">
              <w:rPr>
                <w:rFonts w:cs="Times New Roman"/>
                <w:lang w:val="en-GB"/>
              </w:rPr>
              <w:t>± 54.4</w:t>
            </w:r>
          </w:p>
        </w:tc>
        <w:tc>
          <w:tcPr>
            <w:tcW w:w="2686" w:type="dxa"/>
            <w:shd w:val="clear" w:color="auto" w:fill="FFFFFF" w:themeFill="background1"/>
            <w:vAlign w:val="center"/>
          </w:tcPr>
          <w:p w14:paraId="42DE185B" w14:textId="77777777" w:rsidR="009D1C3A" w:rsidRPr="009D1C3A" w:rsidRDefault="009D1C3A" w:rsidP="00DB32AA">
            <w:pPr>
              <w:pStyle w:val="Sansinterligne"/>
              <w:jc w:val="center"/>
              <w:rPr>
                <w:rFonts w:cs="Times New Roman"/>
                <w:lang w:val="en-GB"/>
              </w:rPr>
            </w:pPr>
            <w:r w:rsidRPr="009D1C3A">
              <w:rPr>
                <w:lang w:val="en-GB"/>
              </w:rPr>
              <w:t xml:space="preserve">263.4 </w:t>
            </w:r>
            <w:r w:rsidRPr="009D1C3A">
              <w:rPr>
                <w:rFonts w:cs="Times New Roman"/>
                <w:lang w:val="en-GB"/>
              </w:rPr>
              <w:t>± 7.6</w:t>
            </w:r>
          </w:p>
        </w:tc>
      </w:tr>
    </w:tbl>
    <w:p w14:paraId="44B6518D" w14:textId="77777777" w:rsidR="009D1C3A" w:rsidRPr="009D1C3A" w:rsidRDefault="009D1C3A" w:rsidP="009D1C3A">
      <w:pPr>
        <w:rPr>
          <w:lang w:val="en-GB"/>
        </w:rPr>
      </w:pPr>
    </w:p>
    <w:p w14:paraId="21636810" w14:textId="77777777" w:rsidR="009D1C3A" w:rsidRPr="009D1C3A" w:rsidRDefault="009D1C3A" w:rsidP="009D1C3A">
      <w:pPr>
        <w:rPr>
          <w:b/>
          <w:lang w:val="en-GB"/>
        </w:rPr>
      </w:pPr>
      <w:r w:rsidRPr="009D1C3A">
        <w:rPr>
          <w:b/>
          <w:lang w:val="en-GB"/>
        </w:rPr>
        <w:t>References</w:t>
      </w:r>
    </w:p>
    <w:p w14:paraId="6BC074F9" w14:textId="28D74FD5" w:rsidR="00215FA6" w:rsidRPr="0080317B" w:rsidRDefault="009D1C3A" w:rsidP="00215FA6">
      <w:pPr>
        <w:widowControl w:val="0"/>
        <w:autoSpaceDE w:val="0"/>
        <w:autoSpaceDN w:val="0"/>
        <w:adjustRightInd w:val="0"/>
        <w:ind w:left="640" w:hanging="640"/>
        <w:rPr>
          <w:rFonts w:cs="Times New Roman"/>
          <w:noProof/>
          <w:szCs w:val="24"/>
          <w:lang w:val="en-GB"/>
        </w:rPr>
      </w:pPr>
      <w:r w:rsidRPr="009D1C3A">
        <w:rPr>
          <w:lang w:val="en-GB"/>
        </w:rPr>
        <w:fldChar w:fldCharType="begin" w:fldLock="1"/>
      </w:r>
      <w:r w:rsidRPr="009D1C3A">
        <w:instrText xml:space="preserve">ADDIN Mendeley Bibliography CSL_BIBLIOGRAPHY </w:instrText>
      </w:r>
      <w:r w:rsidRPr="009D1C3A">
        <w:rPr>
          <w:lang w:val="en-GB"/>
        </w:rPr>
        <w:fldChar w:fldCharType="separate"/>
      </w:r>
      <w:r w:rsidR="00215FA6" w:rsidRPr="00215FA6">
        <w:rPr>
          <w:rFonts w:cs="Times New Roman"/>
          <w:noProof/>
          <w:szCs w:val="24"/>
        </w:rPr>
        <w:t>1.</w:t>
      </w:r>
      <w:r w:rsidR="00215FA6" w:rsidRPr="00215FA6">
        <w:rPr>
          <w:rFonts w:cs="Times New Roman"/>
          <w:noProof/>
          <w:szCs w:val="24"/>
        </w:rPr>
        <w:tab/>
        <w:t xml:space="preserve">Petton S, Le Roy V, Bellec G, Queau I, Le Souchu P, Pouvreau S. 2018 Marine environmental station database of Daoulas bay. </w:t>
      </w:r>
      <w:r w:rsidR="00215FA6" w:rsidRPr="0080317B">
        <w:rPr>
          <w:rFonts w:cs="Times New Roman"/>
          <w:noProof/>
          <w:szCs w:val="24"/>
          <w:lang w:val="en-GB"/>
        </w:rPr>
        <w:t>(doi:10.17882/42493)</w:t>
      </w:r>
    </w:p>
    <w:p w14:paraId="515476AF" w14:textId="77777777" w:rsidR="00215FA6" w:rsidRPr="0080317B" w:rsidRDefault="00215FA6" w:rsidP="00215FA6">
      <w:pPr>
        <w:widowControl w:val="0"/>
        <w:autoSpaceDE w:val="0"/>
        <w:autoSpaceDN w:val="0"/>
        <w:adjustRightInd w:val="0"/>
        <w:ind w:left="640" w:hanging="640"/>
        <w:rPr>
          <w:rFonts w:cs="Times New Roman"/>
          <w:noProof/>
          <w:szCs w:val="24"/>
          <w:lang w:val="en-GB"/>
        </w:rPr>
      </w:pPr>
      <w:r w:rsidRPr="0080317B">
        <w:rPr>
          <w:rFonts w:cs="Times New Roman"/>
          <w:noProof/>
          <w:szCs w:val="24"/>
          <w:lang w:val="en-GB"/>
        </w:rPr>
        <w:t>2.</w:t>
      </w:r>
      <w:r w:rsidRPr="0080317B">
        <w:rPr>
          <w:rFonts w:cs="Times New Roman"/>
          <w:noProof/>
          <w:szCs w:val="24"/>
          <w:lang w:val="en-GB"/>
        </w:rPr>
        <w:tab/>
        <w:t xml:space="preserve">Hoseini SM, Rajabiesterabadi H, Tarkhani R. 2015 Anaesthetic efficacy of eugenol on iridescent shark, </w:t>
      </w:r>
      <w:r w:rsidRPr="0080317B">
        <w:rPr>
          <w:rFonts w:cs="Times New Roman"/>
          <w:i/>
          <w:iCs/>
          <w:noProof/>
          <w:szCs w:val="24"/>
          <w:lang w:val="en-GB"/>
        </w:rPr>
        <w:t>Pangasius hypophthalmus</w:t>
      </w:r>
      <w:r w:rsidRPr="0080317B">
        <w:rPr>
          <w:rFonts w:cs="Times New Roman"/>
          <w:noProof/>
          <w:szCs w:val="24"/>
          <w:lang w:val="en-GB"/>
        </w:rPr>
        <w:t xml:space="preserve"> (Sauvage, 1878) in different size classes. </w:t>
      </w:r>
      <w:r w:rsidRPr="0080317B">
        <w:rPr>
          <w:rFonts w:cs="Times New Roman"/>
          <w:i/>
          <w:iCs/>
          <w:noProof/>
          <w:szCs w:val="24"/>
          <w:lang w:val="en-GB"/>
        </w:rPr>
        <w:t>Aquac. Res.</w:t>
      </w:r>
      <w:r w:rsidRPr="0080317B">
        <w:rPr>
          <w:rFonts w:cs="Times New Roman"/>
          <w:noProof/>
          <w:szCs w:val="24"/>
          <w:lang w:val="en-GB"/>
        </w:rPr>
        <w:t xml:space="preserve"> </w:t>
      </w:r>
      <w:r w:rsidRPr="0080317B">
        <w:rPr>
          <w:rFonts w:cs="Times New Roman"/>
          <w:b/>
          <w:bCs/>
          <w:noProof/>
          <w:szCs w:val="24"/>
          <w:lang w:val="en-GB"/>
        </w:rPr>
        <w:t>46</w:t>
      </w:r>
      <w:r w:rsidRPr="0080317B">
        <w:rPr>
          <w:rFonts w:cs="Times New Roman"/>
          <w:noProof/>
          <w:szCs w:val="24"/>
          <w:lang w:val="en-GB"/>
        </w:rPr>
        <w:t>, 405–412. (doi:10.1111/are.12188)</w:t>
      </w:r>
    </w:p>
    <w:p w14:paraId="3059E5BA" w14:textId="77777777" w:rsidR="00215FA6" w:rsidRPr="0080317B" w:rsidRDefault="00215FA6" w:rsidP="00215FA6">
      <w:pPr>
        <w:widowControl w:val="0"/>
        <w:autoSpaceDE w:val="0"/>
        <w:autoSpaceDN w:val="0"/>
        <w:adjustRightInd w:val="0"/>
        <w:ind w:left="640" w:hanging="640"/>
        <w:rPr>
          <w:rFonts w:cs="Times New Roman"/>
          <w:noProof/>
          <w:szCs w:val="24"/>
          <w:lang w:val="en-GB"/>
        </w:rPr>
      </w:pPr>
      <w:r w:rsidRPr="0080317B">
        <w:rPr>
          <w:rFonts w:cs="Times New Roman"/>
          <w:noProof/>
          <w:szCs w:val="24"/>
          <w:lang w:val="en-GB"/>
        </w:rPr>
        <w:t>3.</w:t>
      </w:r>
      <w:r w:rsidRPr="0080317B">
        <w:rPr>
          <w:rFonts w:cs="Times New Roman"/>
          <w:noProof/>
          <w:szCs w:val="24"/>
          <w:lang w:val="en-GB"/>
        </w:rPr>
        <w:tab/>
        <w:t>AVMA. 2020 Guidelines for the Euthanasia of Animals. (doi:10.1163/9789004294530_006)</w:t>
      </w:r>
    </w:p>
    <w:p w14:paraId="03CED55C" w14:textId="77777777" w:rsidR="00215FA6" w:rsidRPr="0080317B" w:rsidRDefault="00215FA6" w:rsidP="00215FA6">
      <w:pPr>
        <w:widowControl w:val="0"/>
        <w:autoSpaceDE w:val="0"/>
        <w:autoSpaceDN w:val="0"/>
        <w:adjustRightInd w:val="0"/>
        <w:ind w:left="640" w:hanging="640"/>
        <w:rPr>
          <w:rFonts w:cs="Times New Roman"/>
          <w:noProof/>
          <w:szCs w:val="24"/>
          <w:lang w:val="en-GB"/>
        </w:rPr>
      </w:pPr>
      <w:r w:rsidRPr="0080317B">
        <w:rPr>
          <w:rFonts w:cs="Times New Roman"/>
          <w:noProof/>
          <w:szCs w:val="24"/>
          <w:lang w:val="en-GB"/>
        </w:rPr>
        <w:t>4.</w:t>
      </w:r>
      <w:r w:rsidRPr="0080317B">
        <w:rPr>
          <w:rFonts w:cs="Times New Roman"/>
          <w:noProof/>
          <w:szCs w:val="24"/>
          <w:lang w:val="en-GB"/>
        </w:rPr>
        <w:tab/>
        <w:t xml:space="preserve">Hilton Z, Clements KD, Hickey AJR. 2010 Temperature sensitivity of cardiac mitochondria in intertidal and subtidal triplefin fishes. </w:t>
      </w:r>
      <w:r w:rsidRPr="0080317B">
        <w:rPr>
          <w:rFonts w:cs="Times New Roman"/>
          <w:i/>
          <w:iCs/>
          <w:noProof/>
          <w:szCs w:val="24"/>
          <w:lang w:val="en-GB"/>
        </w:rPr>
        <w:t>J. Comp. Physiol. B Biochem. Syst. Environ. Physiol.</w:t>
      </w:r>
      <w:r w:rsidRPr="0080317B">
        <w:rPr>
          <w:rFonts w:cs="Times New Roman"/>
          <w:noProof/>
          <w:szCs w:val="24"/>
          <w:lang w:val="en-GB"/>
        </w:rPr>
        <w:t xml:space="preserve"> </w:t>
      </w:r>
      <w:r w:rsidRPr="0080317B">
        <w:rPr>
          <w:rFonts w:cs="Times New Roman"/>
          <w:b/>
          <w:bCs/>
          <w:noProof/>
          <w:szCs w:val="24"/>
          <w:lang w:val="en-GB"/>
        </w:rPr>
        <w:t>180</w:t>
      </w:r>
      <w:r w:rsidRPr="0080317B">
        <w:rPr>
          <w:rFonts w:cs="Times New Roman"/>
          <w:noProof/>
          <w:szCs w:val="24"/>
          <w:lang w:val="en-GB"/>
        </w:rPr>
        <w:t>, 979–990. (doi:10.1007/s00360-010-0477-7)</w:t>
      </w:r>
    </w:p>
    <w:p w14:paraId="30DBD428" w14:textId="77777777" w:rsidR="00215FA6" w:rsidRPr="0080317B" w:rsidRDefault="00215FA6" w:rsidP="00215FA6">
      <w:pPr>
        <w:widowControl w:val="0"/>
        <w:autoSpaceDE w:val="0"/>
        <w:autoSpaceDN w:val="0"/>
        <w:adjustRightInd w:val="0"/>
        <w:ind w:left="640" w:hanging="640"/>
        <w:rPr>
          <w:rFonts w:cs="Times New Roman"/>
          <w:noProof/>
          <w:szCs w:val="24"/>
          <w:lang w:val="en-GB"/>
        </w:rPr>
      </w:pPr>
      <w:r w:rsidRPr="0080317B">
        <w:rPr>
          <w:rFonts w:cs="Times New Roman"/>
          <w:noProof/>
          <w:szCs w:val="24"/>
          <w:lang w:val="en-GB"/>
        </w:rPr>
        <w:lastRenderedPageBreak/>
        <w:t>5.</w:t>
      </w:r>
      <w:r w:rsidRPr="0080317B">
        <w:rPr>
          <w:rFonts w:cs="Times New Roman"/>
          <w:noProof/>
          <w:szCs w:val="24"/>
          <w:lang w:val="en-GB"/>
        </w:rPr>
        <w:tab/>
        <w:t xml:space="preserve">Salin K, Auer SK, Rudolf AM, Anderson GJ, Selman C, Metcalfe NB. 2016 Variation in metabolic rate among individuals is related to tissue-specific differences in mitochondrial leak respiration. </w:t>
      </w:r>
      <w:r w:rsidRPr="0080317B">
        <w:rPr>
          <w:rFonts w:cs="Times New Roman"/>
          <w:i/>
          <w:iCs/>
          <w:noProof/>
          <w:szCs w:val="24"/>
          <w:lang w:val="en-GB"/>
        </w:rPr>
        <w:t>Physiol. Biochem. Zool.</w:t>
      </w:r>
      <w:r w:rsidRPr="0080317B">
        <w:rPr>
          <w:rFonts w:cs="Times New Roman"/>
          <w:noProof/>
          <w:szCs w:val="24"/>
          <w:lang w:val="en-GB"/>
        </w:rPr>
        <w:t xml:space="preserve"> </w:t>
      </w:r>
      <w:r w:rsidRPr="0080317B">
        <w:rPr>
          <w:rFonts w:cs="Times New Roman"/>
          <w:b/>
          <w:bCs/>
          <w:noProof/>
          <w:szCs w:val="24"/>
          <w:lang w:val="en-GB"/>
        </w:rPr>
        <w:t>89</w:t>
      </w:r>
      <w:r w:rsidRPr="0080317B">
        <w:rPr>
          <w:rFonts w:cs="Times New Roman"/>
          <w:noProof/>
          <w:szCs w:val="24"/>
          <w:lang w:val="en-GB"/>
        </w:rPr>
        <w:t>, 511–523. (doi:10.1086/688769)</w:t>
      </w:r>
    </w:p>
    <w:p w14:paraId="7C66E309" w14:textId="77777777" w:rsidR="00215FA6" w:rsidRPr="0080317B" w:rsidRDefault="00215FA6" w:rsidP="00215FA6">
      <w:pPr>
        <w:widowControl w:val="0"/>
        <w:autoSpaceDE w:val="0"/>
        <w:autoSpaceDN w:val="0"/>
        <w:adjustRightInd w:val="0"/>
        <w:ind w:left="640" w:hanging="640"/>
        <w:rPr>
          <w:rFonts w:cs="Times New Roman"/>
          <w:noProof/>
          <w:szCs w:val="24"/>
          <w:lang w:val="en-GB"/>
        </w:rPr>
      </w:pPr>
      <w:r w:rsidRPr="0080317B">
        <w:rPr>
          <w:rFonts w:cs="Times New Roman"/>
          <w:noProof/>
          <w:szCs w:val="24"/>
          <w:lang w:val="en-GB"/>
        </w:rPr>
        <w:t>6.</w:t>
      </w:r>
      <w:r w:rsidRPr="0080317B">
        <w:rPr>
          <w:rFonts w:cs="Times New Roman"/>
          <w:noProof/>
          <w:szCs w:val="24"/>
          <w:lang w:val="en-GB"/>
        </w:rPr>
        <w:tab/>
        <w:t xml:space="preserve">E Gnaiger, B Lassnig, A Kuznetsov GR and RM. 1998 Mitochondrial oxygen affinity, respiratory flux control and excess capacity of cytochrome c oxidase. </w:t>
      </w:r>
      <w:r w:rsidRPr="0080317B">
        <w:rPr>
          <w:rFonts w:cs="Times New Roman"/>
          <w:i/>
          <w:iCs/>
          <w:noProof/>
          <w:szCs w:val="24"/>
          <w:lang w:val="en-GB"/>
        </w:rPr>
        <w:t>J. Exp. Biol.</w:t>
      </w:r>
      <w:r w:rsidRPr="0080317B">
        <w:rPr>
          <w:rFonts w:cs="Times New Roman"/>
          <w:noProof/>
          <w:szCs w:val="24"/>
          <w:lang w:val="en-GB"/>
        </w:rPr>
        <w:t xml:space="preserve"> </w:t>
      </w:r>
      <w:r w:rsidRPr="0080317B">
        <w:rPr>
          <w:rFonts w:cs="Times New Roman"/>
          <w:b/>
          <w:bCs/>
          <w:noProof/>
          <w:szCs w:val="24"/>
          <w:lang w:val="en-GB"/>
        </w:rPr>
        <w:t>1139</w:t>
      </w:r>
      <w:r w:rsidRPr="0080317B">
        <w:rPr>
          <w:rFonts w:cs="Times New Roman"/>
          <w:noProof/>
          <w:szCs w:val="24"/>
          <w:lang w:val="en-GB"/>
        </w:rPr>
        <w:t>, 1129–1139.</w:t>
      </w:r>
    </w:p>
    <w:p w14:paraId="1220CEAD" w14:textId="77777777" w:rsidR="00215FA6" w:rsidRPr="0080317B" w:rsidRDefault="00215FA6" w:rsidP="00215FA6">
      <w:pPr>
        <w:widowControl w:val="0"/>
        <w:autoSpaceDE w:val="0"/>
        <w:autoSpaceDN w:val="0"/>
        <w:adjustRightInd w:val="0"/>
        <w:ind w:left="640" w:hanging="640"/>
        <w:rPr>
          <w:rFonts w:cs="Times New Roman"/>
          <w:noProof/>
          <w:szCs w:val="24"/>
          <w:lang w:val="en-GB"/>
        </w:rPr>
      </w:pPr>
      <w:r w:rsidRPr="0080317B">
        <w:rPr>
          <w:rFonts w:cs="Times New Roman"/>
          <w:noProof/>
          <w:szCs w:val="24"/>
          <w:lang w:val="en-GB"/>
        </w:rPr>
        <w:t>7.</w:t>
      </w:r>
      <w:r w:rsidRPr="0080317B">
        <w:rPr>
          <w:rFonts w:cs="Times New Roman"/>
          <w:noProof/>
          <w:szCs w:val="24"/>
          <w:lang w:val="en-GB"/>
        </w:rPr>
        <w:tab/>
        <w:t xml:space="preserve">Salin K, Villasevil EM, Auer SK, Anderson GJ, Selman C, Metcalfe NB, Chinopoulos C. 2016 Simultaneous measurement of mitochondrial respiration and ATP production in tissue homogenates and calculation of effective P/O ratios. </w:t>
      </w:r>
      <w:r w:rsidRPr="0080317B">
        <w:rPr>
          <w:rFonts w:cs="Times New Roman"/>
          <w:i/>
          <w:iCs/>
          <w:noProof/>
          <w:szCs w:val="24"/>
          <w:lang w:val="en-GB"/>
        </w:rPr>
        <w:t>Physiol. Rep.</w:t>
      </w:r>
      <w:r w:rsidRPr="0080317B">
        <w:rPr>
          <w:rFonts w:cs="Times New Roman"/>
          <w:noProof/>
          <w:szCs w:val="24"/>
          <w:lang w:val="en-GB"/>
        </w:rPr>
        <w:t xml:space="preserve"> </w:t>
      </w:r>
      <w:r w:rsidRPr="0080317B">
        <w:rPr>
          <w:rFonts w:cs="Times New Roman"/>
          <w:b/>
          <w:bCs/>
          <w:noProof/>
          <w:szCs w:val="24"/>
          <w:lang w:val="en-GB"/>
        </w:rPr>
        <w:t>4</w:t>
      </w:r>
      <w:r w:rsidRPr="0080317B">
        <w:rPr>
          <w:rFonts w:cs="Times New Roman"/>
          <w:noProof/>
          <w:szCs w:val="24"/>
          <w:lang w:val="en-GB"/>
        </w:rPr>
        <w:t>, 1–9. (doi:10.14814/phy2.13007)</w:t>
      </w:r>
    </w:p>
    <w:p w14:paraId="0FA586D0" w14:textId="77777777" w:rsidR="00215FA6" w:rsidRPr="0080317B" w:rsidRDefault="00215FA6" w:rsidP="00215FA6">
      <w:pPr>
        <w:widowControl w:val="0"/>
        <w:autoSpaceDE w:val="0"/>
        <w:autoSpaceDN w:val="0"/>
        <w:adjustRightInd w:val="0"/>
        <w:ind w:left="640" w:hanging="640"/>
        <w:rPr>
          <w:rFonts w:cs="Times New Roman"/>
          <w:noProof/>
          <w:szCs w:val="24"/>
          <w:lang w:val="en-GB"/>
        </w:rPr>
      </w:pPr>
      <w:r w:rsidRPr="0080317B">
        <w:rPr>
          <w:rFonts w:cs="Times New Roman"/>
          <w:noProof/>
          <w:szCs w:val="24"/>
          <w:lang w:val="en-GB"/>
        </w:rPr>
        <w:t>8.</w:t>
      </w:r>
      <w:r w:rsidRPr="0080317B">
        <w:rPr>
          <w:rFonts w:cs="Times New Roman"/>
          <w:noProof/>
          <w:szCs w:val="24"/>
          <w:lang w:val="en-GB"/>
        </w:rPr>
        <w:tab/>
        <w:t>Leyssens A, Nowicky A V, Patterson L, Crompton M, Duchen MR. 1996 The relationship between mitochondrial state, ATP hydrolysis, [Mg</w:t>
      </w:r>
      <w:r w:rsidRPr="0080317B">
        <w:rPr>
          <w:rFonts w:cs="Times New Roman"/>
          <w:noProof/>
          <w:szCs w:val="24"/>
          <w:vertAlign w:val="superscript"/>
          <w:lang w:val="en-GB"/>
        </w:rPr>
        <w:t>2+</w:t>
      </w:r>
      <w:r w:rsidRPr="0080317B">
        <w:rPr>
          <w:rFonts w:cs="Times New Roman"/>
          <w:noProof/>
          <w:szCs w:val="24"/>
          <w:lang w:val="en-GB"/>
        </w:rPr>
        <w:t>]</w:t>
      </w:r>
      <w:r w:rsidRPr="0080317B">
        <w:rPr>
          <w:rFonts w:cs="Times New Roman"/>
          <w:noProof/>
          <w:szCs w:val="24"/>
          <w:vertAlign w:val="subscript"/>
          <w:lang w:val="en-GB"/>
        </w:rPr>
        <w:t>i</w:t>
      </w:r>
      <w:r w:rsidRPr="0080317B">
        <w:rPr>
          <w:rFonts w:cs="Times New Roman"/>
          <w:noProof/>
          <w:szCs w:val="24"/>
          <w:lang w:val="en-GB"/>
        </w:rPr>
        <w:t xml:space="preserve"> and [Ca</w:t>
      </w:r>
      <w:r w:rsidRPr="0080317B">
        <w:rPr>
          <w:rFonts w:cs="Times New Roman"/>
          <w:noProof/>
          <w:szCs w:val="24"/>
          <w:vertAlign w:val="superscript"/>
          <w:lang w:val="en-GB"/>
        </w:rPr>
        <w:t>2+</w:t>
      </w:r>
      <w:r w:rsidRPr="0080317B">
        <w:rPr>
          <w:rFonts w:cs="Times New Roman"/>
          <w:noProof/>
          <w:szCs w:val="24"/>
          <w:lang w:val="en-GB"/>
        </w:rPr>
        <w:t>]</w:t>
      </w:r>
      <w:r w:rsidRPr="0080317B">
        <w:rPr>
          <w:rFonts w:cs="Times New Roman"/>
          <w:noProof/>
          <w:szCs w:val="24"/>
          <w:vertAlign w:val="subscript"/>
          <w:lang w:val="en-GB"/>
        </w:rPr>
        <w:t>i</w:t>
      </w:r>
      <w:r w:rsidRPr="0080317B">
        <w:rPr>
          <w:rFonts w:cs="Times New Roman"/>
          <w:noProof/>
          <w:szCs w:val="24"/>
          <w:lang w:val="en-GB"/>
        </w:rPr>
        <w:t xml:space="preserve"> studied in isolated rat cadiomyocytes. </w:t>
      </w:r>
      <w:r w:rsidRPr="0080317B">
        <w:rPr>
          <w:rFonts w:cs="Times New Roman"/>
          <w:i/>
          <w:iCs/>
          <w:noProof/>
          <w:szCs w:val="24"/>
          <w:lang w:val="en-GB"/>
        </w:rPr>
        <w:t>J. Physiol.</w:t>
      </w:r>
      <w:r w:rsidRPr="0080317B">
        <w:rPr>
          <w:rFonts w:cs="Times New Roman"/>
          <w:noProof/>
          <w:szCs w:val="24"/>
          <w:lang w:val="en-GB"/>
        </w:rPr>
        <w:t xml:space="preserve"> </w:t>
      </w:r>
      <w:r w:rsidRPr="0080317B">
        <w:rPr>
          <w:rFonts w:cs="Times New Roman"/>
          <w:b/>
          <w:bCs/>
          <w:noProof/>
          <w:szCs w:val="24"/>
          <w:lang w:val="en-GB"/>
        </w:rPr>
        <w:t>496.1</w:t>
      </w:r>
      <w:r w:rsidRPr="0080317B">
        <w:rPr>
          <w:rFonts w:cs="Times New Roman"/>
          <w:noProof/>
          <w:szCs w:val="24"/>
          <w:lang w:val="en-GB"/>
        </w:rPr>
        <w:t>, 111–128.</w:t>
      </w:r>
    </w:p>
    <w:p w14:paraId="5C31835F" w14:textId="77777777" w:rsidR="00215FA6" w:rsidRPr="00215FA6" w:rsidRDefault="00215FA6" w:rsidP="00215FA6">
      <w:pPr>
        <w:widowControl w:val="0"/>
        <w:autoSpaceDE w:val="0"/>
        <w:autoSpaceDN w:val="0"/>
        <w:adjustRightInd w:val="0"/>
        <w:ind w:left="640" w:hanging="640"/>
        <w:rPr>
          <w:rFonts w:cs="Times New Roman"/>
          <w:noProof/>
        </w:rPr>
      </w:pPr>
      <w:r w:rsidRPr="0080317B">
        <w:rPr>
          <w:rFonts w:cs="Times New Roman"/>
          <w:noProof/>
          <w:szCs w:val="24"/>
          <w:lang w:val="en-GB"/>
        </w:rPr>
        <w:t>9.</w:t>
      </w:r>
      <w:r w:rsidRPr="0080317B">
        <w:rPr>
          <w:rFonts w:cs="Times New Roman"/>
          <w:noProof/>
          <w:szCs w:val="24"/>
          <w:lang w:val="en-GB"/>
        </w:rPr>
        <w:tab/>
        <w:t xml:space="preserve">Chinopoulos C, Kiss G, Kawamata H, Starkov AA. 2014 Measurement of ADP-ATP exchange in relation to mitochondrial transmembrane potential and oxygen consumption. </w:t>
      </w:r>
      <w:r w:rsidRPr="00215FA6">
        <w:rPr>
          <w:rFonts w:cs="Times New Roman"/>
          <w:i/>
          <w:iCs/>
          <w:noProof/>
          <w:szCs w:val="24"/>
        </w:rPr>
        <w:t>Methods Enzymol.</w:t>
      </w:r>
      <w:r w:rsidRPr="00215FA6">
        <w:rPr>
          <w:rFonts w:cs="Times New Roman"/>
          <w:noProof/>
          <w:szCs w:val="24"/>
        </w:rPr>
        <w:t xml:space="preserve"> </w:t>
      </w:r>
      <w:r w:rsidRPr="00215FA6">
        <w:rPr>
          <w:rFonts w:cs="Times New Roman"/>
          <w:b/>
          <w:bCs/>
          <w:noProof/>
          <w:szCs w:val="24"/>
        </w:rPr>
        <w:t>542</w:t>
      </w:r>
      <w:r w:rsidRPr="00215FA6">
        <w:rPr>
          <w:rFonts w:cs="Times New Roman"/>
          <w:noProof/>
          <w:szCs w:val="24"/>
        </w:rPr>
        <w:t>, 333–348. (doi:10.1016/B978-0-12-416618-9.00017-0)</w:t>
      </w:r>
    </w:p>
    <w:p w14:paraId="06B18217" w14:textId="3386E16A" w:rsidR="00A97ACB" w:rsidRPr="009D1C3A" w:rsidRDefault="009D1C3A" w:rsidP="00EA3C18">
      <w:pPr>
        <w:widowControl w:val="0"/>
        <w:autoSpaceDE w:val="0"/>
        <w:autoSpaceDN w:val="0"/>
        <w:adjustRightInd w:val="0"/>
        <w:ind w:left="640" w:hanging="640"/>
      </w:pPr>
      <w:r w:rsidRPr="009D1C3A">
        <w:rPr>
          <w:lang w:val="en-GB"/>
        </w:rPr>
        <w:fldChar w:fldCharType="end"/>
      </w:r>
    </w:p>
    <w:sectPr w:rsidR="00A97ACB" w:rsidRPr="009D1C3A" w:rsidSect="00327397">
      <w:pgSz w:w="11906" w:h="16838"/>
      <w:pgMar w:top="1418" w:right="1418" w:bottom="1418" w:left="1418"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TTec369687">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C3A"/>
    <w:rsid w:val="00024C3A"/>
    <w:rsid w:val="00113305"/>
    <w:rsid w:val="00215FA6"/>
    <w:rsid w:val="00300902"/>
    <w:rsid w:val="003F3082"/>
    <w:rsid w:val="004B6659"/>
    <w:rsid w:val="005E44DD"/>
    <w:rsid w:val="005F5088"/>
    <w:rsid w:val="006234D0"/>
    <w:rsid w:val="00643A6F"/>
    <w:rsid w:val="007B29EC"/>
    <w:rsid w:val="0080317B"/>
    <w:rsid w:val="009161E4"/>
    <w:rsid w:val="009D1C3A"/>
    <w:rsid w:val="00A429BC"/>
    <w:rsid w:val="00AA5D51"/>
    <w:rsid w:val="00BD114C"/>
    <w:rsid w:val="00E52FED"/>
    <w:rsid w:val="00EA3C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C4328"/>
  <w15:chartTrackingRefBased/>
  <w15:docId w15:val="{8089FD3D-7434-41F6-8B08-3224F100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C3A"/>
    <w:pPr>
      <w:spacing w:line="480" w:lineRule="auto"/>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D1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9D1C3A"/>
    <w:pPr>
      <w:spacing w:after="0" w:line="240" w:lineRule="auto"/>
      <w:jc w:val="both"/>
    </w:pPr>
    <w:rPr>
      <w:rFonts w:ascii="Times New Roman" w:hAnsi="Times New Roman"/>
      <w:sz w:val="24"/>
    </w:rPr>
  </w:style>
  <w:style w:type="character" w:styleId="Numrodeligne">
    <w:name w:val="line number"/>
    <w:basedOn w:val="Policepardfaut"/>
    <w:uiPriority w:val="99"/>
    <w:semiHidden/>
    <w:unhideWhenUsed/>
    <w:rsid w:val="009D1C3A"/>
  </w:style>
  <w:style w:type="paragraph" w:styleId="Textedebulles">
    <w:name w:val="Balloon Text"/>
    <w:basedOn w:val="Normal"/>
    <w:link w:val="TextedebullesCar"/>
    <w:uiPriority w:val="99"/>
    <w:semiHidden/>
    <w:unhideWhenUsed/>
    <w:rsid w:val="00BD114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11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15035-8447-462D-A1EF-C3A9E378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5806</Words>
  <Characters>31939</Characters>
  <Application>Microsoft Office Word</Application>
  <DocSecurity>0</DocSecurity>
  <Lines>266</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THORAL</dc:creator>
  <cp:keywords/>
  <dc:description/>
  <cp:lastModifiedBy>Elisa</cp:lastModifiedBy>
  <cp:revision>11</cp:revision>
  <dcterms:created xsi:type="dcterms:W3CDTF">2020-10-22T09:23:00Z</dcterms:created>
  <dcterms:modified xsi:type="dcterms:W3CDTF">2021-01-14T08:03:00Z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http://www.zotero.org/styles/biology-letters</vt:lpwstr>
  </property>
  <property fmtid="{D5CDD505-2E9C-101B-9397-08002B2CF9AE}" pid="9" name="Mendeley Recent Style Name 3_1">
    <vt:lpwstr>Biology Letters</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http://www.zotero.org/styles/the-journal-of-experimental-biology</vt:lpwstr>
  </property>
  <property fmtid="{D5CDD505-2E9C-101B-9397-08002B2CF9AE}" pid="21" name="Mendeley Recent Style Name 9_1">
    <vt:lpwstr>The Journal of Experimental Biology</vt:lpwstr>
  </property>
  <property fmtid="{D5CDD505-2E9C-101B-9397-08002B2CF9AE}" pid="22" name="Mendeley Document_1">
    <vt:lpwstr>True</vt:lpwstr>
  </property>
  <property fmtid="{D5CDD505-2E9C-101B-9397-08002B2CF9AE}" pid="23" name="Mendeley Unique User Id_1">
    <vt:lpwstr>dc16b34a-c525-315d-908d-0e16c7556949</vt:lpwstr>
  </property>
  <property fmtid="{D5CDD505-2E9C-101B-9397-08002B2CF9AE}" pid="24" name="Mendeley Citation Style_1">
    <vt:lpwstr>http://www.zotero.org/styles/biology-letters</vt:lpwstr>
  </property>
</Properties>
</file>