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49917" w14:textId="77777777" w:rsidR="007F0433" w:rsidRDefault="007F0433" w:rsidP="0063401C">
      <w:pPr>
        <w:ind w:left="-1350" w:right="-126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Supplemental Information for:</w:t>
      </w:r>
    </w:p>
    <w:p w14:paraId="2091BE0E" w14:textId="77777777" w:rsidR="007F0433" w:rsidRPr="007F0433" w:rsidRDefault="007F0433" w:rsidP="0063401C">
      <w:pPr>
        <w:ind w:left="-1350" w:right="-1260"/>
        <w:jc w:val="center"/>
        <w:rPr>
          <w:b/>
          <w:sz w:val="28"/>
          <w:szCs w:val="28"/>
        </w:rPr>
      </w:pPr>
    </w:p>
    <w:p w14:paraId="47BA8BAF" w14:textId="77777777" w:rsidR="00115904" w:rsidRPr="00115904" w:rsidRDefault="00115904" w:rsidP="00115904">
      <w:pPr>
        <w:ind w:left="-1350" w:right="-1260"/>
        <w:jc w:val="center"/>
        <w:rPr>
          <w:b/>
          <w:i/>
          <w:color w:val="002060"/>
          <w:sz w:val="32"/>
          <w:szCs w:val="32"/>
        </w:rPr>
      </w:pPr>
      <w:r w:rsidRPr="00115904">
        <w:rPr>
          <w:b/>
          <w:i/>
          <w:color w:val="002060"/>
          <w:sz w:val="32"/>
          <w:szCs w:val="32"/>
        </w:rPr>
        <w:t xml:space="preserve">Seascape genomics reveals candidate molecular targets of heat stress adaptation in three coral species </w:t>
      </w:r>
    </w:p>
    <w:p w14:paraId="12EE486A" w14:textId="77777777" w:rsidR="004034EA" w:rsidRDefault="004034EA" w:rsidP="0063401C">
      <w:pPr>
        <w:ind w:left="-1350" w:right="-1260"/>
        <w:jc w:val="center"/>
        <w:rPr>
          <w:b/>
          <w:color w:val="002060"/>
        </w:rPr>
      </w:pPr>
    </w:p>
    <w:p w14:paraId="77294A96" w14:textId="682BFD4A" w:rsidR="00115904" w:rsidRPr="00115904" w:rsidRDefault="00115904" w:rsidP="00115904">
      <w:pPr>
        <w:ind w:left="-1350" w:right="-1260"/>
        <w:jc w:val="center"/>
        <w:rPr>
          <w:lang w:val="fr-FR"/>
        </w:rPr>
      </w:pPr>
      <w:r w:rsidRPr="00115904">
        <w:rPr>
          <w:lang w:val="fr-FR"/>
        </w:rPr>
        <w:t xml:space="preserve">Oliver Selmoni, Gaël </w:t>
      </w:r>
      <w:proofErr w:type="spellStart"/>
      <w:r w:rsidRPr="00115904">
        <w:rPr>
          <w:lang w:val="fr-FR"/>
        </w:rPr>
        <w:t>Lecellier</w:t>
      </w:r>
      <w:proofErr w:type="spellEnd"/>
      <w:r w:rsidRPr="00115904">
        <w:rPr>
          <w:lang w:val="fr-FR"/>
        </w:rPr>
        <w:t xml:space="preserve">, Hélène </w:t>
      </w:r>
      <w:proofErr w:type="spellStart"/>
      <w:r w:rsidRPr="00115904">
        <w:rPr>
          <w:lang w:val="fr-FR"/>
        </w:rPr>
        <w:t>Magalon</w:t>
      </w:r>
      <w:proofErr w:type="spellEnd"/>
      <w:r w:rsidRPr="00115904">
        <w:rPr>
          <w:lang w:val="fr-FR"/>
        </w:rPr>
        <w:t xml:space="preserve">, Laurent </w:t>
      </w:r>
      <w:proofErr w:type="spellStart"/>
      <w:r w:rsidRPr="00115904">
        <w:rPr>
          <w:lang w:val="fr-FR"/>
        </w:rPr>
        <w:t>Vigliola</w:t>
      </w:r>
      <w:proofErr w:type="spellEnd"/>
      <w:r w:rsidRPr="00115904">
        <w:rPr>
          <w:lang w:val="fr-FR"/>
        </w:rPr>
        <w:t xml:space="preserve">, Nicolas Oury, Francesca </w:t>
      </w:r>
      <w:proofErr w:type="spellStart"/>
      <w:r w:rsidRPr="00115904">
        <w:rPr>
          <w:lang w:val="fr-FR"/>
        </w:rPr>
        <w:t>Benzoni</w:t>
      </w:r>
      <w:proofErr w:type="spellEnd"/>
      <w:r w:rsidRPr="00115904">
        <w:rPr>
          <w:lang w:val="fr-FR"/>
        </w:rPr>
        <w:t>, Christophe</w:t>
      </w:r>
      <w:r w:rsidR="00FB72CA">
        <w:rPr>
          <w:lang w:val="fr-FR"/>
        </w:rPr>
        <w:t xml:space="preserve"> </w:t>
      </w:r>
      <w:r w:rsidRPr="00115904">
        <w:rPr>
          <w:lang w:val="fr-FR"/>
        </w:rPr>
        <w:t>Peignon, Stéphane Joost, Véronique</w:t>
      </w:r>
      <w:r w:rsidR="00FB72CA">
        <w:rPr>
          <w:lang w:val="fr-FR"/>
        </w:rPr>
        <w:t xml:space="preserve"> </w:t>
      </w:r>
      <w:proofErr w:type="spellStart"/>
      <w:r w:rsidRPr="00115904">
        <w:rPr>
          <w:lang w:val="fr-FR"/>
        </w:rPr>
        <w:t>Berteaux-Lecellier</w:t>
      </w:r>
      <w:proofErr w:type="spellEnd"/>
    </w:p>
    <w:p w14:paraId="339DB676" w14:textId="77777777" w:rsidR="004034EA" w:rsidRPr="00115904" w:rsidRDefault="004034EA" w:rsidP="0063401C">
      <w:pPr>
        <w:ind w:left="-1350" w:right="-1260"/>
        <w:jc w:val="center"/>
        <w:rPr>
          <w:lang w:val="fr-FR"/>
        </w:rPr>
      </w:pPr>
    </w:p>
    <w:p w14:paraId="446D952C" w14:textId="77777777" w:rsidR="004034EA" w:rsidRPr="00115904" w:rsidRDefault="004034EA" w:rsidP="000C5B4D">
      <w:pPr>
        <w:ind w:right="-1260"/>
        <w:rPr>
          <w:lang w:val="fr-FR"/>
        </w:rPr>
      </w:pPr>
    </w:p>
    <w:p w14:paraId="3B009DB0" w14:textId="77777777" w:rsidR="000C5B4D" w:rsidRDefault="000C5B4D" w:rsidP="000C5B4D">
      <w:pPr>
        <w:ind w:right="-1260"/>
        <w:rPr>
          <w:b/>
          <w:color w:val="002060"/>
          <w:sz w:val="32"/>
          <w:szCs w:val="32"/>
        </w:rPr>
      </w:pPr>
      <w:r w:rsidRPr="00115904">
        <w:rPr>
          <w:lang w:val="fr-FR"/>
        </w:rPr>
        <w:tab/>
      </w:r>
      <w:r>
        <w:rPr>
          <w:b/>
          <w:color w:val="002060"/>
          <w:sz w:val="32"/>
          <w:szCs w:val="32"/>
        </w:rPr>
        <w:t>Table of Contents: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68"/>
        <w:gridCol w:w="1782"/>
      </w:tblGrid>
      <w:tr w:rsidR="00574328" w14:paraId="36075F20" w14:textId="77777777" w:rsidTr="0041117E">
        <w:tc>
          <w:tcPr>
            <w:tcW w:w="7568" w:type="dxa"/>
          </w:tcPr>
          <w:p w14:paraId="21AE4793" w14:textId="036A7DC0" w:rsidR="00574328" w:rsidRDefault="00115904" w:rsidP="00574328">
            <w:pPr>
              <w:ind w:right="-1260"/>
              <w:rPr>
                <w:b/>
                <w:color w:val="002060"/>
                <w:sz w:val="32"/>
                <w:szCs w:val="32"/>
              </w:rPr>
            </w:pPr>
            <w:r>
              <w:rPr>
                <w:b/>
              </w:rPr>
              <w:t xml:space="preserve">Supplementary Figure 1. </w:t>
            </w:r>
          </w:p>
        </w:tc>
        <w:tc>
          <w:tcPr>
            <w:tcW w:w="1782" w:type="dxa"/>
          </w:tcPr>
          <w:p w14:paraId="35FC95B0" w14:textId="5596EB60" w:rsidR="00574328" w:rsidRPr="00574328" w:rsidRDefault="00574328" w:rsidP="00115904">
            <w:pPr>
              <w:tabs>
                <w:tab w:val="left" w:pos="585"/>
                <w:tab w:val="right" w:pos="5832"/>
              </w:tabs>
              <w:ind w:right="-1260"/>
              <w:rPr>
                <w:color w:val="002060"/>
                <w:sz w:val="32"/>
                <w:szCs w:val="32"/>
              </w:rPr>
            </w:pPr>
            <w:r w:rsidRPr="00574328">
              <w:rPr>
                <w:color w:val="002060"/>
                <w:sz w:val="32"/>
                <w:szCs w:val="32"/>
              </w:rPr>
              <w:t xml:space="preserve">Page </w:t>
            </w:r>
            <w:r w:rsidR="00115904">
              <w:rPr>
                <w:color w:val="002060"/>
                <w:sz w:val="32"/>
                <w:szCs w:val="32"/>
              </w:rPr>
              <w:t>2</w:t>
            </w:r>
          </w:p>
        </w:tc>
      </w:tr>
      <w:tr w:rsidR="00574328" w14:paraId="088CA540" w14:textId="77777777" w:rsidTr="0041117E">
        <w:tc>
          <w:tcPr>
            <w:tcW w:w="7568" w:type="dxa"/>
          </w:tcPr>
          <w:p w14:paraId="53D90E77" w14:textId="0E919E16" w:rsidR="00574328" w:rsidRDefault="00115904" w:rsidP="00574328">
            <w:pPr>
              <w:ind w:right="-1260"/>
              <w:rPr>
                <w:b/>
                <w:color w:val="002060"/>
                <w:sz w:val="32"/>
                <w:szCs w:val="32"/>
              </w:rPr>
            </w:pPr>
            <w:r w:rsidRPr="00670808">
              <w:rPr>
                <w:b/>
              </w:rPr>
              <w:t xml:space="preserve">Supplementary Figure </w:t>
            </w:r>
            <w:r>
              <w:rPr>
                <w:b/>
              </w:rPr>
              <w:t>2</w:t>
            </w:r>
            <w:r w:rsidRPr="00670808">
              <w:rPr>
                <w:b/>
              </w:rPr>
              <w:t xml:space="preserve">. </w:t>
            </w:r>
          </w:p>
        </w:tc>
        <w:tc>
          <w:tcPr>
            <w:tcW w:w="1782" w:type="dxa"/>
          </w:tcPr>
          <w:p w14:paraId="490CBBC7" w14:textId="4CF99ADC" w:rsidR="00574328" w:rsidRPr="00574328" w:rsidRDefault="00574328" w:rsidP="00115904">
            <w:pPr>
              <w:tabs>
                <w:tab w:val="left" w:pos="975"/>
              </w:tabs>
              <w:ind w:right="-1260"/>
              <w:rPr>
                <w:color w:val="002060"/>
                <w:sz w:val="32"/>
                <w:szCs w:val="32"/>
              </w:rPr>
            </w:pPr>
            <w:r w:rsidRPr="00574328">
              <w:rPr>
                <w:color w:val="002060"/>
                <w:sz w:val="32"/>
                <w:szCs w:val="32"/>
              </w:rPr>
              <w:t xml:space="preserve">Page </w:t>
            </w:r>
            <w:r w:rsidR="00115904">
              <w:rPr>
                <w:color w:val="002060"/>
                <w:sz w:val="32"/>
                <w:szCs w:val="32"/>
              </w:rPr>
              <w:t>3</w:t>
            </w:r>
          </w:p>
        </w:tc>
      </w:tr>
      <w:tr w:rsidR="001B5A91" w14:paraId="0614445F" w14:textId="77777777" w:rsidTr="0041117E">
        <w:tc>
          <w:tcPr>
            <w:tcW w:w="7568" w:type="dxa"/>
          </w:tcPr>
          <w:p w14:paraId="4A758B63" w14:textId="3352A571" w:rsidR="001B5A91" w:rsidRPr="00670808" w:rsidRDefault="001B5A91" w:rsidP="001B5A91">
            <w:pPr>
              <w:ind w:right="-1260"/>
              <w:rPr>
                <w:b/>
              </w:rPr>
            </w:pPr>
            <w:r w:rsidRPr="00670808">
              <w:rPr>
                <w:b/>
              </w:rPr>
              <w:t xml:space="preserve">Supplementary Figure </w:t>
            </w:r>
            <w:r>
              <w:rPr>
                <w:b/>
              </w:rPr>
              <w:t>3</w:t>
            </w:r>
            <w:r w:rsidRPr="00670808">
              <w:rPr>
                <w:b/>
              </w:rPr>
              <w:t xml:space="preserve">. </w:t>
            </w:r>
          </w:p>
        </w:tc>
        <w:tc>
          <w:tcPr>
            <w:tcW w:w="1782" w:type="dxa"/>
          </w:tcPr>
          <w:p w14:paraId="1A714296" w14:textId="29ECDDDF" w:rsidR="001B5A91" w:rsidRPr="00574328" w:rsidRDefault="001B5A91" w:rsidP="001B5A91">
            <w:pPr>
              <w:tabs>
                <w:tab w:val="left" w:pos="975"/>
              </w:tabs>
              <w:ind w:right="-1260"/>
              <w:rPr>
                <w:color w:val="002060"/>
                <w:sz w:val="32"/>
                <w:szCs w:val="32"/>
              </w:rPr>
            </w:pPr>
            <w:r>
              <w:rPr>
                <w:color w:val="002060"/>
                <w:sz w:val="32"/>
                <w:szCs w:val="32"/>
              </w:rPr>
              <w:t>Page 4</w:t>
            </w:r>
          </w:p>
        </w:tc>
      </w:tr>
      <w:tr w:rsidR="00F34C40" w14:paraId="0C809849" w14:textId="77777777" w:rsidTr="0041117E">
        <w:tc>
          <w:tcPr>
            <w:tcW w:w="7568" w:type="dxa"/>
          </w:tcPr>
          <w:p w14:paraId="3F0E9D39" w14:textId="53065DF3" w:rsidR="00F34C40" w:rsidRPr="00670808" w:rsidRDefault="00F34C40" w:rsidP="00F34C40">
            <w:pPr>
              <w:ind w:right="-1260"/>
              <w:rPr>
                <w:b/>
              </w:rPr>
            </w:pPr>
            <w:r w:rsidRPr="00670808">
              <w:rPr>
                <w:b/>
              </w:rPr>
              <w:t>Supplementary Figure</w:t>
            </w:r>
            <w:r>
              <w:rPr>
                <w:b/>
              </w:rPr>
              <w:t xml:space="preserve"> 4</w:t>
            </w:r>
            <w:r w:rsidRPr="00670808">
              <w:rPr>
                <w:b/>
              </w:rPr>
              <w:t xml:space="preserve">. </w:t>
            </w:r>
          </w:p>
        </w:tc>
        <w:tc>
          <w:tcPr>
            <w:tcW w:w="1782" w:type="dxa"/>
          </w:tcPr>
          <w:p w14:paraId="2EB262AF" w14:textId="11AE69F6" w:rsidR="00F34C40" w:rsidRDefault="00F34C40" w:rsidP="00F34C40">
            <w:pPr>
              <w:tabs>
                <w:tab w:val="left" w:pos="975"/>
              </w:tabs>
              <w:ind w:right="-1260"/>
              <w:rPr>
                <w:color w:val="002060"/>
                <w:sz w:val="32"/>
                <w:szCs w:val="32"/>
              </w:rPr>
            </w:pPr>
            <w:r>
              <w:rPr>
                <w:color w:val="002060"/>
                <w:sz w:val="32"/>
                <w:szCs w:val="32"/>
              </w:rPr>
              <w:t>Page 5</w:t>
            </w:r>
          </w:p>
        </w:tc>
      </w:tr>
    </w:tbl>
    <w:p w14:paraId="3C5BC2DC" w14:textId="77777777" w:rsidR="000C5B4D" w:rsidRDefault="000C5B4D" w:rsidP="000C5B4D">
      <w:pPr>
        <w:ind w:right="-1260"/>
        <w:jc w:val="center"/>
        <w:rPr>
          <w:b/>
          <w:color w:val="002060"/>
          <w:sz w:val="32"/>
          <w:szCs w:val="32"/>
        </w:rPr>
      </w:pPr>
    </w:p>
    <w:p w14:paraId="04E282C2" w14:textId="12293F19" w:rsidR="009F0762" w:rsidRDefault="009F0762" w:rsidP="00115904">
      <w:pPr>
        <w:rPr>
          <w:sz w:val="32"/>
          <w:szCs w:val="32"/>
        </w:rPr>
      </w:pPr>
    </w:p>
    <w:p w14:paraId="536651A9" w14:textId="1757A759" w:rsidR="00115904" w:rsidRDefault="00115904" w:rsidP="00115904">
      <w:pPr>
        <w:rPr>
          <w:sz w:val="32"/>
          <w:szCs w:val="32"/>
        </w:rPr>
      </w:pPr>
    </w:p>
    <w:p w14:paraId="23567CF9" w14:textId="2D62F689" w:rsidR="00115904" w:rsidRDefault="00115904" w:rsidP="00115904">
      <w:pPr>
        <w:rPr>
          <w:b/>
        </w:rPr>
      </w:pPr>
      <w:r>
        <w:rPr>
          <w:sz w:val="32"/>
          <w:szCs w:val="32"/>
        </w:rPr>
        <w:br w:type="page"/>
      </w:r>
    </w:p>
    <w:p w14:paraId="480527D6" w14:textId="77777777" w:rsidR="00115904" w:rsidRDefault="00115904" w:rsidP="00115904">
      <w:pPr>
        <w:rPr>
          <w:b/>
        </w:rPr>
      </w:pPr>
    </w:p>
    <w:p w14:paraId="08D60C3F" w14:textId="77777777" w:rsidR="00115904" w:rsidRDefault="00115904" w:rsidP="00115904">
      <w:pPr>
        <w:rPr>
          <w:b/>
        </w:rPr>
      </w:pPr>
    </w:p>
    <w:p w14:paraId="1FE2B8FB" w14:textId="41976281" w:rsidR="0041117E" w:rsidRPr="00C05DBD" w:rsidRDefault="0041117E" w:rsidP="0041117E">
      <w:pPr>
        <w:jc w:val="both"/>
      </w:pPr>
      <w:r w:rsidRPr="00670808">
        <w:rPr>
          <w:b/>
        </w:rPr>
        <w:t xml:space="preserve">Supplementary Figure </w:t>
      </w:r>
      <w:r>
        <w:rPr>
          <w:b/>
        </w:rPr>
        <w:t>1</w:t>
      </w:r>
      <w:r w:rsidRPr="00670808">
        <w:rPr>
          <w:b/>
        </w:rPr>
        <w:t xml:space="preserve">. </w:t>
      </w:r>
      <w:r w:rsidR="009D572C">
        <w:rPr>
          <w:b/>
        </w:rPr>
        <w:t>S</w:t>
      </w:r>
      <w:r w:rsidR="009D572C">
        <w:rPr>
          <w:b/>
          <w:smallCaps/>
        </w:rPr>
        <w:t>tructure</w:t>
      </w:r>
      <w:r w:rsidR="009D572C">
        <w:rPr>
          <w:b/>
        </w:rPr>
        <w:t xml:space="preserve"> </w:t>
      </w:r>
      <w:r>
        <w:rPr>
          <w:b/>
        </w:rPr>
        <w:t xml:space="preserve">analysis of microsatellite genetic markers of the two </w:t>
      </w:r>
      <w:r>
        <w:rPr>
          <w:b/>
          <w:i/>
        </w:rPr>
        <w:t xml:space="preserve">Pocillopora </w:t>
      </w:r>
      <w:r>
        <w:rPr>
          <w:b/>
        </w:rPr>
        <w:t xml:space="preserve">species. </w:t>
      </w:r>
      <w:r>
        <w:t xml:space="preserve">The </w:t>
      </w:r>
      <w:proofErr w:type="spellStart"/>
      <w:r>
        <w:t>barplot</w:t>
      </w:r>
      <w:proofErr w:type="spellEnd"/>
      <w:r>
        <w:t xml:space="preserve"> in (a) displays the results of the</w:t>
      </w:r>
      <w:r w:rsidR="000B50DD">
        <w:t xml:space="preserve"> </w:t>
      </w:r>
      <w:r w:rsidR="009D572C" w:rsidRPr="00683A59">
        <w:rPr>
          <w:smallCaps/>
        </w:rPr>
        <w:t>Structure</w:t>
      </w:r>
      <w:r w:rsidR="009D572C">
        <w:t xml:space="preserve"> </w:t>
      </w:r>
      <w:r>
        <w:t>assignment test</w:t>
      </w:r>
      <w:r w:rsidR="000B50DD">
        <w:t xml:space="preserve">. </w:t>
      </w:r>
      <w:r>
        <w:t>Each vertical bar corresponds to a sample: bars predominantly in light blue</w:t>
      </w:r>
      <w:r w:rsidR="000B50DD">
        <w:t xml:space="preserve"> indicates samples </w:t>
      </w:r>
      <w:r>
        <w:t xml:space="preserve">assigned to the genetic cluster of </w:t>
      </w:r>
      <w:r>
        <w:rPr>
          <w:i/>
        </w:rPr>
        <w:t>Pocillopora damicornis</w:t>
      </w:r>
      <w:r>
        <w:t xml:space="preserve">, while </w:t>
      </w:r>
      <w:r w:rsidR="000B50DD">
        <w:t>bars</w:t>
      </w:r>
      <w:r>
        <w:t xml:space="preserve"> predominantly in green to </w:t>
      </w:r>
      <w:r w:rsidR="000B50DD">
        <w:t xml:space="preserve">those assigned to </w:t>
      </w:r>
      <w:r>
        <w:t xml:space="preserve">the cluster of </w:t>
      </w:r>
      <w:r>
        <w:rPr>
          <w:i/>
        </w:rPr>
        <w:t>Pocillopora acuta</w:t>
      </w:r>
      <w:r w:rsidR="00C05DBD">
        <w:rPr>
          <w:i/>
        </w:rPr>
        <w:t>.</w:t>
      </w:r>
      <w:r w:rsidR="00C05DBD">
        <w:t xml:space="preserve"> Samples are grouped by sampling location, and the symbols indexing sampling locations are displayed in the bottom of the </w:t>
      </w:r>
      <w:proofErr w:type="spellStart"/>
      <w:r w:rsidR="00C05DBD">
        <w:t>barplot</w:t>
      </w:r>
      <w:proofErr w:type="spellEnd"/>
      <w:r w:rsidR="00C05DBD">
        <w:t xml:space="preserve"> and on the map in (b). </w:t>
      </w:r>
    </w:p>
    <w:p w14:paraId="4F41E780" w14:textId="38F4579F" w:rsidR="0041117E" w:rsidRDefault="0041117E" w:rsidP="0041117E">
      <w:pPr>
        <w:jc w:val="both"/>
      </w:pPr>
      <w:r>
        <w:rPr>
          <w:b/>
        </w:rPr>
        <w:t xml:space="preserve"> </w:t>
      </w:r>
    </w:p>
    <w:p w14:paraId="2B4B2DEB" w14:textId="381473D6" w:rsidR="0041117E" w:rsidRDefault="003151A7" w:rsidP="0041117E">
      <w:pPr>
        <w:jc w:val="both"/>
      </w:pPr>
      <w:r>
        <w:rPr>
          <w:noProof/>
          <w:lang w:val="fr-FR" w:eastAsia="fr-FR"/>
        </w:rPr>
        <w:drawing>
          <wp:inline distT="0" distB="0" distL="0" distR="0" wp14:anchorId="03ACA21A" wp14:editId="2B4B33E7">
            <wp:extent cx="5943600" cy="47796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eS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79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C6284C" w14:textId="3B53A2A5" w:rsidR="0041117E" w:rsidRDefault="0041117E" w:rsidP="0041117E">
      <w:pPr>
        <w:jc w:val="both"/>
      </w:pPr>
    </w:p>
    <w:p w14:paraId="12936026" w14:textId="3ADC3ADE" w:rsidR="0041117E" w:rsidRDefault="0041117E" w:rsidP="0041117E">
      <w:pPr>
        <w:jc w:val="both"/>
      </w:pPr>
    </w:p>
    <w:p w14:paraId="2DCB1ECE" w14:textId="64699B9A" w:rsidR="0041117E" w:rsidRDefault="0041117E" w:rsidP="0041117E">
      <w:pPr>
        <w:jc w:val="both"/>
      </w:pPr>
    </w:p>
    <w:p w14:paraId="428349D2" w14:textId="41B3E630" w:rsidR="0041117E" w:rsidRDefault="0041117E" w:rsidP="0041117E">
      <w:pPr>
        <w:jc w:val="both"/>
      </w:pPr>
    </w:p>
    <w:p w14:paraId="2D92A4AB" w14:textId="6DC3F6CE" w:rsidR="0041117E" w:rsidRDefault="0041117E" w:rsidP="0041117E">
      <w:pPr>
        <w:jc w:val="both"/>
      </w:pPr>
    </w:p>
    <w:p w14:paraId="11E03001" w14:textId="609E50E1" w:rsidR="0041117E" w:rsidRDefault="0041117E" w:rsidP="0041117E">
      <w:pPr>
        <w:jc w:val="both"/>
      </w:pPr>
    </w:p>
    <w:p w14:paraId="3491C29F" w14:textId="77777777" w:rsidR="0041117E" w:rsidRPr="00670808" w:rsidRDefault="0041117E" w:rsidP="0041117E">
      <w:pPr>
        <w:jc w:val="both"/>
      </w:pPr>
    </w:p>
    <w:p w14:paraId="5EDD0373" w14:textId="41F63A54" w:rsidR="00115904" w:rsidRDefault="00115904" w:rsidP="00115904">
      <w:pPr>
        <w:rPr>
          <w:b/>
        </w:rPr>
      </w:pPr>
    </w:p>
    <w:p w14:paraId="1E288E92" w14:textId="14F239A7" w:rsidR="00FF66A9" w:rsidRDefault="00FF66A9" w:rsidP="00115904">
      <w:pPr>
        <w:rPr>
          <w:b/>
        </w:rPr>
      </w:pPr>
    </w:p>
    <w:p w14:paraId="17E57E94" w14:textId="431030D7" w:rsidR="0041117E" w:rsidRPr="00670808" w:rsidRDefault="0041117E" w:rsidP="0041117E">
      <w:pPr>
        <w:jc w:val="both"/>
      </w:pPr>
      <w:r w:rsidRPr="00670808">
        <w:rPr>
          <w:b/>
        </w:rPr>
        <w:t xml:space="preserve">Supplementary Figure </w:t>
      </w:r>
      <w:r w:rsidR="001B5A91">
        <w:rPr>
          <w:b/>
        </w:rPr>
        <w:t>2.</w:t>
      </w:r>
      <w:r w:rsidRPr="00670808">
        <w:rPr>
          <w:b/>
        </w:rPr>
        <w:t xml:space="preserve"> Cross-entropy comparison for </w:t>
      </w:r>
      <w:r>
        <w:rPr>
          <w:b/>
        </w:rPr>
        <w:t xml:space="preserve">the </w:t>
      </w:r>
      <w:r w:rsidRPr="00670808">
        <w:rPr>
          <w:b/>
        </w:rPr>
        <w:t>estimation of number of ancestral populations</w:t>
      </w:r>
      <w:r>
        <w:rPr>
          <w:b/>
        </w:rPr>
        <w:t xml:space="preserve">. </w:t>
      </w:r>
      <w:r>
        <w:t>The graphs display the comparison of the quality of fit of admixture coefficients for different number</w:t>
      </w:r>
      <w:r w:rsidR="00FB72CA">
        <w:t>s</w:t>
      </w:r>
      <w:r>
        <w:t xml:space="preserve"> of ancestral populations for the three species of interest. Lower cross-entropy criterion indicates a higher quality of fit. </w:t>
      </w:r>
    </w:p>
    <w:p w14:paraId="5A35C1EA" w14:textId="77777777" w:rsidR="0041117E" w:rsidRDefault="0041117E" w:rsidP="0041117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8"/>
        <w:gridCol w:w="3123"/>
        <w:gridCol w:w="3019"/>
      </w:tblGrid>
      <w:tr w:rsidR="0041117E" w14:paraId="3DC53FDC" w14:textId="77777777" w:rsidTr="00764A86">
        <w:tc>
          <w:tcPr>
            <w:tcW w:w="3003" w:type="dxa"/>
          </w:tcPr>
          <w:p w14:paraId="5B5D1927" w14:textId="77777777" w:rsidR="0041117E" w:rsidRDefault="0041117E" w:rsidP="00764A86">
            <w:pPr>
              <w:pStyle w:val="ListParagraph"/>
              <w:numPr>
                <w:ilvl w:val="0"/>
                <w:numId w:val="3"/>
              </w:numPr>
            </w:pPr>
            <w:r>
              <w:rPr>
                <w:i/>
              </w:rPr>
              <w:t>A. millepora</w:t>
            </w:r>
          </w:p>
          <w:p w14:paraId="1D9AE3A2" w14:textId="77777777" w:rsidR="0041117E" w:rsidRDefault="0041117E" w:rsidP="00764A86">
            <w:r>
              <w:rPr>
                <w:noProof/>
                <w:lang w:val="fr-FR" w:eastAsia="fr-FR"/>
              </w:rPr>
              <w:drawing>
                <wp:inline distT="0" distB="0" distL="0" distR="0" wp14:anchorId="5C385412" wp14:editId="77FE2175">
                  <wp:extent cx="1946031" cy="194603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Rplot01.pd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3942" cy="19639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3" w:type="dxa"/>
          </w:tcPr>
          <w:p w14:paraId="5A1B77FF" w14:textId="77777777" w:rsidR="0041117E" w:rsidRDefault="0041117E" w:rsidP="00764A86">
            <w:pPr>
              <w:pStyle w:val="ListParagraph"/>
              <w:numPr>
                <w:ilvl w:val="0"/>
                <w:numId w:val="3"/>
              </w:numPr>
            </w:pPr>
            <w:r>
              <w:rPr>
                <w:i/>
              </w:rPr>
              <w:t>P. damicornis</w:t>
            </w:r>
          </w:p>
          <w:p w14:paraId="6AD749AD" w14:textId="77777777" w:rsidR="0041117E" w:rsidRDefault="0041117E" w:rsidP="00764A86">
            <w:r>
              <w:rPr>
                <w:noProof/>
                <w:lang w:val="fr-FR" w:eastAsia="fr-FR"/>
              </w:rPr>
              <w:drawing>
                <wp:inline distT="0" distB="0" distL="0" distR="0" wp14:anchorId="6B568D6C" wp14:editId="727C5541">
                  <wp:extent cx="1883508" cy="1883508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Rplot02.pd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9617" cy="19096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4" w:type="dxa"/>
          </w:tcPr>
          <w:p w14:paraId="60325C18" w14:textId="77777777" w:rsidR="0041117E" w:rsidRPr="00670808" w:rsidRDefault="0041117E" w:rsidP="00764A86">
            <w:pPr>
              <w:pStyle w:val="ListParagraph"/>
              <w:numPr>
                <w:ilvl w:val="0"/>
                <w:numId w:val="3"/>
              </w:numPr>
            </w:pPr>
            <w:r>
              <w:rPr>
                <w:i/>
              </w:rPr>
              <w:t>P. acuta</w:t>
            </w:r>
          </w:p>
          <w:p w14:paraId="0703F471" w14:textId="77777777" w:rsidR="0041117E" w:rsidRDefault="0041117E" w:rsidP="00764A86">
            <w:r>
              <w:rPr>
                <w:noProof/>
                <w:lang w:val="fr-FR" w:eastAsia="fr-FR"/>
              </w:rPr>
              <w:drawing>
                <wp:inline distT="0" distB="0" distL="0" distR="0" wp14:anchorId="26DF838B" wp14:editId="67C638BF">
                  <wp:extent cx="1813169" cy="1813169"/>
                  <wp:effectExtent l="0" t="0" r="3175" b="317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Rplot03.pd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9714" cy="18297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32FA639" w14:textId="77777777" w:rsidR="0041117E" w:rsidRDefault="0041117E" w:rsidP="0041117E"/>
    <w:p w14:paraId="6608C799" w14:textId="77777777" w:rsidR="0041117E" w:rsidRDefault="0041117E" w:rsidP="0041117E">
      <w:pPr>
        <w:rPr>
          <w:b/>
          <w:sz w:val="21"/>
        </w:rPr>
      </w:pPr>
    </w:p>
    <w:p w14:paraId="6C00F241" w14:textId="55CC1E13" w:rsidR="00115904" w:rsidRDefault="00115904" w:rsidP="00115904">
      <w:pPr>
        <w:rPr>
          <w:b/>
        </w:rPr>
      </w:pPr>
    </w:p>
    <w:p w14:paraId="12AAB212" w14:textId="397E16FC" w:rsidR="001B5A91" w:rsidRDefault="001B5A91" w:rsidP="00115904">
      <w:pPr>
        <w:rPr>
          <w:b/>
        </w:rPr>
      </w:pPr>
    </w:p>
    <w:p w14:paraId="35448F19" w14:textId="22328BD9" w:rsidR="001B5A91" w:rsidRDefault="001B5A91" w:rsidP="00115904">
      <w:pPr>
        <w:rPr>
          <w:b/>
        </w:rPr>
      </w:pPr>
    </w:p>
    <w:p w14:paraId="082BCE8A" w14:textId="139F3B48" w:rsidR="001B5A91" w:rsidRDefault="001B5A91" w:rsidP="00115904">
      <w:pPr>
        <w:rPr>
          <w:b/>
        </w:rPr>
      </w:pPr>
    </w:p>
    <w:p w14:paraId="5EB20701" w14:textId="6EC3A700" w:rsidR="001B5A91" w:rsidRDefault="001B5A91" w:rsidP="00115904">
      <w:pPr>
        <w:rPr>
          <w:b/>
        </w:rPr>
      </w:pPr>
    </w:p>
    <w:p w14:paraId="62EA8B95" w14:textId="5AF9B236" w:rsidR="001B5A91" w:rsidRDefault="001B5A91" w:rsidP="00115904">
      <w:pPr>
        <w:rPr>
          <w:b/>
        </w:rPr>
      </w:pPr>
    </w:p>
    <w:p w14:paraId="3836AEB7" w14:textId="24D967F1" w:rsidR="001B5A91" w:rsidRDefault="001B5A91" w:rsidP="00115904">
      <w:pPr>
        <w:rPr>
          <w:b/>
        </w:rPr>
      </w:pPr>
    </w:p>
    <w:p w14:paraId="43754AA3" w14:textId="05BD3100" w:rsidR="001B5A91" w:rsidRDefault="001B5A91" w:rsidP="00115904">
      <w:pPr>
        <w:rPr>
          <w:b/>
        </w:rPr>
      </w:pPr>
    </w:p>
    <w:p w14:paraId="460D820D" w14:textId="0F42F748" w:rsidR="001B5A91" w:rsidRDefault="001B5A91" w:rsidP="00115904">
      <w:pPr>
        <w:rPr>
          <w:b/>
        </w:rPr>
      </w:pPr>
    </w:p>
    <w:p w14:paraId="17152E5F" w14:textId="22A0A23E" w:rsidR="001B5A91" w:rsidRDefault="001B5A91" w:rsidP="00115904">
      <w:pPr>
        <w:rPr>
          <w:b/>
        </w:rPr>
      </w:pPr>
    </w:p>
    <w:p w14:paraId="077CF30D" w14:textId="5F84FAFC" w:rsidR="001B5A91" w:rsidRDefault="001B5A91" w:rsidP="00115904">
      <w:pPr>
        <w:rPr>
          <w:b/>
        </w:rPr>
      </w:pPr>
    </w:p>
    <w:p w14:paraId="0B9D7768" w14:textId="32FA8CCD" w:rsidR="001B5A91" w:rsidRDefault="001B5A91" w:rsidP="00115904">
      <w:pPr>
        <w:rPr>
          <w:b/>
        </w:rPr>
      </w:pPr>
    </w:p>
    <w:p w14:paraId="50F85AE8" w14:textId="62C4463A" w:rsidR="001B5A91" w:rsidRDefault="001B5A91" w:rsidP="00115904">
      <w:pPr>
        <w:rPr>
          <w:b/>
        </w:rPr>
      </w:pPr>
    </w:p>
    <w:p w14:paraId="1EC71802" w14:textId="56F0BEA5" w:rsidR="001B5A91" w:rsidRDefault="001B5A91" w:rsidP="00115904">
      <w:pPr>
        <w:rPr>
          <w:b/>
        </w:rPr>
      </w:pPr>
    </w:p>
    <w:p w14:paraId="6CCEA970" w14:textId="4F47244C" w:rsidR="001B5A91" w:rsidRDefault="001B5A91" w:rsidP="00115904">
      <w:pPr>
        <w:rPr>
          <w:b/>
        </w:rPr>
      </w:pPr>
    </w:p>
    <w:p w14:paraId="77486620" w14:textId="2F82D6C2" w:rsidR="001B5A91" w:rsidRDefault="001B5A91" w:rsidP="00115904">
      <w:pPr>
        <w:rPr>
          <w:b/>
        </w:rPr>
      </w:pPr>
    </w:p>
    <w:p w14:paraId="49759124" w14:textId="3E4DE28D" w:rsidR="001B5A91" w:rsidRDefault="001B5A91" w:rsidP="00115904">
      <w:pPr>
        <w:rPr>
          <w:b/>
        </w:rPr>
      </w:pPr>
    </w:p>
    <w:p w14:paraId="489B2B6C" w14:textId="77777777" w:rsidR="007053A5" w:rsidRDefault="007053A5">
      <w:pPr>
        <w:rPr>
          <w:b/>
        </w:rPr>
      </w:pPr>
      <w:r>
        <w:rPr>
          <w:b/>
        </w:rPr>
        <w:br w:type="page"/>
      </w:r>
    </w:p>
    <w:p w14:paraId="16344D6F" w14:textId="0ED2D0A6" w:rsidR="001B5A91" w:rsidRPr="00670808" w:rsidRDefault="001B5A91" w:rsidP="001B5A91">
      <w:pPr>
        <w:jc w:val="both"/>
      </w:pPr>
      <w:r w:rsidRPr="00670808">
        <w:rPr>
          <w:b/>
        </w:rPr>
        <w:lastRenderedPageBreak/>
        <w:t xml:space="preserve">Supplementary Figure </w:t>
      </w:r>
      <w:r>
        <w:rPr>
          <w:b/>
        </w:rPr>
        <w:t>3</w:t>
      </w:r>
      <w:r w:rsidRPr="00670808">
        <w:rPr>
          <w:b/>
        </w:rPr>
        <w:t xml:space="preserve">. </w:t>
      </w:r>
      <w:r>
        <w:rPr>
          <w:b/>
        </w:rPr>
        <w:t xml:space="preserve">Number of genetic clusters suggested for the discriminant analysis of principal components (DAPC). </w:t>
      </w:r>
      <w:r>
        <w:t>The graphs display the comparison of the Bayesian inference criterion (BIC) used to evaluate the optimal number of clusters (lower BIC) for DAPC of the three studied species.</w:t>
      </w:r>
    </w:p>
    <w:p w14:paraId="6F8B4641" w14:textId="77777777" w:rsidR="001B5A91" w:rsidRDefault="001B5A91" w:rsidP="001B5A9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6"/>
        <w:gridCol w:w="3056"/>
        <w:gridCol w:w="3056"/>
      </w:tblGrid>
      <w:tr w:rsidR="001B5A91" w14:paraId="4112F049" w14:textId="77777777" w:rsidTr="007C5AE8">
        <w:tc>
          <w:tcPr>
            <w:tcW w:w="3003" w:type="dxa"/>
          </w:tcPr>
          <w:p w14:paraId="4D132EE3" w14:textId="77777777" w:rsidR="001B5A91" w:rsidRDefault="001B5A91" w:rsidP="001B5A91">
            <w:pPr>
              <w:pStyle w:val="ListParagraph"/>
              <w:numPr>
                <w:ilvl w:val="0"/>
                <w:numId w:val="6"/>
              </w:numPr>
            </w:pPr>
            <w:r>
              <w:rPr>
                <w:i/>
              </w:rPr>
              <w:t>A. millepora</w:t>
            </w:r>
          </w:p>
          <w:p w14:paraId="73FA9D4B" w14:textId="77777777" w:rsidR="001B5A91" w:rsidRDefault="001B5A91" w:rsidP="007C5AE8">
            <w:r>
              <w:rPr>
                <w:noProof/>
                <w:lang w:val="fr-FR" w:eastAsia="fr-FR"/>
              </w:rPr>
              <w:drawing>
                <wp:inline distT="0" distB="0" distL="0" distR="0" wp14:anchorId="1D08D5C3" wp14:editId="76FD546E">
                  <wp:extent cx="1800000" cy="1800000"/>
                  <wp:effectExtent l="0" t="0" r="3810" b="381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BIC_daPC_AM.pdf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3" w:type="dxa"/>
          </w:tcPr>
          <w:p w14:paraId="7071367C" w14:textId="77777777" w:rsidR="001B5A91" w:rsidRDefault="001B5A91" w:rsidP="001B5A91">
            <w:pPr>
              <w:pStyle w:val="ListParagraph"/>
              <w:numPr>
                <w:ilvl w:val="0"/>
                <w:numId w:val="6"/>
              </w:numPr>
            </w:pPr>
            <w:r>
              <w:rPr>
                <w:i/>
              </w:rPr>
              <w:t>P. damicornis</w:t>
            </w:r>
          </w:p>
          <w:p w14:paraId="42443725" w14:textId="77777777" w:rsidR="001B5A91" w:rsidRDefault="001B5A91" w:rsidP="007C5AE8">
            <w:r>
              <w:rPr>
                <w:noProof/>
                <w:lang w:val="fr-FR" w:eastAsia="fr-FR"/>
              </w:rPr>
              <w:drawing>
                <wp:inline distT="0" distB="0" distL="0" distR="0" wp14:anchorId="6F9D01CF" wp14:editId="755B5A28">
                  <wp:extent cx="1800000" cy="1800000"/>
                  <wp:effectExtent l="0" t="0" r="3810" b="381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BIC_daPC_PA.pdf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4" w:type="dxa"/>
          </w:tcPr>
          <w:p w14:paraId="4E046945" w14:textId="77777777" w:rsidR="001B5A91" w:rsidRPr="00670808" w:rsidRDefault="001B5A91" w:rsidP="001B5A91">
            <w:pPr>
              <w:pStyle w:val="ListParagraph"/>
              <w:numPr>
                <w:ilvl w:val="0"/>
                <w:numId w:val="6"/>
              </w:numPr>
            </w:pPr>
            <w:r>
              <w:rPr>
                <w:i/>
              </w:rPr>
              <w:t>P. acuta</w:t>
            </w:r>
          </w:p>
          <w:p w14:paraId="1A476C50" w14:textId="77777777" w:rsidR="001B5A91" w:rsidRDefault="001B5A91" w:rsidP="007C5AE8">
            <w:r>
              <w:rPr>
                <w:noProof/>
                <w:lang w:val="fr-FR" w:eastAsia="fr-FR"/>
              </w:rPr>
              <w:drawing>
                <wp:inline distT="0" distB="0" distL="0" distR="0" wp14:anchorId="4C9EA964" wp14:editId="7DD53AB7">
                  <wp:extent cx="1800000" cy="1800000"/>
                  <wp:effectExtent l="0" t="0" r="3810" b="381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BIC_daPC_PB.pdf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E98F557" w14:textId="6DB7E719" w:rsidR="001B5A91" w:rsidRDefault="001B5A91" w:rsidP="001B5A91">
      <w:pPr>
        <w:rPr>
          <w:b/>
        </w:rPr>
      </w:pPr>
    </w:p>
    <w:p w14:paraId="4329ACD5" w14:textId="30D83FDF" w:rsidR="007053A5" w:rsidRDefault="007053A5" w:rsidP="001B5A91">
      <w:pPr>
        <w:rPr>
          <w:b/>
        </w:rPr>
      </w:pPr>
    </w:p>
    <w:p w14:paraId="73171557" w14:textId="579AA7CF" w:rsidR="007053A5" w:rsidRDefault="007053A5" w:rsidP="001B5A91">
      <w:pPr>
        <w:rPr>
          <w:b/>
        </w:rPr>
      </w:pPr>
    </w:p>
    <w:p w14:paraId="63249E1E" w14:textId="77777777" w:rsidR="007053A5" w:rsidRDefault="007053A5" w:rsidP="001B5A91">
      <w:pPr>
        <w:rPr>
          <w:b/>
        </w:rPr>
      </w:pPr>
    </w:p>
    <w:p w14:paraId="487045D8" w14:textId="03DDB424" w:rsidR="007053A5" w:rsidRDefault="007053A5">
      <w:pPr>
        <w:rPr>
          <w:b/>
        </w:rPr>
      </w:pPr>
      <w:r>
        <w:rPr>
          <w:b/>
        </w:rPr>
        <w:br w:type="page"/>
      </w:r>
    </w:p>
    <w:p w14:paraId="1E018014" w14:textId="0957C29A" w:rsidR="007053A5" w:rsidRPr="007053A5" w:rsidRDefault="007053A5" w:rsidP="007053A5">
      <w:pPr>
        <w:jc w:val="both"/>
        <w:rPr>
          <w:b/>
        </w:rPr>
      </w:pPr>
      <w:r w:rsidRPr="00670808">
        <w:rPr>
          <w:b/>
        </w:rPr>
        <w:lastRenderedPageBreak/>
        <w:t xml:space="preserve">Supplementary Figure </w:t>
      </w:r>
      <w:r>
        <w:rPr>
          <w:b/>
        </w:rPr>
        <w:t>4</w:t>
      </w:r>
      <w:r w:rsidRPr="00670808">
        <w:rPr>
          <w:b/>
        </w:rPr>
        <w:t xml:space="preserve">. </w:t>
      </w:r>
      <w:r>
        <w:rPr>
          <w:b/>
        </w:rPr>
        <w:t xml:space="preserve">Minor allele frequency by sampling location. </w:t>
      </w:r>
      <w:r w:rsidRPr="007053A5">
        <w:t>The three</w:t>
      </w:r>
      <w:r>
        <w:t xml:space="preserve"> boxplots display the minor allele frequency (MAF) at every sampling location having at least five samples for </w:t>
      </w:r>
      <w:r>
        <w:rPr>
          <w:i/>
        </w:rPr>
        <w:t>Acropora millepora</w:t>
      </w:r>
      <w:r w:rsidRPr="007053A5">
        <w:t xml:space="preserve"> (a)</w:t>
      </w:r>
      <w:r>
        <w:t xml:space="preserve">, </w:t>
      </w:r>
      <w:r>
        <w:rPr>
          <w:i/>
        </w:rPr>
        <w:t xml:space="preserve">Pocillopora damicornis </w:t>
      </w:r>
      <w:r>
        <w:t xml:space="preserve">(b) and </w:t>
      </w:r>
      <w:r>
        <w:rPr>
          <w:i/>
        </w:rPr>
        <w:t xml:space="preserve">Pocillopora acuta </w:t>
      </w:r>
      <w:r>
        <w:t xml:space="preserve">(c). On the x-axes of each plot, sampling locations are represented by a symbol. The position of the sampling locations is shown by the corresponding symbols in (d). </w:t>
      </w:r>
    </w:p>
    <w:p w14:paraId="6F5BF586" w14:textId="77777777" w:rsidR="007053A5" w:rsidRDefault="007053A5" w:rsidP="00115904">
      <w:pPr>
        <w:rPr>
          <w:b/>
        </w:rPr>
      </w:pPr>
    </w:p>
    <w:p w14:paraId="6B547DC0" w14:textId="689D2331" w:rsidR="001B5A91" w:rsidRPr="00DF7F07" w:rsidRDefault="007053A5" w:rsidP="00115904">
      <w:pPr>
        <w:rPr>
          <w:b/>
        </w:rPr>
      </w:pPr>
      <w:r>
        <w:rPr>
          <w:b/>
          <w:noProof/>
          <w:lang w:val="fr-FR" w:eastAsia="fr-FR"/>
        </w:rPr>
        <w:drawing>
          <wp:inline distT="0" distB="0" distL="0" distR="0" wp14:anchorId="75F75D5B" wp14:editId="098C5B74">
            <wp:extent cx="5410200" cy="5778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upplementaryMAF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577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B5A91" w:rsidRPr="00DF7F07" w:rsidSect="000C5B4D">
      <w:headerReference w:type="default" r:id="rId16"/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24EBD5" w14:textId="77777777" w:rsidR="003B5368" w:rsidRDefault="003B5368" w:rsidP="0063401C">
      <w:r>
        <w:separator/>
      </w:r>
    </w:p>
  </w:endnote>
  <w:endnote w:type="continuationSeparator" w:id="0">
    <w:p w14:paraId="13861E65" w14:textId="77777777" w:rsidR="003B5368" w:rsidRDefault="003B5368" w:rsidP="00634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79502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765B30" w14:textId="77777777" w:rsidR="0063401C" w:rsidRDefault="0063401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27E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89528AA" w14:textId="77777777" w:rsidR="0063401C" w:rsidRDefault="006340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4ABA47" w14:textId="77777777" w:rsidR="003B5368" w:rsidRDefault="003B5368" w:rsidP="0063401C">
      <w:r>
        <w:separator/>
      </w:r>
    </w:p>
  </w:footnote>
  <w:footnote w:type="continuationSeparator" w:id="0">
    <w:p w14:paraId="7006A766" w14:textId="77777777" w:rsidR="003B5368" w:rsidRDefault="003B5368" w:rsidP="006340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BF32E" w14:textId="77777777" w:rsidR="0063401C" w:rsidRDefault="0063401C" w:rsidP="00997FE7">
    <w:pPr>
      <w:pStyle w:val="Header"/>
      <w:jc w:val="center"/>
    </w:pPr>
    <w:r>
      <w:rPr>
        <w:noProof/>
        <w:lang w:val="fr-FR" w:eastAsia="fr-FR"/>
      </w:rPr>
      <w:drawing>
        <wp:inline distT="0" distB="0" distL="0" distR="0" wp14:anchorId="635F5DEB" wp14:editId="5CA2DA82">
          <wp:extent cx="5334000" cy="810721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C_centre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0" cy="8107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BD0314" w14:textId="77777777" w:rsidR="0063401C" w:rsidRDefault="006340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E2362"/>
    <w:multiLevelType w:val="hybridMultilevel"/>
    <w:tmpl w:val="CFD4B332"/>
    <w:lvl w:ilvl="0" w:tplc="0B2CF07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70155"/>
    <w:multiLevelType w:val="hybridMultilevel"/>
    <w:tmpl w:val="DD941A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F77A6"/>
    <w:multiLevelType w:val="hybridMultilevel"/>
    <w:tmpl w:val="DD941A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A0909"/>
    <w:multiLevelType w:val="hybridMultilevel"/>
    <w:tmpl w:val="44142744"/>
    <w:lvl w:ilvl="0" w:tplc="FE6AEF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EE288A"/>
    <w:multiLevelType w:val="hybridMultilevel"/>
    <w:tmpl w:val="DDA0F7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7951A09"/>
    <w:multiLevelType w:val="hybridMultilevel"/>
    <w:tmpl w:val="26C0F1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attachedTemplate r:id="rId1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D30"/>
    <w:rsid w:val="00014E13"/>
    <w:rsid w:val="000B50DD"/>
    <w:rsid w:val="000C5B4D"/>
    <w:rsid w:val="00115904"/>
    <w:rsid w:val="001B41A5"/>
    <w:rsid w:val="001B5A91"/>
    <w:rsid w:val="002819E1"/>
    <w:rsid w:val="003151A7"/>
    <w:rsid w:val="003B5368"/>
    <w:rsid w:val="004034EA"/>
    <w:rsid w:val="0041117E"/>
    <w:rsid w:val="00574328"/>
    <w:rsid w:val="005910E5"/>
    <w:rsid w:val="005D0293"/>
    <w:rsid w:val="0063401C"/>
    <w:rsid w:val="006548DF"/>
    <w:rsid w:val="00683A59"/>
    <w:rsid w:val="006F3DB8"/>
    <w:rsid w:val="007053A5"/>
    <w:rsid w:val="007A156D"/>
    <w:rsid w:val="007B5D30"/>
    <w:rsid w:val="007D2839"/>
    <w:rsid w:val="007F0433"/>
    <w:rsid w:val="007F3854"/>
    <w:rsid w:val="00990CA8"/>
    <w:rsid w:val="00997FE7"/>
    <w:rsid w:val="009D572C"/>
    <w:rsid w:val="009F0762"/>
    <w:rsid w:val="00BD4601"/>
    <w:rsid w:val="00C05DBD"/>
    <w:rsid w:val="00C25B86"/>
    <w:rsid w:val="00CA03E7"/>
    <w:rsid w:val="00CA1335"/>
    <w:rsid w:val="00D13295"/>
    <w:rsid w:val="00D90255"/>
    <w:rsid w:val="00DF7F07"/>
    <w:rsid w:val="00E01256"/>
    <w:rsid w:val="00EC62E0"/>
    <w:rsid w:val="00F253C1"/>
    <w:rsid w:val="00F34C40"/>
    <w:rsid w:val="00F506EA"/>
    <w:rsid w:val="00F527ED"/>
    <w:rsid w:val="00FB72CA"/>
    <w:rsid w:val="00FF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F66D5"/>
  <w15:docId w15:val="{0E5FB33C-5686-954E-85E2-6D453B5E2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40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0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40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401C"/>
  </w:style>
  <w:style w:type="paragraph" w:styleId="Footer">
    <w:name w:val="footer"/>
    <w:basedOn w:val="Normal"/>
    <w:link w:val="FooterChar"/>
    <w:uiPriority w:val="99"/>
    <w:unhideWhenUsed/>
    <w:rsid w:val="006340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401C"/>
  </w:style>
  <w:style w:type="paragraph" w:styleId="ListParagraph">
    <w:name w:val="List Paragraph"/>
    <w:basedOn w:val="Normal"/>
    <w:uiPriority w:val="34"/>
    <w:qFormat/>
    <w:rsid w:val="000C5B4D"/>
    <w:pPr>
      <w:ind w:left="720"/>
      <w:contextualSpacing/>
    </w:pPr>
  </w:style>
  <w:style w:type="table" w:styleId="TableGrid">
    <w:name w:val="Table Grid"/>
    <w:basedOn w:val="TableNormal"/>
    <w:uiPriority w:val="39"/>
    <w:rsid w:val="005743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P:\Journals,%20In-house\MEC\MEC\Documents\MEC%20Supplemental%20Inform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EB4DC59-A35C-A840-92D2-B3030F21D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P:\Journals, In-house\MEC\MEC\Documents\MEC Supplemental Information.dotx</Template>
  <TotalTime>1</TotalTime>
  <Pages>5</Pages>
  <Words>332</Words>
  <Characters>1899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John Wiley and Sons, Inc.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Chambers, Karen - Hoboken</dc:creator>
  <cp:lastModifiedBy>Oliver Selmoni</cp:lastModifiedBy>
  <cp:revision>2</cp:revision>
  <dcterms:created xsi:type="dcterms:W3CDTF">2021-02-01T10:13:00Z</dcterms:created>
  <dcterms:modified xsi:type="dcterms:W3CDTF">2021-02-01T10:13:00Z</dcterms:modified>
</cp:coreProperties>
</file>