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7E8A5B" w14:textId="77777777" w:rsidR="008F5983" w:rsidRPr="006412A5" w:rsidRDefault="008F5983" w:rsidP="008F5983">
      <w:pPr>
        <w:jc w:val="center"/>
        <w:rPr>
          <w:sz w:val="24"/>
          <w:szCs w:val="24"/>
          <w:rPrChange w:id="0" w:author="Lowell Stott" w:date="2020-11-24T13:30:00Z">
            <w:rPr>
              <w:sz w:val="36"/>
              <w:szCs w:val="36"/>
            </w:rPr>
          </w:rPrChange>
        </w:rPr>
      </w:pPr>
      <w:bookmarkStart w:id="1" w:name="_GoBack"/>
      <w:bookmarkEnd w:id="1"/>
      <w:r w:rsidRPr="006412A5">
        <w:rPr>
          <w:noProof/>
          <w:sz w:val="24"/>
          <w:szCs w:val="24"/>
          <w:rPrChange w:id="2" w:author="Lowell Stott" w:date="2020-11-24T13:30:00Z">
            <w:rPr>
              <w:noProof/>
              <w:sz w:val="36"/>
              <w:szCs w:val="36"/>
            </w:rPr>
          </w:rPrChange>
        </w:rPr>
        <w:drawing>
          <wp:inline distT="0" distB="0" distL="0" distR="0" wp14:anchorId="5B38042C" wp14:editId="0F04F929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EA796" w14:textId="77777777" w:rsidR="008F5983" w:rsidRPr="006412A5" w:rsidRDefault="008F5983" w:rsidP="008F5983">
      <w:pPr>
        <w:spacing w:before="100" w:beforeAutospacing="1" w:after="100" w:afterAutospacing="1"/>
        <w:jc w:val="center"/>
        <w:rPr>
          <w:rFonts w:ascii="Myriad Pro" w:hAnsi="Myriad Pro"/>
          <w:i/>
          <w:sz w:val="24"/>
          <w:szCs w:val="24"/>
          <w:rPrChange w:id="3" w:author="Lowell Stott" w:date="2020-11-24T13:30:00Z">
            <w:rPr>
              <w:rFonts w:ascii="Myriad Pro" w:hAnsi="Myriad Pro"/>
              <w:i/>
              <w:sz w:val="22"/>
              <w:szCs w:val="22"/>
            </w:rPr>
          </w:rPrChange>
        </w:rPr>
      </w:pPr>
      <w:r w:rsidRPr="006412A5">
        <w:rPr>
          <w:rFonts w:ascii="Myriad Pro" w:hAnsi="Myriad Pro"/>
          <w:i/>
          <w:sz w:val="24"/>
          <w:szCs w:val="24"/>
          <w:rPrChange w:id="4" w:author="Lowell Stott" w:date="2020-11-24T13:30:00Z">
            <w:rPr>
              <w:rFonts w:ascii="Myriad Pro" w:hAnsi="Myriad Pro"/>
              <w:i/>
              <w:sz w:val="22"/>
              <w:szCs w:val="22"/>
            </w:rPr>
          </w:rPrChange>
        </w:rPr>
        <w:t>[GRL]</w:t>
      </w:r>
    </w:p>
    <w:p w14:paraId="67C02039" w14:textId="77777777" w:rsidR="008F5983" w:rsidRPr="006412A5" w:rsidRDefault="008F5983" w:rsidP="008F5983">
      <w:pPr>
        <w:spacing w:before="100" w:beforeAutospacing="1" w:after="100" w:afterAutospacing="1"/>
        <w:jc w:val="center"/>
        <w:rPr>
          <w:rFonts w:ascii="Myriad Pro" w:hAnsi="Myriad Pro"/>
          <w:sz w:val="24"/>
          <w:szCs w:val="24"/>
          <w:rPrChange w:id="5" w:author="Lowell Stott" w:date="2020-11-24T13:30:00Z">
            <w:rPr>
              <w:rFonts w:ascii="Myriad Pro" w:hAnsi="Myriad Pro"/>
              <w:sz w:val="22"/>
              <w:szCs w:val="22"/>
            </w:rPr>
          </w:rPrChange>
        </w:rPr>
      </w:pPr>
      <w:r w:rsidRPr="006412A5">
        <w:rPr>
          <w:rFonts w:ascii="Myriad Pro" w:hAnsi="Myriad Pro"/>
          <w:sz w:val="24"/>
          <w:szCs w:val="24"/>
          <w:rPrChange w:id="6" w:author="Lowell Stott" w:date="2020-11-24T13:30:00Z">
            <w:rPr>
              <w:rFonts w:ascii="Myriad Pro" w:hAnsi="Myriad Pro"/>
              <w:sz w:val="22"/>
              <w:szCs w:val="22"/>
            </w:rPr>
          </w:rPrChange>
        </w:rPr>
        <w:t>Supporting Information for</w:t>
      </w:r>
    </w:p>
    <w:p w14:paraId="50A118C7" w14:textId="77777777" w:rsidR="008F5983" w:rsidRPr="006412A5" w:rsidRDefault="008F5983" w:rsidP="008F5983">
      <w:pPr>
        <w:rPr>
          <w:sz w:val="24"/>
          <w:szCs w:val="24"/>
          <w:rPrChange w:id="7" w:author="Lowell Stott" w:date="2020-11-24T13:30:00Z">
            <w:rPr/>
          </w:rPrChange>
        </w:rPr>
      </w:pPr>
    </w:p>
    <w:p w14:paraId="4F405D9D" w14:textId="77777777" w:rsidR="008F5983" w:rsidRPr="006412A5" w:rsidRDefault="008F5983" w:rsidP="008F5983">
      <w:pPr>
        <w:spacing w:line="480" w:lineRule="auto"/>
        <w:rPr>
          <w:b/>
          <w:bCs/>
          <w:sz w:val="24"/>
          <w:szCs w:val="24"/>
        </w:rPr>
      </w:pPr>
      <w:r w:rsidRPr="006412A5">
        <w:rPr>
          <w:sz w:val="24"/>
          <w:szCs w:val="24"/>
          <w:rPrChange w:id="8" w:author="Lowell Stott" w:date="2020-11-24T13:30:00Z">
            <w:rPr>
              <w:sz w:val="32"/>
              <w:szCs w:val="32"/>
            </w:rPr>
          </w:rPrChange>
        </w:rPr>
        <w:t>Evaluating the glacial-deglacial carbon respiration and ventilation change hypothesis as a mechanism for changing atmospheric CO</w:t>
      </w:r>
      <w:r w:rsidRPr="006412A5">
        <w:rPr>
          <w:sz w:val="24"/>
          <w:szCs w:val="24"/>
          <w:vertAlign w:val="subscript"/>
          <w:rPrChange w:id="9" w:author="Lowell Stott" w:date="2020-11-24T13:30:00Z">
            <w:rPr>
              <w:sz w:val="32"/>
              <w:szCs w:val="32"/>
              <w:vertAlign w:val="subscript"/>
            </w:rPr>
          </w:rPrChange>
        </w:rPr>
        <w:t>2</w:t>
      </w:r>
      <w:r w:rsidRPr="006412A5">
        <w:rPr>
          <w:b/>
          <w:bCs/>
          <w:sz w:val="24"/>
          <w:szCs w:val="24"/>
        </w:rPr>
        <w:t xml:space="preserve"> </w:t>
      </w:r>
    </w:p>
    <w:p w14:paraId="73542946" w14:textId="77777777" w:rsidR="008F5983" w:rsidRPr="006412A5" w:rsidRDefault="008F5983" w:rsidP="008F5983">
      <w:pPr>
        <w:spacing w:line="480" w:lineRule="auto"/>
        <w:rPr>
          <w:b/>
          <w:bCs/>
          <w:sz w:val="24"/>
          <w:szCs w:val="24"/>
        </w:rPr>
      </w:pPr>
      <w:r w:rsidRPr="006412A5">
        <w:rPr>
          <w:b/>
          <w:bCs/>
          <w:sz w:val="24"/>
          <w:szCs w:val="24"/>
        </w:rPr>
        <w:t>Lowell D. Stott</w:t>
      </w:r>
      <w:r w:rsidRPr="006412A5">
        <w:rPr>
          <w:b/>
          <w:bCs/>
          <w:sz w:val="24"/>
          <w:szCs w:val="24"/>
          <w:vertAlign w:val="superscript"/>
        </w:rPr>
        <w:t>1</w:t>
      </w:r>
      <w:r w:rsidRPr="006412A5">
        <w:rPr>
          <w:b/>
          <w:bCs/>
          <w:sz w:val="24"/>
          <w:szCs w:val="24"/>
        </w:rPr>
        <w:t>, Jun Shao</w:t>
      </w:r>
      <w:r w:rsidRPr="006412A5">
        <w:rPr>
          <w:b/>
          <w:bCs/>
          <w:sz w:val="24"/>
          <w:szCs w:val="24"/>
          <w:vertAlign w:val="superscript"/>
        </w:rPr>
        <w:t>1</w:t>
      </w:r>
      <w:r w:rsidRPr="006412A5">
        <w:rPr>
          <w:b/>
          <w:bCs/>
          <w:sz w:val="24"/>
          <w:szCs w:val="24"/>
        </w:rPr>
        <w:t>, Jimin Yu</w:t>
      </w:r>
      <w:r w:rsidRPr="006412A5">
        <w:rPr>
          <w:b/>
          <w:bCs/>
          <w:sz w:val="24"/>
          <w:szCs w:val="24"/>
          <w:vertAlign w:val="superscript"/>
        </w:rPr>
        <w:t>2</w:t>
      </w:r>
      <w:r w:rsidRPr="006412A5">
        <w:rPr>
          <w:b/>
          <w:bCs/>
          <w:sz w:val="24"/>
          <w:szCs w:val="24"/>
        </w:rPr>
        <w:t>, and Kathleen M. Harazin</w:t>
      </w:r>
      <w:r w:rsidRPr="006412A5">
        <w:rPr>
          <w:b/>
          <w:bCs/>
          <w:sz w:val="24"/>
          <w:szCs w:val="24"/>
          <w:vertAlign w:val="superscript"/>
        </w:rPr>
        <w:t>2</w:t>
      </w:r>
    </w:p>
    <w:p w14:paraId="7EC04914" w14:textId="77777777" w:rsidR="008F5983" w:rsidRPr="006412A5" w:rsidRDefault="008F5983" w:rsidP="008F5983">
      <w:pPr>
        <w:rPr>
          <w:b/>
          <w:bCs/>
          <w:sz w:val="24"/>
          <w:szCs w:val="24"/>
        </w:rPr>
      </w:pPr>
      <w:r w:rsidRPr="006412A5">
        <w:rPr>
          <w:b/>
          <w:bCs/>
          <w:sz w:val="24"/>
          <w:szCs w:val="24"/>
          <w:vertAlign w:val="superscript"/>
        </w:rPr>
        <w:t>1</w:t>
      </w:r>
      <w:r w:rsidRPr="006412A5">
        <w:rPr>
          <w:b/>
          <w:bCs/>
          <w:sz w:val="24"/>
          <w:szCs w:val="24"/>
        </w:rPr>
        <w:t>Department of Earth Sciences, University of Southern California, 3651 Trousdale Pkwy, Los Angeles, CA 90089</w:t>
      </w:r>
    </w:p>
    <w:p w14:paraId="31C07EC6" w14:textId="77777777" w:rsidR="008F5983" w:rsidRPr="006412A5" w:rsidRDefault="008F5983" w:rsidP="008F5983">
      <w:pPr>
        <w:rPr>
          <w:b/>
          <w:bCs/>
          <w:sz w:val="24"/>
          <w:szCs w:val="24"/>
        </w:rPr>
      </w:pPr>
      <w:r w:rsidRPr="006412A5">
        <w:rPr>
          <w:b/>
          <w:bCs/>
          <w:sz w:val="24"/>
          <w:szCs w:val="24"/>
          <w:vertAlign w:val="superscript"/>
        </w:rPr>
        <w:t>2</w:t>
      </w:r>
      <w:r w:rsidRPr="006412A5">
        <w:rPr>
          <w:b/>
          <w:bCs/>
          <w:sz w:val="24"/>
          <w:szCs w:val="24"/>
        </w:rPr>
        <w:t>Research School of Earth Sciences, The Australian National University, Canberra, ACT 2601, Australia</w:t>
      </w:r>
    </w:p>
    <w:p w14:paraId="40CC4B2B" w14:textId="77777777" w:rsidR="008F5983" w:rsidRPr="006412A5" w:rsidRDefault="008F5983" w:rsidP="008F5983">
      <w:pPr>
        <w:spacing w:before="100" w:beforeAutospacing="1" w:after="100" w:afterAutospacing="1"/>
        <w:jc w:val="center"/>
        <w:rPr>
          <w:rFonts w:ascii="Myriad Pro" w:hAnsi="Myriad Pro"/>
          <w:sz w:val="24"/>
          <w:szCs w:val="24"/>
          <w:rPrChange w:id="10" w:author="Lowell Stott" w:date="2020-11-24T13:30:00Z">
            <w:rPr>
              <w:rFonts w:ascii="Myriad Pro" w:hAnsi="Myriad Pro"/>
              <w:sz w:val="22"/>
              <w:szCs w:val="22"/>
            </w:rPr>
          </w:rPrChange>
        </w:rPr>
      </w:pPr>
      <w:r w:rsidRPr="006412A5" w:rsidDel="00A50033">
        <w:rPr>
          <w:rFonts w:ascii="Myriad Pro" w:hAnsi="Myriad Pro"/>
          <w:sz w:val="24"/>
          <w:szCs w:val="24"/>
          <w:rPrChange w:id="11" w:author="Lowell Stott" w:date="2020-11-24T13:30:00Z">
            <w:rPr>
              <w:rFonts w:ascii="Myriad Pro" w:hAnsi="Myriad Pro"/>
              <w:sz w:val="22"/>
              <w:szCs w:val="22"/>
            </w:rPr>
          </w:rPrChange>
        </w:rPr>
        <w:t xml:space="preserve"> </w:t>
      </w:r>
    </w:p>
    <w:p w14:paraId="786C9745" w14:textId="77777777" w:rsidR="008F5983" w:rsidRPr="006412A5" w:rsidRDefault="008F5983" w:rsidP="008F5983">
      <w:pPr>
        <w:spacing w:before="100" w:beforeAutospacing="1" w:after="100" w:afterAutospacing="1"/>
        <w:jc w:val="center"/>
        <w:rPr>
          <w:rFonts w:ascii="Myriad Pro" w:hAnsi="Myriad Pro"/>
          <w:sz w:val="24"/>
          <w:szCs w:val="24"/>
          <w:rPrChange w:id="12" w:author="Lowell Stott" w:date="2020-11-24T13:30:00Z">
            <w:rPr>
              <w:rFonts w:ascii="Myriad Pro" w:hAnsi="Myriad Pro"/>
              <w:sz w:val="22"/>
              <w:szCs w:val="22"/>
            </w:rPr>
          </w:rPrChange>
        </w:rPr>
      </w:pPr>
    </w:p>
    <w:p w14:paraId="78F42C6C" w14:textId="77777777" w:rsidR="008F5983" w:rsidRPr="006412A5" w:rsidRDefault="008F5983" w:rsidP="008F5983">
      <w:pPr>
        <w:rPr>
          <w:rFonts w:ascii="Myriad Pro" w:hAnsi="Myriad Pro"/>
          <w:b/>
          <w:sz w:val="24"/>
          <w:szCs w:val="24"/>
          <w:rPrChange w:id="13" w:author="Lowell Stott" w:date="2020-11-24T13:30:00Z">
            <w:rPr>
              <w:rFonts w:ascii="Myriad Pro" w:hAnsi="Myriad Pro"/>
              <w:b/>
            </w:rPr>
          </w:rPrChange>
        </w:rPr>
      </w:pPr>
      <w:r w:rsidRPr="006412A5">
        <w:rPr>
          <w:rFonts w:ascii="Myriad Pro" w:hAnsi="Myriad Pro"/>
          <w:b/>
          <w:sz w:val="24"/>
          <w:szCs w:val="24"/>
          <w:rPrChange w:id="14" w:author="Lowell Stott" w:date="2020-11-24T13:30:00Z">
            <w:rPr>
              <w:rFonts w:ascii="Myriad Pro" w:hAnsi="Myriad Pro"/>
              <w:b/>
            </w:rPr>
          </w:rPrChange>
        </w:rPr>
        <w:t xml:space="preserve">Contents of this file </w:t>
      </w:r>
    </w:p>
    <w:p w14:paraId="4A591CE6" w14:textId="77777777" w:rsidR="008F5983" w:rsidRPr="006412A5" w:rsidRDefault="008F5983" w:rsidP="008F5983">
      <w:pPr>
        <w:rPr>
          <w:rFonts w:ascii="Myriad Pro" w:hAnsi="Myriad Pro"/>
          <w:sz w:val="24"/>
          <w:szCs w:val="24"/>
          <w:rPrChange w:id="15" w:author="Lowell Stott" w:date="2020-11-24T13:30:00Z">
            <w:rPr>
              <w:rFonts w:ascii="Myriad Pro" w:hAnsi="Myriad Pro"/>
            </w:rPr>
          </w:rPrChange>
        </w:rPr>
      </w:pPr>
    </w:p>
    <w:p w14:paraId="57B69286" w14:textId="77777777" w:rsidR="008F5983" w:rsidRPr="006412A5" w:rsidRDefault="008F5983" w:rsidP="008F5983">
      <w:pPr>
        <w:ind w:left="720"/>
        <w:rPr>
          <w:rFonts w:ascii="Myriad Pro" w:hAnsi="Myriad Pro"/>
          <w:sz w:val="24"/>
          <w:szCs w:val="24"/>
          <w:rPrChange w:id="16" w:author="Lowell Stott" w:date="2020-11-24T13:30:00Z">
            <w:rPr>
              <w:rFonts w:ascii="Myriad Pro" w:hAnsi="Myriad Pro"/>
              <w:sz w:val="22"/>
              <w:szCs w:val="22"/>
            </w:rPr>
          </w:rPrChange>
        </w:rPr>
      </w:pPr>
      <w:r w:rsidRPr="006412A5">
        <w:rPr>
          <w:rFonts w:ascii="Myriad Pro" w:hAnsi="Myriad Pro"/>
          <w:sz w:val="24"/>
          <w:szCs w:val="24"/>
          <w:rPrChange w:id="17" w:author="Lowell Stott" w:date="2020-11-24T13:30:00Z">
            <w:rPr>
              <w:rFonts w:ascii="Myriad Pro" w:hAnsi="Myriad Pro"/>
              <w:sz w:val="22"/>
              <w:szCs w:val="22"/>
            </w:rPr>
          </w:rPrChange>
        </w:rPr>
        <w:t>Figures S1 to S2</w:t>
      </w:r>
    </w:p>
    <w:p w14:paraId="121FF8E5" w14:textId="77777777" w:rsidR="008F5983" w:rsidRPr="006412A5" w:rsidRDefault="008F5983" w:rsidP="008F5983">
      <w:pPr>
        <w:ind w:left="720"/>
        <w:rPr>
          <w:rFonts w:ascii="Myriad Pro" w:hAnsi="Myriad Pro"/>
          <w:sz w:val="24"/>
          <w:szCs w:val="24"/>
          <w:rPrChange w:id="18" w:author="Lowell Stott" w:date="2020-11-24T13:30:00Z">
            <w:rPr>
              <w:rFonts w:ascii="Myriad Pro" w:hAnsi="Myriad Pro"/>
            </w:rPr>
          </w:rPrChange>
        </w:rPr>
      </w:pPr>
    </w:p>
    <w:p w14:paraId="6F9C3757" w14:textId="77777777" w:rsidR="008F5983" w:rsidRPr="006412A5" w:rsidRDefault="008F5983" w:rsidP="008F5983">
      <w:pPr>
        <w:spacing w:before="100" w:beforeAutospacing="1" w:after="100" w:afterAutospacing="1"/>
        <w:rPr>
          <w:rFonts w:ascii="Myriad Pro" w:hAnsi="Myriad Pro"/>
          <w:b/>
          <w:sz w:val="24"/>
          <w:szCs w:val="24"/>
          <w:rPrChange w:id="19" w:author="Lowell Stott" w:date="2020-11-24T13:30:00Z">
            <w:rPr>
              <w:rFonts w:ascii="Myriad Pro" w:hAnsi="Myriad Pro"/>
              <w:b/>
              <w:szCs w:val="24"/>
            </w:rPr>
          </w:rPrChange>
        </w:rPr>
      </w:pPr>
      <w:r w:rsidRPr="006412A5">
        <w:rPr>
          <w:rFonts w:ascii="Myriad Pro" w:hAnsi="Myriad Pro"/>
          <w:b/>
          <w:bCs/>
          <w:sz w:val="24"/>
          <w:szCs w:val="24"/>
          <w:rPrChange w:id="20" w:author="Lowell Stott" w:date="2020-11-24T13:30:00Z">
            <w:rPr>
              <w:rFonts w:ascii="Myriad Pro" w:hAnsi="Myriad Pro"/>
              <w:b/>
              <w:bCs/>
              <w:szCs w:val="24"/>
            </w:rPr>
          </w:rPrChange>
        </w:rPr>
        <w:t>Introduction</w:t>
      </w:r>
      <w:r w:rsidRPr="006412A5">
        <w:rPr>
          <w:rFonts w:ascii="Myriad Pro" w:hAnsi="Myriad Pro"/>
          <w:b/>
          <w:sz w:val="24"/>
          <w:szCs w:val="24"/>
          <w:rPrChange w:id="21" w:author="Lowell Stott" w:date="2020-11-24T13:30:00Z">
            <w:rPr>
              <w:rFonts w:ascii="Myriad Pro" w:hAnsi="Myriad Pro"/>
              <w:b/>
              <w:szCs w:val="24"/>
            </w:rPr>
          </w:rPrChange>
        </w:rPr>
        <w:t xml:space="preserve"> </w:t>
      </w:r>
    </w:p>
    <w:p w14:paraId="5703EFC0" w14:textId="77777777" w:rsidR="008F5983" w:rsidRPr="006412A5" w:rsidRDefault="008F5983" w:rsidP="008F5983">
      <w:pPr>
        <w:spacing w:before="100" w:beforeAutospacing="1" w:after="100" w:afterAutospacing="1"/>
        <w:rPr>
          <w:rFonts w:ascii="Myriad Pro" w:hAnsi="Myriad Pro"/>
          <w:sz w:val="24"/>
          <w:szCs w:val="24"/>
          <w:rPrChange w:id="22" w:author="Lowell Stott" w:date="2020-11-24T13:30:00Z">
            <w:rPr>
              <w:rFonts w:ascii="Myriad Pro" w:hAnsi="Myriad Pro"/>
              <w:sz w:val="22"/>
              <w:szCs w:val="22"/>
            </w:rPr>
          </w:rPrChange>
        </w:rPr>
      </w:pPr>
      <w:r w:rsidRPr="006412A5">
        <w:rPr>
          <w:rFonts w:ascii="Myriad Pro" w:hAnsi="Myriad Pro"/>
          <w:sz w:val="24"/>
          <w:szCs w:val="24"/>
          <w:rPrChange w:id="23" w:author="Lowell Stott" w:date="2020-11-24T13:30:00Z">
            <w:rPr>
              <w:rFonts w:ascii="Myriad Pro" w:hAnsi="Myriad Pro"/>
              <w:sz w:val="22"/>
              <w:szCs w:val="22"/>
            </w:rPr>
          </w:rPrChange>
        </w:rPr>
        <w:t xml:space="preserve">The supplemental figures referred to in the manuscript. </w:t>
      </w:r>
    </w:p>
    <w:p w14:paraId="4D118F5C" w14:textId="77777777" w:rsidR="008F5983" w:rsidRPr="006412A5" w:rsidRDefault="008F5983" w:rsidP="008F5983">
      <w:pPr>
        <w:spacing w:line="480" w:lineRule="auto"/>
        <w:rPr>
          <w:sz w:val="24"/>
          <w:szCs w:val="24"/>
        </w:rPr>
      </w:pPr>
      <w:r w:rsidRPr="006412A5">
        <w:rPr>
          <w:noProof/>
          <w:sz w:val="24"/>
          <w:szCs w:val="24"/>
          <w:rPrChange w:id="24" w:author="Lowell Stott" w:date="2020-11-24T13:30:00Z">
            <w:rPr>
              <w:noProof/>
              <w:sz w:val="24"/>
              <w:szCs w:val="24"/>
            </w:rPr>
          </w:rPrChange>
        </w:rPr>
        <w:lastRenderedPageBreak/>
        <w:drawing>
          <wp:inline distT="0" distB="0" distL="0" distR="0" wp14:anchorId="4CD73FF5" wp14:editId="78BD7E54">
            <wp:extent cx="5248275" cy="6422408"/>
            <wp:effectExtent l="0" t="0" r="0" b="0"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LODAP Profiles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739" cy="643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5AADE" w14:textId="77777777" w:rsidR="008F5983" w:rsidRPr="006412A5" w:rsidRDefault="008F5983" w:rsidP="008F5983">
      <w:pPr>
        <w:rPr>
          <w:sz w:val="24"/>
          <w:szCs w:val="24"/>
        </w:rPr>
      </w:pPr>
      <w:r w:rsidRPr="006412A5">
        <w:rPr>
          <w:sz w:val="24"/>
          <w:szCs w:val="24"/>
        </w:rPr>
        <w:t xml:space="preserve">Supplemental Figure S1. GLODAP transect of </w:t>
      </w:r>
      <w:r w:rsidRPr="006412A5">
        <w:rPr>
          <w:rFonts w:ascii="Symbol" w:hAnsi="Symbol"/>
          <w:sz w:val="24"/>
          <w:szCs w:val="24"/>
        </w:rPr>
        <w:t>d</w:t>
      </w:r>
      <w:r w:rsidRPr="006412A5">
        <w:rPr>
          <w:sz w:val="24"/>
          <w:szCs w:val="24"/>
          <w:vertAlign w:val="superscript"/>
        </w:rPr>
        <w:t>13</w:t>
      </w:r>
      <w:r w:rsidRPr="006412A5">
        <w:rPr>
          <w:sz w:val="24"/>
          <w:szCs w:val="24"/>
        </w:rPr>
        <w:t>C</w:t>
      </w:r>
      <w:r w:rsidRPr="006412A5">
        <w:rPr>
          <w:sz w:val="24"/>
          <w:szCs w:val="24"/>
          <w:vertAlign w:val="subscript"/>
        </w:rPr>
        <w:t>DIC</w:t>
      </w:r>
      <w:r w:rsidRPr="006412A5">
        <w:rPr>
          <w:sz w:val="24"/>
          <w:szCs w:val="24"/>
        </w:rPr>
        <w:t xml:space="preserve"> (upper panel) </w:t>
      </w:r>
      <w:r w:rsidRPr="006412A5">
        <w:rPr>
          <w:rFonts w:ascii="Symbol" w:hAnsi="Symbol"/>
          <w:sz w:val="24"/>
          <w:szCs w:val="24"/>
        </w:rPr>
        <w:t></w:t>
      </w:r>
      <w:r w:rsidRPr="006412A5">
        <w:rPr>
          <w:sz w:val="24"/>
          <w:szCs w:val="24"/>
          <w:vertAlign w:val="superscript"/>
        </w:rPr>
        <w:t>14</w:t>
      </w:r>
      <w:r w:rsidRPr="006412A5">
        <w:rPr>
          <w:sz w:val="24"/>
          <w:szCs w:val="24"/>
        </w:rPr>
        <w:t xml:space="preserve">C (middle panel) through the Pacific. The location and depth of the MD98-2181 site is marked with a red </w:t>
      </w:r>
      <w:r w:rsidRPr="006412A5">
        <w:rPr>
          <w:color w:val="FF0000"/>
          <w:sz w:val="24"/>
          <w:szCs w:val="24"/>
        </w:rPr>
        <w:t>X</w:t>
      </w:r>
      <w:r w:rsidRPr="006412A5">
        <w:rPr>
          <w:sz w:val="24"/>
          <w:szCs w:val="24"/>
        </w:rPr>
        <w:t>.</w:t>
      </w:r>
    </w:p>
    <w:p w14:paraId="1568D673" w14:textId="77777777" w:rsidR="008F5983" w:rsidRPr="006412A5" w:rsidRDefault="008F5983" w:rsidP="008F5983">
      <w:pPr>
        <w:rPr>
          <w:sz w:val="24"/>
          <w:szCs w:val="24"/>
        </w:rPr>
      </w:pPr>
    </w:p>
    <w:p w14:paraId="71F7BE69" w14:textId="77777777" w:rsidR="008F5983" w:rsidRPr="006412A5" w:rsidRDefault="008F5983" w:rsidP="008F5983">
      <w:pPr>
        <w:spacing w:line="480" w:lineRule="auto"/>
        <w:rPr>
          <w:sz w:val="24"/>
          <w:szCs w:val="24"/>
        </w:rPr>
      </w:pPr>
      <w:r w:rsidRPr="006412A5">
        <w:rPr>
          <w:noProof/>
          <w:sz w:val="24"/>
          <w:szCs w:val="24"/>
          <w:rPrChange w:id="25" w:author="Lowell Stott" w:date="2020-11-24T13:30:00Z">
            <w:rPr>
              <w:noProof/>
              <w:sz w:val="24"/>
              <w:szCs w:val="24"/>
            </w:rPr>
          </w:rPrChange>
        </w:rPr>
        <w:lastRenderedPageBreak/>
        <w:drawing>
          <wp:inline distT="0" distB="0" distL="0" distR="0" wp14:anchorId="18A4650A" wp14:editId="75C4E24F">
            <wp:extent cx="4629150" cy="6629191"/>
            <wp:effectExtent l="0" t="0" r="0" b="635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5b epsilon vs D14C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46" cy="663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0AAAB" w14:textId="77777777" w:rsidR="008F5983" w:rsidRPr="006412A5" w:rsidRDefault="008F5983" w:rsidP="008F5983">
      <w:pPr>
        <w:contextualSpacing/>
        <w:rPr>
          <w:sz w:val="24"/>
          <w:szCs w:val="24"/>
        </w:rPr>
      </w:pPr>
      <w:r w:rsidRPr="006412A5">
        <w:rPr>
          <w:sz w:val="24"/>
          <w:szCs w:val="24"/>
        </w:rPr>
        <w:t xml:space="preserve">Supplemental Figure S2. Upper panel planktic </w:t>
      </w:r>
      <w:r w:rsidRPr="006412A5">
        <w:rPr>
          <w:rFonts w:ascii="Symbol" w:hAnsi="Symbol"/>
          <w:sz w:val="24"/>
          <w:szCs w:val="24"/>
        </w:rPr>
        <w:t></w:t>
      </w:r>
      <w:r w:rsidRPr="006412A5">
        <w:rPr>
          <w:sz w:val="24"/>
          <w:szCs w:val="24"/>
          <w:vertAlign w:val="superscript"/>
        </w:rPr>
        <w:t>14</w:t>
      </w:r>
      <w:r w:rsidRPr="006412A5">
        <w:rPr>
          <w:sz w:val="24"/>
          <w:szCs w:val="24"/>
        </w:rPr>
        <w:t xml:space="preserve">C (red) and benthic </w:t>
      </w:r>
      <w:r w:rsidRPr="006412A5">
        <w:rPr>
          <w:rFonts w:ascii="Symbol" w:hAnsi="Symbol"/>
          <w:sz w:val="24"/>
          <w:szCs w:val="24"/>
        </w:rPr>
        <w:t></w:t>
      </w:r>
      <w:r w:rsidRPr="006412A5">
        <w:rPr>
          <w:sz w:val="24"/>
          <w:szCs w:val="24"/>
          <w:vertAlign w:val="superscript"/>
        </w:rPr>
        <w:t>14</w:t>
      </w:r>
      <w:r w:rsidRPr="006412A5">
        <w:rPr>
          <w:sz w:val="24"/>
          <w:szCs w:val="24"/>
        </w:rPr>
        <w:t>C (green) with the Mar</w:t>
      </w:r>
      <w:bookmarkStart w:id="26" w:name="_Hlk32234530"/>
      <w:r w:rsidRPr="006412A5">
        <w:rPr>
          <w:sz w:val="24"/>
          <w:szCs w:val="24"/>
        </w:rPr>
        <w:t xml:space="preserve">20 </w:t>
      </w:r>
      <w:r w:rsidRPr="006412A5">
        <w:rPr>
          <w:rFonts w:ascii="Symbol" w:hAnsi="Symbol"/>
          <w:sz w:val="24"/>
          <w:szCs w:val="24"/>
        </w:rPr>
        <w:t></w:t>
      </w:r>
      <w:r w:rsidRPr="006412A5">
        <w:rPr>
          <w:sz w:val="24"/>
          <w:szCs w:val="24"/>
          <w:vertAlign w:val="superscript"/>
        </w:rPr>
        <w:t>14</w:t>
      </w:r>
      <w:r w:rsidRPr="006412A5">
        <w:rPr>
          <w:sz w:val="24"/>
          <w:szCs w:val="24"/>
        </w:rPr>
        <w:t xml:space="preserve">C </w:t>
      </w:r>
      <w:bookmarkEnd w:id="26"/>
      <w:r w:rsidRPr="006412A5">
        <w:rPr>
          <w:sz w:val="24"/>
          <w:szCs w:val="24"/>
        </w:rPr>
        <w:t>record (blue). The quivers represent the combined age (horizonal) and radiometric (vertical) uncertainties (1</w:t>
      </w:r>
      <w:r w:rsidRPr="006412A5">
        <w:rPr>
          <w:sz w:val="24"/>
          <w:szCs w:val="24"/>
          <w:lang w:val="el-GR"/>
        </w:rPr>
        <w:t>σ</w:t>
      </w:r>
      <w:r w:rsidRPr="006412A5">
        <w:rPr>
          <w:sz w:val="24"/>
          <w:szCs w:val="24"/>
        </w:rPr>
        <w:t xml:space="preserve">). Lower panel shows MD98-2181 benthic </w:t>
      </w:r>
      <w:r w:rsidRPr="006412A5">
        <w:rPr>
          <w:sz w:val="24"/>
          <w:szCs w:val="24"/>
          <w:lang w:val="el-GR"/>
        </w:rPr>
        <w:t>ε</w:t>
      </w:r>
      <w:r w:rsidRPr="006412A5">
        <w:rPr>
          <w:sz w:val="24"/>
          <w:szCs w:val="24"/>
          <w:vertAlign w:val="superscript"/>
        </w:rPr>
        <w:t>14</w:t>
      </w:r>
      <w:r w:rsidRPr="006412A5">
        <w:rPr>
          <w:sz w:val="24"/>
          <w:szCs w:val="24"/>
        </w:rPr>
        <w:t>C (green) and the values from the LOVECLIM simulation of Menviel et al. (2018) (black). The shaded intervals mark the increases during the H1 and YD.</w:t>
      </w:r>
    </w:p>
    <w:p w14:paraId="59B04AF2" w14:textId="77777777" w:rsidR="008F5983" w:rsidRPr="006412A5" w:rsidRDefault="008F5983" w:rsidP="008F5983">
      <w:pPr>
        <w:pStyle w:val="FigureorTableCaption"/>
      </w:pPr>
    </w:p>
    <w:p w14:paraId="760B6716" w14:textId="77777777" w:rsidR="006A4057" w:rsidRDefault="006A4057"/>
    <w:sectPr w:rsidR="006A4057" w:rsidSect="00BC33A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432" w:footer="720" w:gutter="0"/>
      <w:lnNumType w:countBy="1" w:restart="continuous"/>
      <w:cols w:space="720"/>
      <w:docGrid w:linePitch="360"/>
      <w:sectPrChange w:id="27" w:author="Lowell Stott" w:date="2020-11-23T11:33:00Z">
        <w:sectPr w:rsidR="006A4057" w:rsidSect="00BC33A3">
          <w:pgMar w:top="1440" w:right="1440" w:bottom="1440" w:left="1440" w:header="432" w:footer="720" w:gutter="0"/>
          <w:lnNumType w:countBy="0" w:restart="newPage"/>
        </w:sectPr>
      </w:sectPrChange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">
    <w:altName w:val="Segoe UI"/>
    <w:charset w:val="00"/>
    <w:family w:val="auto"/>
    <w:pitch w:val="variable"/>
    <w:sig w:usb0="20000287" w:usb1="00000001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20DA7" w14:textId="77777777" w:rsidR="00BE4385" w:rsidRDefault="008F59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9211F" w14:textId="77777777" w:rsidR="00DD6745" w:rsidRDefault="008F5983" w:rsidP="00B719C8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6DB9C" w14:textId="77777777" w:rsidR="00BE4385" w:rsidRDefault="008F5983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ADAF3" w14:textId="77777777" w:rsidR="00BE4385" w:rsidRDefault="008F59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DCB05" w14:textId="77777777" w:rsidR="00DD6745" w:rsidRDefault="008F5983" w:rsidP="007778ED">
    <w:pPr>
      <w:pStyle w:val="Header"/>
      <w:jc w:val="center"/>
    </w:pPr>
    <w:r>
      <w:t xml:space="preserve">manuscript submitted to </w:t>
    </w:r>
    <w:r>
      <w:rPr>
        <w:i/>
      </w:rPr>
      <w:t>Geophysical Research Letters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7AC5A" w14:textId="77777777" w:rsidR="00DD6745" w:rsidRDefault="008F5983" w:rsidP="00E31404">
    <w:pPr>
      <w:pStyle w:val="Header"/>
      <w:jc w:val="center"/>
    </w:pPr>
    <w:r>
      <w:t xml:space="preserve">Confidential manuscript submitted to </w:t>
    </w:r>
    <w:r>
      <w:rPr>
        <w:i/>
      </w:rPr>
      <w:t xml:space="preserve">replace this text with name of </w:t>
    </w:r>
    <w:r w:rsidRPr="007778ED">
      <w:rPr>
        <w:i/>
      </w:rPr>
      <w:t>AGU journal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owell Stott">
    <w15:presenceInfo w15:providerId="None" w15:userId="Lowell Stot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983"/>
    <w:rsid w:val="002074D5"/>
    <w:rsid w:val="002561C6"/>
    <w:rsid w:val="004F0C82"/>
    <w:rsid w:val="0054083D"/>
    <w:rsid w:val="006A4057"/>
    <w:rsid w:val="008F5983"/>
    <w:rsid w:val="00B4093C"/>
    <w:rsid w:val="00B853CB"/>
    <w:rsid w:val="00C95A0D"/>
    <w:rsid w:val="00CD2F13"/>
    <w:rsid w:val="00D6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4780C"/>
  <w15:chartTrackingRefBased/>
  <w15:docId w15:val="{BB06FDF3-46EB-48B6-A7D7-3FF5EDA52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98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B853CB"/>
    <w:pPr>
      <w:jc w:val="both"/>
    </w:pPr>
    <w:rPr>
      <w:rFonts w:ascii="Cambria" w:eastAsiaTheme="minorEastAsia" w:hAnsi="Cambria" w:cstheme="minorBidi"/>
      <w:noProof/>
      <w:sz w:val="24"/>
      <w:szCs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B853CB"/>
    <w:rPr>
      <w:rFonts w:ascii="Cambria" w:eastAsiaTheme="minorEastAsia" w:hAnsi="Cambria"/>
      <w:noProof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F59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983"/>
    <w:rPr>
      <w:rFonts w:ascii="Times New Roman" w:eastAsia="Calibri" w:hAnsi="Times New Roman" w:cs="Times New Roman"/>
      <w:sz w:val="20"/>
      <w:szCs w:val="20"/>
    </w:rPr>
  </w:style>
  <w:style w:type="paragraph" w:customStyle="1" w:styleId="FigureorTableCaption">
    <w:name w:val="Figure or Table Caption"/>
    <w:basedOn w:val="Normal"/>
    <w:rsid w:val="008F5983"/>
    <w:pPr>
      <w:keepNext/>
      <w:spacing w:before="240"/>
      <w:outlineLvl w:val="0"/>
    </w:pPr>
    <w:rPr>
      <w:rFonts w:eastAsia="Times New Roman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F59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983"/>
    <w:rPr>
      <w:rFonts w:ascii="Times New Roman" w:eastAsia="Calibri" w:hAnsi="Times New Roman" w:cs="Times New Roman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8F5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B5C6BFA9847B4A86AE5C7F736AFF49" ma:contentTypeVersion="12" ma:contentTypeDescription="Create a new document." ma:contentTypeScope="" ma:versionID="bf3cd248f4307f0ac7b1933343a13b3e">
  <xsd:schema xmlns:xsd="http://www.w3.org/2001/XMLSchema" xmlns:xs="http://www.w3.org/2001/XMLSchema" xmlns:p="http://schemas.microsoft.com/office/2006/metadata/properties" xmlns:ns3="834d4979-d433-4706-838e-1398cb95a381" xmlns:ns4="37d0c27c-418a-40fb-92a1-53d3b85f816f" targetNamespace="http://schemas.microsoft.com/office/2006/metadata/properties" ma:root="true" ma:fieldsID="88dea7ce37d26a17a0aa9ff261932ff1" ns3:_="" ns4:_="">
    <xsd:import namespace="834d4979-d433-4706-838e-1398cb95a381"/>
    <xsd:import namespace="37d0c27c-418a-40fb-92a1-53d3b85f816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4d4979-d433-4706-838e-1398cb95a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0c27c-418a-40fb-92a1-53d3b85f816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70581A-7B1B-4633-989E-4B5D163D65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4d4979-d433-4706-838e-1398cb95a381"/>
    <ds:schemaRef ds:uri="37d0c27c-418a-40fb-92a1-53d3b85f81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66C4C6-7870-481C-B16E-848676067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6A67AA-F9E9-4EC2-923F-ED2E00E49DC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170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Lowell Stott</dc:creator>
  <cp:keywords/>
  <dc:description/>
  <cp:lastModifiedBy>Lowell Stott</cp:lastModifiedBy>
  <cp:revision>1</cp:revision>
  <dcterms:created xsi:type="dcterms:W3CDTF">2020-11-27T18:15:00Z</dcterms:created>
  <dcterms:modified xsi:type="dcterms:W3CDTF">2020-11-27T18:16:00Z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0x0101003BB5C6BFA9847B4A86AE5C7F736AFF49</vt:lpwstr>
  </property>
</Properties>
</file>