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AE26E" w14:textId="326FB9B9" w:rsidR="005D6DDD" w:rsidRPr="004E2840" w:rsidRDefault="00CE416B" w:rsidP="00CA6BFC">
      <w:pPr>
        <w:spacing w:line="360" w:lineRule="auto"/>
        <w:jc w:val="center"/>
        <w:rPr>
          <w:rFonts w:ascii="Arial" w:hAnsi="Arial" w:cs="Arial"/>
          <w:sz w:val="36"/>
          <w:szCs w:val="36"/>
        </w:rPr>
      </w:pPr>
      <w:r>
        <w:rPr>
          <w:rFonts w:ascii="Arial" w:hAnsi="Arial" w:cs="Arial"/>
          <w:sz w:val="36"/>
          <w:szCs w:val="36"/>
        </w:rPr>
        <w:t xml:space="preserve"> </w:t>
      </w:r>
      <w:r w:rsidR="005D6DDD" w:rsidRPr="004E2840">
        <w:rPr>
          <w:rFonts w:ascii="Arial" w:hAnsi="Arial" w:cs="Arial"/>
          <w:noProof/>
          <w:sz w:val="36"/>
          <w:szCs w:val="36"/>
        </w:rPr>
        <w:drawing>
          <wp:inline distT="0" distB="0" distL="0" distR="0" wp14:anchorId="0D920ED5" wp14:editId="374FBB13">
            <wp:extent cx="3200400" cy="609600"/>
            <wp:effectExtent l="0" t="0" r="0" b="0"/>
            <wp:docPr id="18" name="Picture 18"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68DD50B4" w14:textId="77777777" w:rsidR="005D6DDD" w:rsidRPr="004E2840" w:rsidRDefault="005D6DDD" w:rsidP="00CA6BFC">
      <w:pPr>
        <w:spacing w:before="100" w:beforeAutospacing="1" w:after="100" w:afterAutospacing="1" w:line="360" w:lineRule="auto"/>
        <w:jc w:val="center"/>
        <w:rPr>
          <w:rFonts w:ascii="Arial" w:hAnsi="Arial" w:cs="Arial"/>
          <w:i/>
          <w:sz w:val="22"/>
          <w:szCs w:val="22"/>
        </w:rPr>
      </w:pPr>
      <w:r w:rsidRPr="004E2840">
        <w:rPr>
          <w:rFonts w:ascii="Arial" w:hAnsi="Arial" w:cs="Arial"/>
          <w:i/>
          <w:sz w:val="22"/>
          <w:szCs w:val="22"/>
        </w:rPr>
        <w:t>Global Biogeochemical Cycles</w:t>
      </w:r>
    </w:p>
    <w:p w14:paraId="0D6DF2D1" w14:textId="77777777" w:rsidR="005D6DDD" w:rsidRPr="004E2840" w:rsidRDefault="005D6DDD" w:rsidP="00CA6BFC">
      <w:pPr>
        <w:spacing w:before="100" w:beforeAutospacing="1" w:after="100" w:afterAutospacing="1" w:line="360" w:lineRule="auto"/>
        <w:jc w:val="center"/>
        <w:rPr>
          <w:rFonts w:ascii="Arial" w:hAnsi="Arial" w:cs="Arial"/>
          <w:sz w:val="22"/>
          <w:szCs w:val="22"/>
        </w:rPr>
      </w:pPr>
      <w:r w:rsidRPr="004E2840">
        <w:rPr>
          <w:rFonts w:ascii="Arial" w:hAnsi="Arial" w:cs="Arial"/>
          <w:sz w:val="22"/>
          <w:szCs w:val="22"/>
        </w:rPr>
        <w:t>Supporting Information for</w:t>
      </w:r>
    </w:p>
    <w:p w14:paraId="58FC64D2" w14:textId="20C08094" w:rsidR="00781EC8" w:rsidRPr="008E0777" w:rsidRDefault="00C24500" w:rsidP="00781EC8">
      <w:pPr>
        <w:pStyle w:val="Title"/>
        <w:spacing w:before="120" w:after="120" w:line="360" w:lineRule="auto"/>
        <w:rPr>
          <w:rFonts w:ascii="Arial" w:hAnsi="Arial"/>
          <w:color w:val="000000" w:themeColor="text1"/>
          <w:sz w:val="22"/>
        </w:rPr>
      </w:pPr>
      <w:r>
        <w:rPr>
          <w:rFonts w:ascii="Arial" w:hAnsi="Arial" w:cs="Arial"/>
          <w:color w:val="000000" w:themeColor="text1"/>
          <w:sz w:val="22"/>
          <w:szCs w:val="22"/>
        </w:rPr>
        <w:t xml:space="preserve">Counteracting </w:t>
      </w:r>
      <w:r w:rsidR="00781EC8" w:rsidRPr="008E0777">
        <w:rPr>
          <w:rFonts w:ascii="Arial" w:hAnsi="Arial"/>
          <w:color w:val="000000" w:themeColor="text1"/>
          <w:sz w:val="22"/>
        </w:rPr>
        <w:t>contribution of the Upper and Lower Meridional Overturning Limbs to the North Atlantic Nutrient Budgets</w:t>
      </w:r>
      <w:r w:rsidR="00781EC8" w:rsidRPr="008E0777">
        <w:rPr>
          <w:rFonts w:ascii="Arial" w:hAnsi="Arial" w:cs="Arial"/>
          <w:color w:val="000000" w:themeColor="text1"/>
          <w:sz w:val="22"/>
          <w:szCs w:val="22"/>
        </w:rPr>
        <w:t>: enhanced imbalance in 2010</w:t>
      </w:r>
    </w:p>
    <w:p w14:paraId="60A9225A" w14:textId="0CF05F2C" w:rsidR="00781EC8" w:rsidRPr="00FB2E43" w:rsidRDefault="00781EC8" w:rsidP="00781EC8">
      <w:pPr>
        <w:pStyle w:val="Authors"/>
        <w:spacing w:before="240" w:after="240" w:line="360" w:lineRule="auto"/>
        <w:jc w:val="center"/>
        <w:rPr>
          <w:rFonts w:ascii="Arial" w:hAnsi="Arial" w:cs="Arial"/>
          <w:b w:val="0"/>
          <w:bCs/>
          <w:color w:val="000000" w:themeColor="text1"/>
          <w:sz w:val="22"/>
          <w:szCs w:val="22"/>
        </w:rPr>
      </w:pPr>
      <w:r w:rsidRPr="00FB2E43">
        <w:rPr>
          <w:rFonts w:ascii="Arial" w:hAnsi="Arial" w:cs="Arial"/>
          <w:b w:val="0"/>
          <w:bCs/>
          <w:color w:val="000000" w:themeColor="text1"/>
          <w:sz w:val="22"/>
          <w:szCs w:val="22"/>
        </w:rPr>
        <w:t>L.I. Carracedo</w:t>
      </w:r>
      <w:r w:rsidRPr="00FB2E43">
        <w:rPr>
          <w:rFonts w:ascii="Arial" w:hAnsi="Arial" w:cs="Arial"/>
          <w:b w:val="0"/>
          <w:bCs/>
          <w:color w:val="000000" w:themeColor="text1"/>
          <w:sz w:val="22"/>
          <w:szCs w:val="22"/>
          <w:vertAlign w:val="superscript"/>
        </w:rPr>
        <w:t>1,2</w:t>
      </w:r>
      <w:r w:rsidRPr="00FB2E43">
        <w:rPr>
          <w:rFonts w:ascii="Arial" w:hAnsi="Arial" w:cs="Arial"/>
          <w:b w:val="0"/>
          <w:bCs/>
          <w:color w:val="000000" w:themeColor="text1"/>
          <w:sz w:val="22"/>
          <w:szCs w:val="22"/>
        </w:rPr>
        <w:t>, H. Mercier</w:t>
      </w:r>
      <w:r w:rsidRPr="00FB2E43">
        <w:rPr>
          <w:rFonts w:ascii="Arial" w:hAnsi="Arial" w:cs="Arial"/>
          <w:b w:val="0"/>
          <w:bCs/>
          <w:color w:val="000000" w:themeColor="text1"/>
          <w:sz w:val="22"/>
          <w:szCs w:val="22"/>
          <w:vertAlign w:val="superscript"/>
        </w:rPr>
        <w:t>1</w:t>
      </w:r>
      <w:r w:rsidRPr="00FB2E43">
        <w:rPr>
          <w:rFonts w:ascii="Arial" w:hAnsi="Arial" w:cs="Arial"/>
          <w:b w:val="0"/>
          <w:bCs/>
          <w:color w:val="000000" w:themeColor="text1"/>
          <w:sz w:val="22"/>
          <w:szCs w:val="22"/>
        </w:rPr>
        <w:t>, E. McDonagh</w:t>
      </w:r>
      <w:r w:rsidRPr="00FB2E43">
        <w:rPr>
          <w:rFonts w:ascii="Arial" w:hAnsi="Arial" w:cs="Arial"/>
          <w:b w:val="0"/>
          <w:bCs/>
          <w:color w:val="000000" w:themeColor="text1"/>
          <w:sz w:val="22"/>
          <w:szCs w:val="22"/>
          <w:vertAlign w:val="superscript"/>
        </w:rPr>
        <w:t>2,3</w:t>
      </w:r>
      <w:r w:rsidRPr="00FB2E43">
        <w:rPr>
          <w:rFonts w:ascii="Arial" w:hAnsi="Arial" w:cs="Arial"/>
          <w:b w:val="0"/>
          <w:bCs/>
          <w:color w:val="000000" w:themeColor="text1"/>
          <w:sz w:val="22"/>
          <w:szCs w:val="22"/>
        </w:rPr>
        <w:t>, G. Rosón</w:t>
      </w:r>
      <w:r w:rsidRPr="00FB2E43">
        <w:rPr>
          <w:rFonts w:ascii="Arial" w:hAnsi="Arial" w:cs="Arial"/>
          <w:b w:val="0"/>
          <w:bCs/>
          <w:color w:val="000000" w:themeColor="text1"/>
          <w:sz w:val="22"/>
          <w:szCs w:val="22"/>
          <w:vertAlign w:val="superscript"/>
        </w:rPr>
        <w:t>4</w:t>
      </w:r>
      <w:r w:rsidRPr="00FB2E43">
        <w:rPr>
          <w:rFonts w:ascii="Arial" w:hAnsi="Arial" w:cs="Arial"/>
          <w:b w:val="0"/>
          <w:bCs/>
          <w:color w:val="000000" w:themeColor="text1"/>
          <w:sz w:val="22"/>
          <w:szCs w:val="22"/>
        </w:rPr>
        <w:t xml:space="preserve">, </w:t>
      </w:r>
      <w:r w:rsidRPr="00FB2E43">
        <w:rPr>
          <w:rFonts w:ascii="Arial" w:hAnsi="Arial" w:cs="Arial"/>
          <w:b w:val="0"/>
          <w:bCs/>
          <w:color w:val="000000" w:themeColor="text1"/>
          <w:sz w:val="22"/>
          <w:szCs w:val="22"/>
          <w:lang w:val="en-GB"/>
        </w:rPr>
        <w:t>R. Sanders</w:t>
      </w:r>
      <w:r w:rsidRPr="00FB2E43">
        <w:rPr>
          <w:rFonts w:ascii="Arial" w:hAnsi="Arial" w:cs="Arial"/>
          <w:b w:val="0"/>
          <w:bCs/>
          <w:color w:val="000000" w:themeColor="text1"/>
          <w:sz w:val="22"/>
          <w:szCs w:val="22"/>
          <w:vertAlign w:val="superscript"/>
          <w:lang w:val="en-GB"/>
        </w:rPr>
        <w:t>2,3</w:t>
      </w:r>
      <w:r w:rsidRPr="00FB2E43">
        <w:rPr>
          <w:rFonts w:ascii="Arial" w:hAnsi="Arial" w:cs="Arial"/>
          <w:b w:val="0"/>
          <w:bCs/>
          <w:color w:val="000000" w:themeColor="text1"/>
          <w:sz w:val="22"/>
          <w:szCs w:val="22"/>
          <w:lang w:val="en-GB"/>
        </w:rPr>
        <w:t>, C.M. Moore</w:t>
      </w:r>
      <w:r w:rsidRPr="00FB2E43">
        <w:rPr>
          <w:rFonts w:ascii="Arial" w:hAnsi="Arial" w:cs="Arial"/>
          <w:b w:val="0"/>
          <w:bCs/>
          <w:color w:val="000000" w:themeColor="text1"/>
          <w:sz w:val="22"/>
          <w:szCs w:val="22"/>
          <w:vertAlign w:val="superscript"/>
          <w:lang w:val="en-GB"/>
        </w:rPr>
        <w:t>5</w:t>
      </w:r>
      <w:r w:rsidRPr="00FB2E43">
        <w:rPr>
          <w:rFonts w:ascii="Arial" w:hAnsi="Arial" w:cs="Arial"/>
          <w:b w:val="0"/>
          <w:bCs/>
          <w:color w:val="000000" w:themeColor="text1"/>
          <w:sz w:val="22"/>
          <w:szCs w:val="22"/>
          <w:lang w:val="en-GB"/>
        </w:rPr>
        <w:t>, S. Torres-Valdés</w:t>
      </w:r>
      <w:r w:rsidRPr="00FB2E43">
        <w:rPr>
          <w:rFonts w:ascii="Arial" w:hAnsi="Arial" w:cs="Arial"/>
          <w:b w:val="0"/>
          <w:bCs/>
          <w:color w:val="000000" w:themeColor="text1"/>
          <w:sz w:val="22"/>
          <w:szCs w:val="22"/>
          <w:vertAlign w:val="superscript"/>
          <w:lang w:val="en-GB"/>
        </w:rPr>
        <w:t>6</w:t>
      </w:r>
      <w:r w:rsidRPr="00FB2E43">
        <w:rPr>
          <w:rFonts w:ascii="Arial" w:hAnsi="Arial" w:cs="Arial"/>
          <w:b w:val="0"/>
          <w:bCs/>
          <w:color w:val="000000" w:themeColor="text1"/>
          <w:sz w:val="22"/>
          <w:szCs w:val="22"/>
          <w:lang w:val="en-GB"/>
        </w:rPr>
        <w:t>, P. Brown</w:t>
      </w:r>
      <w:r w:rsidRPr="00FB2E43">
        <w:rPr>
          <w:rFonts w:ascii="Arial" w:hAnsi="Arial" w:cs="Arial"/>
          <w:b w:val="0"/>
          <w:bCs/>
          <w:color w:val="000000" w:themeColor="text1"/>
          <w:sz w:val="22"/>
          <w:szCs w:val="22"/>
          <w:vertAlign w:val="superscript"/>
          <w:lang w:val="en-GB"/>
        </w:rPr>
        <w:t>2</w:t>
      </w:r>
      <w:r w:rsidRPr="00FB2E43">
        <w:rPr>
          <w:rFonts w:ascii="Arial" w:hAnsi="Arial" w:cs="Arial"/>
          <w:b w:val="0"/>
          <w:bCs/>
          <w:color w:val="000000" w:themeColor="text1"/>
          <w:sz w:val="22"/>
          <w:szCs w:val="22"/>
        </w:rPr>
        <w:t>, P. Lherminier</w:t>
      </w:r>
      <w:r w:rsidRPr="00FB2E43">
        <w:rPr>
          <w:rFonts w:ascii="Arial" w:hAnsi="Arial" w:cs="Arial"/>
          <w:b w:val="0"/>
          <w:bCs/>
          <w:color w:val="000000" w:themeColor="text1"/>
          <w:sz w:val="22"/>
          <w:szCs w:val="22"/>
          <w:vertAlign w:val="superscript"/>
        </w:rPr>
        <w:t>1</w:t>
      </w:r>
      <w:r w:rsidRPr="00FB2E43">
        <w:rPr>
          <w:rFonts w:ascii="Arial" w:hAnsi="Arial" w:cs="Arial"/>
          <w:b w:val="0"/>
          <w:bCs/>
          <w:color w:val="000000" w:themeColor="text1"/>
          <w:sz w:val="22"/>
          <w:szCs w:val="22"/>
        </w:rPr>
        <w:t>, F.F. Pérez</w:t>
      </w:r>
      <w:r w:rsidRPr="00FB2E43">
        <w:rPr>
          <w:rFonts w:ascii="Arial" w:hAnsi="Arial" w:cs="Arial"/>
          <w:b w:val="0"/>
          <w:bCs/>
          <w:color w:val="000000" w:themeColor="text1"/>
          <w:sz w:val="22"/>
          <w:szCs w:val="22"/>
          <w:vertAlign w:val="superscript"/>
        </w:rPr>
        <w:t>7</w:t>
      </w:r>
    </w:p>
    <w:p w14:paraId="5397C55D" w14:textId="4F8A863E" w:rsidR="00781EC8" w:rsidRPr="00781EC8" w:rsidRDefault="00781EC8" w:rsidP="00781EC8">
      <w:pPr>
        <w:pStyle w:val="Affiliation"/>
        <w:spacing w:after="120" w:line="360" w:lineRule="auto"/>
        <w:ind w:left="142" w:hanging="142"/>
        <w:contextualSpacing/>
        <w:rPr>
          <w:rFonts w:ascii="Arial" w:hAnsi="Arial"/>
          <w:color w:val="000000" w:themeColor="text1"/>
          <w:sz w:val="18"/>
          <w:vertAlign w:val="superscript"/>
          <w:lang w:val="fr-FR"/>
        </w:rPr>
      </w:pPr>
      <w:r w:rsidRPr="00781EC8">
        <w:rPr>
          <w:rFonts w:ascii="Arial" w:hAnsi="Arial"/>
          <w:color w:val="000000" w:themeColor="text1"/>
          <w:sz w:val="18"/>
          <w:vertAlign w:val="superscript"/>
          <w:lang w:val="fr-FR"/>
        </w:rPr>
        <w:t xml:space="preserve">1 </w:t>
      </w:r>
      <w:r w:rsidRPr="00781EC8">
        <w:rPr>
          <w:rFonts w:ascii="Arial" w:hAnsi="Arial"/>
          <w:color w:val="000000" w:themeColor="text1"/>
          <w:sz w:val="18"/>
          <w:lang w:val="en-GB"/>
        </w:rPr>
        <w:t>University of Brest, CNRS</w:t>
      </w:r>
      <w:r w:rsidRPr="00FB2E43">
        <w:rPr>
          <w:rFonts w:ascii="Arial" w:hAnsi="Arial" w:cs="Arial"/>
          <w:color w:val="000000" w:themeColor="text1"/>
          <w:sz w:val="18"/>
          <w:szCs w:val="18"/>
          <w:lang w:val="en-GB"/>
        </w:rPr>
        <w:t>, Ifremer</w:t>
      </w:r>
      <w:r w:rsidRPr="00781EC8">
        <w:rPr>
          <w:rFonts w:ascii="Arial" w:hAnsi="Arial"/>
          <w:color w:val="000000" w:themeColor="text1"/>
          <w:sz w:val="18"/>
          <w:lang w:val="en-GB"/>
        </w:rPr>
        <w:t>, IRD</w:t>
      </w:r>
      <w:r w:rsidRPr="00781EC8">
        <w:rPr>
          <w:rFonts w:ascii="Arial" w:hAnsi="Arial"/>
          <w:color w:val="000000" w:themeColor="text1"/>
          <w:sz w:val="18"/>
          <w:lang w:val="fr-FR"/>
        </w:rPr>
        <w:t xml:space="preserve">, Laboratoire d'Océanographie Physique et Spatiale (LOPS), IUEM, </w:t>
      </w:r>
      <w:r w:rsidRPr="00781EC8">
        <w:rPr>
          <w:rFonts w:ascii="Arial" w:eastAsiaTheme="minorHAnsi" w:hAnsi="Arial"/>
          <w:color w:val="000000" w:themeColor="text1"/>
          <w:sz w:val="18"/>
          <w:lang w:val="fr-FR"/>
        </w:rPr>
        <w:t>Centre Ifremer de Bretagne</w:t>
      </w:r>
      <w:r w:rsidRPr="00781EC8">
        <w:rPr>
          <w:rFonts w:ascii="Arial" w:hAnsi="Arial"/>
          <w:color w:val="000000" w:themeColor="text1"/>
          <w:sz w:val="18"/>
          <w:lang w:val="fr-FR"/>
        </w:rPr>
        <w:t>, F-29280, Plouzané, France.</w:t>
      </w:r>
    </w:p>
    <w:p w14:paraId="007B657E" w14:textId="77777777" w:rsidR="00781EC8" w:rsidRPr="00FB2E43" w:rsidRDefault="00781EC8" w:rsidP="00781EC8">
      <w:pPr>
        <w:pStyle w:val="Affiliation"/>
        <w:spacing w:after="120" w:line="360" w:lineRule="auto"/>
        <w:ind w:left="142" w:hanging="142"/>
        <w:contextualSpacing/>
        <w:rPr>
          <w:rFonts w:ascii="Arial" w:hAnsi="Arial" w:cs="Arial"/>
          <w:color w:val="000000" w:themeColor="text1"/>
          <w:sz w:val="18"/>
          <w:szCs w:val="18"/>
          <w:vertAlign w:val="superscript"/>
          <w:lang w:val="fr-FR"/>
        </w:rPr>
      </w:pPr>
      <w:r w:rsidRPr="00781EC8">
        <w:rPr>
          <w:rFonts w:ascii="Arial" w:hAnsi="Arial"/>
          <w:color w:val="000000" w:themeColor="text1"/>
          <w:sz w:val="18"/>
          <w:vertAlign w:val="superscript"/>
          <w:lang w:val="fr-FR"/>
        </w:rPr>
        <w:t xml:space="preserve">2 </w:t>
      </w:r>
      <w:r w:rsidRPr="00FB2E43">
        <w:rPr>
          <w:rFonts w:ascii="Arial" w:hAnsi="Arial" w:cs="Arial"/>
          <w:color w:val="000000" w:themeColor="text1"/>
          <w:sz w:val="18"/>
          <w:szCs w:val="18"/>
          <w:lang w:val="fr-FR"/>
        </w:rPr>
        <w:t>National Oceanography Centre (NOC), Southampton SO14 3ZH, UK.</w:t>
      </w:r>
    </w:p>
    <w:p w14:paraId="7BD8CEA5" w14:textId="0B95851B" w:rsidR="00781EC8" w:rsidRPr="00781EC8" w:rsidRDefault="00781EC8" w:rsidP="00781EC8">
      <w:pPr>
        <w:pStyle w:val="Affiliation"/>
        <w:spacing w:after="120" w:line="360" w:lineRule="auto"/>
        <w:ind w:left="142" w:hanging="142"/>
        <w:contextualSpacing/>
        <w:rPr>
          <w:rFonts w:ascii="Arial" w:hAnsi="Arial"/>
          <w:color w:val="000000" w:themeColor="text1"/>
          <w:sz w:val="18"/>
          <w:lang w:val="en-GB"/>
        </w:rPr>
      </w:pPr>
      <w:r w:rsidRPr="00FB2E43">
        <w:rPr>
          <w:rFonts w:ascii="Arial" w:hAnsi="Arial" w:cs="Arial"/>
          <w:color w:val="000000" w:themeColor="text1"/>
          <w:sz w:val="18"/>
          <w:szCs w:val="18"/>
          <w:vertAlign w:val="superscript"/>
          <w:lang w:val="en-GB"/>
        </w:rPr>
        <w:t>3</w:t>
      </w:r>
      <w:r w:rsidRPr="00781EC8">
        <w:rPr>
          <w:rFonts w:ascii="Arial" w:hAnsi="Arial"/>
          <w:color w:val="000000" w:themeColor="text1"/>
          <w:sz w:val="18"/>
          <w:vertAlign w:val="superscript"/>
          <w:lang w:val="en-GB"/>
        </w:rPr>
        <w:t xml:space="preserve"> </w:t>
      </w:r>
      <w:r w:rsidRPr="00781EC8">
        <w:rPr>
          <w:rFonts w:ascii="Arial" w:hAnsi="Arial"/>
          <w:color w:val="000000" w:themeColor="text1"/>
          <w:sz w:val="18"/>
          <w:lang w:val="en-GB"/>
        </w:rPr>
        <w:t>NORCE Norwegian Research Centre, Bjerknes Centre for Climate Research, Bergen, Norway.</w:t>
      </w:r>
    </w:p>
    <w:p w14:paraId="477C79A1" w14:textId="02200D4B" w:rsidR="00781EC8" w:rsidRPr="00FB2E43" w:rsidRDefault="00781EC8" w:rsidP="00781EC8">
      <w:pPr>
        <w:autoSpaceDE w:val="0"/>
        <w:autoSpaceDN w:val="0"/>
        <w:adjustRightInd w:val="0"/>
        <w:spacing w:before="120" w:after="120" w:line="360" w:lineRule="auto"/>
        <w:ind w:left="142" w:hanging="142"/>
        <w:contextualSpacing/>
        <w:rPr>
          <w:rFonts w:ascii="Arial" w:eastAsiaTheme="minorHAnsi" w:hAnsi="Arial" w:cs="Arial"/>
          <w:color w:val="000000" w:themeColor="text1"/>
          <w:sz w:val="18"/>
          <w:szCs w:val="18"/>
        </w:rPr>
      </w:pPr>
      <w:r w:rsidRPr="00FB2E43">
        <w:rPr>
          <w:rFonts w:ascii="Arial" w:hAnsi="Arial" w:cs="Arial"/>
          <w:color w:val="000000" w:themeColor="text1"/>
          <w:sz w:val="18"/>
          <w:szCs w:val="18"/>
          <w:vertAlign w:val="superscript"/>
        </w:rPr>
        <w:t xml:space="preserve">4 </w:t>
      </w:r>
      <w:r w:rsidRPr="00FB2E43">
        <w:rPr>
          <w:rFonts w:ascii="Arial" w:hAnsi="Arial" w:cs="Arial"/>
          <w:color w:val="000000" w:themeColor="text1"/>
          <w:sz w:val="18"/>
          <w:szCs w:val="18"/>
        </w:rPr>
        <w:t>Faculty of Marine Sciences, University of Vigo, Campus Lagoas-Marcosende, 36200 Vigo, Spain.</w:t>
      </w:r>
    </w:p>
    <w:p w14:paraId="0D52E417" w14:textId="22AA975E" w:rsidR="00781EC8" w:rsidRPr="00FB2E43" w:rsidRDefault="00781EC8" w:rsidP="00781EC8">
      <w:pPr>
        <w:pStyle w:val="Affiliation"/>
        <w:spacing w:after="120" w:line="360" w:lineRule="auto"/>
        <w:ind w:left="142" w:hanging="142"/>
        <w:contextualSpacing/>
        <w:rPr>
          <w:rFonts w:ascii="Arial" w:hAnsi="Arial" w:cs="Arial"/>
          <w:color w:val="000000" w:themeColor="text1"/>
          <w:sz w:val="18"/>
          <w:szCs w:val="18"/>
          <w:vertAlign w:val="superscript"/>
          <w:lang w:val="en-GB"/>
        </w:rPr>
      </w:pPr>
      <w:r w:rsidRPr="00FB2E43">
        <w:rPr>
          <w:rFonts w:ascii="Arial" w:hAnsi="Arial" w:cs="Arial"/>
          <w:color w:val="000000" w:themeColor="text1"/>
          <w:sz w:val="18"/>
          <w:szCs w:val="18"/>
          <w:vertAlign w:val="superscript"/>
          <w:lang w:val="en-GB"/>
        </w:rPr>
        <w:t>5</w:t>
      </w:r>
      <w:r w:rsidRPr="00781EC8">
        <w:rPr>
          <w:rFonts w:ascii="Arial" w:hAnsi="Arial"/>
          <w:color w:val="000000" w:themeColor="text1"/>
          <w:sz w:val="18"/>
          <w:vertAlign w:val="superscript"/>
          <w:lang w:val="en-GB"/>
        </w:rPr>
        <w:t xml:space="preserve"> </w:t>
      </w:r>
      <w:r w:rsidRPr="00FB2E43">
        <w:rPr>
          <w:rFonts w:ascii="Arial" w:hAnsi="Arial" w:cs="Arial"/>
          <w:color w:val="000000" w:themeColor="text1"/>
          <w:sz w:val="18"/>
          <w:szCs w:val="18"/>
          <w:lang w:val="en-GB"/>
        </w:rPr>
        <w:t>School of</w:t>
      </w:r>
      <w:r w:rsidRPr="00FB2E43">
        <w:rPr>
          <w:rFonts w:ascii="Arial" w:hAnsi="Arial" w:cs="Arial"/>
          <w:color w:val="000000" w:themeColor="text1"/>
          <w:sz w:val="18"/>
          <w:szCs w:val="18"/>
          <w:vertAlign w:val="superscript"/>
          <w:lang w:val="en-GB"/>
        </w:rPr>
        <w:t xml:space="preserve"> </w:t>
      </w:r>
      <w:r w:rsidRPr="00FB2E43">
        <w:rPr>
          <w:rFonts w:ascii="Arial" w:hAnsi="Arial" w:cs="Arial"/>
          <w:color w:val="000000" w:themeColor="text1"/>
          <w:sz w:val="18"/>
          <w:szCs w:val="18"/>
          <w:lang w:val="en-GB"/>
        </w:rPr>
        <w:t>Ocean and Earth Science, National Oceanography Centre, University of Southampton, Southampton SO14 3ZH, UK.</w:t>
      </w:r>
      <w:r w:rsidRPr="00FB2E43">
        <w:rPr>
          <w:rFonts w:ascii="Arial" w:hAnsi="Arial" w:cs="Arial"/>
          <w:color w:val="000000" w:themeColor="text1"/>
          <w:sz w:val="18"/>
          <w:szCs w:val="18"/>
          <w:vertAlign w:val="superscript"/>
          <w:lang w:val="en-GB"/>
        </w:rPr>
        <w:t xml:space="preserve"> </w:t>
      </w:r>
    </w:p>
    <w:p w14:paraId="40050E96" w14:textId="057DAF92" w:rsidR="00781EC8" w:rsidRPr="00FB2E43" w:rsidRDefault="00781EC8" w:rsidP="00781EC8">
      <w:pPr>
        <w:pStyle w:val="Affiliation"/>
        <w:spacing w:after="120" w:line="360" w:lineRule="auto"/>
        <w:ind w:left="142" w:hanging="142"/>
        <w:contextualSpacing/>
        <w:rPr>
          <w:rFonts w:ascii="Arial" w:hAnsi="Arial" w:cs="Arial"/>
          <w:color w:val="000000" w:themeColor="text1"/>
          <w:sz w:val="18"/>
          <w:szCs w:val="18"/>
          <w:lang w:val="en-GB"/>
        </w:rPr>
      </w:pPr>
      <w:r w:rsidRPr="00FB2E43">
        <w:rPr>
          <w:rFonts w:ascii="Arial" w:hAnsi="Arial" w:cs="Arial"/>
          <w:color w:val="000000" w:themeColor="text1"/>
          <w:sz w:val="18"/>
          <w:szCs w:val="18"/>
          <w:vertAlign w:val="superscript"/>
          <w:lang w:val="en-GB"/>
        </w:rPr>
        <w:t>6</w:t>
      </w:r>
      <w:r w:rsidRPr="00781EC8">
        <w:rPr>
          <w:rFonts w:ascii="Arial" w:hAnsi="Arial"/>
          <w:color w:val="000000" w:themeColor="text1"/>
          <w:sz w:val="18"/>
          <w:lang w:val="en-GB"/>
        </w:rPr>
        <w:t xml:space="preserve"> </w:t>
      </w:r>
      <w:r w:rsidRPr="00FB2E43">
        <w:rPr>
          <w:rFonts w:ascii="Arial" w:hAnsi="Arial" w:cs="Arial"/>
          <w:color w:val="000000" w:themeColor="text1"/>
          <w:sz w:val="18"/>
          <w:szCs w:val="18"/>
          <w:lang w:val="en-GB"/>
        </w:rPr>
        <w:t>Alfred Wegener Institute, Am Handelshafen 12, 27570 Bremerhaven, Germany.</w:t>
      </w:r>
    </w:p>
    <w:p w14:paraId="1D0D6E3B" w14:textId="41C523EB" w:rsidR="00781EC8" w:rsidRPr="00FB2E43" w:rsidRDefault="00781EC8" w:rsidP="00781EC8">
      <w:pPr>
        <w:pStyle w:val="Affiliation"/>
        <w:spacing w:after="120" w:line="360" w:lineRule="auto"/>
        <w:ind w:left="142" w:hanging="142"/>
        <w:contextualSpacing/>
        <w:rPr>
          <w:rFonts w:ascii="Arial" w:hAnsi="Arial" w:cs="Arial"/>
          <w:color w:val="000000" w:themeColor="text1"/>
          <w:sz w:val="18"/>
          <w:szCs w:val="18"/>
          <w:lang w:val="en-GB"/>
        </w:rPr>
      </w:pPr>
      <w:r w:rsidRPr="00FB2E43">
        <w:rPr>
          <w:rFonts w:ascii="Arial" w:hAnsi="Arial" w:cs="Arial"/>
          <w:color w:val="000000" w:themeColor="text1"/>
          <w:sz w:val="18"/>
          <w:szCs w:val="18"/>
          <w:vertAlign w:val="superscript"/>
          <w:lang w:val="en-GB"/>
        </w:rPr>
        <w:t>7</w:t>
      </w:r>
      <w:r w:rsidRPr="00781EC8">
        <w:rPr>
          <w:rFonts w:ascii="Arial" w:hAnsi="Arial"/>
          <w:color w:val="000000" w:themeColor="text1"/>
          <w:sz w:val="18"/>
          <w:vertAlign w:val="superscript"/>
          <w:lang w:val="en-GB"/>
        </w:rPr>
        <w:t xml:space="preserve"> </w:t>
      </w:r>
      <w:r w:rsidRPr="00FB2E43">
        <w:rPr>
          <w:rFonts w:ascii="Arial" w:hAnsi="Arial" w:cs="Arial"/>
          <w:color w:val="000000" w:themeColor="text1"/>
          <w:sz w:val="18"/>
          <w:szCs w:val="18"/>
          <w:lang w:val="en-GB"/>
        </w:rPr>
        <w:t xml:space="preserve">Instituto de Investigaciones Marinas, CSIC, </w:t>
      </w:r>
      <w:r w:rsidRPr="00FB2E43">
        <w:rPr>
          <w:rFonts w:ascii="Arial" w:eastAsiaTheme="minorHAnsi" w:hAnsi="Arial" w:cs="Arial"/>
          <w:color w:val="000000" w:themeColor="text1"/>
          <w:sz w:val="18"/>
          <w:szCs w:val="18"/>
          <w:lang w:val="en-GB"/>
        </w:rPr>
        <w:t xml:space="preserve">36208 </w:t>
      </w:r>
      <w:r w:rsidRPr="00FB2E43">
        <w:rPr>
          <w:rFonts w:ascii="Arial" w:hAnsi="Arial" w:cs="Arial"/>
          <w:color w:val="000000" w:themeColor="text1"/>
          <w:sz w:val="18"/>
          <w:szCs w:val="18"/>
          <w:lang w:val="en-GB"/>
        </w:rPr>
        <w:t>Vigo, Spain.</w:t>
      </w:r>
    </w:p>
    <w:p w14:paraId="2F126DF2" w14:textId="77777777" w:rsidR="005D6DDD" w:rsidRPr="004E2840" w:rsidRDefault="005D6DDD" w:rsidP="00CA6BFC">
      <w:pPr>
        <w:spacing w:before="100" w:beforeAutospacing="1" w:after="100" w:afterAutospacing="1" w:line="360" w:lineRule="auto"/>
        <w:jc w:val="center"/>
        <w:rPr>
          <w:rFonts w:ascii="Arial" w:hAnsi="Arial" w:cs="Arial"/>
          <w:sz w:val="22"/>
          <w:szCs w:val="22"/>
          <w:lang w:val="es-ES"/>
        </w:rPr>
      </w:pPr>
    </w:p>
    <w:p w14:paraId="2873C4F8" w14:textId="2E39514F" w:rsidR="005D6DDD" w:rsidRPr="008E0777" w:rsidRDefault="005D6DDD" w:rsidP="00CA6BFC">
      <w:pPr>
        <w:spacing w:line="360" w:lineRule="auto"/>
        <w:rPr>
          <w:rFonts w:ascii="Arial" w:hAnsi="Arial" w:cs="Arial"/>
          <w:b/>
        </w:rPr>
      </w:pPr>
      <w:r w:rsidRPr="004E2840">
        <w:rPr>
          <w:rFonts w:ascii="Arial" w:hAnsi="Arial" w:cs="Arial"/>
          <w:b/>
        </w:rPr>
        <w:t xml:space="preserve">Contents of this file </w:t>
      </w:r>
    </w:p>
    <w:p w14:paraId="7C58293E" w14:textId="54E98E70" w:rsidR="005D6DDD" w:rsidRPr="008E0777" w:rsidRDefault="005D6DDD" w:rsidP="008E0777">
      <w:pPr>
        <w:spacing w:before="120" w:line="360" w:lineRule="auto"/>
        <w:ind w:left="720"/>
        <w:rPr>
          <w:rFonts w:ascii="Arial" w:hAnsi="Arial" w:cs="Arial"/>
          <w:color w:val="000000" w:themeColor="text1"/>
          <w:sz w:val="22"/>
          <w:szCs w:val="22"/>
        </w:rPr>
      </w:pPr>
      <w:r w:rsidRPr="008E0777">
        <w:rPr>
          <w:rFonts w:ascii="Arial" w:hAnsi="Arial" w:cs="Arial"/>
          <w:color w:val="000000" w:themeColor="text1"/>
          <w:sz w:val="22"/>
          <w:szCs w:val="22"/>
        </w:rPr>
        <w:t>Text S1 to S</w:t>
      </w:r>
      <w:r w:rsidR="008E0777" w:rsidRPr="008E0777">
        <w:rPr>
          <w:rFonts w:ascii="Arial" w:hAnsi="Arial" w:cs="Arial"/>
          <w:color w:val="000000" w:themeColor="text1"/>
          <w:sz w:val="22"/>
          <w:szCs w:val="22"/>
        </w:rPr>
        <w:t>6</w:t>
      </w:r>
    </w:p>
    <w:p w14:paraId="5D3336D8" w14:textId="6EDC9C29" w:rsidR="005D6DDD" w:rsidRPr="008E0777" w:rsidRDefault="005D6DDD" w:rsidP="00CA6BFC">
      <w:pPr>
        <w:spacing w:line="360" w:lineRule="auto"/>
        <w:ind w:left="720"/>
        <w:rPr>
          <w:rFonts w:ascii="Arial" w:hAnsi="Arial" w:cs="Arial"/>
          <w:color w:val="000000" w:themeColor="text1"/>
          <w:sz w:val="22"/>
          <w:szCs w:val="22"/>
        </w:rPr>
      </w:pPr>
      <w:r w:rsidRPr="008E0777">
        <w:rPr>
          <w:rFonts w:ascii="Arial" w:hAnsi="Arial" w:cs="Arial"/>
          <w:color w:val="000000" w:themeColor="text1"/>
          <w:sz w:val="22"/>
          <w:szCs w:val="22"/>
        </w:rPr>
        <w:t>Figures S1 to S</w:t>
      </w:r>
      <w:r w:rsidR="0048658B" w:rsidRPr="008E0777">
        <w:rPr>
          <w:rFonts w:ascii="Arial" w:hAnsi="Arial" w:cs="Arial"/>
          <w:color w:val="000000" w:themeColor="text1"/>
          <w:sz w:val="22"/>
          <w:szCs w:val="22"/>
        </w:rPr>
        <w:t>8</w:t>
      </w:r>
    </w:p>
    <w:p w14:paraId="10CBD81C" w14:textId="47E8B1B9" w:rsidR="005D6DDD" w:rsidRPr="008E0777" w:rsidRDefault="005D6DDD" w:rsidP="00CA6BFC">
      <w:pPr>
        <w:spacing w:line="360" w:lineRule="auto"/>
        <w:ind w:left="720"/>
        <w:rPr>
          <w:rFonts w:ascii="Arial" w:hAnsi="Arial" w:cs="Arial"/>
          <w:color w:val="000000" w:themeColor="text1"/>
          <w:sz w:val="22"/>
          <w:szCs w:val="22"/>
        </w:rPr>
      </w:pPr>
      <w:r w:rsidRPr="008E0777">
        <w:rPr>
          <w:rFonts w:ascii="Arial" w:hAnsi="Arial" w:cs="Arial"/>
          <w:color w:val="000000" w:themeColor="text1"/>
          <w:sz w:val="22"/>
          <w:szCs w:val="22"/>
        </w:rPr>
        <w:t>Tables S1 to S</w:t>
      </w:r>
      <w:r w:rsidR="004D3C96" w:rsidRPr="008E0777">
        <w:rPr>
          <w:rFonts w:ascii="Arial" w:hAnsi="Arial" w:cs="Arial"/>
          <w:color w:val="000000" w:themeColor="text1"/>
          <w:sz w:val="22"/>
          <w:szCs w:val="22"/>
        </w:rPr>
        <w:t>4</w:t>
      </w:r>
      <w:r w:rsidRPr="008E0777">
        <w:rPr>
          <w:rFonts w:ascii="Arial" w:hAnsi="Arial" w:cs="Arial"/>
          <w:color w:val="000000" w:themeColor="text1"/>
          <w:sz w:val="22"/>
          <w:szCs w:val="22"/>
        </w:rPr>
        <w:t xml:space="preserve"> </w:t>
      </w:r>
    </w:p>
    <w:p w14:paraId="772E6344" w14:textId="77777777" w:rsidR="005D6DDD" w:rsidRPr="004E2840" w:rsidRDefault="005D6DDD" w:rsidP="00CA6BFC">
      <w:pPr>
        <w:spacing w:before="240" w:after="120" w:line="360" w:lineRule="auto"/>
        <w:rPr>
          <w:rFonts w:ascii="Arial" w:hAnsi="Arial" w:cs="Arial"/>
          <w:b/>
        </w:rPr>
      </w:pPr>
      <w:r w:rsidRPr="004E2840">
        <w:rPr>
          <w:rFonts w:ascii="Arial" w:hAnsi="Arial" w:cs="Arial"/>
          <w:b/>
          <w:bCs/>
        </w:rPr>
        <w:t>Introduction</w:t>
      </w:r>
      <w:r w:rsidRPr="004E2840">
        <w:rPr>
          <w:rFonts w:ascii="Arial" w:hAnsi="Arial" w:cs="Arial"/>
          <w:b/>
        </w:rPr>
        <w:t xml:space="preserve"> </w:t>
      </w:r>
    </w:p>
    <w:p w14:paraId="49A31147" w14:textId="2117B3F3" w:rsidR="005D6DDD" w:rsidRPr="007900BD" w:rsidRDefault="005D6DDD" w:rsidP="00CA6BFC">
      <w:pPr>
        <w:spacing w:before="120" w:after="100" w:afterAutospacing="1" w:line="360" w:lineRule="auto"/>
        <w:jc w:val="both"/>
        <w:rPr>
          <w:rFonts w:ascii="Arial" w:hAnsi="Arial" w:cs="Arial"/>
          <w:color w:val="000000" w:themeColor="text1"/>
          <w:sz w:val="22"/>
          <w:szCs w:val="22"/>
          <w:lang w:val="en-US"/>
        </w:rPr>
      </w:pPr>
      <w:r w:rsidRPr="007900BD">
        <w:rPr>
          <w:rFonts w:ascii="Arial" w:hAnsi="Arial" w:cs="Arial"/>
          <w:color w:val="000000" w:themeColor="text1"/>
          <w:sz w:val="22"/>
          <w:szCs w:val="22"/>
          <w:lang w:val="en-US"/>
        </w:rPr>
        <w:t>This supporting material contains supplementary details on the</w:t>
      </w:r>
      <w:r w:rsidRPr="007900BD">
        <w:rPr>
          <w:rFonts w:ascii="Arial" w:hAnsi="Arial" w:cs="Arial"/>
          <w:i/>
          <w:color w:val="000000" w:themeColor="text1"/>
          <w:sz w:val="22"/>
          <w:szCs w:val="22"/>
          <w:lang w:val="en-US"/>
        </w:rPr>
        <w:t xml:space="preserve"> </w:t>
      </w:r>
      <w:r w:rsidRPr="007900BD">
        <w:rPr>
          <w:rFonts w:ascii="Arial" w:hAnsi="Arial" w:cs="Arial"/>
          <w:color w:val="000000" w:themeColor="text1"/>
          <w:sz w:val="22"/>
          <w:szCs w:val="22"/>
        </w:rPr>
        <w:t>estimate of the nutrient sources</w:t>
      </w:r>
      <w:r w:rsidRPr="007900BD">
        <w:rPr>
          <w:rFonts w:ascii="Arial" w:hAnsi="Arial" w:cs="Arial"/>
          <w:i/>
          <w:color w:val="000000" w:themeColor="text1"/>
          <w:sz w:val="22"/>
          <w:szCs w:val="22"/>
          <w:lang w:val="en-US"/>
        </w:rPr>
        <w:t xml:space="preserve"> </w:t>
      </w:r>
      <w:r w:rsidRPr="007900BD">
        <w:rPr>
          <w:rFonts w:ascii="Arial" w:hAnsi="Arial" w:cs="Arial"/>
          <w:color w:val="000000" w:themeColor="text1"/>
          <w:sz w:val="22"/>
          <w:szCs w:val="22"/>
          <w:lang w:val="en-US"/>
        </w:rPr>
        <w:t xml:space="preserve">(Text S1), uncertainties (Text S2), the </w:t>
      </w:r>
      <w:r w:rsidR="00D94DD2" w:rsidRPr="007900BD">
        <w:rPr>
          <w:rFonts w:ascii="Arial" w:hAnsi="Arial" w:cs="Arial"/>
          <w:color w:val="000000" w:themeColor="text1"/>
          <w:sz w:val="22"/>
          <w:szCs w:val="22"/>
          <w:lang w:val="en-US"/>
        </w:rPr>
        <w:t xml:space="preserve">volume and </w:t>
      </w:r>
      <w:r w:rsidRPr="007900BD">
        <w:rPr>
          <w:rFonts w:ascii="Arial" w:hAnsi="Arial" w:cs="Arial"/>
          <w:color w:val="000000" w:themeColor="text1"/>
          <w:sz w:val="22"/>
          <w:szCs w:val="22"/>
          <w:lang w:val="en-US"/>
        </w:rPr>
        <w:t>salt conservation principle</w:t>
      </w:r>
      <w:r w:rsidR="00D94DD2" w:rsidRPr="007900BD">
        <w:rPr>
          <w:rFonts w:ascii="Arial" w:hAnsi="Arial" w:cs="Arial"/>
          <w:color w:val="000000" w:themeColor="text1"/>
          <w:sz w:val="22"/>
          <w:szCs w:val="22"/>
          <w:lang w:val="en-US"/>
        </w:rPr>
        <w:t>s</w:t>
      </w:r>
      <w:r w:rsidRPr="007900BD">
        <w:rPr>
          <w:rFonts w:ascii="Arial" w:hAnsi="Arial" w:cs="Arial"/>
          <w:color w:val="000000" w:themeColor="text1"/>
          <w:sz w:val="22"/>
          <w:szCs w:val="22"/>
          <w:lang w:val="en-US"/>
        </w:rPr>
        <w:t xml:space="preserve"> (Text S3), </w:t>
      </w:r>
      <w:r w:rsidR="004D3C96" w:rsidRPr="007900BD">
        <w:rPr>
          <w:rFonts w:ascii="Arial" w:hAnsi="Arial" w:cs="Arial"/>
          <w:color w:val="000000" w:themeColor="text1"/>
          <w:sz w:val="22"/>
          <w:szCs w:val="22"/>
          <w:lang w:val="en-US"/>
        </w:rPr>
        <w:t>the representativeness of the 2004 and 2010 quasi-synoptic nutrient transport estimates</w:t>
      </w:r>
      <w:r w:rsidR="004D3C96" w:rsidRPr="007900BD">
        <w:rPr>
          <w:rFonts w:ascii="Arial" w:hAnsi="Arial" w:cs="Arial"/>
          <w:color w:val="000000" w:themeColor="text1"/>
          <w:sz w:val="22"/>
          <w:szCs w:val="22"/>
        </w:rPr>
        <w:t xml:space="preserve"> with regards the seasonal and interannual aliasing (Text S4), </w:t>
      </w:r>
      <w:r w:rsidR="00C5212B" w:rsidRPr="007900BD">
        <w:rPr>
          <w:rFonts w:ascii="Arial" w:hAnsi="Arial" w:cs="Arial"/>
          <w:color w:val="000000" w:themeColor="text1"/>
          <w:sz w:val="22"/>
          <w:szCs w:val="22"/>
        </w:rPr>
        <w:t>the</w:t>
      </w:r>
      <w:r w:rsidR="004D3C96" w:rsidRPr="007900BD">
        <w:rPr>
          <w:rFonts w:ascii="Arial" w:hAnsi="Arial" w:cs="Arial"/>
          <w:color w:val="000000" w:themeColor="text1"/>
          <w:sz w:val="22"/>
          <w:szCs w:val="22"/>
        </w:rPr>
        <w:t xml:space="preserve"> evaluation of the new joint inverse model (Text S5), </w:t>
      </w:r>
      <w:r w:rsidR="00BB5018" w:rsidRPr="007900BD">
        <w:rPr>
          <w:rFonts w:ascii="Arial" w:hAnsi="Arial" w:cs="Arial"/>
          <w:color w:val="000000" w:themeColor="text1"/>
          <w:sz w:val="22"/>
          <w:szCs w:val="22"/>
        </w:rPr>
        <w:t xml:space="preserve">and </w:t>
      </w:r>
      <w:r w:rsidR="00C5212B" w:rsidRPr="007900BD">
        <w:rPr>
          <w:rFonts w:ascii="Arial" w:hAnsi="Arial" w:cs="Arial"/>
          <w:color w:val="000000" w:themeColor="text1"/>
          <w:sz w:val="22"/>
          <w:szCs w:val="22"/>
        </w:rPr>
        <w:t>the</w:t>
      </w:r>
      <w:r w:rsidR="004D3C96" w:rsidRPr="007900BD">
        <w:rPr>
          <w:rFonts w:ascii="Arial" w:hAnsi="Arial" w:cs="Arial"/>
          <w:color w:val="000000" w:themeColor="text1"/>
          <w:sz w:val="22"/>
          <w:szCs w:val="22"/>
        </w:rPr>
        <w:t xml:space="preserve"> </w:t>
      </w:r>
      <w:r w:rsidRPr="007900BD">
        <w:rPr>
          <w:rFonts w:ascii="Arial" w:hAnsi="Arial" w:cs="Arial"/>
          <w:color w:val="000000" w:themeColor="text1"/>
          <w:sz w:val="22"/>
          <w:szCs w:val="22"/>
          <w:lang w:val="en-US"/>
        </w:rPr>
        <w:t xml:space="preserve">sensitivity </w:t>
      </w:r>
      <w:r w:rsidR="00C5212B" w:rsidRPr="007900BD">
        <w:rPr>
          <w:rFonts w:ascii="Arial" w:hAnsi="Arial" w:cs="Arial"/>
          <w:color w:val="000000" w:themeColor="text1"/>
          <w:sz w:val="22"/>
          <w:szCs w:val="22"/>
          <w:lang w:val="en-US"/>
        </w:rPr>
        <w:t xml:space="preserve">analysis </w:t>
      </w:r>
      <w:r w:rsidRPr="007900BD">
        <w:rPr>
          <w:rFonts w:ascii="Arial" w:hAnsi="Arial" w:cs="Arial"/>
          <w:color w:val="000000" w:themeColor="text1"/>
          <w:sz w:val="22"/>
          <w:szCs w:val="22"/>
        </w:rPr>
        <w:t xml:space="preserve">(Test </w:t>
      </w:r>
      <w:r w:rsidR="004D3C96" w:rsidRPr="007900BD">
        <w:rPr>
          <w:rFonts w:ascii="Arial" w:hAnsi="Arial" w:cs="Arial"/>
          <w:color w:val="000000" w:themeColor="text1"/>
          <w:sz w:val="22"/>
          <w:szCs w:val="22"/>
        </w:rPr>
        <w:t>S6</w:t>
      </w:r>
      <w:r w:rsidRPr="007900BD">
        <w:rPr>
          <w:rFonts w:ascii="Arial" w:hAnsi="Arial" w:cs="Arial"/>
          <w:color w:val="000000" w:themeColor="text1"/>
          <w:sz w:val="22"/>
          <w:szCs w:val="22"/>
        </w:rPr>
        <w:t>)</w:t>
      </w:r>
      <w:r w:rsidRPr="007900BD">
        <w:rPr>
          <w:rFonts w:ascii="Arial" w:hAnsi="Arial" w:cs="Arial"/>
          <w:color w:val="000000" w:themeColor="text1"/>
          <w:sz w:val="22"/>
          <w:szCs w:val="22"/>
          <w:lang w:val="en-US"/>
        </w:rPr>
        <w:t>. Figures S1 to S</w:t>
      </w:r>
      <w:r w:rsidR="002261E3" w:rsidRPr="007900BD">
        <w:rPr>
          <w:rFonts w:ascii="Arial" w:hAnsi="Arial" w:cs="Arial"/>
          <w:color w:val="000000" w:themeColor="text1"/>
          <w:sz w:val="22"/>
          <w:szCs w:val="22"/>
          <w:lang w:val="en-US"/>
        </w:rPr>
        <w:t>8</w:t>
      </w:r>
      <w:r w:rsidRPr="007900BD">
        <w:rPr>
          <w:rFonts w:ascii="Arial" w:hAnsi="Arial" w:cs="Arial"/>
          <w:color w:val="000000" w:themeColor="text1"/>
          <w:sz w:val="22"/>
          <w:szCs w:val="22"/>
          <w:lang w:val="en-US"/>
        </w:rPr>
        <w:t xml:space="preserve"> show: </w:t>
      </w:r>
      <w:r w:rsidR="008179AD" w:rsidRPr="007900BD">
        <w:rPr>
          <w:rFonts w:ascii="Arial" w:hAnsi="Arial" w:cs="Arial"/>
          <w:color w:val="000000" w:themeColor="text1"/>
          <w:sz w:val="22"/>
          <w:szCs w:val="22"/>
          <w:lang w:val="en-US"/>
        </w:rPr>
        <w:t>the Ekman transport across both sections from different wind products (Figure S</w:t>
      </w:r>
      <w:r w:rsidR="008179AD">
        <w:rPr>
          <w:rFonts w:ascii="Arial" w:hAnsi="Arial" w:cs="Arial"/>
          <w:color w:val="000000" w:themeColor="text1"/>
          <w:sz w:val="22"/>
          <w:szCs w:val="22"/>
          <w:lang w:val="en-US"/>
        </w:rPr>
        <w:t>1</w:t>
      </w:r>
      <w:r w:rsidR="008179AD" w:rsidRPr="007900BD">
        <w:rPr>
          <w:rFonts w:ascii="Arial" w:hAnsi="Arial" w:cs="Arial"/>
          <w:color w:val="000000" w:themeColor="text1"/>
          <w:sz w:val="22"/>
          <w:szCs w:val="22"/>
          <w:lang w:val="en-US"/>
        </w:rPr>
        <w:t>)</w:t>
      </w:r>
      <w:r w:rsidR="008179AD">
        <w:rPr>
          <w:rFonts w:ascii="Arial" w:hAnsi="Arial" w:cs="Arial"/>
          <w:color w:val="000000" w:themeColor="text1"/>
          <w:sz w:val="22"/>
          <w:szCs w:val="22"/>
          <w:lang w:val="en-US"/>
        </w:rPr>
        <w:t xml:space="preserve">, </w:t>
      </w:r>
      <w:r w:rsidRPr="007900BD">
        <w:rPr>
          <w:rFonts w:ascii="Arial" w:hAnsi="Arial" w:cs="Arial"/>
          <w:color w:val="000000" w:themeColor="text1"/>
          <w:sz w:val="22"/>
          <w:szCs w:val="22"/>
          <w:lang w:val="en-US"/>
        </w:rPr>
        <w:t>the schematics of the salt conservation constraint (Figure S</w:t>
      </w:r>
      <w:r w:rsidR="008179AD">
        <w:rPr>
          <w:rFonts w:ascii="Arial" w:hAnsi="Arial" w:cs="Arial"/>
          <w:color w:val="000000" w:themeColor="text1"/>
          <w:sz w:val="22"/>
          <w:szCs w:val="22"/>
          <w:lang w:val="en-US"/>
        </w:rPr>
        <w:t>2</w:t>
      </w:r>
      <w:r w:rsidRPr="007900BD">
        <w:rPr>
          <w:rFonts w:ascii="Arial" w:hAnsi="Arial" w:cs="Arial"/>
          <w:color w:val="000000" w:themeColor="text1"/>
          <w:sz w:val="22"/>
          <w:szCs w:val="22"/>
          <w:lang w:val="en-US"/>
        </w:rPr>
        <w:t xml:space="preserve">), the net evaporation in the North </w:t>
      </w:r>
      <w:r w:rsidRPr="007900BD">
        <w:rPr>
          <w:rFonts w:ascii="Arial" w:hAnsi="Arial" w:cs="Arial"/>
          <w:color w:val="000000" w:themeColor="text1"/>
          <w:sz w:val="22"/>
          <w:szCs w:val="22"/>
          <w:lang w:val="en-US"/>
        </w:rPr>
        <w:lastRenderedPageBreak/>
        <w:t>Atlantic (Figure S</w:t>
      </w:r>
      <w:r w:rsidR="009C1D53">
        <w:rPr>
          <w:rFonts w:ascii="Arial" w:hAnsi="Arial" w:cs="Arial"/>
          <w:color w:val="000000" w:themeColor="text1"/>
          <w:sz w:val="22"/>
          <w:szCs w:val="22"/>
          <w:lang w:val="en-US"/>
        </w:rPr>
        <w:t>3</w:t>
      </w:r>
      <w:r w:rsidRPr="007900BD">
        <w:rPr>
          <w:rFonts w:ascii="Arial" w:hAnsi="Arial" w:cs="Arial"/>
          <w:color w:val="000000" w:themeColor="text1"/>
          <w:sz w:val="22"/>
          <w:szCs w:val="22"/>
          <w:lang w:val="en-US"/>
        </w:rPr>
        <w:t>),</w:t>
      </w:r>
      <w:r w:rsidR="00B65D29" w:rsidRPr="007900BD">
        <w:rPr>
          <w:rFonts w:ascii="Arial" w:hAnsi="Arial" w:cs="Arial"/>
          <w:color w:val="000000" w:themeColor="text1"/>
          <w:sz w:val="22"/>
          <w:szCs w:val="22"/>
          <w:lang w:val="en-US"/>
        </w:rPr>
        <w:t xml:space="preserve"> </w:t>
      </w:r>
      <w:r w:rsidR="00B3364C" w:rsidRPr="007900BD">
        <w:rPr>
          <w:rFonts w:ascii="Arial" w:hAnsi="Arial" w:cs="Arial"/>
          <w:color w:val="000000" w:themeColor="text1"/>
          <w:sz w:val="22"/>
          <w:szCs w:val="22"/>
          <w:lang w:val="en-US"/>
        </w:rPr>
        <w:t xml:space="preserve">the volume transport comparison between the original 2004 and 2010 velocity fields at OVIDE and </w:t>
      </w:r>
      <w:r w:rsidR="00C5212B" w:rsidRPr="007900BD">
        <w:rPr>
          <w:rFonts w:ascii="Arial" w:hAnsi="Arial" w:cs="Arial"/>
          <w:color w:val="000000" w:themeColor="text1"/>
          <w:sz w:val="22"/>
          <w:szCs w:val="22"/>
          <w:lang w:val="en-US"/>
        </w:rPr>
        <w:t>the consistency</w:t>
      </w:r>
      <w:r w:rsidR="00B3364C" w:rsidRPr="007900BD">
        <w:rPr>
          <w:rFonts w:ascii="Arial" w:hAnsi="Arial" w:cs="Arial"/>
          <w:color w:val="000000" w:themeColor="text1"/>
          <w:sz w:val="22"/>
          <w:szCs w:val="22"/>
          <w:lang w:val="en-US"/>
        </w:rPr>
        <w:t xml:space="preserve"> tests performed in this study (Figure S</w:t>
      </w:r>
      <w:r w:rsidR="002261E3" w:rsidRPr="007900BD">
        <w:rPr>
          <w:rFonts w:ascii="Arial" w:hAnsi="Arial" w:cs="Arial"/>
          <w:color w:val="000000" w:themeColor="text1"/>
          <w:sz w:val="22"/>
          <w:szCs w:val="22"/>
          <w:lang w:val="en-US"/>
        </w:rPr>
        <w:t>4</w:t>
      </w:r>
      <w:r w:rsidR="00B3364C" w:rsidRPr="007900BD">
        <w:rPr>
          <w:rFonts w:ascii="Arial" w:hAnsi="Arial" w:cs="Arial"/>
          <w:color w:val="000000" w:themeColor="text1"/>
          <w:sz w:val="22"/>
          <w:szCs w:val="22"/>
          <w:lang w:val="en-US"/>
        </w:rPr>
        <w:t xml:space="preserve">), </w:t>
      </w:r>
      <w:r w:rsidR="008E423B" w:rsidRPr="007900BD">
        <w:rPr>
          <w:rFonts w:ascii="Arial" w:hAnsi="Arial" w:cs="Arial"/>
          <w:color w:val="000000" w:themeColor="text1"/>
          <w:sz w:val="22"/>
          <w:szCs w:val="22"/>
        </w:rPr>
        <w:t xml:space="preserve">,a summary of the sensitivity analysis </w:t>
      </w:r>
      <w:r w:rsidR="004D3C96" w:rsidRPr="007900BD">
        <w:rPr>
          <w:rFonts w:ascii="Arial" w:hAnsi="Arial" w:cs="Arial"/>
          <w:color w:val="000000" w:themeColor="text1"/>
          <w:sz w:val="22"/>
          <w:szCs w:val="22"/>
        </w:rPr>
        <w:t>for the transports across the A05-24.5°N and OVIDE section</w:t>
      </w:r>
      <w:r w:rsidR="009C1D53">
        <w:rPr>
          <w:rFonts w:ascii="Arial" w:hAnsi="Arial" w:cs="Arial"/>
          <w:color w:val="000000" w:themeColor="text1"/>
          <w:sz w:val="22"/>
          <w:szCs w:val="22"/>
        </w:rPr>
        <w:t>s</w:t>
      </w:r>
      <w:r w:rsidR="004D3C96" w:rsidRPr="007900BD">
        <w:rPr>
          <w:rFonts w:ascii="Arial" w:hAnsi="Arial" w:cs="Arial"/>
          <w:color w:val="000000" w:themeColor="text1"/>
          <w:sz w:val="22"/>
          <w:szCs w:val="22"/>
        </w:rPr>
        <w:t xml:space="preserve"> </w:t>
      </w:r>
      <w:r w:rsidR="008E423B" w:rsidRPr="007900BD">
        <w:rPr>
          <w:rFonts w:ascii="Arial" w:hAnsi="Arial" w:cs="Arial"/>
          <w:color w:val="000000" w:themeColor="text1"/>
          <w:sz w:val="22"/>
          <w:szCs w:val="22"/>
        </w:rPr>
        <w:t>(Figure S</w:t>
      </w:r>
      <w:r w:rsidR="009C1D53">
        <w:rPr>
          <w:rFonts w:ascii="Arial" w:hAnsi="Arial" w:cs="Arial"/>
          <w:color w:val="000000" w:themeColor="text1"/>
          <w:sz w:val="22"/>
          <w:szCs w:val="22"/>
        </w:rPr>
        <w:t>5</w:t>
      </w:r>
      <w:r w:rsidR="008E423B" w:rsidRPr="007900BD">
        <w:rPr>
          <w:rFonts w:ascii="Arial" w:hAnsi="Arial" w:cs="Arial"/>
          <w:color w:val="000000" w:themeColor="text1"/>
          <w:sz w:val="22"/>
          <w:szCs w:val="22"/>
        </w:rPr>
        <w:t>)</w:t>
      </w:r>
      <w:r w:rsidR="004D3C96" w:rsidRPr="007900BD">
        <w:rPr>
          <w:rFonts w:ascii="Arial" w:hAnsi="Arial" w:cs="Arial"/>
          <w:color w:val="000000" w:themeColor="text1"/>
          <w:sz w:val="22"/>
          <w:szCs w:val="22"/>
        </w:rPr>
        <w:t xml:space="preserve"> and </w:t>
      </w:r>
      <w:r w:rsidR="00C5212B" w:rsidRPr="007900BD">
        <w:rPr>
          <w:rFonts w:ascii="Arial" w:hAnsi="Arial" w:cs="Arial"/>
          <w:color w:val="000000" w:themeColor="text1"/>
          <w:sz w:val="22"/>
          <w:szCs w:val="22"/>
        </w:rPr>
        <w:t xml:space="preserve">for </w:t>
      </w:r>
      <w:r w:rsidR="004D3C96" w:rsidRPr="007900BD">
        <w:rPr>
          <w:rFonts w:ascii="Arial" w:hAnsi="Arial" w:cs="Arial"/>
          <w:color w:val="000000" w:themeColor="text1"/>
          <w:sz w:val="22"/>
          <w:szCs w:val="22"/>
        </w:rPr>
        <w:t>the nutrient budgets (Figure S</w:t>
      </w:r>
      <w:r w:rsidR="009C1D53">
        <w:rPr>
          <w:rFonts w:ascii="Arial" w:hAnsi="Arial" w:cs="Arial"/>
          <w:color w:val="000000" w:themeColor="text1"/>
          <w:sz w:val="22"/>
          <w:szCs w:val="22"/>
        </w:rPr>
        <w:t>6</w:t>
      </w:r>
      <w:r w:rsidR="004D3C96" w:rsidRPr="007900BD">
        <w:rPr>
          <w:rFonts w:ascii="Arial" w:hAnsi="Arial" w:cs="Arial"/>
          <w:color w:val="000000" w:themeColor="text1"/>
          <w:sz w:val="22"/>
          <w:szCs w:val="22"/>
        </w:rPr>
        <w:t>)</w:t>
      </w:r>
      <w:r w:rsidR="009C1D53">
        <w:rPr>
          <w:rFonts w:ascii="Arial" w:hAnsi="Arial" w:cs="Arial"/>
          <w:color w:val="000000" w:themeColor="text1"/>
          <w:sz w:val="22"/>
          <w:szCs w:val="22"/>
          <w:lang w:val="en-US"/>
        </w:rPr>
        <w:t xml:space="preserve">, </w:t>
      </w:r>
      <w:r w:rsidR="009C1D53" w:rsidRPr="007900BD">
        <w:rPr>
          <w:rFonts w:ascii="Arial" w:hAnsi="Arial" w:cs="Arial"/>
          <w:color w:val="000000" w:themeColor="text1"/>
          <w:sz w:val="22"/>
          <w:szCs w:val="22"/>
          <w:lang w:val="en-US"/>
        </w:rPr>
        <w:t xml:space="preserve">the mooring-based Western Boundary Wedge velocity profiles at </w:t>
      </w:r>
      <w:r w:rsidR="009C1D53" w:rsidRPr="007900BD">
        <w:rPr>
          <w:rFonts w:ascii="Arial" w:hAnsi="Arial" w:cs="Arial"/>
          <w:color w:val="000000" w:themeColor="text1"/>
          <w:sz w:val="22"/>
          <w:szCs w:val="22"/>
        </w:rPr>
        <w:t>A05-24.5°N</w:t>
      </w:r>
      <w:r w:rsidR="009C1D53" w:rsidRPr="007900BD">
        <w:rPr>
          <w:rFonts w:ascii="Arial" w:hAnsi="Arial" w:cs="Arial"/>
          <w:color w:val="000000" w:themeColor="text1"/>
          <w:sz w:val="22"/>
          <w:szCs w:val="22"/>
          <w:lang w:val="en-US"/>
        </w:rPr>
        <w:t xml:space="preserve"> (Figure S</w:t>
      </w:r>
      <w:r w:rsidR="009C1D53">
        <w:rPr>
          <w:rFonts w:ascii="Arial" w:hAnsi="Arial" w:cs="Arial"/>
          <w:color w:val="000000" w:themeColor="text1"/>
          <w:sz w:val="22"/>
          <w:szCs w:val="22"/>
          <w:lang w:val="en-US"/>
        </w:rPr>
        <w:t>7</w:t>
      </w:r>
      <w:r w:rsidR="009C1D53" w:rsidRPr="007900BD">
        <w:rPr>
          <w:rFonts w:ascii="Arial" w:hAnsi="Arial" w:cs="Arial"/>
          <w:color w:val="000000" w:themeColor="text1"/>
          <w:sz w:val="22"/>
          <w:szCs w:val="22"/>
          <w:lang w:val="en-US"/>
        </w:rPr>
        <w:t xml:space="preserve">), the time series of the Western Boundary Wedge absolute transport at </w:t>
      </w:r>
      <w:r w:rsidR="009C1D53" w:rsidRPr="007900BD">
        <w:rPr>
          <w:rFonts w:ascii="Arial" w:hAnsi="Arial" w:cs="Arial"/>
          <w:color w:val="000000" w:themeColor="text1"/>
          <w:sz w:val="22"/>
          <w:szCs w:val="22"/>
        </w:rPr>
        <w:t>A05-24.5°N (</w:t>
      </w:r>
      <w:r w:rsidR="009C1D53" w:rsidRPr="007900BD">
        <w:rPr>
          <w:rFonts w:ascii="Arial" w:hAnsi="Arial" w:cs="Arial"/>
          <w:color w:val="000000" w:themeColor="text1"/>
          <w:sz w:val="22"/>
          <w:szCs w:val="22"/>
          <w:lang w:val="en-US"/>
        </w:rPr>
        <w:t>Figure S</w:t>
      </w:r>
      <w:r w:rsidR="009C1D53">
        <w:rPr>
          <w:rFonts w:ascii="Arial" w:hAnsi="Arial" w:cs="Arial"/>
          <w:color w:val="000000" w:themeColor="text1"/>
          <w:sz w:val="22"/>
          <w:szCs w:val="22"/>
          <w:lang w:val="en-US"/>
        </w:rPr>
        <w:t>8</w:t>
      </w:r>
      <w:r w:rsidR="009C1D53" w:rsidRPr="007900BD">
        <w:rPr>
          <w:rFonts w:ascii="Arial" w:hAnsi="Arial" w:cs="Arial"/>
          <w:color w:val="000000" w:themeColor="text1"/>
          <w:sz w:val="22"/>
          <w:szCs w:val="22"/>
        </w:rPr>
        <w:t>)</w:t>
      </w:r>
      <w:r w:rsidRPr="007900BD">
        <w:rPr>
          <w:rFonts w:ascii="Arial" w:hAnsi="Arial" w:cs="Arial"/>
          <w:color w:val="000000" w:themeColor="text1"/>
          <w:sz w:val="22"/>
          <w:szCs w:val="22"/>
          <w:lang w:val="en-US"/>
        </w:rPr>
        <w:t>. Tables S1 to S</w:t>
      </w:r>
      <w:r w:rsidR="004D3C96" w:rsidRPr="007900BD">
        <w:rPr>
          <w:rFonts w:ascii="Arial" w:hAnsi="Arial" w:cs="Arial"/>
          <w:color w:val="000000" w:themeColor="text1"/>
          <w:sz w:val="22"/>
          <w:szCs w:val="22"/>
          <w:lang w:val="en-US"/>
        </w:rPr>
        <w:t>4</w:t>
      </w:r>
      <w:r w:rsidRPr="007900BD">
        <w:rPr>
          <w:rFonts w:ascii="Arial" w:hAnsi="Arial" w:cs="Arial"/>
          <w:color w:val="000000" w:themeColor="text1"/>
          <w:sz w:val="22"/>
          <w:szCs w:val="22"/>
          <w:lang w:val="en-US"/>
        </w:rPr>
        <w:t xml:space="preserve"> contain: the GLODAPv2 quality control correction factors applied to oxygen and nutrient data (Table S1), the </w:t>
      </w:r>
      <w:r w:rsidRPr="007900BD">
        <w:rPr>
          <w:rFonts w:ascii="Arial" w:hAnsi="Arial" w:cs="Arial"/>
          <w:color w:val="000000" w:themeColor="text1"/>
          <w:sz w:val="22"/>
          <w:szCs w:val="22"/>
        </w:rPr>
        <w:t xml:space="preserve">external sources (inputs) of silicate, nitrate and phosphate </w:t>
      </w:r>
      <w:r w:rsidRPr="007900BD">
        <w:rPr>
          <w:rFonts w:ascii="Arial" w:hAnsi="Arial" w:cs="Arial"/>
          <w:color w:val="000000" w:themeColor="text1"/>
          <w:sz w:val="22"/>
          <w:szCs w:val="22"/>
          <w:lang w:val="en-US"/>
        </w:rPr>
        <w:t>(Table S2), the list of hydrographic cruises used to estimate the organic nutrient transport across the Florida Straits (Table S3), the volume, salt and nutrient transports across the Davis Straits (Table S</w:t>
      </w:r>
      <w:r w:rsidR="004D3C96" w:rsidRPr="007900BD">
        <w:rPr>
          <w:rFonts w:ascii="Arial" w:hAnsi="Arial" w:cs="Arial"/>
          <w:color w:val="000000" w:themeColor="text1"/>
          <w:sz w:val="22"/>
          <w:szCs w:val="22"/>
          <w:lang w:val="en-US"/>
        </w:rPr>
        <w:t>4a,b</w:t>
      </w:r>
      <w:r w:rsidRPr="007900BD">
        <w:rPr>
          <w:rFonts w:ascii="Arial" w:hAnsi="Arial" w:cs="Arial"/>
          <w:color w:val="000000" w:themeColor="text1"/>
          <w:sz w:val="22"/>
          <w:szCs w:val="22"/>
          <w:lang w:val="en-US"/>
        </w:rPr>
        <w:t xml:space="preserve">). </w:t>
      </w:r>
    </w:p>
    <w:p w14:paraId="0FDAA816" w14:textId="77777777" w:rsidR="005D6DDD" w:rsidRPr="00965B3A" w:rsidRDefault="005D6DDD" w:rsidP="00CA6BFC">
      <w:pPr>
        <w:pStyle w:val="Heading1"/>
        <w:spacing w:line="360" w:lineRule="auto"/>
        <w:rPr>
          <w:rFonts w:ascii="Arial" w:hAnsi="Arial" w:cs="Arial"/>
          <w:b/>
          <w:color w:val="auto"/>
          <w:sz w:val="22"/>
          <w:szCs w:val="22"/>
        </w:rPr>
      </w:pPr>
      <w:r w:rsidRPr="00965B3A">
        <w:rPr>
          <w:rFonts w:ascii="Arial" w:hAnsi="Arial" w:cs="Arial"/>
          <w:b/>
          <w:color w:val="auto"/>
          <w:sz w:val="22"/>
          <w:szCs w:val="22"/>
        </w:rPr>
        <w:t xml:space="preserve">Text S1. Estimate of additional nutrient sources </w:t>
      </w:r>
    </w:p>
    <w:p w14:paraId="526F1EEB" w14:textId="271B7762" w:rsidR="005D6DDD" w:rsidRPr="00965B3A" w:rsidRDefault="005D6DDD" w:rsidP="00CA6BFC">
      <w:pPr>
        <w:pStyle w:val="Heading2"/>
        <w:spacing w:after="120" w:line="360" w:lineRule="auto"/>
        <w:rPr>
          <w:rFonts w:ascii="Arial" w:hAnsi="Arial" w:cs="Arial"/>
          <w:b/>
          <w:color w:val="auto"/>
          <w:sz w:val="22"/>
          <w:szCs w:val="22"/>
        </w:rPr>
      </w:pPr>
      <w:r w:rsidRPr="00965B3A">
        <w:rPr>
          <w:rFonts w:ascii="Arial" w:hAnsi="Arial" w:cs="Arial"/>
          <w:b/>
          <w:color w:val="auto"/>
          <w:sz w:val="22"/>
          <w:szCs w:val="22"/>
        </w:rPr>
        <w:t xml:space="preserve">S1.1 Atmospheric deposition: </w:t>
      </w:r>
      <w:r w:rsidR="0002489A" w:rsidRPr="00965B3A">
        <w:rPr>
          <w:rFonts w:ascii="Arial" w:hAnsi="Arial" w:cs="Arial"/>
          <w:b/>
          <w:color w:val="auto"/>
          <w:kern w:val="32"/>
          <w:sz w:val="22"/>
          <w:szCs w:val="22"/>
        </w:rPr>
        <w:t>F</w:t>
      </w:r>
      <w:r w:rsidR="0002489A" w:rsidRPr="00965B3A">
        <w:rPr>
          <w:rFonts w:ascii="Arial" w:hAnsi="Arial" w:cs="Arial"/>
          <w:b/>
          <w:color w:val="auto"/>
          <w:kern w:val="32"/>
          <w:sz w:val="22"/>
          <w:szCs w:val="22"/>
          <w:vertAlign w:val="subscript"/>
        </w:rPr>
        <w:t>N</w:t>
      </w:r>
      <w:r w:rsidR="0002489A">
        <w:rPr>
          <w:rFonts w:ascii="Arial" w:hAnsi="Arial" w:cs="Arial"/>
          <w:b/>
          <w:color w:val="auto"/>
          <w:kern w:val="32"/>
          <w:sz w:val="22"/>
          <w:szCs w:val="22"/>
          <w:vertAlign w:val="superscript"/>
        </w:rPr>
        <w:t>air-sea</w:t>
      </w:r>
      <w:r w:rsidR="0002489A" w:rsidRPr="00965B3A">
        <w:rPr>
          <w:rFonts w:ascii="Arial" w:hAnsi="Arial" w:cs="Arial"/>
          <w:b/>
          <w:color w:val="auto"/>
          <w:sz w:val="22"/>
          <w:szCs w:val="22"/>
        </w:rPr>
        <w:t xml:space="preserve"> </w:t>
      </w:r>
    </w:p>
    <w:p w14:paraId="0C020FCA" w14:textId="4A8EE6F3" w:rsidR="005D6DDD" w:rsidRPr="007900BD" w:rsidRDefault="005D6DDD" w:rsidP="00CA6BFC">
      <w:pPr>
        <w:spacing w:before="120" w:after="120" w:line="360" w:lineRule="auto"/>
        <w:jc w:val="both"/>
        <w:rPr>
          <w:rFonts w:ascii="Arial" w:hAnsi="Arial" w:cs="Arial"/>
          <w:bCs/>
          <w:color w:val="000000" w:themeColor="text1"/>
          <w:kern w:val="32"/>
          <w:sz w:val="22"/>
          <w:szCs w:val="22"/>
        </w:rPr>
      </w:pPr>
      <w:r w:rsidRPr="007900BD">
        <w:rPr>
          <w:rFonts w:ascii="Arial" w:hAnsi="Arial" w:cs="Arial"/>
          <w:bCs/>
          <w:color w:val="000000" w:themeColor="text1"/>
          <w:kern w:val="32"/>
          <w:sz w:val="22"/>
          <w:szCs w:val="22"/>
        </w:rPr>
        <w:t xml:space="preserve">In this study, we estimated the atmospheric deposition of inorganic nutrients in the North Atlantic (NA-box, Figure 1) by means of the deposition rates provided by previous studies (see </w:t>
      </w:r>
      <w:r w:rsidR="007455B8" w:rsidRPr="007900BD">
        <w:rPr>
          <w:rFonts w:ascii="Arial" w:hAnsi="Arial" w:cs="Arial"/>
          <w:bCs/>
          <w:color w:val="000000" w:themeColor="text1"/>
          <w:kern w:val="32"/>
          <w:sz w:val="22"/>
          <w:szCs w:val="22"/>
        </w:rPr>
        <w:t xml:space="preserve">values and </w:t>
      </w:r>
      <w:r w:rsidRPr="007900BD">
        <w:rPr>
          <w:rFonts w:ascii="Arial" w:hAnsi="Arial" w:cs="Arial"/>
          <w:bCs/>
          <w:color w:val="000000" w:themeColor="text1"/>
          <w:kern w:val="32"/>
          <w:sz w:val="22"/>
          <w:szCs w:val="22"/>
        </w:rPr>
        <w:t xml:space="preserve">references in Table S2). </w:t>
      </w:r>
      <w:r w:rsidR="007455B8" w:rsidRPr="007900BD">
        <w:rPr>
          <w:rFonts w:ascii="Arial" w:hAnsi="Arial" w:cs="Arial"/>
          <w:bCs/>
          <w:color w:val="000000" w:themeColor="text1"/>
          <w:kern w:val="32"/>
          <w:sz w:val="22"/>
          <w:szCs w:val="22"/>
        </w:rPr>
        <w:t>We</w:t>
      </w:r>
      <w:r w:rsidR="007455B8" w:rsidRPr="007900BD">
        <w:rPr>
          <w:rFonts w:ascii="Arial" w:hAnsi="Arial" w:cs="Arial"/>
          <w:bCs/>
          <w:color w:val="000000" w:themeColor="text1"/>
          <w:kern w:val="32"/>
          <w:sz w:val="22"/>
          <w:szCs w:val="22"/>
          <w:vertAlign w:val="superscript"/>
        </w:rPr>
        <w:t xml:space="preserve"> </w:t>
      </w:r>
      <w:r w:rsidR="007455B8" w:rsidRPr="007900BD">
        <w:rPr>
          <w:rFonts w:ascii="Arial" w:hAnsi="Arial" w:cs="Arial"/>
          <w:bCs/>
          <w:color w:val="000000" w:themeColor="text1"/>
          <w:kern w:val="32"/>
          <w:sz w:val="22"/>
          <w:szCs w:val="22"/>
        </w:rPr>
        <w:t>inferred a total atmospheric nitrate input by using a</w:t>
      </w:r>
      <w:r w:rsidR="00F72831" w:rsidRPr="007900BD">
        <w:rPr>
          <w:rFonts w:ascii="Arial" w:hAnsi="Arial" w:cs="Arial"/>
          <w:bCs/>
          <w:color w:val="000000" w:themeColor="text1"/>
          <w:kern w:val="32"/>
          <w:sz w:val="22"/>
          <w:szCs w:val="22"/>
        </w:rPr>
        <w:t xml:space="preserve"> </w:t>
      </w:r>
      <w:r w:rsidRPr="007900BD">
        <w:rPr>
          <w:rFonts w:ascii="Arial" w:hAnsi="Arial" w:cs="Arial"/>
          <w:bCs/>
          <w:color w:val="000000" w:themeColor="text1"/>
          <w:kern w:val="32"/>
          <w:sz w:val="22"/>
          <w:szCs w:val="22"/>
        </w:rPr>
        <w:t xml:space="preserve">mean atmospheric deposition of inorganic oxidized nitrogen (nitrate and nitric acid) in the North Atlantic </w:t>
      </w:r>
      <w:r w:rsidR="00F72831" w:rsidRPr="007900BD">
        <w:rPr>
          <w:rFonts w:ascii="Arial" w:hAnsi="Arial" w:cs="Arial"/>
          <w:bCs/>
          <w:color w:val="000000" w:themeColor="text1"/>
          <w:kern w:val="32"/>
          <w:sz w:val="22"/>
          <w:szCs w:val="22"/>
        </w:rPr>
        <w:t>of</w:t>
      </w:r>
      <w:r w:rsidRPr="007900BD">
        <w:rPr>
          <w:rFonts w:ascii="Arial" w:hAnsi="Arial" w:cs="Arial"/>
          <w:bCs/>
          <w:color w:val="000000" w:themeColor="text1"/>
          <w:kern w:val="32"/>
          <w:sz w:val="22"/>
          <w:szCs w:val="22"/>
        </w:rPr>
        <w:t xml:space="preserve"> 0.12 g-N m</w:t>
      </w:r>
      <w:r w:rsidRPr="007900BD">
        <w:rPr>
          <w:rFonts w:ascii="Arial" w:hAnsi="Arial" w:cs="Arial"/>
          <w:bCs/>
          <w:color w:val="000000" w:themeColor="text1"/>
          <w:kern w:val="32"/>
          <w:sz w:val="22"/>
          <w:szCs w:val="22"/>
          <w:vertAlign w:val="superscript"/>
        </w:rPr>
        <w:t xml:space="preserve">-2 </w:t>
      </w:r>
      <w:r w:rsidRPr="007900BD">
        <w:rPr>
          <w:rFonts w:ascii="Arial" w:hAnsi="Arial" w:cs="Arial"/>
          <w:bCs/>
          <w:color w:val="000000" w:themeColor="text1"/>
          <w:kern w:val="32"/>
          <w:sz w:val="22"/>
          <w:szCs w:val="22"/>
        </w:rPr>
        <w:t>y</w:t>
      </w:r>
      <w:r w:rsidRPr="007900BD">
        <w:rPr>
          <w:rFonts w:ascii="Arial" w:hAnsi="Arial" w:cs="Arial"/>
          <w:bCs/>
          <w:color w:val="000000" w:themeColor="text1"/>
          <w:kern w:val="32"/>
          <w:sz w:val="22"/>
          <w:szCs w:val="22"/>
          <w:vertAlign w:val="superscript"/>
        </w:rPr>
        <w:t>-1</w:t>
      </w:r>
      <w:r w:rsidR="00EA1920" w:rsidRPr="007900BD">
        <w:rPr>
          <w:rFonts w:ascii="Arial" w:hAnsi="Arial" w:cs="Arial"/>
          <w:bCs/>
          <w:color w:val="000000" w:themeColor="text1"/>
          <w:kern w:val="32"/>
          <w:sz w:val="22"/>
          <w:szCs w:val="22"/>
          <w:vertAlign w:val="superscript"/>
        </w:rPr>
        <w:t xml:space="preserve"> </w:t>
      </w:r>
      <w:r w:rsidR="00EA1920" w:rsidRPr="007900BD">
        <w:rPr>
          <w:rFonts w:ascii="Arial" w:hAnsi="Arial" w:cs="Arial"/>
          <w:bCs/>
          <w:color w:val="000000" w:themeColor="text1"/>
          <w:kern w:val="32"/>
          <w:sz w:val="22"/>
          <w:szCs w:val="22"/>
        </w:rPr>
        <w:t xml:space="preserve">(Figure 2c in </w:t>
      </w:r>
      <w:r w:rsidR="003B06D6" w:rsidRPr="007900BD">
        <w:rPr>
          <w:rFonts w:ascii="Arial" w:hAnsi="Arial" w:cs="Arial"/>
          <w:bCs/>
          <w:color w:val="000000" w:themeColor="text1"/>
          <w:kern w:val="32"/>
          <w:sz w:val="22"/>
          <w:szCs w:val="22"/>
        </w:rPr>
        <w:fldChar w:fldCharType="begin"/>
      </w:r>
      <w:r w:rsidR="00001D3F" w:rsidRPr="007900BD">
        <w:rPr>
          <w:rFonts w:ascii="Arial" w:hAnsi="Arial" w:cs="Arial"/>
          <w:bCs/>
          <w:color w:val="000000" w:themeColor="text1"/>
          <w:kern w:val="32"/>
          <w:sz w:val="22"/>
          <w:szCs w:val="22"/>
        </w:rPr>
        <w:instrText xml:space="preserve"> ADDIN ZOTERO_ITEM CSL_CITATION {"citationID":"a1h8hv66i1v","properties":{"formattedCitation":"\\uldash{(Yang &amp; Gruber, 2016)}","plainCitation":"(Yang &amp; Gruber, 2016)","dontUpdate":true,"noteIndex":0},"citationItems":[{"id":4437,"uris":["http://zotero.org/users/951135/items/AACSYFFA"],"uri":["http://zotero.org/users/951135/items/AACSYFFA"],"itemData":{"id":4437,"type":"article-journal","abstract":"Over the last 100 years, anthropogenic emissions have led to a strong increase of atmospheric nitrogen deposition over the ocean, yet the resulting impacts and feedbacks are neither well understood nor quantified. To this end, we run a suite of simulations with the ocean component of the Community Earth System Model v1.2 forced with five scenarios of nitrogen deposition over the period from 1850 through 2100, while keeping all other forcings unchanged. Even though global oceanic net primary production increases little in response to this fertilization, the higher export and the resulting expansion of the oxygen minimum zones cause an increase in pelagic and benthic denitrification and burial by about 5%. In addition, the enhanced availability of fixed nitrogen in the surface ocean reduces global ocean N2 fixation by more than 10%. Despite the compensating effects through these negative feedbacks that eliminate by the year 2000 about 60% of the deposited nitrogen, the anthropogenic nitrogen input forced the upper ocean N budget into an imbalance of between 9 and 22 Tg N yr−1 depending on the deposition scenario. The excess nitrogen accumulates to highly detectable levels and causes in most areas a distinct negative trend in the δ15N of the oceanic fixed nitrogen pools—a trend we refer to as the 15N Haber-Bosch effect. Changes in surface nitrate utilization and the nitrogen feedbacks induce further changes in the δ15N of , making it a good but complex recorder of the overall impact of the changes in atmospheric deposition.","container-title":"Global Biogeochemical Cycles","DOI":"10.1002/2016GB005421","ISSN":"1944-9224","issue":"10","language":"en","note":"_eprint: https://agupubs.onlinelibrary.wiley.com/doi/pdf/10.1002/2016GB005421","page":"1418-1440","source":"Wiley Online Library","title":"The anthropogenic perturbation of the marine nitrogen cycle by atmospheric deposition: Nitrogen cycle feedbacks and the 15N Haber-Bosch effect","title-short":"The anthropogenic perturbation of the marine nitrogen cycle by atmospheric deposition","volume":"30","author":[{"family":"Yang","given":"Simon"},{"family":"Gruber","given":"Nicolas"}],"issued":{"date-parts":[["2016"]]}}}],"schema":"https://github.com/citation-style-language/schema/raw/master/csl-citation.json"} </w:instrText>
      </w:r>
      <w:r w:rsidR="003B06D6" w:rsidRPr="007900BD">
        <w:rPr>
          <w:rFonts w:ascii="Arial" w:hAnsi="Arial" w:cs="Arial"/>
          <w:bCs/>
          <w:color w:val="000000" w:themeColor="text1"/>
          <w:kern w:val="32"/>
          <w:sz w:val="22"/>
          <w:szCs w:val="22"/>
        </w:rPr>
        <w:fldChar w:fldCharType="separate"/>
      </w:r>
      <w:r w:rsidR="003B06D6" w:rsidRPr="007900BD">
        <w:rPr>
          <w:rFonts w:ascii="Arial" w:hAnsi="Arial" w:cs="Arial"/>
          <w:color w:val="000000" w:themeColor="text1"/>
          <w:sz w:val="22"/>
        </w:rPr>
        <w:t>Yang &amp; Gruber, 2016;</w:t>
      </w:r>
      <w:r w:rsidR="003B06D6" w:rsidRPr="007900BD">
        <w:rPr>
          <w:rFonts w:ascii="Arial" w:hAnsi="Arial" w:cs="Arial"/>
          <w:bCs/>
          <w:color w:val="000000" w:themeColor="text1"/>
          <w:kern w:val="32"/>
          <w:sz w:val="22"/>
          <w:szCs w:val="22"/>
        </w:rPr>
        <w:fldChar w:fldCharType="end"/>
      </w:r>
      <w:r w:rsidR="003B06D6" w:rsidRPr="007900BD">
        <w:rPr>
          <w:rFonts w:ascii="Arial" w:hAnsi="Arial" w:cs="Arial"/>
          <w:bCs/>
          <w:color w:val="000000" w:themeColor="text1"/>
          <w:kern w:val="32"/>
          <w:sz w:val="22"/>
          <w:szCs w:val="22"/>
        </w:rPr>
        <w:t xml:space="preserve"> </w:t>
      </w:r>
      <w:r w:rsidR="00EA1920" w:rsidRPr="007900BD">
        <w:rPr>
          <w:rFonts w:ascii="Arial" w:hAnsi="Arial" w:cs="Arial"/>
          <w:bCs/>
          <w:color w:val="000000" w:themeColor="text1"/>
          <w:kern w:val="32"/>
          <w:sz w:val="22"/>
          <w:szCs w:val="22"/>
        </w:rPr>
        <w:t>Figure 3 middle column, top row, in</w:t>
      </w:r>
      <w:r w:rsidRPr="007900BD">
        <w:rPr>
          <w:rFonts w:ascii="Arial" w:hAnsi="Arial" w:cs="Arial"/>
          <w:bCs/>
          <w:color w:val="000000" w:themeColor="text1"/>
          <w:kern w:val="32"/>
          <w:sz w:val="22"/>
          <w:szCs w:val="22"/>
        </w:rPr>
        <w:t xml:space="preserve"> </w:t>
      </w:r>
      <w:r w:rsidR="003B06D6" w:rsidRPr="007900BD">
        <w:rPr>
          <w:rFonts w:ascii="Arial" w:hAnsi="Arial" w:cs="Arial"/>
          <w:bCs/>
          <w:color w:val="000000" w:themeColor="text1"/>
          <w:kern w:val="32"/>
          <w:sz w:val="22"/>
          <w:szCs w:val="22"/>
        </w:rPr>
        <w:fldChar w:fldCharType="begin"/>
      </w:r>
      <w:r w:rsidR="00001D3F" w:rsidRPr="007900BD">
        <w:rPr>
          <w:rFonts w:ascii="Arial" w:hAnsi="Arial" w:cs="Arial"/>
          <w:bCs/>
          <w:color w:val="000000" w:themeColor="text1"/>
          <w:kern w:val="32"/>
          <w:sz w:val="22"/>
          <w:szCs w:val="22"/>
        </w:rPr>
        <w:instrText xml:space="preserve"> ADDIN ZOTERO_ITEM CSL_CITATION {"citationID":"a5qj9c7bs2","properties":{"formattedCitation":"\\uldash{(Jickells et al., 2017)}","plainCitation":"(Jickells et al., 2017)","dontUpdate":true,"noteIndex":0},"citationItems":[{"id":30,"uris":["http://zotero.org/users/951135/items/GTB5UG5H"],"uri":["http://zotero.org/users/951135/items/GTB5UG5H"],"itemData":{"id":30,"type":"article-journal","abstract":"We report a new synthesis of best estimates of the inputs of fixed nitrogen to the world ocean via atmospheric deposition and compare this to fluvial inputs and dinitrogen fixation. We evaluate the scale of human perturbation of these fluxes. Fluvial inputs dominate inputs to the continental shelf, and we estimate that about 75% of this fluvial nitrogen escapes from the shelf to the open ocean. Biological dinitrogen fixation is the main external source of nitrogen to the open ocean, i.e., beyond the continental shelf. Atmospheric deposition is the primary mechanism by which land-based nitrogen inputs, and hence human perturbations of the nitrogen cycle, reach the open ocean. We estimate that anthropogenic inputs are currently leading to an increase in overall ocean carbon sequestration of ~0.4% (equivalent to an uptake of 0.15 Pg C yr−1 and less than the Duce et al. (2008) estimate). The resulting reduction in climate change forcing from this ocean CO2 uptake is offset to a small extent by an increase in ocean N2O emissions. We identify four important feedbacks in the ocean atmosphere nitrogen system that need to be better quantified to improve our understanding of the perturbation of ocean biogeochemistry by atmospheric nitrogen inputs. These feedbacks are recycling of (1) ammonia and (2) organic nitrogen from the ocean to the atmosphere and back, (3) the suppression of nitrogen fixation by increased nitrogen concentrations in surface waters from atmospheric deposition, and (4) increased loss of nitrogen from the ocean by denitrification due to increased productivity stimulated by atmospheric inputs.","container-title":"Global Biogeochemical Cycles","DOI":"10.1002/2016GB005586","ISSN":"1944-9224","issue":"2","journalAbbreviation":"Global Biogeochem. Cycles","language":"en","page":"2016GB005586","source":"Wiley Online Library","title":"A reevaluation of the magnitude and impacts of anthropogenic atmospheric nitrogen inputs on the ocean","volume":"31","author":[{"family":"Jickells","given":"T. D."},{"family":"Buitenhuis","given":"E."},{"family":"Altieri","given":"K."},{"family":"Baker","given":"A. R."},{"family":"Capone","given":"D."},{"family":"Duce","given":"R. A."},{"family":"Dentener","given":"F."},{"family":"Fennel","given":"K."},{"family":"Kanakidou","given":"M."},{"family":"LaRoche","given":"J."},{"family":"Lee","given":"K."},{"family":"Liss","given":"P."},{"family":"Middelburg","given":"J. J."},{"family":"Moore","given":"J. K."},{"family":"Okin","given":"G."},{"family":"Oschlies","given":"A."},{"family":"Sarin","given":"M."},{"family":"Seitzinger","given":"S."},{"family":"Sharples","given":"J."},{"family":"Singh","given":"A."},{"family":"Suntharalingam","given":"P."},{"family":"Uematsu","given":"M."},{"family":"Zamora","given":"L. M."}],"issued":{"date-parts":[["2017",2,1]]}}}],"schema":"https://github.com/citation-style-language/schema/raw/master/csl-citation.json"} </w:instrText>
      </w:r>
      <w:r w:rsidR="003B06D6" w:rsidRPr="007900BD">
        <w:rPr>
          <w:rFonts w:ascii="Arial" w:hAnsi="Arial" w:cs="Arial"/>
          <w:bCs/>
          <w:color w:val="000000" w:themeColor="text1"/>
          <w:kern w:val="32"/>
          <w:sz w:val="22"/>
          <w:szCs w:val="22"/>
        </w:rPr>
        <w:fldChar w:fldCharType="separate"/>
      </w:r>
      <w:r w:rsidR="003B06D6" w:rsidRPr="007900BD">
        <w:rPr>
          <w:rFonts w:ascii="Arial" w:hAnsi="Arial" w:cs="Arial"/>
          <w:color w:val="000000" w:themeColor="text1"/>
          <w:sz w:val="22"/>
        </w:rPr>
        <w:t>Jickells et al., 2017)</w:t>
      </w:r>
      <w:r w:rsidR="003B06D6"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and a total area for the enclosed domain of around 16.6 x10</w:t>
      </w:r>
      <w:r w:rsidRPr="007900BD">
        <w:rPr>
          <w:rFonts w:ascii="Arial" w:hAnsi="Arial" w:cs="Arial"/>
          <w:bCs/>
          <w:color w:val="000000" w:themeColor="text1"/>
          <w:kern w:val="32"/>
          <w:sz w:val="22"/>
          <w:szCs w:val="22"/>
          <w:vertAlign w:val="superscript"/>
        </w:rPr>
        <w:t>12</w:t>
      </w:r>
      <w:r w:rsidRPr="007900BD">
        <w:rPr>
          <w:rFonts w:ascii="Arial" w:hAnsi="Arial" w:cs="Arial"/>
          <w:bCs/>
          <w:color w:val="000000" w:themeColor="text1"/>
          <w:kern w:val="32"/>
          <w:sz w:val="22"/>
          <w:szCs w:val="22"/>
        </w:rPr>
        <w:t xml:space="preserve"> m</w:t>
      </w:r>
      <w:r w:rsidRPr="007900BD">
        <w:rPr>
          <w:rFonts w:ascii="Arial" w:hAnsi="Arial" w:cs="Arial"/>
          <w:bCs/>
          <w:color w:val="000000" w:themeColor="text1"/>
          <w:kern w:val="32"/>
          <w:sz w:val="22"/>
          <w:szCs w:val="22"/>
          <w:vertAlign w:val="superscript"/>
        </w:rPr>
        <w:t>2</w:t>
      </w:r>
      <w:r w:rsidRPr="007900BD">
        <w:rPr>
          <w:rFonts w:ascii="Arial" w:hAnsi="Arial" w:cs="Arial"/>
          <w:bCs/>
          <w:color w:val="000000" w:themeColor="text1"/>
          <w:kern w:val="32"/>
          <w:sz w:val="22"/>
          <w:szCs w:val="22"/>
        </w:rPr>
        <w:t xml:space="preserve">. </w:t>
      </w:r>
      <w:r w:rsidR="00016CAB" w:rsidRPr="007900BD">
        <w:rPr>
          <w:rFonts w:ascii="Arial" w:hAnsi="Arial" w:cs="Arial"/>
          <w:bCs/>
          <w:color w:val="000000" w:themeColor="text1"/>
          <w:kern w:val="32"/>
          <w:sz w:val="22"/>
          <w:szCs w:val="22"/>
        </w:rPr>
        <w:t>F</w:t>
      </w:r>
      <w:r w:rsidRPr="007900BD">
        <w:rPr>
          <w:rFonts w:ascii="Arial" w:hAnsi="Arial" w:cs="Arial"/>
          <w:bCs/>
          <w:color w:val="000000" w:themeColor="text1"/>
          <w:kern w:val="32"/>
          <w:sz w:val="22"/>
          <w:szCs w:val="22"/>
        </w:rPr>
        <w:t>or phosphate, we used the model-based deposition rate</w:t>
      </w:r>
      <w:r w:rsidR="007455B8" w:rsidRPr="007900BD">
        <w:rPr>
          <w:rFonts w:ascii="Arial" w:hAnsi="Arial" w:cs="Arial"/>
          <w:bCs/>
          <w:color w:val="000000" w:themeColor="text1"/>
          <w:kern w:val="32"/>
          <w:sz w:val="22"/>
          <w:szCs w:val="22"/>
        </w:rPr>
        <w:t xml:space="preserve"> of 27.9 Gg-P y</w:t>
      </w:r>
      <w:r w:rsidR="007455B8" w:rsidRPr="007900BD">
        <w:rPr>
          <w:rFonts w:ascii="Arial" w:hAnsi="Arial" w:cs="Arial"/>
          <w:bCs/>
          <w:color w:val="000000" w:themeColor="text1"/>
          <w:kern w:val="32"/>
          <w:sz w:val="22"/>
          <w:szCs w:val="22"/>
          <w:vertAlign w:val="superscript"/>
        </w:rPr>
        <w:t>-1</w:t>
      </w:r>
      <w:r w:rsidRPr="007900BD">
        <w:rPr>
          <w:rFonts w:ascii="Arial" w:hAnsi="Arial" w:cs="Arial"/>
          <w:bCs/>
          <w:color w:val="000000" w:themeColor="text1"/>
          <w:kern w:val="32"/>
          <w:sz w:val="22"/>
          <w:szCs w:val="22"/>
        </w:rPr>
        <w:t xml:space="preserve"> by</w:t>
      </w:r>
      <w:r w:rsidRPr="007900BD">
        <w:rPr>
          <w:rFonts w:ascii="Arial" w:hAnsi="Arial" w:cs="Arial"/>
          <w:bCs/>
          <w:color w:val="000000" w:themeColor="text1"/>
          <w:kern w:val="32"/>
          <w:sz w:val="22"/>
          <w:szCs w:val="22"/>
          <w:vertAlign w:val="superscript"/>
        </w:rPr>
        <w:t xml:space="preserve"> </w:t>
      </w:r>
      <w:r w:rsidRPr="007900BD">
        <w:rPr>
          <w:rFonts w:ascii="Arial" w:hAnsi="Arial" w:cs="Arial"/>
          <w:bCs/>
          <w:color w:val="000000" w:themeColor="text1"/>
          <w:kern w:val="32"/>
          <w:sz w:val="22"/>
          <w:szCs w:val="22"/>
          <w:vertAlign w:val="superscript"/>
        </w:rPr>
        <w:fldChar w:fldCharType="begin"/>
      </w:r>
      <w:r w:rsidR="00387A35" w:rsidRPr="007900BD">
        <w:rPr>
          <w:rFonts w:ascii="Arial" w:hAnsi="Arial" w:cs="Arial"/>
          <w:bCs/>
          <w:color w:val="000000" w:themeColor="text1"/>
          <w:kern w:val="32"/>
          <w:sz w:val="22"/>
          <w:szCs w:val="22"/>
          <w:vertAlign w:val="superscript"/>
        </w:rPr>
        <w:instrText xml:space="preserve"> ADDIN ZOTERO_ITEM CSL_CITATION {"citationID":"0PsAcm7M","properties":{"formattedCitation":"(Mahowald et al., 2008)","plainCitation":"(Mahowald et al., 2008)","dontUpdate":true,"noteIndex":0},"citationItems":[{"id":880,"uris":["http://zotero.org/users/951135/items/7PWKWFFV"],"uri":["http://zotero.org/users/951135/items/7PWKWFFV"],"itemData":{"id":880,"type":"article-journal","abstract":"A worldwide compilation of atmospheric total phosphorus (TP) and phosphate (PO4) concentration and deposition flux observations are combined with transport model simulations to derive the global distribution of concentrations and deposition fluxes of TP and PO4. Our results suggest that mineral aerosols are the dominant source of TP on a global scale (82%), with primary biogenic particles (12%) and combustion sources (5%) important in nondusty regions. Globally averaged anthropogenic inputs are estimated to be </w:instrText>
      </w:r>
      <w:r w:rsidR="00387A35" w:rsidRPr="007900BD">
        <w:rPr>
          <w:rFonts w:ascii="Cambria Math" w:hAnsi="Cambria Math" w:cs="Cambria Math"/>
          <w:bCs/>
          <w:color w:val="000000" w:themeColor="text1"/>
          <w:kern w:val="32"/>
          <w:sz w:val="22"/>
          <w:szCs w:val="22"/>
          <w:vertAlign w:val="superscript"/>
        </w:rPr>
        <w:instrText>∼</w:instrText>
      </w:r>
      <w:r w:rsidR="00387A35" w:rsidRPr="007900BD">
        <w:rPr>
          <w:rFonts w:ascii="Arial" w:hAnsi="Arial" w:cs="Arial"/>
          <w:bCs/>
          <w:color w:val="000000" w:themeColor="text1"/>
          <w:kern w:val="32"/>
          <w:sz w:val="22"/>
          <w:szCs w:val="22"/>
          <w:vertAlign w:val="superscript"/>
        </w:rPr>
        <w:instrText xml:space="preserve">5 and 15% for TP and PO4, respectively, and may contribute as much as 50% to the deposition over the oligotrophic ocean where productivity may be phosphorus-limited. There is a net loss of TP from many (but not all) land ecosystems and a net gain of TP by the oceans (560 Gg P a−1). More measurements of atmospheric TP and PO4 will assist in reducing uncertainties in our understanding of the role that atmospheric phosphorus may play in global biogeochemistry.","container-title":"Global Biogeochemical Cycles","DOI":"10.1029/2008GB003240","ISSN":"1944-9224","issue":"4","journalAbbreviation":"Global Biogeochem. Cycles","language":"en","page":"GB4026","source":"Wiley Online Library","title":"Global distribution of atmospheric phosphorus sources, concentrations and deposition rates, and anthropogenic impacts","volume":"22","author":[{"family":"Mahowald","given":"Natalie"},{"family":"Jickells","given":"Timothy D."},{"family":"Baker","given":"Alex R."},{"family":"Artaxo","given":"Paulo"},{"family":"Benitez-Nelson","given":"Claudia R."},{"family":"Bergametti","given":"Gilles"},{"family":"Bond","given":"Tami C."},{"family":"Chen","given":"Ying"},{"family":"Cohen","given":"David D."},{"family":"Herut","given":"Barak"},{"family":"Kubilay","given":"Nilgun"},{"family":"Losno","given":"Remi"},{"family":"Luo","given":"Chao"},{"family":"Maenhaut","given":"Willy"},{"family":"McGee","given":"Kenneth A."},{"family":"Okin","given":"Gregory S."},{"family":"Siefert","given":"Ronald L."},{"family":"Tsukuda","given":"Seigen"}],"issued":{"date-parts":[["2008",12,1]]}}}],"schema":"https://github.com/citation-style-language/schema/raw/master/csl-citation.json"} </w:instrText>
      </w:r>
      <w:r w:rsidRPr="007900BD">
        <w:rPr>
          <w:rFonts w:ascii="Arial" w:hAnsi="Arial" w:cs="Arial"/>
          <w:bCs/>
          <w:color w:val="000000" w:themeColor="text1"/>
          <w:kern w:val="32"/>
          <w:sz w:val="22"/>
          <w:szCs w:val="22"/>
          <w:vertAlign w:val="superscript"/>
        </w:rPr>
        <w:fldChar w:fldCharType="separate"/>
      </w:r>
      <w:r w:rsidRPr="007900BD">
        <w:rPr>
          <w:rFonts w:ascii="Arial" w:hAnsi="Arial" w:cs="Arial"/>
          <w:bCs/>
          <w:noProof/>
          <w:color w:val="000000" w:themeColor="text1"/>
          <w:kern w:val="32"/>
          <w:sz w:val="22"/>
          <w:szCs w:val="22"/>
        </w:rPr>
        <w:t>Mahowald et al. (2008)</w:t>
      </w:r>
      <w:r w:rsidRPr="007900BD">
        <w:rPr>
          <w:rFonts w:ascii="Arial" w:hAnsi="Arial" w:cs="Arial"/>
          <w:bCs/>
          <w:color w:val="000000" w:themeColor="text1"/>
          <w:kern w:val="32"/>
          <w:sz w:val="22"/>
          <w:szCs w:val="22"/>
          <w:vertAlign w:val="superscript"/>
        </w:rPr>
        <w:fldChar w:fldCharType="end"/>
      </w:r>
      <w:r w:rsidRPr="007900BD">
        <w:rPr>
          <w:rFonts w:ascii="Arial" w:hAnsi="Arial" w:cs="Arial"/>
          <w:bCs/>
          <w:color w:val="000000" w:themeColor="text1"/>
          <w:kern w:val="32"/>
          <w:sz w:val="22"/>
          <w:szCs w:val="22"/>
        </w:rPr>
        <w:t xml:space="preserve">. Finally, for silicate, we took into account the global value by </w:t>
      </w:r>
      <w:r w:rsidRPr="007900BD">
        <w:rPr>
          <w:rFonts w:ascii="Arial" w:hAnsi="Arial" w:cs="Arial"/>
          <w:bCs/>
          <w:color w:val="000000" w:themeColor="text1"/>
          <w:kern w:val="32"/>
          <w:sz w:val="22"/>
          <w:szCs w:val="22"/>
        </w:rPr>
        <w:fldChar w:fldCharType="begin"/>
      </w:r>
      <w:r w:rsidR="00387A35" w:rsidRPr="007900BD">
        <w:rPr>
          <w:rFonts w:ascii="Arial" w:hAnsi="Arial" w:cs="Arial"/>
          <w:bCs/>
          <w:color w:val="000000" w:themeColor="text1"/>
          <w:kern w:val="32"/>
          <w:sz w:val="22"/>
          <w:szCs w:val="22"/>
        </w:rPr>
        <w:instrText xml:space="preserve"> ADDIN ZOTERO_ITEM CSL_CITATION {"citationID":"knGBMpmi","properties":{"formattedCitation":"{\\rtf (Tr\\uc0\\u233{}guer et al., 1995; Tr\\uc0\\u233{}guer and Rocha, 2013)}","plainCitation":"(Tréguer et al., 1995; Tréguer and Rocha, 2013)","dontUpdate":true,"noteIndex":0},"citationItems":[{"id":882,"uris":["http://zotero.org/users/951135/items/4VQ6KPSX"],"uri":["http://zotero.org/users/951135/items/4VQ6KPSX"],"itemData":{"id":882,"type":"article-journal","abstract":"The net inputs of silicic acid (dissolved silica) to the world ocean have been revised to 6.1 +/- 2.0 teramoles of silicon per year (1 teramole = 10(12) moles). The major contribution (about 80 percent) comes from rivers, whose world average silicic acid concentration is 150 micromolar. These inputs are reasonably balanced by the net ouputs of biogenic silica of 7.1 +/- 1.8 teramoles of silicon per year in modern marine sediments. The gross production of biogenic silica (the transformation of dissolved silicate to particulate skeletal material) in surface waters was estimated to be 240 +/- 40 teramoles of silicon per year, and the preservation ratio (opal accumulation in sediment/gross production in surface waters) averages 3 percent. In the world ocean the residence time of silicon, relative to total biological uptake in surface waters, is about 400 years.","container-title":"Science (New York, N.Y.)","DOI":"10.1126/science.268.5209.375","ISSN":"0036-8075","issue":"5209","journalAbbreviation":"Science","language":"eng","note":"PMID: 17746543","page":"375-379","source":"PubMed","title":"The silica balance in the world ocean: a reestimate","title-short":"The silica balance in the world ocean","volume":"268","author":[{"family":"Tréguer","given":"P."},{"family":"Nelson","given":"D. M."},{"family":"Van Bennekom","given":"A. J."},{"family":"Demaster","given":"D. J."},{"family":"Leynaert","given":"A."},{"family":"Quéguiner","given":"B."}],"issued":{"date-parts":[["1995",4,21]]}},"label":"page"},{"id":881,"uris":["http://zotero.org/users/951135/items/8D7A5UHS"],"uri":["http://zotero.org/users/951135/items/8D7A5UHS"],"itemData":{"id":881,"type":"article-journal","abstract":"Over the past few decades, we have realized that the silica cycle is strongly intertwined with other major biogeochemical cycles, like those of carbon and nitrogen, and as such is intimately related to marine primary prod</w:instrText>
      </w:r>
      <w:r w:rsidR="00387A35" w:rsidRPr="007900BD">
        <w:rPr>
          <w:rFonts w:ascii="Arial" w:hAnsi="Arial" w:cs="Arial"/>
          <w:bCs/>
          <w:color w:val="000000" w:themeColor="text1"/>
          <w:kern w:val="32"/>
          <w:sz w:val="22"/>
          <w:szCs w:val="22"/>
          <w:lang w:val="fr-FR"/>
        </w:rPr>
        <w:instrText xml:space="preserve">uction, the efficiency of carbon export to the deep sea, and the inventory of carbon dioxide in the atmosphere. For nearly 20 years, the marine silica budget compiled by Tréguer et al. (1995), with its exploration of reservoirs, processes, sources, and sinks in the silica cycle, has provided context and information fundamental to study of the silica cycle. Today, the budget needs revisiting to incorporate advances that have notably changed estimates of river and groundwater inputs to the ocean of dissolved silicon and easily dissolvable amorphous silica, inputs from the dissolution of terrestrial lithogenic silica in ocean margin sediments, reverse weathering removal fluxes, and outputs of biogenic silica (especially on ocean margins and in the form of nondiatomaceous biogenic silica). The resulting budget recognizes significantly higher input and output fluxes and notes that the recycling of silicon occurs mostly at the sediment-water interface and not during the sinking of silica particles through deep waters.","container-title":"Annual Review of Marine Science","DOI":"10.1146/annurev-marine-121211-172346","issue":"1","note":"PMID: 22809182","page":"477-501","source":"Annual Reviews","title":"The World Ocean Silica Cycle","volume":"5","author":[{"family":"Tréguer","given":"Paul J."},{"family":"Rocha","given":"Christina L. De La"}],"issued":{"date-parts":[["2013"]]}},"label":"page"}],"schema":"https://github.com/citation-style-language/schema/raw/master/csl-citation.json"} </w:instrText>
      </w:r>
      <w:r w:rsidRPr="007900BD">
        <w:rPr>
          <w:rFonts w:ascii="Arial" w:hAnsi="Arial" w:cs="Arial"/>
          <w:bCs/>
          <w:color w:val="000000" w:themeColor="text1"/>
          <w:kern w:val="32"/>
          <w:sz w:val="22"/>
          <w:szCs w:val="22"/>
        </w:rPr>
        <w:fldChar w:fldCharType="separate"/>
      </w:r>
      <w:r w:rsidRPr="007900BD">
        <w:rPr>
          <w:rFonts w:ascii="Arial" w:hAnsi="Arial" w:cs="Arial"/>
          <w:bCs/>
          <w:color w:val="000000" w:themeColor="text1"/>
          <w:kern w:val="32"/>
          <w:sz w:val="22"/>
          <w:szCs w:val="22"/>
          <w:lang w:val="fr-FR"/>
        </w:rPr>
        <w:t xml:space="preserve">Tréguer et al. (1995) and Tréguer </w:t>
      </w:r>
      <w:r w:rsidR="0095110C" w:rsidRPr="007900BD">
        <w:rPr>
          <w:rFonts w:ascii="Arial" w:hAnsi="Arial" w:cs="Arial"/>
          <w:bCs/>
          <w:color w:val="000000" w:themeColor="text1"/>
          <w:kern w:val="32"/>
          <w:sz w:val="22"/>
          <w:szCs w:val="22"/>
          <w:lang w:val="fr-FR"/>
        </w:rPr>
        <w:t>&amp;</w:t>
      </w:r>
      <w:r w:rsidRPr="007900BD">
        <w:rPr>
          <w:rFonts w:ascii="Arial" w:hAnsi="Arial" w:cs="Arial"/>
          <w:bCs/>
          <w:color w:val="000000" w:themeColor="text1"/>
          <w:kern w:val="32"/>
          <w:sz w:val="22"/>
          <w:szCs w:val="22"/>
          <w:lang w:val="fr-FR"/>
        </w:rPr>
        <w:t xml:space="preserve"> De La Rocha (2013)</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lang w:val="fr-FR"/>
        </w:rPr>
        <w:t xml:space="preserve"> of 0.5 ± 0.5 Tmol Si y</w:t>
      </w:r>
      <w:r w:rsidRPr="007900BD">
        <w:rPr>
          <w:rFonts w:ascii="Arial" w:hAnsi="Arial" w:cs="Arial"/>
          <w:bCs/>
          <w:color w:val="000000" w:themeColor="text1"/>
          <w:kern w:val="32"/>
          <w:sz w:val="22"/>
          <w:szCs w:val="22"/>
          <w:vertAlign w:val="superscript"/>
          <w:lang w:val="fr-FR"/>
        </w:rPr>
        <w:t xml:space="preserve">-1 </w:t>
      </w:r>
      <w:r w:rsidRPr="007900BD">
        <w:rPr>
          <w:rFonts w:ascii="Arial" w:hAnsi="Arial" w:cs="Arial"/>
          <w:bCs/>
          <w:color w:val="000000" w:themeColor="text1"/>
          <w:kern w:val="32"/>
          <w:sz w:val="22"/>
          <w:szCs w:val="22"/>
          <w:lang w:val="fr-FR"/>
        </w:rPr>
        <w:t>(i.e., 16 ± 16 kmol s</w:t>
      </w:r>
      <w:r w:rsidRPr="007900BD">
        <w:rPr>
          <w:rFonts w:ascii="Arial" w:hAnsi="Arial" w:cs="Arial"/>
          <w:bCs/>
          <w:color w:val="000000" w:themeColor="text1"/>
          <w:kern w:val="32"/>
          <w:sz w:val="22"/>
          <w:szCs w:val="22"/>
          <w:vertAlign w:val="superscript"/>
          <w:lang w:val="fr-FR"/>
        </w:rPr>
        <w:t>-1</w:t>
      </w:r>
      <w:r w:rsidRPr="007900BD">
        <w:rPr>
          <w:rFonts w:ascii="Arial" w:hAnsi="Arial" w:cs="Arial"/>
          <w:bCs/>
          <w:color w:val="000000" w:themeColor="text1"/>
          <w:kern w:val="32"/>
          <w:sz w:val="22"/>
          <w:szCs w:val="22"/>
          <w:lang w:val="fr-FR"/>
        </w:rPr>
        <w:t xml:space="preserve">). </w:t>
      </w:r>
      <w:r w:rsidRPr="007900BD">
        <w:rPr>
          <w:rFonts w:ascii="Arial" w:hAnsi="Arial" w:cs="Arial"/>
          <w:bCs/>
          <w:color w:val="000000" w:themeColor="text1"/>
          <w:kern w:val="32"/>
          <w:sz w:val="22"/>
          <w:szCs w:val="22"/>
        </w:rPr>
        <w:t>From this global estimate (world’s ocean extension of 360 x10</w:t>
      </w:r>
      <w:r w:rsidRPr="007900BD">
        <w:rPr>
          <w:rFonts w:ascii="Arial" w:hAnsi="Arial" w:cs="Arial"/>
          <w:bCs/>
          <w:color w:val="000000" w:themeColor="text1"/>
          <w:kern w:val="32"/>
          <w:sz w:val="22"/>
          <w:szCs w:val="22"/>
          <w:vertAlign w:val="superscript"/>
        </w:rPr>
        <w:t>12</w:t>
      </w:r>
      <w:r w:rsidRPr="007900BD">
        <w:rPr>
          <w:rFonts w:ascii="Arial" w:hAnsi="Arial" w:cs="Arial"/>
          <w:bCs/>
          <w:color w:val="000000" w:themeColor="text1"/>
          <w:kern w:val="32"/>
          <w:sz w:val="22"/>
          <w:szCs w:val="22"/>
        </w:rPr>
        <w:t xml:space="preserve"> m</w:t>
      </w:r>
      <w:r w:rsidRPr="007900BD">
        <w:rPr>
          <w:rFonts w:ascii="Arial" w:hAnsi="Arial" w:cs="Arial"/>
          <w:bCs/>
          <w:color w:val="000000" w:themeColor="text1"/>
          <w:kern w:val="32"/>
          <w:sz w:val="22"/>
          <w:szCs w:val="22"/>
          <w:vertAlign w:val="superscript"/>
        </w:rPr>
        <w:t>2</w:t>
      </w:r>
      <w:r w:rsidRPr="007900BD">
        <w:rPr>
          <w:rFonts w:ascii="Arial" w:hAnsi="Arial" w:cs="Arial"/>
          <w:bCs/>
          <w:color w:val="000000" w:themeColor="text1"/>
          <w:kern w:val="32"/>
          <w:sz w:val="22"/>
          <w:szCs w:val="22"/>
        </w:rPr>
        <w:t xml:space="preserve">), we inferred </w:t>
      </w:r>
      <w:r w:rsidR="007455B8" w:rsidRPr="007900BD">
        <w:rPr>
          <w:rFonts w:ascii="Arial" w:hAnsi="Arial" w:cs="Arial"/>
          <w:bCs/>
          <w:color w:val="000000" w:themeColor="text1"/>
          <w:kern w:val="32"/>
          <w:sz w:val="22"/>
          <w:szCs w:val="22"/>
        </w:rPr>
        <w:t xml:space="preserve">the </w:t>
      </w:r>
      <w:r w:rsidRPr="007900BD">
        <w:rPr>
          <w:rFonts w:ascii="Arial" w:hAnsi="Arial" w:cs="Arial"/>
          <w:bCs/>
          <w:color w:val="000000" w:themeColor="text1"/>
          <w:kern w:val="32"/>
          <w:sz w:val="22"/>
          <w:szCs w:val="22"/>
        </w:rPr>
        <w:t xml:space="preserve">proportional rate for the NA-box. Given the coarse assumption that silicate deposition rates are homogeneous over the world ocean, we assigned a 100% uncertainty to this estimate. </w:t>
      </w:r>
      <w:r w:rsidR="00851532" w:rsidRPr="007900BD">
        <w:rPr>
          <w:rFonts w:ascii="Arial" w:hAnsi="Arial" w:cs="Arial"/>
          <w:bCs/>
          <w:color w:val="000000" w:themeColor="text1"/>
          <w:kern w:val="32"/>
          <w:sz w:val="22"/>
          <w:szCs w:val="22"/>
        </w:rPr>
        <w:t>T</w:t>
      </w:r>
      <w:r w:rsidRPr="007900BD">
        <w:rPr>
          <w:rFonts w:ascii="Arial" w:hAnsi="Arial" w:cs="Arial"/>
          <w:bCs/>
          <w:color w:val="000000" w:themeColor="text1"/>
          <w:kern w:val="32"/>
          <w:sz w:val="22"/>
          <w:szCs w:val="22"/>
        </w:rPr>
        <w:t>o keep consistency for the three nutrients, same criteria (that is, 100% of the estimate taken as uncertainty) was followed for the nitrate and phosphate atmospheric inputs.</w:t>
      </w:r>
    </w:p>
    <w:p w14:paraId="462479DF" w14:textId="77777777" w:rsidR="005D6DDD" w:rsidRPr="004E2840" w:rsidRDefault="005D6DDD" w:rsidP="00CA6BFC">
      <w:pPr>
        <w:pStyle w:val="Heading2"/>
        <w:spacing w:after="120" w:line="360" w:lineRule="auto"/>
        <w:rPr>
          <w:rFonts w:ascii="Arial" w:hAnsi="Arial" w:cs="Arial"/>
          <w:b/>
          <w:color w:val="000000" w:themeColor="text1"/>
          <w:kern w:val="32"/>
          <w:sz w:val="22"/>
          <w:szCs w:val="22"/>
        </w:rPr>
      </w:pPr>
      <w:r w:rsidRPr="004E2840">
        <w:rPr>
          <w:rFonts w:ascii="Arial" w:hAnsi="Arial" w:cs="Arial"/>
          <w:b/>
          <w:color w:val="000000" w:themeColor="text1"/>
          <w:kern w:val="32"/>
          <w:sz w:val="22"/>
          <w:szCs w:val="22"/>
        </w:rPr>
        <w:t>S1.2 Fluvial inputs: F</w:t>
      </w:r>
      <w:r w:rsidRPr="004E2840">
        <w:rPr>
          <w:rFonts w:ascii="Arial" w:hAnsi="Arial" w:cs="Arial"/>
          <w:b/>
          <w:color w:val="000000" w:themeColor="text1"/>
          <w:kern w:val="32"/>
          <w:sz w:val="22"/>
          <w:szCs w:val="22"/>
          <w:vertAlign w:val="subscript"/>
        </w:rPr>
        <w:t>N</w:t>
      </w:r>
      <w:r w:rsidRPr="004E2840">
        <w:rPr>
          <w:rFonts w:ascii="Arial" w:hAnsi="Arial" w:cs="Arial"/>
          <w:b/>
          <w:color w:val="000000" w:themeColor="text1"/>
          <w:kern w:val="32"/>
          <w:sz w:val="22"/>
          <w:szCs w:val="22"/>
          <w:vertAlign w:val="superscript"/>
        </w:rPr>
        <w:t>runoff</w:t>
      </w:r>
    </w:p>
    <w:p w14:paraId="0064306A" w14:textId="51BCFD8E" w:rsidR="005D6DDD" w:rsidRPr="007900BD" w:rsidRDefault="005D6DDD" w:rsidP="00CA6BFC">
      <w:pPr>
        <w:spacing w:before="120" w:after="120" w:line="360" w:lineRule="auto"/>
        <w:jc w:val="both"/>
        <w:rPr>
          <w:rFonts w:ascii="Arial" w:hAnsi="Arial" w:cs="Arial"/>
          <w:bCs/>
          <w:color w:val="000000" w:themeColor="text1"/>
          <w:kern w:val="32"/>
          <w:sz w:val="22"/>
          <w:szCs w:val="22"/>
        </w:rPr>
      </w:pPr>
      <w:r w:rsidRPr="007900BD">
        <w:rPr>
          <w:rFonts w:ascii="Arial" w:hAnsi="Arial" w:cs="Arial"/>
          <w:bCs/>
          <w:color w:val="000000" w:themeColor="text1"/>
          <w:kern w:val="32"/>
          <w:sz w:val="22"/>
          <w:szCs w:val="22"/>
        </w:rPr>
        <w:t xml:space="preserve">To obtain the nitrate and phosphate fluvial contribution to the open ocean, we considered 617 river sources within the limits of the NA-box </w:t>
      </w:r>
      <w:r w:rsidRPr="007900BD">
        <w:rPr>
          <w:rFonts w:ascii="Arial" w:hAnsi="Arial" w:cs="Arial"/>
          <w:bCs/>
          <w:color w:val="000000" w:themeColor="text1"/>
          <w:kern w:val="32"/>
          <w:sz w:val="22"/>
          <w:szCs w:val="22"/>
        </w:rPr>
        <w:fldChar w:fldCharType="begin"/>
      </w:r>
      <w:r w:rsidR="00961F98">
        <w:rPr>
          <w:rFonts w:ascii="Arial" w:hAnsi="Arial" w:cs="Arial"/>
          <w:bCs/>
          <w:color w:val="000000" w:themeColor="text1"/>
          <w:kern w:val="32"/>
          <w:sz w:val="22"/>
          <w:szCs w:val="22"/>
        </w:rPr>
        <w:instrText xml:space="preserve"> ADDIN ZOTERO_ITEM CSL_CITATION {"citationID":"B4BHbUX8","properties":{"formattedCitation":"(Mayorga et al., 2010; Sharples et al., 2017)","plainCitation":"(Mayorga et al., 2010; Sharples et al., 2017)","dontUpdate":true,"noteIndex":0},"citationItems":[{"id":873,"uris":["http://zotero.org/users/951135/items/D67RVPJ9"],"uri":["http://zotero.org/users/951135/items/D67RVPJ9"],"itemData":{"id":873,"type":"article-journal","abstract":"Global NEWS is a global, spatially explicit, multi-element and multi-form model of nutrient exports by rivers. Here we present NEWS 2, the new version of Global NEWS developed as part of a Millennium Ecosystem Assessment scenario implementation from hindcast (1970) to contemporary (2000) and future scenario trajectories (2030 &amp; 2050). We provide a detailed model description and present an overview of enhancements to input datasets, emphasizing an integrated view of nutrient form sub-models and contrasts with previous NEWS models (NEWS 1). An important difference with NEWS 1 is our unified model framework (multi-element, multi-form) that facilitates detailed watershed comparisons regionally and by element or form. NEWS 2 performs approximately as well as NEWS 1 while incorporating previously uncharacterized factors. Although contemporary global river export estimates for dissolved inorganic nitrogen (DIN) and particulates show notable reductions, they are within the range of previous studies; global exports for other nutrient forms are comparable to NEWS 1. NEWS 2 can be used as an effective tool to examine the impact of polices to reduce coastal eutrophication at regional to global scales. Continued enhancements will focus on the incorporation of other forms and sub-basin spatial variability in drivers and retention processes.","container-title":"Environmental Modelling &amp; Software","DOI":"10.1016/j.envsoft.2010.01.007","ISSN":"1364-8152","issue":"7","journalAbbreviation":"Environmental Modelling &amp; Software","page":"837-853","source":"ScienceDirect","title":"Global Nutrient Export from WaterSheds 2 (NEWS 2): Model development and implementation","title-short":"Global Nutrient Export from WaterSheds 2 (NEWS 2)","volume":"25","author":[{"family":"Mayorga","given":"Emilio"},{"family":"Seitzinger","given":"Sybil P."},{"family":"Harrison","given":"John A."},{"family":"Dumont","given":"Egon"},{"family":"Beusen","given":"Arthur H. W."},{"family":"Bouwman","given":"A. F."},{"family":"Fekete","given":"Balazs M."},{"family":"Kroeze","given":"Carolien"},{"family":"Van Drecht","given":"Gerard"}],"issued":{"date-parts":[["2010",7,1]]}}},{"id":879,"uris":["http://zotero.org/users/951135/items/9XJXWH3X"],"uri":["http://zotero.org/users/951135/items/9XJXWH3X"],"itemData":{"id":879,"type":"article-journal","abstract":"Globally, rivers deliver significant quantities of nitrogen (N) and phosphorus (P) to the coastal ocean each year. Currently, there are no viable estimates of how much of this N and P escapes biogeochemical processing on the shelf to be exported to the open ocean; most models of N and P cycling assume that either all or none of the riverine nutrients reach the open ocean. We address this problem by using a simple mechanistic model of how a low-salinity plume behaves outside an estuary mouth. The model results in a global map of riverine water residence times on the shelf, typically a few weeks at low latitudes and up to a year at higher latitudes, which agrees well with observations. We combine the map of plume residence times on the shelf with empirical relationships that link residence time to the proportions of dissolved inorganic N (DIN) and P (DIP) exported and use a database of riverine nutrient loads to estimate the global distribution of riverine DIN and DIP supplied to the open ocean. We estimate that 75% of DIN and 80% of DIP reaches the open ocean. Ignoring processing within estuaries yields annual totals of 17 Tg DIN and 1.2 Tg DIP reaching the open ocean. For DIN this supply is about 50% of that supplied via atmospheric deposition, with significant east-west contrasts across the main ocean basins. The main sources of uncertainty are exchange rates across the shelf break and the empirical relationships between nutrient processing and plume residence time.","container-title":"Global Biogeochemical Cycles","DOI":"10.1002/2016GB005483","ISSN":"1944-9224","issue":"1","journalAbbreviation":"Global Biogeochem. Cycles","language":"en","page":"2016GB005483","source":"Wiley Online Library","title":"What proportion of riverine nutrients reaches the open ocean?","volume":"31","author":[{"family":"Sharples","given":"Jonathan"},{"family":"Middelburg","given":"Jack J."},{"family":"Fennel","given":"Katja"},{"family":"Jickells","given":"Timothy D."}],"issued":{"date-parts":[["2016",12,9]]}}}],"schema":"https://github.com/citation-style-language/schema/raw/master/csl-citation.json"} </w:instrText>
      </w:r>
      <w:r w:rsidRPr="007900BD">
        <w:rPr>
          <w:rFonts w:ascii="Arial" w:hAnsi="Arial" w:cs="Arial"/>
          <w:bCs/>
          <w:color w:val="000000" w:themeColor="text1"/>
          <w:kern w:val="32"/>
          <w:sz w:val="22"/>
          <w:szCs w:val="22"/>
        </w:rPr>
        <w:fldChar w:fldCharType="separate"/>
      </w:r>
      <w:r w:rsidR="000D5255" w:rsidRPr="007900BD">
        <w:rPr>
          <w:rFonts w:ascii="Arial" w:hAnsi="Arial" w:cs="Arial"/>
          <w:bCs/>
          <w:color w:val="000000" w:themeColor="text1"/>
          <w:kern w:val="32"/>
          <w:sz w:val="22"/>
          <w:szCs w:val="22"/>
        </w:rPr>
        <w:t>(Mayorga et al., 2010; Sharples et al., 2016)</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xml:space="preserve">. Of the total fluvial input, around 75% (80%) of the nitrate (phosphate) supply escapes from the shelf to the open ocean </w:t>
      </w:r>
      <w:r w:rsidRPr="00AC58E2">
        <w:rPr>
          <w:rFonts w:ascii="Arial" w:hAnsi="Arial" w:cs="Arial"/>
          <w:bCs/>
          <w:color w:val="000000" w:themeColor="text1"/>
          <w:kern w:val="32"/>
          <w:sz w:val="22"/>
          <w:szCs w:val="22"/>
        </w:rPr>
        <w:fldChar w:fldCharType="begin"/>
      </w:r>
      <w:r w:rsidR="00961F98">
        <w:rPr>
          <w:rFonts w:ascii="Arial" w:hAnsi="Arial" w:cs="Arial"/>
          <w:bCs/>
          <w:color w:val="000000" w:themeColor="text1"/>
          <w:kern w:val="32"/>
          <w:sz w:val="22"/>
          <w:szCs w:val="22"/>
        </w:rPr>
        <w:instrText xml:space="preserve"> ADDIN ZOTERO_ITEM CSL_CITATION {"citationID":"a2qndmp0j41","properties":{"unsorted":true,"formattedCitation":"(Sharples et al., 2016; Jickells et al., 2017)","plainCitation":"(Sharples et al., 2016; Jickells et al., 2017)","noteIndex":0},"citationItems":[{"id":879,"uris":["http://zotero.org/users/951135/items/9XJXWH3X"],"uri":["http://zotero.org/users/951135/items/9XJXWH3X"],"itemData":{"id":879,"type":"article-journal","abstract":"Globally, rivers deliver significant quantities of nitrogen (N) and phosphorus (P) to the coastal ocean each year. Currently, there are no viable estimates of how much of this N and P escapes biogeochemical processing on the shelf to be exported to the open ocean; most models of N and P cycling assume that either all or none of the riverine nutrients reach the open ocean. We address this problem by using a simple mechanistic model of how a low-salinity plume behaves outside an estuary mouth. The model results in a global map of riverine water residence times on the shelf, typically a few weeks at low latitudes and up to a year at higher latitudes, which agrees well with observations. We combine the map of plume residence times on the shelf with empirical relationships that link residence time to the proportions of dissolved inorganic N (DIN) and P (DIP) exported and use a database of riverine nutrient loads to estimate the global distribution of riverine DIN and DIP supplied to the open ocean. We estimate that 75% of DIN and 80% of DIP reaches the open ocean. Ignoring processing within estuaries yields annual totals of 17 Tg DIN and 1.2 Tg DIP reaching the open ocean. For DIN this supply is about 50% of that supplied via atmospheric deposition, with significant east-west contrasts across the main ocean basins. The main sources of uncertainty are exchange rates across the shelf break and the empirical relationships between nutrient processing and plume residence time.","container-title":"Global Biogeochemical Cycles","DOI":"10.1002/2016GB005483","ISSN":"1944-9224","issue":"1","journalAbbreviation":"Global Biogeochem. Cycles","language":"en","page":"2016GB005483","source":"Wiley Online Library","title":"What proportion of riverine nutrients reaches the open ocean?","volume":"31","author":[{"family":"Sharples","given":"Jonathan"},{"family":"Middelburg","given":"Jack J."},{"family":"Fennel","given":"Katja"},{"family":"Jickells","given":"Timothy D."}],"issued":{"date-parts":[["2016",12,9]]}}},{"id":30,"uris":["http://zotero.org/users/951135/items/GTB5UG5H"],"uri":["http://zotero.org/users/951135/items/GTB5UG5H"],"itemData":{"id":30,"type":"article-journal","abstract":"We report a new synthesis of best estimates of the inputs of fixed nitrogen to the world ocean via atmospheric deposition and compare this to fluvial inputs and dinitrogen fixation. We evaluate the scale of human perturbation of these fluxes. Fluvial inputs dominate inputs to the continental shelf, and we estimate that about 75% of this fluvial nitrogen escapes from the shelf to the open ocean. Biological dinitrogen fixation is the main external source of nitrogen to the open ocean, i.e., beyond the continental shelf. Atmospheric deposition is the primary mechanism by which land-based nitrogen inputs, and hence human perturbations of the nitrogen cycle, reach the open ocean. We estimate that anthropogenic inputs are currently leading to an increase in overall ocean carbon sequestration of ~0.4% (equivalent to an uptake of 0.15 Pg C yr−1 and less than the Duce et al. (2008) estimate). The resulting reduction in climate change forcing from this ocean CO2 uptake is offset to a small extent by an increase in ocean N2O emissions. We identify four important feedbacks in the ocean atmosphere nitrogen system that need to be better quantified to improve our understanding of the perturbation of ocean biogeochemistry by atmospheric nitrogen inputs. These feedbacks are recycling of (1) ammonia and (2) organic nitrogen from the ocean to the atmosphere and back, (3) the suppression of nitrogen fixation by increased nitrogen concentrations in surface waters from atmospheric deposition, and (4) increased loss of nitrogen from the ocean by denitrification due to increased productivity stimulated by atmospheric inputs.","container-title":"Global Biogeochemical Cycles","DOI":"10.1002/2016GB005586","ISSN":"1944-9224","issue":"2","journalAbbreviation":"Global Biogeochem. Cycles","language":"en","page":"2016GB005586","source":"Wiley Online Library","title":"A reevaluation of the magnitude and impacts of anthropogenic atmospheric nitrogen inputs on the ocean","volume":"31","author":[{"family":"Jickells","given":"T. D."},{"family":"Buitenhuis","given":"E."},{"family":"Altieri","given":"K."},{"family":"Baker","given":"A. R."},{"family":"Capone","given":"D."},{"family":"Duce","given":"R. A."},{"family":"Dentener","given":"F."},{"family":"Fennel","given":"K."},{"family":"Kanakidou","given":"M."},{"family":"LaRoche","given":"J."},{"family":"Lee","given":"K."},{"family":"Liss","given":"P."},{"family":"Middelburg","given":"J. J."},{"family":"Moore","given":"J. K."},{"family":"Okin","given":"G."},{"family":"Oschlies","given":"A."},{"family":"Sarin","given":"M."},{"family":"Seitzinger","given":"S."},{"family":"Sharples","given":"J."},{"family":"Singh","given":"A."},{"family":"Suntharalingam","given":"P."},{"family":"Uematsu","given":"M."},{"family":"Zamora","given":"L. M."}],"issued":{"date-parts":[["2017",2,1]]}},"label":"page"}],"schema":"https://github.com/citation-style-language/schema/raw/master/csl-citation.json"} </w:instrText>
      </w:r>
      <w:r w:rsidRPr="00AC58E2">
        <w:rPr>
          <w:rFonts w:ascii="Arial" w:hAnsi="Arial" w:cs="Arial"/>
          <w:bCs/>
          <w:color w:val="000000" w:themeColor="text1"/>
          <w:kern w:val="32"/>
          <w:sz w:val="22"/>
          <w:szCs w:val="22"/>
        </w:rPr>
        <w:fldChar w:fldCharType="separate"/>
      </w:r>
      <w:r w:rsidR="00961F98" w:rsidRPr="00961F98">
        <w:rPr>
          <w:rFonts w:ascii="Arial" w:hAnsi="Arial" w:cs="Arial"/>
          <w:color w:val="000000"/>
          <w:sz w:val="22"/>
        </w:rPr>
        <w:t>(Sharples et al., 2016; Jickells et al., 2017)</w:t>
      </w:r>
      <w:r w:rsidRPr="00AC58E2">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xml:space="preserve">. Based on these percentages, we calculated </w:t>
      </w:r>
      <w:r w:rsidR="00E16462" w:rsidRPr="007900BD">
        <w:rPr>
          <w:rFonts w:ascii="Arial" w:hAnsi="Arial" w:cs="Arial"/>
          <w:bCs/>
          <w:color w:val="000000" w:themeColor="text1"/>
          <w:kern w:val="32"/>
          <w:sz w:val="22"/>
          <w:szCs w:val="22"/>
        </w:rPr>
        <w:t xml:space="preserve">the </w:t>
      </w:r>
      <w:r w:rsidRPr="007900BD">
        <w:rPr>
          <w:rFonts w:ascii="Arial" w:hAnsi="Arial" w:cs="Arial"/>
          <w:bCs/>
          <w:color w:val="000000" w:themeColor="text1"/>
          <w:kern w:val="32"/>
          <w:sz w:val="22"/>
          <w:szCs w:val="22"/>
        </w:rPr>
        <w:t xml:space="preserve">nitrate and phosphate river inputs to the open ocean </w:t>
      </w:r>
      <w:r w:rsidR="00E16462" w:rsidRPr="007900BD">
        <w:rPr>
          <w:rFonts w:ascii="Arial" w:hAnsi="Arial" w:cs="Arial"/>
          <w:bCs/>
          <w:color w:val="000000" w:themeColor="text1"/>
          <w:kern w:val="32"/>
          <w:sz w:val="22"/>
          <w:szCs w:val="22"/>
        </w:rPr>
        <w:t>within the NA-box (Table S2)</w:t>
      </w:r>
      <w:r w:rsidRPr="007900BD">
        <w:rPr>
          <w:rFonts w:ascii="Arial" w:hAnsi="Arial" w:cs="Arial"/>
          <w:bCs/>
          <w:color w:val="000000" w:themeColor="text1"/>
          <w:kern w:val="32"/>
          <w:sz w:val="22"/>
          <w:szCs w:val="22"/>
        </w:rPr>
        <w:t>. The values represent mean estimates, and the uncertainties account for twice the difference between the upper and lower bound estimates.</w:t>
      </w:r>
    </w:p>
    <w:p w14:paraId="1EA2022A" w14:textId="13259752" w:rsidR="005D6DDD" w:rsidRPr="007900BD" w:rsidRDefault="005D6DDD" w:rsidP="00CA6BFC">
      <w:pPr>
        <w:spacing w:line="360" w:lineRule="auto"/>
        <w:jc w:val="both"/>
        <w:rPr>
          <w:rFonts w:ascii="Arial" w:hAnsi="Arial" w:cs="Arial"/>
          <w:bCs/>
          <w:color w:val="000000" w:themeColor="text1"/>
          <w:kern w:val="32"/>
          <w:sz w:val="22"/>
          <w:szCs w:val="22"/>
        </w:rPr>
      </w:pPr>
      <w:r w:rsidRPr="007900BD">
        <w:rPr>
          <w:rFonts w:ascii="Arial" w:hAnsi="Arial" w:cs="Arial"/>
          <w:bCs/>
          <w:color w:val="000000" w:themeColor="text1"/>
          <w:kern w:val="32"/>
          <w:sz w:val="22"/>
          <w:szCs w:val="22"/>
        </w:rPr>
        <w:lastRenderedPageBreak/>
        <w:t xml:space="preserve">For silicate, we took into account the net silicate input of rivers to the global ocean by </w:t>
      </w:r>
      <w:r w:rsidRPr="007900BD">
        <w:rPr>
          <w:rFonts w:ascii="Arial" w:hAnsi="Arial" w:cs="Arial"/>
          <w:bCs/>
          <w:color w:val="000000" w:themeColor="text1"/>
          <w:kern w:val="32"/>
          <w:sz w:val="22"/>
          <w:szCs w:val="22"/>
        </w:rPr>
        <w:fldChar w:fldCharType="begin"/>
      </w:r>
      <w:r w:rsidR="00387A35" w:rsidRPr="007900BD">
        <w:rPr>
          <w:rFonts w:ascii="Arial" w:hAnsi="Arial" w:cs="Arial"/>
          <w:bCs/>
          <w:color w:val="000000" w:themeColor="text1"/>
          <w:kern w:val="32"/>
          <w:sz w:val="22"/>
          <w:szCs w:val="22"/>
        </w:rPr>
        <w:instrText xml:space="preserve"> ADDIN ZOTERO_ITEM CSL_CITATION {"citationID":"ZjbSDR1B","properties":{"formattedCitation":"{\\rtf (Tr\\uc0\\u233{}guer et al., 1995; Tr\\uc0\\u233{}guer and Rocha, 2013)}","plainCitation":"(Tréguer et al., 1995; Tréguer and Rocha, 2013)","dontUpdate":true,"noteIndex":0},"citationItems":[{"id":882,"uris":["http://zotero.org/users/951135/items/4VQ6KPSX"],"uri":["http://zotero.org/users/951135/items/4VQ6KPSX"],"itemData":{"id":882,"type":"article-journal","abstract":"The net inputs of silicic acid (dissolved silica) to the world ocean have been revised to 6.1 +/- 2.0 teramoles of silicon per year (1 teramole = 10(12) moles). The major contribution (about 80 percent) comes from rivers, whose world average silicic acid concentration is 150 micromolar. These inputs are reasonably balanced by the net ouputs of biogenic silica of 7.1 +/- 1.8 teramoles of silicon per year in modern marine sediments. The gross production of biogenic silica (the transformation of dissolved silicate to particulate skeletal material) in surface waters was estimated to be 240 +/- 40 teramoles of silicon per year, and the preservation ratio (opal accumulation in sediment/gross production in surface waters) averages 3 percent. In the world ocean the residence time of silicon, relative to total biological uptake in surface waters, is about 400 years.","container-title":"Science (New York, N.Y.)","DOI":"10.1126/science.268.5209.375","ISSN":"0036-8075","issue":"5209","journalAbbreviation":"Science","language":"eng","note":"PMID: 17746543","page":"375-379","source":"PubMed","title":"The silica balance in the world ocean: a reestimate","title-short":"The silica balance in the world ocean","volume":"268","author":[{"family":"Tréguer","given":"P."},{"family":"Nelson","given":"D. M."},{"family":"Van Bennekom","given":"A. J."},{"family":"Demaster","given":"D. J."},{"family":"Leynaert","given":"A."},{"family":"Quéguiner","given":"B."}],"issued":{"date-parts":[["1995",4,21]]}},"label":"page"},{"id":881,"uris":["http://zotero.org/users/951135/items/8D7A5UHS"],"uri":["http://zotero.org/users/951135/items/8D7A5UHS"],"itemData":{"id":881,"type":"article-journal","abstract":"Over the past few decades, we have realized that the silica cycle is strongly intertwined with other major biogeochemical cycles, like those of carbon and nitrogen, and as such is intimately related to marine primary prod</w:instrText>
      </w:r>
      <w:r w:rsidR="00387A35" w:rsidRPr="007900BD">
        <w:rPr>
          <w:rFonts w:ascii="Arial" w:hAnsi="Arial" w:cs="Arial"/>
          <w:bCs/>
          <w:color w:val="000000" w:themeColor="text1"/>
          <w:kern w:val="32"/>
          <w:sz w:val="22"/>
          <w:szCs w:val="22"/>
          <w:lang w:val="fr-FR"/>
        </w:rPr>
        <w:instrText xml:space="preserve">uction, the efficiency of carbon export to the deep sea, and the inventory of carbon dioxide in the atmosphere. For nearly 20 years, the marine silica budget compiled by Tréguer et al. (1995), with its exploration of reservoirs, processes, sources, and sinks in the silica cycle, has provided context and information fundamental to study of the silica cycle. Today, the budget needs revisiting to incorporate advances that have notably changed estimates of river and groundwater inputs to the ocean of dissolved silicon and easily dissolvable amorphous silica, inputs from the dissolution of terrestrial lithogenic silica in ocean margin sediments, reverse weathering removal fluxes, and outputs of biogenic silica (especially on ocean margins and in the form of nondiatomaceous biogenic silica). The resulting budget recognizes significantly higher input and output fluxes and notes that the recycling of silicon occurs mostly at the sediment-water interface and not during the sinking of silica particles through deep waters.","container-title":"Annual Review of Marine Science","DOI":"10.1146/annurev-marine-121211-172346","issue":"1","note":"PMID: 22809182","page":"477-501","source":"Annual Reviews","title":"The World Ocean Silica Cycle","volume":"5","author":[{"family":"Tréguer","given":"Paul J."},{"family":"Rocha","given":"Christina L. De La"}],"issued":{"date-parts":[["2013"]]}},"label":"page"}],"schema":"https://github.com/citation-style-language/schema/raw/master/csl-citation.json"} </w:instrText>
      </w:r>
      <w:r w:rsidRPr="007900BD">
        <w:rPr>
          <w:rFonts w:ascii="Arial" w:hAnsi="Arial" w:cs="Arial"/>
          <w:bCs/>
          <w:color w:val="000000" w:themeColor="text1"/>
          <w:kern w:val="32"/>
          <w:sz w:val="22"/>
          <w:szCs w:val="22"/>
        </w:rPr>
        <w:fldChar w:fldCharType="separate"/>
      </w:r>
      <w:r w:rsidRPr="007900BD">
        <w:rPr>
          <w:rFonts w:ascii="Arial" w:hAnsi="Arial" w:cs="Arial"/>
          <w:bCs/>
          <w:color w:val="000000" w:themeColor="text1"/>
          <w:kern w:val="32"/>
          <w:sz w:val="22"/>
          <w:szCs w:val="22"/>
          <w:lang w:val="fr-FR"/>
        </w:rPr>
        <w:t xml:space="preserve">Tréguer </w:t>
      </w:r>
      <w:r w:rsidR="0095110C" w:rsidRPr="007900BD">
        <w:rPr>
          <w:rFonts w:ascii="Arial" w:hAnsi="Arial" w:cs="Arial"/>
          <w:bCs/>
          <w:color w:val="000000" w:themeColor="text1"/>
          <w:kern w:val="32"/>
          <w:sz w:val="22"/>
          <w:szCs w:val="22"/>
          <w:lang w:val="fr-FR"/>
        </w:rPr>
        <w:t>&amp;</w:t>
      </w:r>
      <w:r w:rsidRPr="007900BD">
        <w:rPr>
          <w:rFonts w:ascii="Arial" w:hAnsi="Arial" w:cs="Arial"/>
          <w:bCs/>
          <w:color w:val="000000" w:themeColor="text1"/>
          <w:kern w:val="32"/>
          <w:sz w:val="22"/>
          <w:szCs w:val="22"/>
          <w:lang w:val="fr-FR"/>
        </w:rPr>
        <w:t xml:space="preserve"> De La Rocha (2013)</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lang w:val="fr-FR"/>
        </w:rPr>
        <w:t xml:space="preserve"> (5.8 ± 2.5 Tmol y</w:t>
      </w:r>
      <w:r w:rsidRPr="007900BD">
        <w:rPr>
          <w:rFonts w:ascii="Arial" w:hAnsi="Arial" w:cs="Arial"/>
          <w:bCs/>
          <w:color w:val="000000" w:themeColor="text1"/>
          <w:kern w:val="32"/>
          <w:sz w:val="22"/>
          <w:szCs w:val="22"/>
          <w:vertAlign w:val="superscript"/>
          <w:lang w:val="fr-FR"/>
        </w:rPr>
        <w:t>-1</w:t>
      </w:r>
      <w:r w:rsidRPr="007900BD">
        <w:rPr>
          <w:rFonts w:ascii="Arial" w:hAnsi="Arial" w:cs="Arial"/>
          <w:bCs/>
          <w:color w:val="000000" w:themeColor="text1"/>
          <w:kern w:val="32"/>
          <w:sz w:val="22"/>
          <w:szCs w:val="22"/>
          <w:lang w:val="fr-FR"/>
        </w:rPr>
        <w:t>, i.e., 184 ± 79 kmol s</w:t>
      </w:r>
      <w:r w:rsidRPr="007900BD">
        <w:rPr>
          <w:rFonts w:ascii="Arial" w:hAnsi="Arial" w:cs="Arial"/>
          <w:bCs/>
          <w:color w:val="000000" w:themeColor="text1"/>
          <w:kern w:val="32"/>
          <w:sz w:val="22"/>
          <w:szCs w:val="22"/>
          <w:vertAlign w:val="superscript"/>
          <w:lang w:val="fr-FR"/>
        </w:rPr>
        <w:t>-1</w:t>
      </w:r>
      <w:r w:rsidRPr="007900BD">
        <w:rPr>
          <w:rFonts w:ascii="Arial" w:hAnsi="Arial" w:cs="Arial"/>
          <w:bCs/>
          <w:color w:val="000000" w:themeColor="text1"/>
          <w:kern w:val="32"/>
          <w:sz w:val="22"/>
          <w:szCs w:val="22"/>
          <w:lang w:val="fr-FR"/>
        </w:rPr>
        <w:t xml:space="preserve">). </w:t>
      </w:r>
      <w:r w:rsidRPr="007900BD">
        <w:rPr>
          <w:rFonts w:ascii="Arial" w:hAnsi="Arial" w:cs="Arial"/>
          <w:bCs/>
          <w:color w:val="000000" w:themeColor="text1"/>
          <w:kern w:val="32"/>
          <w:sz w:val="22"/>
          <w:szCs w:val="22"/>
        </w:rPr>
        <w:t>Considering a global river discharge into the world oceans of 39.08 x10</w:t>
      </w:r>
      <w:r w:rsidRPr="007900BD">
        <w:rPr>
          <w:rFonts w:ascii="Arial" w:hAnsi="Arial" w:cs="Arial"/>
          <w:bCs/>
          <w:color w:val="000000" w:themeColor="text1"/>
          <w:kern w:val="32"/>
          <w:sz w:val="22"/>
          <w:szCs w:val="22"/>
          <w:vertAlign w:val="superscript"/>
        </w:rPr>
        <w:t>12</w:t>
      </w:r>
      <w:r w:rsidRPr="007900BD">
        <w:rPr>
          <w:rFonts w:ascii="Arial" w:hAnsi="Arial" w:cs="Arial"/>
          <w:bCs/>
          <w:color w:val="000000" w:themeColor="text1"/>
          <w:kern w:val="32"/>
          <w:sz w:val="22"/>
          <w:szCs w:val="22"/>
        </w:rPr>
        <w:t xml:space="preserve"> m</w:t>
      </w:r>
      <w:r w:rsidRPr="007900BD">
        <w:rPr>
          <w:rFonts w:ascii="Arial" w:hAnsi="Arial" w:cs="Arial"/>
          <w:bCs/>
          <w:color w:val="000000" w:themeColor="text1"/>
          <w:kern w:val="32"/>
          <w:sz w:val="22"/>
          <w:szCs w:val="22"/>
          <w:vertAlign w:val="superscript"/>
        </w:rPr>
        <w:t>3</w:t>
      </w:r>
      <w:r w:rsidRPr="007900BD">
        <w:rPr>
          <w:rFonts w:ascii="Arial" w:hAnsi="Arial" w:cs="Arial"/>
          <w:bCs/>
          <w:color w:val="000000" w:themeColor="text1"/>
          <w:kern w:val="32"/>
          <w:sz w:val="22"/>
          <w:szCs w:val="22"/>
        </w:rPr>
        <w:t xml:space="preserve"> y</w:t>
      </w:r>
      <w:r w:rsidRPr="007900BD">
        <w:rPr>
          <w:rFonts w:ascii="Arial" w:hAnsi="Arial" w:cs="Arial"/>
          <w:bCs/>
          <w:color w:val="000000" w:themeColor="text1"/>
          <w:kern w:val="32"/>
          <w:sz w:val="22"/>
          <w:szCs w:val="22"/>
          <w:vertAlign w:val="superscript"/>
        </w:rPr>
        <w:t>-1</w:t>
      </w:r>
      <w:r w:rsidRPr="007900BD">
        <w:rPr>
          <w:rFonts w:ascii="Arial" w:hAnsi="Arial" w:cs="Arial"/>
          <w:bCs/>
          <w:color w:val="000000" w:themeColor="text1"/>
          <w:kern w:val="32"/>
          <w:sz w:val="22"/>
          <w:szCs w:val="22"/>
        </w:rPr>
        <w:t xml:space="preserve"> </w:t>
      </w:r>
      <w:r w:rsidRPr="007900BD">
        <w:rPr>
          <w:rFonts w:ascii="Arial" w:hAnsi="Arial" w:cs="Arial"/>
          <w:bCs/>
          <w:color w:val="000000" w:themeColor="text1"/>
          <w:kern w:val="32"/>
          <w:sz w:val="22"/>
          <w:szCs w:val="22"/>
        </w:rPr>
        <w:fldChar w:fldCharType="begin"/>
      </w:r>
      <w:r w:rsidR="00387A35" w:rsidRPr="007900BD">
        <w:rPr>
          <w:rFonts w:ascii="Arial" w:hAnsi="Arial" w:cs="Arial"/>
          <w:bCs/>
          <w:color w:val="000000" w:themeColor="text1"/>
          <w:kern w:val="32"/>
          <w:sz w:val="22"/>
          <w:szCs w:val="22"/>
        </w:rPr>
        <w:instrText xml:space="preserve"> ADDIN ZOTERO_ITEM CSL_CITATION {"citationID":"fGk2AiZr","properties":{"formattedCitation":"(D\\uc0\\u252{}rr et al., 2011)","plainCitation":"(Dürr et al., 2011)","noteIndex":0},"citationItems":[{"id":870,"uris":["http://zotero.org/users/951135/items/UFV4X5RW"],"uri":["http://zotero.org/users/951135/items/UFV4X5RW"],"itemData":{"id":870,"type":"article-journal","abstract":"Silica, SiO2, in dissolved (DSi) and particulate (PSi) form, is both a major product of continental weathering as well as an essential nutrient in terrestrial and aquatic systems. Here we present estimates of the spatial distribution of riverine silica fluxes under natural conditions, i.e. without human influence, to ~140 segments of the global coastal zone. Focussing on the construction of the DSi budget, natural DSi concentration is multiplied with discharge of rivers for each segment for documented basins and segments. Segments with no documentation available are estimated using clustered information based mainly on considerations of local lithology, climate, and lake retention. We approximate fluxes of particulate silica in various forms (PSi) from fluxes of suspended matter, calculated from existing models. Results have been established for silica fluxes, concentrations and yields for drainage basins of the different continents, oceans basins as well as coastal segment basins. For the continental surfaces actually draining into the oceans (exorheic regions, representing 114.7 million (M) km2), 371 M t y−1 of DSi and 8835 M t y−1 of PSi are transported, corresponding to a mean concentration of 9.5 mg l−1 and 226 mg l−1, and to a mean yield of 3.3 t km−2 y−1 and 77 t km−2 y−1, respectively. DSi yields exceeding 6.6 t km−2 y−1, i.e. &gt;2× the global average, represent 17.4% of the global continental ice-free exorheic area but correspond to 56.0% of DSi fluxes. Pacific catchments hold most of the hyper-active areas (&gt;5× global average), suggesting a close connection between tectonic activity and DSi fluxes resulting from silicate weathering. The macro-filters of regional and marginal seas intercept 33% and 46% of the total dissolved and particulate silica fluxes. The mass of DSi received from rivers per unit square area of various oceans ranges over more than one order of magnitude. When expressed per unit volume and when individual regional seas are considered this figure ranges over two to three orders of magnitude, an illustration of the heterogeneity of the land to sea connection.","container-title":"Biogeosciences","DOI":"10.5194/bg-8-597-2011","ISSN":"1726-4189","issue":"3","journalAbbreviation":"Biogeosciences","page":"597-620","source":"Copernicus Online Journals","title":"Global spatial distribution of natural riverine silica inputs to the coastal zone","volume":"8","author":[{"family":"Dürr","given":"H. H."},{"family":"Meybeck","given":"M."},{"family":"Hartmann","given":"J."},{"family":"Laruelle","given":"G. G."},{"family":"Roubeix","given":"V."}],"issued":{"date-parts":[["2011",3,7]]}}}],"schema":"https://github.com/citation-style-language/schema/raw/master/csl-citation.json"} </w:instrText>
      </w:r>
      <w:r w:rsidRPr="007900BD">
        <w:rPr>
          <w:rFonts w:ascii="Arial" w:hAnsi="Arial" w:cs="Arial"/>
          <w:bCs/>
          <w:color w:val="000000" w:themeColor="text1"/>
          <w:kern w:val="32"/>
          <w:sz w:val="22"/>
          <w:szCs w:val="22"/>
        </w:rPr>
        <w:fldChar w:fldCharType="separate"/>
      </w:r>
      <w:r w:rsidRPr="007900BD">
        <w:rPr>
          <w:rFonts w:ascii="Arial" w:hAnsi="Arial" w:cs="Arial"/>
          <w:bCs/>
          <w:color w:val="000000" w:themeColor="text1"/>
          <w:kern w:val="32"/>
          <w:sz w:val="22"/>
          <w:szCs w:val="22"/>
        </w:rPr>
        <w:t>(Dürr et al., 2011)</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which is consistent with the 38.86 x10</w:t>
      </w:r>
      <w:r w:rsidRPr="007900BD">
        <w:rPr>
          <w:rFonts w:ascii="Arial" w:hAnsi="Arial" w:cs="Arial"/>
          <w:bCs/>
          <w:color w:val="000000" w:themeColor="text1"/>
          <w:kern w:val="32"/>
          <w:sz w:val="22"/>
          <w:szCs w:val="22"/>
          <w:vertAlign w:val="superscript"/>
        </w:rPr>
        <w:t>12</w:t>
      </w:r>
      <w:r w:rsidRPr="007900BD">
        <w:rPr>
          <w:rFonts w:ascii="Arial" w:hAnsi="Arial" w:cs="Arial"/>
          <w:bCs/>
          <w:color w:val="000000" w:themeColor="text1"/>
          <w:kern w:val="32"/>
          <w:sz w:val="22"/>
          <w:szCs w:val="22"/>
        </w:rPr>
        <w:t xml:space="preserve"> m</w:t>
      </w:r>
      <w:r w:rsidRPr="007900BD">
        <w:rPr>
          <w:rFonts w:ascii="Arial" w:hAnsi="Arial" w:cs="Arial"/>
          <w:bCs/>
          <w:color w:val="000000" w:themeColor="text1"/>
          <w:kern w:val="32"/>
          <w:sz w:val="22"/>
          <w:szCs w:val="22"/>
          <w:vertAlign w:val="superscript"/>
        </w:rPr>
        <w:t>3</w:t>
      </w:r>
      <w:r w:rsidRPr="007900BD">
        <w:rPr>
          <w:rFonts w:ascii="Arial" w:hAnsi="Arial" w:cs="Arial"/>
          <w:bCs/>
          <w:color w:val="000000" w:themeColor="text1"/>
          <w:kern w:val="32"/>
          <w:sz w:val="22"/>
          <w:szCs w:val="22"/>
        </w:rPr>
        <w:t xml:space="preserve"> y</w:t>
      </w:r>
      <w:r w:rsidRPr="007900BD">
        <w:rPr>
          <w:rFonts w:ascii="Arial" w:hAnsi="Arial" w:cs="Arial"/>
          <w:bCs/>
          <w:color w:val="000000" w:themeColor="text1"/>
          <w:kern w:val="32"/>
          <w:sz w:val="22"/>
          <w:szCs w:val="22"/>
          <w:vertAlign w:val="superscript"/>
        </w:rPr>
        <w:t>-1</w:t>
      </w:r>
      <w:r w:rsidRPr="007900BD">
        <w:rPr>
          <w:rFonts w:ascii="Arial" w:hAnsi="Arial" w:cs="Arial"/>
          <w:bCs/>
          <w:color w:val="000000" w:themeColor="text1"/>
          <w:kern w:val="32"/>
          <w:sz w:val="22"/>
          <w:szCs w:val="22"/>
        </w:rPr>
        <w:t xml:space="preserve"> by </w:t>
      </w:r>
      <w:r w:rsidRPr="007900BD">
        <w:rPr>
          <w:rFonts w:ascii="Arial" w:hAnsi="Arial" w:cs="Arial"/>
          <w:bCs/>
          <w:color w:val="000000" w:themeColor="text1"/>
          <w:kern w:val="32"/>
          <w:sz w:val="22"/>
          <w:szCs w:val="22"/>
        </w:rPr>
        <w:fldChar w:fldCharType="begin"/>
      </w:r>
      <w:r w:rsidR="00387A35" w:rsidRPr="007900BD">
        <w:rPr>
          <w:rFonts w:ascii="Arial" w:hAnsi="Arial" w:cs="Arial"/>
          <w:bCs/>
          <w:color w:val="000000" w:themeColor="text1"/>
          <w:kern w:val="32"/>
          <w:sz w:val="22"/>
          <w:szCs w:val="22"/>
        </w:rPr>
        <w:instrText xml:space="preserve"> ADDIN ZOTERO_ITEM CSL_CITATION {"citationID":"iClsy3Wq","properties":{"formattedCitation":"(Peucker\\uc0\\u8208{}Ehrenbrink, 2009)","plainCitation":"(Peucker</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Ehrenbrink, 2009)","dontUpdate":true,"noteIndex":0},"citationItems":[{"id":649,"uris":["http://zotero.org/users/951135/items/6WAXIEUS"],"uri":["http://zotero.org/users/951135/items/6WAXIEUS"],"itemData":{"id":649,"type":"article-journal","abstract":"The Land2Sea database contains data on the sizes of 1519 exorheic river drainage basins (79% of the exorheic land area), annual suspended sediment fluxes (593 rivers, 63% of the exorheic land area), and water discharges (1272 rivers, 76% of the exorheic land area) that have been compiled from a variety of sources. The database extends earlier compilations, such as GEMS/GLORI. The river basins are grouped into 19 large-scale drainage regions to investigate the regional variability in freshwater and sediment fluxes to various ocean basins. The annual suspended sediment flux to the coastal ocean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18.5 × 109 tons) is dominated by east Asia (6.1 × 109 tons); Arabia, India, and southeast Asia (4.3 × 109 tons); and eastern South America (2.4 × 109 tons). Small topical islands of Oceania support the highest annual sediment fluxes per drainage area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9650 t km−2 a−1). Annual freshwater discharge to the coastal ocean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38,857 km3) is dominated by runoff from eastern South America (11,199 km3); east Asia (7114 km3); and Arabia, India, and southeast Asia (4384 km3). The empirical data agree well with results from global models (ART and BQART) that have been trained on a subset of the data compiled here.","container-title":"Geochemistry, Geophysics, Geosystems","DOI":"10.1029/2008GC002356","ISSN":"1525-2027","issue":"6","language":"en","source":"Wiley Online Library","title":"Land2Sea database of river drainage basin sizes, annual water discharges, and suspended sediment fluxes","URL":"https://agupubs.onlinelibrary.wiley.com/doi/abs/10.1029/2008GC002356","volume":"10","author":[{"family":"Peucker</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 xml:space="preserve">Ehrenbrink","given":"Bernhard"}],"accessed":{"date-parts":[["2018",12,4]]},"issued":{"date-parts":[["2009",6,1]]}}}],"schema":"https://github.com/citation-style-language/schema/raw/master/csl-citation.json"} </w:instrText>
      </w:r>
      <w:r w:rsidRPr="007900BD">
        <w:rPr>
          <w:rFonts w:ascii="Arial" w:hAnsi="Arial" w:cs="Arial"/>
          <w:bCs/>
          <w:color w:val="000000" w:themeColor="text1"/>
          <w:kern w:val="32"/>
          <w:sz w:val="22"/>
          <w:szCs w:val="22"/>
        </w:rPr>
        <w:fldChar w:fldCharType="separate"/>
      </w:r>
      <w:r w:rsidRPr="007900BD">
        <w:rPr>
          <w:rFonts w:ascii="Arial" w:hAnsi="Arial" w:cs="Arial"/>
          <w:color w:val="000000" w:themeColor="text1"/>
          <w:sz w:val="22"/>
          <w:lang w:val="en-US"/>
        </w:rPr>
        <w:t>Peucker</w:t>
      </w:r>
      <w:r w:rsidRPr="007900BD">
        <w:rPr>
          <w:rFonts w:ascii="Cambria Math" w:hAnsi="Cambria Math" w:cs="Cambria Math"/>
          <w:color w:val="000000" w:themeColor="text1"/>
          <w:sz w:val="22"/>
          <w:lang w:val="en-US"/>
        </w:rPr>
        <w:t>‐</w:t>
      </w:r>
      <w:r w:rsidRPr="007900BD">
        <w:rPr>
          <w:rFonts w:ascii="Arial" w:hAnsi="Arial" w:cs="Arial"/>
          <w:color w:val="000000" w:themeColor="text1"/>
          <w:sz w:val="22"/>
          <w:lang w:val="en-US"/>
        </w:rPr>
        <w:t>Ehrenbrink (2009)</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and taking into account a</w:t>
      </w:r>
      <w:r w:rsidRPr="007900BD">
        <w:rPr>
          <w:rFonts w:ascii="Arial" w:hAnsi="Arial" w:cs="Arial"/>
          <w:bCs/>
          <w:color w:val="000000" w:themeColor="text1"/>
          <w:kern w:val="32"/>
          <w:sz w:val="22"/>
          <w:szCs w:val="22"/>
          <w:vertAlign w:val="superscript"/>
        </w:rPr>
        <w:t xml:space="preserve"> </w:t>
      </w:r>
      <w:r w:rsidRPr="007900BD">
        <w:rPr>
          <w:rFonts w:ascii="Arial" w:hAnsi="Arial" w:cs="Arial"/>
          <w:bCs/>
          <w:color w:val="000000" w:themeColor="text1"/>
          <w:kern w:val="32"/>
          <w:sz w:val="22"/>
          <w:szCs w:val="22"/>
        </w:rPr>
        <w:t>river flux into the NA-box of 4.4 x 10</w:t>
      </w:r>
      <w:r w:rsidRPr="007900BD">
        <w:rPr>
          <w:rFonts w:ascii="Arial" w:hAnsi="Arial" w:cs="Arial"/>
          <w:bCs/>
          <w:color w:val="000000" w:themeColor="text1"/>
          <w:kern w:val="32"/>
          <w:sz w:val="22"/>
          <w:szCs w:val="22"/>
          <w:vertAlign w:val="superscript"/>
        </w:rPr>
        <w:t>12</w:t>
      </w:r>
      <w:r w:rsidRPr="007900BD">
        <w:rPr>
          <w:rFonts w:ascii="Arial" w:hAnsi="Arial" w:cs="Arial"/>
          <w:bCs/>
          <w:color w:val="000000" w:themeColor="text1"/>
          <w:kern w:val="32"/>
          <w:sz w:val="22"/>
          <w:szCs w:val="22"/>
        </w:rPr>
        <w:t xml:space="preserve"> m</w:t>
      </w:r>
      <w:r w:rsidRPr="007900BD">
        <w:rPr>
          <w:rFonts w:ascii="Arial" w:hAnsi="Arial" w:cs="Arial"/>
          <w:bCs/>
          <w:color w:val="000000" w:themeColor="text1"/>
          <w:kern w:val="32"/>
          <w:sz w:val="22"/>
          <w:szCs w:val="22"/>
          <w:vertAlign w:val="superscript"/>
        </w:rPr>
        <w:t>3</w:t>
      </w:r>
      <w:r w:rsidRPr="007900BD">
        <w:rPr>
          <w:rFonts w:ascii="Arial" w:hAnsi="Arial" w:cs="Arial"/>
          <w:bCs/>
          <w:color w:val="000000" w:themeColor="text1"/>
          <w:kern w:val="32"/>
          <w:sz w:val="22"/>
          <w:szCs w:val="22"/>
        </w:rPr>
        <w:t xml:space="preserve"> y</w:t>
      </w:r>
      <w:r w:rsidRPr="007900BD">
        <w:rPr>
          <w:rFonts w:ascii="Arial" w:hAnsi="Arial" w:cs="Arial"/>
          <w:bCs/>
          <w:color w:val="000000" w:themeColor="text1"/>
          <w:kern w:val="32"/>
          <w:sz w:val="22"/>
          <w:szCs w:val="22"/>
          <w:vertAlign w:val="superscript"/>
        </w:rPr>
        <w:t xml:space="preserve">-1 </w:t>
      </w:r>
      <w:r w:rsidRPr="007900BD">
        <w:rPr>
          <w:rFonts w:ascii="Arial" w:hAnsi="Arial" w:cs="Arial"/>
          <w:bCs/>
          <w:color w:val="000000" w:themeColor="text1"/>
          <w:kern w:val="32"/>
          <w:sz w:val="22"/>
          <w:szCs w:val="22"/>
        </w:rPr>
        <w:t xml:space="preserve">(as sum of Hudson Bay, Eastern North America and western Europe contributions, see Table 1 by </w:t>
      </w:r>
      <w:r w:rsidRPr="007900BD">
        <w:rPr>
          <w:rFonts w:ascii="Arial" w:hAnsi="Arial" w:cs="Arial"/>
          <w:bCs/>
          <w:color w:val="000000" w:themeColor="text1"/>
          <w:kern w:val="32"/>
          <w:sz w:val="22"/>
          <w:szCs w:val="22"/>
        </w:rPr>
        <w:fldChar w:fldCharType="begin"/>
      </w:r>
      <w:r w:rsidR="00387A35" w:rsidRPr="007900BD">
        <w:rPr>
          <w:rFonts w:ascii="Arial" w:hAnsi="Arial" w:cs="Arial"/>
          <w:bCs/>
          <w:color w:val="000000" w:themeColor="text1"/>
          <w:kern w:val="32"/>
          <w:sz w:val="22"/>
          <w:szCs w:val="22"/>
        </w:rPr>
        <w:instrText xml:space="preserve"> ADDIN ZOTERO_ITEM CSL_CITATION {"citationID":"mSQtNPgD","properties":{"formattedCitation":"(Peucker\\uc0\\u8208{}Ehrenbrink, 2009)","plainCitation":"(Peucker</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Ehrenbrink, 2009)","dontUpdate":true,"noteIndex":0},"citationItems":[{"id":649,"uris":["http://zotero.org/users/951135/items/6WAXIEUS"],"uri":["http://zotero.org/users/951135/items/6WAXIEUS"],"itemData":{"id":649,"type":"article-journal","abstract":"The Land2Sea database contains data on the sizes of 1519 exorheic river drainage basins (79% of the exorheic land area), annual suspended sediment fluxes (593 rivers, 63% of the exorheic land area), and water discharges (1272 rivers, 76% of the exorheic land area) that have been compiled from a variety of sources. The database extends earlier compilations, such as GEMS/GLORI. The river basins are grouped into 19 large-scale drainage regions to investigate the regional variability in freshwater and sediment fluxes to various ocean basins. The annual suspended sediment flux to the coastal ocean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18.5 × 109 tons) is dominated by east Asia (6.1 × 109 tons); Arabia, India, and southeast Asia (4.3 × 109 tons); and eastern South America (2.4 × 109 tons). Small topical islands of Oceania support the highest annual sediment fluxes per drainage area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9650 t km−2 a−1). Annual freshwater discharge to the coastal ocean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38,857 km3) is dominated by runoff from eastern South America (11,199 km3); east Asia (7114 km3); and Arabia, India, and southeast Asia (4384 km3). The empirical data agree well with results from global models (ART and BQART) that have been trained on a subset of the data compiled here.","container-title":"Geochemistry, Geophysics, Geosystems","DOI":"10.1029/2008GC002356","ISSN":"1525-2027","issue":"6","language":"en","source":"Wiley Online Library","title":"Land2Sea database of river drainage basin sizes, annual water discharges, and suspended sediment fluxes","URL":"https://agupubs.onlinelibrary.wiley.com/doi/abs/10.1029/2008GC002356","volume":"10","author":[{"family":"Peucker</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 xml:space="preserve">Ehrenbrink","given":"Bernhard"}],"accessed":{"date-parts":[["2018",12,4]]},"issued":{"date-parts":[["2009",6,1]]}}}],"schema":"https://github.com/citation-style-language/schema/raw/master/csl-citation.json"} </w:instrText>
      </w:r>
      <w:r w:rsidRPr="007900BD">
        <w:rPr>
          <w:rFonts w:ascii="Arial" w:hAnsi="Arial" w:cs="Arial"/>
          <w:bCs/>
          <w:color w:val="000000" w:themeColor="text1"/>
          <w:kern w:val="32"/>
          <w:sz w:val="22"/>
          <w:szCs w:val="22"/>
        </w:rPr>
        <w:fldChar w:fldCharType="separate"/>
      </w:r>
      <w:r w:rsidRPr="007900BD">
        <w:rPr>
          <w:rFonts w:ascii="Arial" w:hAnsi="Arial" w:cs="Arial"/>
          <w:color w:val="000000" w:themeColor="text1"/>
          <w:sz w:val="22"/>
          <w:lang w:val="en-US"/>
        </w:rPr>
        <w:t>Peucker</w:t>
      </w:r>
      <w:r w:rsidRPr="007900BD">
        <w:rPr>
          <w:rFonts w:ascii="Cambria Math" w:hAnsi="Cambria Math" w:cs="Cambria Math"/>
          <w:color w:val="000000" w:themeColor="text1"/>
          <w:sz w:val="22"/>
          <w:lang w:val="en-US"/>
        </w:rPr>
        <w:t>‐</w:t>
      </w:r>
      <w:r w:rsidRPr="007900BD">
        <w:rPr>
          <w:rFonts w:ascii="Arial" w:hAnsi="Arial" w:cs="Arial"/>
          <w:color w:val="000000" w:themeColor="text1"/>
          <w:sz w:val="22"/>
          <w:lang w:val="en-US"/>
        </w:rPr>
        <w:t>Ehrenbrink</w:t>
      </w:r>
      <w:r w:rsidR="00961F98">
        <w:rPr>
          <w:rFonts w:ascii="Arial" w:hAnsi="Arial" w:cs="Arial"/>
          <w:color w:val="000000" w:themeColor="text1"/>
          <w:sz w:val="22"/>
          <w:lang w:val="en-US"/>
        </w:rPr>
        <w:t xml:space="preserve">, </w:t>
      </w:r>
      <w:r w:rsidRPr="007900BD">
        <w:rPr>
          <w:rFonts w:ascii="Arial" w:hAnsi="Arial" w:cs="Arial"/>
          <w:color w:val="000000" w:themeColor="text1"/>
          <w:sz w:val="22"/>
          <w:lang w:val="en-US"/>
        </w:rPr>
        <w:t>2009</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we inferred a silicate runoff input into the NA-box of 20 ± 9 kmol s</w:t>
      </w:r>
      <w:r w:rsidRPr="007900BD">
        <w:rPr>
          <w:rFonts w:ascii="Arial" w:hAnsi="Arial" w:cs="Arial"/>
          <w:bCs/>
          <w:color w:val="000000" w:themeColor="text1"/>
          <w:kern w:val="32"/>
          <w:sz w:val="22"/>
          <w:szCs w:val="22"/>
          <w:vertAlign w:val="superscript"/>
        </w:rPr>
        <w:t>-1</w:t>
      </w:r>
      <w:r w:rsidR="00521B50" w:rsidRPr="007900BD">
        <w:rPr>
          <w:rFonts w:ascii="Arial" w:hAnsi="Arial" w:cs="Arial"/>
          <w:bCs/>
          <w:color w:val="000000" w:themeColor="text1"/>
          <w:kern w:val="32"/>
          <w:sz w:val="22"/>
          <w:szCs w:val="22"/>
        </w:rPr>
        <w:t>.</w:t>
      </w:r>
      <w:r w:rsidR="00196A2C" w:rsidRPr="007900BD">
        <w:rPr>
          <w:rFonts w:ascii="Arial" w:hAnsi="Arial" w:cs="Arial"/>
          <w:bCs/>
          <w:color w:val="000000" w:themeColor="text1"/>
          <w:kern w:val="32"/>
          <w:sz w:val="22"/>
          <w:szCs w:val="22"/>
        </w:rPr>
        <w:t xml:space="preserve"> </w:t>
      </w:r>
      <w:r w:rsidR="00521B50" w:rsidRPr="007900BD">
        <w:rPr>
          <w:rFonts w:ascii="Arial" w:hAnsi="Arial" w:cs="Arial"/>
          <w:bCs/>
          <w:color w:val="000000" w:themeColor="text1"/>
          <w:kern w:val="32"/>
          <w:sz w:val="22"/>
          <w:szCs w:val="22"/>
        </w:rPr>
        <w:t xml:space="preserve">That is </w:t>
      </w:r>
      <w:r w:rsidR="00196A2C" w:rsidRPr="007900BD">
        <w:rPr>
          <w:rFonts w:ascii="Arial" w:hAnsi="Arial" w:cs="Arial"/>
          <w:bCs/>
          <w:color w:val="000000" w:themeColor="text1"/>
          <w:kern w:val="32"/>
          <w:sz w:val="22"/>
          <w:szCs w:val="22"/>
        </w:rPr>
        <w:t>equivalent to assuming that there is no spatial variation in the fluvial silicate concentration</w:t>
      </w:r>
      <w:r w:rsidR="00D67327" w:rsidRPr="007900BD">
        <w:rPr>
          <w:rFonts w:ascii="Arial" w:hAnsi="Arial" w:cs="Arial"/>
          <w:bCs/>
          <w:color w:val="000000" w:themeColor="text1"/>
          <w:kern w:val="32"/>
          <w:sz w:val="22"/>
          <w:szCs w:val="22"/>
        </w:rPr>
        <w:t xml:space="preserve">. To evaluate the validity of this coarse </w:t>
      </w:r>
      <w:r w:rsidR="00D16CCF" w:rsidRPr="007900BD">
        <w:rPr>
          <w:rFonts w:ascii="Arial" w:hAnsi="Arial" w:cs="Arial"/>
          <w:bCs/>
          <w:color w:val="000000" w:themeColor="text1"/>
          <w:kern w:val="32"/>
          <w:sz w:val="22"/>
          <w:szCs w:val="22"/>
        </w:rPr>
        <w:t>assumption</w:t>
      </w:r>
      <w:r w:rsidR="00D67327" w:rsidRPr="007900BD">
        <w:rPr>
          <w:rFonts w:ascii="Arial" w:hAnsi="Arial" w:cs="Arial"/>
          <w:bCs/>
          <w:color w:val="000000" w:themeColor="text1"/>
          <w:kern w:val="32"/>
          <w:sz w:val="22"/>
          <w:szCs w:val="22"/>
        </w:rPr>
        <w:t>, we computed a new value</w:t>
      </w:r>
      <w:r w:rsidR="00196A2C" w:rsidRPr="007900BD">
        <w:rPr>
          <w:rFonts w:ascii="Arial" w:hAnsi="Arial" w:cs="Arial"/>
          <w:bCs/>
          <w:color w:val="000000" w:themeColor="text1"/>
          <w:kern w:val="32"/>
          <w:sz w:val="22"/>
          <w:szCs w:val="22"/>
        </w:rPr>
        <w:t xml:space="preserve"> with the tracer concentration (μmol·kg</w:t>
      </w:r>
      <w:r w:rsidR="00196A2C" w:rsidRPr="007900BD">
        <w:rPr>
          <w:rFonts w:ascii="Arial" w:hAnsi="Arial" w:cs="Arial"/>
          <w:bCs/>
          <w:color w:val="000000" w:themeColor="text1"/>
          <w:kern w:val="32"/>
          <w:sz w:val="22"/>
          <w:szCs w:val="22"/>
          <w:vertAlign w:val="superscript"/>
        </w:rPr>
        <w:t>−1</w:t>
      </w:r>
      <w:r w:rsidR="00196A2C" w:rsidRPr="007900BD">
        <w:rPr>
          <w:rFonts w:ascii="Arial" w:hAnsi="Arial" w:cs="Arial"/>
          <w:bCs/>
          <w:color w:val="000000" w:themeColor="text1"/>
          <w:kern w:val="32"/>
          <w:sz w:val="22"/>
          <w:szCs w:val="22"/>
        </w:rPr>
        <w:t xml:space="preserve">) from the sources (Hudson Bay, Eastern North America and western Europe contributions; Supplement in </w:t>
      </w:r>
      <w:r w:rsidR="007D4CA3" w:rsidRPr="007D4CA3">
        <w:rPr>
          <w:rFonts w:ascii="Arial" w:hAnsi="Arial" w:cs="Arial"/>
          <w:bCs/>
          <w:color w:val="000000" w:themeColor="text1"/>
          <w:kern w:val="32"/>
          <w:sz w:val="22"/>
          <w:szCs w:val="22"/>
        </w:rPr>
        <w:fldChar w:fldCharType="begin"/>
      </w:r>
      <w:r w:rsidR="00961F98">
        <w:rPr>
          <w:rFonts w:ascii="Arial" w:hAnsi="Arial" w:cs="Arial"/>
          <w:bCs/>
          <w:color w:val="000000" w:themeColor="text1"/>
          <w:kern w:val="32"/>
          <w:sz w:val="22"/>
          <w:szCs w:val="22"/>
        </w:rPr>
        <w:instrText xml:space="preserve"> ADDIN ZOTERO_ITEM CSL_CITATION {"citationID":"ad8al7k51n","properties":{"formattedCitation":"\\uldash{(D\\uc0\\u252{}rr et al., 2011)}","plainCitation":"(Dürr et al., 2011)","dontUpdate":true,"noteIndex":0},"citationItems":[{"id":870,"uris":["http://zotero.org/users/951135/items/UFV4X5RW"],"uri":["http://zotero.org/users/951135/items/UFV4X5RW"],"itemData":{"id":870,"type":"article-journal","abstract":"Silica, SiO2, in dissolved (DSi) and particulate (PSi) form, is both a major product of continental weathering as well as an essential nutrient in terrestrial and aquatic systems. Here we present estimates of the spatial distribution of riverine silica fluxes under natural conditions, i.e. without human influence, to ~140 segments of the global coastal zone. Focussing on the construction of the DSi budget, natural DSi concentration is multiplied with discharge of rivers for each segment for documented basins and segments. Segments with no documentation available are estimated using clustered information based mainly on considerations of local lithology, climate, and lake retention. We approximate fluxes of particulate silica in various forms (PSi) from fluxes of suspended matter, calculated from existing models. Results have been established for silica fluxes, concentrations and yields for drainage basins of the different continents, oceans basins as well as coastal segment basins. For the continental surfaces actually draining into the oceans (exorheic regions, representing 114.7 million (M) km2), 371 M t y−1 of DSi and 8835 M t y−1 of PSi are transported, corresponding to a mean concentration of 9.5 mg l−1 and 226 mg l−1, and to a mean yield of 3.3 t km−2 y−1 and 77 t km−2 y−1, respectively. DSi yields exceeding 6.6 t km−2 y−1, i.e. &gt;2× the global average, represent 17.4% of the global continental ice-free exorheic area but correspond to 56.0% of DSi fluxes. Pacific catchments hold most of the hyper-active areas (&gt;5× global average), suggesting a close connection between tectonic activity and DSi fluxes resulting from silicate weathering. The macro-filters of regional and marginal seas intercept 33% and 46% of the total dissolved and particulate silica fluxes. The mass of DSi received from rivers per unit square area of various oceans ranges over more than one order of magnitude. When expressed per unit volume and when individual regional seas are considered this figure ranges over two to three orders of magnitude, an illustration of the heterogeneity of the land to sea connection.","container-title":"Biogeosciences","DOI":"10.5194/bg-8-597-2011","ISSN":"1726-4189","issue":"3","journalAbbreviation":"Biogeosciences","page":"597-620","source":"Copernicus Online Journals","title":"Global spatial distribution of natural riverine silica inputs to the coastal zone","volume":"8","author":[{"family":"Dürr","given":"H. H."},{"family":"Meybeck","given":"M."},{"family":"Hartmann","given":"J."},{"family":"Laruelle","given":"G. G."},{"family":"Roubeix","given":"V."}],"issued":{"date-parts":[["2011",3,7]]}}}],"schema":"https://github.com/citation-style-language/schema/raw/master/csl-citation.json"} </w:instrText>
      </w:r>
      <w:r w:rsidR="007D4CA3" w:rsidRPr="007D4CA3">
        <w:rPr>
          <w:rFonts w:ascii="Arial" w:hAnsi="Arial" w:cs="Arial"/>
          <w:bCs/>
          <w:color w:val="000000" w:themeColor="text1"/>
          <w:kern w:val="32"/>
          <w:sz w:val="22"/>
          <w:szCs w:val="22"/>
        </w:rPr>
        <w:fldChar w:fldCharType="separate"/>
      </w:r>
      <w:r w:rsidR="007D4CA3" w:rsidRPr="007D4CA3">
        <w:rPr>
          <w:rFonts w:ascii="Arial" w:hAnsi="Arial" w:cs="Arial"/>
          <w:color w:val="000000"/>
          <w:sz w:val="22"/>
        </w:rPr>
        <w:t>Dürr et al., 2011</w:t>
      </w:r>
      <w:r w:rsidR="007D4CA3" w:rsidRPr="007D4CA3">
        <w:rPr>
          <w:rFonts w:ascii="Arial" w:hAnsi="Arial" w:cs="Arial"/>
          <w:bCs/>
          <w:color w:val="000000" w:themeColor="text1"/>
          <w:kern w:val="32"/>
          <w:sz w:val="22"/>
          <w:szCs w:val="22"/>
        </w:rPr>
        <w:fldChar w:fldCharType="end"/>
      </w:r>
      <w:r w:rsidR="00196A2C" w:rsidRPr="007D4CA3">
        <w:rPr>
          <w:rFonts w:ascii="Arial" w:hAnsi="Arial" w:cs="Arial"/>
          <w:bCs/>
          <w:color w:val="000000" w:themeColor="text1"/>
          <w:kern w:val="32"/>
          <w:sz w:val="22"/>
          <w:szCs w:val="22"/>
        </w:rPr>
        <w:t>),</w:t>
      </w:r>
      <w:r w:rsidR="00196A2C" w:rsidRPr="007900BD">
        <w:rPr>
          <w:rFonts w:ascii="Arial" w:hAnsi="Arial" w:cs="Arial"/>
          <w:bCs/>
          <w:color w:val="000000" w:themeColor="text1"/>
          <w:kern w:val="32"/>
          <w:sz w:val="22"/>
          <w:szCs w:val="22"/>
        </w:rPr>
        <w:t xml:space="preserve"> along the freshwater runoff considered here (</w:t>
      </w:r>
      <w:r w:rsidR="00196A2C" w:rsidRPr="007900BD">
        <w:rPr>
          <w:rFonts w:ascii="Arial" w:hAnsi="Arial" w:cs="Arial"/>
          <w:bCs/>
          <w:color w:val="000000" w:themeColor="text1"/>
          <w:kern w:val="32"/>
          <w:sz w:val="22"/>
          <w:szCs w:val="22"/>
        </w:rPr>
        <w:fldChar w:fldCharType="begin"/>
      </w:r>
      <w:r w:rsidR="00FC6B40" w:rsidRPr="007900BD">
        <w:rPr>
          <w:rFonts w:ascii="Arial" w:hAnsi="Arial" w:cs="Arial"/>
          <w:bCs/>
          <w:color w:val="000000" w:themeColor="text1"/>
          <w:kern w:val="32"/>
          <w:sz w:val="22"/>
          <w:szCs w:val="22"/>
        </w:rPr>
        <w:instrText xml:space="preserve"> ADDIN ZOTERO_ITEM CSL_CITATION {"citationID":"S32OEZ1D","properties":{"formattedCitation":"(Peucker\\uc0\\u8208{}Ehrenbrink, 2009)","plainCitation":"(Peucker</w:instrText>
      </w:r>
      <w:r w:rsidR="00FC6B40" w:rsidRPr="007900BD">
        <w:rPr>
          <w:rFonts w:ascii="Cambria Math" w:hAnsi="Cambria Math" w:cs="Cambria Math"/>
          <w:bCs/>
          <w:color w:val="000000" w:themeColor="text1"/>
          <w:kern w:val="32"/>
          <w:sz w:val="22"/>
          <w:szCs w:val="22"/>
        </w:rPr>
        <w:instrText>‐</w:instrText>
      </w:r>
      <w:r w:rsidR="00FC6B40" w:rsidRPr="007900BD">
        <w:rPr>
          <w:rFonts w:ascii="Arial" w:hAnsi="Arial" w:cs="Arial"/>
          <w:bCs/>
          <w:color w:val="000000" w:themeColor="text1"/>
          <w:kern w:val="32"/>
          <w:sz w:val="22"/>
          <w:szCs w:val="22"/>
        </w:rPr>
        <w:instrText>Ehrenbrink, 2009)","dontUpdate":true,"noteIndex":0},"citationItems":[{"id":649,"uris":["http://zotero.org/users/951135/items/6WAXIEUS"],"uri":["http://zotero.org/users/951135/items/6WAXIEUS"],"itemData":{"id":649,"type":"article-journal","abstract":"The Land2Sea database contains data on the sizes of 1519 exorheic river drainage basins (79% of the exorheic land area), annual suspended sediment fluxes (593 rivers, 63% of the exorheic land area), and water discharges (1272 rivers, 76% of the exorheic land area) that have been compiled from a variety of sources. The database extends earlier compilations, such as GEMS/GLORI. The river basins are grouped into 19 large-scale drainage regions to investigate the regional variability in freshwater and sediment fluxes to various ocean basins. The annual suspended sediment flux to the coastal ocean (</w:instrText>
      </w:r>
      <w:r w:rsidR="00FC6B40" w:rsidRPr="007900BD">
        <w:rPr>
          <w:rFonts w:ascii="Cambria Math" w:hAnsi="Cambria Math" w:cs="Cambria Math"/>
          <w:bCs/>
          <w:color w:val="000000" w:themeColor="text1"/>
          <w:kern w:val="32"/>
          <w:sz w:val="22"/>
          <w:szCs w:val="22"/>
        </w:rPr>
        <w:instrText>∼</w:instrText>
      </w:r>
      <w:r w:rsidR="00FC6B40" w:rsidRPr="007900BD">
        <w:rPr>
          <w:rFonts w:ascii="Arial" w:hAnsi="Arial" w:cs="Arial"/>
          <w:bCs/>
          <w:color w:val="000000" w:themeColor="text1"/>
          <w:kern w:val="32"/>
          <w:sz w:val="22"/>
          <w:szCs w:val="22"/>
        </w:rPr>
        <w:instrText>18.5 × 109 tons) is dominated by east Asia (6.1 × 109 tons); Arabia, India, and southeast Asia (4.3 × 109 tons); and eastern South America (2.4 × 109 tons). Small topical islands of Oceania support the highest annual sediment fluxes per drainage area (</w:instrText>
      </w:r>
      <w:r w:rsidR="00FC6B40" w:rsidRPr="007900BD">
        <w:rPr>
          <w:rFonts w:ascii="Cambria Math" w:hAnsi="Cambria Math" w:cs="Cambria Math"/>
          <w:bCs/>
          <w:color w:val="000000" w:themeColor="text1"/>
          <w:kern w:val="32"/>
          <w:sz w:val="22"/>
          <w:szCs w:val="22"/>
        </w:rPr>
        <w:instrText>∼</w:instrText>
      </w:r>
      <w:r w:rsidR="00FC6B40" w:rsidRPr="007900BD">
        <w:rPr>
          <w:rFonts w:ascii="Arial" w:hAnsi="Arial" w:cs="Arial"/>
          <w:bCs/>
          <w:color w:val="000000" w:themeColor="text1"/>
          <w:kern w:val="32"/>
          <w:sz w:val="22"/>
          <w:szCs w:val="22"/>
        </w:rPr>
        <w:instrText>9650 t km−2 a−1). Annual freshwater discharge to the coastal ocean (</w:instrText>
      </w:r>
      <w:r w:rsidR="00FC6B40" w:rsidRPr="007900BD">
        <w:rPr>
          <w:rFonts w:ascii="Cambria Math" w:hAnsi="Cambria Math" w:cs="Cambria Math"/>
          <w:bCs/>
          <w:color w:val="000000" w:themeColor="text1"/>
          <w:kern w:val="32"/>
          <w:sz w:val="22"/>
          <w:szCs w:val="22"/>
        </w:rPr>
        <w:instrText>∼</w:instrText>
      </w:r>
      <w:r w:rsidR="00FC6B40" w:rsidRPr="007900BD">
        <w:rPr>
          <w:rFonts w:ascii="Arial" w:hAnsi="Arial" w:cs="Arial"/>
          <w:bCs/>
          <w:color w:val="000000" w:themeColor="text1"/>
          <w:kern w:val="32"/>
          <w:sz w:val="22"/>
          <w:szCs w:val="22"/>
        </w:rPr>
        <w:instrText>38,857 km3) is dominated by runoff from eastern South America (11,199 km3); east Asia (7114 km3); and Arabia, India, and southeast Asia (4384 km3). The empirical data agree well with results from global models (ART and BQART) that have been trained on a subset of the data compiled here.","container-title":"Geochemistry, Geophysics, Geosystems","DOI":"10.1029/2008GC002356","ISSN":"1525-2027","issue":"6","language":"en","source":"Wiley Online Library","title":"Land2Sea database of river drainage basin sizes, annual water discharges, and suspended sediment fluxes","URL":"https://agupubs.onlinelibrary.wiley.com/doi/abs/10.1029/2008GC002356","volume":"10","author":[{"family":"Peucker</w:instrText>
      </w:r>
      <w:r w:rsidR="00FC6B40" w:rsidRPr="007900BD">
        <w:rPr>
          <w:rFonts w:ascii="Cambria Math" w:hAnsi="Cambria Math" w:cs="Cambria Math"/>
          <w:bCs/>
          <w:color w:val="000000" w:themeColor="text1"/>
          <w:kern w:val="32"/>
          <w:sz w:val="22"/>
          <w:szCs w:val="22"/>
        </w:rPr>
        <w:instrText>‐</w:instrText>
      </w:r>
      <w:r w:rsidR="00FC6B40" w:rsidRPr="007900BD">
        <w:rPr>
          <w:rFonts w:ascii="Arial" w:hAnsi="Arial" w:cs="Arial"/>
          <w:bCs/>
          <w:color w:val="000000" w:themeColor="text1"/>
          <w:kern w:val="32"/>
          <w:sz w:val="22"/>
          <w:szCs w:val="22"/>
        </w:rPr>
        <w:instrText xml:space="preserve">Ehrenbrink","given":"Bernhard"}],"accessed":{"date-parts":[["2018",12,4]]},"issued":{"date-parts":[["2009",6,1]]}}}],"schema":"https://github.com/citation-style-language/schema/raw/master/csl-citation.json"} </w:instrText>
      </w:r>
      <w:r w:rsidR="00196A2C" w:rsidRPr="007900BD">
        <w:rPr>
          <w:rFonts w:ascii="Arial" w:hAnsi="Arial" w:cs="Arial"/>
          <w:bCs/>
          <w:color w:val="000000" w:themeColor="text1"/>
          <w:kern w:val="32"/>
          <w:sz w:val="22"/>
          <w:szCs w:val="22"/>
        </w:rPr>
        <w:fldChar w:fldCharType="separate"/>
      </w:r>
      <w:r w:rsidR="00196A2C" w:rsidRPr="007900BD">
        <w:rPr>
          <w:rFonts w:ascii="Arial" w:hAnsi="Arial" w:cs="Arial"/>
          <w:color w:val="000000" w:themeColor="text1"/>
          <w:sz w:val="22"/>
          <w:lang w:val="en-US"/>
        </w:rPr>
        <w:t>Peucker</w:t>
      </w:r>
      <w:r w:rsidR="00196A2C" w:rsidRPr="007900BD">
        <w:rPr>
          <w:rFonts w:ascii="Cambria Math" w:hAnsi="Cambria Math" w:cs="Cambria Math"/>
          <w:color w:val="000000" w:themeColor="text1"/>
          <w:sz w:val="22"/>
          <w:lang w:val="en-US"/>
        </w:rPr>
        <w:t>‐</w:t>
      </w:r>
      <w:r w:rsidR="00196A2C" w:rsidRPr="007900BD">
        <w:rPr>
          <w:rFonts w:ascii="Arial" w:hAnsi="Arial" w:cs="Arial"/>
          <w:color w:val="000000" w:themeColor="text1"/>
          <w:sz w:val="22"/>
          <w:lang w:val="en-US"/>
        </w:rPr>
        <w:t>Ehrenbrink, 2009)</w:t>
      </w:r>
      <w:r w:rsidR="00196A2C" w:rsidRPr="007900BD">
        <w:rPr>
          <w:rFonts w:ascii="Arial" w:hAnsi="Arial" w:cs="Arial"/>
          <w:bCs/>
          <w:color w:val="000000" w:themeColor="text1"/>
          <w:kern w:val="32"/>
          <w:sz w:val="22"/>
          <w:szCs w:val="22"/>
        </w:rPr>
        <w:fldChar w:fldCharType="end"/>
      </w:r>
      <w:r w:rsidR="00196A2C" w:rsidRPr="007900BD">
        <w:rPr>
          <w:rFonts w:ascii="Arial" w:hAnsi="Arial" w:cs="Arial"/>
          <w:bCs/>
          <w:color w:val="000000" w:themeColor="text1"/>
          <w:kern w:val="32"/>
          <w:sz w:val="22"/>
          <w:szCs w:val="22"/>
        </w:rPr>
        <w:t xml:space="preserve">, obtaining </w:t>
      </w:r>
      <w:r w:rsidR="00521B50" w:rsidRPr="007900BD">
        <w:rPr>
          <w:rFonts w:ascii="Arial" w:hAnsi="Arial" w:cs="Arial"/>
          <w:bCs/>
          <w:color w:val="000000" w:themeColor="text1"/>
          <w:kern w:val="32"/>
          <w:sz w:val="22"/>
          <w:szCs w:val="22"/>
        </w:rPr>
        <w:t>a total silicate runoff into the NA-box of</w:t>
      </w:r>
      <w:r w:rsidR="00196A2C" w:rsidRPr="007900BD">
        <w:rPr>
          <w:rFonts w:ascii="Arial" w:hAnsi="Arial" w:cs="Arial"/>
          <w:bCs/>
          <w:color w:val="000000" w:themeColor="text1"/>
          <w:kern w:val="32"/>
          <w:sz w:val="22"/>
          <w:szCs w:val="22"/>
        </w:rPr>
        <w:t xml:space="preserve"> 15 km</w:t>
      </w:r>
      <w:r w:rsidR="00521B50" w:rsidRPr="007900BD">
        <w:rPr>
          <w:rFonts w:ascii="Arial" w:hAnsi="Arial" w:cs="Arial"/>
          <w:bCs/>
          <w:color w:val="000000" w:themeColor="text1"/>
          <w:kern w:val="32"/>
          <w:sz w:val="22"/>
          <w:szCs w:val="22"/>
        </w:rPr>
        <w:t>o</w:t>
      </w:r>
      <w:r w:rsidR="00196A2C" w:rsidRPr="007900BD">
        <w:rPr>
          <w:rFonts w:ascii="Arial" w:hAnsi="Arial" w:cs="Arial"/>
          <w:bCs/>
          <w:color w:val="000000" w:themeColor="text1"/>
          <w:kern w:val="32"/>
          <w:sz w:val="22"/>
          <w:szCs w:val="22"/>
        </w:rPr>
        <w:t>l s</w:t>
      </w:r>
      <w:r w:rsidR="00196A2C" w:rsidRPr="007900BD">
        <w:rPr>
          <w:rFonts w:ascii="Arial" w:hAnsi="Arial" w:cs="Arial"/>
          <w:bCs/>
          <w:color w:val="000000" w:themeColor="text1"/>
          <w:kern w:val="32"/>
          <w:sz w:val="22"/>
          <w:szCs w:val="22"/>
          <w:vertAlign w:val="superscript"/>
        </w:rPr>
        <w:t>-1</w:t>
      </w:r>
      <w:r w:rsidR="00196A2C" w:rsidRPr="007900BD">
        <w:rPr>
          <w:rFonts w:ascii="Arial" w:hAnsi="Arial" w:cs="Arial"/>
          <w:bCs/>
          <w:color w:val="000000" w:themeColor="text1"/>
          <w:kern w:val="32"/>
          <w:sz w:val="22"/>
          <w:szCs w:val="22"/>
        </w:rPr>
        <w:t xml:space="preserve">, </w:t>
      </w:r>
      <w:r w:rsidR="00D67327" w:rsidRPr="007900BD">
        <w:rPr>
          <w:rFonts w:ascii="Arial" w:hAnsi="Arial" w:cs="Arial"/>
          <w:bCs/>
          <w:color w:val="000000" w:themeColor="text1"/>
          <w:kern w:val="32"/>
          <w:sz w:val="22"/>
          <w:szCs w:val="22"/>
        </w:rPr>
        <w:t xml:space="preserve">yet </w:t>
      </w:r>
      <w:r w:rsidR="00521B50" w:rsidRPr="007900BD">
        <w:rPr>
          <w:rFonts w:ascii="Arial" w:hAnsi="Arial" w:cs="Arial"/>
          <w:bCs/>
          <w:color w:val="000000" w:themeColor="text1"/>
          <w:kern w:val="32"/>
          <w:sz w:val="22"/>
          <w:szCs w:val="22"/>
        </w:rPr>
        <w:t>consistent with</w:t>
      </w:r>
      <w:r w:rsidR="00196A2C" w:rsidRPr="007900BD">
        <w:rPr>
          <w:rFonts w:ascii="Arial" w:hAnsi="Arial" w:cs="Arial"/>
          <w:bCs/>
          <w:color w:val="000000" w:themeColor="text1"/>
          <w:kern w:val="32"/>
          <w:sz w:val="22"/>
          <w:szCs w:val="22"/>
        </w:rPr>
        <w:t xml:space="preserve"> </w:t>
      </w:r>
      <w:r w:rsidR="00521B50" w:rsidRPr="007900BD">
        <w:rPr>
          <w:rFonts w:ascii="Arial" w:hAnsi="Arial" w:cs="Arial"/>
          <w:bCs/>
          <w:color w:val="000000" w:themeColor="text1"/>
          <w:kern w:val="32"/>
          <w:sz w:val="22"/>
          <w:szCs w:val="22"/>
        </w:rPr>
        <w:t>the above (</w:t>
      </w:r>
      <w:r w:rsidR="00196A2C" w:rsidRPr="007900BD">
        <w:rPr>
          <w:rFonts w:ascii="Arial" w:hAnsi="Arial" w:cs="Arial"/>
          <w:bCs/>
          <w:color w:val="000000" w:themeColor="text1"/>
          <w:kern w:val="32"/>
          <w:sz w:val="22"/>
          <w:szCs w:val="22"/>
        </w:rPr>
        <w:t>20 ± 9 kmol s</w:t>
      </w:r>
      <w:r w:rsidR="00196A2C" w:rsidRPr="007900BD">
        <w:rPr>
          <w:rFonts w:ascii="Arial" w:hAnsi="Arial" w:cs="Arial"/>
          <w:bCs/>
          <w:color w:val="000000" w:themeColor="text1"/>
          <w:kern w:val="32"/>
          <w:sz w:val="22"/>
          <w:szCs w:val="22"/>
          <w:vertAlign w:val="superscript"/>
        </w:rPr>
        <w:t>-1</w:t>
      </w:r>
      <w:r w:rsidR="00521B50" w:rsidRPr="007900BD">
        <w:rPr>
          <w:rFonts w:ascii="Arial" w:hAnsi="Arial" w:cs="Arial"/>
          <w:bCs/>
          <w:color w:val="000000" w:themeColor="text1"/>
          <w:kern w:val="32"/>
          <w:sz w:val="22"/>
          <w:szCs w:val="22"/>
        </w:rPr>
        <w:t>)</w:t>
      </w:r>
      <w:r w:rsidR="00196A2C" w:rsidRPr="007900BD">
        <w:rPr>
          <w:rFonts w:ascii="Arial" w:hAnsi="Arial" w:cs="Arial"/>
          <w:bCs/>
          <w:color w:val="000000" w:themeColor="text1"/>
          <w:kern w:val="32"/>
          <w:sz w:val="22"/>
          <w:szCs w:val="22"/>
        </w:rPr>
        <w:t xml:space="preserve">. </w:t>
      </w:r>
      <w:r w:rsidRPr="007900BD">
        <w:rPr>
          <w:rFonts w:ascii="Arial" w:hAnsi="Arial" w:cs="Arial"/>
          <w:bCs/>
          <w:color w:val="000000" w:themeColor="text1"/>
          <w:kern w:val="32"/>
          <w:sz w:val="22"/>
          <w:szCs w:val="22"/>
        </w:rPr>
        <w:fldChar w:fldCharType="begin"/>
      </w:r>
      <w:r w:rsidR="00387A35" w:rsidRPr="007900BD">
        <w:rPr>
          <w:rFonts w:ascii="Arial" w:hAnsi="Arial" w:cs="Arial"/>
          <w:bCs/>
          <w:color w:val="000000" w:themeColor="text1"/>
          <w:kern w:val="32"/>
          <w:sz w:val="22"/>
          <w:szCs w:val="22"/>
        </w:rPr>
        <w:instrText xml:space="preserve"> ADDIN ZOTERO_ITEM CSL_CITATION {"citationID":"8UZdB3FK","properties":{"formattedCitation":"(Hawkings et al., 2017)","plainCitation":"(Hawkings et al., 2017)","dontUpdate":true,"noteIndex":0},"citationItems":[{"id":658,"uris":["http://zotero.org/users/951135/items/BTD4GSCU"],"uri":["http://zotero.org/users/951135/items/BTD4GSCU"],"itemData":{"id":658,"type":"article-journal","abstract":"Ice sheets play a more important role in the global silicon cycle than previously appreciated. Input of dissolved and amorphous particulate silica into natural waters stimulates the growth of diatoms. Here we measure dissolved and amorphous silica in Greenland Ice Sheet meltwaters and icebergs, demonstrating the potential for high ice sheet export. Our dissolved and amorphous silica flux is 0.20 (0.06–0.79) Tmol year−1,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 xml:space="preserve">50% of the input from Arctic rivers. Amorphous silica comprises &gt;95% of this flux and is highly soluble in sea water, as indicated by a significant increase in dissolved silica across a fjord salinity gradient. Retreating palaeo ice sheets were therefore likely responsible for high dissolved and amorphous silica fluxes into the ocean during the last deglaciation, reaching values of </w:instrText>
      </w:r>
      <w:r w:rsidR="00387A35" w:rsidRPr="007900BD">
        <w:rPr>
          <w:rFonts w:ascii="Cambria Math" w:hAnsi="Cambria Math" w:cs="Cambria Math"/>
          <w:bCs/>
          <w:color w:val="000000" w:themeColor="text1"/>
          <w:kern w:val="32"/>
          <w:sz w:val="22"/>
          <w:szCs w:val="22"/>
        </w:rPr>
        <w:instrText>∼</w:instrText>
      </w:r>
      <w:r w:rsidR="00387A35" w:rsidRPr="007900BD">
        <w:rPr>
          <w:rFonts w:ascii="Arial" w:hAnsi="Arial" w:cs="Arial"/>
          <w:bCs/>
          <w:color w:val="000000" w:themeColor="text1"/>
          <w:kern w:val="32"/>
          <w:sz w:val="22"/>
          <w:szCs w:val="22"/>
        </w:rPr>
        <w:instrText xml:space="preserve">5.5 Tmol year−1, similar to the estimated export from palaeo rivers. These elevated silica fluxes may explain high diatom productivity observed during the last glacial–interglacial period.","container-title":"Nature Communications","DOI":"10.1038/ncomms14198","ISSN":"2041-1723","language":"en","page":"14198","source":"www.nature.com","title":"Ice sheets as a missing source of silica to the polar oceans","volume":"8","author":[{"family":"Hawkings","given":"Jon R."},{"family":"Wadham","given":"Jemma L."},{"family":"Benning","given":"Liane G."},{"family":"Hendry","given":"Katharine R."},{"family":"Tranter","given":"Martyn"},{"family":"Tedstone","given":"Andrew"},{"family":"Nienow","given":"Peter"},{"family":"Raiswell","given":"Rob"}],"issued":{"date-parts":[["2017",1,25]]}}}],"schema":"https://github.com/citation-style-language/schema/raw/master/csl-citation.json"} </w:instrText>
      </w:r>
      <w:r w:rsidRPr="007900BD">
        <w:rPr>
          <w:rFonts w:ascii="Arial" w:hAnsi="Arial" w:cs="Arial"/>
          <w:bCs/>
          <w:color w:val="000000" w:themeColor="text1"/>
          <w:kern w:val="32"/>
          <w:sz w:val="22"/>
          <w:szCs w:val="22"/>
        </w:rPr>
        <w:fldChar w:fldCharType="separate"/>
      </w:r>
      <w:r w:rsidRPr="007900BD">
        <w:rPr>
          <w:rFonts w:ascii="Arial" w:hAnsi="Arial" w:cs="Arial"/>
          <w:bCs/>
          <w:noProof/>
          <w:color w:val="000000" w:themeColor="text1"/>
          <w:kern w:val="32"/>
          <w:sz w:val="22"/>
          <w:szCs w:val="22"/>
        </w:rPr>
        <w:t>Hawkings et al. (2017)</w:t>
      </w:r>
      <w:r w:rsidRPr="007900BD">
        <w:rPr>
          <w:rFonts w:ascii="Arial" w:hAnsi="Arial" w:cs="Arial"/>
          <w:bCs/>
          <w:color w:val="000000" w:themeColor="text1"/>
          <w:kern w:val="32"/>
          <w:sz w:val="22"/>
          <w:szCs w:val="22"/>
        </w:rPr>
        <w:fldChar w:fldCharType="end"/>
      </w:r>
      <w:r w:rsidRPr="007900BD">
        <w:rPr>
          <w:rFonts w:ascii="Arial" w:hAnsi="Arial" w:cs="Arial"/>
          <w:bCs/>
          <w:color w:val="000000" w:themeColor="text1"/>
          <w:kern w:val="32"/>
          <w:sz w:val="22"/>
          <w:szCs w:val="22"/>
        </w:rPr>
        <w:t xml:space="preserve"> recently pointed out to the Greenland ice-sheet melting as a missing source of silica to the subpolar ocean. They provided a silicate input estimate of about 0.2 Tmol y</w:t>
      </w:r>
      <w:r w:rsidRPr="007900BD">
        <w:rPr>
          <w:rFonts w:ascii="Arial" w:hAnsi="Arial" w:cs="Arial"/>
          <w:bCs/>
          <w:color w:val="000000" w:themeColor="text1"/>
          <w:kern w:val="32"/>
          <w:sz w:val="22"/>
          <w:szCs w:val="22"/>
          <w:vertAlign w:val="superscript"/>
        </w:rPr>
        <w:t>-1</w:t>
      </w:r>
      <w:r w:rsidRPr="007900BD">
        <w:rPr>
          <w:rFonts w:ascii="Arial" w:hAnsi="Arial" w:cs="Arial"/>
          <w:bCs/>
          <w:color w:val="000000" w:themeColor="text1"/>
          <w:kern w:val="32"/>
          <w:sz w:val="22"/>
          <w:szCs w:val="22"/>
        </w:rPr>
        <w:t xml:space="preserve"> (i.e., 6.3 ± 6.3 kmol s</w:t>
      </w:r>
      <w:r w:rsidRPr="007900BD">
        <w:rPr>
          <w:rFonts w:ascii="Arial" w:hAnsi="Arial" w:cs="Arial"/>
          <w:bCs/>
          <w:color w:val="000000" w:themeColor="text1"/>
          <w:kern w:val="32"/>
          <w:sz w:val="22"/>
          <w:szCs w:val="22"/>
          <w:vertAlign w:val="superscript"/>
        </w:rPr>
        <w:t>-1</w:t>
      </w:r>
      <w:r w:rsidRPr="007900BD">
        <w:rPr>
          <w:rFonts w:ascii="Arial" w:hAnsi="Arial" w:cs="Arial"/>
          <w:bCs/>
          <w:color w:val="000000" w:themeColor="text1"/>
          <w:kern w:val="32"/>
          <w:sz w:val="22"/>
          <w:szCs w:val="22"/>
        </w:rPr>
        <w:t xml:space="preserve">), which </w:t>
      </w:r>
      <w:r w:rsidR="00E16462" w:rsidRPr="007900BD">
        <w:rPr>
          <w:rFonts w:ascii="Arial" w:hAnsi="Arial" w:cs="Arial"/>
          <w:bCs/>
          <w:color w:val="000000" w:themeColor="text1"/>
          <w:kern w:val="32"/>
          <w:sz w:val="22"/>
          <w:szCs w:val="22"/>
        </w:rPr>
        <w:t xml:space="preserve">we </w:t>
      </w:r>
      <w:r w:rsidRPr="007900BD">
        <w:rPr>
          <w:rFonts w:ascii="Arial" w:hAnsi="Arial" w:cs="Arial"/>
          <w:bCs/>
          <w:color w:val="000000" w:themeColor="text1"/>
          <w:kern w:val="32"/>
          <w:sz w:val="22"/>
          <w:szCs w:val="22"/>
        </w:rPr>
        <w:t xml:space="preserve">summed </w:t>
      </w:r>
      <w:r w:rsidR="004851A5" w:rsidRPr="007900BD">
        <w:rPr>
          <w:rFonts w:ascii="Arial" w:hAnsi="Arial" w:cs="Arial"/>
          <w:bCs/>
          <w:color w:val="000000" w:themeColor="text1"/>
          <w:kern w:val="32"/>
          <w:sz w:val="22"/>
          <w:szCs w:val="22"/>
        </w:rPr>
        <w:t>with</w:t>
      </w:r>
      <w:r w:rsidRPr="007900BD">
        <w:rPr>
          <w:rFonts w:ascii="Arial" w:hAnsi="Arial" w:cs="Arial"/>
          <w:bCs/>
          <w:color w:val="000000" w:themeColor="text1"/>
          <w:kern w:val="32"/>
          <w:sz w:val="22"/>
          <w:szCs w:val="22"/>
        </w:rPr>
        <w:t xml:space="preserve"> the river runoff</w:t>
      </w:r>
      <w:r w:rsidR="00E16462" w:rsidRPr="007900BD">
        <w:rPr>
          <w:rFonts w:ascii="Arial" w:hAnsi="Arial" w:cs="Arial"/>
          <w:bCs/>
          <w:color w:val="000000" w:themeColor="text1"/>
          <w:kern w:val="32"/>
          <w:sz w:val="22"/>
          <w:szCs w:val="22"/>
        </w:rPr>
        <w:t xml:space="preserve"> (Table S2)</w:t>
      </w:r>
      <w:r w:rsidRPr="007900BD">
        <w:rPr>
          <w:rFonts w:ascii="Arial" w:hAnsi="Arial" w:cs="Arial"/>
          <w:bCs/>
          <w:color w:val="000000" w:themeColor="text1"/>
          <w:kern w:val="32"/>
          <w:sz w:val="22"/>
          <w:szCs w:val="22"/>
        </w:rPr>
        <w:t>.</w:t>
      </w:r>
    </w:p>
    <w:p w14:paraId="4839CCD1" w14:textId="79D2213E" w:rsidR="005D6DDD" w:rsidRPr="004E2840" w:rsidRDefault="005D6DDD" w:rsidP="00CA6BFC">
      <w:pPr>
        <w:pStyle w:val="Heading2"/>
        <w:spacing w:before="120" w:after="120" w:line="360" w:lineRule="auto"/>
        <w:rPr>
          <w:rFonts w:ascii="Arial" w:hAnsi="Arial" w:cs="Arial"/>
          <w:b/>
          <w:color w:val="000000" w:themeColor="text1"/>
          <w:kern w:val="32"/>
          <w:sz w:val="22"/>
          <w:szCs w:val="22"/>
        </w:rPr>
      </w:pPr>
      <w:r w:rsidRPr="004E2840">
        <w:rPr>
          <w:rFonts w:ascii="Arial" w:hAnsi="Arial" w:cs="Arial"/>
          <w:b/>
          <w:color w:val="000000" w:themeColor="text1"/>
          <w:kern w:val="32"/>
          <w:sz w:val="22"/>
          <w:szCs w:val="22"/>
        </w:rPr>
        <w:t>S1.3 Nutrient fluxes at Davis and Gibraltar Straits: F</w:t>
      </w:r>
      <w:r w:rsidRPr="004E2840">
        <w:rPr>
          <w:rFonts w:ascii="Arial" w:hAnsi="Arial" w:cs="Arial"/>
          <w:b/>
          <w:color w:val="000000" w:themeColor="text1"/>
          <w:kern w:val="32"/>
          <w:sz w:val="22"/>
          <w:szCs w:val="22"/>
          <w:vertAlign w:val="subscript"/>
        </w:rPr>
        <w:t>N</w:t>
      </w:r>
      <w:r w:rsidRPr="004E2840">
        <w:rPr>
          <w:rFonts w:ascii="Arial" w:hAnsi="Arial" w:cs="Arial"/>
          <w:b/>
          <w:color w:val="000000" w:themeColor="text1"/>
          <w:kern w:val="32"/>
          <w:sz w:val="22"/>
          <w:szCs w:val="22"/>
          <w:vertAlign w:val="superscript"/>
        </w:rPr>
        <w:t>davis</w:t>
      </w:r>
      <w:r w:rsidRPr="004E2840">
        <w:rPr>
          <w:rFonts w:ascii="Arial" w:hAnsi="Arial" w:cs="Arial"/>
          <w:b/>
          <w:color w:val="000000" w:themeColor="text1"/>
          <w:kern w:val="32"/>
          <w:sz w:val="22"/>
          <w:szCs w:val="22"/>
        </w:rPr>
        <w:t xml:space="preserve"> and</w:t>
      </w:r>
      <w:r w:rsidRPr="004E2840">
        <w:rPr>
          <w:rFonts w:ascii="Arial" w:hAnsi="Arial" w:cs="Arial"/>
          <w:b/>
          <w:color w:val="000000" w:themeColor="text1"/>
          <w:kern w:val="32"/>
          <w:sz w:val="22"/>
          <w:szCs w:val="22"/>
          <w:vertAlign w:val="superscript"/>
        </w:rPr>
        <w:t xml:space="preserve"> </w:t>
      </w:r>
      <w:r w:rsidRPr="004E2840">
        <w:rPr>
          <w:rFonts w:ascii="Arial" w:hAnsi="Arial" w:cs="Arial"/>
          <w:b/>
          <w:color w:val="000000" w:themeColor="text1"/>
          <w:kern w:val="32"/>
          <w:sz w:val="22"/>
          <w:szCs w:val="22"/>
        </w:rPr>
        <w:t>F</w:t>
      </w:r>
      <w:r w:rsidRPr="004E2840">
        <w:rPr>
          <w:rFonts w:ascii="Arial" w:hAnsi="Arial" w:cs="Arial"/>
          <w:b/>
          <w:color w:val="000000" w:themeColor="text1"/>
          <w:kern w:val="32"/>
          <w:sz w:val="22"/>
          <w:szCs w:val="22"/>
          <w:vertAlign w:val="subscript"/>
        </w:rPr>
        <w:t>N</w:t>
      </w:r>
      <w:r w:rsidRPr="004E2840">
        <w:rPr>
          <w:rFonts w:ascii="Arial" w:hAnsi="Arial" w:cs="Arial"/>
          <w:b/>
          <w:color w:val="000000" w:themeColor="text1"/>
          <w:kern w:val="32"/>
          <w:sz w:val="22"/>
          <w:szCs w:val="22"/>
          <w:vertAlign w:val="superscript"/>
        </w:rPr>
        <w:t>gibraltar</w:t>
      </w:r>
    </w:p>
    <w:p w14:paraId="6C7341B1" w14:textId="77777777" w:rsidR="005D6DDD" w:rsidRPr="007D4CA3" w:rsidRDefault="005D6DDD" w:rsidP="00CA6BFC">
      <w:pPr>
        <w:spacing w:before="120" w:after="120" w:line="360" w:lineRule="auto"/>
        <w:jc w:val="both"/>
        <w:rPr>
          <w:rFonts w:ascii="Arial" w:hAnsi="Arial" w:cs="Arial"/>
          <w:bCs/>
          <w:color w:val="000000" w:themeColor="text1"/>
          <w:kern w:val="32"/>
          <w:sz w:val="22"/>
          <w:szCs w:val="22"/>
        </w:rPr>
      </w:pPr>
      <w:r w:rsidRPr="007D4CA3">
        <w:rPr>
          <w:rFonts w:ascii="Arial" w:hAnsi="Arial" w:cs="Arial"/>
          <w:bCs/>
          <w:color w:val="000000" w:themeColor="text1"/>
          <w:kern w:val="32"/>
          <w:sz w:val="22"/>
          <w:szCs w:val="22"/>
        </w:rPr>
        <w:t xml:space="preserve">The NA-box, as defined in the present study, is an enclosed region but for the Davis and Gibraltar Straits (Figure 1). Note the Hudson Strait was not taken as an open boundary, but its contribution was included instead in the river runoff term. </w:t>
      </w:r>
    </w:p>
    <w:p w14:paraId="1CAC265A" w14:textId="63BFB827" w:rsidR="005D6DDD" w:rsidRPr="007D4CA3" w:rsidRDefault="005D6DDD" w:rsidP="00CA6BFC">
      <w:pPr>
        <w:autoSpaceDE w:val="0"/>
        <w:autoSpaceDN w:val="0"/>
        <w:adjustRightInd w:val="0"/>
        <w:spacing w:before="120" w:after="120" w:line="360" w:lineRule="auto"/>
        <w:jc w:val="both"/>
        <w:rPr>
          <w:rFonts w:ascii="Arial" w:hAnsi="Arial" w:cs="Arial"/>
          <w:bCs/>
          <w:color w:val="000000" w:themeColor="text1"/>
          <w:kern w:val="32"/>
          <w:sz w:val="22"/>
          <w:szCs w:val="22"/>
          <w:lang w:val="en-US"/>
        </w:rPr>
      </w:pPr>
      <w:r w:rsidRPr="007D4CA3">
        <w:rPr>
          <w:rFonts w:ascii="Arial" w:hAnsi="Arial" w:cs="Arial"/>
          <w:bCs/>
          <w:color w:val="000000" w:themeColor="text1"/>
          <w:kern w:val="32"/>
          <w:sz w:val="22"/>
          <w:szCs w:val="22"/>
        </w:rPr>
        <w:t xml:space="preserve">The Davis Strait is the </w:t>
      </w:r>
      <w:r w:rsidRPr="007D4CA3">
        <w:rPr>
          <w:rFonts w:ascii="Arial" w:hAnsi="Arial" w:cs="Arial"/>
          <w:bCs/>
          <w:color w:val="000000" w:themeColor="text1"/>
          <w:kern w:val="32"/>
          <w:sz w:val="22"/>
          <w:szCs w:val="22"/>
          <w:lang w:val="en-US"/>
        </w:rPr>
        <w:t>main Arctic Ocean gateway</w:t>
      </w:r>
      <w:r w:rsidRPr="007D4CA3">
        <w:rPr>
          <w:rFonts w:ascii="Arial" w:hAnsi="Arial" w:cs="Arial"/>
          <w:bCs/>
          <w:color w:val="000000" w:themeColor="text1"/>
          <w:kern w:val="32"/>
          <w:sz w:val="22"/>
          <w:szCs w:val="22"/>
        </w:rPr>
        <w:t xml:space="preserve"> through which </w:t>
      </w:r>
      <w:r w:rsidRPr="007D4CA3">
        <w:rPr>
          <w:rFonts w:ascii="Arial" w:hAnsi="Arial" w:cs="Arial"/>
          <w:bCs/>
          <w:color w:val="000000" w:themeColor="text1"/>
          <w:kern w:val="32"/>
          <w:sz w:val="22"/>
          <w:szCs w:val="22"/>
          <w:lang w:val="en-US"/>
        </w:rPr>
        <w:t xml:space="preserve">the major export of nutrients to the North Atlantic </w:t>
      </w:r>
      <w:r w:rsidRPr="007D4CA3">
        <w:rPr>
          <w:rFonts w:ascii="Arial" w:hAnsi="Arial" w:cs="Arial"/>
          <w:bCs/>
          <w:color w:val="000000" w:themeColor="text1"/>
          <w:kern w:val="32"/>
          <w:sz w:val="22"/>
          <w:szCs w:val="22"/>
        </w:rPr>
        <w:t xml:space="preserve">takes place </w:t>
      </w:r>
      <w:r w:rsidRPr="007D4CA3">
        <w:rPr>
          <w:rFonts w:ascii="Arial" w:hAnsi="Arial" w:cs="Arial"/>
          <w:bCs/>
          <w:color w:val="000000" w:themeColor="text1"/>
          <w:kern w:val="32"/>
          <w:sz w:val="22"/>
          <w:szCs w:val="22"/>
        </w:rPr>
        <w:fldChar w:fldCharType="begin"/>
      </w:r>
      <w:r w:rsidR="00387A35" w:rsidRPr="007D4CA3">
        <w:rPr>
          <w:rFonts w:ascii="Arial" w:hAnsi="Arial" w:cs="Arial"/>
          <w:bCs/>
          <w:color w:val="000000" w:themeColor="text1"/>
          <w:kern w:val="32"/>
          <w:sz w:val="22"/>
          <w:szCs w:val="22"/>
        </w:rPr>
        <w:instrText xml:space="preserve"> ADDIN ZOTERO_ITEM CSL_CITATION {"citationID":"q1571s7A","properties":{"formattedCitation":"(Torres-Vald\\uc0\\u233{}s et al., 2013)","plainCitation":"(Torres-Valdés et al., 2013)","noteIndex":0},"citationItems":[{"id":878,"uris":["http://zotero.org/users/951135/items/MNZF8WUK"],"uri":["http://zotero.org/users/951135/items/MNZF8WUK"],"itemData":{"id":878,"type":"article-journal","abstract":"This study provides the first physically based mass-balanced transport estimates of dissolved inorganic nutrients (nitrate, phosphate, and silicate) for the Arctic Ocean. Using an inverse model-generated velocity field in combination with a quasi-synoptic assemblage of hydrographic and hydrochemical data, we quantify nutrient transports across the main Arctic Ocean gateways: Davis Strait, Fram Strait, the Barents Sea Opening (BSO), and Bering Strait. We found that the major exports of all three nutrients occur via Davis Strait. Transports associated with the East Greenland Current are almost balanced by transports associated with the West Spitsbergen Current. The most important imports of nitrate and phosphate to the Arctic occur via the BSO, and the most important import of silicate occurs via Bering Strait. Oceanic budgets show that statistically robust net silicate and phosphate exports exist, while the net nitrate flux is zero, within the uncertainty limits. The Arctic Oce</w:instrText>
      </w:r>
      <w:r w:rsidR="00387A35" w:rsidRPr="007D4CA3">
        <w:rPr>
          <w:rFonts w:ascii="Arial" w:hAnsi="Arial" w:cs="Arial"/>
          <w:bCs/>
          <w:color w:val="000000" w:themeColor="text1"/>
          <w:kern w:val="32"/>
          <w:sz w:val="22"/>
          <w:szCs w:val="22"/>
          <w:lang w:val="fr-FR"/>
        </w:rPr>
        <w:instrText xml:space="preserve">an is a net exporter of silicate (−15.7 ± 3.2 kmol s−1) and phosphate (−1.0 ± 0.3 kmol s−1; net ± 1 standard error) to the North Atlantic. The export of excess phosphate (relative to nitrate) from the Arctic, calculated at −1.1 ± 0.3 kmol s−1, is almost twice as large as previously estimated. Net transports of silicate and phosphate from the Arctic Ocean provide 12% and 90%, respectively, of the net southward fluxes estimated at 47°N in the North Atlantic. Additional sources of nutrients that may offset nutrient imbalances are explored, and the relevance and the pathway of nutrient transports to the North Atlantic are discussed.","container-title":"Journal of Geophysical Research: Oceans","DOI":"10.1002/jgrc.20063","ISSN":"2169-9291","issue":"4","journalAbbreviation":"J. Geophys. Res. Oceans","language":"en","page":"1625-1644","source":"Wiley Online Library","title":"Export of nutrients from the Arctic Ocean","volume":"118","author":[{"family":"Torres-Valdés","given":"Sinhué"},{"family":"Tsubouchi","given":"Takamasa"},{"family":"Bacon","given":"Sheldon"},{"family":"Naveira-Garabato","given":"Alberto C."},{"family":"Sanders","given":"Richards"},{"family":"McLaughlin","given":"Fiona A."},{"family":"Petrie","given":"Brian"},{"family":"Kattner","given":"Gerhard"},{"family":"Azetsu-Scott","given":"Kumiko"},{"family":"Whitledge","given":"Terry E."}],"issued":{"date-parts":[["2013",4,1]]}}}],"schema":"https://github.com/citation-style-language/schema/raw/master/csl-citation.json"} </w:instrText>
      </w:r>
      <w:r w:rsidRPr="007D4CA3">
        <w:rPr>
          <w:rFonts w:ascii="Arial" w:hAnsi="Arial" w:cs="Arial"/>
          <w:bCs/>
          <w:color w:val="000000" w:themeColor="text1"/>
          <w:kern w:val="32"/>
          <w:sz w:val="22"/>
          <w:szCs w:val="22"/>
        </w:rPr>
        <w:fldChar w:fldCharType="separate"/>
      </w:r>
      <w:r w:rsidRPr="007D4CA3">
        <w:rPr>
          <w:rFonts w:ascii="Arial" w:hAnsi="Arial" w:cs="Arial"/>
          <w:color w:val="000000" w:themeColor="text1"/>
          <w:sz w:val="22"/>
          <w:lang w:val="fr-FR"/>
        </w:rPr>
        <w:t>(Torres-Valdés et al., 2013)</w:t>
      </w:r>
      <w:r w:rsidRPr="007D4CA3">
        <w:rPr>
          <w:rFonts w:ascii="Arial" w:hAnsi="Arial" w:cs="Arial"/>
          <w:bCs/>
          <w:color w:val="000000" w:themeColor="text1"/>
          <w:kern w:val="32"/>
          <w:sz w:val="22"/>
          <w:szCs w:val="22"/>
        </w:rPr>
        <w:fldChar w:fldCharType="end"/>
      </w:r>
      <w:r w:rsidRPr="007D4CA3">
        <w:rPr>
          <w:rFonts w:ascii="Arial" w:hAnsi="Arial" w:cs="Arial"/>
          <w:bCs/>
          <w:color w:val="000000" w:themeColor="text1"/>
          <w:kern w:val="32"/>
          <w:sz w:val="22"/>
          <w:szCs w:val="22"/>
          <w:lang w:val="fr-FR"/>
        </w:rPr>
        <w:t xml:space="preserve">. Nutrient transport estimates by Torres-Valdés et al. </w:t>
      </w:r>
      <w:r w:rsidRPr="007D4CA3">
        <w:rPr>
          <w:rFonts w:ascii="Arial" w:hAnsi="Arial" w:cs="Arial"/>
          <w:bCs/>
          <w:color w:val="000000" w:themeColor="text1"/>
          <w:kern w:val="32"/>
          <w:sz w:val="22"/>
          <w:szCs w:val="22"/>
        </w:rPr>
        <w:t xml:space="preserve">(2013) pointed to net </w:t>
      </w:r>
      <w:r w:rsidR="004822C2" w:rsidRPr="007D4CA3">
        <w:rPr>
          <w:rFonts w:ascii="Arial" w:hAnsi="Arial" w:cs="Arial"/>
          <w:bCs/>
          <w:color w:val="000000" w:themeColor="text1"/>
          <w:kern w:val="32"/>
          <w:sz w:val="22"/>
          <w:szCs w:val="22"/>
        </w:rPr>
        <w:t>nutrient</w:t>
      </w:r>
      <w:r w:rsidRPr="007D4CA3">
        <w:rPr>
          <w:rFonts w:ascii="Arial" w:hAnsi="Arial" w:cs="Arial"/>
          <w:bCs/>
          <w:color w:val="000000" w:themeColor="text1"/>
          <w:kern w:val="32"/>
          <w:sz w:val="22"/>
          <w:szCs w:val="22"/>
        </w:rPr>
        <w:t xml:space="preserve"> transport across the Davis Strait of 31.3 ± 3.6 kmol</w:t>
      </w:r>
      <w:r w:rsidR="004822C2" w:rsidRPr="007D4CA3">
        <w:rPr>
          <w:rFonts w:ascii="Arial" w:hAnsi="Arial" w:cs="Arial"/>
          <w:bCs/>
          <w:color w:val="000000" w:themeColor="text1"/>
          <w:kern w:val="32"/>
          <w:sz w:val="22"/>
          <w:szCs w:val="22"/>
        </w:rPr>
        <w:t>-N</w:t>
      </w:r>
      <w:r w:rsidRPr="007D4CA3">
        <w:rPr>
          <w:rFonts w:ascii="Arial" w:hAnsi="Arial" w:cs="Arial"/>
          <w:bCs/>
          <w:color w:val="000000" w:themeColor="text1"/>
          <w:kern w:val="32"/>
          <w:sz w:val="22"/>
          <w:szCs w:val="22"/>
        </w:rPr>
        <w:t xml:space="preserve"> s</w:t>
      </w:r>
      <w:r w:rsidRPr="007D4CA3">
        <w:rPr>
          <w:rFonts w:ascii="Arial" w:hAnsi="Arial" w:cs="Arial"/>
          <w:bCs/>
          <w:color w:val="000000" w:themeColor="text1"/>
          <w:kern w:val="32"/>
          <w:sz w:val="22"/>
          <w:szCs w:val="22"/>
          <w:vertAlign w:val="superscript"/>
        </w:rPr>
        <w:t>-1</w:t>
      </w:r>
      <w:r w:rsidRPr="007D4CA3">
        <w:rPr>
          <w:rFonts w:ascii="Arial" w:hAnsi="Arial" w:cs="Arial"/>
          <w:bCs/>
          <w:color w:val="000000" w:themeColor="text1"/>
          <w:kern w:val="32"/>
          <w:sz w:val="22"/>
          <w:szCs w:val="22"/>
        </w:rPr>
        <w:t>, 3.7 ± 0.4 kmol</w:t>
      </w:r>
      <w:r w:rsidR="004822C2" w:rsidRPr="007D4CA3">
        <w:rPr>
          <w:rFonts w:ascii="Arial" w:hAnsi="Arial" w:cs="Arial"/>
          <w:bCs/>
          <w:color w:val="000000" w:themeColor="text1"/>
          <w:kern w:val="32"/>
          <w:sz w:val="22"/>
          <w:szCs w:val="22"/>
        </w:rPr>
        <w:t>-P</w:t>
      </w:r>
      <w:r w:rsidRPr="007D4CA3">
        <w:rPr>
          <w:rFonts w:ascii="Arial" w:hAnsi="Arial" w:cs="Arial"/>
          <w:bCs/>
          <w:color w:val="000000" w:themeColor="text1"/>
          <w:kern w:val="32"/>
          <w:sz w:val="22"/>
          <w:szCs w:val="22"/>
        </w:rPr>
        <w:t xml:space="preserve"> s</w:t>
      </w:r>
      <w:r w:rsidRPr="007D4CA3">
        <w:rPr>
          <w:rFonts w:ascii="Arial" w:hAnsi="Arial" w:cs="Arial"/>
          <w:bCs/>
          <w:color w:val="000000" w:themeColor="text1"/>
          <w:kern w:val="32"/>
          <w:sz w:val="22"/>
          <w:szCs w:val="22"/>
          <w:vertAlign w:val="superscript"/>
        </w:rPr>
        <w:t>-1</w:t>
      </w:r>
      <w:r w:rsidRPr="007D4CA3">
        <w:rPr>
          <w:rFonts w:ascii="Arial" w:hAnsi="Arial" w:cs="Arial"/>
          <w:bCs/>
          <w:color w:val="000000" w:themeColor="text1"/>
          <w:kern w:val="32"/>
          <w:sz w:val="22"/>
          <w:szCs w:val="22"/>
        </w:rPr>
        <w:t>, and 42.9 ± 5.2 kmol</w:t>
      </w:r>
      <w:r w:rsidR="004822C2" w:rsidRPr="007D4CA3">
        <w:rPr>
          <w:rFonts w:ascii="Arial" w:hAnsi="Arial" w:cs="Arial"/>
          <w:bCs/>
          <w:color w:val="000000" w:themeColor="text1"/>
          <w:kern w:val="32"/>
          <w:sz w:val="22"/>
          <w:szCs w:val="22"/>
        </w:rPr>
        <w:t>-Si</w:t>
      </w:r>
      <w:r w:rsidRPr="007D4CA3">
        <w:rPr>
          <w:rFonts w:ascii="Arial" w:hAnsi="Arial" w:cs="Arial"/>
          <w:bCs/>
          <w:color w:val="000000" w:themeColor="text1"/>
          <w:kern w:val="32"/>
          <w:sz w:val="22"/>
          <w:szCs w:val="22"/>
        </w:rPr>
        <w:t xml:space="preserve"> s</w:t>
      </w:r>
      <w:r w:rsidRPr="007D4CA3">
        <w:rPr>
          <w:rFonts w:ascii="Arial" w:hAnsi="Arial" w:cs="Arial"/>
          <w:bCs/>
          <w:color w:val="000000" w:themeColor="text1"/>
          <w:kern w:val="32"/>
          <w:sz w:val="22"/>
          <w:szCs w:val="22"/>
          <w:vertAlign w:val="superscript"/>
        </w:rPr>
        <w:t>-1</w:t>
      </w:r>
      <w:r w:rsidR="004822C2" w:rsidRPr="007D4CA3">
        <w:rPr>
          <w:rFonts w:ascii="Arial" w:hAnsi="Arial" w:cs="Arial"/>
          <w:bCs/>
          <w:color w:val="000000" w:themeColor="text1"/>
          <w:kern w:val="32"/>
          <w:sz w:val="22"/>
          <w:szCs w:val="22"/>
        </w:rPr>
        <w:t xml:space="preserve">, </w:t>
      </w:r>
      <w:r w:rsidRPr="007D4CA3">
        <w:rPr>
          <w:rFonts w:ascii="Arial" w:hAnsi="Arial" w:cs="Arial"/>
          <w:bCs/>
          <w:color w:val="000000" w:themeColor="text1"/>
          <w:kern w:val="32"/>
          <w:sz w:val="22"/>
          <w:szCs w:val="22"/>
        </w:rPr>
        <w:t xml:space="preserve">corresponding to a net </w:t>
      </w:r>
      <w:r w:rsidR="00320FFA" w:rsidRPr="007D4CA3">
        <w:rPr>
          <w:rFonts w:ascii="Arial" w:hAnsi="Arial" w:cs="Arial"/>
          <w:bCs/>
          <w:color w:val="000000" w:themeColor="text1"/>
          <w:kern w:val="32"/>
          <w:sz w:val="22"/>
          <w:szCs w:val="22"/>
        </w:rPr>
        <w:t xml:space="preserve">volume </w:t>
      </w:r>
      <w:r w:rsidRPr="007D4CA3">
        <w:rPr>
          <w:rFonts w:ascii="Arial" w:hAnsi="Arial" w:cs="Arial"/>
          <w:bCs/>
          <w:color w:val="000000" w:themeColor="text1"/>
          <w:kern w:val="32"/>
          <w:sz w:val="22"/>
          <w:szCs w:val="22"/>
        </w:rPr>
        <w:t>transport towards the Atlantic of 3.1 ± 0.7 Sv (</w:t>
      </w:r>
      <w:r w:rsidRPr="007D4CA3">
        <w:rPr>
          <w:rFonts w:ascii="Arial" w:hAnsi="Arial" w:cs="Arial"/>
          <w:bCs/>
          <w:color w:val="000000" w:themeColor="text1"/>
          <w:kern w:val="32"/>
          <w:sz w:val="22"/>
          <w:szCs w:val="22"/>
        </w:rPr>
        <w:fldChar w:fldCharType="begin"/>
      </w:r>
      <w:r w:rsidR="00387A35" w:rsidRPr="007D4CA3">
        <w:rPr>
          <w:rFonts w:ascii="Arial" w:hAnsi="Arial" w:cs="Arial"/>
          <w:bCs/>
          <w:color w:val="000000" w:themeColor="text1"/>
          <w:kern w:val="32"/>
          <w:sz w:val="22"/>
          <w:szCs w:val="22"/>
        </w:rPr>
        <w:instrText xml:space="preserve"> ADDIN ZOTERO_ITEM CSL_CITATION {"citationID":"9g4tNmTg","properties":{"formattedCitation":"(Tsubouchi et al., 2012)","plainCitation":"(Tsubouchi et al., 2012)","dontUpdate":true,"noteIndex":0},"citationItems":[{"id":877,"uris":["http://zotero.org/users/951135/items/7XSQX2I8"],"uri":["http://zotero.org/users/951135/items/7XSQX2I8"],"itemData":{"id":877,"type":"article-journal","abstract":"The first quasi-synoptic estimates of Arctic Ocean and sea ice net fluxes of volume, heat and freshwater are calculated by application of an inverse model to data around the ocean boundary. Hydrographic measurements from four gateways to the Arctic (Bering, Davis, and Fram Straits and the Barents Sea Opening) completely enclose the ocean, and were made within the same 32-day period in summer 2005. The inverse model is formulated as a set of full-depth and density-layer-specific volume and salinity transport conservation equations, with conservation constraints also applied to temperature, but only in non-outcropping layers. The model includes representations of Fram Strait sea ice export and of interior Arctic Ocean diapycnal fluxes. The results show that in summer 2005 the transport-weighted mean properties are, for water entering the Arctic: potential temperature 4.49°C, salinity 34.50 and potential density (σ0) 27.34 kg m−3; and for water leaving the Arctic, including sea ice: 0.25°C, 33.81, and 27.13 kg m−3, respectively. The net effect of the Arctic in summer is to freshen and cool the inflows by 0.69 in salinity and 4.23°C, respectively, and to decrease density by 0.21 kg m−3. The volume transport into the Arctic of waters above </w:instrText>
      </w:r>
      <w:r w:rsidR="00387A35" w:rsidRPr="007D4CA3">
        <w:rPr>
          <w:rFonts w:ascii="Cambria Math" w:hAnsi="Cambria Math" w:cs="Cambria Math"/>
          <w:bCs/>
          <w:color w:val="000000" w:themeColor="text1"/>
          <w:kern w:val="32"/>
          <w:sz w:val="22"/>
          <w:szCs w:val="22"/>
        </w:rPr>
        <w:instrText>∼</w:instrText>
      </w:r>
      <w:r w:rsidR="00387A35" w:rsidRPr="007D4CA3">
        <w:rPr>
          <w:rFonts w:ascii="Arial" w:hAnsi="Arial" w:cs="Arial"/>
          <w:bCs/>
          <w:color w:val="000000" w:themeColor="text1"/>
          <w:kern w:val="32"/>
          <w:sz w:val="22"/>
          <w:szCs w:val="22"/>
        </w:rPr>
        <w:instrText xml:space="preserve">1000 m depth is 9.2 Sv (1 Sv = 106 m3 s−1), and the export (similarly) is 9.3 Sv. The net oceanic and sea ice freshwater flux is 187 ± 48 mSv. The net heat flux (including sea ice) is 189 ± 37 TW, representing loss from the ocean to the atmosphere.","container-title":"Journal of Geophysical Research: Oceans","DOI":"10.1029/2011JC007174","ISSN":"2156-2202","issue":"C1","journalAbbreviation":"J. Geophys. Res.","language":"en","page":"C01024","source":"Wiley Online Library","title":"The Arctic Ocean in summer: A quasi-synoptic inverse estimate of boundary fluxes and water mass transformation","title-short":"The Arctic Ocean in summer","volume":"117","author":[{"family":"Tsubouchi","given":"T."},{"family":"Bacon","given":"S."},{"family":"Naveira Garabato","given":"A. C."},{"family":"Aksenov","given":"Y."},{"family":"Laxon","given":"S. W."},{"family":"Fahrbach","given":"E."},{"family":"Beszczynska-Möller","given":"A."},{"family":"Hansen","given":"E."},{"family":"Lee","given":"C. M."},{"family":"Ingvaldsen","given":"R. B."}],"issued":{"date-parts":[["2012",1,1]]}}}],"schema":"https://github.com/citation-style-language/schema/raw/master/csl-citation.json"} </w:instrText>
      </w:r>
      <w:r w:rsidRPr="007D4CA3">
        <w:rPr>
          <w:rFonts w:ascii="Arial" w:hAnsi="Arial" w:cs="Arial"/>
          <w:bCs/>
          <w:color w:val="000000" w:themeColor="text1"/>
          <w:kern w:val="32"/>
          <w:sz w:val="22"/>
          <w:szCs w:val="22"/>
        </w:rPr>
        <w:fldChar w:fldCharType="separate"/>
      </w:r>
      <w:r w:rsidRPr="007D4CA3">
        <w:rPr>
          <w:rFonts w:ascii="Arial" w:hAnsi="Arial" w:cs="Arial"/>
          <w:bCs/>
          <w:noProof/>
          <w:color w:val="000000" w:themeColor="text1"/>
          <w:kern w:val="32"/>
          <w:sz w:val="22"/>
          <w:szCs w:val="22"/>
        </w:rPr>
        <w:t>Tsubouchi et al., 2012</w:t>
      </w:r>
      <w:r w:rsidRPr="007D4CA3">
        <w:rPr>
          <w:rFonts w:ascii="Arial" w:hAnsi="Arial" w:cs="Arial"/>
          <w:bCs/>
          <w:color w:val="000000" w:themeColor="text1"/>
          <w:kern w:val="32"/>
          <w:sz w:val="22"/>
          <w:szCs w:val="22"/>
        </w:rPr>
        <w:fldChar w:fldCharType="end"/>
      </w:r>
      <w:r w:rsidRPr="007D4CA3">
        <w:rPr>
          <w:rFonts w:ascii="Arial" w:hAnsi="Arial" w:cs="Arial"/>
          <w:bCs/>
          <w:color w:val="000000" w:themeColor="text1"/>
          <w:kern w:val="32"/>
          <w:sz w:val="22"/>
          <w:szCs w:val="22"/>
        </w:rPr>
        <w:t xml:space="preserve">). These estimates, however, were based on a quasi-synoptic cruise carried out in summer 2005. Hence, they are subject to the velocity field calculated for that specific cruise. </w:t>
      </w:r>
      <w:r w:rsidR="00851532" w:rsidRPr="007D4CA3">
        <w:rPr>
          <w:rFonts w:ascii="Arial" w:hAnsi="Arial" w:cs="Arial"/>
          <w:bCs/>
          <w:color w:val="000000" w:themeColor="text1"/>
          <w:kern w:val="32"/>
          <w:sz w:val="22"/>
          <w:szCs w:val="22"/>
        </w:rPr>
        <w:t>To</w:t>
      </w:r>
      <w:r w:rsidRPr="007D4CA3">
        <w:rPr>
          <w:rFonts w:ascii="Arial" w:hAnsi="Arial" w:cs="Arial"/>
          <w:bCs/>
          <w:color w:val="000000" w:themeColor="text1"/>
          <w:kern w:val="32"/>
          <w:sz w:val="22"/>
          <w:szCs w:val="22"/>
        </w:rPr>
        <w:t xml:space="preserve"> better constrain the nutrient flux across Davis Strait for the years 2004 and 2010, we recomputed the net nutrient transports by using the 2004 and 2010 volume transport estimates by </w:t>
      </w:r>
      <w:r w:rsidRPr="007D4CA3">
        <w:rPr>
          <w:rFonts w:ascii="Arial" w:hAnsi="Arial" w:cs="Arial"/>
          <w:bCs/>
          <w:color w:val="000000" w:themeColor="text1"/>
          <w:kern w:val="32"/>
          <w:sz w:val="22"/>
          <w:szCs w:val="22"/>
        </w:rPr>
        <w:fldChar w:fldCharType="begin"/>
      </w:r>
      <w:r w:rsidR="00387A35" w:rsidRPr="007D4CA3">
        <w:rPr>
          <w:rFonts w:ascii="Arial" w:hAnsi="Arial" w:cs="Arial"/>
          <w:bCs/>
          <w:color w:val="000000" w:themeColor="text1"/>
          <w:kern w:val="32"/>
          <w:sz w:val="22"/>
          <w:szCs w:val="22"/>
        </w:rPr>
        <w:instrText xml:space="preserve"> ADDIN ZOTERO_ITEM CSL_CITATION {"citationID":"YDWzrjn8","properties":{"formattedCitation":"(Curry et al., 2013)","plainCitation":"(Curry et al., 2013)","dontUpdate":true,"noteIndex":0},"citationItems":[{"id":876,"uris":["http://zotero.org/users/951135/items/N3MWV3ZU"],"uri":["http://zotero.org/users/951135/items/N3MWV3ZU"],"itemData":{"id":876,"type":"article-journal","abstract":"Davis Strait is a primary gateway for freshwater exchange between the Arctic and North Atlantic Oceans including freshwater contributions from west Greenland and Canadian Arctic Archipelago glacial melt. Data from six years (2004–10) of continuous measurements collected by a full-strait moored array and concurrent high-resolution Seaglider surveys are used to estimate volume and liquid freshwater transports through Davis Strait, with respective annual averages of −1.6 ± 0.5 Sverdrups (Sv; 1 Sv ≡ 106 m3 s−1) and −93 ± 6 mSv (negative sign indicates southward transport). Sea ice export contributes an additional −10 ± 1 mSv of freshwater transport, estimated using satellite ice area transport and moored upward-looking sonar ice thickness measurements. Interannual and annual variability of the net transports are large, with average annual volume and liquid freshwater transport standard deviations of 0.7 Sv and 17 mSv and with interannual standard deviations of 0.3 Sv and 15 mSv. Moreover, there are no clear trends in the net transports over the 6-yr period. However, salinity in the upper 250 m between Baffin Island and midstrait decreases starting in September 2009 and remains below average through August 2010, but appears to return to normal by the end of 2010. This freshening event, likely caused by changes in arctic freshwater storage, is not apparent in the liquid freshwater transport time series due to a reduction in southward volume transport in 2009–10. Reanalysis of Davis Strait mooring data from the period 1987–90, compared to the 2004–10 measurements, reveals less arctic outflow and warmer, more saline North Atlantic inflow during the most recent period.","container-title":"Journal of Physical Oceanography","DOI":"10.1175/JPO-D-13-0177.1","ISSN":"0022-3670","issue":"4","journalAbbreviation":"J. Phys. Oceanogr.","page":"1244-1266","source":"journals.ametsoc.org (Atypon)","title":"Multiyear Volume, Liquid Freshwater, and Sea Ice Transports through Davis Strait, 2004–10","volume":"44","author":[{"family":"Curry","given":"B."},{"family":"Lee","given":"C. M."},{"family":"Petrie","given":"B."},{"family":"Moritz","given":"R. E."},{"family":"Kwok","given":"R."}],"issued":{"date-parts":[["2013",12,18]]}}}],"schema":"https://github.com/citation-style-language/schema/raw/master/csl-citation.json"} </w:instrText>
      </w:r>
      <w:r w:rsidRPr="007D4CA3">
        <w:rPr>
          <w:rFonts w:ascii="Arial" w:hAnsi="Arial" w:cs="Arial"/>
          <w:bCs/>
          <w:color w:val="000000" w:themeColor="text1"/>
          <w:kern w:val="32"/>
          <w:sz w:val="22"/>
          <w:szCs w:val="22"/>
        </w:rPr>
        <w:fldChar w:fldCharType="separate"/>
      </w:r>
      <w:r w:rsidRPr="007D4CA3">
        <w:rPr>
          <w:rFonts w:ascii="Arial" w:hAnsi="Arial" w:cs="Arial"/>
          <w:bCs/>
          <w:color w:val="000000" w:themeColor="text1"/>
          <w:kern w:val="32"/>
          <w:sz w:val="22"/>
          <w:szCs w:val="22"/>
        </w:rPr>
        <w:t>Curry et al. (201</w:t>
      </w:r>
      <w:r w:rsidR="00CB1EBE">
        <w:rPr>
          <w:rFonts w:ascii="Arial" w:hAnsi="Arial" w:cs="Arial"/>
          <w:bCs/>
          <w:color w:val="000000" w:themeColor="text1"/>
          <w:kern w:val="32"/>
          <w:sz w:val="22"/>
          <w:szCs w:val="22"/>
        </w:rPr>
        <w:t>4</w:t>
      </w:r>
      <w:r w:rsidRPr="007D4CA3">
        <w:rPr>
          <w:rFonts w:ascii="Arial" w:hAnsi="Arial" w:cs="Arial"/>
          <w:bCs/>
          <w:color w:val="000000" w:themeColor="text1"/>
          <w:kern w:val="32"/>
          <w:sz w:val="22"/>
          <w:szCs w:val="22"/>
        </w:rPr>
        <w:t>)</w:t>
      </w:r>
      <w:r w:rsidRPr="007D4CA3">
        <w:rPr>
          <w:rFonts w:ascii="Arial" w:hAnsi="Arial" w:cs="Arial"/>
          <w:bCs/>
          <w:color w:val="000000" w:themeColor="text1"/>
          <w:kern w:val="32"/>
          <w:sz w:val="22"/>
          <w:szCs w:val="22"/>
        </w:rPr>
        <w:fldChar w:fldCharType="end"/>
      </w:r>
      <w:r w:rsidRPr="007D4CA3">
        <w:rPr>
          <w:rFonts w:ascii="Arial" w:hAnsi="Arial" w:cs="Arial"/>
          <w:bCs/>
          <w:color w:val="000000" w:themeColor="text1"/>
          <w:kern w:val="32"/>
          <w:sz w:val="22"/>
          <w:szCs w:val="22"/>
        </w:rPr>
        <w:t xml:space="preserve"> (</w:t>
      </w:r>
      <w:r w:rsidRPr="007D4CA3">
        <w:rPr>
          <w:rFonts w:ascii="Arial" w:hAnsi="Arial" w:cs="Arial"/>
          <w:bCs/>
          <w:color w:val="000000" w:themeColor="text1"/>
          <w:kern w:val="32"/>
          <w:sz w:val="22"/>
          <w:szCs w:val="22"/>
          <w:lang w:val="en-US"/>
        </w:rPr>
        <w:t>year-round moored-based measurements</w:t>
      </w:r>
      <w:r w:rsidRPr="007D4CA3">
        <w:rPr>
          <w:rFonts w:ascii="Arial" w:hAnsi="Arial" w:cs="Arial"/>
          <w:bCs/>
          <w:color w:val="000000" w:themeColor="text1"/>
          <w:kern w:val="32"/>
          <w:sz w:val="22"/>
          <w:szCs w:val="22"/>
        </w:rPr>
        <w:t xml:space="preserve">) coupled with the 2005 property fields by </w:t>
      </w:r>
      <w:r w:rsidRPr="007D4CA3">
        <w:rPr>
          <w:rFonts w:ascii="Arial" w:hAnsi="Arial" w:cs="Arial"/>
          <w:bCs/>
          <w:color w:val="000000" w:themeColor="text1"/>
          <w:kern w:val="32"/>
          <w:sz w:val="22"/>
          <w:szCs w:val="22"/>
        </w:rPr>
        <w:fldChar w:fldCharType="begin"/>
      </w:r>
      <w:r w:rsidR="00387A35" w:rsidRPr="007D4CA3">
        <w:rPr>
          <w:rFonts w:ascii="Arial" w:hAnsi="Arial" w:cs="Arial"/>
          <w:bCs/>
          <w:color w:val="000000" w:themeColor="text1"/>
          <w:kern w:val="32"/>
          <w:sz w:val="22"/>
          <w:szCs w:val="22"/>
        </w:rPr>
        <w:instrText xml:space="preserve"> ADDIN ZOTERO_ITEM CSL_CITATION {"citationID":"sdUSgHYi","properties":{"formattedCitation":"(Torres-Vald\\uc0\\u233{}s et al., 2013)","plainCitation":"(Torres-Valdés et al., 2013)","dontUpdate":true,"noteIndex":0},"citationItems":[{"id":878,"uris":["http://zotero.org/users/951135/items/MNZF8WUK"],"uri":["http://zotero.org/users/951135/items/MNZF8WUK"],"itemData":{"id":878,"type":"article-journal","abstract":"This study provides the first physically based mass-balanced transport estimates of dissolved inorganic nutrients (nitrate, phosphate, and silicate) for the Arctic Ocean. Using an inverse model-generated velocity field in combination with a quasi-synoptic assemblage of hydrographic and hydrochemical data, we quantify nutrient transports across the main Arctic Ocean gateways: Davis Strait, Fram Strait, the Barents Sea Opening (BSO), and Bering Strait. We found that the major exports of all three nutrients occur via Davis Strait. Transports associated with the East Greenland Current are almost balanced by transports associated with the West Spitsbergen Current. The most important imports of nitrate and phosphate to the Arctic occur via the BSO, and the most important import of silicate occurs via Bering Strait. Oceanic budgets show that statistically robust net silicate and phosphate exports exist, while the net nitrate flux is zero, within the uncertainty limits. The Arctic Ocean is a net exporter of silicate (−15.7 ± 3.2 kmol s−1) and phosphate (−1.0 ± 0.3 kmol s−1; net ± 1 standard error) to the North Atlantic. The export of excess phosphate (relative to nitrate) from the Arctic, calculated at −1.1 ± 0.3 kmol s−1, is almost twice as large as previously estimated. Net transports of silicate and phosphate from the Arctic Ocean provide 12% and 90%, respectively, of the net southward fluxes estimated at 47°N in the North Atlantic. Additional sources of nutrients that may offset nutrient imbalances are explored, and the relevance and the pathway of nutrient transports to the North Atlantic are discussed.","container-title":"Journal of Geophysical Research: Oceans","DOI":"10.1002/jgrc.20063","ISSN":"2169-9291","issue":"4","journalAbbreviation":"J. Geophys. Res. Oceans","language":"en","page":"1625-1644","source":"Wiley Online Library","title":"Export of nutrients from the Arctic Ocean","volume":"118","author":[{"family":"Torres-Valdés","given":"Sinhué"},{"family":"Tsubouchi","given":"Takamasa"},{"family":"Bacon","given":"Sheldon"},{"family":"Naveira-Garabato","given":"Alberto C."},{"family":"Sanders","given":"Richards"},{"family":"McLaughlin","given":"Fiona A."},{"family":"Petrie","given":"Brian"},{"family":"Kattner","given":"Gerhard"},{"family":"Azetsu-Scott","given":"Kumiko"},{"family":"Whitledge","given":"Terry E."}],"issued":{"date-parts":[["2013",4,1]]}}}],"schema":"https://github.com/citation-style-language/schema/raw/master/csl-citation.json"} </w:instrText>
      </w:r>
      <w:r w:rsidRPr="007D4CA3">
        <w:rPr>
          <w:rFonts w:ascii="Arial" w:hAnsi="Arial" w:cs="Arial"/>
          <w:bCs/>
          <w:color w:val="000000" w:themeColor="text1"/>
          <w:kern w:val="32"/>
          <w:sz w:val="22"/>
          <w:szCs w:val="22"/>
        </w:rPr>
        <w:fldChar w:fldCharType="separate"/>
      </w:r>
      <w:r w:rsidRPr="007D4CA3">
        <w:rPr>
          <w:rFonts w:ascii="Arial" w:hAnsi="Arial" w:cs="Arial"/>
          <w:bCs/>
          <w:color w:val="000000" w:themeColor="text1"/>
          <w:kern w:val="32"/>
          <w:sz w:val="22"/>
          <w:szCs w:val="22"/>
        </w:rPr>
        <w:t>Torres-Valdés et al. (2013</w:t>
      </w:r>
      <w:r w:rsidRPr="007D4CA3">
        <w:rPr>
          <w:rFonts w:ascii="Arial" w:hAnsi="Arial" w:cs="Arial"/>
          <w:bCs/>
          <w:color w:val="000000" w:themeColor="text1"/>
          <w:kern w:val="32"/>
          <w:sz w:val="22"/>
          <w:szCs w:val="22"/>
        </w:rPr>
        <w:fldChar w:fldCharType="end"/>
      </w:r>
      <w:r w:rsidRPr="007D4CA3">
        <w:rPr>
          <w:rFonts w:ascii="Arial" w:hAnsi="Arial" w:cs="Arial"/>
          <w:bCs/>
          <w:color w:val="000000" w:themeColor="text1"/>
          <w:kern w:val="32"/>
          <w:sz w:val="22"/>
          <w:szCs w:val="22"/>
        </w:rPr>
        <w:t xml:space="preserve">). We estimated the nutrient transport </w:t>
      </w:r>
      <w:r w:rsidR="00203DD4" w:rsidRPr="007D4CA3">
        <w:rPr>
          <w:rFonts w:ascii="Arial" w:hAnsi="Arial" w:cs="Arial"/>
          <w:bCs/>
          <w:color w:val="000000" w:themeColor="text1"/>
          <w:kern w:val="32"/>
          <w:sz w:val="22"/>
          <w:szCs w:val="22"/>
        </w:rPr>
        <w:t xml:space="preserve">in </w:t>
      </w:r>
      <w:r w:rsidRPr="007D4CA3">
        <w:rPr>
          <w:rFonts w:ascii="Arial" w:hAnsi="Arial" w:cs="Arial"/>
          <w:bCs/>
          <w:color w:val="000000" w:themeColor="text1"/>
          <w:kern w:val="32"/>
          <w:sz w:val="22"/>
          <w:szCs w:val="22"/>
        </w:rPr>
        <w:t xml:space="preserve">three vertical levels (upper, intermediate and deep; as in </w:t>
      </w:r>
      <w:r w:rsidRPr="007D4CA3">
        <w:rPr>
          <w:rFonts w:ascii="Arial" w:hAnsi="Arial" w:cs="Arial"/>
          <w:bCs/>
          <w:color w:val="000000" w:themeColor="text1"/>
          <w:kern w:val="32"/>
          <w:sz w:val="22"/>
          <w:szCs w:val="22"/>
        </w:rPr>
        <w:fldChar w:fldCharType="begin"/>
      </w:r>
      <w:r w:rsidR="00387A35" w:rsidRPr="007D4CA3">
        <w:rPr>
          <w:rFonts w:ascii="Arial" w:hAnsi="Arial" w:cs="Arial"/>
          <w:bCs/>
          <w:color w:val="000000" w:themeColor="text1"/>
          <w:kern w:val="32"/>
          <w:sz w:val="22"/>
          <w:szCs w:val="22"/>
        </w:rPr>
        <w:instrText xml:space="preserve"> ADDIN ZOTERO_ITEM CSL_CITATION {"citationID":"NApdQSnQ","properties":{"formattedCitation":"(Torres-Vald\\uc0\\u233{}s et al., 2013)","plainCitation":"(Torres-Valdés et al., 2013)","dontUpdate":true,"noteIndex":0},"citationItems":[{"id":878,"uris":["http://zotero.org/users/951135/items/MNZF8WUK"],"uri":["http://zotero.org/users/951135/items/MNZF8WUK"],"itemData":{"id":878,"type":"article-journal","abstract":"This study provides the first physically based mass-balanced transport estimates of dissolved inorganic nutrients (nitrate, phosphate, and silicate) for the Arctic Ocean. Using an inverse model-generated velocity field in combination with a quasi-synoptic assemblage of hydrographic and hydrochemical data, we quantify nutrient transports across the main Arctic Ocean gateways: Davis Strait, Fram Strait, the Barents Sea Opening (BSO), and Bering Strait. We found that the major exports of all three nutrients occur via Davis Strait. Transports associated with the East Greenland Current are almost balanced by transports associated with the West Spitsbergen Current. The most important imports of nitrate and phosphate to the Arctic occur via the BSO, and the most important import of silicate occurs via Bering Strait. Oceanic budgets show that statistically robust net silicate and phosphate exports exist, while the net nitrate flux is zero, within the uncertainty limits. The Arctic Ocean is a net exporter of silicate (−15.7 ± 3.2 kmol s−1) and phosphate (−1.0 ± 0.3 kmol s−1; net ± 1 standard error) to the North Atlantic. The export of excess phosphate (relative to nitrate) from the Arctic, calculated at −1.1 ± 0.3 kmol s−1, is almost twice as large as previously estimated. Net transports of silicate and phosphate from the Arctic Ocean provide 12% and 90%, respectively, of the net southward fluxes estimated at 47°N in the North Atlantic. Additional sources of nutrients that may offset nutrient imbalances are explored, and the relevance and the pathway of nutrient transports to the North Atlantic are discussed.","container-title":"Journal of Geophysical Research: Oceans","DOI":"10.1002/jgrc.20063","ISSN":"2169-9291","issue":"4","journalAbbreviation":"J. Geophys. Res. Oceans","language":"en","page":"1625-1644","source":"Wiley Online Library","title":"Export of nutrients from the Arctic Ocean","volume":"118","author":[{"family":"Torres-Valdés","given":"Sinhué"},{"family":"Tsubouchi","given":"Takamasa"},{"family":"Bacon","given":"Sheldon"},{"family":"Naveira-Garabato","given":"Alberto C."},{"family":"Sanders","given":"Richards"},{"family":"McLaughlin","given":"Fiona A."},{"family":"Petrie","given":"Brian"},{"family":"Kattner","given":"Gerhard"},{"family":"Azetsu-Scott","given":"Kumiko"},{"family":"Whitledge","given":"Terry E."}],"issued":{"date-parts":[["2013",4,1]]}}}],"schema":"https://github.com/citation-style-language/schema/raw/master/csl-citation.json"} </w:instrText>
      </w:r>
      <w:r w:rsidRPr="007D4CA3">
        <w:rPr>
          <w:rFonts w:ascii="Arial" w:hAnsi="Arial" w:cs="Arial"/>
          <w:bCs/>
          <w:color w:val="000000" w:themeColor="text1"/>
          <w:kern w:val="32"/>
          <w:sz w:val="22"/>
          <w:szCs w:val="22"/>
        </w:rPr>
        <w:fldChar w:fldCharType="separate"/>
      </w:r>
      <w:r w:rsidRPr="007D4CA3">
        <w:rPr>
          <w:rFonts w:ascii="Arial" w:hAnsi="Arial" w:cs="Arial"/>
          <w:bCs/>
          <w:color w:val="000000" w:themeColor="text1"/>
          <w:kern w:val="32"/>
          <w:sz w:val="22"/>
          <w:szCs w:val="22"/>
        </w:rPr>
        <w:t>Torres-Valdés et al., 2013</w:t>
      </w:r>
      <w:r w:rsidRPr="007D4CA3">
        <w:rPr>
          <w:rFonts w:ascii="Arial" w:hAnsi="Arial" w:cs="Arial"/>
          <w:bCs/>
          <w:color w:val="000000" w:themeColor="text1"/>
          <w:kern w:val="32"/>
          <w:sz w:val="22"/>
          <w:szCs w:val="22"/>
        </w:rPr>
        <w:fldChar w:fldCharType="end"/>
      </w:r>
      <w:r w:rsidRPr="007D4CA3">
        <w:rPr>
          <w:rFonts w:ascii="Arial" w:hAnsi="Arial" w:cs="Arial"/>
          <w:bCs/>
          <w:color w:val="000000" w:themeColor="text1"/>
          <w:kern w:val="32"/>
          <w:sz w:val="22"/>
          <w:szCs w:val="22"/>
        </w:rPr>
        <w:t xml:space="preserve">) as the product of the transport-weighted nutrients concentrations at each level multiplied by the </w:t>
      </w:r>
      <w:r w:rsidRPr="007D4CA3">
        <w:rPr>
          <w:rFonts w:ascii="Arial" w:hAnsi="Arial" w:cs="Arial"/>
          <w:bCs/>
          <w:color w:val="000000" w:themeColor="text1"/>
          <w:kern w:val="32"/>
          <w:sz w:val="22"/>
          <w:szCs w:val="22"/>
        </w:rPr>
        <w:fldChar w:fldCharType="begin"/>
      </w:r>
      <w:r w:rsidR="00387A35" w:rsidRPr="007D4CA3">
        <w:rPr>
          <w:rFonts w:ascii="Arial" w:hAnsi="Arial" w:cs="Arial"/>
          <w:bCs/>
          <w:color w:val="000000" w:themeColor="text1"/>
          <w:kern w:val="32"/>
          <w:sz w:val="22"/>
          <w:szCs w:val="22"/>
        </w:rPr>
        <w:instrText xml:space="preserve"> ADDIN ZOTERO_ITEM CSL_CITATION {"citationID":"fImMHZ1M","properties":{"formattedCitation":"(Curry et al., 2013)","plainCitation":"(Curry et al., 2013)","dontUpdate":true,"noteIndex":0},"citationItems":[{"id":876,"uris":["http://zotero.org/users/951135/items/N3MWV3ZU"],"uri":["http://zotero.org/users/951135/items/N3MWV3ZU"],"itemData":{"id":876,"type":"article-journal","abstract":"Davis Strait is a primary gateway for freshwater exchange between the Arctic and North Atlantic Oceans including freshwater contributions from west Greenland and Canadian Arctic Archipelago glacial melt. Data from six years (2004–10) of continuous measurements collected by a full-strait moored array and concurrent high-resolution Seaglider surveys are used to estimate volume and liquid freshwater transports through Davis Strait, with respective annual averages of −1.6 ± 0.5 Sverdrups (Sv; 1 Sv ≡ 106 m3 s−1) and −93 ± 6 mSv (negative sign indicates southward transport). Sea ice export contributes an additional −10 ± 1 mSv of freshwater transport, estimated using satellite ice area transport and moored upward-looking sonar ice thickness measurements. Interannual and annual variability of the net transports are large, with average annual volume and liquid freshwater transport standard deviations of 0.7 Sv and 17 mSv and with interannual standard deviations of 0.3 Sv and 15 mSv. Moreover, there are no clear trends in the net transports over the 6-yr period. However, salinity in the upper 250 m between Baffin Island and midstrait decreases starting in September 2009 and remains below average through August 2010, but appears to return to normal by the end of 2010. This freshening event, likely caused by changes in arctic freshwater storage, is not apparent in the liquid freshwater transport time series due to a reduction in southward volume transport in 2009–10. Reanalysis of Davis Strait mooring data from the period 1987–90, compared to the 2004–10 measurements, reveals less arctic outflow and warmer, more saline North Atlantic inflow during the most recent period.","container-title":"Journal of Physical Oceanography","DOI":"10.1175/JPO-D-13-0177.1","ISSN":"0022-3670","issue":"4","journalAbbreviation":"J. Phys. Oceanogr.","page":"1244-1266","source":"journals.ametsoc.org (Atypon)","title":"Multiyear Volume, Liquid Freshwater, and Sea Ice Transports through Davis Strait, 2004–10","volume":"44","author":[{"family":"Curry","given":"B."},{"family":"Lee","given":"C. M."},{"family":"Petrie","given":"B."},{"family":"Moritz","given":"R. E."},{"family":"Kwok","given":"R."}],"issued":{"date-parts":[["2013",12,18]]}}}],"schema":"https://github.com/citation-style-language/schema/raw/master/csl-citation.json"} </w:instrText>
      </w:r>
      <w:r w:rsidRPr="007D4CA3">
        <w:rPr>
          <w:rFonts w:ascii="Arial" w:hAnsi="Arial" w:cs="Arial"/>
          <w:bCs/>
          <w:color w:val="000000" w:themeColor="text1"/>
          <w:kern w:val="32"/>
          <w:sz w:val="22"/>
          <w:szCs w:val="22"/>
        </w:rPr>
        <w:fldChar w:fldCharType="separate"/>
      </w:r>
      <w:r w:rsidRPr="007D4CA3">
        <w:rPr>
          <w:rFonts w:ascii="Arial" w:hAnsi="Arial" w:cs="Arial"/>
          <w:bCs/>
          <w:color w:val="000000" w:themeColor="text1"/>
          <w:kern w:val="32"/>
          <w:sz w:val="22"/>
          <w:szCs w:val="22"/>
        </w:rPr>
        <w:t>Curry et al. (201</w:t>
      </w:r>
      <w:r w:rsidR="00CB1EBE">
        <w:rPr>
          <w:rFonts w:ascii="Arial" w:hAnsi="Arial" w:cs="Arial"/>
          <w:bCs/>
          <w:color w:val="000000" w:themeColor="text1"/>
          <w:kern w:val="32"/>
          <w:sz w:val="22"/>
          <w:szCs w:val="22"/>
        </w:rPr>
        <w:t>4</w:t>
      </w:r>
      <w:r w:rsidRPr="007D4CA3">
        <w:rPr>
          <w:rFonts w:ascii="Arial" w:hAnsi="Arial" w:cs="Arial"/>
          <w:bCs/>
          <w:color w:val="000000" w:themeColor="text1"/>
          <w:kern w:val="32"/>
          <w:sz w:val="22"/>
          <w:szCs w:val="22"/>
        </w:rPr>
        <w:t>)</w:t>
      </w:r>
      <w:r w:rsidRPr="007D4CA3">
        <w:rPr>
          <w:rFonts w:ascii="Arial" w:hAnsi="Arial" w:cs="Arial"/>
          <w:bCs/>
          <w:color w:val="000000" w:themeColor="text1"/>
          <w:kern w:val="32"/>
          <w:sz w:val="22"/>
          <w:szCs w:val="22"/>
        </w:rPr>
        <w:fldChar w:fldCharType="end"/>
      </w:r>
      <w:r w:rsidR="00F728C6" w:rsidRPr="007D4CA3">
        <w:rPr>
          <w:rFonts w:ascii="Arial" w:hAnsi="Arial" w:cs="Arial"/>
          <w:bCs/>
          <w:color w:val="000000" w:themeColor="text1"/>
          <w:kern w:val="32"/>
          <w:sz w:val="22"/>
          <w:szCs w:val="22"/>
        </w:rPr>
        <w:t xml:space="preserve"> transports.</w:t>
      </w:r>
      <w:r w:rsidR="004822C2" w:rsidRPr="007D4CA3">
        <w:rPr>
          <w:rFonts w:ascii="Arial" w:hAnsi="Arial" w:cs="Arial"/>
          <w:bCs/>
          <w:color w:val="000000" w:themeColor="text1"/>
          <w:kern w:val="32"/>
          <w:sz w:val="22"/>
          <w:szCs w:val="22"/>
        </w:rPr>
        <w:t xml:space="preserve"> </w:t>
      </w:r>
      <w:r w:rsidRPr="007D4CA3">
        <w:rPr>
          <w:rFonts w:ascii="Arial" w:hAnsi="Arial" w:cs="Arial"/>
          <w:bCs/>
          <w:color w:val="000000" w:themeColor="text1"/>
          <w:kern w:val="32"/>
          <w:sz w:val="22"/>
          <w:szCs w:val="22"/>
        </w:rPr>
        <w:t xml:space="preserve">The total nutrient flux </w:t>
      </w:r>
      <w:r w:rsidR="004822C2" w:rsidRPr="007D4CA3">
        <w:rPr>
          <w:rFonts w:ascii="Arial" w:hAnsi="Arial" w:cs="Arial"/>
          <w:bCs/>
          <w:color w:val="000000" w:themeColor="text1"/>
          <w:kern w:val="32"/>
          <w:sz w:val="22"/>
          <w:szCs w:val="22"/>
        </w:rPr>
        <w:t xml:space="preserve">is </w:t>
      </w:r>
      <w:r w:rsidRPr="007D4CA3">
        <w:rPr>
          <w:rFonts w:ascii="Arial" w:hAnsi="Arial" w:cs="Arial"/>
          <w:bCs/>
          <w:color w:val="000000" w:themeColor="text1"/>
          <w:kern w:val="32"/>
          <w:sz w:val="22"/>
          <w:szCs w:val="22"/>
        </w:rPr>
        <w:t xml:space="preserve">the sum </w:t>
      </w:r>
      <w:r w:rsidR="004822C2" w:rsidRPr="007D4CA3">
        <w:rPr>
          <w:rFonts w:ascii="Arial" w:hAnsi="Arial" w:cs="Arial"/>
          <w:bCs/>
          <w:color w:val="000000" w:themeColor="text1"/>
          <w:kern w:val="32"/>
          <w:sz w:val="22"/>
          <w:szCs w:val="22"/>
        </w:rPr>
        <w:t>of the</w:t>
      </w:r>
      <w:r w:rsidRPr="007D4CA3">
        <w:rPr>
          <w:rFonts w:ascii="Arial" w:hAnsi="Arial" w:cs="Arial"/>
          <w:bCs/>
          <w:color w:val="000000" w:themeColor="text1"/>
          <w:kern w:val="32"/>
          <w:sz w:val="22"/>
          <w:szCs w:val="22"/>
        </w:rPr>
        <w:t xml:space="preserve"> transport </w:t>
      </w:r>
      <w:r w:rsidR="004822C2" w:rsidRPr="007D4CA3">
        <w:rPr>
          <w:rFonts w:ascii="Arial" w:hAnsi="Arial" w:cs="Arial"/>
          <w:bCs/>
          <w:color w:val="000000" w:themeColor="text1"/>
          <w:kern w:val="32"/>
          <w:sz w:val="22"/>
          <w:szCs w:val="22"/>
        </w:rPr>
        <w:t>in the</w:t>
      </w:r>
      <w:r w:rsidRPr="007D4CA3">
        <w:rPr>
          <w:rFonts w:ascii="Arial" w:hAnsi="Arial" w:cs="Arial"/>
          <w:bCs/>
          <w:color w:val="000000" w:themeColor="text1"/>
          <w:kern w:val="32"/>
          <w:sz w:val="22"/>
          <w:szCs w:val="22"/>
        </w:rPr>
        <w:t xml:space="preserve"> three levels </w:t>
      </w:r>
      <w:r w:rsidR="00C3732D" w:rsidRPr="007D4CA3">
        <w:rPr>
          <w:rFonts w:ascii="Arial" w:hAnsi="Arial" w:cs="Arial"/>
          <w:bCs/>
          <w:color w:val="000000" w:themeColor="text1"/>
          <w:kern w:val="32"/>
          <w:sz w:val="22"/>
          <w:szCs w:val="22"/>
        </w:rPr>
        <w:t>(Table S</w:t>
      </w:r>
      <w:r w:rsidR="00F77FA8">
        <w:rPr>
          <w:rFonts w:ascii="Arial" w:hAnsi="Arial" w:cs="Arial"/>
          <w:bCs/>
          <w:color w:val="000000" w:themeColor="text1"/>
          <w:kern w:val="32"/>
          <w:sz w:val="22"/>
          <w:szCs w:val="22"/>
        </w:rPr>
        <w:t>4</w:t>
      </w:r>
      <w:r w:rsidR="00C3732D" w:rsidRPr="007D4CA3">
        <w:rPr>
          <w:rFonts w:ascii="Arial" w:hAnsi="Arial" w:cs="Arial"/>
          <w:bCs/>
          <w:color w:val="000000" w:themeColor="text1"/>
          <w:kern w:val="32"/>
          <w:sz w:val="22"/>
          <w:szCs w:val="22"/>
        </w:rPr>
        <w:t>a).</w:t>
      </w:r>
      <w:r w:rsidRPr="007D4CA3">
        <w:rPr>
          <w:rFonts w:ascii="Arial" w:hAnsi="Arial" w:cs="Arial"/>
          <w:bCs/>
          <w:color w:val="000000" w:themeColor="text1"/>
          <w:kern w:val="32"/>
          <w:sz w:val="22"/>
          <w:szCs w:val="22"/>
        </w:rPr>
        <w:t xml:space="preserve"> </w:t>
      </w:r>
    </w:p>
    <w:p w14:paraId="4C24308D" w14:textId="76CB8559" w:rsidR="00EF1AE7" w:rsidRPr="005E4264" w:rsidRDefault="00EF1AE7" w:rsidP="00985B74">
      <w:pPr>
        <w:autoSpaceDE w:val="0"/>
        <w:autoSpaceDN w:val="0"/>
        <w:adjustRightInd w:val="0"/>
        <w:spacing w:before="120" w:after="120" w:line="360" w:lineRule="auto"/>
        <w:jc w:val="both"/>
        <w:rPr>
          <w:rFonts w:ascii="Arial" w:eastAsia="Cambria" w:hAnsi="Arial" w:cs="Arial"/>
          <w:color w:val="000000" w:themeColor="text1"/>
          <w:sz w:val="22"/>
          <w:szCs w:val="22"/>
        </w:rPr>
      </w:pPr>
      <w:r w:rsidRPr="007D4CA3">
        <w:rPr>
          <w:rFonts w:ascii="Arial" w:eastAsia="Cambria" w:hAnsi="Arial" w:cs="Arial"/>
          <w:color w:val="000000" w:themeColor="text1"/>
          <w:sz w:val="22"/>
          <w:szCs w:val="22"/>
        </w:rPr>
        <w:lastRenderedPageBreak/>
        <w:t>The May 2005 – October 2008 average nutrient fluxes</w:t>
      </w:r>
      <w:r w:rsidR="007D4CA3">
        <w:rPr>
          <w:rFonts w:ascii="Arial" w:eastAsia="Cambria" w:hAnsi="Arial" w:cs="Arial"/>
          <w:color w:val="000000" w:themeColor="text1"/>
          <w:sz w:val="22"/>
          <w:szCs w:val="22"/>
        </w:rPr>
        <w:t xml:space="preserve"> </w:t>
      </w:r>
      <w:r w:rsidR="007D4CA3" w:rsidRPr="007D4CA3">
        <w:rPr>
          <w:rFonts w:ascii="Arial" w:eastAsia="Cambria" w:hAnsi="Arial" w:cs="Arial"/>
          <w:color w:val="000000" w:themeColor="text1"/>
          <w:sz w:val="22"/>
          <w:szCs w:val="22"/>
        </w:rPr>
        <w:t>Gibraltar Strait</w:t>
      </w:r>
      <w:r w:rsidRPr="007D4CA3">
        <w:rPr>
          <w:rFonts w:ascii="Arial" w:eastAsia="Cambria" w:hAnsi="Arial" w:cs="Arial"/>
          <w:color w:val="000000" w:themeColor="text1"/>
          <w:sz w:val="22"/>
          <w:szCs w:val="22"/>
        </w:rPr>
        <w:t xml:space="preserve"> based on 15 different cruises (Huertas et al., 2012) were used to close off the Gibraltar Strait (Table S2). The </w:t>
      </w:r>
      <w:r w:rsidRPr="005E4264">
        <w:rPr>
          <w:rFonts w:ascii="Arial" w:eastAsia="Cambria" w:hAnsi="Arial" w:cs="Arial"/>
          <w:color w:val="000000" w:themeColor="text1"/>
          <w:sz w:val="22"/>
          <w:szCs w:val="22"/>
        </w:rPr>
        <w:t xml:space="preserve">uncertainties are based on </w:t>
      </w:r>
      <w:r w:rsidR="00985B74" w:rsidRPr="005E4264">
        <w:rPr>
          <w:rFonts w:ascii="Arial" w:eastAsia="Cambria" w:hAnsi="Arial" w:cs="Arial"/>
          <w:color w:val="000000" w:themeColor="text1"/>
          <w:sz w:val="22"/>
          <w:szCs w:val="22"/>
        </w:rPr>
        <w:t xml:space="preserve">error propagation analysis </w:t>
      </w:r>
      <w:r w:rsidR="007D4CA3" w:rsidRPr="005E4264">
        <w:rPr>
          <w:rFonts w:ascii="Arial" w:eastAsia="Cambria" w:hAnsi="Arial" w:cs="Arial"/>
          <w:color w:val="000000" w:themeColor="text1"/>
          <w:sz w:val="22"/>
          <w:szCs w:val="22"/>
        </w:rPr>
        <w:fldChar w:fldCharType="begin"/>
      </w:r>
      <w:r w:rsidR="00961F98" w:rsidRPr="005E4264">
        <w:rPr>
          <w:rFonts w:ascii="Arial" w:eastAsia="Cambria" w:hAnsi="Arial" w:cs="Arial"/>
          <w:color w:val="000000" w:themeColor="text1"/>
          <w:sz w:val="22"/>
          <w:szCs w:val="22"/>
        </w:rPr>
        <w:instrText xml:space="preserve"> ADDIN ZOTERO_ITEM CSL_CITATION {"citationID":"a2fmbvickr8","properties":{"formattedCitation":"(Huertas et al., 2012)","plainCitation":"(Huertas et al., 2012)","noteIndex":0},"citationItems":[{"id":361,"uris":["http://zotero.org/users/951135/items/BWS9UIKE"],"uri":["http://zotero.org/users/951135/items/BWS9UIKE"],"itemData":{"id":361,"type":"article-journal","container-title":"Global Biogeochemical Cycles","DOI":"10.1029/2011GB004167","ISSN":"08866236","issue":"2","page":"n/a-n/a","source":"CrossRef","title":"Atlantic forcing of the Mediterranean oligotrophy","volume":"26","author":[{"family":"Huertas","given":"I. E."},{"family":"Ríos","given":"A. F."},{"family":"García-Lafuente","given":"J."},{"family":"Navarro","given":"G."},{"family":"Makaoui","given":"A."},{"family":"Sánchez-Román","given":"A."},{"family":"Rodriguez-Galvez","given":"S."},{"family":"Orbi","given":"A."},{"family":"Ruíz","given":"J."},{"family":"Pérez","given":"F. F."}],"issued":{"date-parts":[["2012",6]]}}}],"schema":"https://github.com/citation-style-language/schema/raw/master/csl-citation.json"} </w:instrText>
      </w:r>
      <w:r w:rsidR="007D4CA3" w:rsidRPr="005E4264">
        <w:rPr>
          <w:rFonts w:ascii="Arial" w:eastAsia="Cambria" w:hAnsi="Arial" w:cs="Arial"/>
          <w:color w:val="000000" w:themeColor="text1"/>
          <w:sz w:val="22"/>
          <w:szCs w:val="22"/>
        </w:rPr>
        <w:fldChar w:fldCharType="separate"/>
      </w:r>
      <w:r w:rsidR="00961F98" w:rsidRPr="005E4264">
        <w:rPr>
          <w:rFonts w:ascii="Arial" w:hAnsi="Arial" w:cs="Arial"/>
          <w:color w:val="000000"/>
          <w:sz w:val="22"/>
          <w:szCs w:val="22"/>
        </w:rPr>
        <w:t>(Huertas et al., 2012)</w:t>
      </w:r>
      <w:r w:rsidR="007D4CA3" w:rsidRPr="005E4264">
        <w:rPr>
          <w:rFonts w:ascii="Arial" w:eastAsia="Cambria" w:hAnsi="Arial" w:cs="Arial"/>
          <w:color w:val="000000" w:themeColor="text1"/>
          <w:sz w:val="22"/>
          <w:szCs w:val="22"/>
        </w:rPr>
        <w:fldChar w:fldCharType="end"/>
      </w:r>
      <w:r w:rsidR="00985B74" w:rsidRPr="005E4264">
        <w:rPr>
          <w:rFonts w:ascii="Arial" w:eastAsia="Cambria" w:hAnsi="Arial" w:cs="Arial"/>
          <w:color w:val="000000" w:themeColor="text1"/>
          <w:sz w:val="22"/>
          <w:szCs w:val="22"/>
        </w:rPr>
        <w:t>.</w:t>
      </w:r>
    </w:p>
    <w:p w14:paraId="12F27A3E" w14:textId="168DE82C" w:rsidR="005D6DDD" w:rsidRPr="005E4264" w:rsidRDefault="005D6DDD" w:rsidP="002E0237">
      <w:pPr>
        <w:pStyle w:val="Heading2"/>
        <w:spacing w:before="120" w:after="120" w:line="360" w:lineRule="auto"/>
        <w:rPr>
          <w:rFonts w:ascii="Arial" w:hAnsi="Arial" w:cs="Arial"/>
          <w:b/>
          <w:color w:val="000000" w:themeColor="text1"/>
          <w:kern w:val="32"/>
          <w:sz w:val="22"/>
          <w:szCs w:val="22"/>
        </w:rPr>
      </w:pPr>
      <w:r w:rsidRPr="005E4264">
        <w:rPr>
          <w:rFonts w:ascii="Arial" w:hAnsi="Arial" w:cs="Arial"/>
          <w:b/>
          <w:color w:val="000000" w:themeColor="text1"/>
          <w:kern w:val="32"/>
          <w:sz w:val="22"/>
          <w:szCs w:val="22"/>
        </w:rPr>
        <w:t>S1.</w:t>
      </w:r>
      <w:r w:rsidR="004929C1" w:rsidRPr="005E4264">
        <w:rPr>
          <w:rFonts w:ascii="Arial" w:hAnsi="Arial" w:cs="Arial"/>
          <w:b/>
          <w:color w:val="000000" w:themeColor="text1"/>
          <w:kern w:val="32"/>
          <w:sz w:val="22"/>
          <w:szCs w:val="22"/>
        </w:rPr>
        <w:t>4</w:t>
      </w:r>
      <w:r w:rsidRPr="005E4264">
        <w:rPr>
          <w:rFonts w:ascii="Arial" w:hAnsi="Arial" w:cs="Arial"/>
          <w:b/>
          <w:color w:val="000000" w:themeColor="text1"/>
          <w:kern w:val="32"/>
          <w:sz w:val="22"/>
          <w:szCs w:val="22"/>
        </w:rPr>
        <w:t>. Additional sources of silicate</w:t>
      </w:r>
      <w:r w:rsidR="005E4264" w:rsidRPr="005E4264">
        <w:rPr>
          <w:rFonts w:ascii="Arial" w:hAnsi="Arial" w:cs="Arial"/>
          <w:b/>
          <w:color w:val="000000" w:themeColor="text1"/>
          <w:kern w:val="32"/>
          <w:sz w:val="22"/>
          <w:szCs w:val="22"/>
        </w:rPr>
        <w:t xml:space="preserve">: </w:t>
      </w:r>
      <m:oMath>
        <m:sSubSup>
          <m:sSubSupPr>
            <m:ctrlPr>
              <w:rPr>
                <w:rFonts w:ascii="Cambria Math" w:hAnsi="Cambria Math" w:cs="Arial"/>
                <w:b/>
                <w:bCs/>
                <w:color w:val="000000" w:themeColor="text1"/>
                <w:sz w:val="22"/>
                <w:szCs w:val="22"/>
              </w:rPr>
            </m:ctrlPr>
          </m:sSubSupPr>
          <m:e>
            <m:r>
              <m:rPr>
                <m:nor/>
              </m:rPr>
              <w:rPr>
                <w:rFonts w:ascii="Arial" w:hAnsi="Arial" w:cs="Arial"/>
                <w:b/>
                <w:bCs/>
                <w:color w:val="000000" w:themeColor="text1"/>
                <w:sz w:val="22"/>
                <w:szCs w:val="22"/>
              </w:rPr>
              <m:t>F</m:t>
            </m:r>
          </m:e>
          <m:sub>
            <m:r>
              <m:rPr>
                <m:nor/>
              </m:rPr>
              <w:rPr>
                <w:rFonts w:ascii="Arial" w:hAnsi="Arial" w:cs="Arial"/>
                <w:b/>
                <w:bCs/>
                <w:color w:val="000000" w:themeColor="text1"/>
                <w:sz w:val="22"/>
                <w:szCs w:val="22"/>
              </w:rPr>
              <m:t>silicate</m:t>
            </m:r>
          </m:sub>
          <m:sup>
            <m:r>
              <m:rPr>
                <m:nor/>
              </m:rPr>
              <w:rPr>
                <w:rFonts w:ascii="Arial" w:hAnsi="Arial" w:cs="Arial"/>
                <w:b/>
                <w:bCs/>
                <w:color w:val="000000" w:themeColor="text1"/>
                <w:sz w:val="22"/>
                <w:szCs w:val="22"/>
              </w:rPr>
              <m:t>other</m:t>
            </m:r>
          </m:sup>
        </m:sSubSup>
      </m:oMath>
    </w:p>
    <w:p w14:paraId="7B48553E" w14:textId="27D08EA6" w:rsidR="005D6DDD" w:rsidRPr="005E4264" w:rsidRDefault="005D6DDD" w:rsidP="00CA6BFC">
      <w:pPr>
        <w:spacing w:line="360" w:lineRule="auto"/>
        <w:jc w:val="both"/>
        <w:rPr>
          <w:rFonts w:ascii="Arial" w:hAnsi="Arial" w:cs="Arial"/>
          <w:bCs/>
          <w:color w:val="000000" w:themeColor="text1"/>
          <w:kern w:val="32"/>
          <w:sz w:val="22"/>
          <w:szCs w:val="22"/>
        </w:rPr>
      </w:pPr>
      <w:r w:rsidRPr="005E4264">
        <w:rPr>
          <w:rFonts w:ascii="Arial" w:hAnsi="Arial" w:cs="Arial"/>
          <w:bCs/>
          <w:color w:val="000000" w:themeColor="text1"/>
          <w:kern w:val="32"/>
          <w:sz w:val="22"/>
          <w:szCs w:val="22"/>
        </w:rPr>
        <w:t xml:space="preserve">Submarine groundwater, seafloor weathering, and deep-sea hydrothermal sources constitute additional silicate inputs </w:t>
      </w:r>
      <w:r w:rsidRPr="005E4264">
        <w:rPr>
          <w:rFonts w:ascii="Arial" w:hAnsi="Arial" w:cs="Arial"/>
          <w:bCs/>
          <w:color w:val="000000" w:themeColor="text1"/>
          <w:kern w:val="32"/>
          <w:sz w:val="22"/>
          <w:szCs w:val="22"/>
        </w:rPr>
        <w:fldChar w:fldCharType="begin"/>
      </w:r>
      <w:r w:rsidR="00387A35" w:rsidRPr="005E4264">
        <w:rPr>
          <w:rFonts w:ascii="Arial" w:hAnsi="Arial" w:cs="Arial"/>
          <w:bCs/>
          <w:color w:val="000000" w:themeColor="text1"/>
          <w:kern w:val="32"/>
          <w:sz w:val="22"/>
          <w:szCs w:val="22"/>
        </w:rPr>
        <w:instrText xml:space="preserve"> ADDIN ZOTERO_ITEM CSL_CITATION {"citationID":"RCrpxvy1","properties":{"formattedCitation":"{\\rtf (Tr\\uc0\\u233{}guer et al., 1995; Tr\\uc0\\u233{}guer and Rocha, 2013)}","plainCitation":"(Tréguer et al., 1995; Tréguer and Rocha, 2013)","dontUpdate":true,"noteIndex":0},"citationItems":[{"id":882,"uris":["http://zotero.org/users/951135/items/4VQ6KPSX"],"uri":["http://zotero.org/users/951135/items/4VQ6KPSX"],"itemData":{"id":882,"type":"article-journal","abstract":"The net inputs of silicic acid (dissolved silica) to the world ocean have been revised to 6.1 +/- 2.0 teramoles of silicon per year (1 teramole = 10(12) moles). The major contribution (about 80 percent) comes from rivers, whose world average silicic acid concentration is 150 micromolar. These inputs are reasonably balanced by the net ouputs of biogenic silica of 7.1 +/- 1.8 teramoles of silicon per year in modern marine sediments. The gross production of biogenic silica (the transformation of dissolved silicate to particulate skeletal material) in surface waters was estimated to be 240 +/- 40 teramoles of silicon per year, and the preservation ratio (opal accumulation in sediment/gross production in surface waters) averages 3 percent. In the world ocean the residence time of silicon, relative to total biological uptake in surface waters, is about 400 years.","container-title":"Science (New York, N.Y.)","DOI":"10.1126/science.268.5209.375","ISSN":"0036-8075","issue":"5209","journalAbbreviation":"Science","language":"eng","note":"PMID: 17746543","page":"375-379","source":"PubMed","title":"The silica balance in the world ocean: a reestimate","title-short":"The silica balance in the world ocean","volume":"268","author":[{"family":"Tréguer","given":"P."},{"family":"Nelson","given":"D. M."},{"family":"Van Bennekom","given":"A. J."},{"family":"Demaster","given":"D. J."},{"family":"Leynaert","given":"A."},{"family":"Quéguiner","given":"B."}],"issued":{"date-parts":[["1995",4,21]]}},"label":"page"},{"id":881,"uris":["http://zotero.org/users/951135/items/8D7A5UHS"],"uri":["http://zotero.org/users/951135/items/8D7A5UHS"],"itemData":{"id":881,"type":"article-journal","abstract":"Over the past few decades, we have realized that the silica cycle is strongly intertwined with other major biogeochemical cycles, like those of carbon and nitrogen, and as such is intimately related to marine primary production, the efficiency of carbon export to the deep sea, and the inventory of carbon dioxide in the atmosphere. For nearly 20 years, the marine silica budget compiled by Tréguer et al. (1995), with its exploration of reservoirs, processes, sources, and sinks in the silica cycle, has provided context and information fundamental to study of the silica cycle. Today, the budget needs revisiting to incorporate advances that have notably changed estimates of river and groundwater inputs to the ocean of dissolved silicon and easily dissolvable amorphous silica, inputs from the dissolution of terrestrial lithogenic silica in ocean margin sediments, reverse weathering removal fluxes, and outputs of biogenic silica (especially on ocean margins and in the form of nondiatomaceous biogenic silica). The resulting budget recognizes significantly higher input and output fluxes and notes that the recycling of silicon occurs mostly at the sediment-water interface and not during the sinking of silica particles through deep waters.","container-title":"Annual Review of Marine Science","DOI":"10.1146/annurev-marine-121211-172346","issue":"1","note":"PMID: 22809182","page":"477-501","source":"Annual Reviews","title":"The World Ocean Silica Cycle","volume":"5","author":[{"family":"Tréguer","given":"Paul J."},{"family":"Rocha","given":"Christina L. De La"}],"issued":{"date-parts":[["2013"]]}},"label":"page"}],"schema":"https://github.com/citation-style-language/schema/raw/master/csl-citation.json"} </w:instrText>
      </w:r>
      <w:r w:rsidRPr="005E4264">
        <w:rPr>
          <w:rFonts w:ascii="Arial" w:hAnsi="Arial" w:cs="Arial"/>
          <w:bCs/>
          <w:color w:val="000000" w:themeColor="text1"/>
          <w:kern w:val="32"/>
          <w:sz w:val="22"/>
          <w:szCs w:val="22"/>
        </w:rPr>
        <w:fldChar w:fldCharType="separate"/>
      </w:r>
      <w:r w:rsidRPr="005E4264">
        <w:rPr>
          <w:rFonts w:ascii="Arial" w:hAnsi="Arial" w:cs="Arial"/>
          <w:bCs/>
          <w:color w:val="000000" w:themeColor="text1"/>
          <w:kern w:val="32"/>
          <w:sz w:val="22"/>
          <w:szCs w:val="22"/>
        </w:rPr>
        <w:t>(Tréguer and De La Rocha, 2013)</w:t>
      </w:r>
      <w:r w:rsidRPr="005E4264">
        <w:rPr>
          <w:rFonts w:ascii="Arial" w:hAnsi="Arial" w:cs="Arial"/>
          <w:bCs/>
          <w:color w:val="000000" w:themeColor="text1"/>
          <w:kern w:val="32"/>
          <w:sz w:val="22"/>
          <w:szCs w:val="22"/>
        </w:rPr>
        <w:fldChar w:fldCharType="end"/>
      </w:r>
      <w:r w:rsidRPr="005E4264">
        <w:rPr>
          <w:rFonts w:ascii="Arial" w:hAnsi="Arial" w:cs="Arial"/>
          <w:bCs/>
          <w:color w:val="000000" w:themeColor="text1"/>
          <w:kern w:val="32"/>
          <w:sz w:val="22"/>
          <w:szCs w:val="22"/>
        </w:rPr>
        <w:t xml:space="preserve">. To account for their contribution, we relied on the global estimates by </w:t>
      </w:r>
      <w:r w:rsidRPr="005E4264">
        <w:rPr>
          <w:rFonts w:ascii="Arial" w:hAnsi="Arial" w:cs="Arial"/>
          <w:bCs/>
          <w:color w:val="000000" w:themeColor="text1"/>
          <w:kern w:val="32"/>
          <w:sz w:val="22"/>
          <w:szCs w:val="22"/>
        </w:rPr>
        <w:fldChar w:fldCharType="begin"/>
      </w:r>
      <w:r w:rsidR="00387A35" w:rsidRPr="005E4264">
        <w:rPr>
          <w:rFonts w:ascii="Arial" w:hAnsi="Arial" w:cs="Arial"/>
          <w:bCs/>
          <w:color w:val="000000" w:themeColor="text1"/>
          <w:kern w:val="32"/>
          <w:sz w:val="22"/>
          <w:szCs w:val="22"/>
        </w:rPr>
        <w:instrText xml:space="preserve"> ADDIN ZOTERO_ITEM CSL_CITATION {"citationID":"Gi3KuJHy","properties":{"formattedCitation":"{\\rtf (Tr\\uc0\\u233{}guer et al., 1995; Tr\\uc0\\u233{}guer and Rocha, 2013)}","plainCitation":"(Tréguer et al., 1995; Tréguer and Rocha, 2013)","dontUpdate":true,"noteIndex":0},"citationItems":[{"id":882,"uris":["http://zotero.org/users/951135/items/4VQ6KPSX"],"uri":["http://zotero.org/users/951135/items/4VQ6KPSX"],"itemData":{"id":882,"type":"article-journal","abstract":"The net inputs of silicic acid (dissolved silica) to the world ocean have been revised to 6.1 +/- 2.0 teramoles of silicon per year (1 teramole = 10(12) moles). The major contribution (about 80 percent) comes from rivers, whose world average silicic acid concentration is 150 micromolar. These inputs are reasonably balanced by the net ouputs of biogenic silica of 7.1 +/- 1.8 teramoles of silicon per year in modern marine sediments. The gross production of biogenic silica (the transformation of dissolved silicate to particulate skeletal material) in surface waters was estimated to be 240 +/- 40 teramoles of silicon per year, and the preservation ratio (opal accumulation in sediment/gross production in surface waters) averages 3 percent. In the world ocean the residence time of silicon, relative to total biological uptake in surface waters, is about 400 years.","container-title":"Science (New York, N.Y.)","DOI":"10.1126/science.268.5209.375","ISSN":"0036-8075","issue":"5209","journalAbbreviation":"Science","language":"eng","note":"PMID: 17746543","page":"375-379","source":"PubMed","title":"The silica balance in the world ocean: a reestimate","title-short":"The silica balance in the world ocean","volume":"268","author":[{"family":"Tréguer","given":"P."},{"family":"Nelson","given":"D. M."},{"family":"Van Bennekom","given":"A. J."},{"family":"Demaster","given":"D. J."},{"family":"Leynaert","given":"A."},{"family":"Quéguiner","given":"B."}],"issued":{"date-parts":[["1995",4,21]]}},"label":"page"},{"id":881,"uris":["http://zotero.org/users/951135/items/8D7A5UHS"],"uri":["http://zotero.org/users/951135/items/8D7A5UHS"],"itemData":{"id":881,"type":"article-journal","abstract":"Over the past few decades, we have realized that the silica cycle is strongly intertwined with other major biogeochemical cycles, like those of carbon and nitrogen, and as such is intimately related to marine primary production, the efficiency of carbon export to the deep sea, and the inventory of carbon dioxide in the atmosphere. For nearly 20 years, the marine silica budget compiled by Tréguer et al. (1995), with its exploration of reservoirs, processes, sources, and sinks in the silica cycle, has provided context and information fundamental to study of the silica cycle. Today, the budget needs revisiting to incorporate advances that have notably changed estimates of river and groundwater inputs to the ocean of dissolved silicon and easily dissolvable amorphous silica, inputs from the dissolution of terrestrial lithogenic silica in ocean margin sediments, reverse weathering removal fluxes, and outputs of biogenic silica (especially on ocean margins and in the form of nondiatomaceous biogenic silica). The resulting budget recognizes significantly higher input and output fluxes and notes that the recycling of silicon occurs mostly at the sediment-water interface and not during the sinking of silica particles through deep waters.","container-title":"Annual Review of Marine Science","DOI":"10.1146/annurev-marine-121211-172346","issue":"1","note":"PMID: 22809182","page":"477-501","source":"Annual Reviews","title":"The World Ocean Silica Cycle","volume":"5","author":[{"family":"Tréguer","given":"Paul J."},{"family":"Rocha","given":"Christina L. De La"}],"issued":{"date-parts":[["2013"]]}},"label":"page"}],"schema":"https://github.com/citation-style-language/schema/raw/master/csl-citation.json"} </w:instrText>
      </w:r>
      <w:r w:rsidRPr="005E4264">
        <w:rPr>
          <w:rFonts w:ascii="Arial" w:hAnsi="Arial" w:cs="Arial"/>
          <w:bCs/>
          <w:color w:val="000000" w:themeColor="text1"/>
          <w:kern w:val="32"/>
          <w:sz w:val="22"/>
          <w:szCs w:val="22"/>
        </w:rPr>
        <w:fldChar w:fldCharType="separate"/>
      </w:r>
      <w:r w:rsidRPr="005E4264">
        <w:rPr>
          <w:rFonts w:ascii="Arial" w:hAnsi="Arial" w:cs="Arial"/>
          <w:bCs/>
          <w:color w:val="000000" w:themeColor="text1"/>
          <w:kern w:val="32"/>
          <w:sz w:val="22"/>
          <w:szCs w:val="22"/>
        </w:rPr>
        <w:t>Tréguer and De La Rocha (2013)</w:t>
      </w:r>
      <w:r w:rsidRPr="005E4264">
        <w:rPr>
          <w:rFonts w:ascii="Arial" w:hAnsi="Arial" w:cs="Arial"/>
          <w:bCs/>
          <w:color w:val="000000" w:themeColor="text1"/>
          <w:kern w:val="32"/>
          <w:sz w:val="22"/>
          <w:szCs w:val="22"/>
        </w:rPr>
        <w:fldChar w:fldCharType="end"/>
      </w:r>
      <w:r w:rsidRPr="005E4264">
        <w:rPr>
          <w:rFonts w:ascii="Arial" w:hAnsi="Arial" w:cs="Arial"/>
          <w:bCs/>
          <w:color w:val="000000" w:themeColor="text1"/>
          <w:kern w:val="32"/>
          <w:sz w:val="22"/>
          <w:szCs w:val="22"/>
        </w:rPr>
        <w:t xml:space="preserve">, from which we calculated input rates proportional to the NA-box </w:t>
      </w:r>
      <w:r w:rsidR="009371E5" w:rsidRPr="005E4264">
        <w:rPr>
          <w:rFonts w:ascii="Arial" w:hAnsi="Arial" w:cs="Arial"/>
          <w:bCs/>
          <w:color w:val="000000" w:themeColor="text1"/>
          <w:kern w:val="32"/>
          <w:sz w:val="22"/>
          <w:szCs w:val="22"/>
        </w:rPr>
        <w:t>area</w:t>
      </w:r>
      <w:r w:rsidRPr="005E4264">
        <w:rPr>
          <w:rFonts w:ascii="Arial" w:hAnsi="Arial" w:cs="Arial"/>
          <w:bCs/>
          <w:color w:val="000000" w:themeColor="text1"/>
          <w:kern w:val="32"/>
          <w:sz w:val="22"/>
          <w:szCs w:val="22"/>
        </w:rPr>
        <w:t>. We inferred a submarine groundwater input of 0.6 ± 0.6 Tmol-Si y</w:t>
      </w:r>
      <w:r w:rsidRPr="005E4264">
        <w:rPr>
          <w:rFonts w:ascii="Arial" w:hAnsi="Arial" w:cs="Arial"/>
          <w:bCs/>
          <w:color w:val="000000" w:themeColor="text1"/>
          <w:kern w:val="32"/>
          <w:sz w:val="22"/>
          <w:szCs w:val="22"/>
          <w:vertAlign w:val="superscript"/>
        </w:rPr>
        <w:t>-1</w:t>
      </w:r>
      <w:r w:rsidRPr="005E4264">
        <w:rPr>
          <w:rFonts w:ascii="Arial" w:hAnsi="Arial" w:cs="Arial"/>
          <w:bCs/>
          <w:color w:val="000000" w:themeColor="text1"/>
          <w:kern w:val="32"/>
          <w:sz w:val="22"/>
          <w:szCs w:val="22"/>
        </w:rPr>
        <w:t xml:space="preserve"> (0.9 ± 0.9 kmol-Si s</w:t>
      </w:r>
      <w:r w:rsidRPr="005E4264">
        <w:rPr>
          <w:rFonts w:ascii="Arial" w:hAnsi="Arial" w:cs="Arial"/>
          <w:bCs/>
          <w:color w:val="000000" w:themeColor="text1"/>
          <w:kern w:val="32"/>
          <w:sz w:val="22"/>
          <w:szCs w:val="22"/>
          <w:vertAlign w:val="superscript"/>
        </w:rPr>
        <w:t>-1</w:t>
      </w:r>
      <w:r w:rsidRPr="005E4264">
        <w:rPr>
          <w:rFonts w:ascii="Arial" w:hAnsi="Arial" w:cs="Arial"/>
          <w:bCs/>
          <w:color w:val="000000" w:themeColor="text1"/>
          <w:kern w:val="32"/>
          <w:sz w:val="22"/>
          <w:szCs w:val="22"/>
        </w:rPr>
        <w:t>); a seafloor weathering input of 1.9 ± 0.7 Tmol-Si y</w:t>
      </w:r>
      <w:r w:rsidRPr="005E4264">
        <w:rPr>
          <w:rFonts w:ascii="Arial" w:hAnsi="Arial" w:cs="Arial"/>
          <w:bCs/>
          <w:color w:val="000000" w:themeColor="text1"/>
          <w:kern w:val="32"/>
          <w:sz w:val="22"/>
          <w:szCs w:val="22"/>
          <w:vertAlign w:val="superscript"/>
        </w:rPr>
        <w:t>-1</w:t>
      </w:r>
      <w:r w:rsidRPr="005E4264">
        <w:rPr>
          <w:rFonts w:ascii="Arial" w:hAnsi="Arial" w:cs="Arial"/>
          <w:bCs/>
          <w:color w:val="000000" w:themeColor="text1"/>
          <w:kern w:val="32"/>
          <w:sz w:val="22"/>
          <w:szCs w:val="22"/>
        </w:rPr>
        <w:t xml:space="preserve"> (2.8 ± 1.0 kmol-Si s</w:t>
      </w:r>
      <w:r w:rsidRPr="005E4264">
        <w:rPr>
          <w:rFonts w:ascii="Arial" w:hAnsi="Arial" w:cs="Arial"/>
          <w:bCs/>
          <w:color w:val="000000" w:themeColor="text1"/>
          <w:kern w:val="32"/>
          <w:sz w:val="22"/>
          <w:szCs w:val="22"/>
          <w:vertAlign w:val="superscript"/>
        </w:rPr>
        <w:t>-1</w:t>
      </w:r>
      <w:r w:rsidRPr="005E4264">
        <w:rPr>
          <w:rFonts w:ascii="Arial" w:hAnsi="Arial" w:cs="Arial"/>
          <w:bCs/>
          <w:color w:val="000000" w:themeColor="text1"/>
          <w:kern w:val="32"/>
          <w:sz w:val="22"/>
          <w:szCs w:val="22"/>
        </w:rPr>
        <w:t>); and a deep-sea hydrothermal input of 0.6 ± 0.4 Tmol-Si y</w:t>
      </w:r>
      <w:r w:rsidRPr="005E4264">
        <w:rPr>
          <w:rFonts w:ascii="Arial" w:hAnsi="Arial" w:cs="Arial"/>
          <w:bCs/>
          <w:color w:val="000000" w:themeColor="text1"/>
          <w:kern w:val="32"/>
          <w:sz w:val="22"/>
          <w:szCs w:val="22"/>
          <w:vertAlign w:val="superscript"/>
        </w:rPr>
        <w:t xml:space="preserve">-1 </w:t>
      </w:r>
      <w:r w:rsidRPr="005E4264">
        <w:rPr>
          <w:rFonts w:ascii="Arial" w:hAnsi="Arial" w:cs="Arial"/>
          <w:bCs/>
          <w:color w:val="000000" w:themeColor="text1"/>
          <w:kern w:val="32"/>
          <w:sz w:val="22"/>
          <w:szCs w:val="22"/>
        </w:rPr>
        <w:t>(0.9 ± 0.6 kmol-Si s</w:t>
      </w:r>
      <w:r w:rsidRPr="005E4264">
        <w:rPr>
          <w:rFonts w:ascii="Arial" w:hAnsi="Arial" w:cs="Arial"/>
          <w:bCs/>
          <w:color w:val="000000" w:themeColor="text1"/>
          <w:kern w:val="32"/>
          <w:sz w:val="22"/>
          <w:szCs w:val="22"/>
          <w:vertAlign w:val="superscript"/>
        </w:rPr>
        <w:t>-1</w:t>
      </w:r>
      <w:r w:rsidRPr="005E4264">
        <w:rPr>
          <w:rFonts w:ascii="Arial" w:hAnsi="Arial" w:cs="Arial"/>
          <w:bCs/>
          <w:color w:val="000000" w:themeColor="text1"/>
          <w:kern w:val="32"/>
          <w:sz w:val="22"/>
          <w:szCs w:val="22"/>
        </w:rPr>
        <w:t>). Altogether, these additional sources of silicate account</w:t>
      </w:r>
      <w:r w:rsidR="00E16462" w:rsidRPr="005E4264">
        <w:rPr>
          <w:rFonts w:ascii="Arial" w:hAnsi="Arial" w:cs="Arial"/>
          <w:bCs/>
          <w:color w:val="000000" w:themeColor="text1"/>
          <w:kern w:val="32"/>
          <w:sz w:val="22"/>
          <w:szCs w:val="22"/>
        </w:rPr>
        <w:t>ed</w:t>
      </w:r>
      <w:r w:rsidRPr="005E4264">
        <w:rPr>
          <w:rFonts w:ascii="Arial" w:hAnsi="Arial" w:cs="Arial"/>
          <w:bCs/>
          <w:color w:val="000000" w:themeColor="text1"/>
          <w:kern w:val="32"/>
          <w:sz w:val="22"/>
          <w:szCs w:val="22"/>
        </w:rPr>
        <w:t xml:space="preserve"> for </w:t>
      </w:r>
      <w:r w:rsidR="00E16462" w:rsidRPr="005E4264">
        <w:rPr>
          <w:rFonts w:ascii="Arial" w:hAnsi="Arial" w:cs="Arial"/>
          <w:bCs/>
          <w:color w:val="000000" w:themeColor="text1"/>
          <w:kern w:val="32"/>
          <w:sz w:val="22"/>
          <w:szCs w:val="22"/>
        </w:rPr>
        <w:t xml:space="preserve">the </w:t>
      </w:r>
      <w:r w:rsidRPr="005E4264">
        <w:rPr>
          <w:rFonts w:ascii="Arial" w:hAnsi="Arial" w:cs="Arial"/>
          <w:bCs/>
          <w:color w:val="000000" w:themeColor="text1"/>
          <w:kern w:val="32"/>
          <w:sz w:val="22"/>
          <w:szCs w:val="22"/>
        </w:rPr>
        <w:t xml:space="preserve">net silicate input </w:t>
      </w:r>
      <w:r w:rsidR="00E16462" w:rsidRPr="005E4264">
        <w:rPr>
          <w:rFonts w:ascii="Arial" w:hAnsi="Arial" w:cs="Arial"/>
          <w:bCs/>
          <w:color w:val="000000" w:themeColor="text1"/>
          <w:kern w:val="32"/>
          <w:sz w:val="22"/>
          <w:szCs w:val="22"/>
        </w:rPr>
        <w:t>(Table S2)</w:t>
      </w:r>
      <w:r w:rsidRPr="005E4264">
        <w:rPr>
          <w:rFonts w:ascii="Arial" w:hAnsi="Arial" w:cs="Arial"/>
          <w:bCs/>
          <w:color w:val="000000" w:themeColor="text1"/>
          <w:kern w:val="32"/>
          <w:sz w:val="22"/>
          <w:szCs w:val="22"/>
        </w:rPr>
        <w:t xml:space="preserve">. </w:t>
      </w:r>
    </w:p>
    <w:p w14:paraId="0F75C836" w14:textId="3E9BA237" w:rsidR="004929C1" w:rsidRPr="005E4264" w:rsidRDefault="004929C1" w:rsidP="002E0237">
      <w:pPr>
        <w:pStyle w:val="Heading2"/>
        <w:spacing w:before="120" w:after="120" w:line="360" w:lineRule="auto"/>
        <w:rPr>
          <w:rFonts w:ascii="Arial" w:hAnsi="Arial" w:cs="Arial"/>
          <w:b/>
          <w:color w:val="000000" w:themeColor="text1"/>
          <w:kern w:val="32"/>
          <w:sz w:val="22"/>
          <w:szCs w:val="22"/>
        </w:rPr>
      </w:pPr>
      <w:r w:rsidRPr="005E4264">
        <w:rPr>
          <w:rFonts w:ascii="Arial" w:hAnsi="Arial" w:cs="Arial"/>
          <w:b/>
          <w:color w:val="000000" w:themeColor="text1"/>
          <w:kern w:val="32"/>
          <w:sz w:val="22"/>
          <w:szCs w:val="22"/>
        </w:rPr>
        <w:t>S1.5. N</w:t>
      </w:r>
      <w:r w:rsidRPr="005E4264">
        <w:rPr>
          <w:rFonts w:ascii="Arial" w:hAnsi="Arial" w:cs="Arial"/>
          <w:b/>
          <w:color w:val="000000" w:themeColor="text1"/>
          <w:kern w:val="32"/>
          <w:sz w:val="22"/>
          <w:szCs w:val="22"/>
          <w:vertAlign w:val="subscript"/>
        </w:rPr>
        <w:t>2</w:t>
      </w:r>
      <w:r w:rsidRPr="005E4264">
        <w:rPr>
          <w:rFonts w:ascii="Arial" w:hAnsi="Arial" w:cs="Arial"/>
          <w:b/>
          <w:color w:val="000000" w:themeColor="text1"/>
          <w:kern w:val="32"/>
          <w:sz w:val="22"/>
          <w:szCs w:val="22"/>
        </w:rPr>
        <w:t xml:space="preserve"> fixation: </w:t>
      </w:r>
      <m:oMath>
        <m:sSubSup>
          <m:sSubSupPr>
            <m:ctrlPr>
              <w:rPr>
                <w:rFonts w:ascii="Cambria Math" w:hAnsi="Cambria Math" w:cs="Arial"/>
                <w:b/>
                <w:bCs/>
                <w:color w:val="000000" w:themeColor="text1"/>
                <w:sz w:val="22"/>
                <w:szCs w:val="22"/>
              </w:rPr>
            </m:ctrlPr>
          </m:sSubSupPr>
          <m:e>
            <m:r>
              <m:rPr>
                <m:nor/>
              </m:rPr>
              <w:rPr>
                <w:rFonts w:ascii="Arial" w:hAnsi="Arial" w:cs="Arial"/>
                <w:b/>
                <w:bCs/>
                <w:color w:val="000000" w:themeColor="text1"/>
                <w:sz w:val="22"/>
                <w:szCs w:val="22"/>
              </w:rPr>
              <m:t>F</m:t>
            </m:r>
          </m:e>
          <m:sub>
            <m:r>
              <m:rPr>
                <m:nor/>
              </m:rPr>
              <w:rPr>
                <w:rFonts w:ascii="Arial" w:hAnsi="Arial" w:cs="Arial"/>
                <w:b/>
                <w:bCs/>
                <w:color w:val="000000" w:themeColor="text1"/>
                <w:sz w:val="22"/>
                <w:szCs w:val="22"/>
              </w:rPr>
              <m:t>nitrate</m:t>
            </m:r>
          </m:sub>
          <m:sup>
            <m:r>
              <m:rPr>
                <m:nor/>
              </m:rPr>
              <w:rPr>
                <w:rFonts w:ascii="Arial" w:hAnsi="Arial" w:cs="Arial"/>
                <w:b/>
                <w:bCs/>
                <w:color w:val="000000" w:themeColor="text1"/>
                <w:sz w:val="22"/>
                <w:szCs w:val="22"/>
              </w:rPr>
              <m:t>N2-fixation</m:t>
            </m:r>
          </m:sup>
        </m:sSubSup>
      </m:oMath>
    </w:p>
    <w:p w14:paraId="3436E7A6" w14:textId="31BB5477" w:rsidR="004929C1" w:rsidRPr="00B90435" w:rsidRDefault="004929C1" w:rsidP="002E0237">
      <w:pPr>
        <w:spacing w:before="120" w:after="120" w:line="360" w:lineRule="auto"/>
        <w:jc w:val="both"/>
        <w:rPr>
          <w:rFonts w:ascii="Arial" w:hAnsi="Arial" w:cs="Arial"/>
          <w:bCs/>
          <w:color w:val="000000" w:themeColor="text1"/>
          <w:kern w:val="32"/>
          <w:sz w:val="22"/>
          <w:szCs w:val="22"/>
        </w:rPr>
      </w:pPr>
      <w:r w:rsidRPr="00B90435">
        <w:rPr>
          <w:rFonts w:ascii="Arial" w:hAnsi="Arial" w:cs="Arial"/>
          <w:bCs/>
          <w:color w:val="000000" w:themeColor="text1"/>
          <w:kern w:val="32"/>
          <w:sz w:val="22"/>
          <w:szCs w:val="22"/>
        </w:rPr>
        <w:t xml:space="preserve">In the North Atlantic, the nitrate:phosphate (N:P) ratio in thermocline waters may exceed that of the “average” Redfieldian organisms </w:t>
      </w:r>
      <w:r w:rsidRPr="00B90435">
        <w:rPr>
          <w:rFonts w:ascii="Arial" w:hAnsi="Arial" w:cs="Arial"/>
          <w:bCs/>
          <w:color w:val="000000" w:themeColor="text1"/>
          <w:kern w:val="32"/>
          <w:sz w:val="22"/>
          <w:szCs w:val="22"/>
        </w:rPr>
        <w:fldChar w:fldCharType="begin"/>
      </w:r>
      <w:r w:rsidRPr="00B90435">
        <w:rPr>
          <w:rFonts w:ascii="Arial" w:hAnsi="Arial" w:cs="Arial"/>
          <w:bCs/>
          <w:color w:val="000000" w:themeColor="text1"/>
          <w:kern w:val="32"/>
          <w:sz w:val="22"/>
          <w:szCs w:val="22"/>
        </w:rPr>
        <w:instrText xml:space="preserve"> ADDIN ZOTERO_ITEM CSL_CITATION {"citationID":"n7CSdEtB","properties":{"formattedCitation":"(Hansell and Follows, 2008)","plainCitation":"(Hansell and Follows, 2008)","dontUpdate":true,"noteIndex":0},"citationItems":[{"id":8,"uris":["http://zotero.org/users/951135/items/9WHFUXWJ"],"uri":["http://zotero.org/users/951135/items/9WHFUXWJ"],"itemData":{"id":8,"type":"chapter","abstract":"This chapter focuses on the factors regulating the nitrogen cycle of the Atlantic Ocean, with special attention on the North Atlantic, where data are plentiful. It begins the discussion with a description of the distributions of the major forms of nitrogen (N). A map of the Atlantic depicting locations of data collection for ocean sections and time series are discussed. It then considers the processes that regulate the nitrogen budget in the region, including physical transports, N2 fixation, atmospheric deposition, and denitrification. The Atlantic is fed by the northward flow of upper ocean waters that are depleted in nitrate and phosphate, while North Atlantic deep waters, formed in the northern high latitudes, move southward through the basin gathering remineralized nutrients. The meridional distribution of nitrate in the Atlantic generally follows the major water masses, with a clear and dominant signature of North Atlantic Deep Water formed from northern high latitude, nutrient depleted waters. Nitrate-rich signatures of Antarctic Bottom Water and Antarctic Intermediate Water extend northward, reflecting the high surface concentrations of nitrates where these water masses are formed. Additionally, the North Atlantic is unique among ocean basins with a nitrate:phosphate ratio (N:P) in thermocline waters in excess of the requirements of ‘‘average’’ Redfieldian organisms, a situation commonly interpreted as a signature of N input by nitrogen fixation.","container-title":"Nitrogen in the Marine Environment (2nd Edition)","event-place":"San Diego","ISBN":"978-0-12-372522-6","note":"DOI: 10.1016/B978-0-12-372522-6.00013-X","page":"597-630","publisher":"Academic Press","publisher-place":"San Diego","source":"ScienceDirect","title":"Chapter 13 - Nitrogen in the Atlantic Ocean","URL":"http://www.sciencedirect.com/science/article/pii/B978012372522600013X","author":[{"family":"Hansell","given":"Dennis A."},{"family":"Follows","given":"Michael J."}],"accessed":{"date-parts":[["2017",6,23]]},"issued":{"date-parts":[["2008"]]}}}],"schema":"https://github.com/citation-style-language/schema/raw/master/csl-citation.json"} </w:instrText>
      </w:r>
      <w:r w:rsidRPr="00B90435">
        <w:rPr>
          <w:rFonts w:ascii="Arial" w:hAnsi="Arial" w:cs="Arial"/>
          <w:bCs/>
          <w:color w:val="000000" w:themeColor="text1"/>
          <w:kern w:val="32"/>
          <w:sz w:val="22"/>
          <w:szCs w:val="22"/>
        </w:rPr>
        <w:fldChar w:fldCharType="separate"/>
      </w:r>
      <w:r w:rsidRPr="00B90435">
        <w:rPr>
          <w:rFonts w:ascii="Arial" w:hAnsi="Arial" w:cs="Arial"/>
          <w:bCs/>
          <w:color w:val="000000" w:themeColor="text1"/>
          <w:kern w:val="32"/>
          <w:sz w:val="22"/>
          <w:szCs w:val="22"/>
        </w:rPr>
        <w:t>(N:P= 16:1; Hansell and Follows, 2008)</w:t>
      </w:r>
      <w:r w:rsidRPr="00B90435">
        <w:rPr>
          <w:rFonts w:ascii="Arial" w:hAnsi="Arial" w:cs="Arial"/>
          <w:bCs/>
          <w:color w:val="000000" w:themeColor="text1"/>
          <w:kern w:val="32"/>
          <w:sz w:val="22"/>
          <w:szCs w:val="22"/>
        </w:rPr>
        <w:fldChar w:fldCharType="end"/>
      </w:r>
      <w:r w:rsidRPr="00B90435">
        <w:rPr>
          <w:rFonts w:ascii="Arial" w:hAnsi="Arial" w:cs="Arial"/>
          <w:bCs/>
          <w:color w:val="000000" w:themeColor="text1"/>
          <w:kern w:val="32"/>
          <w:sz w:val="22"/>
          <w:szCs w:val="22"/>
        </w:rPr>
        <w:t>. Such imbalance is attributable to N</w:t>
      </w:r>
      <w:r w:rsidRPr="00B90435">
        <w:rPr>
          <w:rFonts w:ascii="Arial" w:hAnsi="Arial" w:cs="Arial"/>
          <w:bCs/>
          <w:color w:val="000000" w:themeColor="text1"/>
          <w:kern w:val="32"/>
          <w:sz w:val="22"/>
          <w:szCs w:val="22"/>
          <w:vertAlign w:val="subscript"/>
        </w:rPr>
        <w:t>2</w:t>
      </w:r>
      <w:r w:rsidRPr="00B90435">
        <w:rPr>
          <w:rFonts w:ascii="Arial" w:hAnsi="Arial" w:cs="Arial"/>
          <w:bCs/>
          <w:color w:val="000000" w:themeColor="text1"/>
          <w:kern w:val="32"/>
          <w:sz w:val="22"/>
          <w:szCs w:val="22"/>
        </w:rPr>
        <w:t xml:space="preserve"> fixation, a biological process that provides a source of nitrogen that is unaccompanied by a concomitant input of phosphorous </w:t>
      </w:r>
      <w:r w:rsidRPr="00B90435">
        <w:rPr>
          <w:rFonts w:ascii="Arial" w:hAnsi="Arial" w:cs="Arial"/>
          <w:bCs/>
          <w:color w:val="000000" w:themeColor="text1"/>
          <w:kern w:val="32"/>
          <w:sz w:val="22"/>
          <w:szCs w:val="22"/>
        </w:rPr>
        <w:fldChar w:fldCharType="begin"/>
      </w:r>
      <w:r w:rsidRPr="00B90435">
        <w:rPr>
          <w:rFonts w:ascii="Arial" w:hAnsi="Arial" w:cs="Arial"/>
          <w:bCs/>
          <w:color w:val="000000" w:themeColor="text1"/>
          <w:kern w:val="32"/>
          <w:sz w:val="22"/>
          <w:szCs w:val="22"/>
        </w:rPr>
        <w:instrText xml:space="preserve"> ADDIN ZOTERO_ITEM CSL_CITATION {"citationID":"uLNfnq98","properties":{"unsorted":true,"formattedCitation":"(Moore et al., 2013; Benavides &amp; Voss, 2015)","plainCitation":"(Moore et al., 2013; Benavides &amp; Voss, 2015)","noteIndex":0},"citationItems":[{"id":762,"uris":["http://zotero.org/users/951135/items/2NMRFCJ7"],"uri":["http://zotero.org/users/951135/items/2NMRFCJ7"],"itemData":{"id":762,"type":"article-journal","container-title":"Nature Geosci","ISSN":"1752-0894","issue":"9","journalAbbreviation":"Nature Geosci","page":"701-710","title":"Processes and patterns of oceanic nutrient limitation","volume":"6","author":[{"family":"Moore","given":"C. M."},{"family":"Mills","given":"M. M."},{"family":"Arrigo","given":"K. R."},{"family":"Berman-Frank","given":"I."},{"family":"Bopp","given":"L."},{"family":"Boyd","given":"P. W."},{"family":"Galbraith","given":"E. D."},{"family":"Geider","given":"R. J."},{"family":"Guieu","given":"C."},{"family":"Jaccard","given":"S. L."},{"family":"Jickells","given":"T. D."},{"family":"La Roche","given":"J."},{"family":"Lenton","given":"T. M."},{"family":"Mahowald","given":"N. M."},{"family":"Maranon","given":"E."},{"family":"Marinov","given":"I."},{"family":"Moore","given":"J. K."},{"family":"Nakatsuka","given":"T."},{"family":"Oschlies","given":"A."},{"family":"Saito","given":"M. A."},{"family":"Thingstad","given":"T. F."},{"family":"Tsuda","given":"A."},{"family":"Ulloa","given":"O."}],"issued":{"date-parts":[["2013",9]]}},"label":"page"},{"id":763,"uris":["http://zotero.org/users/951135/items/8ZW2BNFJ"],"uri":["http://zotero.org/users/951135/items/8ZW2BNFJ"],"itemData":{"id":763,"type":"article-journal","container-title":"Frontiers in Marine Science","DOI":"10.3389/fmars.2015.00040","ISSN":"2296-7745","page":"40","title":"Five decades of N2 fixation research in the North Atlantic Ocean","volume":"2","author":[{"family":"Benavides","given":"Mar"},{"family":"Voss","given":"Maren"}],"issued":{"date-parts":[["2015"]]}},"label":"page"}],"schema":"https://github.com/citation-style-language/schema/raw/master/csl-citation.json"} </w:instrText>
      </w:r>
      <w:r w:rsidRPr="00B90435">
        <w:rPr>
          <w:rFonts w:ascii="Arial" w:hAnsi="Arial" w:cs="Arial"/>
          <w:bCs/>
          <w:color w:val="000000" w:themeColor="text1"/>
          <w:kern w:val="32"/>
          <w:sz w:val="22"/>
          <w:szCs w:val="22"/>
        </w:rPr>
        <w:fldChar w:fldCharType="separate"/>
      </w:r>
      <w:r w:rsidRPr="00B90435">
        <w:rPr>
          <w:rFonts w:ascii="Arial" w:hAnsi="Arial" w:cs="Arial"/>
          <w:bCs/>
          <w:color w:val="000000" w:themeColor="text1"/>
          <w:kern w:val="32"/>
          <w:sz w:val="22"/>
          <w:szCs w:val="22"/>
        </w:rPr>
        <w:t>(Moore et al., 2013; Benavides &amp; Voss, 2015)</w:t>
      </w:r>
      <w:r w:rsidRPr="00B90435">
        <w:rPr>
          <w:rFonts w:ascii="Arial" w:hAnsi="Arial" w:cs="Arial"/>
          <w:bCs/>
          <w:color w:val="000000" w:themeColor="text1"/>
          <w:kern w:val="32"/>
          <w:sz w:val="22"/>
          <w:szCs w:val="22"/>
        </w:rPr>
        <w:fldChar w:fldCharType="end"/>
      </w:r>
      <w:r w:rsidRPr="00B90435">
        <w:rPr>
          <w:rFonts w:ascii="Arial" w:hAnsi="Arial" w:cs="Arial"/>
          <w:bCs/>
          <w:color w:val="000000" w:themeColor="text1"/>
          <w:kern w:val="32"/>
          <w:sz w:val="22"/>
          <w:szCs w:val="22"/>
        </w:rPr>
        <w:t>. To account for such an additional source of nitrogen, we used two different N</w:t>
      </w:r>
      <w:r w:rsidRPr="00B90435">
        <w:rPr>
          <w:rFonts w:ascii="Arial" w:hAnsi="Arial" w:cs="Arial"/>
          <w:bCs/>
          <w:color w:val="000000" w:themeColor="text1"/>
          <w:kern w:val="32"/>
          <w:sz w:val="22"/>
          <w:szCs w:val="22"/>
          <w:vertAlign w:val="subscript"/>
        </w:rPr>
        <w:t>2</w:t>
      </w:r>
      <w:r w:rsidRPr="00B90435">
        <w:rPr>
          <w:rFonts w:ascii="Arial" w:hAnsi="Arial" w:cs="Arial"/>
          <w:bCs/>
          <w:color w:val="000000" w:themeColor="text1"/>
          <w:kern w:val="32"/>
          <w:sz w:val="22"/>
          <w:szCs w:val="22"/>
        </w:rPr>
        <w:t>-fixation rate estimates:</w:t>
      </w:r>
      <w:r w:rsidRPr="00B90435">
        <w:rPr>
          <w:rFonts w:ascii="Arial" w:hAnsi="Arial" w:cs="Arial"/>
          <w:bCs/>
          <w:i/>
          <w:color w:val="000000" w:themeColor="text1"/>
          <w:kern w:val="32"/>
          <w:sz w:val="22"/>
          <w:szCs w:val="22"/>
        </w:rPr>
        <w:t xml:space="preserve"> </w:t>
      </w:r>
      <w:r w:rsidRPr="00B90435">
        <w:rPr>
          <w:rFonts w:ascii="Arial" w:hAnsi="Arial" w:cs="Arial"/>
          <w:bCs/>
          <w:color w:val="000000" w:themeColor="text1"/>
          <w:kern w:val="32"/>
          <w:sz w:val="22"/>
          <w:szCs w:val="22"/>
        </w:rPr>
        <w:t>one based on the PlankTOM model (0.05 mol-N m</w:t>
      </w:r>
      <w:r w:rsidRPr="00B90435">
        <w:rPr>
          <w:rFonts w:ascii="Arial" w:hAnsi="Arial" w:cs="Arial"/>
          <w:bCs/>
          <w:color w:val="000000" w:themeColor="text1"/>
          <w:kern w:val="32"/>
          <w:sz w:val="22"/>
          <w:szCs w:val="22"/>
          <w:vertAlign w:val="superscript"/>
        </w:rPr>
        <w:t>-2</w:t>
      </w:r>
      <w:r w:rsidRPr="00B90435">
        <w:rPr>
          <w:rFonts w:ascii="Arial" w:hAnsi="Arial" w:cs="Arial"/>
          <w:bCs/>
          <w:color w:val="000000" w:themeColor="text1"/>
          <w:kern w:val="32"/>
          <w:sz w:val="22"/>
          <w:szCs w:val="22"/>
        </w:rPr>
        <w:t xml:space="preserve"> y</w:t>
      </w:r>
      <w:r w:rsidRPr="00B90435">
        <w:rPr>
          <w:rFonts w:ascii="Arial" w:hAnsi="Arial" w:cs="Arial"/>
          <w:bCs/>
          <w:color w:val="000000" w:themeColor="text1"/>
          <w:kern w:val="32"/>
          <w:sz w:val="22"/>
          <w:szCs w:val="22"/>
          <w:vertAlign w:val="superscript"/>
        </w:rPr>
        <w:t>-1</w:t>
      </w:r>
      <w:r w:rsidRPr="00B90435">
        <w:rPr>
          <w:rFonts w:ascii="Arial" w:hAnsi="Arial" w:cs="Arial"/>
          <w:bCs/>
          <w:color w:val="000000" w:themeColor="text1"/>
          <w:kern w:val="32"/>
          <w:sz w:val="22"/>
          <w:szCs w:val="22"/>
        </w:rPr>
        <w:t xml:space="preserve">, </w:t>
      </w:r>
      <w:r w:rsidRPr="00B90435">
        <w:rPr>
          <w:rFonts w:ascii="Arial" w:hAnsi="Arial" w:cs="Arial"/>
          <w:bCs/>
          <w:color w:val="000000" w:themeColor="text1"/>
          <w:kern w:val="32"/>
          <w:sz w:val="22"/>
          <w:szCs w:val="22"/>
        </w:rPr>
        <w:fldChar w:fldCharType="begin"/>
      </w:r>
      <w:r w:rsidRPr="00B90435">
        <w:rPr>
          <w:rFonts w:ascii="Arial" w:hAnsi="Arial" w:cs="Arial"/>
          <w:bCs/>
          <w:color w:val="000000" w:themeColor="text1"/>
          <w:kern w:val="32"/>
          <w:sz w:val="22"/>
          <w:szCs w:val="22"/>
        </w:rPr>
        <w:instrText xml:space="preserve"> ADDIN ZOTERO_ITEM CSL_CITATION {"citationID":"1HtVZiuG","properties":{"formattedCitation":"(Jickells et al., 2017)","plainCitation":"(Jickells et al., 2017)","dontUpdate":true,"noteIndex":0},"citationItems":[{"id":30,"uris":["http://zotero.org/users/951135/items/GTB5UG5H"],"uri":["http://zotero.org/users/951135/items/GTB5UG5H"],"itemData":{"id":30,"type":"article-journal","abstract":"We report a new synthesis of best estimates of the inputs of fixed nitrogen to the world ocean via atmospheric deposition and compare this to fluvial inputs and dinitrogen fixation. We evaluate the scale of human perturbation of these fluxes. Fluvial inputs dominate inputs to the continental shelf, and we estimate that about 75% of this fluvial nitrogen escapes from the shelf to the open ocean. Biological dinitrogen fixation is the main external source of nitrogen to the open ocean, i.e., beyond the continental shelf. Atmospheric deposition is the primary mechanism by which land-based nitrogen inputs, and hence human perturbations of the nitrogen cycle, reach the open ocean. We estimate that anthropogenic inputs are currently leading to an increase in overall ocean carbon sequestration of ~0.4% (equivalent to an uptake of 0.15 Pg C yr−1 and less than the Duce et al. (2008) estimate). The resulting reduction in climate change forcing from this ocean CO2 uptake is offset to a small extent by an increase in ocean N2O emissions. We identify four important feedbacks in the ocean atmosphere nitrogen system that need to be better quantified to improve our understanding of the perturbation of ocean biogeochemistry by atmospheric nitrogen inputs. These feedbacks are recycling of (1) ammonia and (2) organic nitrogen from the ocean to the atmosphere and back, (3) the suppression of nitrogen fixation by increased nitrogen concentrations in surface waters from atmospheric deposition, and (4) increased loss of nitrogen from the ocean by denitrification due to increased productivity stimulated by atmospheric inputs.","container-title":"Global Biogeochemical Cycles","DOI":"10.1002/2016GB005586","ISSN":"1944-9224","issue":"2","journalAbbreviation":"Global Biogeochem. Cycles","language":"en","page":"2016GB005586","source":"Wiley Online Library","title":"A reevaluation of the magnitude and impacts of anthropogenic atmospheric nitrogen inputs on the ocean","volume":"31","author":[{"family":"Jickells","given":"T. D."},{"family":"Buitenhuis","given":"E."},{"family":"Altieri","given":"K."},{"family":"Baker","given":"A. R."},{"family":"Capone","given":"D."},{"family":"Duce","given":"R. A."},{"family":"Dentener","given":"F."},{"family":"Fennel","given":"K."},{"family":"Kanakidou","given":"M."},{"family":"LaRoche","given":"J."},{"family":"Lee","given":"K."},{"family":"Liss","given":"P."},{"family":"Middelburg","given":"J. J."},{"family":"Moore","given":"J. K."},{"family":"Okin","given":"G."},{"family":"Oschlies","given":"A."},{"family":"Sarin","given":"M."},{"family":"Seitzinger","given":"S."},{"family":"Sharples","given":"J."},{"family":"Singh","given":"A."},{"family":"Suntharalingam","given":"P."},{"family":"Uematsu","given":"M."},{"family":"Zamora","given":"L. M."}],"issued":{"date-parts":[["2017",2,1]]}}}],"schema":"https://github.com/citation-style-language/schema/raw/master/csl-citation.json"} </w:instrText>
      </w:r>
      <w:r w:rsidRPr="00B90435">
        <w:rPr>
          <w:rFonts w:ascii="Arial" w:hAnsi="Arial" w:cs="Arial"/>
          <w:bCs/>
          <w:color w:val="000000" w:themeColor="text1"/>
          <w:kern w:val="32"/>
          <w:sz w:val="22"/>
          <w:szCs w:val="22"/>
        </w:rPr>
        <w:fldChar w:fldCharType="separate"/>
      </w:r>
      <w:r w:rsidRPr="00B90435">
        <w:rPr>
          <w:rFonts w:ascii="Arial" w:hAnsi="Arial" w:cs="Arial"/>
          <w:bCs/>
          <w:noProof/>
          <w:color w:val="000000" w:themeColor="text1"/>
          <w:kern w:val="32"/>
          <w:sz w:val="22"/>
          <w:szCs w:val="22"/>
        </w:rPr>
        <w:t>Jickells et al., 2017</w:t>
      </w:r>
      <w:r w:rsidRPr="00B90435">
        <w:rPr>
          <w:rFonts w:ascii="Arial" w:hAnsi="Arial" w:cs="Arial"/>
          <w:bCs/>
          <w:color w:val="000000" w:themeColor="text1"/>
          <w:kern w:val="32"/>
          <w:sz w:val="22"/>
          <w:szCs w:val="22"/>
        </w:rPr>
        <w:fldChar w:fldCharType="end"/>
      </w:r>
      <w:r w:rsidRPr="00B90435">
        <w:rPr>
          <w:rFonts w:ascii="Arial" w:hAnsi="Arial" w:cs="Arial"/>
          <w:bCs/>
          <w:color w:val="000000" w:themeColor="text1"/>
          <w:kern w:val="32"/>
          <w:sz w:val="22"/>
          <w:szCs w:val="22"/>
        </w:rPr>
        <w:t>; see their Figure 2), from which we</w:t>
      </w:r>
      <w:r w:rsidRPr="00B90435">
        <w:rPr>
          <w:rFonts w:ascii="Arial" w:hAnsi="Arial" w:cs="Arial"/>
          <w:bCs/>
          <w:color w:val="000000" w:themeColor="text1"/>
          <w:kern w:val="32"/>
          <w:sz w:val="22"/>
          <w:szCs w:val="22"/>
          <w:vertAlign w:val="superscript"/>
        </w:rPr>
        <w:t xml:space="preserve"> </w:t>
      </w:r>
      <w:r w:rsidRPr="00B90435">
        <w:rPr>
          <w:rFonts w:ascii="Arial" w:hAnsi="Arial" w:cs="Arial"/>
          <w:bCs/>
          <w:color w:val="000000" w:themeColor="text1"/>
          <w:kern w:val="32"/>
          <w:sz w:val="22"/>
          <w:szCs w:val="22"/>
        </w:rPr>
        <w:t>inferred a nitrogen source of 26.3 kmol s</w:t>
      </w:r>
      <w:r w:rsidRPr="00B90435">
        <w:rPr>
          <w:rFonts w:ascii="Arial" w:hAnsi="Arial" w:cs="Arial"/>
          <w:bCs/>
          <w:color w:val="000000" w:themeColor="text1"/>
          <w:kern w:val="32"/>
          <w:sz w:val="22"/>
          <w:szCs w:val="22"/>
          <w:vertAlign w:val="superscript"/>
        </w:rPr>
        <w:t>-1</w:t>
      </w:r>
      <w:r w:rsidRPr="00B90435">
        <w:rPr>
          <w:rFonts w:ascii="Arial" w:hAnsi="Arial" w:cs="Arial"/>
          <w:bCs/>
          <w:color w:val="000000" w:themeColor="text1"/>
          <w:kern w:val="32"/>
          <w:sz w:val="22"/>
          <w:szCs w:val="22"/>
        </w:rPr>
        <w:t xml:space="preserve">; and, the second, based on the </w:t>
      </w:r>
      <w:r w:rsidRPr="00B90435">
        <w:rPr>
          <w:rFonts w:ascii="Arial" w:hAnsi="Arial" w:cs="Arial"/>
          <w:bCs/>
          <w:i/>
          <w:color w:val="000000" w:themeColor="text1"/>
          <w:kern w:val="32"/>
          <w:sz w:val="22"/>
          <w:szCs w:val="22"/>
        </w:rPr>
        <w:t>in situ</w:t>
      </w:r>
      <w:r w:rsidRPr="00B90435">
        <w:rPr>
          <w:rFonts w:ascii="Arial" w:hAnsi="Arial" w:cs="Arial"/>
          <w:bCs/>
          <w:color w:val="000000" w:themeColor="text1"/>
          <w:kern w:val="32"/>
          <w:sz w:val="22"/>
          <w:szCs w:val="22"/>
        </w:rPr>
        <w:t xml:space="preserve"> N</w:t>
      </w:r>
      <w:r w:rsidRPr="00B90435">
        <w:rPr>
          <w:rFonts w:ascii="Arial" w:hAnsi="Arial" w:cs="Arial"/>
          <w:bCs/>
          <w:color w:val="000000" w:themeColor="text1"/>
          <w:kern w:val="32"/>
          <w:sz w:val="22"/>
          <w:szCs w:val="22"/>
          <w:vertAlign w:val="subscript"/>
        </w:rPr>
        <w:t>2</w:t>
      </w:r>
      <w:r w:rsidRPr="00B90435">
        <w:rPr>
          <w:rFonts w:ascii="Arial" w:hAnsi="Arial" w:cs="Arial"/>
          <w:bCs/>
          <w:color w:val="000000" w:themeColor="text1"/>
          <w:kern w:val="32"/>
          <w:sz w:val="22"/>
          <w:szCs w:val="22"/>
        </w:rPr>
        <w:t xml:space="preserve">-fixation rate estimates by </w:t>
      </w:r>
      <w:r w:rsidRPr="00B90435">
        <w:rPr>
          <w:rFonts w:ascii="Arial" w:hAnsi="Arial" w:cs="Arial"/>
          <w:bCs/>
          <w:color w:val="000000" w:themeColor="text1"/>
          <w:kern w:val="32"/>
          <w:sz w:val="22"/>
          <w:szCs w:val="22"/>
        </w:rPr>
        <w:fldChar w:fldCharType="begin"/>
      </w:r>
      <w:r w:rsidRPr="00B90435">
        <w:rPr>
          <w:rFonts w:ascii="Arial" w:hAnsi="Arial" w:cs="Arial"/>
          <w:bCs/>
          <w:color w:val="000000" w:themeColor="text1"/>
          <w:kern w:val="32"/>
          <w:sz w:val="22"/>
          <w:szCs w:val="22"/>
        </w:rPr>
        <w:instrText xml:space="preserve"> ADDIN ZOTERO_ITEM CSL_CITATION {"citationID":"7J18g876","properties":{"formattedCitation":"(Singh et al., 2013)","plainCitation":"(Singh et al., 2013)","dontUpdate":true,"noteIndex":0},"citationItems":[{"id":725,"uris":["http://zotero.org/users/951135/items/NG7EPUG8"],"uri":["http://zotero.org/users/951135/items/NG7EPUG8"],"itemData":{"id":725,"type":"article-journal","container-title":"Deep Sea Research Part II: Topical Studies in Oceanography","DOI":"10.1016/j.dsr2.2013.04.008","ISSN":"09670645","language":"en","page":"148-158","source":"CrossRef","title":"Revisiting N2 fixation in the North Atlantic Ocean: Significance of deviations from the Redfield Ratio, atmospheric deposition and climate variability","title-short":"Revisiting N2 fixation in the North Atlantic Ocean","volume":"93","author":[{"family":"Singh","given":"Arvind"},{"family":"Lomas","given":"M.W."},{"family":"Bates","given":"N.R."}],"issued":{"date-parts":[["2013",9]]}}}],"schema":"https://github.com/citation-style-language/schema/raw/master/csl-citation.json"} </w:instrText>
      </w:r>
      <w:r w:rsidRPr="00B90435">
        <w:rPr>
          <w:rFonts w:ascii="Arial" w:hAnsi="Arial" w:cs="Arial"/>
          <w:bCs/>
          <w:color w:val="000000" w:themeColor="text1"/>
          <w:kern w:val="32"/>
          <w:sz w:val="22"/>
          <w:szCs w:val="22"/>
        </w:rPr>
        <w:fldChar w:fldCharType="separate"/>
      </w:r>
      <w:r w:rsidRPr="00B90435">
        <w:rPr>
          <w:rFonts w:ascii="Arial" w:hAnsi="Arial" w:cs="Arial"/>
          <w:bCs/>
          <w:color w:val="000000" w:themeColor="text1"/>
          <w:kern w:val="32"/>
          <w:sz w:val="22"/>
          <w:szCs w:val="22"/>
        </w:rPr>
        <w:t>Singh et al. (2013)</w:t>
      </w:r>
      <w:r w:rsidRPr="00B90435">
        <w:rPr>
          <w:rFonts w:ascii="Arial" w:hAnsi="Arial" w:cs="Arial"/>
          <w:bCs/>
          <w:color w:val="000000" w:themeColor="text1"/>
          <w:kern w:val="32"/>
          <w:sz w:val="22"/>
          <w:szCs w:val="22"/>
        </w:rPr>
        <w:fldChar w:fldCharType="end"/>
      </w:r>
      <w:r w:rsidRPr="00B90435">
        <w:rPr>
          <w:rFonts w:ascii="Arial" w:hAnsi="Arial" w:cs="Arial"/>
          <w:bCs/>
          <w:color w:val="000000" w:themeColor="text1"/>
          <w:kern w:val="32"/>
          <w:sz w:val="22"/>
          <w:szCs w:val="22"/>
        </w:rPr>
        <w:t xml:space="preserve"> (12.2 ± 0.9 10</w:t>
      </w:r>
      <w:r w:rsidRPr="00B90435">
        <w:rPr>
          <w:rFonts w:ascii="Arial" w:hAnsi="Arial" w:cs="Arial"/>
          <w:bCs/>
          <w:color w:val="000000" w:themeColor="text1"/>
          <w:kern w:val="32"/>
          <w:sz w:val="22"/>
          <w:szCs w:val="22"/>
          <w:vertAlign w:val="superscript"/>
        </w:rPr>
        <w:t xml:space="preserve">11 </w:t>
      </w:r>
      <w:r w:rsidRPr="00B90435">
        <w:rPr>
          <w:rFonts w:ascii="Arial" w:hAnsi="Arial" w:cs="Arial"/>
          <w:bCs/>
          <w:color w:val="000000" w:themeColor="text1"/>
          <w:kern w:val="32"/>
          <w:sz w:val="22"/>
          <w:szCs w:val="22"/>
        </w:rPr>
        <w:t>mol-N y</w:t>
      </w:r>
      <w:r w:rsidRPr="00B90435">
        <w:rPr>
          <w:rFonts w:ascii="Arial" w:hAnsi="Arial" w:cs="Arial"/>
          <w:bCs/>
          <w:color w:val="000000" w:themeColor="text1"/>
          <w:kern w:val="32"/>
          <w:sz w:val="22"/>
          <w:szCs w:val="22"/>
          <w:vertAlign w:val="superscript"/>
        </w:rPr>
        <w:t>−1</w:t>
      </w:r>
      <w:r w:rsidRPr="00B90435">
        <w:rPr>
          <w:rFonts w:ascii="Arial" w:hAnsi="Arial" w:cs="Arial"/>
          <w:bCs/>
          <w:color w:val="000000" w:themeColor="text1"/>
          <w:kern w:val="32"/>
          <w:sz w:val="22"/>
          <w:szCs w:val="22"/>
        </w:rPr>
        <w:t>), from which we</w:t>
      </w:r>
      <w:r w:rsidRPr="00B90435">
        <w:rPr>
          <w:rFonts w:ascii="Arial" w:hAnsi="Arial" w:cs="Arial"/>
          <w:bCs/>
          <w:color w:val="000000" w:themeColor="text1"/>
          <w:kern w:val="32"/>
          <w:sz w:val="22"/>
          <w:szCs w:val="22"/>
          <w:vertAlign w:val="superscript"/>
        </w:rPr>
        <w:t xml:space="preserve"> </w:t>
      </w:r>
      <w:r w:rsidRPr="00B90435">
        <w:rPr>
          <w:rFonts w:ascii="Arial" w:hAnsi="Arial" w:cs="Arial"/>
          <w:bCs/>
          <w:color w:val="000000" w:themeColor="text1"/>
          <w:kern w:val="32"/>
          <w:sz w:val="22"/>
          <w:szCs w:val="22"/>
        </w:rPr>
        <w:t>inferred a nitrogen source of 38.7 kmol s</w:t>
      </w:r>
      <w:r w:rsidRPr="00B90435">
        <w:rPr>
          <w:rFonts w:ascii="Arial" w:hAnsi="Arial" w:cs="Arial"/>
          <w:bCs/>
          <w:color w:val="000000" w:themeColor="text1"/>
          <w:kern w:val="32"/>
          <w:sz w:val="22"/>
          <w:szCs w:val="22"/>
          <w:vertAlign w:val="superscript"/>
        </w:rPr>
        <w:t>-1</w:t>
      </w:r>
      <w:r w:rsidRPr="00B90435">
        <w:rPr>
          <w:rFonts w:ascii="Arial" w:hAnsi="Arial" w:cs="Arial"/>
          <w:bCs/>
          <w:color w:val="000000" w:themeColor="text1"/>
          <w:kern w:val="32"/>
          <w:sz w:val="22"/>
          <w:szCs w:val="22"/>
        </w:rPr>
        <w:t>. The final value used in this study was the average of both estimates</w:t>
      </w:r>
      <w:r w:rsidRPr="00B90435">
        <w:rPr>
          <w:rFonts w:ascii="Arial" w:hAnsi="Arial" w:cs="Arial"/>
          <w:bCs/>
          <w:color w:val="000000" w:themeColor="text1"/>
          <w:kern w:val="32"/>
          <w:sz w:val="22"/>
          <w:szCs w:val="22"/>
          <w:vertAlign w:val="superscript"/>
        </w:rPr>
        <w:t xml:space="preserve"> </w:t>
      </w:r>
      <w:r w:rsidRPr="00B90435">
        <w:rPr>
          <w:rFonts w:asciiTheme="minorHAnsi" w:eastAsia="Cambria" w:hAnsiTheme="minorHAnsi"/>
          <w:color w:val="000000" w:themeColor="text1"/>
        </w:rPr>
        <w:t>(Table S2)</w:t>
      </w:r>
      <w:r w:rsidRPr="00B90435">
        <w:rPr>
          <w:rFonts w:ascii="Arial" w:hAnsi="Arial" w:cs="Arial"/>
          <w:bCs/>
          <w:color w:val="000000" w:themeColor="text1"/>
          <w:kern w:val="32"/>
          <w:sz w:val="22"/>
          <w:szCs w:val="22"/>
        </w:rPr>
        <w:t>.</w:t>
      </w:r>
    </w:p>
    <w:p w14:paraId="20FB189F" w14:textId="77777777" w:rsidR="005D6DDD" w:rsidRPr="007D4CA3" w:rsidRDefault="005D6DDD" w:rsidP="00CA6BFC">
      <w:pPr>
        <w:pStyle w:val="Heading2"/>
        <w:spacing w:before="120" w:after="120" w:line="360" w:lineRule="auto"/>
        <w:rPr>
          <w:rFonts w:ascii="Arial" w:hAnsi="Arial" w:cs="Arial"/>
          <w:b/>
          <w:color w:val="000000" w:themeColor="text1"/>
          <w:kern w:val="32"/>
          <w:sz w:val="22"/>
          <w:szCs w:val="22"/>
        </w:rPr>
      </w:pPr>
      <w:r w:rsidRPr="007D4CA3">
        <w:rPr>
          <w:rFonts w:ascii="Arial" w:hAnsi="Arial" w:cs="Arial"/>
          <w:b/>
          <w:color w:val="000000" w:themeColor="text1"/>
          <w:kern w:val="32"/>
          <w:sz w:val="22"/>
          <w:szCs w:val="22"/>
        </w:rPr>
        <w:t>S1.6. Dissolved organic nutrients</w:t>
      </w:r>
    </w:p>
    <w:p w14:paraId="5BEC5138" w14:textId="6A7BBB92" w:rsidR="005D6DDD" w:rsidRPr="007D4CA3" w:rsidRDefault="005D6DDD" w:rsidP="00CA6BFC">
      <w:pPr>
        <w:spacing w:line="360" w:lineRule="auto"/>
        <w:jc w:val="both"/>
        <w:rPr>
          <w:rFonts w:ascii="Arial" w:hAnsi="Arial" w:cs="Arial"/>
          <w:bCs/>
          <w:iCs/>
          <w:color w:val="000000" w:themeColor="text1"/>
          <w:kern w:val="32"/>
          <w:sz w:val="22"/>
          <w:szCs w:val="22"/>
          <w:lang w:val="fr-FR"/>
        </w:rPr>
      </w:pPr>
      <w:r w:rsidRPr="007D4CA3">
        <w:rPr>
          <w:rFonts w:ascii="Arial" w:hAnsi="Arial" w:cs="Arial"/>
          <w:bCs/>
          <w:iCs/>
          <w:color w:val="000000" w:themeColor="text1"/>
          <w:kern w:val="32"/>
          <w:sz w:val="22"/>
          <w:szCs w:val="22"/>
          <w:lang w:val="en-US"/>
        </w:rPr>
        <w:t xml:space="preserve">High concentrations of dissolved organic </w:t>
      </w:r>
      <w:r w:rsidRPr="007D4CA3">
        <w:rPr>
          <w:rFonts w:ascii="Arial" w:hAnsi="Arial" w:cs="Arial"/>
          <w:color w:val="000000" w:themeColor="text1"/>
          <w:kern w:val="32"/>
          <w:sz w:val="22"/>
          <w:szCs w:val="22"/>
          <w:lang w:val="en-US"/>
        </w:rPr>
        <w:t xml:space="preserve">nitrogen (DON) and </w:t>
      </w:r>
      <w:r w:rsidRPr="007D4CA3">
        <w:rPr>
          <w:rFonts w:ascii="Arial" w:hAnsi="Arial" w:cs="Arial"/>
          <w:bCs/>
          <w:iCs/>
          <w:color w:val="000000" w:themeColor="text1"/>
          <w:kern w:val="32"/>
          <w:sz w:val="22"/>
          <w:szCs w:val="22"/>
          <w:lang w:val="en-US"/>
        </w:rPr>
        <w:t xml:space="preserve">phosphorus </w:t>
      </w:r>
      <w:r w:rsidRPr="007D4CA3">
        <w:rPr>
          <w:rFonts w:ascii="Arial" w:hAnsi="Arial" w:cs="Arial"/>
          <w:color w:val="000000" w:themeColor="text1"/>
          <w:kern w:val="32"/>
          <w:sz w:val="22"/>
          <w:szCs w:val="22"/>
          <w:lang w:val="en-US"/>
        </w:rPr>
        <w:t>(</w:t>
      </w:r>
      <w:r w:rsidRPr="007D4CA3">
        <w:rPr>
          <w:rFonts w:ascii="Arial" w:hAnsi="Arial" w:cs="Arial"/>
          <w:bCs/>
          <w:iCs/>
          <w:color w:val="000000" w:themeColor="text1"/>
          <w:kern w:val="32"/>
          <w:sz w:val="22"/>
          <w:szCs w:val="22"/>
          <w:lang w:val="en-US"/>
        </w:rPr>
        <w:t>DO</w:t>
      </w:r>
      <w:r w:rsidRPr="007D4CA3">
        <w:rPr>
          <w:rFonts w:ascii="Arial" w:hAnsi="Arial" w:cs="Arial"/>
          <w:color w:val="000000" w:themeColor="text1"/>
          <w:kern w:val="32"/>
          <w:sz w:val="22"/>
          <w:szCs w:val="22"/>
          <w:lang w:val="en-US"/>
        </w:rPr>
        <w:t xml:space="preserve">P) </w:t>
      </w:r>
      <w:r w:rsidRPr="007D4CA3">
        <w:rPr>
          <w:rFonts w:ascii="Arial" w:hAnsi="Arial" w:cs="Arial"/>
          <w:bCs/>
          <w:iCs/>
          <w:color w:val="000000" w:themeColor="text1"/>
          <w:kern w:val="32"/>
          <w:sz w:val="22"/>
          <w:szCs w:val="22"/>
          <w:lang w:val="en-US"/>
        </w:rPr>
        <w:t xml:space="preserve">generally occur in the upper ocean over the tropics where the mixed layer is thin, and become diluted at higher latitudes where the mixed layer is thick </w:t>
      </w:r>
      <w:r w:rsidRPr="007D4CA3">
        <w:rPr>
          <w:rFonts w:ascii="Arial" w:hAnsi="Arial" w:cs="Arial"/>
          <w:bCs/>
          <w:iCs/>
          <w:color w:val="000000" w:themeColor="text1"/>
          <w:kern w:val="32"/>
          <w:sz w:val="22"/>
          <w:szCs w:val="22"/>
          <w:lang w:val="en-US"/>
        </w:rPr>
        <w:fldChar w:fldCharType="begin"/>
      </w:r>
      <w:r w:rsidR="00387A35" w:rsidRPr="007D4CA3">
        <w:rPr>
          <w:rFonts w:ascii="Arial" w:hAnsi="Arial" w:cs="Arial"/>
          <w:bCs/>
          <w:iCs/>
          <w:color w:val="000000" w:themeColor="text1"/>
          <w:kern w:val="32"/>
          <w:sz w:val="22"/>
          <w:szCs w:val="22"/>
          <w:lang w:val="en-US"/>
        </w:rPr>
        <w:instrText xml:space="preserve"> ADDIN ZOTERO_ITEM CSL_CITATION {"citationID":"fcE45A3c","properties":{"formattedCitation":"(Roussenov et al., 2006)","plainCitation":"(Roussenov et al., 2006)","noteIndex":0},"citationItems":[{"id":618,"uris":["http://zotero.org/users/951135/items/T3GXNABC"],"uri":["http://zotero.org/users/951135/items/T3GXNABC"],"itemData":{"id":618,"type":"article-journal","abstract":"A simplified cycling and transport model for inorganic nutrients and dissolved organic nitrogen (DON) and phosphorus (DOP) is applied to the Atlantic, on the basis of recent measurements along a meridional transect. The DON and DOP are separated into semilabile pools with a lifetime of 6 months and a refractory pool which is conserved in the interior, but photochemically breaks down in the euphotic zone with a lifetime of 6–12 years. The semilabile pool typically only makes up 10% of the surface DON, but up to 95% of DOP. DON and DOP are preferentially produced over upwelling zones in the euphotic zone. Elevated surface concentrations of DON and DOP generally occur over the tropics where the mixed layer is thin, but become diluted at higher latitudes where the mixed layer is thick. There is a northward transport of DON and DOP from the tropics into the northern subtropical gyre, as part of the Ekman wind-driven circulation and overturning circulation. At the same time, there is a depth-integrated southward transport of nitrate and phosphate leading to a loss of nitrate and phosphate over the subtropics of the North Atlantic, which is partly compensated by the supply of DON and DOP. Inputs of DON enhance the particle export over the subtropical gyres by typically 0.05 mol N m−2 yr−1, compared with a background model particle export of typically 0.2 mol N m−2 yr−1. Inputs of DOP appear to be more significant (owing to their smaller refractory content) in increasing particle export by typically 12 mmol P m−2 yr−1 over the subtropical gyre, which is sufficiently large to supply half of the phosphorus requirements for particle export.","container-title":"Global Biogeochemical Cycles","DOI":"10.1029/2005GB002510","ISSN":"1944-9224","issue":"3","language":"en","source":"Wiley Online Library","title":"Does the transport of dissolved organic nutrients affect export production in the Atlantic Ocean?","URL":"https://agupubs.onlinelibrary.wiley.com/doi/abs/10.1029/2005GB002510","volume":"20","author":[{"family":"Roussenov","given":"Vassil"},{"family":"Williams","given":"Richard G."},{"family":"Mahaffey","given":"Claire"},{"family":"Wolff","given":"George A."}],"accessed":{"date-parts":[["2019",4,15]]},"issued":{"date-parts":[["2006"]]}}}],"schema":"https://github.com/citation-style-language/schema/raw/master/csl-citation.json"} </w:instrText>
      </w:r>
      <w:r w:rsidRPr="007D4CA3">
        <w:rPr>
          <w:rFonts w:ascii="Arial" w:hAnsi="Arial" w:cs="Arial"/>
          <w:bCs/>
          <w:iCs/>
          <w:color w:val="000000" w:themeColor="text1"/>
          <w:kern w:val="32"/>
          <w:sz w:val="22"/>
          <w:szCs w:val="22"/>
          <w:lang w:val="en-US"/>
        </w:rPr>
        <w:fldChar w:fldCharType="separate"/>
      </w:r>
      <w:r w:rsidRPr="007D4CA3">
        <w:rPr>
          <w:rFonts w:ascii="Arial" w:hAnsi="Arial" w:cs="Arial"/>
          <w:bCs/>
          <w:iCs/>
          <w:noProof/>
          <w:color w:val="000000" w:themeColor="text1"/>
          <w:kern w:val="32"/>
          <w:sz w:val="22"/>
          <w:szCs w:val="22"/>
          <w:lang w:val="en-US"/>
        </w:rPr>
        <w:t>(Roussenov et al., 2006)</w:t>
      </w:r>
      <w:r w:rsidRPr="007D4CA3">
        <w:rPr>
          <w:rFonts w:ascii="Arial" w:hAnsi="Arial" w:cs="Arial"/>
          <w:bCs/>
          <w:iCs/>
          <w:color w:val="000000" w:themeColor="text1"/>
          <w:kern w:val="32"/>
          <w:sz w:val="22"/>
          <w:szCs w:val="22"/>
          <w:lang w:val="en-US"/>
        </w:rPr>
        <w:fldChar w:fldCharType="end"/>
      </w:r>
      <w:r w:rsidRPr="007D4CA3">
        <w:rPr>
          <w:rFonts w:ascii="Arial" w:hAnsi="Arial" w:cs="Arial"/>
          <w:bCs/>
          <w:iCs/>
          <w:color w:val="000000" w:themeColor="text1"/>
          <w:kern w:val="32"/>
          <w:sz w:val="22"/>
          <w:szCs w:val="22"/>
          <w:lang w:val="en-US"/>
        </w:rPr>
        <w:t xml:space="preserve">. From the tropics, DON and DOP are transported northwards as result of the Ekman wind-driven and overturning circulation </w:t>
      </w:r>
      <w:r w:rsidRPr="007D4CA3">
        <w:rPr>
          <w:rFonts w:ascii="Arial" w:hAnsi="Arial" w:cs="Arial"/>
          <w:bCs/>
          <w:iCs/>
          <w:color w:val="000000" w:themeColor="text1"/>
          <w:kern w:val="32"/>
          <w:sz w:val="22"/>
          <w:szCs w:val="22"/>
          <w:lang w:val="en-US"/>
        </w:rPr>
        <w:fldChar w:fldCharType="begin"/>
      </w:r>
      <w:r w:rsidR="00387A35" w:rsidRPr="007D4CA3">
        <w:rPr>
          <w:rFonts w:ascii="Arial" w:hAnsi="Arial" w:cs="Arial"/>
          <w:bCs/>
          <w:iCs/>
          <w:color w:val="000000" w:themeColor="text1"/>
          <w:kern w:val="32"/>
          <w:sz w:val="22"/>
          <w:szCs w:val="22"/>
          <w:lang w:val="en-US"/>
        </w:rPr>
        <w:instrText xml:space="preserve"> ADDIN ZOTERO_ITEM CSL_CITATION {"citationID":"UTsKMZ1y","properties":{"formattedCitation":"(Roussenov et al., 2006)","plainCitation":"(Roussenov et al., 2006)","noteIndex":0},"citationItems":[{"id":618,"uris":["http://zotero.org/users/951135/items/T3GXNABC"],"uri":["http://zotero.org/users/951135/items/T3GXNABC"],"itemData":{"id":618,"type":"article-journal","abstract":"A simplified cycling and transport model for inorganic nutrients and dissolved organic nitrogen (DON) and phosphorus (DOP) is applied to the Atlantic, on the basis of recent measurements along a meridional transect. The DON and DOP are separated into semilabile pools with a lifetime of 6 months and a refractory pool which is conserved in the interior, but photochemically breaks down in the euphotic zone with a lifetime of 6–12 years. The semilabile pool typically only makes up 10% of the surface DON, but up to 95% of DOP. DON and DOP are preferentially produced over upwelling zones in the euphotic zone. Elevated surface concentrations of DON and DOP generally occur over the tropics where the mixed layer is thin, but become diluted at higher latitudes where the mixed layer is thick. There is a northward transport of DON and DOP from the tropics into the northern subtropical gyre, as part of the Ekman wind-driven circulation and overturning circulation. At the same time, there is a depth-integrated southward transport of nitrate and phosphate leading to a loss of nitrate and phosphate over the subtropics of the North Atlantic, which is partly compensated by the supply of DON and DOP. Inputs of DON enhance the particle export over the subtropical gyres by typically 0.05 mol N m−2 yr−1, compared with a background model particle export of typically 0.2 mol N m−2 yr−1. Inputs of DOP appear to be more significant (owing to their smaller refractory content) in increasing particle export by typically 12 mmol P m−2 yr−1 over the subtropical gyre, which is sufficiently large to supply half of the phosphorus requirements for particle export.","container-title":"Global Biogeochemical Cycles","DOI":"10.1029/2005GB002510","ISSN":"1944-9224","issue":"3","language":"en","source":"Wiley Online Library","title":"Does the transport of dissolved organic nutrients affect export production in the Atlantic Ocean?","URL":"https://agupubs.onlinelibrary.wiley.com/doi/abs/10.1029/2005GB002510","volume":"20","author":[{"family":"Roussenov","given":"Vassil"},{"family":"Williams","given":"Richard G."},{"family":"Mahaffey","given":"Claire"},{"family":"Wolff","given":"George A."}],"accessed":{"date-parts":[["2019",4,15]]},"issued":{"date-parts":[["2006"]]}}}],"schema":"https://github.com/citation-style-language/schema/raw/master/csl-citation.json"} </w:instrText>
      </w:r>
      <w:r w:rsidRPr="007D4CA3">
        <w:rPr>
          <w:rFonts w:ascii="Arial" w:hAnsi="Arial" w:cs="Arial"/>
          <w:bCs/>
          <w:iCs/>
          <w:color w:val="000000" w:themeColor="text1"/>
          <w:kern w:val="32"/>
          <w:sz w:val="22"/>
          <w:szCs w:val="22"/>
          <w:lang w:val="en-US"/>
        </w:rPr>
        <w:fldChar w:fldCharType="separate"/>
      </w:r>
      <w:r w:rsidRPr="007D4CA3">
        <w:rPr>
          <w:rFonts w:ascii="Arial" w:hAnsi="Arial" w:cs="Arial"/>
          <w:bCs/>
          <w:iCs/>
          <w:noProof/>
          <w:color w:val="000000" w:themeColor="text1"/>
          <w:kern w:val="32"/>
          <w:sz w:val="22"/>
          <w:szCs w:val="22"/>
          <w:lang w:val="en-US"/>
        </w:rPr>
        <w:t>(Roussenov et al., 2006)</w:t>
      </w:r>
      <w:r w:rsidRPr="007D4CA3">
        <w:rPr>
          <w:rFonts w:ascii="Arial" w:hAnsi="Arial" w:cs="Arial"/>
          <w:bCs/>
          <w:iCs/>
          <w:color w:val="000000" w:themeColor="text1"/>
          <w:kern w:val="32"/>
          <w:sz w:val="22"/>
          <w:szCs w:val="22"/>
          <w:lang w:val="en-US"/>
        </w:rPr>
        <w:fldChar w:fldCharType="end"/>
      </w:r>
      <w:r w:rsidRPr="007D4CA3">
        <w:rPr>
          <w:rFonts w:ascii="Arial" w:hAnsi="Arial" w:cs="Arial"/>
          <w:bCs/>
          <w:iCs/>
          <w:color w:val="000000" w:themeColor="text1"/>
          <w:kern w:val="32"/>
          <w:sz w:val="22"/>
          <w:szCs w:val="22"/>
          <w:lang w:val="en-US"/>
        </w:rPr>
        <w:t xml:space="preserve">. Of the total DON, </w:t>
      </w:r>
      <w:r w:rsidRPr="007D4CA3">
        <w:rPr>
          <w:rFonts w:ascii="Arial" w:hAnsi="Arial" w:cs="Arial"/>
          <w:color w:val="000000" w:themeColor="text1"/>
          <w:kern w:val="32"/>
          <w:sz w:val="22"/>
          <w:szCs w:val="22"/>
          <w:lang w:val="en-US"/>
        </w:rPr>
        <w:t xml:space="preserve">less than 10% </w:t>
      </w:r>
      <w:r w:rsidRPr="007D4CA3">
        <w:rPr>
          <w:rFonts w:ascii="Arial" w:hAnsi="Arial" w:cs="Arial"/>
          <w:bCs/>
          <w:iCs/>
          <w:color w:val="000000" w:themeColor="text1"/>
          <w:kern w:val="32"/>
          <w:sz w:val="22"/>
          <w:szCs w:val="22"/>
          <w:lang w:val="en-US"/>
        </w:rPr>
        <w:t xml:space="preserve">is semilabile </w:t>
      </w:r>
      <w:r w:rsidRPr="007D4CA3">
        <w:rPr>
          <w:rFonts w:ascii="Arial" w:hAnsi="Arial" w:cs="Arial"/>
          <w:bCs/>
          <w:iCs/>
          <w:color w:val="000000" w:themeColor="text1"/>
          <w:kern w:val="32"/>
          <w:sz w:val="22"/>
          <w:szCs w:val="22"/>
          <w:lang w:val="en-US"/>
        </w:rPr>
        <w:fldChar w:fldCharType="begin"/>
      </w:r>
      <w:r w:rsidR="00387A35" w:rsidRPr="007D4CA3">
        <w:rPr>
          <w:rFonts w:ascii="Arial" w:hAnsi="Arial" w:cs="Arial"/>
          <w:bCs/>
          <w:iCs/>
          <w:color w:val="000000" w:themeColor="text1"/>
          <w:kern w:val="32"/>
          <w:sz w:val="22"/>
          <w:szCs w:val="22"/>
          <w:lang w:val="en-US"/>
        </w:rPr>
        <w:instrText xml:space="preserve"> ADDIN ZOTERO_ITEM CSL_CITATION {"citationID":"dADEkMsL","properties":{"formattedCitation":"(Mahaffey et al., 2004; Roussenov et al., 2006)","plainCitation":"(Mahaffey et al., 2004; Roussenov et al., 2006)","noteIndex":0},"citationItems":[{"id":620,"uris":["http://zotero.org/users/951135/items/5S9VLAWU"],"uri":["http://zotero.org/users/951135/items/5S9VLAWU"],"itemData":{"id":620,"type":"article-journal","abstract":"Mechanisms supplying nitrogen (N) to phytoplankton, and thus constraining the levels of export production, over the oligotrophic subtropical Atlantic are assessed along a meridional transect. Stable nitrogen isotope signals reveal a localized region of N2 fixation over the northern subtropical gyre. Elsewhere, particulate organic nitrogen was isotopically enriched and there was no widespread evidence of a trophic bias. Thus phytoplankton are utilizing an enriched source of N along the transect through much of the oligotrophic Atlantic, which may reflect utilization of nitrate from the deep ocean or, possibly, a supply of dissolved organic nitrogen (DON) from a non-N2 fixing source. While there is a significant supply of DON over the subtropical gyres, reaching 0.15 mol Nm−2 yr−1, less than 10% of the DON is semilabile and thus only implies a relatively small contribution to the nitrogen supply required for export production. Over the central part of the subtropical gyres, the supply of N to phytoplankton is probably from nitrate in the underlying thermocline, possibly from convection and diapycnic transfer, or more likely, from finescale upwelling by mesoscale eddies and frontal circulations. The lateral supply of dissolved organic phosphorus (DOP) appears to be a factor of 2–3 times more important than the lateral supply of semilabile DON, and thus might play a role in contributing to the phosphorus (P) supply for phytoplankton. The lateral supply of DON and DOP might also be important in closing the N and P budgets over the North Atlantic.","container-title":"Global Biogeochemical Cycles","DOI":"10.1029/2003GB002129","ISSN":"1944-9224","issue":"1","language":"en","source":"Wiley Online Library","title":"Physical supply of nitrogen to phytoplankton in the Atlantic Ocean","URL":"https://agupubs.onlinelibrary.wiley.com/doi/abs/10.1029/2003GB002129","volume":"18","author":[{"family":"Mahaffey","given":"Claire"},{"family":"Williams","given":"Richard G."},{"family":"Wolff","given":"George A."},{"family":"Anderson","given":"William T."}],"accessed":{"date-parts":[["2019",4,15]]},"issued":{"date-parts":[["2004"]]}}},{"id":618,"uris":["http://zotero.org/users/951135/items/T3GXNABC"],"uri":["http://zotero.org/users/951135/items/T3GXNABC"],"itemData":{"id":618,"type":"article-journal","abstract":"A simplified cycling and transport model for inorganic nutrients and dissolved organic nitrogen (DON) and phosphorus (DOP) is applied to the Atlantic, on the basis of recent measurements along a meridional transect. The DON and DOP are separated into semilabile pools with a lifetime of 6 months and a refractory pool which is conserved in the interior, but photochemically breaks down in the euphotic zone with a lifetime of 6–12 years. The semilabile pool typically only makes up 10% of the surface DON, but up to 95% of DOP. DON and DOP are preferentially produced over upwelling zones in the euphotic zone. Elevated surface concentrations of DON and DOP generally occur over the tropics where the mixed layer is thin, but become diluted at higher latitudes where the mixed layer is thick. There is a northward transport of DON and DOP from the tropics into the northern subtropical gyre, as part of the Ekman wind-driven circulation and overturning circulation. At the same time, there is a depth-integrated southward transport of nitrate and phosphate leading to a loss of nitrate and phosphate over the subtropics of the North Atlantic, which is partly compensated by the supply of DON and DOP. Inputs of DON enhance the particle export over the subtropical gyres by typically 0.05 mol N m−2 yr−1, compared with a background model particle export of typically 0.2 mol N m−2 yr−1. Inputs of DOP appear to be more significant (owing to their smaller refractory content) in increasing particle export by typically 12 mmol P m−2 yr−1 over the subtropical gyre, which is sufficiently large to supply half of the phosphorus requirements for particle export.","container-title":"Global Biogeochemical Cycles","DOI":"10.1029/2005GB002510","ISSN":"1944-9224","issue":"3","language":"en","source":"Wiley Online Library","title":"Does the transport of dissolved organic nutrients affect export production in the Atlantic Ocean?","URL":"https://agupubs.onlinelibrary.wiley.com/doi/abs/10.1029/2005GB002510","volume":"20","author":[{"family":"Roussenov","given":"Vassil"},{"family":"Williams","given":"Richard G."},{"family":"Mahaffey","given":"Claire"},{"family":"Wolff","given":"George A."}],"accessed":{"date-parts":[["2019",4,15]]},"issued":{"date-parts":[["2006"]]}}}],"schema":"https://github.com/citation-style-language/schema/raw/master/csl-citation.json"} </w:instrText>
      </w:r>
      <w:r w:rsidRPr="007D4CA3">
        <w:rPr>
          <w:rFonts w:ascii="Arial" w:hAnsi="Arial" w:cs="Arial"/>
          <w:bCs/>
          <w:iCs/>
          <w:color w:val="000000" w:themeColor="text1"/>
          <w:kern w:val="32"/>
          <w:sz w:val="22"/>
          <w:szCs w:val="22"/>
          <w:lang w:val="en-US"/>
        </w:rPr>
        <w:fldChar w:fldCharType="separate"/>
      </w:r>
      <w:r w:rsidRPr="007D4CA3">
        <w:rPr>
          <w:rFonts w:ascii="Arial" w:hAnsi="Arial" w:cs="Arial"/>
          <w:bCs/>
          <w:iCs/>
          <w:noProof/>
          <w:color w:val="000000" w:themeColor="text1"/>
          <w:kern w:val="32"/>
          <w:sz w:val="22"/>
          <w:szCs w:val="22"/>
          <w:lang w:val="en-US"/>
        </w:rPr>
        <w:t>(Mahaffey et al., 2004; Roussenov et al., 2006)</w:t>
      </w:r>
      <w:r w:rsidRPr="007D4CA3">
        <w:rPr>
          <w:rFonts w:ascii="Arial" w:hAnsi="Arial" w:cs="Arial"/>
          <w:bCs/>
          <w:iCs/>
          <w:color w:val="000000" w:themeColor="text1"/>
          <w:kern w:val="32"/>
          <w:sz w:val="22"/>
          <w:szCs w:val="22"/>
          <w:lang w:val="en-US"/>
        </w:rPr>
        <w:fldChar w:fldCharType="end"/>
      </w:r>
      <w:r w:rsidR="00304F44" w:rsidRPr="007D4CA3">
        <w:rPr>
          <w:rFonts w:ascii="Arial" w:hAnsi="Arial" w:cs="Arial"/>
          <w:bCs/>
          <w:iCs/>
          <w:color w:val="000000" w:themeColor="text1"/>
          <w:kern w:val="32"/>
          <w:sz w:val="22"/>
          <w:szCs w:val="22"/>
          <w:lang w:val="en-US"/>
        </w:rPr>
        <w:t xml:space="preserve">, which </w:t>
      </w:r>
      <w:r w:rsidRPr="007D4CA3">
        <w:rPr>
          <w:rFonts w:ascii="Arial" w:hAnsi="Arial" w:cs="Arial"/>
          <w:bCs/>
          <w:iCs/>
          <w:color w:val="000000" w:themeColor="text1"/>
          <w:kern w:val="32"/>
          <w:sz w:val="22"/>
          <w:szCs w:val="22"/>
          <w:lang w:val="en-US"/>
        </w:rPr>
        <w:t>implies only a relatively small contribution to</w:t>
      </w:r>
      <w:r w:rsidRPr="007D4CA3">
        <w:rPr>
          <w:rFonts w:ascii="Arial" w:hAnsi="Arial" w:cs="Arial"/>
          <w:color w:val="000000" w:themeColor="text1"/>
          <w:kern w:val="32"/>
          <w:sz w:val="22"/>
          <w:szCs w:val="22"/>
          <w:lang w:val="en-US"/>
        </w:rPr>
        <w:t xml:space="preserve"> the nitrogen supply required for export production. However, about </w:t>
      </w:r>
      <w:r w:rsidRPr="007D4CA3">
        <w:rPr>
          <w:rFonts w:ascii="Arial" w:hAnsi="Arial" w:cs="Arial"/>
          <w:bCs/>
          <w:iCs/>
          <w:color w:val="000000" w:themeColor="text1"/>
          <w:kern w:val="32"/>
          <w:sz w:val="22"/>
          <w:szCs w:val="22"/>
          <w:lang w:val="en-US"/>
        </w:rPr>
        <w:t>95% of the newly formed DOP is semilabil</w:t>
      </w:r>
      <w:r w:rsidRPr="007D4CA3">
        <w:rPr>
          <w:rFonts w:ascii="Arial" w:hAnsi="Arial" w:cs="Arial"/>
          <w:color w:val="000000" w:themeColor="text1"/>
          <w:kern w:val="32"/>
          <w:sz w:val="22"/>
          <w:szCs w:val="22"/>
          <w:lang w:val="en-US"/>
        </w:rPr>
        <w:t xml:space="preserve">e </w:t>
      </w:r>
      <w:r w:rsidRPr="007D4CA3">
        <w:rPr>
          <w:rFonts w:ascii="Arial" w:hAnsi="Arial" w:cs="Arial"/>
          <w:color w:val="000000" w:themeColor="text1"/>
          <w:kern w:val="32"/>
          <w:sz w:val="22"/>
          <w:szCs w:val="22"/>
          <w:lang w:val="en-US"/>
        </w:rPr>
        <w:fldChar w:fldCharType="begin"/>
      </w:r>
      <w:r w:rsidR="00387A35" w:rsidRPr="007D4CA3">
        <w:rPr>
          <w:rFonts w:ascii="Arial" w:hAnsi="Arial" w:cs="Arial"/>
          <w:color w:val="000000" w:themeColor="text1"/>
          <w:kern w:val="32"/>
          <w:sz w:val="22"/>
          <w:szCs w:val="22"/>
          <w:lang w:val="en-US"/>
        </w:rPr>
        <w:instrText xml:space="preserve"> ADDIN ZOTERO_ITEM CSL_CITATION {"citationID":"OoGmtCtE","properties":{"formattedCitation":"(Roussenov et al., 2006; Torres\\uc0\\u8208{}Vald\\uc0\\u233{}s et al., 2009)","plainCitation":"(Roussenov et al., 2006; Torres</w:instrText>
      </w:r>
      <w:r w:rsidR="00387A35" w:rsidRPr="007D4CA3">
        <w:rPr>
          <w:rFonts w:ascii="Cambria Math" w:hAnsi="Cambria Math" w:cs="Cambria Math"/>
          <w:color w:val="000000" w:themeColor="text1"/>
          <w:kern w:val="32"/>
          <w:sz w:val="22"/>
          <w:szCs w:val="22"/>
          <w:lang w:val="en-US"/>
        </w:rPr>
        <w:instrText>‐</w:instrText>
      </w:r>
      <w:r w:rsidR="00387A35" w:rsidRPr="007D4CA3">
        <w:rPr>
          <w:rFonts w:ascii="Arial" w:hAnsi="Arial" w:cs="Arial"/>
          <w:color w:val="000000" w:themeColor="text1"/>
          <w:kern w:val="32"/>
          <w:sz w:val="22"/>
          <w:szCs w:val="22"/>
          <w:lang w:val="en-US"/>
        </w:rPr>
        <w:instrText>Valdés et al., 2009)","noteIndex":0},"citationItems":[{"id":618,"uris":["http://zotero.org/users/951135/items/T3GXNABC"],"uri":["http://zotero.org/users/951135/items/T3GXNABC"],"itemData":{"id":618,"type":"article-journal","abstract":"A simplified cycling and transport model for inorganic nutrients and dissolved organic nitrogen (DON) and phosphorus (DOP) is applied to the Atlantic, on the basis of recent measurements along a meridional transect. The DON and DOP are separated into semilabile pools with a lifetime of 6 months and a refractory pool which is conserved in the interior, but photochemically breaks down in the euphotic zone with a lifetime of 6–12 years. The semilabile pool typically only makes up 10% of the surface DON, but up to 95% of DOP. DON and DOP are preferentially produced over upwelling zones in the euphotic zone. Elevated surface concentrations of DON and DOP generally occur over the tropics where the mixed layer is thin, but become diluted at higher latitudes where the mixed layer is thick. There is a northward transport of DON and DOP from the tropics into the northern subtropical gyre, as part of the Ekman wind-driven circulation and overturning circulation. At the same time, there is a depth-integrated southward transport of nitrate and phosphate leading to a loss of nitrate and phosphate over the subtropics of the North Atlantic, which is partly compensated by the supply of DON and DOP. Inputs of DON enhance the particle export over the subtropical gyres by typically 0.05 mol N m−2 yr−1, compared with a background model particle export of typically 0.2 mol N m−2 yr−1. Inputs of DOP appear to be more significant (owing to their smaller refractory content) in increasing particle export by typically 12 mmol P m−2 yr−1 over the subtropical gyre, which is sufficiently large to supply half of the phosphorus requirements for particle export.","container-title":"Global Biogeochemical Cycles","DOI":"10.1029/2005GB002510","ISSN":"1944-9224","issue":"3","language":"en","source":"Wiley Online Library","title":"Does the transport of dissolved organic nutrients affect export production in the Atlantic Ocean?","URL":"https://agupubs.onlinelibrary.wiley.com/doi/abs/10.1029/2005GB002510","volume":"20","author":[{"family":"Roussenov","given":"Vassil"},{"family":"Williams","given":"Richard G."},{"family":"Mahaffey","given":"Claire"},{"family":"Wolff","given":"George A."}],"accessed":{"date-parts":[["2019",4,15]]},"issued":{"date-parts":[["2006"]]}}},{"id":619,"uris":["http://zotero.org/users/951135/items/9TLDPSZR"],"uri":["http://zotero.org/users/951135/items/9TLDPSZR"],"itemData":{"id":619,"type":"article-journal","abstract":"A synthesis is provided of dissolved organic nitrogen (DON) and phosphorus (DOP) distributions over the Atlantic Ocean based upon field data from eight recent transects, six meridional between 50°N and 50°S and two zonal at 24° and 36°N. Over the entire tropical and subtropical Atlantic, DON and DOP provide the dominant contributions to total nitrogen and phosphorus pools for surface waters above the thermocline. Elevated DON and DOP concentrations (&gt;5 and &gt;0.2 μmol L−1, respectively) occur in surface waters on the eastern side of the North Atlantic subtropical gyre and equatorial sides of both the North and South Atlantic subtropical gyres, while particularly low concentrations of DOP (&lt;0.05 μmol L−1) occur over the northern flank of the North Atlantic subtropical gyre along 36°N. This distribution is consistent with organic nutrients formed at the gyre margins supporting carbon export as they are redistributed via the gyre circulation. The effect of DON and DOP transport and cycling on export production is examined in an eddy-permitting, coupled physical and nutrient model integrated for 40 years: organic nutrients are produced in the upwelling zones off North Africa and transferred laterally into the gyre interior, facilitated in part by the mesoscale eddy circulation, as well as fluxed northward from the tropics as part of the overturning circulation. Inputs of semilabile DON and DOP to the tropical and subtropical Atlantic Ocean play an important role in sustaining up to typically 40 and 70% of the modeled particulate N and P export, particularly on the eastern and equatorward sides of the subtropical gyres.","container-title":"Global Biogeochemical Cycles","DOI":"10.1029/2008GB003389","ISSN":"1944-9224","issue":"4","language":"en","source":"Wiley Online Library","title":"Distribution of dissolved organic nutrients and their effect on export production over the Atlantic Ocean","URL":"https://agupubs.onlinelibrary.wiley.com/doi/abs/10.1029/2008GB003389","volume":"23","author":[{"family":"Torres</w:instrText>
      </w:r>
      <w:r w:rsidR="00387A35" w:rsidRPr="007D4CA3">
        <w:rPr>
          <w:rFonts w:ascii="Cambria Math" w:hAnsi="Cambria Math" w:cs="Cambria Math"/>
          <w:color w:val="000000" w:themeColor="text1"/>
          <w:kern w:val="32"/>
          <w:sz w:val="22"/>
          <w:szCs w:val="22"/>
          <w:lang w:val="en-US"/>
        </w:rPr>
        <w:instrText>‐</w:instrText>
      </w:r>
      <w:r w:rsidR="00387A35" w:rsidRPr="007D4CA3">
        <w:rPr>
          <w:rFonts w:ascii="Arial" w:hAnsi="Arial" w:cs="Arial"/>
          <w:color w:val="000000" w:themeColor="text1"/>
          <w:kern w:val="32"/>
          <w:sz w:val="22"/>
          <w:szCs w:val="22"/>
          <w:lang w:val="en-US"/>
        </w:rPr>
        <w:instrText xml:space="preserve">Valdés","given":"S."},{"family":"Roussenov","given":"V. M."},{"family":"Sanders","given":"R."},{"family":"Reynolds","given":"S."},{"family":"Pan","given":"X."},{"family":"Mather","given":"R."},{"family":"Landolfi","given":"A."},{"family":"Wolff","given":"G. A."},{"family":"Achterberg","given":"E. P."},{"family":"Williams","given":"R. G."}],"accessed":{"date-parts":[["2019",4,15]]},"issued":{"date-parts":[["2009"]]}}}],"schema":"https://github.com/citation-style-language/schema/raw/master/csl-citation.json"} </w:instrText>
      </w:r>
      <w:r w:rsidRPr="007D4CA3">
        <w:rPr>
          <w:rFonts w:ascii="Arial" w:hAnsi="Arial" w:cs="Arial"/>
          <w:color w:val="000000" w:themeColor="text1"/>
          <w:kern w:val="32"/>
          <w:sz w:val="22"/>
          <w:szCs w:val="22"/>
          <w:lang w:val="en-US"/>
        </w:rPr>
        <w:fldChar w:fldCharType="separate"/>
      </w:r>
      <w:r w:rsidR="00552CAB" w:rsidRPr="007D4CA3">
        <w:rPr>
          <w:rFonts w:ascii="Arial" w:hAnsi="Arial" w:cs="Arial"/>
          <w:color w:val="000000" w:themeColor="text1"/>
          <w:sz w:val="22"/>
          <w:lang w:val="en-US"/>
        </w:rPr>
        <w:t>(Roussenov et al., 2006; Torres</w:t>
      </w:r>
      <w:r w:rsidR="00552CAB" w:rsidRPr="007D4CA3">
        <w:rPr>
          <w:rFonts w:ascii="Cambria Math" w:hAnsi="Cambria Math" w:cs="Cambria Math"/>
          <w:color w:val="000000" w:themeColor="text1"/>
          <w:sz w:val="22"/>
          <w:lang w:val="en-US"/>
        </w:rPr>
        <w:t>‐</w:t>
      </w:r>
      <w:r w:rsidR="00552CAB" w:rsidRPr="007D4CA3">
        <w:rPr>
          <w:rFonts w:ascii="Arial" w:hAnsi="Arial" w:cs="Arial"/>
          <w:color w:val="000000" w:themeColor="text1"/>
          <w:sz w:val="22"/>
          <w:lang w:val="en-US"/>
        </w:rPr>
        <w:t>Valdés et al., 2009)</w:t>
      </w:r>
      <w:r w:rsidRPr="007D4CA3">
        <w:rPr>
          <w:rFonts w:ascii="Arial" w:hAnsi="Arial" w:cs="Arial"/>
          <w:color w:val="000000" w:themeColor="text1"/>
          <w:kern w:val="32"/>
          <w:sz w:val="22"/>
          <w:szCs w:val="22"/>
          <w:lang w:val="en-US"/>
        </w:rPr>
        <w:fldChar w:fldCharType="end"/>
      </w:r>
      <w:r w:rsidRPr="007D4CA3">
        <w:rPr>
          <w:rFonts w:ascii="Arial" w:hAnsi="Arial" w:cs="Arial"/>
          <w:color w:val="000000" w:themeColor="text1"/>
          <w:kern w:val="32"/>
          <w:sz w:val="22"/>
          <w:szCs w:val="22"/>
          <w:lang w:val="en-US"/>
        </w:rPr>
        <w:t>. Therefore, the</w:t>
      </w:r>
      <w:r w:rsidRPr="007D4CA3">
        <w:rPr>
          <w:rFonts w:ascii="Arial" w:hAnsi="Arial" w:cs="Arial"/>
          <w:bCs/>
          <w:iCs/>
          <w:color w:val="000000" w:themeColor="text1"/>
          <w:kern w:val="32"/>
          <w:sz w:val="22"/>
          <w:szCs w:val="22"/>
          <w:lang w:val="en-US"/>
        </w:rPr>
        <w:t xml:space="preserve"> lateral supply </w:t>
      </w:r>
      <w:r w:rsidR="00F8506F" w:rsidRPr="007D4CA3">
        <w:rPr>
          <w:rFonts w:ascii="Arial" w:hAnsi="Arial" w:cs="Arial"/>
          <w:bCs/>
          <w:iCs/>
          <w:color w:val="000000" w:themeColor="text1"/>
          <w:kern w:val="32"/>
          <w:sz w:val="22"/>
          <w:szCs w:val="22"/>
          <w:lang w:val="en-US"/>
        </w:rPr>
        <w:t xml:space="preserve">from the tropics </w:t>
      </w:r>
      <w:r w:rsidRPr="007D4CA3">
        <w:rPr>
          <w:rFonts w:ascii="Arial" w:hAnsi="Arial" w:cs="Arial"/>
          <w:bCs/>
          <w:iCs/>
          <w:color w:val="000000" w:themeColor="text1"/>
          <w:kern w:val="32"/>
          <w:sz w:val="22"/>
          <w:szCs w:val="22"/>
          <w:lang w:val="en-US"/>
        </w:rPr>
        <w:t>of this organic fraction</w:t>
      </w:r>
      <w:r w:rsidR="00F8506F" w:rsidRPr="007D4CA3">
        <w:rPr>
          <w:rFonts w:ascii="Arial" w:hAnsi="Arial" w:cs="Arial"/>
          <w:bCs/>
          <w:iCs/>
          <w:color w:val="000000" w:themeColor="text1"/>
          <w:kern w:val="32"/>
          <w:sz w:val="22"/>
          <w:szCs w:val="22"/>
          <w:lang w:val="en-US"/>
        </w:rPr>
        <w:t xml:space="preserve"> (particularly DOP)</w:t>
      </w:r>
      <w:r w:rsidRPr="007D4CA3">
        <w:rPr>
          <w:rFonts w:ascii="Arial" w:hAnsi="Arial" w:cs="Arial"/>
          <w:bCs/>
          <w:iCs/>
          <w:color w:val="000000" w:themeColor="text1"/>
          <w:kern w:val="32"/>
          <w:sz w:val="22"/>
          <w:szCs w:val="22"/>
          <w:lang w:val="en-US"/>
        </w:rPr>
        <w:t xml:space="preserve"> </w:t>
      </w:r>
      <w:r w:rsidRPr="007D4CA3">
        <w:rPr>
          <w:rFonts w:ascii="Arial" w:hAnsi="Arial" w:cs="Arial"/>
          <w:color w:val="000000" w:themeColor="text1"/>
          <w:kern w:val="32"/>
          <w:sz w:val="22"/>
          <w:szCs w:val="22"/>
          <w:lang w:val="en-US"/>
        </w:rPr>
        <w:t xml:space="preserve">might be of relevance to </w:t>
      </w:r>
      <w:r w:rsidR="00102F7C" w:rsidRPr="007D4CA3">
        <w:rPr>
          <w:rFonts w:ascii="Arial" w:hAnsi="Arial" w:cs="Arial"/>
          <w:color w:val="000000" w:themeColor="text1"/>
          <w:kern w:val="32"/>
          <w:sz w:val="22"/>
          <w:szCs w:val="22"/>
          <w:lang w:val="en-US"/>
        </w:rPr>
        <w:t>‘</w:t>
      </w:r>
      <w:r w:rsidRPr="007D4CA3">
        <w:rPr>
          <w:rFonts w:ascii="Arial" w:hAnsi="Arial" w:cs="Arial"/>
          <w:color w:val="000000" w:themeColor="text1"/>
          <w:kern w:val="32"/>
          <w:sz w:val="22"/>
          <w:szCs w:val="22"/>
          <w:lang w:val="en-US"/>
        </w:rPr>
        <w:t>close</w:t>
      </w:r>
      <w:r w:rsidR="00102F7C" w:rsidRPr="007D4CA3">
        <w:rPr>
          <w:rFonts w:ascii="Arial" w:hAnsi="Arial" w:cs="Arial"/>
          <w:color w:val="000000" w:themeColor="text1"/>
          <w:kern w:val="32"/>
          <w:sz w:val="22"/>
          <w:szCs w:val="22"/>
          <w:lang w:val="en-US"/>
        </w:rPr>
        <w:t>’</w:t>
      </w:r>
      <w:r w:rsidRPr="007D4CA3">
        <w:rPr>
          <w:rFonts w:ascii="Arial" w:hAnsi="Arial" w:cs="Arial"/>
          <w:color w:val="000000" w:themeColor="text1"/>
          <w:kern w:val="32"/>
          <w:sz w:val="22"/>
          <w:szCs w:val="22"/>
          <w:lang w:val="en-US"/>
        </w:rPr>
        <w:t xml:space="preserve"> the </w:t>
      </w:r>
      <w:r w:rsidR="00F8506F" w:rsidRPr="007D4CA3">
        <w:rPr>
          <w:rFonts w:ascii="Arial" w:hAnsi="Arial" w:cs="Arial"/>
          <w:bCs/>
          <w:iCs/>
          <w:color w:val="000000" w:themeColor="text1"/>
          <w:kern w:val="32"/>
          <w:sz w:val="22"/>
          <w:szCs w:val="22"/>
          <w:lang w:val="en-US"/>
        </w:rPr>
        <w:lastRenderedPageBreak/>
        <w:t>nutrient</w:t>
      </w:r>
      <w:r w:rsidRPr="007D4CA3">
        <w:rPr>
          <w:rFonts w:ascii="Arial" w:hAnsi="Arial" w:cs="Arial"/>
          <w:color w:val="000000" w:themeColor="text1"/>
          <w:kern w:val="32"/>
          <w:sz w:val="22"/>
          <w:szCs w:val="22"/>
          <w:lang w:val="en-US"/>
        </w:rPr>
        <w:t xml:space="preserve"> </w:t>
      </w:r>
      <w:r w:rsidRPr="007D4CA3">
        <w:rPr>
          <w:rFonts w:ascii="Arial" w:hAnsi="Arial" w:cs="Arial"/>
          <w:bCs/>
          <w:iCs/>
          <w:color w:val="000000" w:themeColor="text1"/>
          <w:kern w:val="32"/>
          <w:sz w:val="22"/>
          <w:szCs w:val="22"/>
          <w:lang w:val="en-US"/>
        </w:rPr>
        <w:t>budgets in the North</w:t>
      </w:r>
      <w:r w:rsidRPr="007D4CA3">
        <w:rPr>
          <w:rFonts w:ascii="Arial" w:hAnsi="Arial" w:cs="Arial"/>
          <w:color w:val="000000" w:themeColor="text1"/>
          <w:kern w:val="32"/>
          <w:sz w:val="22"/>
          <w:szCs w:val="22"/>
          <w:lang w:val="en-US"/>
        </w:rPr>
        <w:t xml:space="preserve"> </w:t>
      </w:r>
      <w:r w:rsidRPr="007D4CA3">
        <w:rPr>
          <w:rFonts w:ascii="Arial" w:hAnsi="Arial" w:cs="Arial"/>
          <w:bCs/>
          <w:iCs/>
          <w:color w:val="000000" w:themeColor="text1"/>
          <w:kern w:val="32"/>
          <w:sz w:val="22"/>
          <w:szCs w:val="22"/>
          <w:lang w:val="en-US"/>
        </w:rPr>
        <w:t>Atlantic</w:t>
      </w:r>
      <w:r w:rsidRPr="007D4CA3">
        <w:rPr>
          <w:rFonts w:ascii="Arial" w:hAnsi="Arial" w:cs="Arial"/>
          <w:color w:val="000000" w:themeColor="text1"/>
          <w:kern w:val="32"/>
          <w:sz w:val="22"/>
          <w:szCs w:val="22"/>
          <w:lang w:val="en-US"/>
        </w:rPr>
        <w:t xml:space="preserve"> </w:t>
      </w:r>
      <w:r w:rsidRPr="007D4CA3">
        <w:rPr>
          <w:rFonts w:ascii="Arial" w:hAnsi="Arial" w:cs="Arial"/>
          <w:color w:val="000000" w:themeColor="text1"/>
          <w:kern w:val="32"/>
          <w:sz w:val="22"/>
          <w:szCs w:val="22"/>
          <w:lang w:val="en-US"/>
        </w:rPr>
        <w:fldChar w:fldCharType="begin"/>
      </w:r>
      <w:r w:rsidR="00620AAC" w:rsidRPr="007D4CA3">
        <w:rPr>
          <w:rFonts w:ascii="Arial" w:hAnsi="Arial" w:cs="Arial"/>
          <w:color w:val="000000" w:themeColor="text1"/>
          <w:kern w:val="32"/>
          <w:sz w:val="22"/>
          <w:szCs w:val="22"/>
          <w:lang w:val="en-US"/>
        </w:rPr>
        <w:instrText xml:space="preserve"> ADDIN ZOTERO_ITEM CSL_CITATION {"citationID":"Yuc0gj6i","properties":{"unsorted":true,"formattedCitation":"(Mahaffey et al., 2004; Mather et al., 2008; Letscher et al., 2013; Reynolds et al., 2014)","plainCitation":"(Mahaffey et al., 2004; Mather et al., 2008; Letscher et al., 2013; Reynolds et al., 2014)","noteIndex":0},"citationItems":[{"id":620,"uris":["http://zotero.org/users/951135/items/5S9VLAWU"],"uri":["http://zotero.org/users/951135/items/5S9VLAWU"],"itemData":{"id":620,"type":"article-journal","abstract":"Mechanisms supplying nitrogen (N) to phytoplankton, and thus constraining the levels of export production, over the oligotrophic subtropical Atlantic are assessed along a meridional transect. Stable nitrogen isotope signals reveal a localized region of N2 fixation over the northern subtropical gyre. Elsewhere, particulate organic nitrogen was isotopically enriched and there was no widespread evidence of a trophic bias. Thus phytoplankton are utilizing an enriched source of N along the transect through much of the oligotrophic Atlantic, which may reflect utilization of nitrate from the deep ocean or, possibly, a supply of dissolved organic nitrogen (DON) from a non-N2 fixing source. While there is a significant supply of DON over the subtropical gyres, reaching 0.15 mol Nm−2 yr−1, less than 10% of the DON is semilabile and thus only implies a relatively small contribution to the nitrogen supply required for export production. Over the central part of the subtropical gyres, the supply of N to phytoplankton is probably from nitrate in the underlying thermocline, possibly from convection and diapycnic transfer, or more likely, from finescale upwelling by mesoscale eddies and frontal circulations. The lateral supply of dissolved organic phosphorus (DOP) appears to be a factor of 2–3 times more important than the lateral supply of semilabile DON, and thus might play a role in contributing to the phosphorus (P) supply for phytoplankton. The lateral supply of DON and DOP might also be important in closing the N and P budgets over the North Atlantic.","container-title":"Global Biogeochemical Cycles","DOI":"10.1029/2003GB002129","ISSN":"1944-9224","issue":"1","language":"en","source":"Wiley Online Library","title":"Physical supply of nitrogen to phytoplankton in the Atlantic Ocean","URL":"https://agupubs.onlinelibrary.wiley.com/doi/abs/10.1029/2003GB002129","volume":"18","author":[{"family":"Mahaffey","given":"Claire"},{"family":"Williams","given":"Richard G."},{"family":"Wolff","given":"George A."},{"family":"Anderson","given":"William T."}],"accessed":{"date-parts":[["2019",4,15]]},"issued":{"date-parts":[["2004"]]}}},{"id":4417,"uris":["http://zotero.org/users/951135/items/KSXCIIJE"],"uri":["http://zotero.org/users/951135/items/KSXCIIJE"],"itemData":{"id":4417,"type":"article-journal","abstract":"The surface waters of the North Atlantic subtropical gyre are depleted in phosphate, relative to the South Atlantic gyre. Despite this nutrient limitation, the two gyres have comparable rates of carbon fixation. Measurements of enzyme activity suggest that dissolved organic phosphorus may be fuelling northern productivity.","container-title":"Nature Geoscience","DOI":"10.1038/ngeo232","ISSN":"1752-0908","issue":"7","language":"en","note":"number: 7\npublisher: Nature Publishing Group","page":"439-443","source":"www.nature.com","title":"Phosphorus cycling in the North and South Atlantic Ocean subtropical gyres","volume":"1","author":[{"family":"Mather","given":"Rhiannon L."},{"family":"Reynolds","given":"Sarah E."},{"family":"Wolff","given":"George A."},{"family":"Williams","given":"Richard G."},{"family":"Torres-Valdes","given":"Sinhue"},{"family":"Woodward","given":"E. Malcolm S."},{"family":"Landolfi","given":"Angela"},{"family":"Pan","given":"Xi"},{"family":"Sanders","given":"Richard"},{"family":"Achterberg","given":"Eric P."}],"issued":{"date-parts":[["2008",7]]}}},{"id":621,"uris":["http://zotero.org/users/951135/items/UKW24L55"],"uri":["http://zotero.org/users/951135/items/UKW24L55"],"itemData":{"id":621,"type":"article-journal","abstract":"The allochthonous supply of dissolved organic nitrogen (DON) from gyre margins into the interior of the ocean's oligotrophic subtropical gyres potentially provides an important source of new N to gyre surface waters, thus sustaining export production. This process requires that a fraction of the transported DON be available to euphotic zone photoautotroph communities via mineralization. In this study, we investigated the biological and physical controls on the distribution and fate of DON within global ocean surface waters. Inputs of nitrate to the euphotic zone at upwelling zones fuel net accumulation of a DON pool that appears to resist rapid microbial remineralization, allowing subsequent advective transport into the subtropical gyres. Zonal gradients in DON concentrations across these gyres imply a DON sink in the surface layer. Assessment of the physical dynamics of gyre circulation and winter mixing revealed a pathway for DON removal from the mixed layer via vertical transport to the deep euphotic zone, which establishes the observed zonal gradients. Incubation experiments from the Florida Straits indicated surface-accumulated DON was largely resistant (over a few months) to utilization by the extant surface bacterioplankton community. In contrast, this same material was remineralized three times more rapidly when exposed to upper mesopelagic bacterioplankton. These results suggest the primary fate of surface DON to be removal via vertical mixing and subsequent mineralization below the mixed layer, implying a limited role for direct DON support of gyre export production from the surface layer. DON may contribute to export production at the eastern edges of the subtropical gyres, but only after its mineralization within the deep euphotic zone.","container-title":"Global Biogeochemical Cycles","DOI":"10.1029/2012GB004449","ISSN":"1944-9224","issue":"1","language":"en","page":"141-153","source":"Wiley Online Library","title":"Dissolved organic nitrogen in the global surface ocean: Distribution and fate","title-short":"Dissolved organic nitrogen in the global surface ocean","volume":"27","author":[{"family":"Letscher","given":"Robert T."},{"family":"Hansell","given":"Dennis A."},{"family":"Carlson","given":"Craig A."},{"family":"Lumpkin","given":"Rick"},{"family":"Knapp","given":"Angela N."}],"issued":{"date-parts":[["2013"]]}}},{"id":4414,"uris":["http://zotero.org/users/951135/items/R85QXVRC"],"uri":["http://zotero.org/users/951135/items/R85QXVRC"],"itemData":{"id":4414,"type":"article-journal","abstract":"The concentration of phosphate and dissolved organic phosphorus (DOP) is chronically low and limits phytoplankton growth in the subtropical North Atlantic relative to other ocean basins. Transport of phosphate and DOP from the productive flanks of the gyre to its interior has been hypothesized as an important phosphorus supply pathway. During a cruise in the eastern Atlantic in spring 2011, the rates of phosphate uptake, alkaline phosphatase activity (APA), and DOP production were measured in the northwest African shelf region, subtropics, and tropics. Rates of DOP production were sixfold higher in the shelf region (43 ± 41 nM d−1) relative to the subtropics (6.9 ± 4.4 nM d−1). In contrast, APA was threefold higher in the subtropics (8.0 ± 7.3 nM d−1), indicative o</w:instrText>
      </w:r>
      <w:r w:rsidR="00620AAC" w:rsidRPr="007D4CA3">
        <w:rPr>
          <w:rFonts w:ascii="Arial" w:hAnsi="Arial" w:cs="Arial"/>
          <w:color w:val="000000" w:themeColor="text1"/>
          <w:kern w:val="32"/>
          <w:sz w:val="22"/>
          <w:szCs w:val="22"/>
          <w:lang w:val="fr-FR"/>
        </w:rPr>
        <w:instrText xml:space="preserve">f enhanced DOP utilization, relative to the shelf region (2.6 ± 2.1 nM d−1). Hence, observations suggest net production of DOP in the shelf region and either net consumption of DOP or a near balance in DOP production and consumption in the gyre interior. Eddy-permitting model experiments demonstrate that (i) DOP accounts for over half the total phosphorus in surface waters, (ii) DOP is transported westward from the shelf region by a combination of gyre and eddy circulations, and (iii) advected DOP supports up to 70% of the particle export over much of the subtropical gyre. Our combined observational and modeling study supports the view that the horizontal transport of DOP from the shelf region is an important mechanism supplying phosphorus to the surface subtropical North Atlantic.","container-title":"Global Biogeochemical Cycles","DOI":"10.1002/2013GB004801","ISSN":"1944-9224","issue":"8","language":"en","note":"_eprint: https://agupubs.onlinelibrary.wiley.com/doi/pdf/10.1002/2013GB004801","page":"805-824","source":"Wiley Online Library","title":"Evidence for production and lateral transport of dissolved organic phosphorus in the eastern subtropical North Atlantic","volume":"28","author":[{"family":"Reynolds","given":"Sarah"},{"family":"Mahaffey","given":"Claire"},{"family":"Roussenov","given":"Vassil"},{"family":"Williams","given":"Richard G."}],"issued":{"date-parts":[["2014"]]}}}],"schema":"https://github.com/citation-style-language/schema/raw/master/csl-citation.json"} </w:instrText>
      </w:r>
      <w:r w:rsidRPr="007D4CA3">
        <w:rPr>
          <w:rFonts w:ascii="Arial" w:hAnsi="Arial" w:cs="Arial"/>
          <w:color w:val="000000" w:themeColor="text1"/>
          <w:kern w:val="32"/>
          <w:sz w:val="22"/>
          <w:szCs w:val="22"/>
          <w:lang w:val="en-US"/>
        </w:rPr>
        <w:fldChar w:fldCharType="separate"/>
      </w:r>
      <w:r w:rsidR="00620AAC" w:rsidRPr="007D4CA3">
        <w:rPr>
          <w:rFonts w:ascii="Arial" w:hAnsi="Arial" w:cs="Arial"/>
          <w:noProof/>
          <w:color w:val="000000" w:themeColor="text1"/>
          <w:kern w:val="32"/>
          <w:sz w:val="22"/>
          <w:szCs w:val="22"/>
          <w:lang w:val="fr-FR"/>
        </w:rPr>
        <w:t>(Mahaffey et al., 2004; Mather et al., 2008; Letscher et al., 2013; Reynolds et al., 2014)</w:t>
      </w:r>
      <w:r w:rsidRPr="007D4CA3">
        <w:rPr>
          <w:rFonts w:ascii="Arial" w:hAnsi="Arial" w:cs="Arial"/>
          <w:color w:val="000000" w:themeColor="text1"/>
          <w:kern w:val="32"/>
          <w:sz w:val="22"/>
          <w:szCs w:val="22"/>
          <w:lang w:val="en-US"/>
        </w:rPr>
        <w:fldChar w:fldCharType="end"/>
      </w:r>
      <w:r w:rsidRPr="007D4CA3">
        <w:rPr>
          <w:rFonts w:ascii="Arial" w:hAnsi="Arial" w:cs="Arial"/>
          <w:color w:val="000000" w:themeColor="text1"/>
          <w:kern w:val="32"/>
          <w:sz w:val="22"/>
          <w:szCs w:val="22"/>
          <w:lang w:val="fr-FR"/>
        </w:rPr>
        <w:t>.</w:t>
      </w:r>
    </w:p>
    <w:p w14:paraId="2E888287" w14:textId="4D0889EE" w:rsidR="005D6DDD" w:rsidRPr="007D4CA3" w:rsidRDefault="00851532" w:rsidP="00CA6BFC">
      <w:pPr>
        <w:spacing w:before="120" w:after="120" w:line="360" w:lineRule="auto"/>
        <w:jc w:val="both"/>
        <w:rPr>
          <w:rFonts w:ascii="Arial" w:hAnsi="Arial" w:cs="Arial"/>
          <w:bCs/>
          <w:color w:val="000000" w:themeColor="text1"/>
          <w:kern w:val="32"/>
          <w:sz w:val="22"/>
          <w:szCs w:val="22"/>
        </w:rPr>
      </w:pPr>
      <w:r w:rsidRPr="007D4CA3">
        <w:rPr>
          <w:rFonts w:ascii="Arial" w:hAnsi="Arial" w:cs="Arial"/>
          <w:color w:val="000000" w:themeColor="text1"/>
          <w:kern w:val="32"/>
          <w:sz w:val="22"/>
          <w:szCs w:val="22"/>
          <w:lang w:val="en-US"/>
        </w:rPr>
        <w:t>To</w:t>
      </w:r>
      <w:r w:rsidR="005D6DDD" w:rsidRPr="007D4CA3">
        <w:rPr>
          <w:rFonts w:ascii="Arial" w:hAnsi="Arial" w:cs="Arial"/>
          <w:color w:val="000000" w:themeColor="text1"/>
          <w:kern w:val="32"/>
          <w:sz w:val="22"/>
          <w:szCs w:val="22"/>
          <w:lang w:val="en-US"/>
        </w:rPr>
        <w:t xml:space="preserve"> assess the contribution of the organic fraction</w:t>
      </w:r>
      <w:r w:rsidR="0010205C" w:rsidRPr="007D4CA3">
        <w:rPr>
          <w:rFonts w:ascii="Arial" w:hAnsi="Arial" w:cs="Arial"/>
          <w:color w:val="000000" w:themeColor="text1"/>
          <w:kern w:val="32"/>
          <w:sz w:val="22"/>
          <w:szCs w:val="22"/>
          <w:lang w:val="en-US"/>
        </w:rPr>
        <w:t xml:space="preserve"> across the subtropical </w:t>
      </w:r>
      <w:r w:rsidR="00C56C10" w:rsidRPr="007D4CA3">
        <w:rPr>
          <w:rFonts w:ascii="Arial" w:hAnsi="Arial" w:cs="Arial"/>
          <w:color w:val="000000" w:themeColor="text1"/>
          <w:sz w:val="22"/>
          <w:szCs w:val="22"/>
        </w:rPr>
        <w:t>A05-24.5°N</w:t>
      </w:r>
      <w:r w:rsidR="00C56C10" w:rsidRPr="007D4CA3">
        <w:rPr>
          <w:rFonts w:ascii="Arial" w:hAnsi="Arial" w:cs="Arial"/>
          <w:color w:val="000000" w:themeColor="text1"/>
          <w:kern w:val="32"/>
          <w:sz w:val="22"/>
          <w:szCs w:val="22"/>
          <w:lang w:val="en-US"/>
        </w:rPr>
        <w:t xml:space="preserve"> </w:t>
      </w:r>
      <w:r w:rsidR="0010205C" w:rsidRPr="007D4CA3">
        <w:rPr>
          <w:rFonts w:ascii="Arial" w:hAnsi="Arial" w:cs="Arial"/>
          <w:color w:val="000000" w:themeColor="text1"/>
          <w:kern w:val="32"/>
          <w:sz w:val="22"/>
          <w:szCs w:val="22"/>
          <w:lang w:val="en-US"/>
        </w:rPr>
        <w:t>section</w:t>
      </w:r>
      <w:r w:rsidR="005D6DDD" w:rsidRPr="007D4CA3">
        <w:rPr>
          <w:rFonts w:ascii="Arial" w:hAnsi="Arial" w:cs="Arial"/>
          <w:color w:val="000000" w:themeColor="text1"/>
          <w:kern w:val="32"/>
          <w:sz w:val="22"/>
          <w:szCs w:val="22"/>
          <w:lang w:val="en-US"/>
        </w:rPr>
        <w:t xml:space="preserve">, we </w:t>
      </w:r>
      <w:r w:rsidR="00422921" w:rsidRPr="007D4CA3">
        <w:rPr>
          <w:rFonts w:ascii="Arial" w:hAnsi="Arial" w:cs="Arial"/>
          <w:color w:val="000000" w:themeColor="text1"/>
          <w:kern w:val="32"/>
          <w:sz w:val="22"/>
          <w:szCs w:val="22"/>
          <w:lang w:val="en-US"/>
        </w:rPr>
        <w:t xml:space="preserve">evaluated the Florida Straits and the Atlantic </w:t>
      </w:r>
      <w:r w:rsidR="001D6F7A" w:rsidRPr="007D4CA3">
        <w:rPr>
          <w:rFonts w:ascii="Arial" w:hAnsi="Arial" w:cs="Arial"/>
          <w:color w:val="000000" w:themeColor="text1"/>
          <w:kern w:val="32"/>
          <w:sz w:val="22"/>
          <w:szCs w:val="22"/>
          <w:lang w:val="en-US"/>
        </w:rPr>
        <w:t>B</w:t>
      </w:r>
      <w:r w:rsidR="00422921" w:rsidRPr="007D4CA3">
        <w:rPr>
          <w:rFonts w:ascii="Arial" w:hAnsi="Arial" w:cs="Arial"/>
          <w:color w:val="000000" w:themeColor="text1"/>
          <w:kern w:val="32"/>
          <w:sz w:val="22"/>
          <w:szCs w:val="22"/>
          <w:lang w:val="en-US"/>
        </w:rPr>
        <w:t xml:space="preserve">asin separately. For the Florida Straits, we </w:t>
      </w:r>
      <w:r w:rsidR="005D6DDD" w:rsidRPr="007D4CA3">
        <w:rPr>
          <w:rFonts w:ascii="Arial" w:hAnsi="Arial" w:cs="Arial"/>
          <w:color w:val="000000" w:themeColor="text1"/>
          <w:kern w:val="32"/>
          <w:sz w:val="22"/>
          <w:szCs w:val="22"/>
          <w:lang w:val="en-US"/>
        </w:rPr>
        <w:t xml:space="preserve">used </w:t>
      </w:r>
      <w:r w:rsidR="00947A77" w:rsidRPr="007D4CA3">
        <w:rPr>
          <w:rFonts w:ascii="Arial" w:hAnsi="Arial" w:cs="Arial"/>
          <w:color w:val="000000" w:themeColor="text1"/>
          <w:kern w:val="32"/>
          <w:sz w:val="22"/>
          <w:szCs w:val="22"/>
          <w:lang w:val="en-US"/>
        </w:rPr>
        <w:t xml:space="preserve">data from </w:t>
      </w:r>
      <w:r w:rsidR="005D6DDD" w:rsidRPr="007D4CA3">
        <w:rPr>
          <w:rFonts w:ascii="Arial" w:hAnsi="Arial" w:cs="Arial"/>
          <w:i/>
          <w:color w:val="000000" w:themeColor="text1"/>
          <w:kern w:val="32"/>
          <w:sz w:val="22"/>
          <w:szCs w:val="22"/>
          <w:lang w:val="en-US"/>
        </w:rPr>
        <w:t>in situ</w:t>
      </w:r>
      <w:r w:rsidR="005D6DDD" w:rsidRPr="007D4CA3">
        <w:rPr>
          <w:rFonts w:ascii="Arial" w:hAnsi="Arial" w:cs="Arial"/>
          <w:color w:val="000000" w:themeColor="text1"/>
          <w:kern w:val="32"/>
          <w:sz w:val="22"/>
          <w:szCs w:val="22"/>
          <w:lang w:val="en-US"/>
        </w:rPr>
        <w:t xml:space="preserve"> total dissolved nitrogen</w:t>
      </w:r>
      <w:r w:rsidR="00947A77" w:rsidRPr="007D4CA3">
        <w:rPr>
          <w:rFonts w:ascii="Arial" w:hAnsi="Arial" w:cs="Arial"/>
          <w:color w:val="000000" w:themeColor="text1"/>
          <w:kern w:val="32"/>
          <w:sz w:val="22"/>
          <w:szCs w:val="22"/>
          <w:lang w:val="en-US"/>
        </w:rPr>
        <w:t xml:space="preserve">, </w:t>
      </w:r>
      <w:r w:rsidR="005D6DDD" w:rsidRPr="007D4CA3">
        <w:rPr>
          <w:rFonts w:ascii="Arial" w:hAnsi="Arial" w:cs="Arial"/>
          <w:color w:val="000000" w:themeColor="text1"/>
          <w:kern w:val="32"/>
          <w:sz w:val="22"/>
          <w:szCs w:val="22"/>
          <w:lang w:val="en-US"/>
        </w:rPr>
        <w:t>total dissolved phosphorus</w:t>
      </w:r>
      <w:r w:rsidR="00947A77" w:rsidRPr="007D4CA3">
        <w:rPr>
          <w:rFonts w:ascii="Arial" w:hAnsi="Arial" w:cs="Arial"/>
          <w:color w:val="000000" w:themeColor="text1"/>
          <w:kern w:val="32"/>
          <w:sz w:val="22"/>
          <w:szCs w:val="22"/>
          <w:lang w:val="en-US"/>
        </w:rPr>
        <w:t>,</w:t>
      </w:r>
      <w:r w:rsidR="005D6DDD" w:rsidRPr="007D4CA3">
        <w:rPr>
          <w:rFonts w:ascii="Arial" w:hAnsi="Arial" w:cs="Arial"/>
          <w:color w:val="000000" w:themeColor="text1"/>
          <w:kern w:val="32"/>
          <w:sz w:val="22"/>
          <w:szCs w:val="22"/>
          <w:lang w:val="en-US"/>
        </w:rPr>
        <w:t xml:space="preserve"> nitrate</w:t>
      </w:r>
      <w:r w:rsidR="00947A77" w:rsidRPr="007D4CA3">
        <w:rPr>
          <w:rFonts w:ascii="Arial" w:hAnsi="Arial" w:cs="Arial"/>
          <w:color w:val="000000" w:themeColor="text1"/>
          <w:kern w:val="32"/>
          <w:sz w:val="22"/>
          <w:szCs w:val="22"/>
          <w:lang w:val="en-US"/>
        </w:rPr>
        <w:t xml:space="preserve"> and </w:t>
      </w:r>
      <w:r w:rsidR="005D6DDD" w:rsidRPr="007D4CA3">
        <w:rPr>
          <w:rFonts w:ascii="Arial" w:hAnsi="Arial" w:cs="Arial"/>
          <w:color w:val="000000" w:themeColor="text1"/>
          <w:kern w:val="32"/>
          <w:sz w:val="22"/>
          <w:szCs w:val="22"/>
          <w:lang w:val="en-US"/>
        </w:rPr>
        <w:t>phosphate, and absolute velocities</w:t>
      </w:r>
      <w:r w:rsidR="00B87A65" w:rsidRPr="007D4CA3">
        <w:rPr>
          <w:rFonts w:ascii="Arial" w:hAnsi="Arial" w:cs="Arial"/>
          <w:color w:val="000000" w:themeColor="text1"/>
          <w:kern w:val="32"/>
          <w:sz w:val="22"/>
          <w:szCs w:val="22"/>
          <w:lang w:val="en-US"/>
        </w:rPr>
        <w:t xml:space="preserve"> </w:t>
      </w:r>
      <w:r w:rsidR="005D6DDD" w:rsidRPr="007D4CA3">
        <w:rPr>
          <w:rFonts w:ascii="Arial" w:hAnsi="Arial" w:cs="Arial"/>
          <w:color w:val="000000" w:themeColor="text1"/>
          <w:kern w:val="32"/>
          <w:sz w:val="22"/>
          <w:szCs w:val="22"/>
          <w:lang w:val="en-US"/>
        </w:rPr>
        <w:t xml:space="preserve">from eleven cruises carried out across between 2015 and 2017 (Table S3). </w:t>
      </w:r>
      <w:r w:rsidR="00C97A51" w:rsidRPr="007D4CA3">
        <w:rPr>
          <w:rFonts w:ascii="Arial" w:hAnsi="Arial" w:cs="Arial"/>
          <w:color w:val="000000" w:themeColor="text1"/>
          <w:kern w:val="32"/>
          <w:sz w:val="22"/>
          <w:szCs w:val="22"/>
          <w:lang w:val="en-US"/>
        </w:rPr>
        <w:t>We then estimated DON and DOP concentrations a</w:t>
      </w:r>
      <w:r w:rsidR="00110365" w:rsidRPr="007D4CA3">
        <w:rPr>
          <w:rFonts w:ascii="Arial" w:hAnsi="Arial" w:cs="Arial"/>
          <w:color w:val="000000" w:themeColor="text1"/>
          <w:kern w:val="32"/>
          <w:sz w:val="22"/>
          <w:szCs w:val="22"/>
          <w:lang w:val="en-US"/>
        </w:rPr>
        <w:t xml:space="preserve">s </w:t>
      </w:r>
      <w:r w:rsidR="00C97A51" w:rsidRPr="007D4CA3">
        <w:rPr>
          <w:rFonts w:ascii="Arial" w:hAnsi="Arial" w:cs="Arial"/>
          <w:color w:val="000000" w:themeColor="text1"/>
          <w:kern w:val="32"/>
          <w:sz w:val="22"/>
          <w:szCs w:val="22"/>
          <w:lang w:val="en-US"/>
        </w:rPr>
        <w:t xml:space="preserve">the </w:t>
      </w:r>
      <w:r w:rsidR="00110365" w:rsidRPr="007D4CA3">
        <w:rPr>
          <w:rFonts w:ascii="Arial" w:hAnsi="Arial" w:cs="Arial"/>
          <w:color w:val="000000" w:themeColor="text1"/>
          <w:kern w:val="32"/>
          <w:sz w:val="22"/>
          <w:szCs w:val="22"/>
          <w:lang w:val="en-US"/>
        </w:rPr>
        <w:t>difference between the total nutrient concentrations minus the inorganic fraction</w:t>
      </w:r>
      <w:r w:rsidR="005D6DDD" w:rsidRPr="007D4CA3">
        <w:rPr>
          <w:rFonts w:ascii="Arial" w:hAnsi="Arial" w:cs="Arial"/>
          <w:color w:val="000000" w:themeColor="text1"/>
          <w:kern w:val="32"/>
          <w:sz w:val="22"/>
          <w:szCs w:val="22"/>
          <w:lang w:val="en-US"/>
        </w:rPr>
        <w:t xml:space="preserve">. </w:t>
      </w:r>
      <w:r w:rsidR="00304F44" w:rsidRPr="007D4CA3">
        <w:rPr>
          <w:rFonts w:ascii="Arial" w:hAnsi="Arial" w:cs="Arial"/>
          <w:color w:val="000000" w:themeColor="text1"/>
          <w:kern w:val="32"/>
          <w:sz w:val="22"/>
          <w:szCs w:val="22"/>
          <w:lang w:val="en-US"/>
        </w:rPr>
        <w:t>As in</w:t>
      </w:r>
      <w:r w:rsidR="005D6DDD" w:rsidRPr="007D4CA3">
        <w:rPr>
          <w:rFonts w:ascii="Arial" w:hAnsi="Arial" w:cs="Arial"/>
          <w:color w:val="000000" w:themeColor="text1"/>
          <w:kern w:val="32"/>
          <w:sz w:val="22"/>
          <w:szCs w:val="22"/>
          <w:lang w:val="en-US"/>
        </w:rPr>
        <w:t xml:space="preserve"> equation </w:t>
      </w:r>
      <w:r w:rsidR="0002489A">
        <w:rPr>
          <w:rFonts w:ascii="Arial" w:hAnsi="Arial" w:cs="Arial"/>
          <w:color w:val="000000" w:themeColor="text1"/>
          <w:kern w:val="32"/>
          <w:sz w:val="22"/>
          <w:szCs w:val="22"/>
          <w:lang w:val="en-US"/>
        </w:rPr>
        <w:t>(</w:t>
      </w:r>
      <w:r w:rsidR="005D6DDD" w:rsidRPr="007D4CA3">
        <w:rPr>
          <w:rFonts w:ascii="Arial" w:hAnsi="Arial" w:cs="Arial"/>
          <w:color w:val="000000" w:themeColor="text1"/>
          <w:kern w:val="32"/>
          <w:sz w:val="22"/>
          <w:szCs w:val="22"/>
          <w:lang w:val="en-US"/>
        </w:rPr>
        <w:t>1</w:t>
      </w:r>
      <w:r w:rsidR="0002489A">
        <w:rPr>
          <w:rFonts w:ascii="Arial" w:hAnsi="Arial" w:cs="Arial"/>
          <w:color w:val="000000" w:themeColor="text1"/>
          <w:kern w:val="32"/>
          <w:sz w:val="22"/>
          <w:szCs w:val="22"/>
          <w:lang w:val="en-US"/>
        </w:rPr>
        <w:t>)</w:t>
      </w:r>
      <w:r w:rsidR="005D6DDD" w:rsidRPr="007D4CA3">
        <w:rPr>
          <w:rFonts w:ascii="Arial" w:hAnsi="Arial" w:cs="Arial"/>
          <w:color w:val="000000" w:themeColor="text1"/>
          <w:kern w:val="32"/>
          <w:sz w:val="22"/>
          <w:szCs w:val="22"/>
          <w:lang w:val="en-US"/>
        </w:rPr>
        <w:t xml:space="preserve">, </w:t>
      </w:r>
      <w:r w:rsidR="00C97A51" w:rsidRPr="007D4CA3">
        <w:rPr>
          <w:rFonts w:ascii="Arial" w:hAnsi="Arial" w:cs="Arial"/>
          <w:color w:val="000000" w:themeColor="text1"/>
          <w:kern w:val="32"/>
          <w:sz w:val="22"/>
          <w:szCs w:val="22"/>
          <w:lang w:val="en-US"/>
        </w:rPr>
        <w:t xml:space="preserve">the </w:t>
      </w:r>
      <w:r w:rsidR="005D6DDD" w:rsidRPr="007D4CA3">
        <w:rPr>
          <w:rFonts w:ascii="Arial" w:hAnsi="Arial" w:cs="Arial"/>
          <w:color w:val="000000" w:themeColor="text1"/>
          <w:kern w:val="32"/>
          <w:sz w:val="22"/>
          <w:szCs w:val="22"/>
          <w:lang w:val="en-US"/>
        </w:rPr>
        <w:t xml:space="preserve">total DON and DOP transports across the Florida </w:t>
      </w:r>
      <w:r w:rsidR="00C97A51" w:rsidRPr="007D4CA3">
        <w:rPr>
          <w:rFonts w:ascii="Arial" w:hAnsi="Arial" w:cs="Arial"/>
          <w:color w:val="000000" w:themeColor="text1"/>
          <w:kern w:val="32"/>
          <w:sz w:val="22"/>
          <w:szCs w:val="22"/>
          <w:lang w:val="en-US"/>
        </w:rPr>
        <w:t>S</w:t>
      </w:r>
      <w:r w:rsidR="005D6DDD" w:rsidRPr="007D4CA3">
        <w:rPr>
          <w:rFonts w:ascii="Arial" w:hAnsi="Arial" w:cs="Arial"/>
          <w:color w:val="000000" w:themeColor="text1"/>
          <w:kern w:val="32"/>
          <w:sz w:val="22"/>
          <w:szCs w:val="22"/>
          <w:lang w:val="en-US"/>
        </w:rPr>
        <w:t>traits were then estimated as the DON and DOP concentrations multiplied by the absolute volume transports</w:t>
      </w:r>
      <w:r w:rsidR="001F263F" w:rsidRPr="007D4CA3">
        <w:rPr>
          <w:rFonts w:ascii="Arial" w:hAnsi="Arial" w:cs="Arial"/>
          <w:color w:val="000000" w:themeColor="text1"/>
          <w:kern w:val="32"/>
          <w:sz w:val="22"/>
          <w:szCs w:val="22"/>
          <w:lang w:val="en-US"/>
        </w:rPr>
        <w:t>. We</w:t>
      </w:r>
      <w:r w:rsidR="005D6DDD" w:rsidRPr="007D4CA3">
        <w:rPr>
          <w:rFonts w:ascii="Arial" w:hAnsi="Arial" w:cs="Arial"/>
          <w:color w:val="000000" w:themeColor="text1"/>
          <w:kern w:val="32"/>
          <w:sz w:val="22"/>
          <w:szCs w:val="22"/>
          <w:lang w:val="en-US"/>
        </w:rPr>
        <w:t xml:space="preserve"> obtain</w:t>
      </w:r>
      <w:r w:rsidR="001F263F" w:rsidRPr="007D4CA3">
        <w:rPr>
          <w:rFonts w:ascii="Arial" w:hAnsi="Arial" w:cs="Arial"/>
          <w:color w:val="000000" w:themeColor="text1"/>
          <w:kern w:val="32"/>
          <w:sz w:val="22"/>
          <w:szCs w:val="22"/>
          <w:lang w:val="en-US"/>
        </w:rPr>
        <w:t>ed,</w:t>
      </w:r>
      <w:r w:rsidR="005D6DDD" w:rsidRPr="007D4CA3">
        <w:rPr>
          <w:rFonts w:ascii="Arial" w:hAnsi="Arial" w:cs="Arial"/>
          <w:color w:val="000000" w:themeColor="text1"/>
          <w:kern w:val="32"/>
          <w:sz w:val="22"/>
          <w:szCs w:val="22"/>
          <w:lang w:val="en-US"/>
        </w:rPr>
        <w:t xml:space="preserve"> as</w:t>
      </w:r>
      <w:r w:rsidR="005D6DDD" w:rsidRPr="007D4CA3">
        <w:rPr>
          <w:rFonts w:ascii="Arial" w:hAnsi="Arial" w:cs="Arial"/>
          <w:bCs/>
          <w:color w:val="000000" w:themeColor="text1"/>
          <w:kern w:val="32"/>
          <w:sz w:val="22"/>
          <w:szCs w:val="22"/>
        </w:rPr>
        <w:t xml:space="preserve"> </w:t>
      </w:r>
      <w:r w:rsidR="005D6DDD" w:rsidRPr="007D4CA3">
        <w:rPr>
          <w:rFonts w:ascii="Arial" w:hAnsi="Arial" w:cs="Arial"/>
          <w:color w:val="000000" w:themeColor="text1"/>
          <w:kern w:val="32"/>
          <w:sz w:val="22"/>
          <w:szCs w:val="22"/>
          <w:lang w:val="en-US"/>
        </w:rPr>
        <w:t>average of the 11 cruises (</w:t>
      </w:r>
      <w:r w:rsidR="005D6DDD" w:rsidRPr="007D4CA3">
        <w:rPr>
          <w:rFonts w:ascii="Arial" w:hAnsi="Arial" w:cs="Arial"/>
          <w:color w:val="000000" w:themeColor="text1"/>
          <w:kern w:val="32"/>
          <w:sz w:val="22"/>
          <w:szCs w:val="22"/>
        </w:rPr>
        <w:t>± standard deviation</w:t>
      </w:r>
      <w:r w:rsidR="005D6DDD" w:rsidRPr="007D4CA3">
        <w:rPr>
          <w:rFonts w:ascii="Arial" w:hAnsi="Arial" w:cs="Arial"/>
          <w:color w:val="000000" w:themeColor="text1"/>
          <w:kern w:val="32"/>
          <w:sz w:val="22"/>
          <w:szCs w:val="22"/>
          <w:lang w:val="en-US"/>
        </w:rPr>
        <w:t>)</w:t>
      </w:r>
      <w:r w:rsidR="001F263F" w:rsidRPr="007D4CA3">
        <w:rPr>
          <w:rFonts w:ascii="Arial" w:hAnsi="Arial" w:cs="Arial"/>
          <w:color w:val="000000" w:themeColor="text1"/>
          <w:kern w:val="32"/>
          <w:sz w:val="22"/>
          <w:szCs w:val="22"/>
          <w:lang w:val="en-US"/>
        </w:rPr>
        <w:t>,</w:t>
      </w:r>
      <w:r w:rsidR="005D6DDD" w:rsidRPr="007D4CA3">
        <w:rPr>
          <w:rFonts w:ascii="Arial" w:hAnsi="Arial" w:cs="Arial"/>
          <w:color w:val="000000" w:themeColor="text1"/>
          <w:kern w:val="32"/>
          <w:sz w:val="22"/>
          <w:szCs w:val="22"/>
          <w:lang w:val="en-US"/>
        </w:rPr>
        <w:t xml:space="preserve"> </w:t>
      </w:r>
      <w:r w:rsidR="005D6DDD" w:rsidRPr="007D4CA3">
        <w:rPr>
          <w:rFonts w:ascii="Arial" w:hAnsi="Arial" w:cs="Arial"/>
          <w:bCs/>
          <w:color w:val="000000" w:themeColor="text1"/>
          <w:kern w:val="32"/>
          <w:sz w:val="22"/>
          <w:szCs w:val="22"/>
        </w:rPr>
        <w:t>total DON and DOP transports of 134 ± 26 kmol s</w:t>
      </w:r>
      <w:r w:rsidR="005D6DDD" w:rsidRPr="007D4CA3">
        <w:rPr>
          <w:rFonts w:ascii="Arial" w:hAnsi="Arial" w:cs="Arial"/>
          <w:bCs/>
          <w:color w:val="000000" w:themeColor="text1"/>
          <w:kern w:val="32"/>
          <w:sz w:val="22"/>
          <w:szCs w:val="22"/>
          <w:vertAlign w:val="superscript"/>
        </w:rPr>
        <w:t xml:space="preserve">-1 </w:t>
      </w:r>
      <w:r w:rsidR="005D6DDD" w:rsidRPr="007D4CA3">
        <w:rPr>
          <w:rFonts w:ascii="Arial" w:hAnsi="Arial" w:cs="Arial"/>
          <w:bCs/>
          <w:color w:val="000000" w:themeColor="text1"/>
          <w:kern w:val="32"/>
          <w:sz w:val="22"/>
          <w:szCs w:val="22"/>
        </w:rPr>
        <w:t>and 3.5 ± 1.1 kmol s</w:t>
      </w:r>
      <w:r w:rsidR="005D6DDD" w:rsidRPr="007D4CA3">
        <w:rPr>
          <w:rFonts w:ascii="Arial" w:hAnsi="Arial" w:cs="Arial"/>
          <w:bCs/>
          <w:color w:val="000000" w:themeColor="text1"/>
          <w:kern w:val="32"/>
          <w:sz w:val="22"/>
          <w:szCs w:val="22"/>
          <w:vertAlign w:val="superscript"/>
        </w:rPr>
        <w:t>-1</w:t>
      </w:r>
      <w:r w:rsidR="005D6DDD" w:rsidRPr="007D4CA3">
        <w:rPr>
          <w:rFonts w:ascii="Arial" w:hAnsi="Arial" w:cs="Arial"/>
          <w:bCs/>
          <w:color w:val="000000" w:themeColor="text1"/>
          <w:kern w:val="32"/>
          <w:sz w:val="22"/>
          <w:szCs w:val="22"/>
        </w:rPr>
        <w:t>, respectively.</w:t>
      </w:r>
      <w:r w:rsidR="005521BF" w:rsidRPr="007D4CA3">
        <w:rPr>
          <w:rFonts w:ascii="Arial" w:hAnsi="Arial" w:cs="Arial"/>
          <w:bCs/>
          <w:color w:val="000000" w:themeColor="text1"/>
          <w:kern w:val="32"/>
          <w:sz w:val="22"/>
          <w:szCs w:val="22"/>
        </w:rPr>
        <w:t xml:space="preserve"> </w:t>
      </w:r>
      <w:r w:rsidR="0005218A" w:rsidRPr="007D4CA3">
        <w:rPr>
          <w:rFonts w:ascii="Arial" w:hAnsi="Arial" w:cs="Arial"/>
          <w:bCs/>
          <w:color w:val="000000" w:themeColor="text1"/>
          <w:kern w:val="32"/>
          <w:sz w:val="22"/>
          <w:szCs w:val="22"/>
        </w:rPr>
        <w:t>For</w:t>
      </w:r>
      <w:r w:rsidR="001F263F" w:rsidRPr="007D4CA3">
        <w:rPr>
          <w:rFonts w:ascii="Arial" w:hAnsi="Arial" w:cs="Arial"/>
          <w:bCs/>
          <w:color w:val="000000" w:themeColor="text1"/>
          <w:kern w:val="32"/>
          <w:sz w:val="22"/>
          <w:szCs w:val="22"/>
        </w:rPr>
        <w:t xml:space="preserve"> </w:t>
      </w:r>
      <w:r w:rsidR="005D6DDD" w:rsidRPr="007D4CA3">
        <w:rPr>
          <w:rFonts w:ascii="Arial" w:hAnsi="Arial" w:cs="Arial"/>
          <w:bCs/>
          <w:color w:val="000000" w:themeColor="text1"/>
          <w:kern w:val="32"/>
          <w:sz w:val="22"/>
          <w:szCs w:val="22"/>
        </w:rPr>
        <w:t xml:space="preserve">transport of DON and DOP across the Atlantic </w:t>
      </w:r>
      <w:r w:rsidR="001D6F7A" w:rsidRPr="007D4CA3">
        <w:rPr>
          <w:rFonts w:ascii="Arial" w:hAnsi="Arial" w:cs="Arial"/>
          <w:bCs/>
          <w:color w:val="000000" w:themeColor="text1"/>
          <w:kern w:val="32"/>
          <w:sz w:val="22"/>
          <w:szCs w:val="22"/>
        </w:rPr>
        <w:t>B</w:t>
      </w:r>
      <w:r w:rsidR="005D6DDD" w:rsidRPr="007D4CA3">
        <w:rPr>
          <w:rFonts w:ascii="Arial" w:hAnsi="Arial" w:cs="Arial"/>
          <w:bCs/>
          <w:color w:val="000000" w:themeColor="text1"/>
          <w:kern w:val="32"/>
          <w:sz w:val="22"/>
          <w:szCs w:val="22"/>
        </w:rPr>
        <w:t xml:space="preserve">asin, </w:t>
      </w:r>
      <w:r w:rsidR="001F263F" w:rsidRPr="007D4CA3">
        <w:rPr>
          <w:rFonts w:ascii="Arial" w:hAnsi="Arial" w:cs="Arial"/>
          <w:bCs/>
          <w:color w:val="000000" w:themeColor="text1"/>
          <w:kern w:val="32"/>
          <w:sz w:val="22"/>
          <w:szCs w:val="22"/>
        </w:rPr>
        <w:t>we relied on</w:t>
      </w:r>
      <w:r w:rsidR="005D6DDD" w:rsidRPr="007D4CA3">
        <w:rPr>
          <w:rFonts w:ascii="Arial" w:hAnsi="Arial" w:cs="Arial"/>
          <w:bCs/>
          <w:color w:val="000000" w:themeColor="text1"/>
          <w:kern w:val="32"/>
          <w:sz w:val="22"/>
          <w:szCs w:val="22"/>
        </w:rPr>
        <w:t xml:space="preserve"> </w:t>
      </w:r>
      <w:r w:rsidR="00D83A74" w:rsidRPr="007D4CA3">
        <w:rPr>
          <w:rFonts w:ascii="Arial" w:hAnsi="Arial" w:cs="Arial"/>
          <w:bCs/>
          <w:color w:val="000000" w:themeColor="text1"/>
          <w:kern w:val="32"/>
          <w:sz w:val="22"/>
          <w:szCs w:val="22"/>
        </w:rPr>
        <w:t xml:space="preserve">the </w:t>
      </w:r>
      <w:r w:rsidR="005A3B14" w:rsidRPr="007D4CA3">
        <w:rPr>
          <w:rFonts w:ascii="Arial" w:hAnsi="Arial" w:cs="Arial"/>
          <w:bCs/>
          <w:i/>
          <w:color w:val="000000" w:themeColor="text1"/>
          <w:kern w:val="32"/>
          <w:sz w:val="22"/>
          <w:szCs w:val="22"/>
        </w:rPr>
        <w:t>in-situ</w:t>
      </w:r>
      <w:r w:rsidR="005D6DDD" w:rsidRPr="007D4CA3">
        <w:rPr>
          <w:rFonts w:ascii="Arial" w:hAnsi="Arial" w:cs="Arial"/>
          <w:bCs/>
          <w:color w:val="000000" w:themeColor="text1"/>
          <w:kern w:val="32"/>
          <w:sz w:val="22"/>
          <w:szCs w:val="22"/>
        </w:rPr>
        <w:t xml:space="preserve"> </w:t>
      </w:r>
      <w:r w:rsidR="00D83A74" w:rsidRPr="007D4CA3">
        <w:rPr>
          <w:rFonts w:ascii="Arial" w:hAnsi="Arial" w:cs="Arial"/>
          <w:bCs/>
          <w:color w:val="000000" w:themeColor="text1"/>
          <w:kern w:val="32"/>
          <w:sz w:val="22"/>
          <w:szCs w:val="22"/>
        </w:rPr>
        <w:t xml:space="preserve">DOP </w:t>
      </w:r>
      <w:r w:rsidR="005D6DDD" w:rsidRPr="007D4CA3">
        <w:rPr>
          <w:rFonts w:ascii="Arial" w:hAnsi="Arial" w:cs="Arial"/>
          <w:bCs/>
          <w:color w:val="000000" w:themeColor="text1"/>
          <w:kern w:val="32"/>
          <w:sz w:val="22"/>
          <w:szCs w:val="22"/>
        </w:rPr>
        <w:t xml:space="preserve">estimates </w:t>
      </w:r>
      <w:r w:rsidR="00D83A74" w:rsidRPr="007D4CA3">
        <w:rPr>
          <w:rFonts w:ascii="Arial" w:hAnsi="Arial" w:cs="Arial"/>
          <w:bCs/>
          <w:color w:val="000000" w:themeColor="text1"/>
          <w:kern w:val="32"/>
          <w:sz w:val="22"/>
          <w:szCs w:val="22"/>
        </w:rPr>
        <w:t>obtained during the</w:t>
      </w:r>
      <w:r w:rsidR="005D6DDD" w:rsidRPr="007D4CA3">
        <w:rPr>
          <w:rFonts w:ascii="Arial" w:hAnsi="Arial" w:cs="Arial"/>
          <w:bCs/>
          <w:color w:val="000000" w:themeColor="text1"/>
          <w:kern w:val="32"/>
          <w:sz w:val="22"/>
          <w:szCs w:val="22"/>
        </w:rPr>
        <w:t xml:space="preserve"> 2015-DY040 cruise </w:t>
      </w:r>
      <w:r w:rsidR="005D6DDD" w:rsidRPr="007D4CA3">
        <w:rPr>
          <w:rFonts w:ascii="Arial" w:hAnsi="Arial" w:cs="Arial"/>
          <w:color w:val="000000" w:themeColor="text1"/>
          <w:kern w:val="32"/>
          <w:sz w:val="22"/>
          <w:szCs w:val="22"/>
          <w:lang w:val="en-US"/>
        </w:rPr>
        <w:t>(Table S3)</w:t>
      </w:r>
      <w:r w:rsidR="005D6DDD" w:rsidRPr="007D4CA3">
        <w:rPr>
          <w:rFonts w:ascii="Arial" w:hAnsi="Arial" w:cs="Arial"/>
          <w:bCs/>
          <w:color w:val="000000" w:themeColor="text1"/>
          <w:kern w:val="32"/>
          <w:sz w:val="22"/>
          <w:szCs w:val="22"/>
        </w:rPr>
        <w:t xml:space="preserve">, from which we </w:t>
      </w:r>
      <w:r w:rsidR="00D83F94" w:rsidRPr="007D4CA3">
        <w:rPr>
          <w:rFonts w:ascii="Arial" w:hAnsi="Arial" w:cs="Arial"/>
          <w:bCs/>
          <w:color w:val="000000" w:themeColor="text1"/>
          <w:kern w:val="32"/>
          <w:sz w:val="22"/>
          <w:szCs w:val="22"/>
        </w:rPr>
        <w:t>calculated</w:t>
      </w:r>
      <w:r w:rsidR="005D6DDD" w:rsidRPr="007D4CA3">
        <w:rPr>
          <w:rFonts w:ascii="Arial" w:hAnsi="Arial" w:cs="Arial"/>
          <w:bCs/>
          <w:color w:val="000000" w:themeColor="text1"/>
          <w:kern w:val="32"/>
          <w:sz w:val="22"/>
          <w:szCs w:val="22"/>
        </w:rPr>
        <w:t xml:space="preserve"> a DOP transport of -0.2 kmol s</w:t>
      </w:r>
      <w:r w:rsidR="005D6DDD" w:rsidRPr="007D4CA3">
        <w:rPr>
          <w:rFonts w:ascii="Arial" w:hAnsi="Arial" w:cs="Arial"/>
          <w:bCs/>
          <w:color w:val="000000" w:themeColor="text1"/>
          <w:kern w:val="32"/>
          <w:sz w:val="22"/>
          <w:szCs w:val="22"/>
          <w:vertAlign w:val="superscript"/>
        </w:rPr>
        <w:t>-1</w:t>
      </w:r>
      <w:r w:rsidR="005D6DDD" w:rsidRPr="007D4CA3">
        <w:rPr>
          <w:rFonts w:ascii="Arial" w:hAnsi="Arial" w:cs="Arial"/>
          <w:bCs/>
          <w:color w:val="000000" w:themeColor="text1"/>
          <w:kern w:val="32"/>
          <w:sz w:val="22"/>
          <w:szCs w:val="22"/>
        </w:rPr>
        <w:t xml:space="preserve"> (total DOP transport in the upper 200 dbar, Ekman transport included). </w:t>
      </w:r>
      <w:r w:rsidR="005D6DDD" w:rsidRPr="007D4CA3">
        <w:rPr>
          <w:rFonts w:ascii="Arial" w:hAnsi="Arial" w:cs="Arial"/>
          <w:bCs/>
          <w:color w:val="000000" w:themeColor="text1"/>
          <w:kern w:val="32"/>
          <w:sz w:val="22"/>
          <w:szCs w:val="22"/>
          <w:lang w:val="en-US"/>
        </w:rPr>
        <w:t xml:space="preserve">By assuming a 16:1 Redfield ratio, we </w:t>
      </w:r>
      <w:r w:rsidR="00D83F94" w:rsidRPr="007D4CA3">
        <w:rPr>
          <w:rFonts w:ascii="Arial" w:hAnsi="Arial" w:cs="Arial"/>
          <w:bCs/>
          <w:color w:val="000000" w:themeColor="text1"/>
          <w:kern w:val="32"/>
          <w:sz w:val="22"/>
          <w:szCs w:val="22"/>
          <w:lang w:val="en-US"/>
        </w:rPr>
        <w:t xml:space="preserve">then </w:t>
      </w:r>
      <w:r w:rsidR="005D6DDD" w:rsidRPr="007D4CA3">
        <w:rPr>
          <w:rFonts w:ascii="Arial" w:hAnsi="Arial" w:cs="Arial"/>
          <w:bCs/>
          <w:color w:val="000000" w:themeColor="text1"/>
          <w:kern w:val="32"/>
          <w:sz w:val="22"/>
          <w:szCs w:val="22"/>
          <w:lang w:val="en-US"/>
        </w:rPr>
        <w:t xml:space="preserve">inferred a DON transport across the basin of about </w:t>
      </w:r>
      <w:r w:rsidR="005D6DDD" w:rsidRPr="007D4CA3">
        <w:rPr>
          <w:rFonts w:ascii="Arial" w:hAnsi="Arial" w:cs="Arial"/>
          <w:bCs/>
          <w:color w:val="000000" w:themeColor="text1"/>
          <w:kern w:val="32"/>
          <w:sz w:val="22"/>
          <w:szCs w:val="22"/>
        </w:rPr>
        <w:t>-3.7 kmol s</w:t>
      </w:r>
      <w:r w:rsidR="005D6DDD" w:rsidRPr="007D4CA3">
        <w:rPr>
          <w:rFonts w:ascii="Arial" w:hAnsi="Arial" w:cs="Arial"/>
          <w:bCs/>
          <w:color w:val="000000" w:themeColor="text1"/>
          <w:kern w:val="32"/>
          <w:sz w:val="22"/>
          <w:szCs w:val="22"/>
          <w:vertAlign w:val="superscript"/>
        </w:rPr>
        <w:t>-1</w:t>
      </w:r>
      <w:r w:rsidR="005D6DDD" w:rsidRPr="007D4CA3">
        <w:rPr>
          <w:rFonts w:ascii="Arial" w:hAnsi="Arial" w:cs="Arial"/>
          <w:bCs/>
          <w:color w:val="000000" w:themeColor="text1"/>
          <w:kern w:val="32"/>
          <w:sz w:val="22"/>
          <w:szCs w:val="22"/>
        </w:rPr>
        <w:t xml:space="preserve">. </w:t>
      </w:r>
      <w:r w:rsidR="00D83F94" w:rsidRPr="007D4CA3">
        <w:rPr>
          <w:rFonts w:ascii="Arial" w:hAnsi="Arial" w:cs="Arial"/>
          <w:bCs/>
          <w:color w:val="000000" w:themeColor="text1"/>
          <w:kern w:val="32"/>
          <w:sz w:val="22"/>
          <w:szCs w:val="22"/>
        </w:rPr>
        <w:t>These transports</w:t>
      </w:r>
      <w:r w:rsidR="00AC2A5E" w:rsidRPr="007D4CA3">
        <w:rPr>
          <w:rFonts w:ascii="Arial" w:hAnsi="Arial" w:cs="Arial"/>
          <w:bCs/>
          <w:color w:val="000000" w:themeColor="text1"/>
          <w:kern w:val="32"/>
          <w:sz w:val="22"/>
          <w:szCs w:val="22"/>
        </w:rPr>
        <w:t xml:space="preserve">, </w:t>
      </w:r>
      <w:r w:rsidR="00D83F94" w:rsidRPr="007D4CA3">
        <w:rPr>
          <w:rFonts w:ascii="Arial" w:hAnsi="Arial" w:cs="Arial"/>
          <w:bCs/>
          <w:color w:val="000000" w:themeColor="text1"/>
          <w:kern w:val="32"/>
          <w:sz w:val="22"/>
          <w:szCs w:val="22"/>
        </w:rPr>
        <w:t>s</w:t>
      </w:r>
      <w:r w:rsidR="005D6DDD" w:rsidRPr="007D4CA3">
        <w:rPr>
          <w:rFonts w:ascii="Arial" w:hAnsi="Arial" w:cs="Arial"/>
          <w:bCs/>
          <w:color w:val="000000" w:themeColor="text1"/>
          <w:kern w:val="32"/>
          <w:sz w:val="22"/>
          <w:szCs w:val="22"/>
        </w:rPr>
        <w:t xml:space="preserve">ummed up to the total DON (DOP) transports across the Florida Straits, and assuming that 10% (95%) of this DON (DOP) transport is available for the phytoplankton demand, </w:t>
      </w:r>
      <w:r w:rsidR="00AC2A5E" w:rsidRPr="007D4CA3">
        <w:rPr>
          <w:rFonts w:ascii="Arial" w:hAnsi="Arial" w:cs="Arial"/>
          <w:bCs/>
          <w:color w:val="000000" w:themeColor="text1"/>
          <w:kern w:val="32"/>
          <w:sz w:val="22"/>
          <w:szCs w:val="22"/>
        </w:rPr>
        <w:t>le</w:t>
      </w:r>
      <w:r w:rsidR="005C5100" w:rsidRPr="007D4CA3">
        <w:rPr>
          <w:rFonts w:ascii="Arial" w:hAnsi="Arial" w:cs="Arial"/>
          <w:bCs/>
          <w:color w:val="000000" w:themeColor="text1"/>
          <w:kern w:val="32"/>
          <w:sz w:val="22"/>
          <w:szCs w:val="22"/>
        </w:rPr>
        <w:t>a</w:t>
      </w:r>
      <w:r w:rsidR="00AC2A5E" w:rsidRPr="007D4CA3">
        <w:rPr>
          <w:rFonts w:ascii="Arial" w:hAnsi="Arial" w:cs="Arial"/>
          <w:bCs/>
          <w:color w:val="000000" w:themeColor="text1"/>
          <w:kern w:val="32"/>
          <w:sz w:val="22"/>
          <w:szCs w:val="22"/>
        </w:rPr>
        <w:t>d to</w:t>
      </w:r>
      <w:r w:rsidR="005D6DDD" w:rsidRPr="007D4CA3">
        <w:rPr>
          <w:rFonts w:ascii="Arial" w:hAnsi="Arial" w:cs="Arial"/>
          <w:bCs/>
          <w:color w:val="000000" w:themeColor="text1"/>
          <w:kern w:val="32"/>
          <w:sz w:val="22"/>
          <w:szCs w:val="22"/>
        </w:rPr>
        <w:t xml:space="preserve"> a total contribution to the nitrate (phosphate) budgets of </w:t>
      </w:r>
      <w:r w:rsidR="00AC2A5E" w:rsidRPr="007D4CA3">
        <w:rPr>
          <w:rFonts w:ascii="Arial" w:hAnsi="Arial" w:cs="Arial"/>
          <w:bCs/>
          <w:color w:val="000000" w:themeColor="text1"/>
          <w:kern w:val="32"/>
          <w:sz w:val="22"/>
          <w:szCs w:val="22"/>
        </w:rPr>
        <w:t xml:space="preserve">about </w:t>
      </w:r>
      <w:r w:rsidR="005D6DDD" w:rsidRPr="007D4CA3">
        <w:rPr>
          <w:rFonts w:ascii="Arial" w:hAnsi="Arial" w:cs="Arial"/>
          <w:bCs/>
          <w:color w:val="000000" w:themeColor="text1"/>
          <w:kern w:val="32"/>
          <w:sz w:val="22"/>
          <w:szCs w:val="22"/>
        </w:rPr>
        <w:t>13</w:t>
      </w:r>
      <w:r w:rsidR="009324FD">
        <w:rPr>
          <w:rFonts w:ascii="Arial" w:hAnsi="Arial" w:cs="Arial"/>
          <w:bCs/>
          <w:color w:val="000000" w:themeColor="text1"/>
          <w:kern w:val="32"/>
          <w:sz w:val="22"/>
          <w:szCs w:val="22"/>
        </w:rPr>
        <w:t xml:space="preserve"> </w:t>
      </w:r>
      <w:r w:rsidR="009324FD" w:rsidRPr="00B90435">
        <w:rPr>
          <w:rFonts w:ascii="Arial" w:hAnsi="Arial" w:cs="Arial"/>
          <w:bCs/>
          <w:color w:val="000000" w:themeColor="text1"/>
          <w:kern w:val="32"/>
          <w:sz w:val="22"/>
          <w:szCs w:val="22"/>
        </w:rPr>
        <w:t xml:space="preserve">± </w:t>
      </w:r>
      <w:r w:rsidR="009324FD">
        <w:rPr>
          <w:rFonts w:ascii="Arial" w:hAnsi="Arial" w:cs="Arial"/>
          <w:bCs/>
          <w:color w:val="000000" w:themeColor="text1"/>
          <w:kern w:val="32"/>
          <w:sz w:val="22"/>
          <w:szCs w:val="22"/>
        </w:rPr>
        <w:t>6</w:t>
      </w:r>
      <w:r w:rsidR="009324FD" w:rsidRPr="00B90435">
        <w:rPr>
          <w:rFonts w:ascii="Arial" w:hAnsi="Arial" w:cs="Arial"/>
          <w:bCs/>
          <w:color w:val="000000" w:themeColor="text1"/>
          <w:kern w:val="32"/>
          <w:sz w:val="22"/>
          <w:szCs w:val="22"/>
        </w:rPr>
        <w:t xml:space="preserve"> </w:t>
      </w:r>
      <w:r w:rsidR="005D6DDD" w:rsidRPr="007D4CA3">
        <w:rPr>
          <w:rFonts w:ascii="Arial" w:hAnsi="Arial" w:cs="Arial"/>
          <w:bCs/>
          <w:color w:val="000000" w:themeColor="text1"/>
          <w:kern w:val="32"/>
          <w:sz w:val="22"/>
          <w:szCs w:val="22"/>
        </w:rPr>
        <w:t xml:space="preserve"> (3</w:t>
      </w:r>
      <w:r w:rsidR="009324FD">
        <w:rPr>
          <w:rFonts w:ascii="Arial" w:hAnsi="Arial" w:cs="Arial"/>
          <w:bCs/>
          <w:color w:val="000000" w:themeColor="text1"/>
          <w:kern w:val="32"/>
          <w:sz w:val="22"/>
          <w:szCs w:val="22"/>
        </w:rPr>
        <w:t xml:space="preserve"> </w:t>
      </w:r>
      <w:r w:rsidR="009324FD" w:rsidRPr="00B90435">
        <w:rPr>
          <w:rFonts w:ascii="Arial" w:hAnsi="Arial" w:cs="Arial"/>
          <w:bCs/>
          <w:color w:val="000000" w:themeColor="text1"/>
          <w:kern w:val="32"/>
          <w:sz w:val="22"/>
          <w:szCs w:val="22"/>
        </w:rPr>
        <w:t xml:space="preserve">± </w:t>
      </w:r>
      <w:r w:rsidR="009324FD">
        <w:rPr>
          <w:rFonts w:ascii="Arial" w:hAnsi="Arial" w:cs="Arial"/>
          <w:bCs/>
          <w:color w:val="000000" w:themeColor="text1"/>
          <w:kern w:val="32"/>
          <w:sz w:val="22"/>
          <w:szCs w:val="22"/>
        </w:rPr>
        <w:t>1</w:t>
      </w:r>
      <w:r w:rsidR="005D6DDD" w:rsidRPr="007D4CA3">
        <w:rPr>
          <w:rFonts w:ascii="Arial" w:hAnsi="Arial" w:cs="Arial"/>
          <w:bCs/>
          <w:color w:val="000000" w:themeColor="text1"/>
          <w:kern w:val="32"/>
          <w:sz w:val="22"/>
          <w:szCs w:val="22"/>
        </w:rPr>
        <w:t>) kmol-s</w:t>
      </w:r>
      <w:r w:rsidR="005D6DDD" w:rsidRPr="007D4CA3">
        <w:rPr>
          <w:rFonts w:ascii="Arial" w:hAnsi="Arial" w:cs="Arial"/>
          <w:bCs/>
          <w:color w:val="000000" w:themeColor="text1"/>
          <w:kern w:val="32"/>
          <w:sz w:val="22"/>
          <w:szCs w:val="22"/>
          <w:vertAlign w:val="superscript"/>
        </w:rPr>
        <w:t>-1</w:t>
      </w:r>
      <w:r w:rsidR="005D6DDD" w:rsidRPr="007D4CA3">
        <w:rPr>
          <w:rFonts w:ascii="Arial" w:hAnsi="Arial" w:cs="Arial"/>
          <w:bCs/>
          <w:color w:val="000000" w:themeColor="text1"/>
          <w:kern w:val="32"/>
          <w:sz w:val="22"/>
          <w:szCs w:val="22"/>
        </w:rPr>
        <w:t>.</w:t>
      </w:r>
    </w:p>
    <w:p w14:paraId="46045075" w14:textId="77777777" w:rsidR="005D6DDD" w:rsidRPr="004E2840" w:rsidRDefault="005D6DDD" w:rsidP="00CA6BFC">
      <w:pPr>
        <w:pStyle w:val="SMHeading"/>
        <w:spacing w:after="120" w:line="360" w:lineRule="auto"/>
        <w:rPr>
          <w:rFonts w:ascii="Arial" w:hAnsi="Arial" w:cs="Arial"/>
          <w:sz w:val="22"/>
          <w:szCs w:val="22"/>
        </w:rPr>
      </w:pPr>
      <w:r w:rsidRPr="004E2840">
        <w:rPr>
          <w:rFonts w:ascii="Arial" w:hAnsi="Arial" w:cs="Arial"/>
          <w:sz w:val="22"/>
          <w:szCs w:val="22"/>
        </w:rPr>
        <w:t>Text S2. Uncertainties on the tracer transport estimates</w:t>
      </w:r>
    </w:p>
    <w:p w14:paraId="2E8F630F" w14:textId="55A1A3F5" w:rsidR="005D6DDD" w:rsidRPr="00335FA0" w:rsidRDefault="00E2634A" w:rsidP="00CA6BFC">
      <w:pPr>
        <w:spacing w:before="120" w:after="120" w:line="360" w:lineRule="auto"/>
        <w:jc w:val="both"/>
        <w:rPr>
          <w:rFonts w:ascii="Arial" w:hAnsi="Arial" w:cs="Arial"/>
          <w:color w:val="000000" w:themeColor="text1"/>
          <w:sz w:val="22"/>
          <w:szCs w:val="22"/>
        </w:rPr>
      </w:pPr>
      <w:r w:rsidRPr="00335FA0">
        <w:rPr>
          <w:rFonts w:ascii="Arial" w:hAnsi="Arial" w:cs="Arial"/>
          <w:color w:val="000000" w:themeColor="text1"/>
          <w:sz w:val="22"/>
          <w:szCs w:val="22"/>
        </w:rPr>
        <w:t>The</w:t>
      </w:r>
      <w:r w:rsidR="005D6DDD" w:rsidRPr="00335FA0">
        <w:rPr>
          <w:rFonts w:ascii="Arial" w:hAnsi="Arial" w:cs="Arial"/>
          <w:color w:val="000000" w:themeColor="text1"/>
          <w:sz w:val="22"/>
          <w:szCs w:val="22"/>
        </w:rPr>
        <w:t xml:space="preserve"> uncertaint</w:t>
      </w:r>
      <w:r w:rsidRPr="00335FA0">
        <w:rPr>
          <w:rFonts w:ascii="Arial" w:hAnsi="Arial" w:cs="Arial"/>
          <w:color w:val="000000" w:themeColor="text1"/>
          <w:sz w:val="22"/>
          <w:szCs w:val="22"/>
        </w:rPr>
        <w:t>ies</w:t>
      </w:r>
      <w:r w:rsidR="005D6DDD" w:rsidRPr="00335FA0">
        <w:rPr>
          <w:rFonts w:ascii="Arial" w:hAnsi="Arial" w:cs="Arial"/>
          <w:color w:val="000000" w:themeColor="text1"/>
          <w:sz w:val="22"/>
          <w:szCs w:val="22"/>
        </w:rPr>
        <w:t xml:space="preserve"> on the nutrient transport</w:t>
      </w:r>
      <w:r w:rsidRPr="00335FA0">
        <w:rPr>
          <w:rFonts w:ascii="Arial" w:hAnsi="Arial" w:cs="Arial"/>
          <w:color w:val="000000" w:themeColor="text1"/>
          <w:sz w:val="22"/>
          <w:szCs w:val="22"/>
        </w:rPr>
        <w:t>s</w:t>
      </w:r>
      <w:r w:rsidR="005D6DDD" w:rsidRPr="00335FA0">
        <w:rPr>
          <w:rFonts w:ascii="Arial" w:hAnsi="Arial" w:cs="Arial"/>
          <w:color w:val="000000" w:themeColor="text1"/>
          <w:sz w:val="22"/>
          <w:szCs w:val="22"/>
        </w:rPr>
        <w:t xml:space="preserve">, </w:t>
      </w:r>
      <m:oMath>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oMath>
      <w:r w:rsidR="005D6DDD" w:rsidRPr="00335FA0">
        <w:rPr>
          <w:rFonts w:ascii="Arial" w:hAnsi="Arial" w:cs="Arial"/>
          <w:color w:val="000000" w:themeColor="text1"/>
          <w:kern w:val="24"/>
          <w:sz w:val="22"/>
          <w:szCs w:val="22"/>
        </w:rPr>
        <w:t>,</w:t>
      </w:r>
      <w:r w:rsidR="005D6DDD" w:rsidRPr="00335FA0">
        <w:rPr>
          <w:rFonts w:ascii="Arial" w:hAnsi="Arial" w:cs="Arial"/>
          <w:color w:val="000000" w:themeColor="text1"/>
          <w:sz w:val="22"/>
          <w:szCs w:val="22"/>
        </w:rPr>
        <w:t xml:space="preserve"> </w:t>
      </w:r>
      <w:r w:rsidRPr="00335FA0">
        <w:rPr>
          <w:rFonts w:ascii="Arial" w:hAnsi="Arial" w:cs="Arial"/>
          <w:color w:val="000000" w:themeColor="text1"/>
          <w:sz w:val="22"/>
          <w:szCs w:val="22"/>
        </w:rPr>
        <w:t xml:space="preserve">were </w:t>
      </w:r>
      <w:r w:rsidR="005D6DDD" w:rsidRPr="00335FA0">
        <w:rPr>
          <w:rFonts w:ascii="Arial" w:hAnsi="Arial" w:cs="Arial"/>
          <w:color w:val="000000" w:themeColor="text1"/>
          <w:sz w:val="22"/>
          <w:szCs w:val="22"/>
        </w:rPr>
        <w:t xml:space="preserve">computed as the root-sum-squared of the uncertainty </w:t>
      </w:r>
      <w:r w:rsidR="003F2118" w:rsidRPr="00335FA0">
        <w:rPr>
          <w:rFonts w:ascii="Arial" w:hAnsi="Arial" w:cs="Arial"/>
          <w:color w:val="000000" w:themeColor="text1"/>
          <w:sz w:val="22"/>
          <w:szCs w:val="22"/>
        </w:rPr>
        <w:t xml:space="preserve">on the nutrient transport </w:t>
      </w:r>
      <w:r w:rsidR="005D6DDD" w:rsidRPr="00335FA0">
        <w:rPr>
          <w:rFonts w:ascii="Arial" w:hAnsi="Arial" w:cs="Arial"/>
          <w:color w:val="000000" w:themeColor="text1"/>
          <w:sz w:val="22"/>
          <w:szCs w:val="22"/>
        </w:rPr>
        <w:t xml:space="preserve">due to the </w:t>
      </w:r>
      <w:r w:rsidR="00320FFA" w:rsidRPr="00335FA0">
        <w:rPr>
          <w:rFonts w:ascii="Arial" w:hAnsi="Arial" w:cs="Arial"/>
          <w:color w:val="000000" w:themeColor="text1"/>
          <w:sz w:val="22"/>
          <w:szCs w:val="22"/>
        </w:rPr>
        <w:t xml:space="preserve">volume </w:t>
      </w:r>
      <w:r w:rsidR="005D6DDD" w:rsidRPr="00335FA0">
        <w:rPr>
          <w:rFonts w:ascii="Arial" w:hAnsi="Arial" w:cs="Arial"/>
          <w:color w:val="000000" w:themeColor="text1"/>
          <w:sz w:val="22"/>
          <w:szCs w:val="22"/>
        </w:rPr>
        <w:t xml:space="preserve">transport </w:t>
      </w:r>
      <m:oMath>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r>
              <m:rPr>
                <m:sty m:val="p"/>
              </m:rPr>
              <w:rPr>
                <w:rFonts w:ascii="Cambria Math" w:eastAsia="Cambria Math" w:hAnsi="Cambria Math" w:cs="Arial"/>
                <w:color w:val="000000" w:themeColor="text1"/>
                <w:kern w:val="24"/>
                <w:sz w:val="22"/>
                <w:szCs w:val="22"/>
              </w:rPr>
              <m:t>)</m:t>
            </m:r>
            <m:ctrlPr>
              <w:rPr>
                <w:rFonts w:ascii="Cambria Math" w:eastAsia="Cambria Math" w:hAnsi="Cambria Math" w:cs="Arial"/>
                <w:iCs/>
                <w:color w:val="000000" w:themeColor="text1"/>
                <w:kern w:val="24"/>
                <w:sz w:val="22"/>
                <w:szCs w:val="22"/>
              </w:rPr>
            </m:ctrlPr>
          </m:e>
          <m:sub>
            <m:r>
              <m:rPr>
                <m:sty m:val="p"/>
              </m:rPr>
              <w:rPr>
                <w:rFonts w:ascii="Cambria Math" w:eastAsia="Cambria Math" w:hAnsi="Cambria Math" w:cs="Arial"/>
                <w:color w:val="000000" w:themeColor="text1"/>
                <w:kern w:val="24"/>
                <w:sz w:val="22"/>
                <w:szCs w:val="22"/>
              </w:rPr>
              <m:t>T </m:t>
            </m:r>
            <m:ctrlPr>
              <w:rPr>
                <w:rFonts w:ascii="Cambria Math" w:eastAsia="Cambria Math" w:hAnsi="Cambria Math" w:cs="Arial"/>
                <w:iCs/>
                <w:color w:val="000000" w:themeColor="text1"/>
                <w:kern w:val="24"/>
                <w:sz w:val="22"/>
                <w:szCs w:val="22"/>
              </w:rPr>
            </m:ctrlPr>
          </m:sub>
        </m:sSub>
      </m:oMath>
      <w:r w:rsidR="005D6DDD" w:rsidRPr="00335FA0">
        <w:rPr>
          <w:rFonts w:ascii="Arial" w:hAnsi="Arial" w:cs="Arial"/>
          <w:color w:val="000000" w:themeColor="text1"/>
          <w:sz w:val="22"/>
          <w:szCs w:val="22"/>
        </w:rPr>
        <w:t xml:space="preserve"> and the uncertainty </w:t>
      </w:r>
      <w:r w:rsidR="00846C95" w:rsidRPr="00335FA0">
        <w:rPr>
          <w:rFonts w:ascii="Arial" w:hAnsi="Arial" w:cs="Arial"/>
          <w:color w:val="000000" w:themeColor="text1"/>
          <w:sz w:val="22"/>
          <w:szCs w:val="22"/>
        </w:rPr>
        <w:t xml:space="preserve">on the nutrient transport </w:t>
      </w:r>
      <w:r w:rsidR="005D6DDD" w:rsidRPr="00335FA0">
        <w:rPr>
          <w:rFonts w:ascii="Arial" w:hAnsi="Arial" w:cs="Arial"/>
          <w:color w:val="000000" w:themeColor="text1"/>
          <w:sz w:val="22"/>
          <w:szCs w:val="22"/>
        </w:rPr>
        <w:t xml:space="preserve">due to nutrient uncertainties </w:t>
      </w:r>
      <m:oMath>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r>
              <m:rPr>
                <m:sty m:val="p"/>
              </m:rPr>
              <w:rPr>
                <w:rFonts w:ascii="Cambria Math" w:eastAsia="Cambria Math" w:hAnsi="Cambria Math" w:cs="Arial"/>
                <w:color w:val="000000" w:themeColor="text1"/>
                <w:kern w:val="24"/>
                <w:sz w:val="22"/>
                <w:szCs w:val="22"/>
              </w:rPr>
              <m:t>)</m:t>
            </m:r>
            <m:ctrlPr>
              <w:rPr>
                <w:rFonts w:ascii="Cambria Math" w:eastAsia="Cambria Math" w:hAnsi="Cambria Math" w:cs="Arial"/>
                <w:iCs/>
                <w:color w:val="000000" w:themeColor="text1"/>
                <w:kern w:val="24"/>
                <w:sz w:val="22"/>
                <w:szCs w:val="22"/>
              </w:rPr>
            </m:ctrlPr>
          </m:e>
          <m:sub>
            <m:r>
              <m:rPr>
                <m:sty m:val="p"/>
              </m:rPr>
              <w:rPr>
                <w:rFonts w:ascii="Cambria Math" w:eastAsia="Cambria Math" w:hAnsi="Cambria Math" w:cs="Arial"/>
                <w:color w:val="000000" w:themeColor="text1"/>
                <w:kern w:val="24"/>
                <w:sz w:val="22"/>
                <w:szCs w:val="22"/>
              </w:rPr>
              <m:t>tracer</m:t>
            </m:r>
            <m:ctrlPr>
              <w:rPr>
                <w:rFonts w:ascii="Cambria Math" w:eastAsia="Cambria Math" w:hAnsi="Cambria Math" w:cs="Arial"/>
                <w:iCs/>
                <w:color w:val="000000" w:themeColor="text1"/>
                <w:kern w:val="24"/>
                <w:sz w:val="22"/>
                <w:szCs w:val="22"/>
              </w:rPr>
            </m:ctrlPr>
          </m:sub>
        </m:sSub>
      </m:oMath>
      <w:r w:rsidR="00F05950" w:rsidRPr="00335FA0">
        <w:rPr>
          <w:rFonts w:ascii="Arial" w:hAnsi="Arial" w:cs="Arial"/>
          <w:color w:val="000000" w:themeColor="text1"/>
          <w:sz w:val="22"/>
          <w:szCs w:val="22"/>
        </w:rPr>
        <w:t>:</w:t>
      </w:r>
      <w:r w:rsidR="005D6DDD" w:rsidRPr="00335FA0">
        <w:rPr>
          <w:rFonts w:ascii="Arial" w:hAnsi="Arial" w:cs="Arial"/>
          <w:color w:val="000000" w:themeColor="text1"/>
          <w:sz w:val="22"/>
          <w:szCs w:val="22"/>
        </w:rPr>
        <w:t xml:space="preserve"> </w:t>
      </w:r>
    </w:p>
    <w:p w14:paraId="4DD80606" w14:textId="4FFDB903" w:rsidR="005D6DDD" w:rsidRPr="00335FA0" w:rsidRDefault="005D6DDD" w:rsidP="00F05950">
      <w:pPr>
        <w:pStyle w:val="SMText"/>
        <w:spacing w:before="120" w:after="120" w:line="360" w:lineRule="auto"/>
        <w:ind w:firstLine="0"/>
        <w:jc w:val="center"/>
        <w:rPr>
          <w:rFonts w:ascii="Arial" w:hAnsi="Arial" w:cs="Arial"/>
          <w:iCs/>
          <w:color w:val="000000" w:themeColor="text1"/>
          <w:kern w:val="24"/>
          <w:sz w:val="22"/>
          <w:szCs w:val="22"/>
          <w:lang w:val="fr-FR"/>
        </w:rPr>
      </w:pPr>
      <m:oMath>
        <m:r>
          <m:rPr>
            <m:nor/>
          </m:rPr>
          <w:rPr>
            <w:rFonts w:ascii="Arial" w:eastAsia="Cambria Math" w:hAnsi="Arial"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nor/>
              </m:rPr>
              <w:rPr>
                <w:rFonts w:ascii="Arial" w:eastAsia="Cambria Math" w:hAnsi="Arial" w:cs="Arial"/>
                <w:color w:val="000000" w:themeColor="text1"/>
                <w:kern w:val="24"/>
                <w:sz w:val="22"/>
                <w:szCs w:val="22"/>
                <w:lang w:val="fr-FR"/>
              </w:rPr>
              <m:t>F</m:t>
            </m:r>
          </m:e>
          <m:sub>
            <m:r>
              <m:rPr>
                <m:nor/>
              </m:rPr>
              <w:rPr>
                <w:rFonts w:ascii="Arial" w:eastAsia="Cambria Math" w:hAnsi="Arial" w:cs="Arial"/>
                <w:color w:val="000000" w:themeColor="text1"/>
                <w:kern w:val="24"/>
                <w:sz w:val="22"/>
                <w:szCs w:val="22"/>
                <w:lang w:val="fr-FR"/>
              </w:rPr>
              <m:t>tracer</m:t>
            </m:r>
          </m:sub>
        </m:sSub>
        <m:r>
          <m:rPr>
            <m:nor/>
          </m:rPr>
          <w:rPr>
            <w:rFonts w:ascii="Arial" w:eastAsia="Cambria Math" w:hAnsi="Arial" w:cs="Arial"/>
            <w:color w:val="000000" w:themeColor="text1"/>
            <w:kern w:val="24"/>
            <w:sz w:val="22"/>
            <w:szCs w:val="22"/>
            <w:lang w:val="fr-FR"/>
          </w:rPr>
          <m:t>=</m:t>
        </m:r>
        <m:rad>
          <m:radPr>
            <m:degHide m:val="1"/>
            <m:ctrlPr>
              <w:rPr>
                <w:rFonts w:ascii="Cambria Math" w:eastAsia="Cambria Math" w:hAnsi="Cambria Math" w:cs="Arial"/>
                <w:iCs/>
                <w:color w:val="000000" w:themeColor="text1"/>
                <w:kern w:val="24"/>
                <w:sz w:val="22"/>
                <w:szCs w:val="22"/>
              </w:rPr>
            </m:ctrlPr>
          </m:radPr>
          <m:deg/>
          <m:e>
            <m:sSubSup>
              <m:sSubSupPr>
                <m:ctrlPr>
                  <w:rPr>
                    <w:rFonts w:ascii="Cambria Math" w:eastAsia="Cambria Math" w:hAnsi="Cambria Math" w:cs="Arial"/>
                    <w:iCs/>
                    <w:color w:val="000000" w:themeColor="text1"/>
                    <w:kern w:val="24"/>
                    <w:sz w:val="22"/>
                    <w:szCs w:val="22"/>
                  </w:rPr>
                </m:ctrlPr>
              </m:sSubSupPr>
              <m:e>
                <m:r>
                  <m:rPr>
                    <m:nor/>
                  </m:rPr>
                  <w:rPr>
                    <w:rFonts w:ascii="Arial" w:eastAsia="Cambria Math" w:hAnsi="Arial" w:cs="Arial"/>
                    <w:color w:val="000000" w:themeColor="text1"/>
                    <w:kern w:val="24"/>
                    <w:sz w:val="22"/>
                    <w:szCs w:val="22"/>
                    <w:lang w:val="fr-FR"/>
                  </w:rPr>
                  <m:t>(</m:t>
                </m:r>
                <m:r>
                  <m:rPr>
                    <m:nor/>
                  </m:rPr>
                  <w:rPr>
                    <w:rFonts w:ascii="Arial" w:eastAsia="Cambria Math" w:hAnsi="Arial"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nor/>
                      </m:rPr>
                      <w:rPr>
                        <w:rFonts w:ascii="Arial" w:eastAsia="Cambria Math" w:hAnsi="Arial" w:cs="Arial"/>
                        <w:color w:val="000000" w:themeColor="text1"/>
                        <w:kern w:val="24"/>
                        <w:sz w:val="22"/>
                        <w:szCs w:val="22"/>
                        <w:lang w:val="fr-FR"/>
                      </w:rPr>
                      <m:t>F</m:t>
                    </m:r>
                  </m:e>
                  <m:sub>
                    <m:r>
                      <m:rPr>
                        <m:nor/>
                      </m:rPr>
                      <w:rPr>
                        <w:rFonts w:ascii="Arial" w:eastAsia="Cambria Math" w:hAnsi="Arial" w:cs="Arial"/>
                        <w:color w:val="000000" w:themeColor="text1"/>
                        <w:kern w:val="24"/>
                        <w:sz w:val="22"/>
                        <w:szCs w:val="22"/>
                        <w:lang w:val="fr-FR"/>
                      </w:rPr>
                      <m:t>tracer</m:t>
                    </m:r>
                  </m:sub>
                </m:sSub>
                <m:r>
                  <m:rPr>
                    <m:nor/>
                  </m:rPr>
                  <w:rPr>
                    <w:rFonts w:ascii="Arial" w:eastAsia="Cambria Math" w:hAnsi="Arial" w:cs="Arial"/>
                    <w:color w:val="000000" w:themeColor="text1"/>
                    <w:kern w:val="24"/>
                    <w:sz w:val="22"/>
                    <w:szCs w:val="22"/>
                    <w:lang w:val="fr-FR"/>
                  </w:rPr>
                  <m:t>)</m:t>
                </m:r>
              </m:e>
              <m:sub>
                <m:r>
                  <m:rPr>
                    <m:nor/>
                  </m:rPr>
                  <w:rPr>
                    <w:rFonts w:ascii="Arial" w:eastAsia="Cambria Math" w:hAnsi="Arial" w:cs="Arial"/>
                    <w:color w:val="000000" w:themeColor="text1"/>
                    <w:kern w:val="24"/>
                    <w:sz w:val="22"/>
                    <w:szCs w:val="22"/>
                    <w:lang w:val="fr-FR"/>
                  </w:rPr>
                  <m:t>T</m:t>
                </m:r>
              </m:sub>
              <m:sup>
                <m:r>
                  <m:rPr>
                    <m:nor/>
                  </m:rPr>
                  <w:rPr>
                    <w:rFonts w:ascii="Arial" w:eastAsia="Cambria Math" w:hAnsi="Arial" w:cs="Arial"/>
                    <w:color w:val="000000" w:themeColor="text1"/>
                    <w:kern w:val="24"/>
                    <w:sz w:val="22"/>
                    <w:szCs w:val="22"/>
                    <w:lang w:val="fr-FR"/>
                  </w:rPr>
                  <m:t>2</m:t>
                </m:r>
              </m:sup>
            </m:sSubSup>
            <m:r>
              <m:rPr>
                <m:nor/>
              </m:rPr>
              <w:rPr>
                <w:rFonts w:ascii="Arial" w:eastAsia="Cambria Math" w:hAnsi="Arial" w:cs="Arial"/>
                <w:color w:val="000000" w:themeColor="text1"/>
                <w:kern w:val="24"/>
                <w:sz w:val="22"/>
                <w:szCs w:val="22"/>
                <w:lang w:val="fr-FR"/>
              </w:rPr>
              <m:t>+</m:t>
            </m:r>
            <m:sSubSup>
              <m:sSubSupPr>
                <m:ctrlPr>
                  <w:rPr>
                    <w:rFonts w:ascii="Cambria Math" w:eastAsia="Cambria Math" w:hAnsi="Cambria Math" w:cs="Arial"/>
                    <w:iCs/>
                    <w:color w:val="000000" w:themeColor="text1"/>
                    <w:kern w:val="24"/>
                    <w:sz w:val="22"/>
                    <w:szCs w:val="22"/>
                  </w:rPr>
                </m:ctrlPr>
              </m:sSubSupPr>
              <m:e>
                <m:r>
                  <m:rPr>
                    <m:nor/>
                  </m:rPr>
                  <w:rPr>
                    <w:rFonts w:ascii="Arial" w:eastAsia="Cambria Math" w:hAnsi="Arial" w:cs="Arial"/>
                    <w:color w:val="000000" w:themeColor="text1"/>
                    <w:kern w:val="24"/>
                    <w:sz w:val="22"/>
                    <w:szCs w:val="22"/>
                    <w:lang w:val="fr-FR"/>
                  </w:rPr>
                  <m:t>(</m:t>
                </m:r>
                <m:r>
                  <m:rPr>
                    <m:nor/>
                  </m:rPr>
                  <w:rPr>
                    <w:rFonts w:ascii="Arial" w:eastAsia="Cambria Math" w:hAnsi="Arial"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nor/>
                      </m:rPr>
                      <w:rPr>
                        <w:rFonts w:ascii="Arial" w:eastAsia="Cambria Math" w:hAnsi="Arial" w:cs="Arial"/>
                        <w:color w:val="000000" w:themeColor="text1"/>
                        <w:kern w:val="24"/>
                        <w:sz w:val="22"/>
                        <w:szCs w:val="22"/>
                        <w:lang w:val="fr-FR"/>
                      </w:rPr>
                      <m:t>F</m:t>
                    </m:r>
                  </m:e>
                  <m:sub>
                    <m:r>
                      <m:rPr>
                        <m:nor/>
                      </m:rPr>
                      <w:rPr>
                        <w:rFonts w:ascii="Arial" w:eastAsia="Cambria Math" w:hAnsi="Arial" w:cs="Arial"/>
                        <w:color w:val="000000" w:themeColor="text1"/>
                        <w:kern w:val="24"/>
                        <w:sz w:val="22"/>
                        <w:szCs w:val="22"/>
                        <w:lang w:val="fr-FR"/>
                      </w:rPr>
                      <m:t>tracer</m:t>
                    </m:r>
                  </m:sub>
                </m:sSub>
                <m:r>
                  <m:rPr>
                    <m:nor/>
                  </m:rPr>
                  <w:rPr>
                    <w:rFonts w:ascii="Arial" w:eastAsia="Cambria Math" w:hAnsi="Arial" w:cs="Arial"/>
                    <w:color w:val="000000" w:themeColor="text1"/>
                    <w:kern w:val="24"/>
                    <w:sz w:val="22"/>
                    <w:szCs w:val="22"/>
                    <w:lang w:val="fr-FR"/>
                  </w:rPr>
                  <m:t>)</m:t>
                </m:r>
              </m:e>
              <m:sub>
                <m:r>
                  <m:rPr>
                    <m:nor/>
                  </m:rPr>
                  <w:rPr>
                    <w:rFonts w:ascii="Arial" w:eastAsia="Cambria Math" w:hAnsi="Arial" w:cs="Arial"/>
                    <w:color w:val="000000" w:themeColor="text1"/>
                    <w:kern w:val="24"/>
                    <w:sz w:val="22"/>
                    <w:szCs w:val="22"/>
                    <w:lang w:val="fr-FR"/>
                  </w:rPr>
                  <m:t>tracer</m:t>
                </m:r>
              </m:sub>
              <m:sup>
                <m:r>
                  <m:rPr>
                    <m:nor/>
                  </m:rPr>
                  <w:rPr>
                    <w:rFonts w:ascii="Arial" w:eastAsia="Cambria Math" w:hAnsi="Arial" w:cs="Arial"/>
                    <w:color w:val="000000" w:themeColor="text1"/>
                    <w:kern w:val="24"/>
                    <w:sz w:val="22"/>
                    <w:szCs w:val="22"/>
                    <w:lang w:val="fr-FR"/>
                  </w:rPr>
                  <m:t>2</m:t>
                </m:r>
              </m:sup>
            </m:sSubSup>
          </m:e>
        </m:rad>
        <m:r>
          <m:rPr>
            <m:nor/>
          </m:rPr>
          <w:rPr>
            <w:rFonts w:ascii="Arial" w:eastAsia="Cambria Math" w:hAnsi="Arial" w:cs="Arial"/>
            <w:color w:val="000000" w:themeColor="text1"/>
            <w:kern w:val="24"/>
            <w:sz w:val="22"/>
            <w:szCs w:val="22"/>
            <w:lang w:val="fr-FR"/>
          </w:rPr>
          <m:t>=</m:t>
        </m:r>
        <m:rad>
          <m:radPr>
            <m:degHide m:val="1"/>
            <m:ctrlPr>
              <w:rPr>
                <w:rFonts w:ascii="Cambria Math" w:eastAsia="Cambria Math" w:hAnsi="Cambria Math" w:cs="Arial"/>
                <w:iCs/>
                <w:color w:val="000000" w:themeColor="text1"/>
                <w:kern w:val="24"/>
                <w:sz w:val="22"/>
                <w:szCs w:val="22"/>
              </w:rPr>
            </m:ctrlPr>
          </m:radPr>
          <m:deg/>
          <m:e>
            <m:sSup>
              <m:sSupPr>
                <m:ctrlPr>
                  <w:rPr>
                    <w:rFonts w:ascii="Cambria Math" w:eastAsia="Cambria Math" w:hAnsi="Cambria Math" w:cs="Arial"/>
                    <w:color w:val="000000" w:themeColor="text1"/>
                    <w:kern w:val="24"/>
                    <w:sz w:val="22"/>
                    <w:szCs w:val="22"/>
                  </w:rPr>
                </m:ctrlPr>
              </m:sSupPr>
              <m:e>
                <m:r>
                  <m:rPr>
                    <m:nor/>
                  </m:rPr>
                  <w:rPr>
                    <w:rFonts w:ascii="Arial" w:eastAsia="Cambria Math" w:hAnsi="Arial" w:cs="Arial"/>
                    <w:color w:val="000000" w:themeColor="text1"/>
                    <w:kern w:val="24"/>
                    <w:sz w:val="22"/>
                    <w:szCs w:val="22"/>
                    <w:lang w:val="fr-FR"/>
                  </w:rPr>
                  <m:t>[</m:t>
                </m:r>
                <m:r>
                  <m:rPr>
                    <m:nor/>
                  </m:rPr>
                  <w:rPr>
                    <w:rFonts w:ascii="Arial" w:eastAsia="Cambria Math" w:hAnsi="Arial" w:cs="Arial"/>
                    <w:color w:val="000000" w:themeColor="text1"/>
                    <w:kern w:val="24"/>
                    <w:sz w:val="22"/>
                    <w:szCs w:val="22"/>
                  </w:rPr>
                  <m:t>σ</m:t>
                </m:r>
                <m:r>
                  <m:rPr>
                    <m:nor/>
                  </m:rPr>
                  <w:rPr>
                    <w:rFonts w:ascii="Arial" w:eastAsia="Cambria Math" w:hAnsi="Arial" w:cs="Arial"/>
                    <w:color w:val="000000" w:themeColor="text1"/>
                    <w:kern w:val="24"/>
                    <w:sz w:val="22"/>
                    <w:szCs w:val="22"/>
                    <w:lang w:val="fr-FR"/>
                  </w:rPr>
                  <m:t>T</m:t>
                </m:r>
                <m:ctrlPr>
                  <w:rPr>
                    <w:rFonts w:ascii="Cambria Math" w:eastAsia="Cambria Math" w:hAnsi="Cambria Math" w:cs="Arial"/>
                    <w:iCs/>
                    <w:color w:val="000000" w:themeColor="text1"/>
                    <w:kern w:val="24"/>
                    <w:sz w:val="22"/>
                    <w:szCs w:val="22"/>
                  </w:rPr>
                </m:ctrlPr>
              </m:e>
              <m:sup>
                <m:r>
                  <m:rPr>
                    <m:nor/>
                  </m:rPr>
                  <w:rPr>
                    <w:rFonts w:ascii="Arial" w:eastAsia="Cambria Math" w:hAnsi="Arial" w:cs="Arial"/>
                    <w:color w:val="000000" w:themeColor="text1"/>
                    <w:kern w:val="24"/>
                    <w:sz w:val="22"/>
                    <w:szCs w:val="22"/>
                    <w:lang w:val="fr-FR"/>
                  </w:rPr>
                  <m:t> </m:t>
                </m:r>
                <m:ctrlPr>
                  <w:rPr>
                    <w:rFonts w:ascii="Cambria Math" w:eastAsia="Cambria Math" w:hAnsi="Cambria Math" w:cs="Arial"/>
                    <w:iCs/>
                    <w:color w:val="000000" w:themeColor="text1"/>
                    <w:kern w:val="24"/>
                    <w:sz w:val="22"/>
                    <w:szCs w:val="22"/>
                  </w:rPr>
                </m:ctrlPr>
              </m:sup>
            </m:sSup>
            <m:r>
              <m:rPr>
                <m:nor/>
              </m:rPr>
              <w:rPr>
                <w:rFonts w:ascii="Arial" w:eastAsia="Cambria Math" w:hAnsi="Arial" w:cs="Arial"/>
                <w:color w:val="000000" w:themeColor="text1"/>
                <w:kern w:val="24"/>
                <w:sz w:val="22"/>
                <w:szCs w:val="22"/>
                <w:lang w:val="fr-FR"/>
              </w:rPr>
              <m:t>×(</m:t>
            </m:r>
            <m:d>
              <m:dPr>
                <m:begChr m:val="⟨"/>
                <m:endChr m:val="⟩"/>
                <m:ctrlPr>
                  <w:rPr>
                    <w:rFonts w:ascii="Cambria Math" w:eastAsia="Cambria Math" w:hAnsi="Cambria Math" w:cs="Arial"/>
                    <w:iCs/>
                    <w:color w:val="000000" w:themeColor="text1"/>
                    <w:kern w:val="24"/>
                    <w:sz w:val="22"/>
                    <w:szCs w:val="22"/>
                  </w:rPr>
                </m:ctrlPr>
              </m:dPr>
              <m:e>
                <m:r>
                  <m:rPr>
                    <m:nor/>
                  </m:rPr>
                  <w:rPr>
                    <w:rFonts w:ascii="Arial" w:eastAsia="Cambria Math" w:hAnsi="Arial" w:cs="Arial"/>
                    <w:color w:val="000000" w:themeColor="text1"/>
                    <w:kern w:val="24"/>
                    <w:sz w:val="22"/>
                    <w:szCs w:val="22"/>
                    <w:lang w:val="fr-FR"/>
                  </w:rPr>
                  <m:t>tracer</m:t>
                </m:r>
              </m:e>
            </m:d>
            <m:r>
              <m:rPr>
                <m:nor/>
              </m:rPr>
              <w:rPr>
                <w:rFonts w:ascii="Arial" w:eastAsia="Cambria Math" w:hAnsi="Arial" w:cs="Arial"/>
                <w:color w:val="000000" w:themeColor="text1"/>
                <w:kern w:val="24"/>
                <w:sz w:val="22"/>
                <w:szCs w:val="22"/>
                <w:lang w:val="fr-FR"/>
              </w:rPr>
              <m:t>-</m:t>
            </m:r>
            <m:d>
              <m:dPr>
                <m:begChr m:val="⟨"/>
                <m:endChr m:val="⟩"/>
                <m:ctrlPr>
                  <w:rPr>
                    <w:rFonts w:ascii="Cambria Math" w:eastAsia="Cambria Math" w:hAnsi="Cambria Math" w:cs="Arial"/>
                    <w:iCs/>
                    <w:color w:val="000000" w:themeColor="text1"/>
                    <w:kern w:val="24"/>
                    <w:sz w:val="22"/>
                    <w:szCs w:val="22"/>
                  </w:rPr>
                </m:ctrlPr>
              </m:dPr>
              <m:e>
                <m:bar>
                  <m:barPr>
                    <m:pos m:val="top"/>
                    <m:ctrlPr>
                      <w:rPr>
                        <w:rFonts w:ascii="Cambria Math" w:eastAsia="Cambria Math" w:hAnsi="Cambria Math" w:cs="Arial"/>
                        <w:color w:val="000000" w:themeColor="text1"/>
                        <w:kern w:val="24"/>
                        <w:sz w:val="22"/>
                        <w:szCs w:val="22"/>
                      </w:rPr>
                    </m:ctrlPr>
                  </m:barPr>
                  <m:e>
                    <m:r>
                      <m:rPr>
                        <m:nor/>
                      </m:rPr>
                      <w:rPr>
                        <w:rFonts w:ascii="Arial" w:eastAsia="Cambria Math" w:hAnsi="Arial" w:cs="Arial"/>
                        <w:color w:val="000000" w:themeColor="text1"/>
                        <w:kern w:val="24"/>
                        <w:sz w:val="22"/>
                        <w:szCs w:val="22"/>
                        <w:lang w:val="fr-FR"/>
                      </w:rPr>
                      <m:t>tracer</m:t>
                    </m:r>
                  </m:e>
                </m:bar>
              </m:e>
            </m:d>
            <m:r>
              <m:rPr>
                <m:nor/>
              </m:rPr>
              <w:rPr>
                <w:rFonts w:ascii="Arial" w:eastAsia="Cambria Math" w:hAnsi="Arial" w:cs="Arial"/>
                <w:color w:val="000000" w:themeColor="text1"/>
                <w:kern w:val="24"/>
                <w:sz w:val="22"/>
                <w:szCs w:val="22"/>
                <w:lang w:val="fr-FR"/>
              </w:rPr>
              <m:t>)]</m:t>
            </m:r>
            <m:r>
              <m:rPr>
                <m:nor/>
              </m:rPr>
              <w:rPr>
                <w:rFonts w:ascii="Arial" w:eastAsia="Cambria Math" w:hAnsi="Arial" w:cs="Arial"/>
                <w:color w:val="000000" w:themeColor="text1"/>
                <w:kern w:val="24"/>
                <w:position w:val="11"/>
                <w:sz w:val="22"/>
                <w:szCs w:val="22"/>
                <w:vertAlign w:val="superscript"/>
                <w:lang w:val="fr-FR"/>
              </w:rPr>
              <m:t>2</m:t>
            </m:r>
            <m:r>
              <m:rPr>
                <m:nor/>
              </m:rPr>
              <w:rPr>
                <w:rFonts w:ascii="Arial" w:eastAsia="Cambria Math" w:hAnsi="Arial" w:cs="Arial"/>
                <w:color w:val="000000" w:themeColor="text1"/>
                <w:kern w:val="24"/>
                <w:sz w:val="22"/>
                <w:szCs w:val="22"/>
                <w:lang w:val="fr-FR"/>
              </w:rPr>
              <m:t>+</m:t>
            </m:r>
            <m:d>
              <m:dPr>
                <m:begChr m:val="["/>
                <m:endChr m:val="]"/>
                <m:ctrlPr>
                  <w:rPr>
                    <w:rFonts w:ascii="Cambria Math" w:eastAsia="Cambria Math" w:hAnsi="Cambria Math" w:cs="Arial"/>
                    <w:iCs/>
                    <w:color w:val="000000" w:themeColor="text1"/>
                    <w:kern w:val="24"/>
                    <w:sz w:val="22"/>
                    <w:szCs w:val="22"/>
                  </w:rPr>
                </m:ctrlPr>
              </m:dPr>
              <m:e>
                <m:r>
                  <m:rPr>
                    <m:nor/>
                  </m:rPr>
                  <w:rPr>
                    <w:rFonts w:ascii="Arial" w:eastAsia="Cambria Math" w:hAnsi="Arial" w:cs="Arial"/>
                    <w:color w:val="000000" w:themeColor="text1"/>
                    <w:kern w:val="24"/>
                    <w:sz w:val="22"/>
                    <w:szCs w:val="22"/>
                    <w:lang w:val="fr-FR"/>
                  </w:rPr>
                  <m:t>std(</m:t>
                </m:r>
                <m:sSub>
                  <m:sSubPr>
                    <m:ctrlPr>
                      <w:rPr>
                        <w:rFonts w:ascii="Cambria Math" w:eastAsia="Cambria Math" w:hAnsi="Cambria Math" w:cs="Arial"/>
                        <w:iCs/>
                        <w:color w:val="000000" w:themeColor="text1"/>
                        <w:kern w:val="24"/>
                        <w:sz w:val="22"/>
                        <w:szCs w:val="22"/>
                      </w:rPr>
                    </m:ctrlPr>
                  </m:sSubPr>
                  <m:e>
                    <m:sSub>
                      <m:sSubPr>
                        <m:ctrlPr>
                          <w:rPr>
                            <w:rFonts w:ascii="Cambria Math" w:hAnsi="Cambria Math" w:cs="Arial"/>
                            <w:color w:val="000000" w:themeColor="text1"/>
                            <w:sz w:val="22"/>
                            <w:szCs w:val="22"/>
                          </w:rPr>
                        </m:ctrlPr>
                      </m:sSubPr>
                      <m:e>
                        <m:r>
                          <m:rPr>
                            <m:nor/>
                          </m:rPr>
                          <w:rPr>
                            <w:rFonts w:ascii="Arial" w:hAnsi="Arial" w:cs="Arial"/>
                            <w:color w:val="000000" w:themeColor="text1"/>
                            <w:sz w:val="22"/>
                            <w:szCs w:val="22"/>
                            <w:lang w:val="fr-FR"/>
                          </w:rPr>
                          <m:t>perF</m:t>
                        </m:r>
                      </m:e>
                      <m:sub>
                        <m:r>
                          <m:rPr>
                            <m:nor/>
                          </m:rPr>
                          <w:rPr>
                            <w:rFonts w:ascii="Arial" w:hAnsi="Arial" w:cs="Arial"/>
                            <w:color w:val="000000" w:themeColor="text1"/>
                            <w:sz w:val="22"/>
                            <w:szCs w:val="22"/>
                            <w:vertAlign w:val="subscript"/>
                            <w:lang w:val="fr-FR"/>
                          </w:rPr>
                          <m:t>tracer</m:t>
                        </m:r>
                      </m:sub>
                    </m:sSub>
                    <m:r>
                      <m:rPr>
                        <m:nor/>
                      </m:rPr>
                      <w:rPr>
                        <w:rFonts w:ascii="Arial" w:eastAsia="Cambria Math" w:hAnsi="Arial" w:cs="Arial"/>
                        <w:color w:val="000000" w:themeColor="text1"/>
                        <w:kern w:val="24"/>
                        <w:sz w:val="22"/>
                        <w:szCs w:val="22"/>
                        <w:lang w:val="fr-FR"/>
                      </w:rPr>
                      <m:t>)</m:t>
                    </m:r>
                  </m:e>
                  <m:sub>
                    <m:r>
                      <m:rPr>
                        <m:nor/>
                      </m:rPr>
                      <w:rPr>
                        <w:rFonts w:ascii="Arial" w:eastAsia="Cambria Math" w:hAnsi="Arial" w:cs="Arial"/>
                        <w:color w:val="000000" w:themeColor="text1"/>
                        <w:kern w:val="24"/>
                        <w:sz w:val="22"/>
                        <w:szCs w:val="22"/>
                        <w:lang w:val="fr-FR"/>
                      </w:rPr>
                      <m:t> </m:t>
                    </m:r>
                  </m:sub>
                </m:sSub>
              </m:e>
            </m:d>
            <m:r>
              <m:rPr>
                <m:nor/>
              </m:rPr>
              <w:rPr>
                <w:rFonts w:ascii="Arial" w:eastAsia="Cambria Math" w:hAnsi="Arial" w:cs="Arial"/>
                <w:color w:val="000000" w:themeColor="text1"/>
                <w:kern w:val="24"/>
                <w:position w:val="11"/>
                <w:sz w:val="22"/>
                <w:szCs w:val="22"/>
                <w:vertAlign w:val="superscript"/>
                <w:lang w:val="fr-FR"/>
              </w:rPr>
              <m:t>2</m:t>
            </m:r>
          </m:e>
        </m:rad>
      </m:oMath>
      <w:r w:rsidRPr="00335FA0">
        <w:rPr>
          <w:rFonts w:ascii="Arial" w:hAnsi="Arial" w:cs="Arial"/>
          <w:iCs/>
          <w:color w:val="000000" w:themeColor="text1"/>
          <w:kern w:val="24"/>
          <w:sz w:val="22"/>
          <w:szCs w:val="22"/>
          <w:lang w:val="fr-FR"/>
        </w:rPr>
        <w:t xml:space="preserve">          (1)</w:t>
      </w:r>
    </w:p>
    <w:p w14:paraId="53AF78DD" w14:textId="131C1D4F" w:rsidR="00F05950" w:rsidRPr="00335FA0" w:rsidRDefault="00D0587F" w:rsidP="007A7E76">
      <w:pPr>
        <w:spacing w:before="120" w:after="120" w:line="360" w:lineRule="auto"/>
        <w:jc w:val="both"/>
        <w:rPr>
          <w:rFonts w:ascii="Arial" w:hAnsi="Arial" w:cs="Arial"/>
          <w:color w:val="000000" w:themeColor="text1"/>
          <w:sz w:val="22"/>
          <w:szCs w:val="22"/>
        </w:rPr>
      </w:pPr>
      <m:oMath>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r>
              <m:rPr>
                <m:sty m:val="p"/>
              </m:rPr>
              <w:rPr>
                <w:rFonts w:ascii="Cambria Math" w:eastAsia="Cambria Math" w:hAnsi="Cambria Math" w:cs="Arial"/>
                <w:color w:val="000000" w:themeColor="text1"/>
                <w:kern w:val="24"/>
                <w:sz w:val="22"/>
                <w:szCs w:val="22"/>
              </w:rPr>
              <m:t>)</m:t>
            </m:r>
            <m:ctrlPr>
              <w:rPr>
                <w:rFonts w:ascii="Cambria Math" w:eastAsia="Cambria Math" w:hAnsi="Cambria Math" w:cs="Arial"/>
                <w:iCs/>
                <w:color w:val="000000" w:themeColor="text1"/>
                <w:kern w:val="24"/>
                <w:sz w:val="22"/>
                <w:szCs w:val="22"/>
              </w:rPr>
            </m:ctrlPr>
          </m:e>
          <m:sub>
            <m:r>
              <m:rPr>
                <m:sty m:val="p"/>
              </m:rPr>
              <w:rPr>
                <w:rFonts w:ascii="Cambria Math" w:eastAsia="Cambria Math" w:hAnsi="Cambria Math" w:cs="Arial"/>
                <w:color w:val="000000" w:themeColor="text1"/>
                <w:kern w:val="24"/>
                <w:sz w:val="22"/>
                <w:szCs w:val="22"/>
              </w:rPr>
              <m:t>T </m:t>
            </m:r>
            <m:ctrlPr>
              <w:rPr>
                <w:rFonts w:ascii="Cambria Math" w:eastAsia="Cambria Math" w:hAnsi="Cambria Math" w:cs="Arial"/>
                <w:iCs/>
                <w:color w:val="000000" w:themeColor="text1"/>
                <w:kern w:val="24"/>
                <w:sz w:val="22"/>
                <w:szCs w:val="22"/>
              </w:rPr>
            </m:ctrlPr>
          </m:sub>
        </m:sSub>
      </m:oMath>
      <w:r w:rsidR="00F05950" w:rsidRPr="00961F98">
        <w:rPr>
          <w:rFonts w:ascii="Arial" w:hAnsi="Arial" w:cs="Arial"/>
          <w:color w:val="000000" w:themeColor="text1"/>
          <w:sz w:val="22"/>
          <w:szCs w:val="22"/>
        </w:rPr>
        <w:t xml:space="preserve">was given by the covariance matrix of errors for the volume transport (as obtained from the inverse model; </w:t>
      </w:r>
      <w:r w:rsidR="00F05950" w:rsidRPr="00961F98">
        <w:rPr>
          <w:rFonts w:ascii="Arial" w:hAnsi="Arial" w:cs="Arial"/>
          <w:color w:val="000000" w:themeColor="text1"/>
          <w:sz w:val="22"/>
          <w:szCs w:val="22"/>
        </w:rPr>
        <w:fldChar w:fldCharType="begin"/>
      </w:r>
      <w:r w:rsidR="00F05950" w:rsidRPr="00961F98">
        <w:rPr>
          <w:rFonts w:ascii="Arial" w:hAnsi="Arial" w:cs="Arial"/>
          <w:color w:val="000000" w:themeColor="text1"/>
          <w:sz w:val="22"/>
          <w:szCs w:val="22"/>
        </w:rPr>
        <w:instrText xml:space="preserve"> ADDIN ZOTERO_ITEM CSL_CITATION {"citationID":"vr2QD2Bi","properties":{"formattedCitation":"(Mercier, H., 1986)","plainCitation":"(Mercier, H., 1986)","dontUpdate":true,"noteIndex":0},"citationItems":[{"id":257,"uris":["http://zotero.org/users/951135/items/6M5UHVZ9"],"uri":["http://zotero.org/users/951135/items/6M5UHVZ9"],"itemData":{"id":257,"type":"article-journal","container-title":"Journal Of Geophysical Research Oceans","issue":"C4","page":"5103-5109","title":"Determining the general circulation of the ocean: A nonlinear inverse problem","volume":"91","author":[{"literal":"Mercier, H."}],"issued":{"date-parts":[["1986"]]}}}],"schema":"https://github.com/citation-style-language/schema/raw/master/csl-citation.json"} </w:instrText>
      </w:r>
      <w:r w:rsidR="00F05950" w:rsidRPr="00961F98">
        <w:rPr>
          <w:rFonts w:ascii="Arial" w:hAnsi="Arial" w:cs="Arial"/>
          <w:color w:val="000000" w:themeColor="text1"/>
          <w:sz w:val="22"/>
          <w:szCs w:val="22"/>
        </w:rPr>
        <w:fldChar w:fldCharType="separate"/>
      </w:r>
      <w:r w:rsidR="00F05950" w:rsidRPr="00961F98">
        <w:rPr>
          <w:rFonts w:ascii="Arial" w:hAnsi="Arial" w:cs="Arial"/>
          <w:color w:val="000000" w:themeColor="text1"/>
          <w:sz w:val="22"/>
          <w:szCs w:val="22"/>
        </w:rPr>
        <w:t>Mercier, 1986</w:t>
      </w:r>
      <w:r w:rsidR="00F05950" w:rsidRPr="00961F98">
        <w:rPr>
          <w:rFonts w:ascii="Arial" w:hAnsi="Arial" w:cs="Arial"/>
          <w:color w:val="000000" w:themeColor="text1"/>
          <w:sz w:val="22"/>
          <w:szCs w:val="22"/>
        </w:rPr>
        <w:fldChar w:fldCharType="end"/>
      </w:r>
      <w:r w:rsidR="00F05950" w:rsidRPr="00961F98">
        <w:rPr>
          <w:rFonts w:ascii="Arial" w:hAnsi="Arial" w:cs="Arial"/>
          <w:color w:val="000000" w:themeColor="text1"/>
          <w:sz w:val="22"/>
          <w:szCs w:val="22"/>
        </w:rPr>
        <w:t>). To</w:t>
      </w:r>
      <w:r w:rsidR="00F05950" w:rsidRPr="00335FA0">
        <w:rPr>
          <w:rFonts w:ascii="Arial" w:hAnsi="Arial" w:cs="Arial"/>
          <w:color w:val="000000" w:themeColor="text1"/>
          <w:sz w:val="22"/>
          <w:szCs w:val="22"/>
        </w:rPr>
        <w:t xml:space="preserve"> account for </w:t>
      </w:r>
      <m:oMath>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r>
              <m:rPr>
                <m:sty m:val="p"/>
              </m:rPr>
              <w:rPr>
                <w:rFonts w:ascii="Cambria Math" w:eastAsia="Cambria Math" w:hAnsi="Cambria Math" w:cs="Arial"/>
                <w:color w:val="000000" w:themeColor="text1"/>
                <w:kern w:val="24"/>
                <w:sz w:val="22"/>
                <w:szCs w:val="22"/>
              </w:rPr>
              <m:t>)</m:t>
            </m:r>
            <m:ctrlPr>
              <w:rPr>
                <w:rFonts w:ascii="Cambria Math" w:eastAsia="Cambria Math" w:hAnsi="Cambria Math" w:cs="Arial"/>
                <w:iCs/>
                <w:color w:val="000000" w:themeColor="text1"/>
                <w:kern w:val="24"/>
                <w:sz w:val="22"/>
                <w:szCs w:val="22"/>
              </w:rPr>
            </m:ctrlPr>
          </m:e>
          <m:sub>
            <m:r>
              <m:rPr>
                <m:sty m:val="p"/>
              </m:rPr>
              <w:rPr>
                <w:rFonts w:ascii="Cambria Math" w:eastAsia="Cambria Math" w:hAnsi="Cambria Math" w:cs="Arial"/>
                <w:color w:val="000000" w:themeColor="text1"/>
                <w:kern w:val="24"/>
                <w:sz w:val="22"/>
                <w:szCs w:val="22"/>
              </w:rPr>
              <m:t>tracer</m:t>
            </m:r>
            <m:ctrlPr>
              <w:rPr>
                <w:rFonts w:ascii="Cambria Math" w:eastAsia="Cambria Math" w:hAnsi="Cambria Math" w:cs="Arial"/>
                <w:iCs/>
                <w:color w:val="000000" w:themeColor="text1"/>
                <w:kern w:val="24"/>
                <w:sz w:val="22"/>
                <w:szCs w:val="22"/>
              </w:rPr>
            </m:ctrlPr>
          </m:sub>
        </m:sSub>
      </m:oMath>
      <w:r w:rsidR="00F05950" w:rsidRPr="00335FA0">
        <w:rPr>
          <w:rFonts w:ascii="Arial" w:hAnsi="Arial" w:cs="Arial"/>
          <w:color w:val="000000" w:themeColor="text1"/>
          <w:sz w:val="22"/>
          <w:szCs w:val="22"/>
        </w:rPr>
        <w:t>, we based on a Monte Carlo method similar to past studies (e.g.</w:t>
      </w:r>
      <w:r w:rsidR="00A32441" w:rsidRPr="00335FA0">
        <w:rPr>
          <w:rFonts w:ascii="Arial" w:hAnsi="Arial" w:cs="Arial"/>
          <w:color w:val="000000" w:themeColor="text1"/>
          <w:sz w:val="22"/>
          <w:szCs w:val="22"/>
        </w:rPr>
        <w:t xml:space="preserve"> </w:t>
      </w:r>
      <w:r w:rsidR="00F05950" w:rsidRPr="00335FA0">
        <w:rPr>
          <w:rFonts w:ascii="Arial" w:hAnsi="Arial" w:cs="Arial"/>
          <w:color w:val="000000" w:themeColor="text1"/>
          <w:sz w:val="22"/>
          <w:szCs w:val="22"/>
        </w:rPr>
        <w:fldChar w:fldCharType="begin"/>
      </w:r>
      <w:r w:rsidR="00961F98">
        <w:rPr>
          <w:rFonts w:ascii="Arial" w:hAnsi="Arial" w:cs="Arial"/>
          <w:color w:val="000000" w:themeColor="text1"/>
          <w:sz w:val="22"/>
          <w:szCs w:val="22"/>
        </w:rPr>
        <w:instrText xml:space="preserve"> ADDIN ZOTERO_ITEM CSL_CITATION {"citationID":"a1pi3e2mld5","properties":{"formattedCitation":"\\uldash{(Garc\\uc0\\u237{}a-Ib\\uc0\\u225{}\\uc0\\u241{}ez et al., 2015; Zunino et al., 2015)}","plainCitation":"(García-Ibáñez et al., 2015; Zunino et al., 2015)","dontUpdate":true,"noteIndex":0},"citationItems":[{"id":890,"uris":["http://zotero.org/users/951135/items/36ITMD66"],"uri":["http://zotero.org/users/951135/items/36ITMD66"],"itemData":{"id":890,"type":"article-journal","abstract":"We discuss the distributions and transports of the main water masses in the North Atlantic Subpolar Gyre (NASPG) for the mean of the period 2002–2010 (OVIDE sections 2002–2010 every other year), as well as the inter-annual variability of the water mass structure from 1997 (4x and METEOR sections) to 2010. The water mass structure of the NASPG, quantitatively assessed by means of an Optimum MultiParameter analysis (with 14 water masses), was combined with the velocity fields resulting from previous studies using inverse models to obtain the water mass volume transports. We also evaluate the relative contribution to the Atlantic Meridional Overturning Circulation (AMOC) of the main water masses characterizing the NASPG, identifying the water masses that contribute to the AMOC variability. The reduction of the magnitude of the upper limb of the AMOC between 1997 and the 2000s is associated with the reduction in the northward transport of the Central Waters. This reduction of the northward flow of the AMOC is partially compensated by the reduction of the southward flow of the lower limb of the AMOC, associated with the decrease in the transports of Polar Intermediate Water and Subpolar Mode Water (SPMW) in the Irminger Basin. We also decompose the flow over the Reykjanes Ridge from the East North Atlantic Basin to the Irminger Basin (9.4 ± 4.7 Sv) into the contributions of the Central Waters (2.1 ± 1.8 Sv), Labrador Sea Water (LSW, 2.4 ± 2.0 Sv), Subarctic Intermediate Water (SAIW, 4.0 ± 0.5 Sv) and Iceland–Scotland Overflow Water (ISOW, 0.9 ± 0.9 Sv). Once LSW and ISOW cross over the Reykjanes Ridge, favoured by the strong mixing around it, they leave the Irminger Basin through the deep-to-bottom levels. The results also give insights into the water mass transformations within the NASPG, such as the contribution of the Central Waters and SAIW to the formation of the different varieties of SPMW due to air–sea interaction.","container-title":"Progress in Oceanography","DOI":"10.1016/j.pocean.2015.03.009","ISSN":"0079-6611","journalAbbreviation":"Progress in Oceanography","page":"18-36","source":"ScienceDirect","title":"Structure, transports and transformations of the water masses in the Atlantic Subpolar Gyre","volume":"135","author":[{"family":"García-Ibáñez","given":"Maribel I."},{"family":"Pardo","given":"Paula C."},{"family":"Carracedo","given":"Lidia I."},{"family":"Mercier","given":"Herlé"},{"family":"Lherminier","given":"Pascale"},{"family":"Ríos","given":"Aida F."},{"family":"Pérez","given":"Fiz F."}],"issued":{"date-parts":[["2015",6]]}}},{"id":3659,"uris":["http://zotero.org/groups/56168/items/VX9V26RQ"],"uri":["http://zotero.org/groups/56168/items/VX9V26RQ"],"itemData":{"id":3659,"type":"article-journal","abstract":"The meridional transport of anthropogenic CO2 (Cant) in the tropical North Atlantic (TNA) is investigated using data from transoceanic sections along 7.5°N and 24.5°N, carried out in the early 1990s and 2010s. The net Cant transport across both sections is northward. At 7.5°N, this transport increased from 315 ± 47 kmol s−1 in 1993 to 493 ± 51 kmol s−1 in 2010; similarly, across 24.5°N it grew from 530 ± 46 kmol s−1 in 1992 to 662 ± 49 kmol s−1 in 2011. These changes result from modifications in the intermediate and deep circulation patterns, as well as from Cant increase within the thermocline waters. In deep waters, lateral advection causes a net Cant input of 112 ± 60 kmol s−1 (234 ± 65 kmol s−1) in 1992–1993 (2010–2011); within these deep waters, the storage rate of Cant is not statistically different from the net Cant input, 139 ± 21 kmol s−1 (188 ± 21 kmol s−1) in 1992–1993 (2010–2011). The Cant increase in deep waters is due to the large injection of Cant across the 24.5°N by the Deep Western Boundary Current and the northward recirculation of North Atlantic Deep Water along 7.5°N. In contrast, a large net Cant output in the upper layer is caused by the Florida Current. Despite this net Cant output, the Cant accumulates at a rate of 215 ± 24 kmol s−1 (291 ± 24 kmol s−1) referenced to year 1993 (2010). From the two Cant budgets, we infer a Cant air-sea flux of 0.23 ± 0.02 Pg yr−1in the TNA, much larger than previous estimates.","container-title":"Global Biogeochemical Cycles","DOI":"10.1002/2014GB005075","ISSN":"1944-9224","issue":"7","journalAbbreviation":"Global Biogeochem. Cycles","language":"en","page":"2014GB005075","source":"Wiley Online Library","title":"Transports and budgets of anthropogenic CO2 in the tropical North Atlantic in 1992–1993 and 2010–2011","volume":"29","author":[{"family":"Zunino","given":"Patricia"},{"family":"Pérez","given":"Fiz F."},{"family":"Fajar","given":"Noelia M."},{"family":"Guallart","given":"Elisa F."},{"family":"Ríos","given":"Aida F."},{"family":"Pelegrí","given":"Josep L."},{"family":"Hernández-Guerra","given":"Alonso"}],"issued":{"date-parts":[["2015",7,1]]}}}],"schema":"https://github.com/citation-style-language/schema/raw/master/csl-citation.json"} </w:instrText>
      </w:r>
      <w:r w:rsidR="00F05950" w:rsidRPr="00335FA0">
        <w:rPr>
          <w:rFonts w:ascii="Arial" w:hAnsi="Arial" w:cs="Arial"/>
          <w:color w:val="000000" w:themeColor="text1"/>
          <w:sz w:val="22"/>
          <w:szCs w:val="22"/>
        </w:rPr>
        <w:fldChar w:fldCharType="separate"/>
      </w:r>
      <w:r w:rsidR="00F05950" w:rsidRPr="00335FA0">
        <w:rPr>
          <w:rFonts w:ascii="Arial" w:hAnsi="Arial" w:cs="Arial"/>
          <w:color w:val="000000" w:themeColor="text1"/>
          <w:sz w:val="22"/>
          <w:szCs w:val="22"/>
        </w:rPr>
        <w:t>García-Ibáñez et al., 2015; Zunino et al., 2015</w:t>
      </w:r>
      <w:r w:rsidR="00F05950" w:rsidRPr="00335FA0">
        <w:rPr>
          <w:rFonts w:ascii="Arial" w:hAnsi="Arial" w:cs="Arial"/>
          <w:color w:val="000000" w:themeColor="text1"/>
          <w:sz w:val="22"/>
          <w:szCs w:val="22"/>
        </w:rPr>
        <w:fldChar w:fldCharType="end"/>
      </w:r>
      <w:r w:rsidR="00F05950" w:rsidRPr="00335FA0">
        <w:rPr>
          <w:rFonts w:ascii="Arial" w:hAnsi="Arial" w:cs="Arial"/>
          <w:color w:val="000000" w:themeColor="text1"/>
          <w:sz w:val="22"/>
          <w:szCs w:val="22"/>
        </w:rPr>
        <w:t xml:space="preserve">), by which we </w:t>
      </w:r>
      <w:r w:rsidR="000B6B14" w:rsidRPr="00335FA0">
        <w:rPr>
          <w:rFonts w:ascii="Arial" w:hAnsi="Arial" w:cs="Arial"/>
          <w:color w:val="000000" w:themeColor="text1"/>
          <w:sz w:val="22"/>
          <w:szCs w:val="22"/>
        </w:rPr>
        <w:t>simulated</w:t>
      </w:r>
      <w:r w:rsidR="00F05950" w:rsidRPr="00335FA0">
        <w:rPr>
          <w:rFonts w:ascii="Arial" w:hAnsi="Arial" w:cs="Arial"/>
          <w:color w:val="000000" w:themeColor="text1"/>
          <w:sz w:val="22"/>
          <w:szCs w:val="22"/>
        </w:rPr>
        <w:t xml:space="preserve"> the nutrient transport estimates (</w:t>
      </w:r>
      <m:oMath>
        <m:sSub>
          <m:sSubPr>
            <m:ctrlPr>
              <w:rPr>
                <w:rFonts w:ascii="Cambria Math" w:hAnsi="Cambria Math" w:cs="Arial"/>
                <w:color w:val="000000" w:themeColor="text1"/>
                <w:sz w:val="22"/>
                <w:szCs w:val="22"/>
              </w:rPr>
            </m:ctrlPr>
          </m:sSubPr>
          <m:e>
            <m:r>
              <m:rPr>
                <m:sty m:val="p"/>
              </m:rPr>
              <w:rPr>
                <w:rFonts w:ascii="Cambria Math" w:hAnsi="Cambria Math" w:cs="Arial"/>
                <w:color w:val="000000" w:themeColor="text1"/>
                <w:sz w:val="22"/>
                <w:szCs w:val="22"/>
              </w:rPr>
              <m:t>perF</m:t>
            </m:r>
          </m:e>
          <m:sub>
            <m:r>
              <m:rPr>
                <m:sty m:val="p"/>
              </m:rPr>
              <w:rPr>
                <w:rFonts w:ascii="Cambria Math" w:hAnsi="Cambria Math" w:cs="Arial"/>
                <w:color w:val="000000" w:themeColor="text1"/>
                <w:sz w:val="22"/>
                <w:szCs w:val="22"/>
                <w:vertAlign w:val="subscript"/>
              </w:rPr>
              <m:t>tracer</m:t>
            </m:r>
          </m:sub>
        </m:sSub>
      </m:oMath>
      <w:r w:rsidR="00F05950" w:rsidRPr="00335FA0">
        <w:rPr>
          <w:rFonts w:ascii="Arial" w:hAnsi="Arial" w:cs="Arial"/>
          <w:color w:val="000000" w:themeColor="text1"/>
          <w:sz w:val="22"/>
          <w:szCs w:val="22"/>
        </w:rPr>
        <w:t xml:space="preserve">) by keeping </w:t>
      </w:r>
      <w:r w:rsidR="007A7E76" w:rsidRPr="00335FA0">
        <w:rPr>
          <w:rFonts w:ascii="Arial" w:hAnsi="Arial" w:cs="Arial"/>
          <w:color w:val="000000" w:themeColor="text1"/>
          <w:sz w:val="22"/>
          <w:szCs w:val="22"/>
        </w:rPr>
        <w:t xml:space="preserve">the </w:t>
      </w:r>
      <w:r w:rsidR="00F05950" w:rsidRPr="00335FA0">
        <w:rPr>
          <w:rFonts w:ascii="Arial" w:hAnsi="Arial" w:cs="Arial"/>
          <w:color w:val="000000" w:themeColor="text1"/>
          <w:sz w:val="22"/>
          <w:szCs w:val="22"/>
        </w:rPr>
        <w:t>velocity field constant but randomly perturbing the tracer fields, tracer</w:t>
      </w:r>
      <w:r w:rsidR="00F05950" w:rsidRPr="00335FA0">
        <w:rPr>
          <w:rFonts w:ascii="Arial" w:hAnsi="Arial" w:cs="Arial"/>
          <w:color w:val="000000" w:themeColor="text1"/>
          <w:sz w:val="22"/>
          <w:szCs w:val="22"/>
          <w:vertAlign w:val="subscript"/>
        </w:rPr>
        <w:t>i</w:t>
      </w:r>
      <w:r w:rsidR="00F05950" w:rsidRPr="00335FA0">
        <w:rPr>
          <w:rFonts w:ascii="Arial" w:hAnsi="Arial" w:cs="Arial"/>
          <w:color w:val="000000" w:themeColor="text1"/>
          <w:sz w:val="22"/>
          <w:szCs w:val="22"/>
        </w:rPr>
        <w:t xml:space="preserve"> (i = 1,…,100), adding </w:t>
      </w:r>
      <w:r w:rsidR="000B6B14" w:rsidRPr="00335FA0">
        <w:rPr>
          <w:rFonts w:ascii="Arial" w:hAnsi="Arial" w:cs="Arial"/>
          <w:color w:val="000000" w:themeColor="text1"/>
          <w:sz w:val="22"/>
          <w:szCs w:val="22"/>
        </w:rPr>
        <w:t xml:space="preserve">a </w:t>
      </w:r>
      <w:r w:rsidR="00F05950" w:rsidRPr="00335FA0">
        <w:rPr>
          <w:rFonts w:ascii="Arial" w:hAnsi="Arial" w:cs="Arial"/>
          <w:color w:val="000000" w:themeColor="text1"/>
          <w:sz w:val="22"/>
          <w:szCs w:val="22"/>
        </w:rPr>
        <w:t xml:space="preserve">normal distributed random noise to each discrete value </w:t>
      </w:r>
      <w:r w:rsidR="007A7E76" w:rsidRPr="00335FA0">
        <w:rPr>
          <w:rFonts w:ascii="Arial" w:hAnsi="Arial" w:cs="Arial"/>
          <w:color w:val="000000" w:themeColor="text1"/>
          <w:sz w:val="22"/>
          <w:szCs w:val="22"/>
        </w:rPr>
        <w:t>(</w:t>
      </w:r>
      <w:r w:rsidR="00F05950" w:rsidRPr="00335FA0">
        <w:rPr>
          <w:rFonts w:ascii="Arial" w:hAnsi="Arial" w:cs="Arial"/>
          <w:color w:val="000000" w:themeColor="text1"/>
          <w:sz w:val="22"/>
          <w:szCs w:val="22"/>
        </w:rPr>
        <w:t xml:space="preserve">with zero mean and </w:t>
      </w:r>
      <w:r w:rsidR="001E68F1" w:rsidRPr="00335FA0">
        <w:rPr>
          <w:rFonts w:ascii="Arial" w:hAnsi="Arial" w:cs="Arial"/>
          <w:color w:val="000000" w:themeColor="text1"/>
          <w:sz w:val="22"/>
          <w:szCs w:val="22"/>
        </w:rPr>
        <w:t xml:space="preserve">an accuracy-based </w:t>
      </w:r>
      <w:r w:rsidR="00A97235" w:rsidRPr="00335FA0">
        <w:rPr>
          <w:rFonts w:ascii="Arial" w:hAnsi="Arial" w:cs="Arial"/>
          <w:color w:val="000000" w:themeColor="text1"/>
          <w:sz w:val="22"/>
          <w:szCs w:val="22"/>
        </w:rPr>
        <w:t xml:space="preserve">standard deviation of </w:t>
      </w:r>
      <w:r w:rsidR="00F05950" w:rsidRPr="00335FA0">
        <w:rPr>
          <w:rFonts w:ascii="Arial" w:hAnsi="Arial" w:cs="Arial"/>
          <w:color w:val="000000" w:themeColor="text1"/>
          <w:sz w:val="22"/>
          <w:szCs w:val="22"/>
        </w:rPr>
        <w:t>0.5% and 1% of the oxygen and nutrient value, respectively</w:t>
      </w:r>
      <w:r w:rsidR="007A7E76" w:rsidRPr="00335FA0">
        <w:rPr>
          <w:rFonts w:ascii="Arial" w:hAnsi="Arial" w:cs="Arial"/>
          <w:color w:val="000000" w:themeColor="text1"/>
          <w:sz w:val="22"/>
          <w:szCs w:val="22"/>
        </w:rPr>
        <w:t>)</w:t>
      </w:r>
      <w:r w:rsidR="00F05950" w:rsidRPr="00335FA0">
        <w:rPr>
          <w:rFonts w:ascii="Arial" w:hAnsi="Arial" w:cs="Arial"/>
          <w:color w:val="000000" w:themeColor="text1"/>
          <w:sz w:val="22"/>
          <w:szCs w:val="22"/>
        </w:rPr>
        <w:t xml:space="preserve">. </w:t>
      </w:r>
      <m:oMath>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r>
              <m:rPr>
                <m:sty m:val="p"/>
              </m:rPr>
              <w:rPr>
                <w:rFonts w:ascii="Cambria Math" w:eastAsia="Cambria Math" w:hAnsi="Cambria Math" w:cs="Arial"/>
                <w:color w:val="000000" w:themeColor="text1"/>
                <w:kern w:val="24"/>
                <w:sz w:val="22"/>
                <w:szCs w:val="22"/>
              </w:rPr>
              <m:t>)</m:t>
            </m:r>
          </m:e>
          <m:sub>
            <m:r>
              <m:rPr>
                <m:sty m:val="p"/>
              </m:rPr>
              <w:rPr>
                <w:rFonts w:ascii="Cambria Math" w:eastAsia="Cambria Math" w:hAnsi="Cambria Math" w:cs="Arial"/>
                <w:color w:val="000000" w:themeColor="text1"/>
                <w:kern w:val="24"/>
                <w:sz w:val="22"/>
                <w:szCs w:val="22"/>
              </w:rPr>
              <m:t>tracer</m:t>
            </m:r>
          </m:sub>
        </m:sSub>
      </m:oMath>
      <w:r w:rsidR="00F05950" w:rsidRPr="00335FA0">
        <w:rPr>
          <w:rFonts w:ascii="Arial" w:hAnsi="Arial" w:cs="Arial"/>
          <w:color w:val="000000" w:themeColor="text1"/>
          <w:sz w:val="22"/>
          <w:szCs w:val="22"/>
        </w:rPr>
        <w:t xml:space="preserve"> was then </w:t>
      </w:r>
      <w:r w:rsidR="007A7E76" w:rsidRPr="00335FA0">
        <w:rPr>
          <w:rFonts w:ascii="Arial" w:hAnsi="Arial" w:cs="Arial"/>
          <w:color w:val="000000" w:themeColor="text1"/>
          <w:sz w:val="22"/>
          <w:szCs w:val="22"/>
        </w:rPr>
        <w:t>estimated</w:t>
      </w:r>
      <w:r w:rsidR="00F05950" w:rsidRPr="00335FA0">
        <w:rPr>
          <w:rFonts w:ascii="Arial" w:hAnsi="Arial" w:cs="Arial"/>
          <w:color w:val="000000" w:themeColor="text1"/>
          <w:sz w:val="22"/>
          <w:szCs w:val="22"/>
        </w:rPr>
        <w:t xml:space="preserve"> as the standard deviation of</w:t>
      </w:r>
      <w:r w:rsidR="000B6B14" w:rsidRPr="00335FA0">
        <w:rPr>
          <w:rFonts w:ascii="Arial" w:hAnsi="Arial" w:cs="Arial"/>
          <w:color w:val="000000" w:themeColor="text1"/>
          <w:sz w:val="22"/>
          <w:szCs w:val="22"/>
        </w:rPr>
        <w:t xml:space="preserve"> the Monte Carlo perturbation ensemble</w:t>
      </w:r>
      <w:r w:rsidR="00F05950" w:rsidRPr="00335FA0">
        <w:rPr>
          <w:rFonts w:ascii="Arial" w:hAnsi="Arial" w:cs="Arial"/>
          <w:color w:val="000000" w:themeColor="text1"/>
          <w:sz w:val="22"/>
          <w:szCs w:val="22"/>
        </w:rPr>
        <w:t xml:space="preserve">. </w:t>
      </w:r>
      <w:r w:rsidR="007D5A38" w:rsidRPr="00335FA0">
        <w:rPr>
          <w:rFonts w:ascii="Arial" w:hAnsi="Arial" w:cs="Arial"/>
          <w:color w:val="000000" w:themeColor="text1"/>
          <w:sz w:val="22"/>
          <w:szCs w:val="22"/>
        </w:rPr>
        <w:t>Note t</w:t>
      </w:r>
      <w:r w:rsidR="00F05950" w:rsidRPr="00335FA0">
        <w:rPr>
          <w:rFonts w:ascii="Arial" w:hAnsi="Arial" w:cs="Arial"/>
          <w:color w:val="000000" w:themeColor="text1"/>
          <w:sz w:val="22"/>
          <w:szCs w:val="22"/>
        </w:rPr>
        <w:t xml:space="preserve">he arbitrariness on the </w:t>
      </w:r>
      <w:r w:rsidR="0064682B" w:rsidRPr="00335FA0">
        <w:rPr>
          <w:rFonts w:ascii="Arial" w:hAnsi="Arial" w:cs="Arial"/>
          <w:color w:val="000000" w:themeColor="text1"/>
          <w:sz w:val="22"/>
          <w:szCs w:val="22"/>
        </w:rPr>
        <w:t xml:space="preserve">100-perturbation </w:t>
      </w:r>
      <w:r w:rsidR="00F05950" w:rsidRPr="00335FA0">
        <w:rPr>
          <w:rFonts w:ascii="Arial" w:hAnsi="Arial" w:cs="Arial"/>
          <w:color w:val="000000" w:themeColor="text1"/>
          <w:sz w:val="22"/>
          <w:szCs w:val="22"/>
        </w:rPr>
        <w:t>choice was tested by</w:t>
      </w:r>
      <w:r w:rsidR="0064682B" w:rsidRPr="00335FA0">
        <w:rPr>
          <w:rFonts w:ascii="Arial" w:hAnsi="Arial" w:cs="Arial"/>
          <w:color w:val="000000" w:themeColor="text1"/>
          <w:sz w:val="22"/>
          <w:szCs w:val="22"/>
        </w:rPr>
        <w:t xml:space="preserve"> increasing the </w:t>
      </w:r>
      <w:r w:rsidR="009E77B1">
        <w:rPr>
          <w:rFonts w:ascii="Arial" w:hAnsi="Arial" w:cs="Arial"/>
          <w:color w:val="000000" w:themeColor="text1"/>
          <w:sz w:val="22"/>
          <w:szCs w:val="22"/>
        </w:rPr>
        <w:t>number</w:t>
      </w:r>
      <w:r w:rsidR="0064682B" w:rsidRPr="00335FA0">
        <w:rPr>
          <w:rFonts w:ascii="Arial" w:hAnsi="Arial" w:cs="Arial"/>
          <w:color w:val="000000" w:themeColor="text1"/>
          <w:sz w:val="22"/>
          <w:szCs w:val="22"/>
        </w:rPr>
        <w:t xml:space="preserve"> of perturbations by one order of magnitude (i.e., 1000 perturbations)</w:t>
      </w:r>
      <w:r w:rsidR="007A7E76" w:rsidRPr="00335FA0">
        <w:rPr>
          <w:rFonts w:ascii="Arial" w:hAnsi="Arial" w:cs="Arial"/>
          <w:color w:val="000000" w:themeColor="text1"/>
          <w:sz w:val="22"/>
          <w:szCs w:val="22"/>
        </w:rPr>
        <w:t xml:space="preserve">, which proved to </w:t>
      </w:r>
      <w:r w:rsidR="007A7E76" w:rsidRPr="00335FA0">
        <w:rPr>
          <w:rFonts w:ascii="Arial" w:hAnsi="Arial" w:cs="Arial"/>
          <w:color w:val="000000" w:themeColor="text1"/>
          <w:sz w:val="22"/>
          <w:szCs w:val="22"/>
        </w:rPr>
        <w:lastRenderedPageBreak/>
        <w:t xml:space="preserve">have a </w:t>
      </w:r>
      <w:r w:rsidR="00F05950" w:rsidRPr="00335FA0">
        <w:rPr>
          <w:rFonts w:ascii="Arial" w:hAnsi="Arial" w:cs="Arial"/>
          <w:color w:val="000000" w:themeColor="text1"/>
          <w:sz w:val="22"/>
          <w:szCs w:val="22"/>
        </w:rPr>
        <w:t xml:space="preserve">negligible impact, </w:t>
      </w:r>
      <w:r w:rsidR="007D5A38" w:rsidRPr="00335FA0">
        <w:rPr>
          <w:rFonts w:ascii="Arial" w:hAnsi="Arial" w:cs="Arial"/>
          <w:color w:val="000000" w:themeColor="text1"/>
          <w:sz w:val="22"/>
          <w:szCs w:val="22"/>
        </w:rPr>
        <w:t xml:space="preserve">since the total uncertainty </w:t>
      </w:r>
      <m:oMath>
        <m:r>
          <m:rPr>
            <m:nor/>
          </m:rPr>
          <w:rPr>
            <w:rFonts w:ascii="Arial" w:eastAsia="Cambria Math" w:hAnsi="Arial"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nor/>
              </m:rPr>
              <w:rPr>
                <w:rFonts w:ascii="Arial" w:eastAsia="Cambria Math" w:hAnsi="Arial" w:cs="Arial"/>
                <w:color w:val="000000" w:themeColor="text1"/>
                <w:kern w:val="24"/>
                <w:sz w:val="22"/>
                <w:szCs w:val="22"/>
                <w:lang w:val="fr-FR"/>
              </w:rPr>
              <m:t>F</m:t>
            </m:r>
          </m:e>
          <m:sub>
            <m:r>
              <m:rPr>
                <m:nor/>
              </m:rPr>
              <w:rPr>
                <w:rFonts w:ascii="Arial" w:eastAsia="Cambria Math" w:hAnsi="Arial" w:cs="Arial"/>
                <w:color w:val="000000" w:themeColor="text1"/>
                <w:kern w:val="24"/>
                <w:sz w:val="22"/>
                <w:szCs w:val="22"/>
                <w:lang w:val="fr-FR"/>
              </w:rPr>
              <m:t>tracer</m:t>
            </m:r>
          </m:sub>
        </m:sSub>
      </m:oMath>
      <w:r w:rsidR="00F05950" w:rsidRPr="00335FA0">
        <w:rPr>
          <w:rFonts w:ascii="Arial" w:hAnsi="Arial" w:cs="Arial"/>
          <w:color w:val="000000" w:themeColor="text1"/>
          <w:sz w:val="22"/>
          <w:szCs w:val="22"/>
        </w:rPr>
        <w:t xml:space="preserve"> is dominated (&gt;95%) by the volume transport-derived uncertainty </w:t>
      </w:r>
      <m:oMath>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(σ</m:t>
            </m:r>
            <m:sSub>
              <m:sSubPr>
                <m:ctrlPr>
                  <w:rPr>
                    <w:rFonts w:ascii="Cambria Math" w:eastAsia="Cambria Math" w:hAnsi="Cambria Math" w:cs="Arial"/>
                    <w:color w:val="000000" w:themeColor="text1"/>
                    <w:kern w:val="24"/>
                    <w:sz w:val="22"/>
                    <w:szCs w:val="22"/>
                  </w:rPr>
                </m:ctrlPr>
              </m:sSubPr>
              <m:e>
                <m:r>
                  <m:rPr>
                    <m:sty m:val="p"/>
                  </m:rPr>
                  <w:rPr>
                    <w:rFonts w:ascii="Cambria Math" w:eastAsia="Cambria Math" w:hAnsi="Cambria Math" w:cs="Arial"/>
                    <w:color w:val="000000" w:themeColor="text1"/>
                    <w:kern w:val="24"/>
                    <w:sz w:val="22"/>
                    <w:szCs w:val="22"/>
                  </w:rPr>
                  <m:t>F</m:t>
                </m:r>
              </m:e>
              <m:sub>
                <m:r>
                  <m:rPr>
                    <m:sty m:val="p"/>
                  </m:rPr>
                  <w:rPr>
                    <w:rFonts w:ascii="Cambria Math" w:eastAsia="Cambria Math" w:hAnsi="Cambria Math" w:cs="Arial"/>
                    <w:color w:val="000000" w:themeColor="text1"/>
                    <w:kern w:val="24"/>
                    <w:sz w:val="22"/>
                    <w:szCs w:val="22"/>
                  </w:rPr>
                  <m:t>tracer</m:t>
                </m:r>
              </m:sub>
            </m:sSub>
            <m:r>
              <m:rPr>
                <m:sty m:val="p"/>
              </m:rPr>
              <w:rPr>
                <w:rFonts w:ascii="Cambria Math" w:eastAsia="Cambria Math" w:hAnsi="Cambria Math" w:cs="Arial"/>
                <w:color w:val="000000" w:themeColor="text1"/>
                <w:kern w:val="24"/>
                <w:sz w:val="22"/>
                <w:szCs w:val="22"/>
              </w:rPr>
              <m:t>)</m:t>
            </m:r>
          </m:e>
          <m:sub>
            <m:r>
              <m:rPr>
                <m:sty m:val="p"/>
              </m:rPr>
              <w:rPr>
                <w:rFonts w:ascii="Cambria Math" w:eastAsia="Cambria Math" w:hAnsi="Cambria Math" w:cs="Arial"/>
                <w:color w:val="000000" w:themeColor="text1"/>
                <w:kern w:val="24"/>
                <w:sz w:val="22"/>
                <w:szCs w:val="22"/>
              </w:rPr>
              <m:t>T</m:t>
            </m:r>
          </m:sub>
        </m:sSub>
        <m:r>
          <m:rPr>
            <m:sty m:val="p"/>
          </m:rPr>
          <w:rPr>
            <w:rFonts w:ascii="Cambria Math" w:eastAsia="Cambria Math" w:hAnsi="Cambria Math" w:cs="Arial"/>
            <w:color w:val="000000" w:themeColor="text1"/>
            <w:kern w:val="24"/>
            <w:sz w:val="22"/>
            <w:szCs w:val="22"/>
          </w:rPr>
          <m:t>.</m:t>
        </m:r>
      </m:oMath>
    </w:p>
    <w:p w14:paraId="0E074DF5" w14:textId="5018F7A6" w:rsidR="005D6DDD" w:rsidRPr="00335FA0" w:rsidRDefault="005D6DDD" w:rsidP="00CA6BFC">
      <w:pPr>
        <w:pStyle w:val="SMHeading"/>
        <w:spacing w:after="120" w:line="360" w:lineRule="auto"/>
        <w:rPr>
          <w:rFonts w:ascii="Arial" w:hAnsi="Arial" w:cs="Arial"/>
          <w:color w:val="000000" w:themeColor="text1"/>
          <w:sz w:val="22"/>
          <w:szCs w:val="22"/>
        </w:rPr>
      </w:pPr>
      <w:r w:rsidRPr="00335FA0">
        <w:rPr>
          <w:rFonts w:ascii="Arial" w:hAnsi="Arial" w:cs="Arial"/>
          <w:color w:val="000000" w:themeColor="text1"/>
          <w:sz w:val="22"/>
          <w:szCs w:val="22"/>
        </w:rPr>
        <w:t xml:space="preserve">Text S3. </w:t>
      </w:r>
      <w:r w:rsidR="00AD1900" w:rsidRPr="00335FA0">
        <w:rPr>
          <w:rFonts w:ascii="Arial" w:hAnsi="Arial" w:cs="Arial"/>
          <w:color w:val="000000" w:themeColor="text1"/>
          <w:sz w:val="22"/>
          <w:szCs w:val="22"/>
        </w:rPr>
        <w:t>Volume and s</w:t>
      </w:r>
      <w:r w:rsidRPr="00335FA0">
        <w:rPr>
          <w:rFonts w:ascii="Arial" w:hAnsi="Arial" w:cs="Arial"/>
          <w:color w:val="000000" w:themeColor="text1"/>
          <w:sz w:val="22"/>
          <w:szCs w:val="22"/>
        </w:rPr>
        <w:t>alt conservation constraint</w:t>
      </w:r>
      <w:r w:rsidR="00AD1900" w:rsidRPr="00335FA0">
        <w:rPr>
          <w:rFonts w:ascii="Arial" w:hAnsi="Arial" w:cs="Arial"/>
          <w:color w:val="000000" w:themeColor="text1"/>
          <w:sz w:val="22"/>
          <w:szCs w:val="22"/>
        </w:rPr>
        <w:t>s</w:t>
      </w:r>
    </w:p>
    <w:p w14:paraId="49467144" w14:textId="00E12331" w:rsidR="005D6DDD" w:rsidRPr="00335FA0" w:rsidRDefault="005D6DDD" w:rsidP="00CA6BFC">
      <w:pPr>
        <w:autoSpaceDE w:val="0"/>
        <w:autoSpaceDN w:val="0"/>
        <w:adjustRightInd w:val="0"/>
        <w:spacing w:line="360" w:lineRule="auto"/>
        <w:jc w:val="both"/>
        <w:rPr>
          <w:rFonts w:ascii="Arial" w:hAnsi="Arial" w:cs="Arial"/>
          <w:color w:val="000000" w:themeColor="text1"/>
          <w:sz w:val="22"/>
          <w:szCs w:val="22"/>
        </w:rPr>
      </w:pPr>
      <w:r w:rsidRPr="00335FA0">
        <w:rPr>
          <w:rFonts w:ascii="Arial" w:hAnsi="Arial" w:cs="Arial"/>
          <w:color w:val="000000" w:themeColor="text1"/>
          <w:sz w:val="22"/>
          <w:szCs w:val="22"/>
        </w:rPr>
        <w:t xml:space="preserve">The North Atlantic Ocean connects to the Pacific through the Bering Strait. For a given volume of water in the North Atlantic enclosed by a hydrographic section, mass conservation applies in steady-state </w:t>
      </w:r>
      <w:r w:rsidRPr="00335FA0">
        <w:rPr>
          <w:rFonts w:ascii="Arial" w:hAnsi="Arial" w:cs="Arial"/>
          <w:color w:val="000000" w:themeColor="text1"/>
          <w:sz w:val="22"/>
          <w:szCs w:val="22"/>
        </w:rPr>
        <w:fldChar w:fldCharType="begin"/>
      </w:r>
      <w:r w:rsidR="00387A35" w:rsidRPr="00335FA0">
        <w:rPr>
          <w:rFonts w:ascii="Arial" w:hAnsi="Arial" w:cs="Arial"/>
          <w:color w:val="000000" w:themeColor="text1"/>
          <w:sz w:val="22"/>
          <w:szCs w:val="22"/>
        </w:rPr>
        <w:instrText xml:space="preserve"> ADDIN ZOTERO_ITEM CSL_CITATION {"citationID":"CLuZyWzY","properties":{"formattedCitation":"(Siedler et al., 2001)","plainCitation":"(Siedler et al., 2001)","noteIndex":0},"citationItems":[{"id":446,"uris":["http://zotero.org/users/951135/items/2QIGENGI"],"uri":["http://zotero.org/users/951135/items/2QIGENGI"],"itemData":{"id":446,"type":"book","abstract":"The book represents all the knowledge we currently have on ocean circulation. It presents an up-to-date summary of the state of the science relating to the role of the oceans in the physical climate system.The book is structured to guide the reader through the wide range of World Ocean Circulation Experiment (WOCE) science in a consistent way. Cross-references between contributors have been added, and the book has a comprehensive index and unified reference list.The book is simple to read, at the undergraduate level. It was written by the best scientists in the world who have collaborated to carry out years of experiments to better understand ocean circulation.","ISBN":"978-0-12-641351-9","language":"en","number-of-pages":"840","publisher":"Academic Press","source":"Google Books","title":"Ocean circulation and climate: observing and modelling the global ocean","title-short":"Ocean circulation and climate","author":[{"family":"Siedler","given":"Gerold"},{"family":"Church","given":"John"},{"family":"Gould","given":"John"},{"family":"Gould","given":"W. J."}],"issued":{"date-parts":[["2001"]]}}}],"schema":"https://github.com/citation-style-language/schema/raw/master/csl-citation.json"} </w:instrText>
      </w:r>
      <w:r w:rsidRPr="00335FA0">
        <w:rPr>
          <w:rFonts w:ascii="Arial" w:hAnsi="Arial" w:cs="Arial"/>
          <w:color w:val="000000" w:themeColor="text1"/>
          <w:sz w:val="22"/>
          <w:szCs w:val="22"/>
        </w:rPr>
        <w:fldChar w:fldCharType="separate"/>
      </w:r>
      <w:r w:rsidRPr="00335FA0">
        <w:rPr>
          <w:rFonts w:ascii="Arial" w:hAnsi="Arial" w:cs="Arial"/>
          <w:color w:val="000000" w:themeColor="text1"/>
          <w:sz w:val="22"/>
          <w:szCs w:val="22"/>
        </w:rPr>
        <w:t>(Siedler et al., 2001)</w:t>
      </w:r>
      <w:r w:rsidRPr="00335FA0">
        <w:rPr>
          <w:rFonts w:ascii="Arial" w:hAnsi="Arial" w:cs="Arial"/>
          <w:color w:val="000000" w:themeColor="text1"/>
          <w:sz w:val="22"/>
          <w:szCs w:val="22"/>
        </w:rPr>
        <w:fldChar w:fldCharType="end"/>
      </w:r>
      <w:r w:rsidRPr="00335FA0">
        <w:rPr>
          <w:rFonts w:ascii="Arial" w:hAnsi="Arial" w:cs="Arial"/>
          <w:color w:val="000000" w:themeColor="text1"/>
          <w:sz w:val="22"/>
          <w:szCs w:val="22"/>
        </w:rPr>
        <w:t xml:space="preserve"> according to: </w:t>
      </w:r>
    </w:p>
    <w:p w14:paraId="2E741F90" w14:textId="080AEF89" w:rsidR="005D6DDD" w:rsidRPr="00335FA0" w:rsidRDefault="00D0587F" w:rsidP="00CA6BFC">
      <w:pPr>
        <w:autoSpaceDE w:val="0"/>
        <w:autoSpaceDN w:val="0"/>
        <w:adjustRightInd w:val="0"/>
        <w:spacing w:before="120" w:after="120" w:line="360" w:lineRule="auto"/>
        <w:jc w:val="right"/>
        <w:rPr>
          <w:rFonts w:ascii="Arial" w:hAnsi="Arial" w:cs="Arial"/>
          <w:color w:val="000000" w:themeColor="text1"/>
          <w:sz w:val="22"/>
          <w:szCs w:val="22"/>
        </w:rPr>
      </w:pPr>
      <m:oMath>
        <m:nary>
          <m:naryPr>
            <m:chr m:val="∑"/>
            <m:limLoc m:val="subSup"/>
            <m:ctrlPr>
              <w:rPr>
                <w:rFonts w:ascii="Cambria Math" w:hAnsi="Cambria Math" w:cs="Arial"/>
                <w:color w:val="000000" w:themeColor="text1"/>
                <w:sz w:val="22"/>
                <w:szCs w:val="22"/>
              </w:rPr>
            </m:ctrlPr>
          </m:naryPr>
          <m:sub>
            <m:r>
              <m:rPr>
                <m:nor/>
              </m:rPr>
              <w:rPr>
                <w:rFonts w:ascii="Arial" w:hAnsi="Arial" w:cs="Arial"/>
                <w:color w:val="000000" w:themeColor="text1"/>
                <w:sz w:val="22"/>
                <w:szCs w:val="22"/>
              </w:rPr>
              <m:t>j=stp-first</m:t>
            </m:r>
          </m:sub>
          <m:sup>
            <m:r>
              <m:rPr>
                <m:nor/>
              </m:rPr>
              <w:rPr>
                <w:rFonts w:ascii="Arial" w:hAnsi="Arial" w:cs="Arial"/>
                <w:color w:val="000000" w:themeColor="text1"/>
                <w:sz w:val="22"/>
                <w:szCs w:val="22"/>
              </w:rPr>
              <m:t>stp-last</m:t>
            </m:r>
          </m:sup>
          <m:e>
            <m:r>
              <m:rPr>
                <m:nor/>
              </m:rPr>
              <w:rPr>
                <w:rFonts w:ascii="Arial" w:hAnsi="Arial" w:cs="Arial"/>
                <w:color w:val="000000" w:themeColor="text1"/>
                <w:sz w:val="22"/>
                <w:szCs w:val="22"/>
              </w:rPr>
              <m:t>Δ</m:t>
            </m:r>
            <m:sSub>
              <m:sSubPr>
                <m:ctrlPr>
                  <w:rPr>
                    <w:rFonts w:ascii="Cambria Math" w:hAnsi="Cambria Math" w:cs="Arial"/>
                    <w:color w:val="000000" w:themeColor="text1"/>
                    <w:sz w:val="22"/>
                    <w:szCs w:val="22"/>
                  </w:rPr>
                </m:ctrlPr>
              </m:sSubPr>
              <m:e>
                <m:r>
                  <m:rPr>
                    <m:nor/>
                  </m:rPr>
                  <w:rPr>
                    <w:rFonts w:ascii="Arial" w:hAnsi="Arial" w:cs="Arial"/>
                    <w:color w:val="000000" w:themeColor="text1"/>
                    <w:sz w:val="22"/>
                    <w:szCs w:val="22"/>
                  </w:rPr>
                  <m:t>x</m:t>
                </m:r>
              </m:e>
              <m:sub>
                <m:r>
                  <m:rPr>
                    <m:nor/>
                  </m:rPr>
                  <w:rPr>
                    <w:rFonts w:ascii="Arial" w:hAnsi="Arial" w:cs="Arial"/>
                    <w:color w:val="000000" w:themeColor="text1"/>
                    <w:sz w:val="22"/>
                    <w:szCs w:val="22"/>
                  </w:rPr>
                  <m:t>j</m:t>
                </m:r>
              </m:sub>
            </m:sSub>
            <m:nary>
              <m:naryPr>
                <m:ctrlPr>
                  <w:rPr>
                    <w:rFonts w:ascii="Cambria Math" w:hAnsi="Cambria Math" w:cs="Arial"/>
                    <w:color w:val="000000" w:themeColor="text1"/>
                    <w:sz w:val="22"/>
                    <w:szCs w:val="22"/>
                  </w:rPr>
                </m:ctrlPr>
              </m:naryPr>
              <m:sub>
                <m:r>
                  <m:rPr>
                    <m:nor/>
                  </m:rPr>
                  <w:rPr>
                    <w:rFonts w:ascii="Arial" w:hAnsi="Arial" w:cs="Arial"/>
                    <w:color w:val="000000" w:themeColor="text1"/>
                    <w:sz w:val="22"/>
                    <w:szCs w:val="22"/>
                  </w:rPr>
                  <m:t>z0</m:t>
                </m:r>
              </m:sub>
              <m:sup>
                <m:r>
                  <m:rPr>
                    <m:nor/>
                  </m:rPr>
                  <w:rPr>
                    <w:rFonts w:ascii="Cambria Math" w:hAnsi="Arial" w:cs="Arial"/>
                    <w:color w:val="000000" w:themeColor="text1"/>
                    <w:sz w:val="22"/>
                    <w:szCs w:val="22"/>
                  </w:rPr>
                  <m:t>z</m:t>
                </m:r>
                <m:r>
                  <m:rPr>
                    <m:nor/>
                  </m:rPr>
                  <w:rPr>
                    <w:rFonts w:ascii="Arial" w:hAnsi="Arial" w:cs="Arial"/>
                    <w:color w:val="000000" w:themeColor="text1"/>
                    <w:sz w:val="22"/>
                    <w:szCs w:val="22"/>
                  </w:rPr>
                  <m:t>bottom</m:t>
                </m:r>
              </m:sup>
              <m:e>
                <m:sSub>
                  <m:sSubPr>
                    <m:ctrlPr>
                      <w:rPr>
                        <w:rFonts w:ascii="Cambria Math" w:hAnsi="Cambria Math" w:cs="Arial"/>
                        <w:color w:val="000000" w:themeColor="text1"/>
                        <w:sz w:val="22"/>
                        <w:szCs w:val="22"/>
                      </w:rPr>
                    </m:ctrlPr>
                  </m:sSubPr>
                  <m:e>
                    <m:r>
                      <m:rPr>
                        <m:lit/>
                        <m:nor/>
                      </m:rPr>
                      <w:rPr>
                        <w:rFonts w:ascii="Arial" w:hAnsi="Arial" w:cs="Arial"/>
                        <w:color w:val="000000" w:themeColor="text1"/>
                        <w:sz w:val="22"/>
                        <w:szCs w:val="22"/>
                      </w:rPr>
                      <m:t>ρ</m:t>
                    </m:r>
                  </m:e>
                  <m:sub>
                    <m:r>
                      <m:rPr>
                        <m:nor/>
                      </m:rPr>
                      <w:rPr>
                        <w:rFonts w:ascii="Arial" w:hAnsi="Arial" w:cs="Arial"/>
                        <w:color w:val="000000" w:themeColor="text1"/>
                        <w:sz w:val="22"/>
                        <w:szCs w:val="22"/>
                      </w:rPr>
                      <m:t>j</m:t>
                    </m:r>
                  </m:sub>
                </m:sSub>
                <m:sSub>
                  <m:sSubPr>
                    <m:ctrlPr>
                      <w:rPr>
                        <w:rFonts w:ascii="Cambria Math" w:hAnsi="Cambria Math" w:cs="Arial"/>
                        <w:color w:val="000000" w:themeColor="text1"/>
                        <w:sz w:val="22"/>
                        <w:szCs w:val="22"/>
                      </w:rPr>
                    </m:ctrlPr>
                  </m:sSubPr>
                  <m:e>
                    <m:r>
                      <m:rPr>
                        <m:nor/>
                      </m:rPr>
                      <w:rPr>
                        <w:rFonts w:ascii="Arial" w:hAnsi="Arial" w:cs="Arial"/>
                        <w:color w:val="000000" w:themeColor="text1"/>
                        <w:sz w:val="22"/>
                        <w:szCs w:val="22"/>
                      </w:rPr>
                      <m:t>v</m:t>
                    </m:r>
                  </m:e>
                  <m:sub>
                    <m:r>
                      <m:rPr>
                        <m:nor/>
                      </m:rPr>
                      <w:rPr>
                        <w:rFonts w:ascii="Arial" w:hAnsi="Arial" w:cs="Arial"/>
                        <w:color w:val="000000" w:themeColor="text1"/>
                        <w:sz w:val="22"/>
                        <w:szCs w:val="22"/>
                      </w:rPr>
                      <m:t>j</m:t>
                    </m:r>
                  </m:sub>
                </m:sSub>
                <m:r>
                  <m:rPr>
                    <m:nor/>
                  </m:rPr>
                  <w:rPr>
                    <w:rFonts w:ascii="Arial" w:hAnsi="Arial" w:cs="Arial"/>
                    <w:color w:val="000000" w:themeColor="text1"/>
                    <w:sz w:val="22"/>
                    <w:szCs w:val="22"/>
                  </w:rPr>
                  <m:t xml:space="preserve"> dz + [P-E+R] = </m:t>
                </m:r>
                <m:sSup>
                  <m:sSupPr>
                    <m:ctrlPr>
                      <w:rPr>
                        <w:rFonts w:ascii="Cambria Math" w:hAnsi="Cambria Math" w:cs="Arial"/>
                        <w:i/>
                        <w:color w:val="000000" w:themeColor="text1"/>
                        <w:sz w:val="22"/>
                        <w:szCs w:val="22"/>
                        <w:lang w:val="en-US"/>
                      </w:rPr>
                    </m:ctrlPr>
                  </m:sSupPr>
                  <m:e>
                    <m:r>
                      <m:rPr>
                        <m:nor/>
                      </m:rPr>
                      <w:rPr>
                        <w:rFonts w:ascii="Arial" w:hAnsi="Arial" w:cs="Arial"/>
                        <w:color w:val="000000" w:themeColor="text1"/>
                        <w:sz w:val="22"/>
                        <w:szCs w:val="22"/>
                      </w:rPr>
                      <m:t>T</m:t>
                    </m:r>
                  </m:e>
                  <m:sup>
                    <m:r>
                      <m:rPr>
                        <m:nor/>
                      </m:rPr>
                      <w:rPr>
                        <w:rFonts w:ascii="Arial" w:hAnsi="Arial" w:cs="Arial"/>
                        <w:color w:val="000000" w:themeColor="text1"/>
                        <w:sz w:val="22"/>
                        <w:szCs w:val="22"/>
                      </w:rPr>
                      <m:t>interbasin</m:t>
                    </m:r>
                  </m:sup>
                </m:sSup>
              </m:e>
            </m:nary>
          </m:e>
        </m:nary>
      </m:oMath>
      <w:r w:rsidR="005D6DDD" w:rsidRPr="00335FA0">
        <w:rPr>
          <w:rFonts w:ascii="Arial" w:hAnsi="Arial" w:cs="Arial"/>
          <w:color w:val="000000" w:themeColor="text1"/>
          <w:sz w:val="22"/>
          <w:szCs w:val="22"/>
        </w:rPr>
        <w:t xml:space="preserve">                                 (2)</w:t>
      </w:r>
    </w:p>
    <w:p w14:paraId="37EB9355" w14:textId="3EB4A279" w:rsidR="005D6DDD" w:rsidRPr="00335FA0" w:rsidRDefault="00DE53CC" w:rsidP="00CA6BFC">
      <w:pPr>
        <w:spacing w:line="360" w:lineRule="auto"/>
        <w:jc w:val="both"/>
        <w:rPr>
          <w:rFonts w:ascii="Arial" w:hAnsi="Arial" w:cs="Arial"/>
          <w:color w:val="000000" w:themeColor="text1"/>
          <w:sz w:val="22"/>
          <w:szCs w:val="22"/>
        </w:rPr>
      </w:pPr>
      <w:r w:rsidRPr="00335FA0">
        <w:rPr>
          <w:rFonts w:ascii="Arial" w:eastAsia="Cambria" w:hAnsi="Arial" w:cs="Arial"/>
          <w:color w:val="000000" w:themeColor="text1"/>
          <w:sz w:val="22"/>
          <w:szCs w:val="22"/>
        </w:rPr>
        <w:t xml:space="preserve">The left-hand term represents mass transport across a section where: </w:t>
      </w:r>
      <w:r w:rsidR="00BF6240" w:rsidRPr="00335FA0">
        <w:rPr>
          <w:rFonts w:ascii="Arial" w:eastAsia="Cambria" w:hAnsi="Arial" w:cs="Arial"/>
          <w:i/>
          <w:color w:val="000000" w:themeColor="text1"/>
          <w:sz w:val="22"/>
          <w:szCs w:val="22"/>
        </w:rPr>
        <w:t>j</w:t>
      </w:r>
      <w:r w:rsidR="00BF6240" w:rsidRPr="00335FA0">
        <w:rPr>
          <w:rFonts w:ascii="Arial" w:eastAsia="Cambria" w:hAnsi="Arial" w:cs="Arial"/>
          <w:color w:val="000000" w:themeColor="text1"/>
          <w:sz w:val="22"/>
          <w:szCs w:val="22"/>
        </w:rPr>
        <w:t xml:space="preserve"> refers to a station pai</w:t>
      </w:r>
      <w:r w:rsidR="001B1FE0" w:rsidRPr="00335FA0">
        <w:rPr>
          <w:rFonts w:ascii="Arial" w:eastAsia="Cambria" w:hAnsi="Arial" w:cs="Arial"/>
          <w:color w:val="000000" w:themeColor="text1"/>
          <w:sz w:val="22"/>
          <w:szCs w:val="22"/>
        </w:rPr>
        <w:t>r (</w:t>
      </w:r>
      <w:r w:rsidR="00BF6240" w:rsidRPr="00335FA0">
        <w:rPr>
          <w:rFonts w:ascii="Arial" w:hAnsi="Arial" w:cs="Arial"/>
          <w:color w:val="000000" w:themeColor="text1"/>
          <w:sz w:val="22"/>
          <w:szCs w:val="22"/>
        </w:rPr>
        <w:t>mid-point between two hydrographic stations</w:t>
      </w:r>
      <w:r w:rsidR="001B1FE0" w:rsidRPr="00335FA0">
        <w:rPr>
          <w:rFonts w:ascii="Arial" w:hAnsi="Arial" w:cs="Arial"/>
          <w:color w:val="000000" w:themeColor="text1"/>
          <w:sz w:val="22"/>
          <w:szCs w:val="22"/>
        </w:rPr>
        <w:t xml:space="preserve"> at which the velocity profile is obtained)</w:t>
      </w:r>
      <w:r w:rsidR="00BF6240" w:rsidRPr="00335FA0">
        <w:rPr>
          <w:rFonts w:ascii="Arial" w:eastAsia="Cambria" w:hAnsi="Arial" w:cs="Arial"/>
          <w:color w:val="000000" w:themeColor="text1"/>
          <w:sz w:val="22"/>
          <w:szCs w:val="22"/>
        </w:rPr>
        <w:t xml:space="preserve">, </w:t>
      </w:r>
      <w:r w:rsidRPr="00335FA0">
        <w:rPr>
          <w:rFonts w:ascii="Arial" w:eastAsia="Cambria" w:hAnsi="Arial" w:cs="Arial"/>
          <w:color w:val="000000" w:themeColor="text1"/>
          <w:sz w:val="22"/>
          <w:szCs w:val="22"/>
        </w:rPr>
        <w:t>stp</w:t>
      </w:r>
      <w:r w:rsidR="00BE4C5F" w:rsidRPr="00335FA0">
        <w:rPr>
          <w:rFonts w:ascii="Arial" w:eastAsia="Cambria" w:hAnsi="Arial" w:cs="Arial"/>
          <w:color w:val="000000" w:themeColor="text1"/>
          <w:sz w:val="22"/>
          <w:szCs w:val="22"/>
        </w:rPr>
        <w:t>-first</w:t>
      </w:r>
      <w:r w:rsidRPr="00335FA0">
        <w:rPr>
          <w:rFonts w:ascii="Arial" w:eastAsia="Cambria" w:hAnsi="Arial" w:cs="Arial"/>
          <w:color w:val="000000" w:themeColor="text1"/>
          <w:sz w:val="22"/>
          <w:szCs w:val="22"/>
        </w:rPr>
        <w:t xml:space="preserve"> and stp</w:t>
      </w:r>
      <w:r w:rsidR="00BE4C5F" w:rsidRPr="00335FA0">
        <w:rPr>
          <w:rFonts w:ascii="Arial" w:eastAsia="Cambria" w:hAnsi="Arial" w:cs="Arial"/>
          <w:color w:val="000000" w:themeColor="text1"/>
          <w:sz w:val="22"/>
          <w:szCs w:val="22"/>
        </w:rPr>
        <w:t>-last</w:t>
      </w:r>
      <w:r w:rsidRPr="00335FA0">
        <w:rPr>
          <w:rFonts w:ascii="Arial" w:eastAsia="Cambria" w:hAnsi="Arial" w:cs="Arial"/>
          <w:color w:val="000000" w:themeColor="text1"/>
          <w:sz w:val="22"/>
          <w:szCs w:val="22"/>
        </w:rPr>
        <w:t xml:space="preserve"> are </w:t>
      </w:r>
      <w:r w:rsidR="00BE4C5F" w:rsidRPr="00335FA0">
        <w:rPr>
          <w:rFonts w:ascii="Arial" w:eastAsia="Cambria" w:hAnsi="Arial" w:cs="Arial"/>
          <w:color w:val="000000" w:themeColor="text1"/>
          <w:sz w:val="22"/>
          <w:szCs w:val="22"/>
        </w:rPr>
        <w:t>the fist and last</w:t>
      </w:r>
      <w:r w:rsidRPr="00335FA0">
        <w:rPr>
          <w:rFonts w:ascii="Arial" w:eastAsia="Cambria" w:hAnsi="Arial" w:cs="Arial"/>
          <w:color w:val="000000" w:themeColor="text1"/>
          <w:sz w:val="22"/>
          <w:szCs w:val="22"/>
        </w:rPr>
        <w:t xml:space="preserve"> station p</w:t>
      </w:r>
      <w:r w:rsidR="00BF6240" w:rsidRPr="00335FA0">
        <w:rPr>
          <w:rFonts w:ascii="Arial" w:eastAsia="Cambria" w:hAnsi="Arial" w:cs="Arial"/>
          <w:color w:val="000000" w:themeColor="text1"/>
          <w:sz w:val="22"/>
          <w:szCs w:val="22"/>
        </w:rPr>
        <w:t>airs</w:t>
      </w:r>
      <w:r w:rsidR="00BE4C5F" w:rsidRPr="00335FA0">
        <w:rPr>
          <w:rFonts w:ascii="Arial" w:eastAsia="Cambria" w:hAnsi="Arial" w:cs="Arial"/>
          <w:color w:val="000000" w:themeColor="text1"/>
          <w:sz w:val="22"/>
          <w:szCs w:val="22"/>
        </w:rPr>
        <w:t xml:space="preserve"> of the section</w:t>
      </w:r>
      <w:r w:rsidRPr="00335FA0">
        <w:rPr>
          <w:rFonts w:ascii="Arial" w:eastAsia="Cambria" w:hAnsi="Arial" w:cs="Arial"/>
          <w:color w:val="000000" w:themeColor="text1"/>
          <w:sz w:val="22"/>
          <w:szCs w:val="22"/>
        </w:rPr>
        <w:t xml:space="preserve">, </w:t>
      </w:r>
      <w:r w:rsidRPr="00335FA0">
        <w:rPr>
          <w:rFonts w:ascii="Arial" w:eastAsia="Cambria" w:hAnsi="Arial" w:cs="Arial"/>
          <w:i/>
          <w:color w:val="000000" w:themeColor="text1"/>
          <w:sz w:val="22"/>
          <w:szCs w:val="22"/>
        </w:rPr>
        <w:t>x</w:t>
      </w:r>
      <w:r w:rsidRPr="00335FA0">
        <w:rPr>
          <w:rFonts w:ascii="Arial" w:eastAsia="Cambria" w:hAnsi="Arial" w:cs="Arial"/>
          <w:color w:val="000000" w:themeColor="text1"/>
          <w:sz w:val="22"/>
          <w:szCs w:val="22"/>
        </w:rPr>
        <w:t xml:space="preserve"> </w:t>
      </w:r>
      <w:r w:rsidRPr="00335FA0">
        <w:rPr>
          <w:rFonts w:ascii="Arial" w:eastAsia="Cambria" w:hAnsi="Arial" w:cs="Arial"/>
          <w:i/>
          <w:color w:val="000000" w:themeColor="text1"/>
          <w:sz w:val="22"/>
          <w:szCs w:val="22"/>
        </w:rPr>
        <w:t>j</w:t>
      </w:r>
      <w:r w:rsidRPr="00335FA0">
        <w:rPr>
          <w:rFonts w:ascii="Arial" w:eastAsia="Cambria" w:hAnsi="Arial" w:cs="Arial"/>
          <w:color w:val="000000" w:themeColor="text1"/>
          <w:sz w:val="22"/>
          <w:szCs w:val="22"/>
        </w:rPr>
        <w:t xml:space="preserve"> is the distance between station</w:t>
      </w:r>
      <w:r w:rsidR="00BF6240" w:rsidRPr="00335FA0">
        <w:rPr>
          <w:rFonts w:ascii="Arial" w:eastAsia="Cambria" w:hAnsi="Arial" w:cs="Arial"/>
          <w:color w:val="000000" w:themeColor="text1"/>
          <w:sz w:val="22"/>
          <w:szCs w:val="22"/>
        </w:rPr>
        <w:t xml:space="preserve"> pairs</w:t>
      </w:r>
      <w:r w:rsidRPr="00335FA0">
        <w:rPr>
          <w:rFonts w:ascii="Arial" w:eastAsia="Cambria" w:hAnsi="Arial" w:cs="Arial"/>
          <w:color w:val="000000" w:themeColor="text1"/>
          <w:sz w:val="22"/>
          <w:szCs w:val="22"/>
        </w:rPr>
        <w:t>, z</w:t>
      </w:r>
      <w:r w:rsidR="00BE4C5F" w:rsidRPr="00335FA0">
        <w:rPr>
          <w:rFonts w:ascii="Arial" w:eastAsia="Cambria" w:hAnsi="Arial" w:cs="Arial"/>
          <w:color w:val="000000" w:themeColor="text1"/>
          <w:sz w:val="22"/>
          <w:szCs w:val="22"/>
        </w:rPr>
        <w:t>0</w:t>
      </w:r>
      <w:r w:rsidRPr="00335FA0">
        <w:rPr>
          <w:rFonts w:ascii="Arial" w:eastAsia="Cambria" w:hAnsi="Arial" w:cs="Arial"/>
          <w:color w:val="000000" w:themeColor="text1"/>
          <w:sz w:val="22"/>
          <w:szCs w:val="22"/>
        </w:rPr>
        <w:t xml:space="preserve"> and </w:t>
      </w:r>
      <w:r w:rsidR="00BE4C5F" w:rsidRPr="00335FA0">
        <w:rPr>
          <w:rFonts w:ascii="Arial" w:eastAsia="Cambria" w:hAnsi="Arial" w:cs="Arial"/>
          <w:color w:val="000000" w:themeColor="text1"/>
          <w:sz w:val="22"/>
          <w:szCs w:val="22"/>
        </w:rPr>
        <w:t>zbottom</w:t>
      </w:r>
      <w:r w:rsidRPr="00335FA0">
        <w:rPr>
          <w:rFonts w:ascii="Arial" w:eastAsia="Cambria" w:hAnsi="Arial" w:cs="Arial"/>
          <w:color w:val="000000" w:themeColor="text1"/>
          <w:sz w:val="22"/>
          <w:szCs w:val="22"/>
        </w:rPr>
        <w:t xml:space="preserve"> are depths</w:t>
      </w:r>
      <w:r w:rsidR="001B1FE0" w:rsidRPr="00335FA0">
        <w:rPr>
          <w:rFonts w:ascii="Arial" w:eastAsia="Cambria" w:hAnsi="Arial" w:cs="Arial"/>
          <w:color w:val="000000" w:themeColor="text1"/>
          <w:sz w:val="22"/>
          <w:szCs w:val="22"/>
        </w:rPr>
        <w:t xml:space="preserve"> (or </w:t>
      </w:r>
      <w:r w:rsidR="001B1FE0" w:rsidRPr="00335FA0">
        <w:rPr>
          <w:rFonts w:ascii="Arial" w:hAnsi="Arial" w:cs="Arial"/>
          <w:color w:val="000000" w:themeColor="text1"/>
          <w:sz w:val="22"/>
          <w:szCs w:val="22"/>
        </w:rPr>
        <w:t>densities if density is used as the vertical coordinate</w:t>
      </w:r>
      <w:r w:rsidR="001B1FE0" w:rsidRPr="00335FA0">
        <w:rPr>
          <w:rFonts w:ascii="Arial" w:eastAsia="Cambria" w:hAnsi="Arial" w:cs="Arial"/>
          <w:color w:val="000000" w:themeColor="text1"/>
          <w:sz w:val="22"/>
          <w:szCs w:val="22"/>
        </w:rPr>
        <w:t>)</w:t>
      </w:r>
      <w:r w:rsidR="00BE4C5F" w:rsidRPr="00335FA0">
        <w:rPr>
          <w:rFonts w:ascii="Arial" w:eastAsia="Cambria" w:hAnsi="Arial" w:cs="Arial"/>
          <w:color w:val="000000" w:themeColor="text1"/>
          <w:sz w:val="22"/>
          <w:szCs w:val="22"/>
        </w:rPr>
        <w:t xml:space="preserve"> from surface (z0) to bottom (zbottom)</w:t>
      </w:r>
      <w:r w:rsidRPr="00335FA0">
        <w:rPr>
          <w:rFonts w:ascii="Arial" w:eastAsia="Cambria" w:hAnsi="Arial" w:cs="Arial"/>
          <w:color w:val="000000" w:themeColor="text1"/>
          <w:sz w:val="22"/>
          <w:szCs w:val="22"/>
        </w:rPr>
        <w:t xml:space="preserve">, ρj and vj are in the situ density and velocity at station </w:t>
      </w:r>
      <w:r w:rsidR="00BF6240" w:rsidRPr="00335FA0">
        <w:rPr>
          <w:rFonts w:ascii="Arial" w:eastAsia="Cambria" w:hAnsi="Arial" w:cs="Arial"/>
          <w:color w:val="000000" w:themeColor="text1"/>
          <w:sz w:val="22"/>
          <w:szCs w:val="22"/>
        </w:rPr>
        <w:t xml:space="preserve">pair </w:t>
      </w:r>
      <w:r w:rsidRPr="00335FA0">
        <w:rPr>
          <w:rFonts w:ascii="Arial" w:eastAsia="Cambria" w:hAnsi="Arial" w:cs="Arial"/>
          <w:i/>
          <w:color w:val="000000" w:themeColor="text1"/>
          <w:sz w:val="22"/>
          <w:szCs w:val="22"/>
        </w:rPr>
        <w:t>j</w:t>
      </w:r>
      <w:r w:rsidRPr="00335FA0">
        <w:rPr>
          <w:rFonts w:ascii="Arial" w:eastAsia="Cambria" w:hAnsi="Arial" w:cs="Arial"/>
          <w:color w:val="000000" w:themeColor="text1"/>
          <w:sz w:val="22"/>
          <w:szCs w:val="22"/>
        </w:rPr>
        <w:t>. The second term represents freshwater water sources: P (precipitation), E (evaporation) and R (river runoff including ice melt).</w:t>
      </w:r>
      <w:r w:rsidR="00BF6240" w:rsidRPr="00335FA0">
        <w:rPr>
          <w:rFonts w:ascii="Arial" w:hAnsi="Arial" w:cs="Arial"/>
          <w:color w:val="000000" w:themeColor="text1"/>
          <w:sz w:val="22"/>
          <w:szCs w:val="22"/>
        </w:rPr>
        <w:t xml:space="preserve"> The right-hand term</w:t>
      </w:r>
      <w:r w:rsidR="001B1FE0" w:rsidRPr="00335FA0">
        <w:rPr>
          <w:rFonts w:ascii="Arial" w:hAnsi="Arial" w:cs="Arial"/>
          <w:color w:val="000000" w:themeColor="text1"/>
          <w:sz w:val="22"/>
          <w:szCs w:val="22"/>
        </w:rPr>
        <w:t xml:space="preserve"> </w:t>
      </w:r>
      <w:r w:rsidR="00BF6240" w:rsidRPr="00335FA0">
        <w:rPr>
          <w:rFonts w:ascii="Arial" w:hAnsi="Arial" w:cs="Arial"/>
          <w:color w:val="000000" w:themeColor="text1"/>
          <w:sz w:val="22"/>
          <w:szCs w:val="22"/>
        </w:rPr>
        <w:t>refers to the interbasin mass exchange across the Bering Strait.</w:t>
      </w:r>
      <w:r w:rsidR="0016612F" w:rsidRPr="00335FA0">
        <w:rPr>
          <w:rFonts w:ascii="Arial" w:hAnsi="Arial" w:cs="Arial"/>
          <w:color w:val="000000" w:themeColor="text1"/>
          <w:sz w:val="22"/>
          <w:szCs w:val="22"/>
        </w:rPr>
        <w:t xml:space="preserve"> </w:t>
      </w:r>
      <w:r w:rsidR="005D6DDD" w:rsidRPr="00335FA0">
        <w:rPr>
          <w:rFonts w:ascii="Arial" w:hAnsi="Arial" w:cs="Arial"/>
          <w:color w:val="000000" w:themeColor="text1"/>
          <w:sz w:val="22"/>
          <w:szCs w:val="22"/>
          <w:lang w:val="en-US"/>
        </w:rPr>
        <w:t xml:space="preserve">Note that </w:t>
      </w:r>
      <w:r w:rsidR="005D6DDD" w:rsidRPr="00335FA0">
        <w:rPr>
          <w:rFonts w:ascii="Arial" w:hAnsi="Arial" w:cs="Arial"/>
          <w:color w:val="000000" w:themeColor="text1"/>
          <w:sz w:val="22"/>
          <w:szCs w:val="22"/>
        </w:rPr>
        <w:t xml:space="preserve">conservation of mass (equation 2) and conservation of volume (homologous to equation 2, but omitting </w:t>
      </w:r>
      <m:oMath>
        <m:r>
          <m:rPr>
            <m:lit/>
            <m:nor/>
          </m:rPr>
          <w:rPr>
            <w:rFonts w:ascii="Arial" w:hAnsi="Arial" w:cs="Arial"/>
            <w:color w:val="000000" w:themeColor="text1"/>
            <w:sz w:val="22"/>
            <w:szCs w:val="22"/>
          </w:rPr>
          <m:t>ρ</m:t>
        </m:r>
      </m:oMath>
      <w:r w:rsidR="005D6DDD" w:rsidRPr="00335FA0">
        <w:rPr>
          <w:rFonts w:ascii="Arial" w:hAnsi="Arial" w:cs="Arial"/>
          <w:color w:val="000000" w:themeColor="text1"/>
          <w:sz w:val="22"/>
          <w:szCs w:val="22"/>
        </w:rPr>
        <w:t xml:space="preserve">) are often used as pseudonyms, </w:t>
      </w:r>
      <w:r w:rsidR="005D6DDD" w:rsidRPr="00335FA0">
        <w:rPr>
          <w:rFonts w:ascii="Arial" w:hAnsi="Arial" w:cs="Arial"/>
          <w:color w:val="000000" w:themeColor="text1"/>
          <w:sz w:val="22"/>
          <w:szCs w:val="22"/>
          <w:lang w:val="en-US"/>
        </w:rPr>
        <w:t xml:space="preserve">since for macroscopic applications ocean is considered incompressible </w:t>
      </w:r>
      <w:r w:rsidR="005D6DDD" w:rsidRPr="00335FA0">
        <w:rPr>
          <w:rFonts w:ascii="Arial" w:hAnsi="Arial" w:cs="Arial"/>
          <w:color w:val="000000" w:themeColor="text1"/>
          <w:sz w:val="22"/>
          <w:szCs w:val="22"/>
        </w:rPr>
        <w:fldChar w:fldCharType="begin"/>
      </w:r>
      <w:r w:rsidR="00387A35" w:rsidRPr="00335FA0">
        <w:rPr>
          <w:rFonts w:ascii="Arial" w:hAnsi="Arial" w:cs="Arial"/>
          <w:color w:val="000000" w:themeColor="text1"/>
          <w:sz w:val="22"/>
          <w:szCs w:val="22"/>
        </w:rPr>
        <w:instrText xml:space="preserve"> ADDIN ZOTERO_ITEM CSL_CITATION {"citationID":"2oL6NBaS","properties":{"formattedCitation":"(Talley et al., 2007)","plainCitation":"(Talley et al., 2007)","noteIndex":0},"citationItems":[{"id":208,"uris":["http://zotero.org/users/951135/items/VFGT7BVH"],"uri":["http://zotero.org/users/951135/items/VFGT7BVH"],"itemData":{"id":208,"type":"book","edition":"6","ISBN":"0-7506-4552-0","number-of-pages":"560","publisher":"Academic Press","source":"Amazon.com","title":"Descriptive Physical Oceanography, Sixth Edition: An Introduction","title-short":"Descriptive Physical Oceanography, Sixth Edition","author":[{"family":"Talley","given":"Lynne D."},{"family":"Pickard","given":"George L."},{"family":"Emery","given":"William J."},{"family":"Swift","given":"James H."}],"issued":{"date-parts":[["2007",1,15]]}}}],"schema":"https://github.com/citation-style-language/schema/raw/master/csl-citation.json"} </w:instrText>
      </w:r>
      <w:r w:rsidR="005D6DDD" w:rsidRPr="00335FA0">
        <w:rPr>
          <w:rFonts w:ascii="Arial" w:hAnsi="Arial" w:cs="Arial"/>
          <w:color w:val="000000" w:themeColor="text1"/>
          <w:sz w:val="22"/>
          <w:szCs w:val="22"/>
        </w:rPr>
        <w:fldChar w:fldCharType="separate"/>
      </w:r>
      <w:r w:rsidR="005D6DDD" w:rsidRPr="00335FA0">
        <w:rPr>
          <w:rFonts w:ascii="Arial" w:hAnsi="Arial" w:cs="Arial"/>
          <w:noProof/>
          <w:color w:val="000000" w:themeColor="text1"/>
          <w:sz w:val="22"/>
          <w:szCs w:val="22"/>
        </w:rPr>
        <w:t>(Talley et al., 2007)</w:t>
      </w:r>
      <w:r w:rsidR="005D6DDD" w:rsidRPr="00335FA0">
        <w:rPr>
          <w:rFonts w:ascii="Arial" w:hAnsi="Arial" w:cs="Arial"/>
          <w:color w:val="000000" w:themeColor="text1"/>
          <w:sz w:val="22"/>
          <w:szCs w:val="22"/>
        </w:rPr>
        <w:fldChar w:fldCharType="end"/>
      </w:r>
      <w:r w:rsidR="005D6DDD" w:rsidRPr="00335FA0">
        <w:rPr>
          <w:rFonts w:ascii="Arial" w:hAnsi="Arial" w:cs="Arial"/>
          <w:color w:val="000000" w:themeColor="text1"/>
          <w:sz w:val="22"/>
          <w:szCs w:val="22"/>
        </w:rPr>
        <w:t xml:space="preserve">. </w:t>
      </w:r>
    </w:p>
    <w:p w14:paraId="637FEA4F" w14:textId="5D1D6BE3" w:rsidR="005D6DDD" w:rsidRPr="00335FA0" w:rsidRDefault="005D6DDD" w:rsidP="00CA6BFC">
      <w:pPr>
        <w:spacing w:before="120" w:after="120" w:line="360" w:lineRule="auto"/>
        <w:jc w:val="both"/>
        <w:rPr>
          <w:rFonts w:ascii="Arial" w:hAnsi="Arial" w:cs="Arial"/>
          <w:color w:val="000000" w:themeColor="text1"/>
          <w:sz w:val="22"/>
          <w:szCs w:val="22"/>
        </w:rPr>
      </w:pPr>
      <w:r w:rsidRPr="00335FA0">
        <w:rPr>
          <w:rFonts w:ascii="Arial" w:hAnsi="Arial" w:cs="Arial"/>
          <w:color w:val="000000" w:themeColor="text1"/>
          <w:sz w:val="22"/>
          <w:szCs w:val="22"/>
        </w:rPr>
        <w:t xml:space="preserve">Similarly to mass (volume) conservation, salt conservation applies to a volume of ocean enclosed by a hydrographic section </w:t>
      </w:r>
      <w:r w:rsidRPr="00335FA0">
        <w:rPr>
          <w:rFonts w:ascii="Arial" w:hAnsi="Arial" w:cs="Arial"/>
          <w:color w:val="000000" w:themeColor="text1"/>
          <w:sz w:val="22"/>
          <w:szCs w:val="22"/>
        </w:rPr>
        <w:fldChar w:fldCharType="begin"/>
      </w:r>
      <w:r w:rsidR="00387A35" w:rsidRPr="00335FA0">
        <w:rPr>
          <w:rFonts w:ascii="Arial" w:hAnsi="Arial" w:cs="Arial"/>
          <w:color w:val="000000" w:themeColor="text1"/>
          <w:sz w:val="22"/>
          <w:szCs w:val="22"/>
        </w:rPr>
        <w:instrText xml:space="preserve"> ADDIN ZOTERO_ITEM CSL_CITATION {"citationID":"BsQGYolL","properties":{"formattedCitation":"(Siedler et al., 2001)","plainCitation":"(Siedler et al., 2001)","noteIndex":0},"citationItems":[{"id":446,"uris":["http://zotero.org/users/951135/items/2QIGENGI"],"uri":["http://zotero.org/users/951135/items/2QIGENGI"],"itemData":{"id":446,"type":"book","abstract":"The book represents all the knowledge we currently have on ocean circulation. It presents an up-to-date summary of the state of the science relating to the role of the oceans in the physical climate system.The book is structured to guide the reader through the wide range of World Ocean Circulation Experiment (WOCE) science in a consistent way. Cross-references between contributors have been added, and the book has a comprehensive index and unified reference list.The book is simple to read, at the undergraduate level. It was written by the best scientists in the world who have collaborated to carry out years of experiments to better understand ocean circulation.","ISBN":"978-0-12-641351-9","language":"en","number-of-pages":"840","publisher":"Academic Press","source":"Google Books","title":"Ocean circulation and climate: observing and modelling the global ocean","title-short":"Ocean circulation and climate","author":[{"family":"Siedler","given":"Gerold"},{"family":"Church","given":"John"},{"family":"Gould","given":"John"},{"family":"Gould","given":"W. J."}],"issued":{"date-parts":[["2001"]]}}}],"schema":"https://github.com/citation-style-language/schema/raw/master/csl-citation.json"} </w:instrText>
      </w:r>
      <w:r w:rsidRPr="00335FA0">
        <w:rPr>
          <w:rFonts w:ascii="Arial" w:hAnsi="Arial" w:cs="Arial"/>
          <w:color w:val="000000" w:themeColor="text1"/>
          <w:sz w:val="22"/>
          <w:szCs w:val="22"/>
        </w:rPr>
        <w:fldChar w:fldCharType="separate"/>
      </w:r>
      <w:r w:rsidRPr="00335FA0">
        <w:rPr>
          <w:rFonts w:ascii="Arial" w:hAnsi="Arial" w:cs="Arial"/>
          <w:color w:val="000000" w:themeColor="text1"/>
          <w:sz w:val="22"/>
          <w:szCs w:val="22"/>
        </w:rPr>
        <w:t>(Siedler et al., 2001)</w:t>
      </w:r>
      <w:r w:rsidRPr="00335FA0">
        <w:rPr>
          <w:rFonts w:ascii="Arial" w:hAnsi="Arial" w:cs="Arial"/>
          <w:color w:val="000000" w:themeColor="text1"/>
          <w:sz w:val="22"/>
          <w:szCs w:val="22"/>
        </w:rPr>
        <w:fldChar w:fldCharType="end"/>
      </w:r>
      <w:r w:rsidRPr="00335FA0">
        <w:rPr>
          <w:rFonts w:ascii="Arial" w:hAnsi="Arial" w:cs="Arial"/>
          <w:color w:val="000000" w:themeColor="text1"/>
          <w:sz w:val="22"/>
          <w:szCs w:val="22"/>
        </w:rPr>
        <w:t xml:space="preserve"> so that:</w:t>
      </w:r>
    </w:p>
    <w:p w14:paraId="3D4CCF03" w14:textId="77777777" w:rsidR="005D6DDD" w:rsidRPr="004E2840" w:rsidRDefault="00D0587F" w:rsidP="00CA6BFC">
      <w:pPr>
        <w:autoSpaceDE w:val="0"/>
        <w:autoSpaceDN w:val="0"/>
        <w:adjustRightInd w:val="0"/>
        <w:spacing w:line="360" w:lineRule="auto"/>
        <w:jc w:val="right"/>
        <w:rPr>
          <w:rFonts w:ascii="Arial" w:hAnsi="Arial" w:cs="Arial"/>
          <w:sz w:val="22"/>
          <w:szCs w:val="22"/>
          <w:lang w:val="en-US"/>
        </w:rPr>
      </w:pPr>
      <m:oMath>
        <m:nary>
          <m:naryPr>
            <m:chr m:val="∑"/>
            <m:limLoc m:val="subSup"/>
            <m:ctrlPr>
              <w:rPr>
                <w:rFonts w:ascii="Cambria Math" w:hAnsi="Cambria Math" w:cs="Arial"/>
                <w:sz w:val="22"/>
                <w:szCs w:val="22"/>
              </w:rPr>
            </m:ctrlPr>
          </m:naryPr>
          <m:sub>
            <m:r>
              <m:rPr>
                <m:nor/>
              </m:rPr>
              <w:rPr>
                <w:rFonts w:ascii="Arial" w:hAnsi="Arial" w:cs="Arial"/>
                <w:sz w:val="22"/>
                <w:szCs w:val="22"/>
                <w:lang w:val="en-US"/>
              </w:rPr>
              <m:t>j=stp1</m:t>
            </m:r>
          </m:sub>
          <m:sup>
            <m:r>
              <m:rPr>
                <m:nor/>
              </m:rPr>
              <w:rPr>
                <w:rFonts w:ascii="Arial" w:hAnsi="Arial" w:cs="Arial"/>
                <w:sz w:val="22"/>
                <w:szCs w:val="22"/>
                <w:lang w:val="en-US"/>
              </w:rPr>
              <m:t>stp2</m:t>
            </m:r>
          </m:sup>
          <m:e>
            <m:r>
              <m:rPr>
                <m:nor/>
              </m:rPr>
              <w:rPr>
                <w:rFonts w:ascii="Arial" w:hAnsi="Arial" w:cs="Arial"/>
                <w:sz w:val="22"/>
                <w:szCs w:val="22"/>
              </w:rPr>
              <m:t>Δ</m:t>
            </m:r>
            <m:sSub>
              <m:sSubPr>
                <m:ctrlPr>
                  <w:rPr>
                    <w:rFonts w:ascii="Cambria Math" w:hAnsi="Cambria Math" w:cs="Arial"/>
                    <w:sz w:val="22"/>
                    <w:szCs w:val="22"/>
                  </w:rPr>
                </m:ctrlPr>
              </m:sSubPr>
              <m:e>
                <m:r>
                  <m:rPr>
                    <m:nor/>
                  </m:rPr>
                  <w:rPr>
                    <w:rFonts w:ascii="Arial" w:hAnsi="Arial" w:cs="Arial"/>
                    <w:sz w:val="22"/>
                    <w:szCs w:val="22"/>
                    <w:lang w:val="en-US"/>
                  </w:rPr>
                  <m:t>x</m:t>
                </m:r>
              </m:e>
              <m:sub>
                <m:r>
                  <m:rPr>
                    <m:nor/>
                  </m:rPr>
                  <w:rPr>
                    <w:rFonts w:ascii="Arial" w:hAnsi="Arial" w:cs="Arial"/>
                    <w:sz w:val="22"/>
                    <w:szCs w:val="22"/>
                    <w:lang w:val="en-US"/>
                  </w:rPr>
                  <m:t>j</m:t>
                </m:r>
              </m:sub>
            </m:sSub>
            <m:nary>
              <m:naryPr>
                <m:ctrlPr>
                  <w:rPr>
                    <w:rFonts w:ascii="Cambria Math" w:hAnsi="Cambria Math" w:cs="Arial"/>
                    <w:sz w:val="22"/>
                    <w:szCs w:val="22"/>
                  </w:rPr>
                </m:ctrlPr>
              </m:naryPr>
              <m:sub>
                <m:r>
                  <m:rPr>
                    <m:nor/>
                  </m:rPr>
                  <w:rPr>
                    <w:rFonts w:ascii="Arial" w:hAnsi="Arial" w:cs="Arial"/>
                    <w:sz w:val="22"/>
                    <w:szCs w:val="22"/>
                    <w:lang w:val="en-US"/>
                  </w:rPr>
                  <m:t>z1</m:t>
                </m:r>
              </m:sub>
              <m:sup>
                <m:r>
                  <m:rPr>
                    <m:nor/>
                  </m:rPr>
                  <w:rPr>
                    <w:rFonts w:ascii="Arial" w:hAnsi="Arial" w:cs="Arial"/>
                    <w:sz w:val="22"/>
                    <w:szCs w:val="22"/>
                    <w:lang w:val="en-US"/>
                  </w:rPr>
                  <m:t>z2</m:t>
                </m:r>
              </m:sup>
              <m:e>
                <m:sSub>
                  <m:sSubPr>
                    <m:ctrlPr>
                      <w:rPr>
                        <w:rFonts w:ascii="Cambria Math" w:hAnsi="Cambria Math" w:cs="Arial"/>
                        <w:sz w:val="22"/>
                        <w:szCs w:val="22"/>
                      </w:rPr>
                    </m:ctrlPr>
                  </m:sSubPr>
                  <m:e>
                    <m:r>
                      <m:rPr>
                        <m:lit/>
                        <m:nor/>
                      </m:rPr>
                      <w:rPr>
                        <w:rFonts w:ascii="Arial" w:hAnsi="Arial" w:cs="Arial"/>
                        <w:sz w:val="22"/>
                        <w:szCs w:val="22"/>
                      </w:rPr>
                      <m:t>ρ</m:t>
                    </m:r>
                  </m:e>
                  <m:sub>
                    <m:r>
                      <m:rPr>
                        <m:nor/>
                      </m:rPr>
                      <w:rPr>
                        <w:rFonts w:ascii="Arial" w:hAnsi="Arial" w:cs="Arial"/>
                        <w:sz w:val="22"/>
                        <w:szCs w:val="22"/>
                        <w:lang w:val="en-US"/>
                      </w:rPr>
                      <m:t>j</m:t>
                    </m:r>
                  </m:sub>
                </m:sSub>
                <m:sSub>
                  <m:sSubPr>
                    <m:ctrlPr>
                      <w:rPr>
                        <w:rFonts w:ascii="Cambria Math" w:hAnsi="Cambria Math" w:cs="Arial"/>
                        <w:sz w:val="22"/>
                        <w:szCs w:val="22"/>
                      </w:rPr>
                    </m:ctrlPr>
                  </m:sSubPr>
                  <m:e>
                    <m:r>
                      <m:rPr>
                        <m:lit/>
                        <m:nor/>
                      </m:rPr>
                      <w:rPr>
                        <w:rFonts w:ascii="Arial" w:hAnsi="Arial" w:cs="Arial"/>
                        <w:sz w:val="22"/>
                        <w:szCs w:val="22"/>
                        <w:lang w:val="en-US"/>
                      </w:rPr>
                      <m:t xml:space="preserve"> </m:t>
                    </m:r>
                    <m:r>
                      <m:rPr>
                        <m:nor/>
                      </m:rPr>
                      <w:rPr>
                        <w:rFonts w:ascii="Arial" w:hAnsi="Arial" w:cs="Arial"/>
                        <w:sz w:val="22"/>
                        <w:szCs w:val="22"/>
                        <w:lang w:val="es-ES"/>
                      </w:rPr>
                      <m:t>S</m:t>
                    </m:r>
                  </m:e>
                  <m:sub>
                    <m:r>
                      <m:rPr>
                        <m:nor/>
                      </m:rPr>
                      <w:rPr>
                        <w:rFonts w:ascii="Arial" w:hAnsi="Arial" w:cs="Arial"/>
                        <w:sz w:val="22"/>
                        <w:szCs w:val="22"/>
                        <w:lang w:val="en-US"/>
                      </w:rPr>
                      <m:t>j</m:t>
                    </m:r>
                  </m:sub>
                </m:sSub>
                <m:r>
                  <m:rPr>
                    <m:nor/>
                  </m:rPr>
                  <w:rPr>
                    <w:rFonts w:ascii="Arial" w:hAnsi="Arial" w:cs="Arial"/>
                    <w:sz w:val="22"/>
                    <w:szCs w:val="22"/>
                    <w:lang w:val="en-US"/>
                  </w:rPr>
                  <m:t xml:space="preserve"> </m:t>
                </m:r>
                <m:sSub>
                  <m:sSubPr>
                    <m:ctrlPr>
                      <w:rPr>
                        <w:rFonts w:ascii="Cambria Math" w:hAnsi="Cambria Math" w:cs="Arial"/>
                        <w:sz w:val="22"/>
                        <w:szCs w:val="22"/>
                      </w:rPr>
                    </m:ctrlPr>
                  </m:sSubPr>
                  <m:e>
                    <m:r>
                      <m:rPr>
                        <m:nor/>
                      </m:rPr>
                      <w:rPr>
                        <w:rFonts w:ascii="Arial" w:hAnsi="Arial" w:cs="Arial"/>
                        <w:sz w:val="22"/>
                        <w:szCs w:val="22"/>
                        <w:lang w:val="en-US"/>
                      </w:rPr>
                      <m:t>v</m:t>
                    </m:r>
                  </m:e>
                  <m:sub>
                    <m:r>
                      <m:rPr>
                        <m:nor/>
                      </m:rPr>
                      <w:rPr>
                        <w:rFonts w:ascii="Arial" w:hAnsi="Arial" w:cs="Arial"/>
                        <w:sz w:val="22"/>
                        <w:szCs w:val="22"/>
                        <w:lang w:val="en-US"/>
                      </w:rPr>
                      <m:t>j</m:t>
                    </m:r>
                  </m:sub>
                </m:sSub>
                <m:r>
                  <m:rPr>
                    <m:nor/>
                  </m:rPr>
                  <w:rPr>
                    <w:rFonts w:ascii="Arial" w:hAnsi="Arial" w:cs="Arial"/>
                    <w:sz w:val="22"/>
                    <w:szCs w:val="22"/>
                    <w:lang w:val="en-US"/>
                  </w:rPr>
                  <m:t xml:space="preserve"> dz = </m:t>
                </m:r>
                <m:sSubSup>
                  <m:sSubSupPr>
                    <m:ctrlPr>
                      <w:rPr>
                        <w:rFonts w:ascii="Cambria Math" w:hAnsi="Cambria Math" w:cs="Arial"/>
                        <w:i/>
                        <w:sz w:val="22"/>
                        <w:szCs w:val="22"/>
                        <w:lang w:val="en-US"/>
                      </w:rPr>
                    </m:ctrlPr>
                  </m:sSubSupPr>
                  <m:e>
                    <m:r>
                      <m:rPr>
                        <m:nor/>
                      </m:rPr>
                      <w:rPr>
                        <w:rFonts w:ascii="Arial" w:hAnsi="Arial" w:cs="Arial"/>
                        <w:sz w:val="22"/>
                        <w:szCs w:val="22"/>
                      </w:rPr>
                      <m:t>T</m:t>
                    </m:r>
                  </m:e>
                  <m:sub>
                    <m:r>
                      <m:rPr>
                        <m:nor/>
                      </m:rPr>
                      <w:rPr>
                        <w:rFonts w:ascii="Arial" w:hAnsi="Arial" w:cs="Arial"/>
                        <w:sz w:val="22"/>
                        <w:szCs w:val="22"/>
                      </w:rPr>
                      <m:t>S</m:t>
                    </m:r>
                  </m:sub>
                  <m:sup>
                    <m:r>
                      <m:rPr>
                        <m:nor/>
                      </m:rPr>
                      <w:rPr>
                        <w:rFonts w:ascii="Arial" w:hAnsi="Arial" w:cs="Arial"/>
                        <w:sz w:val="22"/>
                        <w:szCs w:val="22"/>
                      </w:rPr>
                      <m:t>interbasin</m:t>
                    </m:r>
                  </m:sup>
                </m:sSubSup>
              </m:e>
            </m:nary>
          </m:e>
        </m:nary>
      </m:oMath>
      <w:r w:rsidR="005D6DDD" w:rsidRPr="004E2840">
        <w:rPr>
          <w:rFonts w:ascii="Arial" w:hAnsi="Arial" w:cs="Arial"/>
          <w:sz w:val="22"/>
          <w:szCs w:val="22"/>
        </w:rPr>
        <w:t xml:space="preserve">                                          (3),</w:t>
      </w:r>
    </w:p>
    <w:p w14:paraId="615DDF92" w14:textId="6F64A2E3" w:rsidR="0016612F" w:rsidRPr="004E2840" w:rsidRDefault="005D6DDD" w:rsidP="00CA6BFC">
      <w:pPr>
        <w:spacing w:before="120" w:after="120" w:line="360" w:lineRule="auto"/>
        <w:jc w:val="both"/>
        <w:rPr>
          <w:rFonts w:ascii="Arial" w:hAnsi="Arial" w:cs="Arial"/>
          <w:color w:val="000000" w:themeColor="text1"/>
          <w:sz w:val="22"/>
          <w:szCs w:val="22"/>
        </w:rPr>
      </w:pPr>
      <w:r w:rsidRPr="004E2840">
        <w:rPr>
          <w:rFonts w:ascii="Arial" w:hAnsi="Arial" w:cs="Arial"/>
          <w:color w:val="000000" w:themeColor="text1"/>
          <w:sz w:val="22"/>
          <w:szCs w:val="22"/>
        </w:rPr>
        <w:t xml:space="preserve">where the left-hand term accounts now for the salt transport perpendicular to the transoceanic section (in this study, </w:t>
      </w:r>
      <w:r w:rsidRPr="004E2840">
        <w:rPr>
          <w:rFonts w:ascii="Arial" w:hAnsi="Arial" w:cs="Arial"/>
          <w:color w:val="000000" w:themeColor="text1"/>
          <w:sz w:val="22"/>
          <w:szCs w:val="22"/>
          <w:lang w:val="en-US"/>
        </w:rPr>
        <w:t xml:space="preserve">salt transport across the </w:t>
      </w:r>
      <w:r w:rsidRPr="004E2840">
        <w:rPr>
          <w:rFonts w:ascii="Arial" w:hAnsi="Arial" w:cs="Arial"/>
          <w:color w:val="000000" w:themeColor="text1"/>
          <w:sz w:val="22"/>
          <w:szCs w:val="22"/>
        </w:rPr>
        <w:t>OVIDE + Davis Strait or A05-24.5°N section</w:t>
      </w:r>
      <w:r w:rsidRPr="004E2840">
        <w:rPr>
          <w:rFonts w:ascii="Arial" w:hAnsi="Arial" w:cs="Arial"/>
          <w:sz w:val="22"/>
          <w:szCs w:val="22"/>
        </w:rPr>
        <w:t xml:space="preserve">, </w:t>
      </w:r>
      <m:oMath>
        <m:sSubSup>
          <m:sSubSupPr>
            <m:ctrlPr>
              <w:rPr>
                <w:rFonts w:ascii="Cambria Math" w:hAnsi="Cambria Math" w:cs="Arial"/>
                <w:i/>
                <w:color w:val="000000" w:themeColor="text1"/>
                <w:sz w:val="22"/>
                <w:szCs w:val="22"/>
                <w:lang w:val="en-US"/>
              </w:rPr>
            </m:ctrlPr>
          </m:sSubSupPr>
          <m:e>
            <m:r>
              <m:rPr>
                <m:nor/>
              </m:rPr>
              <w:rPr>
                <w:rFonts w:ascii="Arial" w:hAnsi="Arial" w:cs="Arial"/>
                <w:color w:val="000000" w:themeColor="text1"/>
                <w:sz w:val="22"/>
                <w:szCs w:val="22"/>
              </w:rPr>
              <m:t>T</m:t>
            </m:r>
          </m:e>
          <m:sub>
            <m:r>
              <m:rPr>
                <m:nor/>
              </m:rPr>
              <w:rPr>
                <w:rFonts w:ascii="Arial" w:hAnsi="Arial" w:cs="Arial"/>
                <w:color w:val="000000" w:themeColor="text1"/>
                <w:sz w:val="22"/>
                <w:szCs w:val="22"/>
              </w:rPr>
              <m:t>S</m:t>
            </m:r>
          </m:sub>
          <m:sup>
            <m:r>
              <m:rPr>
                <m:nor/>
              </m:rPr>
              <w:rPr>
                <w:rFonts w:ascii="Arial" w:hAnsi="Arial" w:cs="Arial"/>
                <w:color w:val="000000" w:themeColor="text1"/>
                <w:sz w:val="22"/>
                <w:szCs w:val="22"/>
              </w:rPr>
              <m:t>ovide+davis</m:t>
            </m:r>
          </m:sup>
        </m:sSubSup>
        <m:r>
          <m:rPr>
            <m:nor/>
          </m:rPr>
          <w:rPr>
            <w:rFonts w:ascii="Arial" w:hAnsi="Arial" w:cs="Arial"/>
            <w:color w:val="000000" w:themeColor="text1"/>
            <w:sz w:val="22"/>
            <w:szCs w:val="22"/>
            <w:lang w:val="en-US"/>
          </w:rPr>
          <m:t xml:space="preserve"> or</m:t>
        </m:r>
        <m:r>
          <m:rPr>
            <m:sty m:val="p"/>
          </m:rPr>
          <w:rPr>
            <w:rFonts w:ascii="Cambria Math" w:hAnsi="Cambria Math" w:cs="Arial"/>
            <w:color w:val="000000" w:themeColor="text1"/>
            <w:sz w:val="22"/>
            <w:szCs w:val="22"/>
            <w:lang w:val="en-US"/>
          </w:rPr>
          <m:t xml:space="preserve"> </m:t>
        </m:r>
        <m:sSubSup>
          <m:sSubSupPr>
            <m:ctrlPr>
              <w:rPr>
                <w:rFonts w:ascii="Cambria Math" w:hAnsi="Cambria Math" w:cs="Arial"/>
                <w:i/>
                <w:color w:val="000000" w:themeColor="text1"/>
                <w:sz w:val="22"/>
                <w:szCs w:val="22"/>
                <w:lang w:val="en-US"/>
              </w:rPr>
            </m:ctrlPr>
          </m:sSubSupPr>
          <m:e>
            <m:r>
              <m:rPr>
                <m:nor/>
              </m:rPr>
              <w:rPr>
                <w:rFonts w:ascii="Arial" w:hAnsi="Arial" w:cs="Arial"/>
                <w:color w:val="000000" w:themeColor="text1"/>
                <w:sz w:val="22"/>
                <w:szCs w:val="22"/>
              </w:rPr>
              <m:t>T</m:t>
            </m:r>
          </m:e>
          <m:sub>
            <m:r>
              <m:rPr>
                <m:nor/>
              </m:rPr>
              <w:rPr>
                <w:rFonts w:ascii="Arial" w:hAnsi="Arial" w:cs="Arial"/>
                <w:color w:val="000000" w:themeColor="text1"/>
                <w:sz w:val="22"/>
                <w:szCs w:val="22"/>
              </w:rPr>
              <m:t>S</m:t>
            </m:r>
          </m:sub>
          <m:sup>
            <m:r>
              <m:rPr>
                <m:nor/>
              </m:rPr>
              <w:rPr>
                <w:rFonts w:ascii="Arial" w:hAnsi="Arial" w:cs="Arial"/>
                <w:color w:val="000000" w:themeColor="text1"/>
                <w:sz w:val="22"/>
                <w:szCs w:val="22"/>
              </w:rPr>
              <m:t>24.5n</m:t>
            </m:r>
          </m:sup>
        </m:sSubSup>
      </m:oMath>
      <w:r w:rsidRPr="004E2840">
        <w:rPr>
          <w:rFonts w:ascii="Arial" w:hAnsi="Arial" w:cs="Arial"/>
          <w:color w:val="000000" w:themeColor="text1"/>
          <w:sz w:val="22"/>
          <w:szCs w:val="22"/>
          <w:lang w:val="en-US"/>
        </w:rPr>
        <w:t xml:space="preserve">); </w:t>
      </w:r>
      <w:r w:rsidRPr="004E2840">
        <w:rPr>
          <w:rFonts w:ascii="Arial" w:hAnsi="Arial" w:cs="Arial"/>
          <w:color w:val="000000" w:themeColor="text1"/>
          <w:sz w:val="22"/>
          <w:szCs w:val="22"/>
        </w:rPr>
        <w:t xml:space="preserve">and </w:t>
      </w:r>
      <m:oMath>
        <m:sSubSup>
          <m:sSubSupPr>
            <m:ctrlPr>
              <w:rPr>
                <w:rFonts w:ascii="Cambria Math" w:hAnsi="Cambria Math" w:cs="Arial"/>
                <w:i/>
                <w:color w:val="000000" w:themeColor="text1"/>
                <w:sz w:val="22"/>
                <w:szCs w:val="22"/>
                <w:lang w:val="en-US"/>
              </w:rPr>
            </m:ctrlPr>
          </m:sSubSupPr>
          <m:e>
            <m:r>
              <m:rPr>
                <m:nor/>
              </m:rPr>
              <w:rPr>
                <w:rFonts w:ascii="Arial" w:hAnsi="Arial" w:cs="Arial"/>
                <w:color w:val="000000" w:themeColor="text1"/>
                <w:sz w:val="22"/>
                <w:szCs w:val="22"/>
              </w:rPr>
              <m:t>T</m:t>
            </m:r>
          </m:e>
          <m:sub>
            <m:r>
              <m:rPr>
                <m:nor/>
              </m:rPr>
              <w:rPr>
                <w:rFonts w:ascii="Arial" w:hAnsi="Arial" w:cs="Arial"/>
                <w:color w:val="000000" w:themeColor="text1"/>
                <w:sz w:val="22"/>
                <w:szCs w:val="22"/>
              </w:rPr>
              <m:t>S</m:t>
            </m:r>
          </m:sub>
          <m:sup>
            <m:r>
              <m:rPr>
                <m:nor/>
              </m:rPr>
              <w:rPr>
                <w:rFonts w:ascii="Arial" w:hAnsi="Arial" w:cs="Arial"/>
                <w:color w:val="000000" w:themeColor="text1"/>
                <w:sz w:val="22"/>
                <w:szCs w:val="22"/>
              </w:rPr>
              <m:t>interbasin</m:t>
            </m:r>
          </m:sup>
        </m:sSubSup>
      </m:oMath>
      <w:r w:rsidRPr="004E2840">
        <w:rPr>
          <w:rFonts w:ascii="Arial" w:hAnsi="Arial" w:cs="Arial"/>
          <w:color w:val="000000" w:themeColor="text1"/>
          <w:sz w:val="22"/>
          <w:szCs w:val="22"/>
        </w:rPr>
        <w:t xml:space="preserve"> represents the net salt input into the North Atlantic associated with the interbasin volume exchange across the Bering Strait. Contrarily to equation (2), conservation of salt is not affected by the transport into or out of the region due to E-P-R. </w:t>
      </w:r>
    </w:p>
    <w:p w14:paraId="2E57CBAE" w14:textId="044E3936" w:rsidR="005D6DDD" w:rsidRPr="00145526" w:rsidRDefault="005D6DDD" w:rsidP="002765EB">
      <w:pPr>
        <w:spacing w:before="120" w:after="120" w:line="360" w:lineRule="auto"/>
        <w:jc w:val="both"/>
        <w:rPr>
          <w:rFonts w:ascii="Arial" w:hAnsi="Arial" w:cs="Arial"/>
          <w:color w:val="4472C4" w:themeColor="accent1"/>
          <w:sz w:val="22"/>
          <w:szCs w:val="22"/>
        </w:rPr>
      </w:pPr>
      <w:r w:rsidRPr="004E2840">
        <w:rPr>
          <w:rFonts w:ascii="Arial" w:hAnsi="Arial" w:cs="Arial"/>
          <w:color w:val="000000" w:themeColor="text1"/>
          <w:sz w:val="22"/>
          <w:szCs w:val="22"/>
        </w:rPr>
        <w:t xml:space="preserve">The net water </w:t>
      </w:r>
      <w:r w:rsidR="00BE0225">
        <w:rPr>
          <w:rFonts w:ascii="Arial" w:hAnsi="Arial" w:cs="Arial"/>
          <w:color w:val="000000" w:themeColor="text1"/>
          <w:sz w:val="22"/>
          <w:szCs w:val="22"/>
          <w:lang w:val="en-US"/>
        </w:rPr>
        <w:t>transport</w:t>
      </w:r>
      <w:r w:rsidR="00BE0225" w:rsidRPr="004E2840">
        <w:rPr>
          <w:rFonts w:ascii="Arial" w:hAnsi="Arial" w:cs="Arial"/>
          <w:color w:val="000000" w:themeColor="text1"/>
          <w:sz w:val="22"/>
          <w:szCs w:val="22"/>
        </w:rPr>
        <w:t xml:space="preserve"> </w:t>
      </w:r>
      <w:r w:rsidRPr="004E2840">
        <w:rPr>
          <w:rFonts w:ascii="Arial" w:hAnsi="Arial" w:cs="Arial"/>
          <w:color w:val="000000" w:themeColor="text1"/>
          <w:sz w:val="22"/>
          <w:szCs w:val="22"/>
        </w:rPr>
        <w:t>across the Bering Straits</w:t>
      </w:r>
      <w:r w:rsidRPr="004E2840">
        <w:rPr>
          <w:rFonts w:ascii="Arial" w:hAnsi="Arial" w:cs="Arial"/>
          <w:color w:val="000000" w:themeColor="text1"/>
          <w:sz w:val="22"/>
          <w:szCs w:val="22"/>
          <w:lang w:val="en-US"/>
        </w:rPr>
        <w:t xml:space="preserve"> (</w:t>
      </w:r>
      <w:r w:rsidRPr="004E2840">
        <w:rPr>
          <w:rFonts w:ascii="Arial" w:hAnsi="Arial" w:cs="Arial"/>
          <w:color w:val="000000" w:themeColor="text1"/>
          <w:sz w:val="22"/>
          <w:szCs w:val="22"/>
        </w:rPr>
        <w:t xml:space="preserve">0.8 ± 0.1 Sv towards the Arctic Ocean, </w:t>
      </w:r>
      <w:r w:rsidRPr="004E2840">
        <w:rPr>
          <w:rFonts w:ascii="Arial" w:hAnsi="Arial" w:cs="Arial"/>
          <w:color w:val="000000" w:themeColor="text1"/>
          <w:sz w:val="22"/>
          <w:szCs w:val="22"/>
        </w:rPr>
        <w:fldChar w:fldCharType="begin"/>
      </w:r>
      <w:r w:rsidR="00387A35">
        <w:rPr>
          <w:rFonts w:ascii="Arial" w:hAnsi="Arial" w:cs="Arial"/>
          <w:color w:val="000000" w:themeColor="text1"/>
          <w:sz w:val="22"/>
          <w:szCs w:val="22"/>
        </w:rPr>
        <w:instrText xml:space="preserve"> ADDIN ZOTERO_ITEM CSL_CITATION {"citationID":"CCY3HpAc","properties":{"formattedCitation":"(Woodgate &amp; Aagaard, 2005)","plainCitation":"(Woodgate &amp; Aagaard, 2005)","dontUpdate":true,"noteIndex":0},"citationItems":[{"id":655,"uris":["http://zotero.org/users/951135/items/FEU97G38"],"uri":["http://zotero.org/users/951135/items/FEU97G38"],"itemData":{"id":655,"type":"article-journal","abstract":"The freshwater flux through the Bering Strait into the Arctic Ocean is important regionally and globally, e.g. for Chukchi Sea hydrography, Arctic Ocean stratification, the global freshwater cycle, and the stability of the Atlantic overturning circulation. Aagaard and Carmack [1989] estimated the Bering Strait freshwater flux as 1670 km3/yr (relative to 34.8 psu), assuming an annual mean transport (0.8 Sv) and salinity (32.5 psu). This is </w:instrText>
      </w:r>
      <w:r w:rsidR="00387A35">
        <w:rPr>
          <w:rFonts w:ascii="Cambria Math" w:hAnsi="Cambria Math" w:cs="Cambria Math"/>
          <w:color w:val="000000" w:themeColor="text1"/>
          <w:sz w:val="22"/>
          <w:szCs w:val="22"/>
        </w:rPr>
        <w:instrText>∼</w:instrText>
      </w:r>
      <w:r w:rsidR="00387A35">
        <w:rPr>
          <w:rFonts w:ascii="Arial" w:hAnsi="Arial" w:cs="Arial"/>
          <w:color w:val="000000" w:themeColor="text1"/>
          <w:sz w:val="22"/>
          <w:szCs w:val="22"/>
        </w:rPr>
        <w:instrText xml:space="preserve">1/3rd of the total freshwater input to the Arctic. Using long-term moored measurements and ship-based observations, we show that this is a substantial underestimate of the freshwater flux. Specifically, the warm, fresh Alaskan Coastal Current in the eastern Bering Strait may add </w:instrText>
      </w:r>
      <w:r w:rsidR="00387A35">
        <w:rPr>
          <w:rFonts w:ascii="Cambria Math" w:hAnsi="Cambria Math" w:cs="Cambria Math"/>
          <w:color w:val="000000" w:themeColor="text1"/>
          <w:sz w:val="22"/>
          <w:szCs w:val="22"/>
        </w:rPr>
        <w:instrText>∼</w:instrText>
      </w:r>
      <w:r w:rsidR="00387A35">
        <w:rPr>
          <w:rFonts w:ascii="Arial" w:hAnsi="Arial" w:cs="Arial"/>
          <w:color w:val="000000" w:themeColor="text1"/>
          <w:sz w:val="22"/>
          <w:szCs w:val="22"/>
        </w:rPr>
        <w:instrText xml:space="preserve">400 km3/yr. Seasonal stratification and ice transport may add another </w:instrText>
      </w:r>
      <w:r w:rsidR="00387A35">
        <w:rPr>
          <w:rFonts w:ascii="Cambria Math" w:hAnsi="Cambria Math" w:cs="Cambria Math"/>
          <w:color w:val="000000" w:themeColor="text1"/>
          <w:sz w:val="22"/>
          <w:szCs w:val="22"/>
        </w:rPr>
        <w:instrText>∼</w:instrText>
      </w:r>
      <w:r w:rsidR="00387A35">
        <w:rPr>
          <w:rFonts w:ascii="Arial" w:hAnsi="Arial" w:cs="Arial"/>
          <w:color w:val="000000" w:themeColor="text1"/>
          <w:sz w:val="22"/>
          <w:szCs w:val="22"/>
        </w:rPr>
        <w:instrText xml:space="preserve">400 km3/yr. Combined, these corrections are larger than the interannual variability observed by near-bottom measurements and near-surface measurements will be necessary to quantify this flux and its interannual variability.","container-title":"Geophysical Research Letters","DOI":"10.1029/2004GL021747","ISSN":"1944-8007","issue":"2","language":"en","source":"Wiley Online Library","title":"Revising the Bering Strait freshwater flux into the Arctic Ocean","URL":"https://agupubs.onlinelibrary.wiley.com/doi/abs/10.1029/2004GL021747","volume":"32","author":[{"family":"Woodgate","given":"Rebecca A."},{"family":"Aagaard","given":"Knut"}],"accessed":{"date-parts":[["2018",10,8]]},"issued":{"date-parts":[["2005",1,1]]}}}],"schema":"https://github.com/citation-style-language/schema/raw/master/csl-citation.json"} </w:instrText>
      </w:r>
      <w:r w:rsidRPr="004E2840">
        <w:rPr>
          <w:rFonts w:ascii="Arial" w:hAnsi="Arial" w:cs="Arial"/>
          <w:color w:val="000000" w:themeColor="text1"/>
          <w:sz w:val="22"/>
          <w:szCs w:val="22"/>
        </w:rPr>
        <w:fldChar w:fldCharType="separate"/>
      </w:r>
      <w:r w:rsidRPr="004E2840">
        <w:rPr>
          <w:rFonts w:ascii="Arial" w:hAnsi="Arial" w:cs="Arial"/>
          <w:color w:val="000000" w:themeColor="text1"/>
          <w:sz w:val="22"/>
          <w:szCs w:val="22"/>
        </w:rPr>
        <w:t>Woodgate &amp; Aagaard, 2005</w:t>
      </w:r>
      <w:r w:rsidRPr="004E2840">
        <w:rPr>
          <w:rFonts w:ascii="Arial" w:hAnsi="Arial" w:cs="Arial"/>
          <w:color w:val="000000" w:themeColor="text1"/>
          <w:sz w:val="22"/>
          <w:szCs w:val="22"/>
        </w:rPr>
        <w:fldChar w:fldCharType="end"/>
      </w:r>
      <w:r w:rsidRPr="004E2840">
        <w:rPr>
          <w:rFonts w:ascii="Arial" w:hAnsi="Arial" w:cs="Arial"/>
          <w:color w:val="000000" w:themeColor="text1"/>
          <w:sz w:val="22"/>
          <w:szCs w:val="22"/>
        </w:rPr>
        <w:t xml:space="preserve">) is associated with a </w:t>
      </w:r>
      <w:r w:rsidRPr="004E2840">
        <w:rPr>
          <w:rFonts w:ascii="Arial" w:hAnsi="Arial" w:cs="Arial"/>
          <w:color w:val="000000" w:themeColor="text1"/>
          <w:sz w:val="22"/>
          <w:szCs w:val="22"/>
          <w:lang w:val="en-US"/>
        </w:rPr>
        <w:t>salt flux towards the Arctic Ocean of 26 Sv psu (</w:t>
      </w:r>
      <w:r w:rsidRPr="004E2840">
        <w:rPr>
          <w:rFonts w:ascii="Arial" w:hAnsi="Arial" w:cs="Arial"/>
          <w:color w:val="000000" w:themeColor="text1"/>
          <w:sz w:val="22"/>
          <w:szCs w:val="22"/>
        </w:rPr>
        <w:fldChar w:fldCharType="begin"/>
      </w:r>
      <w:r w:rsidR="00387A35">
        <w:rPr>
          <w:rFonts w:ascii="Arial" w:hAnsi="Arial" w:cs="Arial"/>
          <w:color w:val="000000" w:themeColor="text1"/>
          <w:sz w:val="22"/>
          <w:szCs w:val="22"/>
        </w:rPr>
        <w:instrText xml:space="preserve"> ADDIN ZOTERO_ITEM CSL_CITATION {"citationID":"18muPuPa","properties":{"formattedCitation":"(Woodgate et al., 2005)","plainCitation":"(Woodgate et al., 2005)","dontUpdate":true,"noteIndex":0},"citationItems":[{"id":653,"uris":["http://zotero.org/users/951135/items/N4YJ7KZT"],"uri":["http://zotero.org/users/951135/items/N4YJ7KZT"],"itemData":{"id":653,"type":"article-journal","abstract":"The Bering Strait through flow is important for the Chukchi Sea and the Arctic and Atlantic oceans. A realistic assessment of through flow properties is also necessary for validation and boundary conditions of high-resolution ocean models. From 14 years of moored measurements, we construct a monthly climatology of temperature, salinity and transport. The strong seasonality in all properties (</w:instrText>
      </w:r>
      <w:r w:rsidR="00387A35">
        <w:rPr>
          <w:rFonts w:ascii="Cambria Math" w:hAnsi="Cambria Math" w:cs="Cambria Math"/>
          <w:color w:val="000000" w:themeColor="text1"/>
          <w:sz w:val="22"/>
          <w:szCs w:val="22"/>
        </w:rPr>
        <w:instrText>∼</w:instrText>
      </w:r>
      <w:r w:rsidR="00387A35">
        <w:rPr>
          <w:rFonts w:ascii="Arial" w:hAnsi="Arial" w:cs="Arial"/>
          <w:color w:val="000000" w:themeColor="text1"/>
          <w:sz w:val="22"/>
          <w:szCs w:val="22"/>
        </w:rPr>
        <w:instrText xml:space="preserve">31.9 to 33 psu, </w:instrText>
      </w:r>
      <w:r w:rsidR="00387A35">
        <w:rPr>
          <w:rFonts w:ascii="Cambria Math" w:hAnsi="Cambria Math" w:cs="Cambria Math"/>
          <w:color w:val="000000" w:themeColor="text1"/>
          <w:sz w:val="22"/>
          <w:szCs w:val="22"/>
        </w:rPr>
        <w:instrText>∼</w:instrText>
      </w:r>
      <w:r w:rsidR="00387A35">
        <w:rPr>
          <w:rFonts w:ascii="Arial" w:hAnsi="Arial" w:cs="Arial"/>
          <w:color w:val="000000" w:themeColor="text1"/>
          <w:sz w:val="22"/>
          <w:szCs w:val="22"/>
        </w:rPr>
        <w:instrText xml:space="preserve">−1.8 to 2.3°C and </w:instrText>
      </w:r>
      <w:r w:rsidR="00387A35">
        <w:rPr>
          <w:rFonts w:ascii="Cambria Math" w:hAnsi="Cambria Math" w:cs="Cambria Math"/>
          <w:color w:val="000000" w:themeColor="text1"/>
          <w:sz w:val="22"/>
          <w:szCs w:val="22"/>
        </w:rPr>
        <w:instrText>∼</w:instrText>
      </w:r>
      <w:r w:rsidR="00387A35">
        <w:rPr>
          <w:rFonts w:ascii="Arial" w:hAnsi="Arial" w:cs="Arial"/>
          <w:color w:val="000000" w:themeColor="text1"/>
          <w:sz w:val="22"/>
          <w:szCs w:val="22"/>
        </w:rPr>
        <w:instrText xml:space="preserve">0.4 to 1.2 Sv) dominates the Chukchi Sea hydrography and implies significant seasonal variability in the equilibrium depth and ventilation properties of Pacific waters in the Arctic Ocean. Interannual variability is large in temperature and salinity. Although missing some significant events, an empirical linear fit to a local (model) wind yields a reasonable reconstruction of the water velocity, and we use the coefficients of this fit to estimate the magnitude of the Pacific-Arctic pressure-head forcing of the Bering Strait through flow.","container-title":"Geophysical Research Letters","DOI":"10.1029/2004GL021880","ISSN":"1944-8007","issue":"4","language":"en","source":"Wiley Online Library","title":"Monthly temperature, salinity, and transport variability of the Bering Strait through flow","URL":"https://agupubs.onlinelibrary.wiley.com/doi/abs/10.1029/2004GL021880","volume":"32","author":[{"family":"Woodgate","given":"Rebecca A."},{"family":"Aagaard","given":"Knut"},{"family":"Weingartner","given":"Thomas J."}],"accessed":{"date-parts":[["2018",10,9]]},"issued":{"date-parts":[["2005",2,1]]}}}],"schema":"https://github.com/citation-style-language/schema/raw/master/csl-citation.json"} </w:instrText>
      </w:r>
      <w:r w:rsidRPr="004E2840">
        <w:rPr>
          <w:rFonts w:ascii="Arial" w:hAnsi="Arial" w:cs="Arial"/>
          <w:color w:val="000000" w:themeColor="text1"/>
          <w:sz w:val="22"/>
          <w:szCs w:val="22"/>
        </w:rPr>
        <w:fldChar w:fldCharType="separate"/>
      </w:r>
      <w:r w:rsidRPr="004E2840">
        <w:rPr>
          <w:rFonts w:ascii="Arial" w:hAnsi="Arial" w:cs="Arial"/>
          <w:color w:val="000000" w:themeColor="text1"/>
          <w:sz w:val="22"/>
          <w:szCs w:val="22"/>
        </w:rPr>
        <w:t>Woodgate et al., 2005</w:t>
      </w:r>
      <w:r w:rsidRPr="004E2840">
        <w:rPr>
          <w:rFonts w:ascii="Arial" w:hAnsi="Arial" w:cs="Arial"/>
          <w:color w:val="000000" w:themeColor="text1"/>
          <w:sz w:val="22"/>
          <w:szCs w:val="22"/>
        </w:rPr>
        <w:fldChar w:fldCharType="end"/>
      </w:r>
      <w:r w:rsidRPr="004E2840">
        <w:rPr>
          <w:rFonts w:ascii="Arial" w:hAnsi="Arial" w:cs="Arial"/>
          <w:color w:val="000000" w:themeColor="text1"/>
          <w:sz w:val="22"/>
          <w:szCs w:val="22"/>
          <w:lang w:val="en-US"/>
        </w:rPr>
        <w:t>) (Figure S</w:t>
      </w:r>
      <w:r w:rsidR="009C1D53">
        <w:rPr>
          <w:rFonts w:ascii="Arial" w:hAnsi="Arial" w:cs="Arial"/>
          <w:color w:val="000000" w:themeColor="text1"/>
          <w:sz w:val="22"/>
          <w:szCs w:val="22"/>
          <w:lang w:val="en-US"/>
        </w:rPr>
        <w:t>2</w:t>
      </w:r>
      <w:r w:rsidRPr="004E2840">
        <w:rPr>
          <w:rFonts w:ascii="Arial" w:hAnsi="Arial" w:cs="Arial"/>
          <w:color w:val="000000" w:themeColor="text1"/>
          <w:sz w:val="22"/>
          <w:szCs w:val="22"/>
          <w:lang w:val="en-US"/>
        </w:rPr>
        <w:t>)</w:t>
      </w:r>
      <w:r w:rsidRPr="004E2840">
        <w:rPr>
          <w:rFonts w:ascii="Arial" w:hAnsi="Arial" w:cs="Arial"/>
          <w:sz w:val="22"/>
          <w:szCs w:val="22"/>
          <w:lang w:val="en-US"/>
        </w:rPr>
        <w:t xml:space="preserve">. </w:t>
      </w:r>
      <w:r w:rsidR="00851532">
        <w:rPr>
          <w:rFonts w:ascii="Arial" w:hAnsi="Arial" w:cs="Arial"/>
          <w:color w:val="000000" w:themeColor="text1"/>
          <w:sz w:val="22"/>
          <w:szCs w:val="22"/>
          <w:lang w:val="en-US"/>
        </w:rPr>
        <w:t>To</w:t>
      </w:r>
      <w:r w:rsidRPr="004E2840">
        <w:rPr>
          <w:rFonts w:ascii="Arial" w:hAnsi="Arial" w:cs="Arial"/>
          <w:color w:val="000000" w:themeColor="text1"/>
          <w:sz w:val="22"/>
          <w:szCs w:val="22"/>
          <w:lang w:val="en-US"/>
        </w:rPr>
        <w:t xml:space="preserve"> satisfy the </w:t>
      </w:r>
      <w:r w:rsidRPr="004E2840">
        <w:rPr>
          <w:rFonts w:ascii="Arial" w:hAnsi="Arial" w:cs="Arial"/>
          <w:color w:val="000000" w:themeColor="text1"/>
          <w:sz w:val="22"/>
          <w:szCs w:val="22"/>
        </w:rPr>
        <w:t xml:space="preserve">salt conservation principle, the total salt transport across the northern and southern bounds of the NA-box (that is, the OVIDE section + the Davis Strait, and the A05-24.5°N section, respectively), should be of 26 Sv psu </w:t>
      </w:r>
      <w:r w:rsidR="0072770D">
        <w:rPr>
          <w:rFonts w:ascii="Arial" w:hAnsi="Arial" w:cs="Arial"/>
          <w:color w:val="000000" w:themeColor="text1"/>
          <w:sz w:val="22"/>
          <w:szCs w:val="22"/>
        </w:rPr>
        <w:t>southwards</w:t>
      </w:r>
      <w:r w:rsidRPr="004E2840">
        <w:rPr>
          <w:rFonts w:ascii="Arial" w:hAnsi="Arial" w:cs="Arial"/>
          <w:color w:val="000000" w:themeColor="text1"/>
          <w:sz w:val="22"/>
          <w:szCs w:val="22"/>
        </w:rPr>
        <w:t xml:space="preserve">. </w:t>
      </w:r>
    </w:p>
    <w:p w14:paraId="003CED60" w14:textId="5BA06087" w:rsidR="00E53CAD" w:rsidRPr="00942D60" w:rsidRDefault="005D6DDD" w:rsidP="00911C00">
      <w:pPr>
        <w:spacing w:before="120" w:after="120" w:line="360" w:lineRule="auto"/>
        <w:jc w:val="both"/>
        <w:rPr>
          <w:rFonts w:ascii="Arial" w:hAnsi="Arial" w:cs="Arial"/>
          <w:color w:val="000000" w:themeColor="text1"/>
          <w:sz w:val="22"/>
          <w:szCs w:val="22"/>
        </w:rPr>
      </w:pPr>
      <w:r w:rsidRPr="004E2840">
        <w:rPr>
          <w:rFonts w:ascii="Arial" w:hAnsi="Arial" w:cs="Arial"/>
          <w:color w:val="000000" w:themeColor="text1"/>
          <w:sz w:val="22"/>
          <w:szCs w:val="22"/>
        </w:rPr>
        <w:lastRenderedPageBreak/>
        <w:t xml:space="preserve">First, we assessed </w:t>
      </w:r>
      <w:r w:rsidR="009A23E0" w:rsidRPr="004E2840">
        <w:rPr>
          <w:rFonts w:ascii="Arial" w:hAnsi="Arial" w:cs="Arial"/>
          <w:color w:val="000000" w:themeColor="text1"/>
          <w:sz w:val="22"/>
          <w:szCs w:val="22"/>
        </w:rPr>
        <w:t xml:space="preserve">the salt </w:t>
      </w:r>
      <w:r w:rsidR="009A23E0">
        <w:rPr>
          <w:rFonts w:ascii="Arial" w:hAnsi="Arial" w:cs="Arial"/>
          <w:color w:val="000000" w:themeColor="text1"/>
          <w:sz w:val="22"/>
          <w:szCs w:val="22"/>
        </w:rPr>
        <w:t xml:space="preserve">and volume </w:t>
      </w:r>
      <w:r w:rsidR="009A23E0" w:rsidRPr="004E2840">
        <w:rPr>
          <w:rFonts w:ascii="Arial" w:hAnsi="Arial" w:cs="Arial"/>
          <w:color w:val="000000" w:themeColor="text1"/>
          <w:sz w:val="22"/>
          <w:szCs w:val="22"/>
        </w:rPr>
        <w:t>conservation constraint</w:t>
      </w:r>
      <w:r w:rsidR="009A23E0">
        <w:rPr>
          <w:rFonts w:ascii="Arial" w:hAnsi="Arial" w:cs="Arial"/>
          <w:color w:val="000000" w:themeColor="text1"/>
          <w:sz w:val="22"/>
          <w:szCs w:val="22"/>
        </w:rPr>
        <w:t>s</w:t>
      </w:r>
      <w:r w:rsidR="009A23E0" w:rsidRPr="004E2840">
        <w:rPr>
          <w:rFonts w:ascii="Arial" w:hAnsi="Arial" w:cs="Arial"/>
          <w:color w:val="000000" w:themeColor="text1"/>
          <w:sz w:val="22"/>
          <w:szCs w:val="22"/>
        </w:rPr>
        <w:t xml:space="preserve"> across </w:t>
      </w:r>
      <w:r w:rsidRPr="004E2840">
        <w:rPr>
          <w:rFonts w:ascii="Arial" w:hAnsi="Arial" w:cs="Arial"/>
          <w:color w:val="000000" w:themeColor="text1"/>
          <w:sz w:val="22"/>
          <w:szCs w:val="22"/>
        </w:rPr>
        <w:t xml:space="preserve">subpolar bound. </w:t>
      </w:r>
      <w:r w:rsidRPr="004E2840">
        <w:rPr>
          <w:rFonts w:ascii="Arial" w:hAnsi="Arial" w:cs="Arial"/>
          <w:color w:val="000000" w:themeColor="text1"/>
          <w:sz w:val="22"/>
          <w:szCs w:val="22"/>
        </w:rPr>
        <w:fldChar w:fldCharType="begin"/>
      </w:r>
      <w:r w:rsidR="00387A35">
        <w:rPr>
          <w:rFonts w:ascii="Arial" w:hAnsi="Arial" w:cs="Arial"/>
          <w:color w:val="000000" w:themeColor="text1"/>
          <w:sz w:val="22"/>
          <w:szCs w:val="22"/>
        </w:rPr>
        <w:instrText xml:space="preserve"> ADDIN ZOTERO_ITEM CSL_CITATION {"citationID":"IbFpKk1P","properties":{"formattedCitation":"(Curry et al., 2013)","plainCitation":"(Curry et al., 2013)","dontUpdate":true,"noteIndex":0},"citationItems":[{"id":876,"uris":["http://zotero.org/users/951135/items/N3MWV3ZU"],"uri":["http://zotero.org/users/951135/items/N3MWV3ZU"],"itemData":{"id":876,"type":"article-journal","abstract":"Davis Strait is a primary gateway for freshwater exchange between the Arctic and North Atlantic Oceans including freshwater contributions from west Greenland and Canadian Arctic Archipelago glacial melt. Data from six years (2004–10) of continuous measurements collected by a full-strait moored array and concurrent high-resolution Seaglider surveys are used to estimate volume and liquid freshwater transports through Davis Strait, with respective annual averages of −1.6 ± 0.5 Sverdrups (Sv; 1 Sv ≡ 106 m3 s−1) and −93 ± 6 mSv (negative sign indicates southward transport). Sea ice export contributes an additional −10 ± 1 mSv of freshwater transport, estimated using satellite ice area transport and moored upward-looking sonar ice thickness measurements. Interannual and annual variability of the net transports are large, with average annual volume and liquid freshwater transport standard deviations of 0.7 Sv and 17 mSv and with interannual standard deviations of 0.3 Sv and 15 mSv. Moreover, there are no clear trends in the net transports over the 6-yr period. However, salinity in the upper 250 m between Baffin Island and midstrait decreases starting in September 2009 and remains below average through August 2010, but appears to return to normal by the end of 2010. This freshening event, likely caused by changes in arctic freshwater storage, is not apparent in the liquid freshwater transport time series due to a reduction in southward volume transport in 2009–10. Reanalysis of Davis Strait mooring data from the period 1987–90, compared to the 2004–10 measurements, reveals less arctic outflow and warmer, more saline North Atlantic inflow during the most recent period.","container-title":"Journal of Physical Oceanography","DOI":"10.1175/JPO-D-13-0177.1","ISSN":"0022-3670","issue":"4","journalAbbreviation":"J. Phys. Oceanogr.","page":"1244-1266","source":"journals.ametsoc.org (Atypon)","title":"Multiyear Volume, Liquid Freshwater, and Sea Ice Transports through Davis Strait, 2004–10","volume":"44","author":[{"family":"Curry","given":"B."},{"family":"Lee","given":"C. M."},{"family":"Petrie","given":"B."},{"family":"Moritz","given":"R. E."},{"family":"Kwok","given":"R."}],"issued":{"date-parts":[["2013",12,18]]}}}],"schema":"https://github.com/citation-style-language/schema/raw/master/csl-citation.json"} </w:instrText>
      </w:r>
      <w:r w:rsidRPr="004E2840">
        <w:rPr>
          <w:rFonts w:ascii="Arial" w:hAnsi="Arial" w:cs="Arial"/>
          <w:color w:val="000000" w:themeColor="text1"/>
          <w:sz w:val="22"/>
          <w:szCs w:val="22"/>
        </w:rPr>
        <w:fldChar w:fldCharType="separate"/>
      </w:r>
      <w:r w:rsidRPr="004E2840">
        <w:rPr>
          <w:rFonts w:ascii="Arial" w:hAnsi="Arial" w:cs="Arial"/>
          <w:noProof/>
          <w:color w:val="000000" w:themeColor="text1"/>
          <w:sz w:val="22"/>
          <w:szCs w:val="22"/>
        </w:rPr>
        <w:t>Curry et al.  (201</w:t>
      </w:r>
      <w:r w:rsidR="00CB1EBE">
        <w:rPr>
          <w:rFonts w:ascii="Arial" w:hAnsi="Arial" w:cs="Arial"/>
          <w:noProof/>
          <w:color w:val="000000" w:themeColor="text1"/>
          <w:sz w:val="22"/>
          <w:szCs w:val="22"/>
        </w:rPr>
        <w:t>4</w:t>
      </w:r>
      <w:r w:rsidRPr="004E2840">
        <w:rPr>
          <w:rFonts w:ascii="Arial" w:hAnsi="Arial" w:cs="Arial"/>
          <w:noProof/>
          <w:color w:val="000000" w:themeColor="text1"/>
          <w:sz w:val="22"/>
          <w:szCs w:val="22"/>
        </w:rPr>
        <w:t>)</w:t>
      </w:r>
      <w:r w:rsidRPr="004E2840">
        <w:rPr>
          <w:rFonts w:ascii="Arial" w:hAnsi="Arial" w:cs="Arial"/>
          <w:color w:val="000000" w:themeColor="text1"/>
          <w:sz w:val="22"/>
          <w:szCs w:val="22"/>
        </w:rPr>
        <w:fldChar w:fldCharType="end"/>
      </w:r>
      <w:r w:rsidRPr="004E2840">
        <w:rPr>
          <w:rFonts w:ascii="Arial" w:hAnsi="Arial" w:cs="Arial"/>
          <w:color w:val="000000" w:themeColor="text1"/>
          <w:sz w:val="22"/>
          <w:szCs w:val="22"/>
          <w:lang w:val="en-US"/>
        </w:rPr>
        <w:t xml:space="preserve"> provided </w:t>
      </w:r>
      <w:r w:rsidRPr="004E2840">
        <w:rPr>
          <w:rFonts w:ascii="Arial" w:hAnsi="Arial" w:cs="Arial"/>
          <w:color w:val="000000" w:themeColor="text1"/>
          <w:sz w:val="22"/>
          <w:szCs w:val="22"/>
        </w:rPr>
        <w:t xml:space="preserve">quasi-synoptic </w:t>
      </w:r>
      <w:r w:rsidRPr="004E2840">
        <w:rPr>
          <w:rFonts w:ascii="Arial" w:hAnsi="Arial" w:cs="Arial"/>
          <w:color w:val="000000" w:themeColor="text1"/>
          <w:sz w:val="22"/>
          <w:szCs w:val="22"/>
          <w:lang w:val="en-US"/>
        </w:rPr>
        <w:t>estimates of the total volume transport across</w:t>
      </w:r>
      <w:r w:rsidRPr="004E2840">
        <w:rPr>
          <w:rFonts w:ascii="Arial" w:hAnsi="Arial" w:cs="Arial"/>
          <w:color w:val="000000" w:themeColor="text1"/>
          <w:sz w:val="22"/>
          <w:szCs w:val="22"/>
        </w:rPr>
        <w:t xml:space="preserve"> the Davis </w:t>
      </w:r>
      <w:r w:rsidRPr="00335FA0">
        <w:rPr>
          <w:rFonts w:ascii="Arial" w:hAnsi="Arial" w:cs="Arial"/>
          <w:color w:val="000000" w:themeColor="text1"/>
          <w:sz w:val="22"/>
          <w:szCs w:val="22"/>
        </w:rPr>
        <w:t>Strait</w:t>
      </w:r>
      <w:r w:rsidRPr="00335FA0">
        <w:rPr>
          <w:rFonts w:ascii="Arial" w:hAnsi="Arial" w:cs="Arial"/>
          <w:color w:val="000000" w:themeColor="text1"/>
          <w:sz w:val="22"/>
          <w:szCs w:val="22"/>
          <w:lang w:val="en-US"/>
        </w:rPr>
        <w:t xml:space="preserve"> towards the Labrador </w:t>
      </w:r>
      <w:r w:rsidR="001D6F7A" w:rsidRPr="00335FA0">
        <w:rPr>
          <w:rFonts w:ascii="Arial" w:hAnsi="Arial" w:cs="Arial"/>
          <w:color w:val="000000" w:themeColor="text1"/>
          <w:sz w:val="22"/>
          <w:szCs w:val="22"/>
          <w:lang w:val="en-US"/>
        </w:rPr>
        <w:t>B</w:t>
      </w:r>
      <w:r w:rsidRPr="00335FA0">
        <w:rPr>
          <w:rFonts w:ascii="Arial" w:hAnsi="Arial" w:cs="Arial"/>
          <w:color w:val="000000" w:themeColor="text1"/>
          <w:sz w:val="22"/>
          <w:szCs w:val="22"/>
          <w:lang w:val="en-US"/>
        </w:rPr>
        <w:t xml:space="preserve">asin of </w:t>
      </w:r>
      <w:r w:rsidRPr="00335FA0">
        <w:rPr>
          <w:rFonts w:ascii="Arial" w:hAnsi="Arial" w:cs="Arial"/>
          <w:color w:val="000000" w:themeColor="text1"/>
          <w:sz w:val="22"/>
          <w:szCs w:val="22"/>
        </w:rPr>
        <w:t>2.0 ± 0.5 Sv in 2004 and 1.5 ± 0.5 Sv in 2010</w:t>
      </w:r>
      <w:r w:rsidRPr="00335FA0">
        <w:rPr>
          <w:rFonts w:ascii="Arial" w:hAnsi="Arial" w:cs="Arial"/>
          <w:color w:val="000000" w:themeColor="text1"/>
          <w:sz w:val="22"/>
          <w:szCs w:val="22"/>
          <w:lang w:val="en-US"/>
        </w:rPr>
        <w:t>. These volume transports comprising total salt transports of 67.2 Sv psu and 50.1 Sv psu for 2004 and 2010, respectively (Table S</w:t>
      </w:r>
      <w:r w:rsidR="00F77FA8">
        <w:rPr>
          <w:rFonts w:ascii="Arial" w:hAnsi="Arial" w:cs="Arial"/>
          <w:color w:val="000000" w:themeColor="text1"/>
          <w:sz w:val="22"/>
          <w:szCs w:val="22"/>
          <w:lang w:val="en-US"/>
        </w:rPr>
        <w:t>4</w:t>
      </w:r>
      <w:r w:rsidRPr="00335FA0">
        <w:rPr>
          <w:rFonts w:ascii="Arial" w:hAnsi="Arial" w:cs="Arial"/>
          <w:color w:val="000000" w:themeColor="text1"/>
          <w:sz w:val="22"/>
          <w:szCs w:val="22"/>
          <w:lang w:val="en-US"/>
        </w:rPr>
        <w:t>b). According to these values</w:t>
      </w:r>
      <w:r w:rsidR="00851532" w:rsidRPr="00335FA0">
        <w:rPr>
          <w:rFonts w:ascii="Arial" w:hAnsi="Arial" w:cs="Arial"/>
          <w:color w:val="000000" w:themeColor="text1"/>
          <w:sz w:val="22"/>
          <w:szCs w:val="22"/>
          <w:lang w:val="en-US"/>
        </w:rPr>
        <w:t xml:space="preserve"> </w:t>
      </w:r>
      <w:r w:rsidRPr="00335FA0">
        <w:rPr>
          <w:rFonts w:ascii="Arial" w:hAnsi="Arial" w:cs="Arial"/>
          <w:color w:val="000000" w:themeColor="text1"/>
          <w:sz w:val="22"/>
          <w:szCs w:val="22"/>
          <w:lang w:val="en-US"/>
        </w:rPr>
        <w:t xml:space="preserve">and </w:t>
      </w:r>
      <w:r w:rsidR="00851532" w:rsidRPr="00335FA0">
        <w:rPr>
          <w:rFonts w:ascii="Arial" w:hAnsi="Arial" w:cs="Arial"/>
          <w:color w:val="000000" w:themeColor="text1"/>
          <w:sz w:val="22"/>
          <w:szCs w:val="22"/>
          <w:lang w:val="en-US"/>
        </w:rPr>
        <w:t xml:space="preserve">the </w:t>
      </w:r>
      <w:r w:rsidRPr="00335FA0">
        <w:rPr>
          <w:rFonts w:ascii="Arial" w:hAnsi="Arial" w:cs="Arial"/>
          <w:color w:val="000000" w:themeColor="text1"/>
          <w:sz w:val="22"/>
          <w:szCs w:val="22"/>
          <w:lang w:val="en-US"/>
        </w:rPr>
        <w:t>salt</w:t>
      </w:r>
      <w:r w:rsidR="00851532" w:rsidRPr="00335FA0">
        <w:rPr>
          <w:rFonts w:ascii="Arial" w:hAnsi="Arial" w:cs="Arial"/>
          <w:color w:val="000000" w:themeColor="text1"/>
          <w:sz w:val="22"/>
          <w:szCs w:val="22"/>
          <w:lang w:val="en-US"/>
        </w:rPr>
        <w:t xml:space="preserve"> conservation principle</w:t>
      </w:r>
      <w:r w:rsidRPr="00335FA0">
        <w:rPr>
          <w:rFonts w:ascii="Arial" w:hAnsi="Arial" w:cs="Arial"/>
          <w:color w:val="000000" w:themeColor="text1"/>
          <w:sz w:val="22"/>
          <w:szCs w:val="22"/>
          <w:lang w:val="en-US"/>
        </w:rPr>
        <w:t xml:space="preserve">, the </w:t>
      </w:r>
      <w:r w:rsidR="00851532" w:rsidRPr="00335FA0">
        <w:rPr>
          <w:rFonts w:ascii="Arial" w:hAnsi="Arial" w:cs="Arial"/>
          <w:color w:val="000000" w:themeColor="text1"/>
          <w:sz w:val="22"/>
          <w:szCs w:val="22"/>
          <w:lang w:val="en-US"/>
        </w:rPr>
        <w:t xml:space="preserve">net </w:t>
      </w:r>
      <w:r w:rsidRPr="00335FA0">
        <w:rPr>
          <w:rFonts w:ascii="Arial" w:hAnsi="Arial" w:cs="Arial"/>
          <w:color w:val="000000" w:themeColor="text1"/>
          <w:sz w:val="22"/>
          <w:szCs w:val="22"/>
          <w:lang w:val="en-US"/>
        </w:rPr>
        <w:t>salt transport across the OVIDE section should be to the north, and its value of 41.2 Sv psu [-26 - (-67.2)] in 2004, and 24.1 Sv psu [-26 - (-50.1)] in 2010</w:t>
      </w:r>
      <w:r w:rsidR="008A6937" w:rsidRPr="00335FA0">
        <w:rPr>
          <w:rFonts w:ascii="Arial" w:hAnsi="Arial" w:cs="Arial"/>
          <w:color w:val="000000" w:themeColor="text1"/>
          <w:sz w:val="22"/>
          <w:szCs w:val="22"/>
          <w:lang w:val="en-US"/>
        </w:rPr>
        <w:t xml:space="preserve"> (Figure S</w:t>
      </w:r>
      <w:r w:rsidR="009C1D53">
        <w:rPr>
          <w:rFonts w:ascii="Arial" w:hAnsi="Arial" w:cs="Arial"/>
          <w:color w:val="000000" w:themeColor="text1"/>
          <w:sz w:val="22"/>
          <w:szCs w:val="22"/>
          <w:lang w:val="en-US"/>
        </w:rPr>
        <w:t>2</w:t>
      </w:r>
      <w:r w:rsidR="008A6937" w:rsidRPr="00335FA0">
        <w:rPr>
          <w:rFonts w:ascii="Arial" w:hAnsi="Arial" w:cs="Arial"/>
          <w:color w:val="000000" w:themeColor="text1"/>
          <w:sz w:val="22"/>
          <w:szCs w:val="22"/>
          <w:lang w:val="en-US"/>
        </w:rPr>
        <w:t>)</w:t>
      </w:r>
      <w:r w:rsidRPr="00335FA0">
        <w:rPr>
          <w:rFonts w:ascii="Arial" w:hAnsi="Arial" w:cs="Arial"/>
          <w:color w:val="000000" w:themeColor="text1"/>
          <w:sz w:val="22"/>
          <w:szCs w:val="22"/>
          <w:lang w:val="en-US"/>
        </w:rPr>
        <w:t xml:space="preserve">. </w:t>
      </w:r>
      <w:r w:rsidR="00E53CAD" w:rsidRPr="00335FA0">
        <w:rPr>
          <w:rFonts w:ascii="Arial" w:hAnsi="Arial" w:cs="Arial"/>
          <w:color w:val="000000" w:themeColor="text1"/>
          <w:sz w:val="22"/>
          <w:szCs w:val="22"/>
          <w:lang w:val="en-US"/>
        </w:rPr>
        <w:t>These values were used as constraints across the OVIDE section i</w:t>
      </w:r>
      <w:r w:rsidR="009A23E0" w:rsidRPr="00335FA0">
        <w:rPr>
          <w:rFonts w:ascii="Arial" w:hAnsi="Arial" w:cs="Arial"/>
          <w:color w:val="000000" w:themeColor="text1"/>
          <w:sz w:val="22"/>
          <w:szCs w:val="22"/>
          <w:lang w:val="en-US"/>
        </w:rPr>
        <w:t>n</w:t>
      </w:r>
      <w:r w:rsidR="00E53CAD" w:rsidRPr="00335FA0">
        <w:rPr>
          <w:rFonts w:ascii="Arial" w:hAnsi="Arial" w:cs="Arial"/>
          <w:color w:val="000000" w:themeColor="text1"/>
          <w:sz w:val="22"/>
          <w:szCs w:val="22"/>
          <w:lang w:val="en-US"/>
        </w:rPr>
        <w:t xml:space="preserve"> the joint inversion, </w:t>
      </w:r>
      <w:r w:rsidR="009A23E0" w:rsidRPr="00335FA0">
        <w:rPr>
          <w:rFonts w:ascii="Arial" w:hAnsi="Arial" w:cs="Arial"/>
          <w:color w:val="000000" w:themeColor="text1"/>
          <w:sz w:val="22"/>
          <w:szCs w:val="22"/>
          <w:lang w:val="en-US"/>
        </w:rPr>
        <w:t>accompanied by</w:t>
      </w:r>
      <w:r w:rsidR="00E53CAD" w:rsidRPr="00335FA0">
        <w:rPr>
          <w:rFonts w:ascii="Arial" w:hAnsi="Arial" w:cs="Arial"/>
          <w:color w:val="000000" w:themeColor="text1"/>
          <w:sz w:val="22"/>
          <w:szCs w:val="22"/>
          <w:lang w:val="en-US"/>
        </w:rPr>
        <w:t xml:space="preserve"> </w:t>
      </w:r>
      <w:r w:rsidR="00E53CAD" w:rsidRPr="00335FA0">
        <w:rPr>
          <w:rFonts w:ascii="Arial" w:hAnsi="Arial" w:cs="Arial"/>
          <w:i/>
          <w:iCs/>
          <w:color w:val="000000" w:themeColor="text1"/>
          <w:sz w:val="22"/>
          <w:szCs w:val="22"/>
        </w:rPr>
        <w:t>a priori</w:t>
      </w:r>
      <w:r w:rsidR="00E53CAD" w:rsidRPr="00335FA0">
        <w:rPr>
          <w:rFonts w:ascii="Arial" w:hAnsi="Arial" w:cs="Arial"/>
          <w:color w:val="000000" w:themeColor="text1"/>
          <w:sz w:val="22"/>
          <w:szCs w:val="22"/>
        </w:rPr>
        <w:t xml:space="preserve"> uncertainty of 35 Sv psu. This uncertainty was estimated as a section-average salinity of 35 multiplied by a volume uncertainty of 1 Sv, assuming the tracer error contribution is </w:t>
      </w:r>
      <w:r w:rsidR="00A84A59" w:rsidRPr="00335FA0">
        <w:rPr>
          <w:rFonts w:ascii="Arial" w:hAnsi="Arial" w:cs="Arial"/>
          <w:color w:val="000000" w:themeColor="text1"/>
          <w:sz w:val="22"/>
          <w:szCs w:val="22"/>
        </w:rPr>
        <w:t>negligible</w:t>
      </w:r>
      <w:r w:rsidR="00E53CAD" w:rsidRPr="00335FA0">
        <w:rPr>
          <w:rFonts w:ascii="Arial" w:hAnsi="Arial" w:cs="Arial"/>
          <w:color w:val="000000" w:themeColor="text1"/>
          <w:sz w:val="22"/>
          <w:szCs w:val="22"/>
        </w:rPr>
        <w:t>. At OVIDE, 1-Sv transport error accounts for the standard error of the mean throughflow transport across the section (</w:t>
      </w:r>
      <w:r w:rsidR="00E53CAD" w:rsidRPr="00335FA0">
        <w:rPr>
          <w:rFonts w:ascii="Arial" w:hAnsi="Arial" w:cs="Arial"/>
          <w:color w:val="000000" w:themeColor="text1"/>
          <w:sz w:val="22"/>
          <w:szCs w:val="22"/>
        </w:rPr>
        <w:fldChar w:fldCharType="begin"/>
      </w:r>
      <w:r w:rsidR="00FC6B40" w:rsidRPr="00335FA0">
        <w:rPr>
          <w:rFonts w:ascii="Arial" w:hAnsi="Arial" w:cs="Arial"/>
          <w:color w:val="000000" w:themeColor="text1"/>
          <w:sz w:val="22"/>
          <w:szCs w:val="22"/>
        </w:rPr>
        <w:instrText xml:space="preserve"> ADDIN ZOTERO_ITEM CSL_CITATION {"citationID":"a1d82q7h9s7","properties":{"formattedCitation":"\\uldash{(Mercier et al., 2015)}","plainCitation":"(Mercier et al., 2015)","dontUpdate":true,"noteIndex":0},"citationItems":[{"id":889,"uris":["http://zotero.org/users/951135/items/SM644PSP"],"uri":["http://zotero.org/users/951135/items/SM644PSP"],"itemData":{"id":889,"type":"article-journal","abstract":"The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00E53CAD" w:rsidRPr="00335FA0">
        <w:rPr>
          <w:rFonts w:ascii="Arial" w:hAnsi="Arial" w:cs="Arial"/>
          <w:color w:val="000000" w:themeColor="text1"/>
          <w:sz w:val="22"/>
          <w:szCs w:val="22"/>
        </w:rPr>
        <w:fldChar w:fldCharType="separate"/>
      </w:r>
      <w:r w:rsidR="00E53CAD" w:rsidRPr="00335FA0">
        <w:rPr>
          <w:rFonts w:ascii="Arial" w:hAnsi="Arial" w:cs="Arial"/>
          <w:color w:val="000000" w:themeColor="text1"/>
          <w:sz w:val="22"/>
        </w:rPr>
        <w:t>Mercier et al., 2015)</w:t>
      </w:r>
      <w:r w:rsidR="00E53CAD" w:rsidRPr="00335FA0">
        <w:rPr>
          <w:rFonts w:ascii="Arial" w:hAnsi="Arial" w:cs="Arial"/>
          <w:color w:val="000000" w:themeColor="text1"/>
          <w:sz w:val="22"/>
          <w:szCs w:val="22"/>
        </w:rPr>
        <w:fldChar w:fldCharType="end"/>
      </w:r>
      <w:r w:rsidR="00E53CAD" w:rsidRPr="00335FA0">
        <w:rPr>
          <w:rFonts w:ascii="Arial" w:hAnsi="Arial" w:cs="Arial"/>
          <w:color w:val="000000" w:themeColor="text1"/>
          <w:sz w:val="22"/>
          <w:szCs w:val="22"/>
        </w:rPr>
        <w:t xml:space="preserve">. </w:t>
      </w:r>
      <w:r w:rsidR="00157F7D" w:rsidRPr="00335FA0">
        <w:rPr>
          <w:rFonts w:ascii="Arial" w:hAnsi="Arial" w:cs="Arial"/>
          <w:color w:val="000000" w:themeColor="text1"/>
          <w:sz w:val="22"/>
          <w:szCs w:val="22"/>
        </w:rPr>
        <w:t xml:space="preserve">We also included an </w:t>
      </w:r>
      <w:r w:rsidR="00157F7D" w:rsidRPr="00335FA0">
        <w:rPr>
          <w:rFonts w:ascii="Arial" w:hAnsi="Arial" w:cs="Arial"/>
          <w:i/>
          <w:iCs/>
          <w:color w:val="000000" w:themeColor="text1"/>
          <w:sz w:val="22"/>
          <w:szCs w:val="22"/>
        </w:rPr>
        <w:t>a priori</w:t>
      </w:r>
      <w:r w:rsidR="00157F7D" w:rsidRPr="00335FA0">
        <w:rPr>
          <w:rFonts w:ascii="Arial" w:hAnsi="Arial" w:cs="Arial"/>
          <w:color w:val="000000" w:themeColor="text1"/>
          <w:sz w:val="22"/>
          <w:szCs w:val="22"/>
        </w:rPr>
        <w:t xml:space="preserve"> volume</w:t>
      </w:r>
      <w:r w:rsidR="00E53CAD" w:rsidRPr="00335FA0">
        <w:rPr>
          <w:rFonts w:ascii="Arial" w:hAnsi="Arial" w:cs="Arial"/>
          <w:color w:val="000000" w:themeColor="text1"/>
          <w:sz w:val="22"/>
          <w:szCs w:val="22"/>
        </w:rPr>
        <w:t xml:space="preserve"> conservation </w:t>
      </w:r>
      <w:r w:rsidR="00157F7D" w:rsidRPr="00335FA0">
        <w:rPr>
          <w:rFonts w:ascii="Arial" w:hAnsi="Arial" w:cs="Arial"/>
          <w:color w:val="000000" w:themeColor="text1"/>
          <w:sz w:val="22"/>
          <w:szCs w:val="22"/>
        </w:rPr>
        <w:t xml:space="preserve">constraint of </w:t>
      </w:r>
      <w:r w:rsidR="009A23E0" w:rsidRPr="00335FA0">
        <w:rPr>
          <w:rFonts w:ascii="Arial" w:hAnsi="Arial" w:cs="Arial"/>
          <w:color w:val="000000" w:themeColor="text1"/>
          <w:sz w:val="22"/>
          <w:szCs w:val="22"/>
        </w:rPr>
        <w:t>1.0 ± 3 Sv</w:t>
      </w:r>
      <w:r w:rsidR="00E53CAD" w:rsidRPr="00335FA0">
        <w:rPr>
          <w:rFonts w:ascii="Arial" w:hAnsi="Arial" w:cs="Arial"/>
          <w:color w:val="000000" w:themeColor="text1"/>
          <w:sz w:val="22"/>
          <w:szCs w:val="22"/>
        </w:rPr>
        <w:t xml:space="preserve"> </w:t>
      </w:r>
      <w:r w:rsidR="009A23E0" w:rsidRPr="00335FA0">
        <w:rPr>
          <w:rFonts w:ascii="Arial" w:hAnsi="Arial" w:cs="Arial"/>
          <w:color w:val="000000" w:themeColor="text1"/>
          <w:sz w:val="22"/>
          <w:szCs w:val="22"/>
        </w:rPr>
        <w:t>to the north</w:t>
      </w:r>
      <w:r w:rsidR="00157F7D" w:rsidRPr="00335FA0">
        <w:rPr>
          <w:rFonts w:ascii="Arial" w:hAnsi="Arial" w:cs="Arial"/>
          <w:color w:val="000000" w:themeColor="text1"/>
          <w:sz w:val="22"/>
          <w:szCs w:val="22"/>
        </w:rPr>
        <w:t xml:space="preserve"> </w:t>
      </w:r>
      <w:r w:rsidR="00157F7D" w:rsidRPr="00335FA0">
        <w:rPr>
          <w:rFonts w:ascii="Arial" w:hAnsi="Arial" w:cs="Arial"/>
          <w:color w:val="000000" w:themeColor="text1"/>
          <w:sz w:val="22"/>
          <w:szCs w:val="22"/>
        </w:rPr>
        <w:fldChar w:fldCharType="begin"/>
      </w:r>
      <w:r w:rsidR="00961F98">
        <w:rPr>
          <w:rFonts w:ascii="Arial" w:hAnsi="Arial" w:cs="Arial"/>
          <w:color w:val="000000" w:themeColor="text1"/>
          <w:sz w:val="22"/>
          <w:szCs w:val="22"/>
        </w:rPr>
        <w:instrText xml:space="preserve"> ADDIN ZOTERO_ITEM CSL_CITATION {"citationID":"akfvodbhll","properties":{"formattedCitation":"(Lherminier et al., 2007, 2010; Herl\\uc0\\u233{} Mercier et al., 2015)","plainCitation":"(Lherminier et al., 2007, 2010; Herlé Mercier et al., 2015)","dontUpdate":true,"noteIndex":0},"citationItems":[{"id":389,"uris":["http://zotero.org/users/951135/items/7W92W6BJ"],"uri":["http://zotero.org/users/951135/items/7W92W6BJ"],"itemData":{"id":389,"type":"article-journal","container-title":"Journal of Geophysical Research","issue":"C7","page":"C07003","source":"Google Scholar","title":"Transports across the 2002 Greenland-Portugal Ovide section and comparison with 1997","volume":"112","author":[{"family":"Lherminier","given":"Pascale"},{"family":"Mercier","given":"Herle"},{"family":"Gourcuff","given":"Claire"},{"family":"Alvarez","given":"M."},{"family":"Bacon","given":"S."},{"family":"Kermabon","given":"Catherine"}],"issued":{"date-parts":[["2007"]]}}},{"id":388,"uris":["http://zotero.org/users/951135/items/HCZ44GDW"],"uri":["http://zotero.org/users/951135/items/HCZ44GDW"],"itemData":{"id":388,"type":"article-journal","container-title":"Deep Sea Research Part I: Oceanographic Research Papers","DOI":"10.1016/j.dsr.2010.07.009","ISSN":"09670637","issue":"11","page":"1374-1391","source":"CrossRef","title":"The Atlantic Meridional Overturning Circulation and the subpolar gyre observed at the A25-OVIDE section in June 2002 and 2004","volume":"57","author":[{"family":"Lherminier","given":"Pascale"},{"family":"Mercier","given":"Herlé"},{"family":"Huck","given":"Thierry"},{"family":"Gourcuff","given":"Claire"},{"family":"Perez","given":"Fiz F."},{"family":"Morin","given":"Pascal"},{"family":"Sarafanov","given":"Artem"},{"family":"Falina","given":"Anastasia"}],"issued":{"date-parts":[["2010",11]]}}},{"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00157F7D" w:rsidRPr="00335FA0">
        <w:rPr>
          <w:rFonts w:ascii="Arial" w:hAnsi="Arial" w:cs="Arial"/>
          <w:color w:val="000000" w:themeColor="text1"/>
          <w:sz w:val="22"/>
          <w:szCs w:val="22"/>
        </w:rPr>
        <w:fldChar w:fldCharType="separate"/>
      </w:r>
      <w:r w:rsidR="00FC6B40" w:rsidRPr="00335FA0">
        <w:rPr>
          <w:rFonts w:ascii="Arial" w:hAnsi="Arial" w:cs="Arial"/>
          <w:color w:val="000000" w:themeColor="text1"/>
          <w:sz w:val="22"/>
        </w:rPr>
        <w:t>(Lherminier et al., 2007, 2010; Mercier et al., 2015)</w:t>
      </w:r>
      <w:r w:rsidR="00157F7D" w:rsidRPr="00335FA0">
        <w:rPr>
          <w:rFonts w:ascii="Arial" w:hAnsi="Arial" w:cs="Arial"/>
          <w:color w:val="000000" w:themeColor="text1"/>
          <w:sz w:val="22"/>
          <w:szCs w:val="22"/>
        </w:rPr>
        <w:fldChar w:fldCharType="end"/>
      </w:r>
      <w:r w:rsidR="00942D60">
        <w:rPr>
          <w:rFonts w:ascii="Arial" w:hAnsi="Arial" w:cs="Arial"/>
          <w:color w:val="000000" w:themeColor="text1"/>
          <w:sz w:val="22"/>
          <w:szCs w:val="22"/>
        </w:rPr>
        <w:t>, with t</w:t>
      </w:r>
      <w:r w:rsidR="00157F7D" w:rsidRPr="00335FA0">
        <w:rPr>
          <w:rFonts w:ascii="Arial" w:hAnsi="Arial" w:cs="Arial"/>
          <w:color w:val="000000" w:themeColor="text1"/>
          <w:sz w:val="22"/>
          <w:szCs w:val="22"/>
        </w:rPr>
        <w:t xml:space="preserve">he </w:t>
      </w:r>
      <w:r w:rsidR="00942D60">
        <w:rPr>
          <w:rFonts w:ascii="Arial" w:hAnsi="Arial" w:cs="Arial"/>
          <w:color w:val="000000" w:themeColor="text1"/>
          <w:sz w:val="22"/>
          <w:szCs w:val="22"/>
        </w:rPr>
        <w:t xml:space="preserve">3-Sv uncertainty accompanying the </w:t>
      </w:r>
      <w:r w:rsidR="00942D60" w:rsidRPr="00335FA0">
        <w:rPr>
          <w:rFonts w:ascii="Arial" w:hAnsi="Arial" w:cs="Arial"/>
          <w:color w:val="000000" w:themeColor="text1"/>
          <w:sz w:val="22"/>
          <w:szCs w:val="22"/>
        </w:rPr>
        <w:t xml:space="preserve">volume transport </w:t>
      </w:r>
      <w:r w:rsidR="00157F7D" w:rsidRPr="00335FA0">
        <w:rPr>
          <w:rFonts w:ascii="Arial" w:hAnsi="Arial" w:cs="Arial"/>
          <w:color w:val="000000" w:themeColor="text1"/>
          <w:sz w:val="22"/>
          <w:szCs w:val="22"/>
        </w:rPr>
        <w:t xml:space="preserve">constraint </w:t>
      </w:r>
      <w:r w:rsidR="00760FB8" w:rsidRPr="00335FA0">
        <w:rPr>
          <w:rFonts w:ascii="Arial" w:hAnsi="Arial" w:cs="Arial"/>
          <w:color w:val="000000" w:themeColor="text1"/>
          <w:sz w:val="22"/>
          <w:szCs w:val="22"/>
        </w:rPr>
        <w:t>a</w:t>
      </w:r>
      <w:r w:rsidR="00E53CAD" w:rsidRPr="00335FA0">
        <w:rPr>
          <w:rFonts w:ascii="Arial" w:hAnsi="Arial" w:cs="Arial"/>
          <w:color w:val="000000" w:themeColor="text1"/>
          <w:sz w:val="22"/>
          <w:szCs w:val="22"/>
        </w:rPr>
        <w:t>ccount</w:t>
      </w:r>
      <w:r w:rsidR="00942D60">
        <w:rPr>
          <w:rFonts w:ascii="Arial" w:hAnsi="Arial" w:cs="Arial"/>
          <w:color w:val="000000" w:themeColor="text1"/>
          <w:sz w:val="22"/>
          <w:szCs w:val="22"/>
        </w:rPr>
        <w:t>s</w:t>
      </w:r>
      <w:r w:rsidR="00760FB8" w:rsidRPr="00335FA0">
        <w:rPr>
          <w:rFonts w:ascii="Arial" w:hAnsi="Arial" w:cs="Arial"/>
          <w:color w:val="000000" w:themeColor="text1"/>
          <w:sz w:val="22"/>
          <w:szCs w:val="22"/>
        </w:rPr>
        <w:t xml:space="preserve"> </w:t>
      </w:r>
      <w:r w:rsidR="00E53CAD" w:rsidRPr="00335FA0">
        <w:rPr>
          <w:rFonts w:ascii="Arial" w:hAnsi="Arial" w:cs="Arial"/>
          <w:color w:val="000000" w:themeColor="text1"/>
          <w:sz w:val="22"/>
          <w:szCs w:val="22"/>
        </w:rPr>
        <w:t xml:space="preserve">for </w:t>
      </w:r>
      <w:r w:rsidR="006471DE">
        <w:rPr>
          <w:rFonts w:ascii="Arial" w:hAnsi="Arial" w:cs="Arial"/>
          <w:color w:val="000000" w:themeColor="text1"/>
          <w:sz w:val="22"/>
          <w:szCs w:val="22"/>
        </w:rPr>
        <w:t>the</w:t>
      </w:r>
      <w:r w:rsidR="006471DE" w:rsidRPr="006471DE">
        <w:rPr>
          <w:rFonts w:ascii="Arial" w:hAnsi="Arial" w:cs="Arial"/>
          <w:color w:val="000000" w:themeColor="text1"/>
          <w:sz w:val="22"/>
          <w:szCs w:val="22"/>
        </w:rPr>
        <w:t xml:space="preserve"> accumulated effect of non-synopticity and ageostrophy (e.g. mesoscale baroclinic eddies) (Ganachaud, 2003). </w:t>
      </w:r>
      <w:r w:rsidR="00747096">
        <w:rPr>
          <w:rFonts w:ascii="Arial" w:hAnsi="Arial" w:cs="Arial"/>
          <w:color w:val="000000" w:themeColor="text1"/>
          <w:sz w:val="22"/>
          <w:szCs w:val="22"/>
        </w:rPr>
        <w:t>Note that even if</w:t>
      </w:r>
      <w:r w:rsidR="00942D60">
        <w:rPr>
          <w:rFonts w:ascii="Arial" w:hAnsi="Arial" w:cs="Arial"/>
          <w:color w:val="000000" w:themeColor="text1"/>
          <w:sz w:val="22"/>
          <w:szCs w:val="22"/>
        </w:rPr>
        <w:t xml:space="preserve"> </w:t>
      </w:r>
      <w:r w:rsidR="00747096">
        <w:rPr>
          <w:rFonts w:ascii="Arial" w:hAnsi="Arial" w:cs="Arial"/>
          <w:color w:val="000000" w:themeColor="text1"/>
          <w:sz w:val="22"/>
          <w:szCs w:val="22"/>
        </w:rPr>
        <w:t xml:space="preserve">it is </w:t>
      </w:r>
      <w:r w:rsidR="00942D60">
        <w:rPr>
          <w:rFonts w:ascii="Arial" w:hAnsi="Arial" w:cs="Arial"/>
          <w:color w:val="000000" w:themeColor="text1"/>
          <w:sz w:val="22"/>
          <w:szCs w:val="22"/>
        </w:rPr>
        <w:t>implicit in the uncertainty term, it</w:t>
      </w:r>
      <w:r w:rsidR="00942D60" w:rsidRPr="00942D60">
        <w:rPr>
          <w:rFonts w:ascii="Arial" w:hAnsi="Arial" w:cs="Arial"/>
          <w:color w:val="000000" w:themeColor="text1"/>
          <w:sz w:val="22"/>
          <w:szCs w:val="22"/>
        </w:rPr>
        <w:t xml:space="preserve"> was shown by </w:t>
      </w:r>
      <w:r w:rsidR="00942D60" w:rsidRPr="00942D60">
        <w:rPr>
          <w:rFonts w:ascii="Arial" w:hAnsi="Arial" w:cs="Arial"/>
          <w:color w:val="000000" w:themeColor="text1"/>
          <w:sz w:val="22"/>
          <w:szCs w:val="22"/>
        </w:rPr>
        <w:fldChar w:fldCharType="begin"/>
      </w:r>
      <w:r w:rsidR="00961F98">
        <w:rPr>
          <w:rFonts w:ascii="Arial" w:hAnsi="Arial" w:cs="Arial"/>
          <w:color w:val="000000" w:themeColor="text1"/>
          <w:sz w:val="22"/>
          <w:szCs w:val="22"/>
        </w:rPr>
        <w:instrText xml:space="preserve"> ADDIN ZOTERO_ITEM CSL_CITATION {"citationID":"a20l10aba8f","properties":{"formattedCitation":"\\uldash{(Treguier et al., 2006)}","plainCitation":"(Treguier et al., 2006)","dontUpdate":true,"noteIndex":0},"citationItems":[{"id":3015,"uris":["http://zotero.org/groups/56168/items/IN6FZJF6"],"uri":["http://zotero.org/groups/56168/items/IN6FZJF6"],"itemData":{"id":3015,"type":"article-journal","container-title":"Ocean Dynamics","DOI":"10.1007/s10236-006-0069-y","issue":"5-6","page":"568-580","title":"Internal and forced variability along a section between Greenland and Portugal in the CLIPPER Atlantic model","volume":"56","author":[{"family":"Treguier","given":"Anne Marie"},{"family":"Gourcuff","given":"Claire"},{"family":"Lherminier","given":"Pascale"},{"family":"Mercier","given":"Herle"},{"family":"Barnier","given":"Bernard"},{"family":"Madec","given":"Gurvan"},{"family":"Molines","given":"Jean-Marc"},{"family":"Penduff","given":"Thierry"},{"family":"Czeschel","given":"Lars"},{"family":"Böning","given":"Claus"}],"issued":{"date-parts":[["2006"]]}}}],"schema":"https://github.com/citation-style-language/schema/raw/master/csl-citation.json"} </w:instrText>
      </w:r>
      <w:r w:rsidR="00942D60" w:rsidRPr="00942D60">
        <w:rPr>
          <w:rFonts w:ascii="Arial" w:hAnsi="Arial" w:cs="Arial"/>
          <w:color w:val="000000" w:themeColor="text1"/>
          <w:sz w:val="22"/>
          <w:szCs w:val="22"/>
        </w:rPr>
        <w:fldChar w:fldCharType="separate"/>
      </w:r>
      <w:r w:rsidR="00942D60" w:rsidRPr="00942D60">
        <w:rPr>
          <w:rFonts w:ascii="Arial" w:hAnsi="Arial" w:cs="Arial"/>
          <w:color w:val="000000"/>
          <w:sz w:val="22"/>
        </w:rPr>
        <w:t>Treguier et al.</w:t>
      </w:r>
      <w:r w:rsidR="00942D60">
        <w:rPr>
          <w:rFonts w:ascii="Arial" w:hAnsi="Arial" w:cs="Arial"/>
          <w:color w:val="000000"/>
          <w:sz w:val="22"/>
        </w:rPr>
        <w:t xml:space="preserve"> (</w:t>
      </w:r>
      <w:r w:rsidR="00942D60" w:rsidRPr="00942D60">
        <w:rPr>
          <w:rFonts w:ascii="Arial" w:hAnsi="Arial" w:cs="Arial"/>
          <w:color w:val="000000"/>
          <w:sz w:val="22"/>
        </w:rPr>
        <w:t>2006)</w:t>
      </w:r>
      <w:r w:rsidR="00942D60" w:rsidRPr="00942D60">
        <w:rPr>
          <w:rFonts w:ascii="Arial" w:hAnsi="Arial" w:cs="Arial"/>
          <w:color w:val="000000" w:themeColor="text1"/>
          <w:sz w:val="22"/>
          <w:szCs w:val="22"/>
        </w:rPr>
        <w:fldChar w:fldCharType="end"/>
      </w:r>
      <w:r w:rsidR="00942D60">
        <w:rPr>
          <w:rFonts w:ascii="Arial" w:hAnsi="Arial" w:cs="Arial"/>
          <w:color w:val="000000" w:themeColor="text1"/>
          <w:sz w:val="22"/>
          <w:szCs w:val="22"/>
        </w:rPr>
        <w:t xml:space="preserve">, </w:t>
      </w:r>
      <w:r w:rsidR="00942D60" w:rsidRPr="00942D60">
        <w:rPr>
          <w:rFonts w:ascii="Arial" w:hAnsi="Arial" w:cs="Arial"/>
          <w:color w:val="000000" w:themeColor="text1"/>
          <w:sz w:val="22"/>
          <w:szCs w:val="22"/>
        </w:rPr>
        <w:t xml:space="preserve">and verified by </w:t>
      </w:r>
      <w:r w:rsidR="00942D60" w:rsidRPr="00942D60">
        <w:rPr>
          <w:rFonts w:ascii="Arial" w:hAnsi="Arial" w:cs="Arial"/>
          <w:color w:val="000000" w:themeColor="text1"/>
          <w:sz w:val="22"/>
          <w:szCs w:val="22"/>
        </w:rPr>
        <w:fldChar w:fldCharType="begin"/>
      </w:r>
      <w:r w:rsidR="00961F98">
        <w:rPr>
          <w:rFonts w:ascii="Arial" w:hAnsi="Arial" w:cs="Arial"/>
          <w:color w:val="000000" w:themeColor="text1"/>
          <w:sz w:val="22"/>
          <w:szCs w:val="22"/>
        </w:rPr>
        <w:instrText xml:space="preserve"> ADDIN ZOTERO_ITEM CSL_CITATION {"citationID":"a2cmi13dgpq","properties":{"formattedCitation":"\\uldash{(Racap\\uc0\\u233{} et al., 2018)}","plainCitation":"(Racapé et al., 2018)","dontUpdate":true,"noteIndex":0},"citationItems":[{"id":1838,"uris":["http://zotero.org/groups/56168/items/FYY62EH4"],"uri":["http://zotero.org/groups/56168/items/FYY62EH4"],"itemData":{"id":1838,"type":"article-journal","abstract":"&lt;p&gt;&lt;strong&gt;Abstract.&lt;/strong&gt; The North Atlantic Ocean is a major sink region for atmospheric CO&lt;sub&gt;2&lt;/sub&gt; and contributes to the storage of anthropogenic carbon (Cant). While there is general agreement that the intensity of the meridional overturning circulation (MOC) modulates uptake, transport and storage of Cant in the North Atlantic Subpolar Ocean, processes controlling their recent variability and evolution over the 21st century remain uncertain. This study investigates the relationship between transport, air–sea flux and storage rate of Cant in the North Atlantic Subpolar Ocean over the past 53 years. Its relies on the combined analysis of a multiannual in situ data set and outputs from a global biogeochemical ocean general circulation model (NEMO–PISCES) at 1∕2° spatial resolution forced by an atmospheric reanalysis. Despite an underestimation of Cant transport and an overestimation of anthropogenic air–sea CO&lt;sub&gt;2&lt;/sub&gt; flux in the model, the interannual variability of the regional Cant storage rate and its driving processes were well simulated by the model. Analysis of the multi-decadal simulation revealed that the MOC intensity variability was the major driver of the Cant transport variability at 25 and 36°&lt;span class=\"thinspace\"&gt;&lt;/span&gt;N, but not at OVIDE. At the subpolar OVIDE section, the interannual variability of Cant transport was controlled by the accumulation of Cant in the MOC upper limb. At multi-decadal timescales, long-term changes in the North Atlantic storage rate of Cant were driven by the increase in air–sea fluxes of anthropogenic CO&lt;sub&gt;2&lt;/sub&gt;. North Atlantic Central Water played a key role for storing Cant in the upper layer of the subtropical region and for supplying Cant to Intermediate Water and North Atlantic Deep Water. The transfer of Cant from surface to deep waters occurred mainly north of the OVIDE section. Most of the Cant transferred to the deep ocean was stored in the subpolar region, while the remainder was exported to the subtropical gyre within the lower MOC.&lt;/p&gt;","container-title":"Biogeosciences","DOI":"https://doi.org/10.5194/bg-15-4661-2018","ISSN":"1726-4170","issue":"14","language":"English","page":"4661-4682","source":"www.biogeosciences.net","title":"Transport and storage of anthropogenic C in the North Atlantic Subpolar Ocean","volume":"15","author":[{"family":"Racapé","given":"Virginie"},{"family":"Zunino","given":"Patricia"},{"family":"Mercier","given":"Herlé"},{"family":"Lherminier","given":"Pascale"},{"family":"Bopp","given":"Laurent"},{"family":"Pérèz","given":"Fiz F."},{"family":"Gehlen","given":"Marion"}],"issued":{"date-parts":[["2018",7,30]]}}}],"schema":"https://github.com/citation-style-language/schema/raw/master/csl-citation.json"} </w:instrText>
      </w:r>
      <w:r w:rsidR="00942D60" w:rsidRPr="00942D60">
        <w:rPr>
          <w:rFonts w:ascii="Arial" w:hAnsi="Arial" w:cs="Arial"/>
          <w:color w:val="000000" w:themeColor="text1"/>
          <w:sz w:val="22"/>
          <w:szCs w:val="22"/>
        </w:rPr>
        <w:fldChar w:fldCharType="separate"/>
      </w:r>
      <w:r w:rsidR="00942D60" w:rsidRPr="00942D60">
        <w:rPr>
          <w:rFonts w:ascii="Arial" w:hAnsi="Arial" w:cs="Arial"/>
          <w:color w:val="000000"/>
          <w:sz w:val="22"/>
        </w:rPr>
        <w:t>Racapé et al.</w:t>
      </w:r>
      <w:r w:rsidR="00942D60">
        <w:rPr>
          <w:rFonts w:ascii="Arial" w:hAnsi="Arial" w:cs="Arial"/>
          <w:color w:val="000000"/>
          <w:sz w:val="22"/>
        </w:rPr>
        <w:t xml:space="preserve"> (</w:t>
      </w:r>
      <w:r w:rsidR="00942D60" w:rsidRPr="00942D60">
        <w:rPr>
          <w:rFonts w:ascii="Arial" w:hAnsi="Arial" w:cs="Arial"/>
          <w:color w:val="000000"/>
          <w:sz w:val="22"/>
        </w:rPr>
        <w:t>2018)</w:t>
      </w:r>
      <w:r w:rsidR="00942D60" w:rsidRPr="00942D60">
        <w:rPr>
          <w:rFonts w:ascii="Arial" w:hAnsi="Arial" w:cs="Arial"/>
          <w:color w:val="000000" w:themeColor="text1"/>
          <w:sz w:val="22"/>
          <w:szCs w:val="22"/>
        </w:rPr>
        <w:fldChar w:fldCharType="end"/>
      </w:r>
      <w:r w:rsidR="00942D60" w:rsidRPr="00942D60">
        <w:rPr>
          <w:rFonts w:ascii="Arial" w:hAnsi="Arial" w:cs="Arial"/>
          <w:color w:val="000000" w:themeColor="text1"/>
          <w:sz w:val="22"/>
          <w:szCs w:val="22"/>
        </w:rPr>
        <w:t xml:space="preserve">, that the eddy term at OVIDE </w:t>
      </w:r>
      <w:r w:rsidR="00747096">
        <w:rPr>
          <w:rFonts w:ascii="Arial" w:hAnsi="Arial" w:cs="Arial"/>
          <w:color w:val="000000" w:themeColor="text1"/>
          <w:sz w:val="22"/>
          <w:szCs w:val="22"/>
        </w:rPr>
        <w:t>i</w:t>
      </w:r>
      <w:r w:rsidR="00942D60" w:rsidRPr="00942D60">
        <w:rPr>
          <w:rFonts w:ascii="Arial" w:hAnsi="Arial" w:cs="Arial"/>
          <w:color w:val="000000" w:themeColor="text1"/>
          <w:sz w:val="22"/>
          <w:szCs w:val="22"/>
        </w:rPr>
        <w:t xml:space="preserve">s negligeable, since the section cut the main currents perpendicularly. </w:t>
      </w:r>
      <w:r w:rsidR="008A6937" w:rsidRPr="00335FA0">
        <w:rPr>
          <w:rFonts w:ascii="Arial" w:hAnsi="Arial" w:cs="Arial"/>
          <w:color w:val="000000" w:themeColor="text1"/>
          <w:sz w:val="22"/>
          <w:szCs w:val="22"/>
          <w:lang w:val="en-US"/>
        </w:rPr>
        <w:t xml:space="preserve">After inversion, </w:t>
      </w:r>
      <w:r w:rsidR="00760FB8" w:rsidRPr="00335FA0">
        <w:rPr>
          <w:rFonts w:ascii="Arial" w:hAnsi="Arial" w:cs="Arial"/>
          <w:color w:val="000000" w:themeColor="text1"/>
          <w:sz w:val="22"/>
          <w:szCs w:val="22"/>
          <w:lang w:val="en-US"/>
        </w:rPr>
        <w:t>the</w:t>
      </w:r>
      <w:r w:rsidRPr="00335FA0">
        <w:rPr>
          <w:rFonts w:ascii="Arial" w:hAnsi="Arial" w:cs="Arial"/>
          <w:color w:val="000000" w:themeColor="text1"/>
          <w:sz w:val="22"/>
          <w:szCs w:val="22"/>
          <w:lang w:val="en-US"/>
        </w:rPr>
        <w:t xml:space="preserve"> </w:t>
      </w:r>
      <w:r w:rsidR="00911C00" w:rsidRPr="00335FA0">
        <w:rPr>
          <w:rFonts w:ascii="Arial" w:hAnsi="Arial" w:cs="Arial"/>
          <w:color w:val="000000" w:themeColor="text1"/>
          <w:sz w:val="22"/>
          <w:szCs w:val="22"/>
          <w:lang w:val="en-US"/>
        </w:rPr>
        <w:t>total salt transport</w:t>
      </w:r>
      <w:r w:rsidR="00760FB8" w:rsidRPr="00335FA0">
        <w:rPr>
          <w:rFonts w:ascii="Arial" w:hAnsi="Arial" w:cs="Arial"/>
          <w:color w:val="000000" w:themeColor="text1"/>
          <w:sz w:val="22"/>
          <w:szCs w:val="22"/>
          <w:lang w:val="en-US"/>
        </w:rPr>
        <w:t xml:space="preserve"> across OVIDE was</w:t>
      </w:r>
      <w:r w:rsidR="00911C00" w:rsidRPr="00335FA0">
        <w:rPr>
          <w:rFonts w:ascii="Arial" w:hAnsi="Arial" w:cs="Arial"/>
          <w:color w:val="000000" w:themeColor="text1"/>
          <w:sz w:val="22"/>
          <w:szCs w:val="22"/>
          <w:lang w:val="en-US"/>
        </w:rPr>
        <w:t xml:space="preserve"> of 41.7</w:t>
      </w:r>
      <w:r w:rsidR="00F16ED1"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31.0</w:t>
      </w:r>
      <w:r w:rsidR="00911C00"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lang w:val="en-US"/>
        </w:rPr>
        <w:t xml:space="preserve">Sv psu </w:t>
      </w:r>
      <w:r w:rsidR="00911C00" w:rsidRPr="00335FA0">
        <w:rPr>
          <w:rFonts w:ascii="Arial" w:hAnsi="Arial" w:cs="Arial"/>
          <w:color w:val="000000" w:themeColor="text1"/>
          <w:sz w:val="22"/>
          <w:szCs w:val="22"/>
          <w:lang w:val="en-US"/>
        </w:rPr>
        <w:t>in 2004 and 26.4</w:t>
      </w:r>
      <w:r w:rsidR="00F16ED1"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31.6</w:t>
      </w:r>
      <w:r w:rsidR="00911C00" w:rsidRPr="00335FA0">
        <w:rPr>
          <w:rFonts w:ascii="Arial" w:hAnsi="Arial" w:cs="Arial"/>
          <w:color w:val="000000" w:themeColor="text1"/>
          <w:sz w:val="22"/>
          <w:szCs w:val="22"/>
          <w:lang w:val="en-US"/>
        </w:rPr>
        <w:t xml:space="preserve"> Sv psu in 2010 (both northwards), corresponding to northward throughflow </w:t>
      </w:r>
      <w:r w:rsidRPr="00335FA0">
        <w:rPr>
          <w:rFonts w:ascii="Arial" w:hAnsi="Arial" w:cs="Arial"/>
          <w:color w:val="000000" w:themeColor="text1"/>
          <w:sz w:val="22"/>
          <w:szCs w:val="22"/>
          <w:lang w:val="en-US"/>
        </w:rPr>
        <w:t>volume transport</w:t>
      </w:r>
      <w:r w:rsidR="00911C00" w:rsidRPr="00335FA0">
        <w:rPr>
          <w:rFonts w:ascii="Arial" w:hAnsi="Arial" w:cs="Arial"/>
          <w:color w:val="000000" w:themeColor="text1"/>
          <w:sz w:val="22"/>
          <w:szCs w:val="22"/>
          <w:lang w:val="en-US"/>
        </w:rPr>
        <w:t>s</w:t>
      </w:r>
      <w:r w:rsidRPr="00335FA0">
        <w:rPr>
          <w:rFonts w:ascii="Arial" w:hAnsi="Arial" w:cs="Arial"/>
          <w:color w:val="000000" w:themeColor="text1"/>
          <w:sz w:val="22"/>
          <w:szCs w:val="22"/>
          <w:lang w:val="en-US"/>
        </w:rPr>
        <w:t xml:space="preserve"> of 0.9</w:t>
      </w:r>
      <w:r w:rsidR="00F16ED1"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0.9 Sv</w:t>
      </w:r>
      <w:r w:rsidRPr="00335FA0">
        <w:rPr>
          <w:rFonts w:ascii="Arial" w:hAnsi="Arial" w:cs="Arial"/>
          <w:color w:val="000000" w:themeColor="text1"/>
          <w:sz w:val="22"/>
          <w:szCs w:val="22"/>
          <w:lang w:val="en-US"/>
        </w:rPr>
        <w:t xml:space="preserve"> and 0.</w:t>
      </w:r>
      <w:r w:rsidR="008A6937" w:rsidRPr="00335FA0">
        <w:rPr>
          <w:rFonts w:ascii="Arial" w:hAnsi="Arial" w:cs="Arial"/>
          <w:color w:val="000000" w:themeColor="text1"/>
          <w:sz w:val="22"/>
          <w:szCs w:val="22"/>
          <w:lang w:val="en-US"/>
        </w:rPr>
        <w:t>4</w:t>
      </w:r>
      <w:r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xml:space="preserve">± 0.9 </w:t>
      </w:r>
      <w:r w:rsidRPr="00335FA0">
        <w:rPr>
          <w:rFonts w:ascii="Arial" w:hAnsi="Arial" w:cs="Arial"/>
          <w:color w:val="000000" w:themeColor="text1"/>
          <w:sz w:val="22"/>
          <w:szCs w:val="22"/>
          <w:lang w:val="en-US"/>
        </w:rPr>
        <w:t>Sv</w:t>
      </w:r>
      <w:r w:rsidR="00911C00" w:rsidRPr="00335FA0">
        <w:rPr>
          <w:rFonts w:ascii="Arial" w:hAnsi="Arial" w:cs="Arial"/>
          <w:color w:val="000000" w:themeColor="text1"/>
          <w:sz w:val="22"/>
          <w:szCs w:val="22"/>
          <w:lang w:val="en-US"/>
        </w:rPr>
        <w:t>, respectively.</w:t>
      </w:r>
      <w:r w:rsidRPr="00335FA0">
        <w:rPr>
          <w:rFonts w:ascii="Arial" w:hAnsi="Arial" w:cs="Arial"/>
          <w:color w:val="000000" w:themeColor="text1"/>
          <w:sz w:val="22"/>
          <w:szCs w:val="22"/>
          <w:lang w:val="en-US"/>
        </w:rPr>
        <w:t xml:space="preserve"> These values are</w:t>
      </w:r>
      <w:r w:rsidRPr="00335FA0">
        <w:rPr>
          <w:rFonts w:ascii="Arial" w:hAnsi="Arial" w:cs="Arial"/>
          <w:color w:val="000000" w:themeColor="text1"/>
          <w:sz w:val="22"/>
          <w:szCs w:val="22"/>
        </w:rPr>
        <w:t xml:space="preserve"> consistent with the long-term mean throughflow across the OVIDE section by </w:t>
      </w:r>
      <w:r w:rsidRPr="00335FA0">
        <w:rPr>
          <w:rFonts w:ascii="Arial" w:hAnsi="Arial" w:cs="Arial"/>
          <w:color w:val="000000" w:themeColor="text1"/>
          <w:sz w:val="22"/>
          <w:szCs w:val="22"/>
        </w:rPr>
        <w:fldChar w:fldCharType="begin"/>
      </w:r>
      <w:r w:rsidR="00387A35" w:rsidRPr="00335FA0">
        <w:rPr>
          <w:rFonts w:ascii="Arial" w:hAnsi="Arial" w:cs="Arial"/>
          <w:color w:val="000000" w:themeColor="text1"/>
          <w:sz w:val="22"/>
          <w:szCs w:val="22"/>
        </w:rPr>
        <w:instrText xml:space="preserve"> ADDIN ZOTERO_ITEM CSL_CITATION {"citationID":"Osfdci89","properties":{"formattedCitation":"(Mercier et al., 2015)","plainCitation":"(Mercier et al., 2015)","dontUpdate":true,"noteIndex":0},"citationItems":[{"id":889,"uris":["http://zotero.org/users/951135/items/SM644PSP"],"uri":["http://zotero.org/users/951135/items/SM644PSP"],"itemData":{"id":889,"type":"article-journal","abstract":"The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Pr="00335FA0">
        <w:rPr>
          <w:rFonts w:ascii="Arial" w:hAnsi="Arial" w:cs="Arial"/>
          <w:color w:val="000000" w:themeColor="text1"/>
          <w:sz w:val="22"/>
          <w:szCs w:val="22"/>
        </w:rPr>
        <w:fldChar w:fldCharType="separate"/>
      </w:r>
      <w:r w:rsidRPr="00335FA0">
        <w:rPr>
          <w:rFonts w:ascii="Arial" w:hAnsi="Arial" w:cs="Arial"/>
          <w:color w:val="000000" w:themeColor="text1"/>
          <w:sz w:val="22"/>
          <w:szCs w:val="22"/>
        </w:rPr>
        <w:t>Mercier et al. (2015)</w:t>
      </w:r>
      <w:r w:rsidRPr="00335FA0">
        <w:rPr>
          <w:rFonts w:ascii="Arial" w:hAnsi="Arial" w:cs="Arial"/>
          <w:color w:val="000000" w:themeColor="text1"/>
          <w:sz w:val="22"/>
          <w:szCs w:val="22"/>
          <w:lang w:val="en-US"/>
        </w:rPr>
        <w:fldChar w:fldCharType="end"/>
      </w:r>
      <w:r w:rsidRPr="00335FA0">
        <w:rPr>
          <w:rFonts w:ascii="Arial" w:hAnsi="Arial" w:cs="Arial"/>
          <w:color w:val="000000" w:themeColor="text1"/>
          <w:sz w:val="22"/>
          <w:szCs w:val="22"/>
        </w:rPr>
        <w:t xml:space="preserve"> of 1.0 ± 0.9 Sv northwards, as well as that used by </w:t>
      </w:r>
      <w:r w:rsidRPr="00335FA0">
        <w:rPr>
          <w:rFonts w:ascii="Arial" w:hAnsi="Arial" w:cs="Arial"/>
          <w:color w:val="000000" w:themeColor="text1"/>
          <w:sz w:val="22"/>
          <w:szCs w:val="22"/>
        </w:rPr>
        <w:fldChar w:fldCharType="begin"/>
      </w:r>
      <w:r w:rsidR="00387A35" w:rsidRPr="00335FA0">
        <w:rPr>
          <w:rFonts w:ascii="Arial" w:hAnsi="Arial" w:cs="Arial"/>
          <w:color w:val="000000" w:themeColor="text1"/>
          <w:sz w:val="22"/>
          <w:szCs w:val="22"/>
        </w:rPr>
        <w:instrText xml:space="preserve"> ADDIN ZOTERO_ITEM CSL_CITATION {"citationID":"PtWPdSXF","properties":{"formattedCitation":"(Holliday et al., 2018)","plainCitation":"(Holliday et al., 2018)","dontUpdate":true,"noteIndex":0},"citationItems":[{"id":654,"uris":["http://zotero.org/users/951135/items/2EBWJZQE"],"uri":["http://zotero.org/users/951135/items/2EBWJZQE"],"itemData":{"id":654,"type":"article-journal","abstract":"The Atlantic Meridional Overturning Circulation (AMOC) is a key component of the global climate system through its transport of heat and freshwater. The subpolar North Atlantic (SPNA) is a region where the AMOC is actively developed and shaped though mixing and water mass transformation and where large amounts of heat are released to the atmosphere. Two hydrographic transbasin sections in the summers of 2014 and 2016 provide highly spatially resolved views of the SPNA velocity and property fields on a line from Canada to Greenland to Scotland. Estimates of the AMOC, isopycnal (gyre-scale) transport, and heat and freshwater transport are derived from the observations. The overturning circulation, the maximum in northward transport integrated from the surface to seafloor and computed in density space, has a high range, with 20.6 ± 4.7 Sv in June–July 2014 and 10.6 ± 4.3 Sv in May–August 2016. In contrast, the isopycnal (gyre-scale) circulation was lowest in summer 2014: 41.3 ± 8.2 Sv compared to 58.6 ± 7.4 Sv in 2016. The heat transport (0.39 ± 0.08 PW in summer 2014, positive is northward) was highest for the section with the highest AMOC, and the freshwater transport was largest in summer 2016 when the isopycnal circulation was high (−0.25 ± 0.08 Sv). Up to 65% of the heat and freshwater transport was carried by the isopycnal circulation, with isopycnal property transport highest in the western Labrador Sea and the eastern basins (Iceland Basin to Scotland).","container-title":"Journal of Geophysical Research: Oceans","DOI":"10.1029/2018JC013841","ISSN":"2169-9291","issue":"7","language":"en","page":"4538-4559","source":"Wiley Online Library","title":"Subpolar North Atlantic Overturning and Gyre-Scale Circulation in the Summers of 2014 and 2016","volume":"123","author":[{"family":"Holliday","given":"N. P."},{"family":"Bacon","given":"S."},{"family":"Cunningham","given":"S. A."},{"family":"Gary","given":"S. F."},{"family":"Karstensen","given":"J."},{"family":"King","given":"B. A."},{"family":"Li","given":"F."},{"family":"Mcdonagh","given":"E. L."}],"issued":{"date-parts":[["2018",7,1]]}}}],"schema":"https://github.com/citation-style-language/schema/raw/master/csl-citation.json"} </w:instrText>
      </w:r>
      <w:r w:rsidRPr="00335FA0">
        <w:rPr>
          <w:rFonts w:ascii="Arial" w:hAnsi="Arial" w:cs="Arial"/>
          <w:color w:val="000000" w:themeColor="text1"/>
          <w:sz w:val="22"/>
          <w:szCs w:val="22"/>
        </w:rPr>
        <w:fldChar w:fldCharType="separate"/>
      </w:r>
      <w:r w:rsidRPr="00335FA0">
        <w:rPr>
          <w:rFonts w:ascii="Arial" w:hAnsi="Arial" w:cs="Arial"/>
          <w:color w:val="000000" w:themeColor="text1"/>
          <w:sz w:val="22"/>
          <w:szCs w:val="22"/>
        </w:rPr>
        <w:t>Holliday et al. (2018)</w:t>
      </w:r>
      <w:r w:rsidRPr="00335FA0">
        <w:rPr>
          <w:rFonts w:ascii="Arial" w:hAnsi="Arial" w:cs="Arial"/>
          <w:color w:val="000000" w:themeColor="text1"/>
          <w:sz w:val="22"/>
          <w:szCs w:val="22"/>
          <w:lang w:val="en-US"/>
        </w:rPr>
        <w:fldChar w:fldCharType="end"/>
      </w:r>
      <w:r w:rsidRPr="00335FA0">
        <w:rPr>
          <w:rFonts w:ascii="Arial" w:hAnsi="Arial" w:cs="Arial"/>
          <w:color w:val="000000" w:themeColor="text1"/>
          <w:sz w:val="22"/>
          <w:szCs w:val="22"/>
        </w:rPr>
        <w:t xml:space="preserve"> (0.8 Sv northwards). </w:t>
      </w:r>
    </w:p>
    <w:p w14:paraId="0A8A2B27" w14:textId="2E7F958F" w:rsidR="00747096" w:rsidRPr="00335FA0" w:rsidRDefault="005D6DDD" w:rsidP="00CA6BFC">
      <w:pPr>
        <w:spacing w:before="120" w:after="120" w:line="360" w:lineRule="auto"/>
        <w:jc w:val="both"/>
        <w:rPr>
          <w:rFonts w:ascii="Arial" w:hAnsi="Arial" w:cs="Arial"/>
          <w:color w:val="000000" w:themeColor="text1"/>
          <w:sz w:val="22"/>
          <w:szCs w:val="22"/>
          <w:lang w:val="en-US"/>
        </w:rPr>
      </w:pPr>
      <w:r w:rsidRPr="00335FA0">
        <w:rPr>
          <w:rFonts w:ascii="Arial" w:hAnsi="Arial" w:cs="Arial"/>
          <w:color w:val="000000" w:themeColor="text1"/>
          <w:sz w:val="22"/>
          <w:szCs w:val="22"/>
          <w:lang w:val="en-US"/>
        </w:rPr>
        <w:t xml:space="preserve">Equivalently, </w:t>
      </w:r>
      <w:r w:rsidRPr="00335FA0">
        <w:rPr>
          <w:rFonts w:ascii="Arial" w:hAnsi="Arial" w:cs="Arial"/>
          <w:color w:val="000000" w:themeColor="text1"/>
          <w:sz w:val="22"/>
          <w:szCs w:val="22"/>
        </w:rPr>
        <w:t xml:space="preserve">we assessed the salt conservation constraint across subtropical bound. </w:t>
      </w:r>
      <w:r w:rsidR="00157F7D" w:rsidRPr="00335FA0">
        <w:rPr>
          <w:rFonts w:ascii="Arial" w:hAnsi="Arial" w:cs="Arial"/>
          <w:color w:val="000000" w:themeColor="text1"/>
          <w:sz w:val="22"/>
          <w:szCs w:val="22"/>
        </w:rPr>
        <w:t>We a</w:t>
      </w:r>
      <w:r w:rsidR="00760FB8" w:rsidRPr="00335FA0">
        <w:rPr>
          <w:rFonts w:ascii="Arial" w:hAnsi="Arial" w:cs="Arial"/>
          <w:color w:val="000000" w:themeColor="text1"/>
          <w:sz w:val="22"/>
          <w:szCs w:val="22"/>
        </w:rPr>
        <w:t>ppl</w:t>
      </w:r>
      <w:r w:rsidR="00157F7D" w:rsidRPr="00335FA0">
        <w:rPr>
          <w:rFonts w:ascii="Arial" w:hAnsi="Arial" w:cs="Arial"/>
          <w:color w:val="000000" w:themeColor="text1"/>
          <w:sz w:val="22"/>
          <w:szCs w:val="22"/>
        </w:rPr>
        <w:t>ied</w:t>
      </w:r>
      <w:r w:rsidR="00760FB8" w:rsidRPr="00335FA0">
        <w:rPr>
          <w:rFonts w:ascii="Arial" w:hAnsi="Arial" w:cs="Arial"/>
          <w:color w:val="000000" w:themeColor="text1"/>
          <w:sz w:val="22"/>
          <w:szCs w:val="22"/>
        </w:rPr>
        <w:t xml:space="preserve"> a</w:t>
      </w:r>
      <w:r w:rsidR="00922145" w:rsidRPr="00335FA0">
        <w:rPr>
          <w:rFonts w:ascii="Arial" w:hAnsi="Arial" w:cs="Arial"/>
          <w:color w:val="000000" w:themeColor="text1"/>
          <w:sz w:val="22"/>
          <w:szCs w:val="22"/>
        </w:rPr>
        <w:t xml:space="preserve"> salt transport </w:t>
      </w:r>
      <w:r w:rsidR="00760FB8" w:rsidRPr="00335FA0">
        <w:rPr>
          <w:rFonts w:ascii="Arial" w:hAnsi="Arial" w:cs="Arial"/>
          <w:color w:val="000000" w:themeColor="text1"/>
          <w:sz w:val="22"/>
          <w:szCs w:val="22"/>
        </w:rPr>
        <w:t>constraint of</w:t>
      </w:r>
      <w:r w:rsidRPr="00335FA0">
        <w:rPr>
          <w:rFonts w:ascii="Arial" w:hAnsi="Arial" w:cs="Arial"/>
          <w:color w:val="000000" w:themeColor="text1"/>
          <w:sz w:val="22"/>
          <w:szCs w:val="22"/>
          <w:lang w:val="en-US"/>
        </w:rPr>
        <w:t xml:space="preserve"> </w:t>
      </w:r>
      <w:r w:rsidRPr="00335FA0">
        <w:rPr>
          <w:rFonts w:ascii="Arial" w:hAnsi="Arial" w:cs="Arial"/>
          <w:color w:val="000000" w:themeColor="text1"/>
          <w:sz w:val="22"/>
          <w:szCs w:val="22"/>
        </w:rPr>
        <w:t xml:space="preserve">26 </w:t>
      </w:r>
      <w:r w:rsidR="00760FB8" w:rsidRPr="00335FA0">
        <w:rPr>
          <w:rFonts w:ascii="Arial" w:hAnsi="Arial" w:cs="Arial"/>
          <w:color w:val="000000" w:themeColor="text1"/>
          <w:sz w:val="22"/>
          <w:szCs w:val="22"/>
        </w:rPr>
        <w:t xml:space="preserve">± 35 </w:t>
      </w:r>
      <w:r w:rsidRPr="00335FA0">
        <w:rPr>
          <w:rFonts w:ascii="Arial" w:hAnsi="Arial" w:cs="Arial"/>
          <w:color w:val="000000" w:themeColor="text1"/>
          <w:sz w:val="22"/>
          <w:szCs w:val="22"/>
        </w:rPr>
        <w:t>Sv psu</w:t>
      </w:r>
      <w:r w:rsidR="00911C00" w:rsidRPr="00335FA0">
        <w:rPr>
          <w:rFonts w:ascii="Arial" w:hAnsi="Arial" w:cs="Arial"/>
          <w:color w:val="000000" w:themeColor="text1"/>
          <w:sz w:val="22"/>
          <w:szCs w:val="22"/>
        </w:rPr>
        <w:t xml:space="preserve"> </w:t>
      </w:r>
      <w:r w:rsidR="0072770D">
        <w:rPr>
          <w:rFonts w:ascii="Arial" w:hAnsi="Arial" w:cs="Arial"/>
          <w:color w:val="000000" w:themeColor="text1"/>
          <w:sz w:val="22"/>
          <w:szCs w:val="22"/>
        </w:rPr>
        <w:t>southwards</w:t>
      </w:r>
      <w:r w:rsidR="00747096">
        <w:rPr>
          <w:rFonts w:ascii="Arial" w:hAnsi="Arial" w:cs="Arial"/>
          <w:color w:val="000000" w:themeColor="text1"/>
          <w:sz w:val="22"/>
          <w:szCs w:val="22"/>
          <w:lang w:val="en-US"/>
        </w:rPr>
        <w:t xml:space="preserve">, with </w:t>
      </w:r>
      <w:r w:rsidR="00747096" w:rsidRPr="00335FA0">
        <w:rPr>
          <w:rFonts w:ascii="Arial" w:hAnsi="Arial" w:cs="Arial"/>
          <w:color w:val="000000" w:themeColor="text1"/>
          <w:sz w:val="22"/>
          <w:szCs w:val="22"/>
        </w:rPr>
        <w:t xml:space="preserve">an </w:t>
      </w:r>
      <w:r w:rsidR="00747096" w:rsidRPr="00335FA0">
        <w:rPr>
          <w:rFonts w:ascii="Arial" w:hAnsi="Arial" w:cs="Arial"/>
          <w:i/>
          <w:iCs/>
          <w:color w:val="000000" w:themeColor="text1"/>
          <w:sz w:val="22"/>
          <w:szCs w:val="22"/>
        </w:rPr>
        <w:t>a priori</w:t>
      </w:r>
      <w:r w:rsidR="00747096" w:rsidRPr="00335FA0">
        <w:rPr>
          <w:rFonts w:ascii="Arial" w:hAnsi="Arial" w:cs="Arial"/>
          <w:color w:val="000000" w:themeColor="text1"/>
          <w:sz w:val="22"/>
          <w:szCs w:val="22"/>
        </w:rPr>
        <w:t xml:space="preserve"> volume conservation constraint of 1 ± 3 Sv </w:t>
      </w:r>
      <w:r w:rsidR="0072770D">
        <w:rPr>
          <w:rFonts w:ascii="Arial" w:hAnsi="Arial" w:cs="Arial"/>
          <w:color w:val="000000" w:themeColor="text1"/>
          <w:sz w:val="22"/>
          <w:szCs w:val="22"/>
        </w:rPr>
        <w:t>southwards</w:t>
      </w:r>
      <w:r w:rsidR="00747096">
        <w:rPr>
          <w:rFonts w:ascii="Arial" w:hAnsi="Arial" w:cs="Arial"/>
          <w:color w:val="000000" w:themeColor="text1"/>
          <w:sz w:val="22"/>
          <w:szCs w:val="22"/>
        </w:rPr>
        <w:t>.</w:t>
      </w:r>
      <w:r w:rsidR="00157F7D" w:rsidRPr="00335FA0">
        <w:rPr>
          <w:rFonts w:ascii="Arial" w:hAnsi="Arial" w:cs="Arial"/>
          <w:color w:val="000000" w:themeColor="text1"/>
          <w:sz w:val="22"/>
          <w:szCs w:val="22"/>
        </w:rPr>
        <w:t xml:space="preserve"> Note in this case, the 1-Sv error in the ± 35 Sv psu uncertainty relates to the mid-ocean transport error associated with a 1-Sv error in the combined Florida Straits and Ekman transport </w:t>
      </w:r>
      <w:r w:rsidR="00157F7D" w:rsidRPr="00335FA0">
        <w:rPr>
          <w:rFonts w:ascii="Arial" w:hAnsi="Arial" w:cs="Arial"/>
          <w:color w:val="000000" w:themeColor="text1"/>
          <w:sz w:val="22"/>
          <w:szCs w:val="22"/>
          <w:u w:val="single"/>
        </w:rPr>
        <w:fldChar w:fldCharType="begin"/>
      </w:r>
      <w:r w:rsidR="00FC6B40" w:rsidRPr="00335FA0">
        <w:rPr>
          <w:rFonts w:ascii="Arial" w:hAnsi="Arial" w:cs="Arial"/>
          <w:color w:val="000000" w:themeColor="text1"/>
          <w:sz w:val="22"/>
          <w:szCs w:val="22"/>
          <w:u w:val="single"/>
        </w:rPr>
        <w:instrText xml:space="preserve"> ADDIN ZOTERO_ITEM CSL_CITATION {"citationID":"a5u58bqiff","properties":{"formattedCitation":"(Atkinson et al., 2012)","plainCitation":"(Atkinson et al., 2012)","noteIndex":0},"citationItems":[{"id":356,"uris":["http://zotero.org/users/951135/items/2K226NFK"],"uri":["http://zotero.org/users/951135/items/2K226NFK"],"itemData":{"id":356,"type":"article-journal","container-title":"Ocean Science","DOI":"10.5194/os-8-497-2012","ISSN":"1812-0792","issue":"4","page":"497-523","source":"CrossRef","title":"Atlantic transport variability at 25° N in six hydrographic sections","volume":"8","author":[{"family":"Atkinson","given":"C. P."},{"family":"Bryden","given":"H. L."},{"family":"Cunningham","given":"S. A."},{"family":"King","given":"B. A."}],"issued":{"date-parts":[["2012",7,19]]}}}],"schema":"https://github.com/citation-style-language/schema/raw/master/csl-citation.json"} </w:instrText>
      </w:r>
      <w:r w:rsidR="00157F7D" w:rsidRPr="00335FA0">
        <w:rPr>
          <w:rFonts w:ascii="Arial" w:hAnsi="Arial" w:cs="Arial"/>
          <w:color w:val="000000" w:themeColor="text1"/>
          <w:sz w:val="22"/>
          <w:szCs w:val="22"/>
          <w:u w:val="single"/>
        </w:rPr>
        <w:fldChar w:fldCharType="separate"/>
      </w:r>
      <w:r w:rsidR="00FC6B40" w:rsidRPr="00335FA0">
        <w:rPr>
          <w:rFonts w:ascii="Arial" w:hAnsi="Arial" w:cs="Arial"/>
          <w:color w:val="000000" w:themeColor="text1"/>
          <w:sz w:val="22"/>
        </w:rPr>
        <w:t>(Atkinson et al., 2012)</w:t>
      </w:r>
      <w:r w:rsidR="00157F7D" w:rsidRPr="00335FA0">
        <w:rPr>
          <w:rFonts w:ascii="Arial" w:hAnsi="Arial" w:cs="Arial"/>
          <w:color w:val="000000" w:themeColor="text1"/>
          <w:sz w:val="22"/>
          <w:szCs w:val="22"/>
          <w:u w:val="single"/>
        </w:rPr>
        <w:fldChar w:fldCharType="end"/>
      </w:r>
      <w:r w:rsidR="00747096">
        <w:rPr>
          <w:rFonts w:ascii="Arial" w:hAnsi="Arial" w:cs="Arial"/>
          <w:color w:val="000000" w:themeColor="text1"/>
          <w:sz w:val="22"/>
          <w:szCs w:val="22"/>
        </w:rPr>
        <w:t xml:space="preserve">; whereas the 3-Sv uncertainty in the volume transport constraint accounts, </w:t>
      </w:r>
      <w:r w:rsidR="00747096">
        <w:rPr>
          <w:rFonts w:ascii="Arial" w:hAnsi="Arial" w:cs="Arial"/>
          <w:color w:val="000000" w:themeColor="text1"/>
          <w:sz w:val="22"/>
          <w:szCs w:val="22"/>
          <w:lang w:val="en-US"/>
        </w:rPr>
        <w:t xml:space="preserve">similarly to OVIDE, </w:t>
      </w:r>
      <w:r w:rsidR="00747096" w:rsidRPr="00335FA0">
        <w:rPr>
          <w:rFonts w:ascii="Arial" w:hAnsi="Arial" w:cs="Arial"/>
          <w:color w:val="000000" w:themeColor="text1"/>
          <w:sz w:val="22"/>
          <w:szCs w:val="22"/>
        </w:rPr>
        <w:t xml:space="preserve">for </w:t>
      </w:r>
      <w:r w:rsidR="00747096">
        <w:rPr>
          <w:rFonts w:ascii="Arial" w:hAnsi="Arial" w:cs="Arial"/>
          <w:color w:val="000000" w:themeColor="text1"/>
          <w:sz w:val="22"/>
          <w:szCs w:val="22"/>
        </w:rPr>
        <w:t>the</w:t>
      </w:r>
      <w:r w:rsidR="00747096" w:rsidRPr="006471DE">
        <w:rPr>
          <w:rFonts w:ascii="Arial" w:hAnsi="Arial" w:cs="Arial"/>
          <w:color w:val="000000" w:themeColor="text1"/>
          <w:sz w:val="22"/>
          <w:szCs w:val="22"/>
        </w:rPr>
        <w:t xml:space="preserve"> accumulated effect of non-synopticity and ageostrophy (Ganachaud, 2003)</w:t>
      </w:r>
      <w:r w:rsidR="0025160C">
        <w:rPr>
          <w:rFonts w:ascii="Arial" w:hAnsi="Arial" w:cs="Arial"/>
          <w:color w:val="000000" w:themeColor="text1"/>
          <w:sz w:val="22"/>
          <w:szCs w:val="22"/>
        </w:rPr>
        <w:t>.</w:t>
      </w:r>
      <w:r w:rsidR="0025160C">
        <w:rPr>
          <w:rFonts w:ascii="Arial" w:hAnsi="Arial" w:cs="Arial"/>
          <w:color w:val="000000" w:themeColor="text1"/>
          <w:sz w:val="22"/>
          <w:szCs w:val="22"/>
          <w:lang w:val="en-US"/>
        </w:rPr>
        <w:t xml:space="preserve"> </w:t>
      </w:r>
      <w:r w:rsidR="00157F7D" w:rsidRPr="00335FA0">
        <w:rPr>
          <w:rFonts w:ascii="Arial" w:hAnsi="Arial" w:cs="Arial"/>
          <w:color w:val="000000" w:themeColor="text1"/>
          <w:sz w:val="22"/>
          <w:szCs w:val="22"/>
          <w:lang w:val="en-US"/>
        </w:rPr>
        <w:t xml:space="preserve">After inversion, </w:t>
      </w:r>
      <w:r w:rsidR="00157F7D" w:rsidRPr="00335FA0">
        <w:rPr>
          <w:rFonts w:ascii="Arial" w:hAnsi="Arial" w:cs="Arial"/>
          <w:color w:val="000000" w:themeColor="text1"/>
          <w:sz w:val="22"/>
          <w:szCs w:val="22"/>
        </w:rPr>
        <w:t>the</w:t>
      </w:r>
      <w:r w:rsidR="00922145" w:rsidRPr="00335FA0">
        <w:rPr>
          <w:rFonts w:ascii="Arial" w:hAnsi="Arial" w:cs="Arial"/>
          <w:color w:val="000000" w:themeColor="text1"/>
          <w:sz w:val="22"/>
          <w:szCs w:val="22"/>
        </w:rPr>
        <w:t xml:space="preserve"> </w:t>
      </w:r>
      <w:r w:rsidR="00922145" w:rsidRPr="00335FA0">
        <w:rPr>
          <w:rFonts w:ascii="Arial" w:hAnsi="Arial" w:cs="Arial"/>
          <w:color w:val="000000" w:themeColor="text1"/>
          <w:sz w:val="22"/>
          <w:szCs w:val="22"/>
          <w:lang w:val="en-US"/>
        </w:rPr>
        <w:t xml:space="preserve">total salt transport </w:t>
      </w:r>
      <w:r w:rsidR="00157F7D" w:rsidRPr="00335FA0">
        <w:rPr>
          <w:rFonts w:ascii="Arial" w:hAnsi="Arial" w:cs="Arial"/>
          <w:color w:val="000000" w:themeColor="text1"/>
          <w:sz w:val="22"/>
          <w:szCs w:val="22"/>
          <w:lang w:val="en-US"/>
        </w:rPr>
        <w:t xml:space="preserve">was </w:t>
      </w:r>
      <w:r w:rsidR="00922145" w:rsidRPr="00335FA0">
        <w:rPr>
          <w:rFonts w:ascii="Arial" w:hAnsi="Arial" w:cs="Arial"/>
          <w:color w:val="000000" w:themeColor="text1"/>
          <w:sz w:val="22"/>
          <w:szCs w:val="22"/>
          <w:lang w:val="en-US"/>
        </w:rPr>
        <w:t xml:space="preserve">of </w:t>
      </w:r>
      <w:r w:rsidR="009A23E0" w:rsidRPr="00335FA0">
        <w:rPr>
          <w:rFonts w:ascii="Arial" w:hAnsi="Arial" w:cs="Arial"/>
          <w:color w:val="000000" w:themeColor="text1"/>
          <w:sz w:val="22"/>
          <w:szCs w:val="22"/>
          <w:lang w:val="en-US"/>
        </w:rPr>
        <w:t>23.4</w:t>
      </w:r>
      <w:r w:rsidR="00F16ED1"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31.</w:t>
      </w:r>
      <w:r w:rsidR="009A23E0" w:rsidRPr="00335FA0">
        <w:rPr>
          <w:rFonts w:ascii="Arial" w:hAnsi="Arial" w:cs="Arial"/>
          <w:color w:val="000000" w:themeColor="text1"/>
          <w:sz w:val="22"/>
          <w:szCs w:val="22"/>
        </w:rPr>
        <w:t>8</w:t>
      </w:r>
      <w:r w:rsidR="00F16ED1" w:rsidRPr="00335FA0">
        <w:rPr>
          <w:rFonts w:ascii="Arial" w:hAnsi="Arial" w:cs="Arial"/>
          <w:color w:val="000000" w:themeColor="text1"/>
          <w:sz w:val="22"/>
          <w:szCs w:val="22"/>
          <w:lang w:val="en-US"/>
        </w:rPr>
        <w:t xml:space="preserve"> Sv psu </w:t>
      </w:r>
      <w:r w:rsidR="00922145" w:rsidRPr="00335FA0">
        <w:rPr>
          <w:rFonts w:ascii="Arial" w:hAnsi="Arial" w:cs="Arial"/>
          <w:color w:val="000000" w:themeColor="text1"/>
          <w:sz w:val="22"/>
          <w:szCs w:val="22"/>
          <w:lang w:val="en-US"/>
        </w:rPr>
        <w:t xml:space="preserve">in 2004 and </w:t>
      </w:r>
      <w:r w:rsidR="009A23E0" w:rsidRPr="00335FA0">
        <w:rPr>
          <w:rFonts w:ascii="Arial" w:hAnsi="Arial" w:cs="Arial"/>
          <w:color w:val="000000" w:themeColor="text1"/>
          <w:sz w:val="22"/>
          <w:szCs w:val="22"/>
          <w:lang w:val="en-US"/>
        </w:rPr>
        <w:t>21.4</w:t>
      </w:r>
      <w:r w:rsidR="00F16ED1"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31.</w:t>
      </w:r>
      <w:r w:rsidR="009A23E0" w:rsidRPr="00335FA0">
        <w:rPr>
          <w:rFonts w:ascii="Arial" w:hAnsi="Arial" w:cs="Arial"/>
          <w:color w:val="000000" w:themeColor="text1"/>
          <w:sz w:val="22"/>
          <w:szCs w:val="22"/>
        </w:rPr>
        <w:t>7</w:t>
      </w:r>
      <w:r w:rsidR="00F16ED1" w:rsidRPr="00335FA0">
        <w:rPr>
          <w:rFonts w:ascii="Arial" w:hAnsi="Arial" w:cs="Arial"/>
          <w:color w:val="000000" w:themeColor="text1"/>
          <w:sz w:val="22"/>
          <w:szCs w:val="22"/>
          <w:lang w:val="en-US"/>
        </w:rPr>
        <w:t xml:space="preserve"> Sv psu </w:t>
      </w:r>
      <w:r w:rsidR="00922145" w:rsidRPr="00335FA0">
        <w:rPr>
          <w:rFonts w:ascii="Arial" w:hAnsi="Arial" w:cs="Arial"/>
          <w:color w:val="000000" w:themeColor="text1"/>
          <w:sz w:val="22"/>
          <w:szCs w:val="22"/>
          <w:lang w:val="en-US"/>
        </w:rPr>
        <w:t xml:space="preserve">in 2010 (both </w:t>
      </w:r>
      <w:r w:rsidR="00F16ED1" w:rsidRPr="00335FA0">
        <w:rPr>
          <w:rFonts w:ascii="Arial" w:hAnsi="Arial" w:cs="Arial"/>
          <w:color w:val="000000" w:themeColor="text1"/>
          <w:sz w:val="22"/>
          <w:szCs w:val="22"/>
          <w:lang w:val="en-US"/>
        </w:rPr>
        <w:t>south</w:t>
      </w:r>
      <w:r w:rsidR="00922145" w:rsidRPr="00335FA0">
        <w:rPr>
          <w:rFonts w:ascii="Arial" w:hAnsi="Arial" w:cs="Arial"/>
          <w:color w:val="000000" w:themeColor="text1"/>
          <w:sz w:val="22"/>
          <w:szCs w:val="22"/>
          <w:lang w:val="en-US"/>
        </w:rPr>
        <w:t>wards)</w:t>
      </w:r>
      <w:r w:rsidR="00157F7D"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xml:space="preserve">associated with </w:t>
      </w:r>
      <w:r w:rsidRPr="00335FA0">
        <w:rPr>
          <w:rFonts w:ascii="Arial" w:hAnsi="Arial" w:cs="Arial"/>
          <w:color w:val="000000" w:themeColor="text1"/>
          <w:sz w:val="22"/>
          <w:szCs w:val="22"/>
          <w:lang w:val="en-US"/>
        </w:rPr>
        <w:t xml:space="preserve">throughflow </w:t>
      </w:r>
      <w:r w:rsidR="00F16ED1" w:rsidRPr="00335FA0">
        <w:rPr>
          <w:rFonts w:ascii="Arial" w:hAnsi="Arial" w:cs="Arial"/>
          <w:color w:val="000000" w:themeColor="text1"/>
          <w:sz w:val="22"/>
          <w:szCs w:val="22"/>
          <w:lang w:val="en-US"/>
        </w:rPr>
        <w:t xml:space="preserve">southward </w:t>
      </w:r>
      <w:r w:rsidRPr="00335FA0">
        <w:rPr>
          <w:rFonts w:ascii="Arial" w:hAnsi="Arial" w:cs="Arial"/>
          <w:color w:val="000000" w:themeColor="text1"/>
          <w:sz w:val="22"/>
          <w:szCs w:val="22"/>
          <w:lang w:val="en-US"/>
        </w:rPr>
        <w:t>volume transport</w:t>
      </w:r>
      <w:r w:rsidR="009A23E0" w:rsidRPr="00335FA0">
        <w:rPr>
          <w:rFonts w:ascii="Arial" w:hAnsi="Arial" w:cs="Arial"/>
          <w:color w:val="000000" w:themeColor="text1"/>
          <w:sz w:val="22"/>
          <w:szCs w:val="22"/>
          <w:lang w:val="en-US"/>
        </w:rPr>
        <w:t>s</w:t>
      </w:r>
      <w:r w:rsidRPr="00335FA0">
        <w:rPr>
          <w:rFonts w:ascii="Arial" w:hAnsi="Arial" w:cs="Arial"/>
          <w:color w:val="000000" w:themeColor="text1"/>
          <w:sz w:val="22"/>
          <w:szCs w:val="22"/>
          <w:lang w:val="en-US"/>
        </w:rPr>
        <w:t xml:space="preserve"> of 1.0</w:t>
      </w:r>
      <w:r w:rsidR="009A23E0"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rPr>
        <w:t xml:space="preserve">± 0.9 </w:t>
      </w:r>
      <w:r w:rsidRPr="00335FA0">
        <w:rPr>
          <w:rFonts w:ascii="Arial" w:hAnsi="Arial" w:cs="Arial"/>
          <w:color w:val="000000" w:themeColor="text1"/>
          <w:sz w:val="22"/>
          <w:szCs w:val="22"/>
          <w:lang w:val="en-US"/>
        </w:rPr>
        <w:t>Sv in 2004 and 0.</w:t>
      </w:r>
      <w:r w:rsidR="009A23E0" w:rsidRPr="00335FA0">
        <w:rPr>
          <w:rFonts w:ascii="Arial" w:hAnsi="Arial" w:cs="Arial"/>
          <w:color w:val="000000" w:themeColor="text1"/>
          <w:sz w:val="22"/>
          <w:szCs w:val="22"/>
          <w:lang w:val="en-US"/>
        </w:rPr>
        <w:t xml:space="preserve">8 </w:t>
      </w:r>
      <w:r w:rsidR="00F16ED1" w:rsidRPr="00335FA0">
        <w:rPr>
          <w:rFonts w:ascii="Arial" w:hAnsi="Arial" w:cs="Arial"/>
          <w:color w:val="000000" w:themeColor="text1"/>
          <w:sz w:val="22"/>
          <w:szCs w:val="22"/>
        </w:rPr>
        <w:t>± 0.9</w:t>
      </w:r>
      <w:r w:rsidRPr="00335FA0">
        <w:rPr>
          <w:rFonts w:ascii="Arial" w:hAnsi="Arial" w:cs="Arial"/>
          <w:color w:val="000000" w:themeColor="text1"/>
          <w:sz w:val="22"/>
          <w:szCs w:val="22"/>
          <w:lang w:val="en-US"/>
        </w:rPr>
        <w:t xml:space="preserve"> Sv in 2010.</w:t>
      </w:r>
      <w:r w:rsidR="00760FB8" w:rsidRPr="00335FA0">
        <w:rPr>
          <w:rFonts w:ascii="Arial" w:hAnsi="Arial" w:cs="Arial"/>
          <w:color w:val="000000" w:themeColor="text1"/>
          <w:sz w:val="22"/>
          <w:szCs w:val="22"/>
        </w:rPr>
        <w:t xml:space="preserve"> </w:t>
      </w:r>
    </w:p>
    <w:p w14:paraId="3594B403" w14:textId="291FF4C9" w:rsidR="005D6DDD" w:rsidRPr="00335FA0" w:rsidRDefault="005D6DDD" w:rsidP="00CA6BFC">
      <w:pPr>
        <w:spacing w:after="120" w:line="360" w:lineRule="auto"/>
        <w:jc w:val="both"/>
        <w:rPr>
          <w:rFonts w:ascii="Arial" w:hAnsi="Arial" w:cs="Arial"/>
          <w:color w:val="000000" w:themeColor="text1"/>
          <w:sz w:val="22"/>
          <w:szCs w:val="22"/>
          <w:lang w:val="en-US"/>
        </w:rPr>
      </w:pPr>
      <w:r w:rsidRPr="00335FA0">
        <w:rPr>
          <w:rFonts w:ascii="Arial" w:hAnsi="Arial" w:cs="Arial"/>
          <w:color w:val="000000" w:themeColor="text1"/>
          <w:sz w:val="22"/>
          <w:szCs w:val="22"/>
          <w:lang w:val="en-US"/>
        </w:rPr>
        <w:t xml:space="preserve">By </w:t>
      </w:r>
      <w:r w:rsidR="00F96CB6" w:rsidRPr="00335FA0">
        <w:rPr>
          <w:rFonts w:ascii="Arial" w:hAnsi="Arial" w:cs="Arial"/>
          <w:color w:val="000000" w:themeColor="text1"/>
          <w:sz w:val="22"/>
          <w:szCs w:val="22"/>
          <w:lang w:val="en-US"/>
        </w:rPr>
        <w:t xml:space="preserve">imposing </w:t>
      </w:r>
      <w:r w:rsidR="00157F7D" w:rsidRPr="00335FA0">
        <w:rPr>
          <w:rFonts w:ascii="Arial" w:hAnsi="Arial" w:cs="Arial"/>
          <w:color w:val="000000" w:themeColor="text1"/>
          <w:sz w:val="22"/>
          <w:szCs w:val="22"/>
          <w:lang w:val="en-US"/>
        </w:rPr>
        <w:t xml:space="preserve">both </w:t>
      </w:r>
      <w:r w:rsidRPr="00335FA0">
        <w:rPr>
          <w:rFonts w:ascii="Arial" w:hAnsi="Arial" w:cs="Arial"/>
          <w:color w:val="000000" w:themeColor="text1"/>
          <w:sz w:val="22"/>
          <w:szCs w:val="22"/>
          <w:lang w:val="en-US"/>
        </w:rPr>
        <w:t xml:space="preserve">salt </w:t>
      </w:r>
      <w:r w:rsidR="00F16ED1" w:rsidRPr="00335FA0">
        <w:rPr>
          <w:rFonts w:ascii="Arial" w:hAnsi="Arial" w:cs="Arial"/>
          <w:color w:val="000000" w:themeColor="text1"/>
          <w:sz w:val="22"/>
          <w:szCs w:val="22"/>
          <w:lang w:val="en-US"/>
        </w:rPr>
        <w:t xml:space="preserve">and volume </w:t>
      </w:r>
      <w:r w:rsidRPr="00335FA0">
        <w:rPr>
          <w:rFonts w:ascii="Arial" w:hAnsi="Arial" w:cs="Arial"/>
          <w:color w:val="000000" w:themeColor="text1"/>
          <w:sz w:val="22"/>
          <w:szCs w:val="22"/>
          <w:lang w:val="en-US"/>
        </w:rPr>
        <w:t>conservation</w:t>
      </w:r>
      <w:r w:rsidR="00A84A59" w:rsidRPr="00335FA0">
        <w:rPr>
          <w:rFonts w:ascii="Arial" w:hAnsi="Arial" w:cs="Arial"/>
          <w:color w:val="000000" w:themeColor="text1"/>
          <w:sz w:val="22"/>
          <w:szCs w:val="22"/>
          <w:lang w:val="en-US"/>
        </w:rPr>
        <w:t>s</w:t>
      </w:r>
      <w:r w:rsidRPr="00335FA0">
        <w:rPr>
          <w:rFonts w:ascii="Arial" w:hAnsi="Arial" w:cs="Arial"/>
          <w:color w:val="000000" w:themeColor="text1"/>
          <w:sz w:val="22"/>
          <w:szCs w:val="22"/>
          <w:lang w:val="en-US"/>
        </w:rPr>
        <w:t xml:space="preserve"> across the limits of the NA-box, </w:t>
      </w:r>
      <w:r w:rsidR="00F16ED1" w:rsidRPr="00335FA0">
        <w:rPr>
          <w:rFonts w:ascii="Arial" w:hAnsi="Arial" w:cs="Arial"/>
          <w:color w:val="000000" w:themeColor="text1"/>
          <w:sz w:val="22"/>
          <w:szCs w:val="22"/>
          <w:lang w:val="en-US"/>
        </w:rPr>
        <w:t>we found</w:t>
      </w:r>
      <w:r w:rsidRPr="00335FA0">
        <w:rPr>
          <w:rFonts w:ascii="Arial" w:hAnsi="Arial" w:cs="Arial"/>
          <w:color w:val="000000" w:themeColor="text1"/>
          <w:sz w:val="22"/>
          <w:szCs w:val="22"/>
          <w:lang w:val="en-US"/>
        </w:rPr>
        <w:t xml:space="preserve"> </w:t>
      </w:r>
      <w:r w:rsidR="00F16ED1" w:rsidRPr="00335FA0">
        <w:rPr>
          <w:rFonts w:ascii="Arial" w:hAnsi="Arial" w:cs="Arial"/>
          <w:color w:val="000000" w:themeColor="text1"/>
          <w:sz w:val="22"/>
          <w:szCs w:val="22"/>
          <w:lang w:val="en-US"/>
        </w:rPr>
        <w:t>a</w:t>
      </w:r>
      <w:r w:rsidRPr="00335FA0">
        <w:rPr>
          <w:rFonts w:ascii="Arial" w:hAnsi="Arial" w:cs="Arial"/>
          <w:color w:val="000000" w:themeColor="text1"/>
          <w:sz w:val="22"/>
          <w:szCs w:val="22"/>
          <w:lang w:val="en-US"/>
        </w:rPr>
        <w:t xml:space="preserve"> net freshwater gain in the North Atlantic of 0.1 Sv in 2004 and a net freshwater loss of 0.3 Sv in 2010</w:t>
      </w:r>
      <w:r w:rsidR="00157F7D" w:rsidRPr="00335FA0">
        <w:rPr>
          <w:rFonts w:ascii="Arial" w:hAnsi="Arial" w:cs="Arial"/>
          <w:color w:val="000000" w:themeColor="text1"/>
          <w:sz w:val="22"/>
          <w:szCs w:val="22"/>
          <w:lang w:val="en-US"/>
        </w:rPr>
        <w:t xml:space="preserve">, </w:t>
      </w:r>
      <w:r w:rsidRPr="00335FA0">
        <w:rPr>
          <w:rFonts w:ascii="Arial" w:hAnsi="Arial" w:cs="Arial"/>
          <w:color w:val="000000" w:themeColor="text1"/>
          <w:sz w:val="22"/>
          <w:szCs w:val="22"/>
          <w:lang w:val="en-US"/>
        </w:rPr>
        <w:t xml:space="preserve">consistent with the </w:t>
      </w:r>
      <w:r w:rsidR="00C71F44" w:rsidRPr="00335FA0">
        <w:rPr>
          <w:rFonts w:ascii="Arial" w:hAnsi="Arial" w:cs="Arial"/>
          <w:color w:val="000000" w:themeColor="text1"/>
          <w:sz w:val="22"/>
          <w:szCs w:val="22"/>
          <w:lang w:val="en-US"/>
        </w:rPr>
        <w:t>results</w:t>
      </w:r>
      <w:r w:rsidRPr="00335FA0">
        <w:rPr>
          <w:rFonts w:ascii="Arial" w:hAnsi="Arial" w:cs="Arial"/>
          <w:color w:val="000000" w:themeColor="text1"/>
          <w:sz w:val="22"/>
          <w:szCs w:val="22"/>
          <w:lang w:val="en-US"/>
        </w:rPr>
        <w:t xml:space="preserve"> by </w:t>
      </w:r>
      <w:r w:rsidRPr="00335FA0">
        <w:rPr>
          <w:rFonts w:ascii="Arial" w:hAnsi="Arial" w:cs="Arial"/>
          <w:color w:val="000000" w:themeColor="text1"/>
          <w:sz w:val="22"/>
          <w:szCs w:val="22"/>
          <w:lang w:val="en-US"/>
        </w:rPr>
        <w:fldChar w:fldCharType="begin"/>
      </w:r>
      <w:r w:rsidR="00387A35" w:rsidRPr="00335FA0">
        <w:rPr>
          <w:rFonts w:ascii="Arial" w:hAnsi="Arial" w:cs="Arial"/>
          <w:color w:val="000000" w:themeColor="text1"/>
          <w:sz w:val="22"/>
          <w:szCs w:val="22"/>
          <w:lang w:val="en-US"/>
        </w:rPr>
        <w:instrText xml:space="preserve"> ADDIN ZOTERO_ITEM CSL_CITATION {"citationID":"jL3WE3jU","properties":{"formattedCitation":"(McDonagh et al., 2015)","plainCitation":"(McDonagh et al., 2015)","dontUpdate":true,"noteIndex":0},"citationItems":[{"id":698,"uris":["http://zotero.org/users/951135/items/MB7FCZD7"],"uri":["http://zotero.org/users/951135/items/MB7FCZD7"],"itemData":{"id":698,"type":"article-journal","container-title":"Journal of Climate","DOI":"10.1175/JCLI-D-14-00519.1","ISSN":"0894-8755, 1520-0442","issue":"22","language":"en","page":"8888-8906","source":"CrossRef","title":"Continuous Estimate of Atlantic Oceanic Freshwater Flux at 26.5°N","volume":"28","author":[{"family":"McDonagh","given":"Elaine L."},{"family":"King","given":"Brian A."},{"family":"Bryden","given":"Harry L."},{"family":"Courtois","given":"Peggy"},{"family":"Szuts","given":"Zoltan"},{"family":"Baringer","given":"Molly"},{"family":"Cunningham","given":"Stuart A."},{"family":"Atkinson","given":"Chris"},{"family":"McCarthy","given":"Gerard"}],"issued":{"date-parts":[["2015",11]]}}}],"schema":"https://github.com/citation-style-language/schema/raw/master/csl-citation.json"} </w:instrText>
      </w:r>
      <w:r w:rsidRPr="00335FA0">
        <w:rPr>
          <w:rFonts w:ascii="Arial" w:hAnsi="Arial" w:cs="Arial"/>
          <w:color w:val="000000" w:themeColor="text1"/>
          <w:sz w:val="22"/>
          <w:szCs w:val="22"/>
          <w:lang w:val="en-US"/>
        </w:rPr>
        <w:fldChar w:fldCharType="separate"/>
      </w:r>
      <w:r w:rsidRPr="00335FA0">
        <w:rPr>
          <w:rFonts w:ascii="Arial" w:hAnsi="Arial" w:cs="Arial"/>
          <w:noProof/>
          <w:color w:val="000000" w:themeColor="text1"/>
          <w:sz w:val="22"/>
          <w:szCs w:val="22"/>
          <w:lang w:val="en-US"/>
        </w:rPr>
        <w:t xml:space="preserve">McDonagh et al. </w:t>
      </w:r>
      <w:r w:rsidR="00A84A59" w:rsidRPr="00335FA0">
        <w:rPr>
          <w:rFonts w:ascii="Arial" w:hAnsi="Arial" w:cs="Arial"/>
          <w:noProof/>
          <w:color w:val="000000" w:themeColor="text1"/>
          <w:sz w:val="22"/>
          <w:szCs w:val="22"/>
          <w:lang w:val="en-US"/>
        </w:rPr>
        <w:t>(</w:t>
      </w:r>
      <w:r w:rsidRPr="00335FA0">
        <w:rPr>
          <w:rFonts w:ascii="Arial" w:hAnsi="Arial" w:cs="Arial"/>
          <w:noProof/>
          <w:color w:val="000000" w:themeColor="text1"/>
          <w:sz w:val="22"/>
          <w:szCs w:val="22"/>
          <w:lang w:val="en-US"/>
        </w:rPr>
        <w:t>2015</w:t>
      </w:r>
      <w:r w:rsidRPr="00335FA0">
        <w:rPr>
          <w:rFonts w:ascii="Arial" w:hAnsi="Arial" w:cs="Arial"/>
          <w:color w:val="000000" w:themeColor="text1"/>
          <w:sz w:val="22"/>
          <w:szCs w:val="22"/>
          <w:lang w:val="en-US"/>
        </w:rPr>
        <w:fldChar w:fldCharType="end"/>
      </w:r>
      <w:r w:rsidRPr="00335FA0">
        <w:rPr>
          <w:rFonts w:ascii="Arial" w:hAnsi="Arial" w:cs="Arial"/>
          <w:color w:val="000000" w:themeColor="text1"/>
          <w:sz w:val="22"/>
          <w:szCs w:val="22"/>
          <w:lang w:val="en-US"/>
        </w:rPr>
        <w:t>)</w:t>
      </w:r>
      <w:r w:rsidR="00305CE5" w:rsidRPr="00335FA0">
        <w:rPr>
          <w:rFonts w:ascii="Arial" w:hAnsi="Arial" w:cs="Arial"/>
          <w:color w:val="000000" w:themeColor="text1"/>
          <w:sz w:val="22"/>
          <w:szCs w:val="22"/>
          <w:lang w:val="en-US"/>
        </w:rPr>
        <w:t>. We</w:t>
      </w:r>
      <w:r w:rsidR="00F96CB6" w:rsidRPr="00335FA0">
        <w:rPr>
          <w:rFonts w:ascii="Arial" w:hAnsi="Arial" w:cs="Arial"/>
          <w:color w:val="000000" w:themeColor="text1"/>
          <w:sz w:val="22"/>
          <w:szCs w:val="22"/>
          <w:lang w:val="en-US"/>
        </w:rPr>
        <w:t xml:space="preserve"> interpret these imbalance </w:t>
      </w:r>
      <w:r w:rsidR="00F96CB6" w:rsidRPr="00335FA0">
        <w:rPr>
          <w:rFonts w:ascii="Arial" w:hAnsi="Arial" w:cs="Arial"/>
          <w:color w:val="000000" w:themeColor="text1"/>
          <w:sz w:val="22"/>
          <w:szCs w:val="22"/>
          <w:lang w:val="en-US"/>
        </w:rPr>
        <w:lastRenderedPageBreak/>
        <w:t>in the freshwater budget as P-E+R estimates and</w:t>
      </w:r>
      <w:r w:rsidR="00305CE5" w:rsidRPr="00335FA0">
        <w:rPr>
          <w:rFonts w:ascii="Arial" w:hAnsi="Arial" w:cs="Arial"/>
          <w:color w:val="000000" w:themeColor="text1"/>
          <w:sz w:val="22"/>
          <w:szCs w:val="22"/>
          <w:lang w:val="en-US"/>
        </w:rPr>
        <w:t xml:space="preserve"> assessed </w:t>
      </w:r>
      <w:r w:rsidR="00F96CB6" w:rsidRPr="00335FA0">
        <w:rPr>
          <w:rFonts w:ascii="Arial" w:hAnsi="Arial" w:cs="Arial"/>
          <w:color w:val="000000" w:themeColor="text1"/>
          <w:sz w:val="22"/>
          <w:szCs w:val="22"/>
          <w:lang w:val="en-US"/>
        </w:rPr>
        <w:t xml:space="preserve">these </w:t>
      </w:r>
      <w:r w:rsidR="002137B6" w:rsidRPr="00335FA0">
        <w:rPr>
          <w:rFonts w:ascii="Arial" w:hAnsi="Arial" w:cs="Arial"/>
          <w:color w:val="000000" w:themeColor="text1"/>
          <w:sz w:val="22"/>
          <w:szCs w:val="22"/>
          <w:lang w:val="en-US"/>
        </w:rPr>
        <w:t>estimates</w:t>
      </w:r>
      <w:r w:rsidR="00305CE5" w:rsidRPr="00335FA0">
        <w:rPr>
          <w:rFonts w:ascii="Arial" w:hAnsi="Arial" w:cs="Arial"/>
          <w:color w:val="000000" w:themeColor="text1"/>
          <w:sz w:val="22"/>
          <w:szCs w:val="22"/>
          <w:lang w:val="en-US"/>
        </w:rPr>
        <w:t xml:space="preserve"> </w:t>
      </w:r>
      <w:r w:rsidR="002137B6" w:rsidRPr="00335FA0">
        <w:rPr>
          <w:rFonts w:ascii="Arial" w:hAnsi="Arial" w:cs="Arial"/>
          <w:color w:val="000000" w:themeColor="text1"/>
          <w:sz w:val="22"/>
          <w:szCs w:val="22"/>
          <w:lang w:val="en-US"/>
        </w:rPr>
        <w:t>by means of the</w:t>
      </w:r>
      <w:r w:rsidR="00C71F44" w:rsidRPr="00335FA0">
        <w:rPr>
          <w:rFonts w:ascii="Arial" w:hAnsi="Arial" w:cs="Arial"/>
          <w:color w:val="000000" w:themeColor="text1"/>
          <w:sz w:val="22"/>
          <w:szCs w:val="22"/>
          <w:lang w:val="en-US"/>
        </w:rPr>
        <w:t xml:space="preserve"> independent </w:t>
      </w:r>
      <w:r w:rsidR="002137B6" w:rsidRPr="00335FA0">
        <w:rPr>
          <w:rFonts w:ascii="Arial" w:hAnsi="Arial" w:cs="Arial"/>
          <w:color w:val="000000" w:themeColor="text1"/>
          <w:sz w:val="22"/>
          <w:szCs w:val="22"/>
          <w:lang w:val="en-US"/>
        </w:rPr>
        <w:t>computation</w:t>
      </w:r>
      <w:r w:rsidR="00C71F44" w:rsidRPr="00335FA0">
        <w:rPr>
          <w:rFonts w:ascii="Arial" w:hAnsi="Arial" w:cs="Arial"/>
          <w:color w:val="000000" w:themeColor="text1"/>
          <w:sz w:val="22"/>
          <w:szCs w:val="22"/>
          <w:lang w:val="en-US"/>
        </w:rPr>
        <w:t xml:space="preserve"> of the</w:t>
      </w:r>
      <w:r w:rsidRPr="00335FA0">
        <w:rPr>
          <w:rFonts w:ascii="Arial" w:hAnsi="Arial" w:cs="Arial"/>
          <w:color w:val="000000" w:themeColor="text1"/>
          <w:sz w:val="22"/>
          <w:szCs w:val="22"/>
        </w:rPr>
        <w:t xml:space="preserve"> </w:t>
      </w:r>
      <w:r w:rsidRPr="00335FA0">
        <w:rPr>
          <w:rFonts w:ascii="Arial" w:hAnsi="Arial" w:cs="Arial"/>
          <w:color w:val="000000" w:themeColor="text1"/>
          <w:sz w:val="22"/>
          <w:szCs w:val="22"/>
          <w:lang w:val="en-US"/>
        </w:rPr>
        <w:t>P-E+R</w:t>
      </w:r>
      <w:r w:rsidR="00C71F44" w:rsidRPr="00335FA0">
        <w:rPr>
          <w:rFonts w:ascii="Arial" w:hAnsi="Arial" w:cs="Arial"/>
          <w:color w:val="000000" w:themeColor="text1"/>
          <w:sz w:val="22"/>
          <w:szCs w:val="22"/>
        </w:rPr>
        <w:t xml:space="preserve"> </w:t>
      </w:r>
      <w:r w:rsidR="002137B6" w:rsidRPr="00335FA0">
        <w:rPr>
          <w:rFonts w:ascii="Arial" w:hAnsi="Arial" w:cs="Arial"/>
          <w:color w:val="000000" w:themeColor="text1"/>
          <w:sz w:val="22"/>
          <w:szCs w:val="22"/>
        </w:rPr>
        <w:t xml:space="preserve">term </w:t>
      </w:r>
      <w:r w:rsidRPr="00335FA0">
        <w:rPr>
          <w:rFonts w:ascii="Arial" w:hAnsi="Arial" w:cs="Arial"/>
          <w:color w:val="000000" w:themeColor="text1"/>
          <w:sz w:val="22"/>
          <w:szCs w:val="22"/>
        </w:rPr>
        <w:t>in equation (2)</w:t>
      </w:r>
      <w:r w:rsidR="002137B6" w:rsidRPr="00335FA0">
        <w:rPr>
          <w:rFonts w:ascii="Arial" w:hAnsi="Arial" w:cs="Arial"/>
          <w:color w:val="000000" w:themeColor="text1"/>
          <w:sz w:val="22"/>
          <w:szCs w:val="22"/>
        </w:rPr>
        <w:t xml:space="preserve">, </w:t>
      </w:r>
      <w:r w:rsidR="00305CE5" w:rsidRPr="00335FA0">
        <w:rPr>
          <w:rFonts w:ascii="Arial" w:hAnsi="Arial" w:cs="Arial"/>
          <w:color w:val="000000" w:themeColor="text1"/>
          <w:sz w:val="22"/>
          <w:szCs w:val="22"/>
        </w:rPr>
        <w:t xml:space="preserve">to which we </w:t>
      </w:r>
      <w:r w:rsidR="00305CE5" w:rsidRPr="00335FA0">
        <w:rPr>
          <w:rFonts w:ascii="Arial" w:hAnsi="Arial" w:cs="Arial"/>
          <w:color w:val="000000" w:themeColor="text1"/>
          <w:sz w:val="22"/>
          <w:szCs w:val="22"/>
          <w:lang w:val="en-US"/>
        </w:rPr>
        <w:t>added the freshwater contribution from the Arctic</w:t>
      </w:r>
      <w:r w:rsidR="007A269E" w:rsidRPr="00335FA0">
        <w:rPr>
          <w:rFonts w:ascii="Arial" w:hAnsi="Arial" w:cs="Arial"/>
          <w:color w:val="000000" w:themeColor="text1"/>
          <w:sz w:val="22"/>
          <w:szCs w:val="22"/>
          <w:lang w:val="en-US"/>
        </w:rPr>
        <w:t xml:space="preserve">, i.e. ice melt (I), of </w:t>
      </w:r>
      <w:r w:rsidR="00305CE5" w:rsidRPr="00335FA0">
        <w:rPr>
          <w:rFonts w:ascii="Arial" w:hAnsi="Arial" w:cs="Arial"/>
          <w:color w:val="000000" w:themeColor="text1"/>
          <w:sz w:val="22"/>
          <w:szCs w:val="22"/>
          <w:lang w:val="en-US"/>
        </w:rPr>
        <w:t xml:space="preserve"> </w:t>
      </w:r>
      <w:r w:rsidR="00305CE5" w:rsidRPr="00335FA0">
        <w:rPr>
          <w:rFonts w:ascii="Arial" w:hAnsi="Arial" w:cs="Arial"/>
          <w:color w:val="000000" w:themeColor="text1"/>
          <w:sz w:val="22"/>
          <w:szCs w:val="22"/>
        </w:rPr>
        <w:t xml:space="preserve">0.23 ± 0.09 Sv </w:t>
      </w:r>
      <w:r w:rsidR="007A269E" w:rsidRPr="00335FA0">
        <w:rPr>
          <w:rFonts w:ascii="Arial" w:hAnsi="Arial" w:cs="Arial"/>
          <w:color w:val="000000" w:themeColor="text1"/>
          <w:sz w:val="22"/>
          <w:szCs w:val="22"/>
        </w:rPr>
        <w:t>(</w:t>
      </w:r>
      <w:r w:rsidR="00305CE5" w:rsidRPr="00335FA0">
        <w:rPr>
          <w:rFonts w:ascii="Arial" w:hAnsi="Arial" w:cs="Arial"/>
          <w:color w:val="000000" w:themeColor="text1"/>
          <w:sz w:val="22"/>
          <w:szCs w:val="22"/>
        </w:rPr>
        <w:fldChar w:fldCharType="begin"/>
      </w:r>
      <w:r w:rsidR="00305CE5" w:rsidRPr="00335FA0">
        <w:rPr>
          <w:rFonts w:ascii="Arial" w:hAnsi="Arial" w:cs="Arial"/>
          <w:color w:val="000000" w:themeColor="text1"/>
          <w:sz w:val="22"/>
          <w:szCs w:val="22"/>
        </w:rPr>
        <w:instrText xml:space="preserve"> ADDIN ZOTERO_ITEM CSL_CITATION {"citationID":"4ebJVqrY","properties":{"unsorted":true,"formattedCitation":"(Serreze et al., 2006; Holliday et al., 2018)","plainCitation":"(Serreze et al., 2006; Holliday et al., 2018)","dontUpdate":true,"noteIndex":0},"citationItems":[{"id":652,"uris":["http://zotero.org/users/951135/items/RXTDYFWS"],"uri":["http://zotero.org/users/951135/items/RXTDYFWS"],"itemData":{"id":652,"type":"article-journal","abstract":"This paper synthesizes our understanding of the Arctic's large-scale freshwater cycle. It combines terrestrial and oceanic observations with insights gained from the ERA-40 reanalysis and land surface and ice-ocean models. Annual mean freshwater input to the Arctic Ocean is dominated by river discharge (38%), inflow through Bering Strait (30%), and net precipitation (24%). Total freshwater export from the Arctic Ocean to the North Atlantic is dominated by transports through the Canadian Arctic Archipelago (35%) and via Fram Strait as liquid (26%) and sea ice (25%). All terms are computed relative to a reference salinity of 34.8. Compared to earlier estimates, our budget features larger import of freshwater through Bering Strait and larger liquid phase export through Fram Strait. While there is no reason to expect a steady state, error analysis indicates that the difference between annual mean oceanic inflows and outflows (</w:instrText>
      </w:r>
      <w:r w:rsidR="00305CE5" w:rsidRPr="00335FA0">
        <w:rPr>
          <w:rFonts w:ascii="Cambria Math" w:hAnsi="Cambria Math" w:cs="Cambria Math"/>
          <w:color w:val="000000" w:themeColor="text1"/>
          <w:sz w:val="22"/>
          <w:szCs w:val="22"/>
        </w:rPr>
        <w:instrText>∼</w:instrText>
      </w:r>
      <w:r w:rsidR="00305CE5" w:rsidRPr="00335FA0">
        <w:rPr>
          <w:rFonts w:ascii="Arial" w:hAnsi="Arial" w:cs="Arial"/>
          <w:color w:val="000000" w:themeColor="text1"/>
          <w:sz w:val="22"/>
          <w:szCs w:val="22"/>
        </w:rPr>
        <w:instrText>8% of the total inflow) is indistinguishable from zero. Freshwater in the Arctic Ocean has a mean residence time of about a decade. This is understood in that annual freshwater input, while large (</w:instrText>
      </w:r>
      <w:r w:rsidR="00305CE5" w:rsidRPr="00335FA0">
        <w:rPr>
          <w:rFonts w:ascii="Cambria Math" w:hAnsi="Cambria Math" w:cs="Cambria Math"/>
          <w:color w:val="000000" w:themeColor="text1"/>
          <w:sz w:val="22"/>
          <w:szCs w:val="22"/>
        </w:rPr>
        <w:instrText>∼</w:instrText>
      </w:r>
      <w:r w:rsidR="00305CE5" w:rsidRPr="00335FA0">
        <w:rPr>
          <w:rFonts w:ascii="Arial" w:hAnsi="Arial" w:cs="Arial"/>
          <w:color w:val="000000" w:themeColor="text1"/>
          <w:sz w:val="22"/>
          <w:szCs w:val="22"/>
        </w:rPr>
        <w:instrText xml:space="preserve">8500 km3), is an order of magnitude smaller than oceanic freshwater storage of </w:instrText>
      </w:r>
      <w:r w:rsidR="00305CE5" w:rsidRPr="00335FA0">
        <w:rPr>
          <w:rFonts w:ascii="Cambria Math" w:hAnsi="Cambria Math" w:cs="Cambria Math"/>
          <w:color w:val="000000" w:themeColor="text1"/>
          <w:sz w:val="22"/>
          <w:szCs w:val="22"/>
        </w:rPr>
        <w:instrText>∼</w:instrText>
      </w:r>
      <w:r w:rsidR="00305CE5" w:rsidRPr="00335FA0">
        <w:rPr>
          <w:rFonts w:ascii="Arial" w:hAnsi="Arial" w:cs="Arial"/>
          <w:color w:val="000000" w:themeColor="text1"/>
          <w:sz w:val="22"/>
          <w:szCs w:val="22"/>
        </w:rPr>
        <w:instrText xml:space="preserve">84,000 km3. Freshwater in the atmosphere, as water vapor, has a residence time of about a week. Seasonality in Arctic Ocean freshwater storage is nevertheless highly uncertain, reflecting both sparse hydrographic data and insufficient information on sea ice volume. Uncertainties mask seasonal storage changes forced by freshwater fluxes. Of flux terms with sufficient data for analysis, Fram Strait ice outflow shows the largest interannual variability.","container-title":"Journal of Geophysical Research: Oceans","DOI":"10.1029/2005JC003424","ISSN":"2156-2202","issue":"C11","language":"en","source":"Wiley Online Library","title":"The large-scale freshwater cycle of the Arctic","URL":"https://agupubs.onlinelibrary.wiley.com/doi/abs/10.1029/2005JC003424","volume":"111","author":[{"family":"Serreze","given":"Mark C."},{"family":"Barrett","given":"Andrew P."},{"family":"Slater","given":"Andrew G."},{"family":"Woodgate","given":"Rebecca A."},{"family":"Aagaard","given":"Knut"},{"family":"Lammers","given":"Richard B."},{"family":"Steele","given":"Michael"},{"family":"Moritz","given":"Richard"},{"family":"Meredith","given":"Michael"},{"family":"Lee","given":"Craig M."}],"accessed":{"date-parts":[["2018",10,9]]},"issued":{"date-parts":[["2006",11,1]]}}},{"id":654,"uris":["http://zotero.org/users/951135/items/2EBWJZQE"],"uri":["http://zotero.org/users/951135/items/2EBWJZQE"],"itemData":{"id":654,"type":"article-journal","abstract":"The Atlantic Meridional Overturning Circulation (AMOC) is a key component of the global climate system through its transport of heat and freshwater. The subpolar North Atlantic (SPNA) is a region where the AMOC is actively developed and shaped though mixing and water mass transformation and where large amounts of heat are released to the atmosphere. Two hydrographic transbasin sections in the summers of 2014 and 2016 provide highly spatially resolved views of the SPNA velocity and property fields on a line from Canada to Greenland to Scotland. Estimates of the AMOC, isopycnal (gyre-scale) transport, and heat and freshwater transport are derived from the observations. The overturning circulation, the maximum in northward transport integrated from the surface to seafloor and computed in density space, has a high range, with 20.6 ± 4.7 Sv in June–July 2014 and 10.6 ± 4.3 Sv in May–August 2016. In contrast, the isopycnal (gyre-scale) circulation was lowest in summer 2014: 41.3 ± 8.2 Sv compared to 58.6 ± 7.4 Sv in 2016. The heat transport (0.39 ± 0.08 PW in summer 2014, positive is northward) was highest for the section with the highest AMOC, and the freshwater transport was largest in summer 2016 when the isopycnal circulation was high (−0.25 ± 0.08 Sv). Up to 65% of the heat and freshwater transport was carried by the isopycnal circulation, with isopycnal property transport highest in the western Labrador Sea and the eastern basins (Iceland Basin to Scotland).","container-title":"Journal of Geophysical Research: Oceans","DOI":"10.1029/2018JC013841","ISSN":"2169-9291","issue":"7","language":"en","page":"4538-4559","source":"Wiley Online Library","title":"Subpolar North Atlantic Overturning and Gyre-Scale Circulation in the Summers of 2014 and 2016","volume":"123","author":[{"family":"Holliday","given":"N. P."},{"family":"Bacon","given":"S."},{"family":"Cunningham","given":"S. A."},{"family":"Gary","given":"S. F."},{"family":"Karstensen","given":"J."},{"family":"King","given":"B. A."},{"family":"Li","given":"F."},{"family":"Mcdonagh","given":"E. L."}],"issued":{"date-parts":[["2018",7,1]]}}}],"schema":"https://github.com/citation-style-language/schema/raw/master/csl-citation.json"} </w:instrText>
      </w:r>
      <w:r w:rsidR="00305CE5" w:rsidRPr="00335FA0">
        <w:rPr>
          <w:rFonts w:ascii="Arial" w:hAnsi="Arial" w:cs="Arial"/>
          <w:color w:val="000000" w:themeColor="text1"/>
          <w:sz w:val="22"/>
          <w:szCs w:val="22"/>
        </w:rPr>
        <w:fldChar w:fldCharType="separate"/>
      </w:r>
      <w:r w:rsidR="00305CE5" w:rsidRPr="00335FA0">
        <w:rPr>
          <w:rFonts w:ascii="Arial" w:hAnsi="Arial" w:cs="Arial"/>
          <w:color w:val="000000" w:themeColor="text1"/>
          <w:sz w:val="22"/>
          <w:szCs w:val="22"/>
        </w:rPr>
        <w:t>Serreze et al., 2006; Holliday et al., 2018)</w:t>
      </w:r>
      <w:r w:rsidR="00305CE5" w:rsidRPr="00335FA0">
        <w:rPr>
          <w:rFonts w:ascii="Arial" w:hAnsi="Arial" w:cs="Arial"/>
          <w:color w:val="000000" w:themeColor="text1"/>
          <w:sz w:val="22"/>
          <w:szCs w:val="22"/>
          <w:lang w:val="en-US"/>
        </w:rPr>
        <w:fldChar w:fldCharType="end"/>
      </w:r>
      <w:r w:rsidR="00C71F44" w:rsidRPr="00335FA0">
        <w:rPr>
          <w:rFonts w:ascii="Arial" w:hAnsi="Arial" w:cs="Arial"/>
          <w:color w:val="000000" w:themeColor="text1"/>
          <w:sz w:val="22"/>
          <w:szCs w:val="22"/>
        </w:rPr>
        <w:t xml:space="preserve">. </w:t>
      </w:r>
      <w:r w:rsidR="00305CE5" w:rsidRPr="00335FA0">
        <w:rPr>
          <w:rFonts w:ascii="Arial" w:hAnsi="Arial" w:cs="Arial"/>
          <w:color w:val="000000" w:themeColor="text1"/>
          <w:sz w:val="22"/>
          <w:szCs w:val="22"/>
          <w:lang w:val="en-US"/>
        </w:rPr>
        <w:t>By means of</w:t>
      </w:r>
      <w:r w:rsidRPr="00335FA0">
        <w:rPr>
          <w:rFonts w:ascii="Arial" w:hAnsi="Arial" w:cs="Arial"/>
          <w:color w:val="000000" w:themeColor="text1"/>
          <w:sz w:val="22"/>
          <w:szCs w:val="22"/>
        </w:rPr>
        <w:t xml:space="preserve"> </w:t>
      </w:r>
      <w:r w:rsidR="000646AB" w:rsidRPr="00335FA0">
        <w:rPr>
          <w:rFonts w:ascii="Arial" w:hAnsi="Arial" w:cs="Arial"/>
          <w:color w:val="000000" w:themeColor="text1"/>
          <w:sz w:val="22"/>
          <w:szCs w:val="22"/>
        </w:rPr>
        <w:t xml:space="preserve">the </w:t>
      </w:r>
      <w:r w:rsidRPr="00335FA0">
        <w:rPr>
          <w:rFonts w:ascii="Arial" w:hAnsi="Arial" w:cs="Arial"/>
          <w:color w:val="000000" w:themeColor="text1"/>
          <w:sz w:val="22"/>
          <w:szCs w:val="22"/>
        </w:rPr>
        <w:t>ERA-Iterim reanalysis data (https://www.ecmwf.int)</w:t>
      </w:r>
      <w:r w:rsidRPr="00335FA0">
        <w:rPr>
          <w:rFonts w:ascii="Arial" w:hAnsi="Arial" w:cs="Arial"/>
          <w:color w:val="000000" w:themeColor="text1"/>
          <w:sz w:val="22"/>
          <w:szCs w:val="22"/>
          <w:lang w:val="en-US"/>
        </w:rPr>
        <w:t xml:space="preserve">, </w:t>
      </w:r>
      <w:r w:rsidR="00305CE5" w:rsidRPr="00335FA0">
        <w:rPr>
          <w:rFonts w:ascii="Arial" w:hAnsi="Arial" w:cs="Arial"/>
          <w:color w:val="000000" w:themeColor="text1"/>
          <w:sz w:val="22"/>
          <w:szCs w:val="22"/>
        </w:rPr>
        <w:t xml:space="preserve">we obtained </w:t>
      </w:r>
      <w:r w:rsidR="000646AB" w:rsidRPr="00335FA0">
        <w:rPr>
          <w:rFonts w:ascii="Arial" w:hAnsi="Arial" w:cs="Arial"/>
          <w:color w:val="000000" w:themeColor="text1"/>
          <w:sz w:val="22"/>
          <w:szCs w:val="22"/>
        </w:rPr>
        <w:t xml:space="preserve">a </w:t>
      </w:r>
      <w:r w:rsidR="00305CE5" w:rsidRPr="00335FA0">
        <w:rPr>
          <w:rFonts w:ascii="Arial" w:hAnsi="Arial" w:cs="Arial"/>
          <w:color w:val="000000" w:themeColor="text1"/>
          <w:sz w:val="22"/>
          <w:szCs w:val="22"/>
          <w:lang w:val="en-US"/>
        </w:rPr>
        <w:t>P-E+R</w:t>
      </w:r>
      <w:r w:rsidR="007A269E" w:rsidRPr="00335FA0">
        <w:rPr>
          <w:rFonts w:ascii="Arial" w:hAnsi="Arial" w:cs="Arial"/>
          <w:color w:val="000000" w:themeColor="text1"/>
          <w:sz w:val="22"/>
          <w:szCs w:val="22"/>
          <w:lang w:val="en-US"/>
        </w:rPr>
        <w:t xml:space="preserve"> </w:t>
      </w:r>
      <w:r w:rsidR="000646AB" w:rsidRPr="00335FA0">
        <w:rPr>
          <w:rFonts w:ascii="Arial" w:hAnsi="Arial" w:cs="Arial"/>
          <w:color w:val="000000" w:themeColor="text1"/>
          <w:sz w:val="22"/>
          <w:szCs w:val="22"/>
        </w:rPr>
        <w:t xml:space="preserve">estimate </w:t>
      </w:r>
      <w:r w:rsidR="00C71F44" w:rsidRPr="00335FA0">
        <w:rPr>
          <w:rFonts w:ascii="Arial" w:hAnsi="Arial" w:cs="Arial"/>
          <w:color w:val="000000" w:themeColor="text1"/>
          <w:sz w:val="22"/>
          <w:szCs w:val="22"/>
          <w:lang w:val="en-US"/>
        </w:rPr>
        <w:t>of</w:t>
      </w:r>
      <w:r w:rsidRPr="00335FA0">
        <w:rPr>
          <w:rFonts w:ascii="Arial" w:hAnsi="Arial" w:cs="Arial"/>
          <w:color w:val="000000" w:themeColor="text1"/>
          <w:sz w:val="22"/>
          <w:szCs w:val="22"/>
          <w:lang w:val="en-US"/>
        </w:rPr>
        <w:t xml:space="preserve"> -0.18 Sv in 2004, and -0.09 Sv in 2010 </w:t>
      </w:r>
      <w:r w:rsidRPr="00335FA0">
        <w:rPr>
          <w:rFonts w:ascii="Arial" w:hAnsi="Arial" w:cs="Arial"/>
          <w:color w:val="000000" w:themeColor="text1"/>
          <w:sz w:val="22"/>
          <w:szCs w:val="22"/>
        </w:rPr>
        <w:t>(P-E is shown in</w:t>
      </w:r>
      <w:r w:rsidRPr="00335FA0">
        <w:rPr>
          <w:rFonts w:ascii="Arial" w:hAnsi="Arial" w:cs="Arial"/>
          <w:color w:val="000000" w:themeColor="text1"/>
          <w:sz w:val="22"/>
          <w:szCs w:val="22"/>
          <w:lang w:val="en-US"/>
        </w:rPr>
        <w:t xml:space="preserve"> Figure </w:t>
      </w:r>
      <w:r w:rsidR="0067656C" w:rsidRPr="00335FA0">
        <w:rPr>
          <w:rFonts w:ascii="Arial" w:hAnsi="Arial" w:cs="Arial"/>
          <w:color w:val="000000" w:themeColor="text1"/>
          <w:sz w:val="22"/>
          <w:szCs w:val="22"/>
          <w:lang w:val="en-US"/>
        </w:rPr>
        <w:t>S</w:t>
      </w:r>
      <w:r w:rsidR="009C1D53">
        <w:rPr>
          <w:rFonts w:ascii="Arial" w:hAnsi="Arial" w:cs="Arial"/>
          <w:color w:val="000000" w:themeColor="text1"/>
          <w:sz w:val="22"/>
          <w:szCs w:val="22"/>
          <w:lang w:val="en-US"/>
        </w:rPr>
        <w:t>3</w:t>
      </w:r>
      <w:r w:rsidRPr="00335FA0">
        <w:rPr>
          <w:rFonts w:ascii="Arial" w:hAnsi="Arial" w:cs="Arial"/>
          <w:color w:val="000000" w:themeColor="text1"/>
          <w:sz w:val="22"/>
          <w:szCs w:val="22"/>
          <w:lang w:val="en-US"/>
        </w:rPr>
        <w:t xml:space="preserve">, to which we added a river runoff contribution, R, of 0.06 Sv). </w:t>
      </w:r>
      <w:r w:rsidR="00305CE5" w:rsidRPr="00335FA0">
        <w:rPr>
          <w:rFonts w:ascii="Arial" w:hAnsi="Arial" w:cs="Arial"/>
          <w:color w:val="000000" w:themeColor="text1"/>
          <w:sz w:val="22"/>
          <w:szCs w:val="22"/>
          <w:lang w:val="en-US"/>
        </w:rPr>
        <w:t>Added to the freshwater contribution from the Arctic</w:t>
      </w:r>
      <w:r w:rsidR="007A269E" w:rsidRPr="00335FA0">
        <w:rPr>
          <w:rFonts w:ascii="Arial" w:hAnsi="Arial" w:cs="Arial"/>
          <w:color w:val="000000" w:themeColor="text1"/>
          <w:sz w:val="22"/>
          <w:szCs w:val="22"/>
          <w:lang w:val="en-US"/>
        </w:rPr>
        <w:t xml:space="preserve"> (I)</w:t>
      </w:r>
      <w:r w:rsidR="00305CE5" w:rsidRPr="00335FA0">
        <w:rPr>
          <w:rFonts w:ascii="Arial" w:hAnsi="Arial" w:cs="Arial"/>
          <w:color w:val="000000" w:themeColor="text1"/>
          <w:sz w:val="22"/>
          <w:szCs w:val="22"/>
          <w:lang w:val="en-US"/>
        </w:rPr>
        <w:t>,</w:t>
      </w:r>
      <w:r w:rsidRPr="00335FA0">
        <w:rPr>
          <w:rFonts w:ascii="Arial" w:hAnsi="Arial" w:cs="Arial"/>
          <w:color w:val="000000" w:themeColor="text1"/>
          <w:sz w:val="22"/>
          <w:szCs w:val="22"/>
          <w:lang w:val="en-US"/>
        </w:rPr>
        <w:t xml:space="preserve"> this le</w:t>
      </w:r>
      <w:r w:rsidR="00305CE5" w:rsidRPr="00335FA0">
        <w:rPr>
          <w:rFonts w:ascii="Arial" w:hAnsi="Arial" w:cs="Arial"/>
          <w:color w:val="000000" w:themeColor="text1"/>
          <w:sz w:val="22"/>
          <w:szCs w:val="22"/>
          <w:lang w:val="en-US"/>
        </w:rPr>
        <w:t>d</w:t>
      </w:r>
      <w:r w:rsidRPr="00335FA0">
        <w:rPr>
          <w:rFonts w:ascii="Arial" w:hAnsi="Arial" w:cs="Arial"/>
          <w:color w:val="000000" w:themeColor="text1"/>
          <w:sz w:val="22"/>
          <w:szCs w:val="22"/>
          <w:lang w:val="en-US"/>
        </w:rPr>
        <w:t xml:space="preserve"> to a net freshwater balance</w:t>
      </w:r>
      <w:r w:rsidR="007A269E" w:rsidRPr="00335FA0">
        <w:rPr>
          <w:rFonts w:ascii="Arial" w:hAnsi="Arial" w:cs="Arial"/>
          <w:color w:val="000000" w:themeColor="text1"/>
          <w:sz w:val="22"/>
          <w:szCs w:val="22"/>
          <w:lang w:val="en-US"/>
        </w:rPr>
        <w:t xml:space="preserve"> (P-E+R+I)</w:t>
      </w:r>
      <w:r w:rsidRPr="00335FA0">
        <w:rPr>
          <w:rFonts w:ascii="Arial" w:hAnsi="Arial" w:cs="Arial"/>
          <w:color w:val="000000" w:themeColor="text1"/>
          <w:sz w:val="22"/>
          <w:szCs w:val="22"/>
          <w:lang w:val="en-US"/>
        </w:rPr>
        <w:t xml:space="preserve"> </w:t>
      </w:r>
      <w:r w:rsidR="000646AB" w:rsidRPr="00335FA0">
        <w:rPr>
          <w:rFonts w:ascii="Arial" w:hAnsi="Arial" w:cs="Arial"/>
          <w:color w:val="000000" w:themeColor="text1"/>
          <w:sz w:val="22"/>
          <w:szCs w:val="22"/>
        </w:rPr>
        <w:t xml:space="preserve">within the limits of the </w:t>
      </w:r>
      <w:r w:rsidR="000646AB" w:rsidRPr="00335FA0">
        <w:rPr>
          <w:rFonts w:ascii="Arial" w:hAnsi="Arial" w:cs="Arial"/>
          <w:color w:val="000000" w:themeColor="text1"/>
          <w:sz w:val="22"/>
          <w:szCs w:val="22"/>
          <w:lang w:val="en-US"/>
        </w:rPr>
        <w:t xml:space="preserve">NA-box (plus Mediterranean Sea) </w:t>
      </w:r>
      <w:r w:rsidRPr="00335FA0">
        <w:rPr>
          <w:rFonts w:ascii="Arial" w:hAnsi="Arial" w:cs="Arial"/>
          <w:color w:val="000000" w:themeColor="text1"/>
          <w:sz w:val="22"/>
          <w:szCs w:val="22"/>
          <w:lang w:val="en-US"/>
        </w:rPr>
        <w:t xml:space="preserve">of 0.05 Sv in 2004 and 0.14 Sv in 2010, </w:t>
      </w:r>
      <w:r w:rsidR="000646AB" w:rsidRPr="00335FA0">
        <w:rPr>
          <w:rFonts w:ascii="Arial" w:hAnsi="Arial" w:cs="Arial"/>
          <w:color w:val="000000" w:themeColor="text1"/>
          <w:sz w:val="22"/>
          <w:szCs w:val="22"/>
          <w:lang w:val="en-US"/>
        </w:rPr>
        <w:t>values that</w:t>
      </w:r>
      <w:r w:rsidRPr="00335FA0">
        <w:rPr>
          <w:rFonts w:ascii="Arial" w:hAnsi="Arial" w:cs="Arial"/>
          <w:color w:val="000000" w:themeColor="text1"/>
          <w:sz w:val="22"/>
          <w:szCs w:val="22"/>
          <w:lang w:val="en-US"/>
        </w:rPr>
        <w:t xml:space="preserve"> halves our freshwater </w:t>
      </w:r>
      <w:r w:rsidR="00F96CB6" w:rsidRPr="00335FA0">
        <w:rPr>
          <w:rFonts w:ascii="Arial" w:hAnsi="Arial" w:cs="Arial"/>
          <w:color w:val="000000" w:themeColor="text1"/>
          <w:sz w:val="22"/>
          <w:szCs w:val="22"/>
          <w:lang w:val="en-US"/>
        </w:rPr>
        <w:t>im</w:t>
      </w:r>
      <w:r w:rsidRPr="00335FA0">
        <w:rPr>
          <w:rFonts w:ascii="Arial" w:hAnsi="Arial" w:cs="Arial"/>
          <w:color w:val="000000" w:themeColor="text1"/>
          <w:sz w:val="22"/>
          <w:szCs w:val="22"/>
          <w:lang w:val="en-US"/>
        </w:rPr>
        <w:t>balance</w:t>
      </w:r>
      <w:r w:rsidR="00F96CB6" w:rsidRPr="00335FA0">
        <w:rPr>
          <w:rFonts w:ascii="Arial" w:hAnsi="Arial" w:cs="Arial"/>
          <w:color w:val="000000" w:themeColor="text1"/>
          <w:sz w:val="22"/>
          <w:szCs w:val="22"/>
          <w:lang w:val="en-US"/>
        </w:rPr>
        <w:t>s</w:t>
      </w:r>
      <w:r w:rsidRPr="00335FA0">
        <w:rPr>
          <w:rFonts w:ascii="Arial" w:hAnsi="Arial" w:cs="Arial"/>
          <w:color w:val="000000" w:themeColor="text1"/>
          <w:sz w:val="22"/>
          <w:szCs w:val="22"/>
          <w:lang w:val="en-US"/>
        </w:rPr>
        <w:t xml:space="preserve"> after applying the salt</w:t>
      </w:r>
      <w:r w:rsidR="00305CE5" w:rsidRPr="00335FA0">
        <w:rPr>
          <w:rFonts w:ascii="Arial" w:hAnsi="Arial" w:cs="Arial"/>
          <w:color w:val="000000" w:themeColor="text1"/>
          <w:sz w:val="22"/>
          <w:szCs w:val="22"/>
          <w:lang w:val="en-US"/>
        </w:rPr>
        <w:t xml:space="preserve"> and volume</w:t>
      </w:r>
      <w:r w:rsidRPr="00335FA0">
        <w:rPr>
          <w:rFonts w:ascii="Arial" w:hAnsi="Arial" w:cs="Arial"/>
          <w:color w:val="000000" w:themeColor="text1"/>
          <w:sz w:val="22"/>
          <w:szCs w:val="22"/>
          <w:lang w:val="en-US"/>
        </w:rPr>
        <w:t xml:space="preserve"> conservation constraint</w:t>
      </w:r>
      <w:r w:rsidR="000646AB" w:rsidRPr="00335FA0">
        <w:rPr>
          <w:rFonts w:ascii="Arial" w:hAnsi="Arial" w:cs="Arial"/>
          <w:color w:val="000000" w:themeColor="text1"/>
          <w:sz w:val="22"/>
          <w:szCs w:val="22"/>
          <w:lang w:val="en-US"/>
        </w:rPr>
        <w:t>s</w:t>
      </w:r>
      <w:r w:rsidRPr="00335FA0">
        <w:rPr>
          <w:rFonts w:ascii="Arial" w:hAnsi="Arial" w:cs="Arial"/>
          <w:color w:val="000000" w:themeColor="text1"/>
          <w:sz w:val="22"/>
          <w:szCs w:val="22"/>
          <w:lang w:val="en-US"/>
        </w:rPr>
        <w:t xml:space="preserve">. </w:t>
      </w:r>
    </w:p>
    <w:p w14:paraId="450D422C" w14:textId="2E737A80" w:rsidR="00E1460D" w:rsidRPr="004E2840" w:rsidRDefault="00E1460D" w:rsidP="00E1460D">
      <w:pPr>
        <w:pStyle w:val="SMHeading"/>
        <w:spacing w:after="120" w:line="360" w:lineRule="auto"/>
        <w:rPr>
          <w:rFonts w:ascii="Arial" w:hAnsi="Arial" w:cs="Arial"/>
          <w:color w:val="000000" w:themeColor="text1"/>
          <w:sz w:val="22"/>
          <w:szCs w:val="22"/>
        </w:rPr>
      </w:pPr>
      <w:r w:rsidRPr="002137B6">
        <w:rPr>
          <w:rFonts w:ascii="Arial" w:hAnsi="Arial" w:cs="Arial"/>
          <w:color w:val="000000" w:themeColor="text1"/>
          <w:sz w:val="22"/>
          <w:szCs w:val="22"/>
        </w:rPr>
        <w:t>Text S4.</w:t>
      </w:r>
      <w:r w:rsidRPr="004E2840">
        <w:rPr>
          <w:rFonts w:ascii="Arial" w:hAnsi="Arial" w:cs="Arial"/>
          <w:color w:val="000000" w:themeColor="text1"/>
          <w:sz w:val="22"/>
          <w:szCs w:val="22"/>
        </w:rPr>
        <w:t xml:space="preserve"> </w:t>
      </w:r>
      <w:r w:rsidRPr="004E2840">
        <w:rPr>
          <w:rFonts w:ascii="Arial" w:hAnsi="Arial" w:cs="Arial"/>
          <w:color w:val="000000" w:themeColor="text1"/>
          <w:sz w:val="22"/>
          <w:szCs w:val="22"/>
          <w:lang w:val="en-US"/>
        </w:rPr>
        <w:t>Representativeness of the 2004 and 2010 quasi-synoptic nutrient transport estimates</w:t>
      </w:r>
    </w:p>
    <w:p w14:paraId="28B07557" w14:textId="54D30BC3" w:rsidR="00E1460D" w:rsidRPr="00335FA0" w:rsidRDefault="00E1460D" w:rsidP="00E1460D">
      <w:pPr>
        <w:spacing w:after="120" w:line="360" w:lineRule="auto"/>
        <w:jc w:val="both"/>
        <w:rPr>
          <w:rFonts w:ascii="Arial" w:hAnsi="Arial" w:cs="Arial"/>
          <w:color w:val="000000" w:themeColor="text1"/>
          <w:sz w:val="22"/>
          <w:szCs w:val="22"/>
        </w:rPr>
      </w:pPr>
      <w:r w:rsidRPr="00335FA0">
        <w:rPr>
          <w:rFonts w:ascii="Arial" w:hAnsi="Arial" w:cs="Arial"/>
          <w:color w:val="000000" w:themeColor="text1"/>
          <w:sz w:val="22"/>
          <w:szCs w:val="22"/>
        </w:rPr>
        <w:t>The meridional transport of nutrients is subject to intra</w:t>
      </w:r>
      <w:r w:rsidR="003E44F2" w:rsidRPr="00335FA0">
        <w:rPr>
          <w:rFonts w:ascii="Arial" w:hAnsi="Arial" w:cs="Arial"/>
          <w:color w:val="000000" w:themeColor="text1"/>
          <w:sz w:val="22"/>
          <w:szCs w:val="22"/>
        </w:rPr>
        <w:t>-annual</w:t>
      </w:r>
      <w:r w:rsidRPr="00335FA0">
        <w:rPr>
          <w:rFonts w:ascii="Arial" w:hAnsi="Arial" w:cs="Arial"/>
          <w:color w:val="000000" w:themeColor="text1"/>
          <w:sz w:val="22"/>
          <w:szCs w:val="22"/>
        </w:rPr>
        <w:t xml:space="preserve"> to interannual variability</w:t>
      </w:r>
      <w:r w:rsidR="00335FA0">
        <w:rPr>
          <w:rFonts w:ascii="Arial" w:hAnsi="Arial" w:cs="Arial"/>
          <w:color w:val="000000" w:themeColor="text1"/>
          <w:sz w:val="22"/>
          <w:szCs w:val="22"/>
        </w:rPr>
        <w:t xml:space="preserve">. </w:t>
      </w:r>
      <w:r w:rsidRPr="00335FA0">
        <w:rPr>
          <w:rFonts w:ascii="Arial" w:hAnsi="Arial" w:cs="Arial"/>
          <w:color w:val="000000" w:themeColor="text1"/>
          <w:sz w:val="22"/>
          <w:szCs w:val="22"/>
        </w:rPr>
        <w:t>This is a particularly important consideration when combining hydrographic sections carried out in different times of the year</w:t>
      </w:r>
      <w:r w:rsidR="003E44F2" w:rsidRPr="00335FA0">
        <w:rPr>
          <w:rFonts w:ascii="Arial" w:hAnsi="Arial" w:cs="Arial"/>
          <w:color w:val="000000" w:themeColor="text1"/>
          <w:sz w:val="22"/>
          <w:szCs w:val="22"/>
        </w:rPr>
        <w:t xml:space="preserve"> with the purpose of assessing tracer budgets</w:t>
      </w:r>
      <w:r w:rsidRPr="00335FA0">
        <w:rPr>
          <w:rFonts w:ascii="Arial" w:hAnsi="Arial" w:cs="Arial"/>
          <w:color w:val="000000" w:themeColor="text1"/>
          <w:sz w:val="22"/>
          <w:szCs w:val="22"/>
        </w:rPr>
        <w:t xml:space="preserve">, since such variability could be aliasing the results. To better understand the representativeness of our quasi-synoptic cruise estimates compared to a mean state of circulation and the impact on our final budget estimates, in this section we aim to </w:t>
      </w:r>
      <w:r w:rsidR="000A6028" w:rsidRPr="00335FA0">
        <w:rPr>
          <w:rFonts w:ascii="Arial" w:hAnsi="Arial" w:cs="Arial"/>
          <w:color w:val="000000" w:themeColor="text1"/>
          <w:sz w:val="22"/>
          <w:szCs w:val="22"/>
        </w:rPr>
        <w:t>evaluate</w:t>
      </w:r>
      <w:r w:rsidRPr="00335FA0">
        <w:rPr>
          <w:rFonts w:ascii="Arial" w:hAnsi="Arial" w:cs="Arial"/>
          <w:color w:val="000000" w:themeColor="text1"/>
          <w:sz w:val="22"/>
          <w:szCs w:val="22"/>
        </w:rPr>
        <w:t xml:space="preserve">, </w:t>
      </w:r>
      <w:r w:rsidRPr="00335FA0">
        <w:rPr>
          <w:rFonts w:ascii="Arial" w:hAnsi="Arial" w:cs="Arial"/>
          <w:color w:val="000000" w:themeColor="text1"/>
          <w:sz w:val="22"/>
          <w:szCs w:val="22"/>
          <w:lang w:val="en"/>
        </w:rPr>
        <w:t>to the extent of data availability and the methodological limitations,</w:t>
      </w:r>
      <w:r w:rsidRPr="00335FA0">
        <w:rPr>
          <w:rFonts w:ascii="Arial" w:hAnsi="Arial" w:cs="Arial"/>
          <w:color w:val="000000" w:themeColor="text1"/>
          <w:sz w:val="22"/>
          <w:szCs w:val="22"/>
        </w:rPr>
        <w:t xml:space="preserve"> the intra to interannual range of variability. </w:t>
      </w:r>
    </w:p>
    <w:p w14:paraId="14925EE7" w14:textId="761426B8" w:rsidR="00E1460D" w:rsidRPr="00335FA0" w:rsidRDefault="00E1460D" w:rsidP="00E1460D">
      <w:pPr>
        <w:pStyle w:val="SMHeading"/>
        <w:spacing w:after="120" w:line="360" w:lineRule="auto"/>
        <w:jc w:val="both"/>
        <w:outlineLvl w:val="9"/>
        <w:rPr>
          <w:rFonts w:ascii="Arial" w:hAnsi="Arial" w:cs="Arial"/>
          <w:b w:val="0"/>
          <w:color w:val="000000" w:themeColor="text1"/>
          <w:sz w:val="22"/>
          <w:szCs w:val="22"/>
        </w:rPr>
      </w:pPr>
      <w:r w:rsidRPr="00335FA0">
        <w:rPr>
          <w:rFonts w:ascii="Arial" w:hAnsi="Arial" w:cs="Arial"/>
          <w:b w:val="0"/>
          <w:color w:val="000000" w:themeColor="text1"/>
          <w:sz w:val="22"/>
          <w:szCs w:val="22"/>
        </w:rPr>
        <w:t xml:space="preserve">At the OVIDE section, we obtained net nutrient transports of </w:t>
      </w:r>
      <w:r w:rsidR="00C5711E" w:rsidRPr="00335FA0">
        <w:rPr>
          <w:rFonts w:ascii="Arial" w:hAnsi="Arial" w:cs="Arial"/>
          <w:b w:val="0"/>
          <w:color w:val="000000" w:themeColor="text1"/>
          <w:sz w:val="22"/>
          <w:szCs w:val="22"/>
        </w:rPr>
        <w:t>-</w:t>
      </w:r>
      <w:r w:rsidRPr="00335FA0">
        <w:rPr>
          <w:rFonts w:ascii="Arial" w:hAnsi="Arial" w:cs="Arial"/>
          <w:b w:val="0"/>
          <w:color w:val="000000" w:themeColor="text1"/>
          <w:sz w:val="22"/>
          <w:szCs w:val="22"/>
        </w:rPr>
        <w:t>1</w:t>
      </w:r>
      <w:r w:rsidR="00C5711E" w:rsidRPr="00335FA0">
        <w:rPr>
          <w:rFonts w:ascii="Arial" w:hAnsi="Arial" w:cs="Arial"/>
          <w:b w:val="0"/>
          <w:color w:val="000000" w:themeColor="text1"/>
          <w:sz w:val="22"/>
          <w:szCs w:val="22"/>
        </w:rPr>
        <w:t>1</w:t>
      </w:r>
      <w:r w:rsidRPr="00335FA0">
        <w:rPr>
          <w:rFonts w:ascii="Arial" w:hAnsi="Arial" w:cs="Arial"/>
          <w:b w:val="0"/>
          <w:color w:val="000000" w:themeColor="text1"/>
          <w:sz w:val="22"/>
          <w:szCs w:val="22"/>
        </w:rPr>
        <w:t xml:space="preserve"> ± 2</w:t>
      </w:r>
      <w:r w:rsidR="00C5711E" w:rsidRPr="00335FA0">
        <w:rPr>
          <w:rFonts w:ascii="Arial" w:hAnsi="Arial" w:cs="Arial"/>
          <w:b w:val="0"/>
          <w:color w:val="000000" w:themeColor="text1"/>
          <w:sz w:val="22"/>
          <w:szCs w:val="22"/>
        </w:rPr>
        <w:t>8</w:t>
      </w:r>
      <w:r w:rsidRPr="00335FA0">
        <w:rPr>
          <w:rFonts w:ascii="Arial" w:hAnsi="Arial" w:cs="Arial"/>
          <w:b w:val="0"/>
          <w:color w:val="000000" w:themeColor="text1"/>
          <w:sz w:val="22"/>
          <w:szCs w:val="22"/>
        </w:rPr>
        <w:t xml:space="preserve"> kmol-Si s</w:t>
      </w:r>
      <w:r w:rsidRPr="00335FA0">
        <w:rPr>
          <w:rFonts w:ascii="Arial" w:hAnsi="Arial" w:cs="Arial"/>
          <w:b w:val="0"/>
          <w:color w:val="000000" w:themeColor="text1"/>
          <w:sz w:val="22"/>
          <w:szCs w:val="22"/>
          <w:vertAlign w:val="superscript"/>
        </w:rPr>
        <w:t>-1</w:t>
      </w:r>
      <w:r w:rsidRPr="00335FA0">
        <w:rPr>
          <w:rFonts w:ascii="Arial" w:hAnsi="Arial" w:cs="Arial"/>
          <w:b w:val="0"/>
          <w:color w:val="000000" w:themeColor="text1"/>
          <w:sz w:val="22"/>
          <w:szCs w:val="22"/>
        </w:rPr>
        <w:t xml:space="preserve">, </w:t>
      </w:r>
      <w:r w:rsidR="00C5711E" w:rsidRPr="00335FA0">
        <w:rPr>
          <w:rFonts w:ascii="Arial" w:hAnsi="Arial" w:cs="Arial"/>
          <w:b w:val="0"/>
          <w:color w:val="000000" w:themeColor="text1"/>
          <w:sz w:val="22"/>
          <w:szCs w:val="22"/>
        </w:rPr>
        <w:t>4.4</w:t>
      </w:r>
      <w:r w:rsidRPr="00335FA0">
        <w:rPr>
          <w:rFonts w:ascii="Arial" w:hAnsi="Arial" w:cs="Arial"/>
          <w:b w:val="0"/>
          <w:color w:val="000000" w:themeColor="text1"/>
          <w:sz w:val="22"/>
          <w:szCs w:val="22"/>
        </w:rPr>
        <w:t xml:space="preserve"> ± </w:t>
      </w:r>
      <w:r w:rsidR="00C5711E" w:rsidRPr="00335FA0">
        <w:rPr>
          <w:rFonts w:ascii="Arial" w:hAnsi="Arial" w:cs="Arial"/>
          <w:b w:val="0"/>
          <w:color w:val="000000" w:themeColor="text1"/>
          <w:sz w:val="22"/>
          <w:szCs w:val="22"/>
        </w:rPr>
        <w:t>16</w:t>
      </w:r>
      <w:r w:rsidRPr="00335FA0">
        <w:rPr>
          <w:rFonts w:ascii="Arial" w:hAnsi="Arial" w:cs="Arial"/>
          <w:b w:val="0"/>
          <w:color w:val="000000" w:themeColor="text1"/>
          <w:sz w:val="22"/>
          <w:szCs w:val="22"/>
        </w:rPr>
        <w:t xml:space="preserve"> kmol-N s</w:t>
      </w:r>
      <w:r w:rsidRPr="00335FA0">
        <w:rPr>
          <w:rFonts w:ascii="Arial" w:hAnsi="Arial" w:cs="Arial"/>
          <w:b w:val="0"/>
          <w:color w:val="000000" w:themeColor="text1"/>
          <w:sz w:val="22"/>
          <w:szCs w:val="22"/>
          <w:vertAlign w:val="superscript"/>
        </w:rPr>
        <w:t>-1</w:t>
      </w:r>
      <w:r w:rsidRPr="00335FA0">
        <w:rPr>
          <w:rFonts w:ascii="Arial" w:hAnsi="Arial" w:cs="Arial"/>
          <w:b w:val="0"/>
          <w:color w:val="000000" w:themeColor="text1"/>
          <w:sz w:val="22"/>
          <w:szCs w:val="22"/>
        </w:rPr>
        <w:t xml:space="preserve">, and </w:t>
      </w:r>
      <w:r w:rsidR="00C5711E" w:rsidRPr="00335FA0">
        <w:rPr>
          <w:rFonts w:ascii="Arial" w:hAnsi="Arial" w:cs="Arial"/>
          <w:b w:val="0"/>
          <w:color w:val="000000" w:themeColor="text1"/>
          <w:sz w:val="22"/>
          <w:szCs w:val="22"/>
        </w:rPr>
        <w:t>1.1</w:t>
      </w:r>
      <w:r w:rsidRPr="00335FA0">
        <w:rPr>
          <w:rFonts w:ascii="Arial" w:hAnsi="Arial" w:cs="Arial"/>
          <w:b w:val="0"/>
          <w:color w:val="000000" w:themeColor="text1"/>
          <w:sz w:val="22"/>
          <w:szCs w:val="22"/>
        </w:rPr>
        <w:t xml:space="preserve"> ± </w:t>
      </w:r>
      <w:r w:rsidR="00C5711E" w:rsidRPr="00335FA0">
        <w:rPr>
          <w:rFonts w:ascii="Arial" w:hAnsi="Arial" w:cs="Arial"/>
          <w:b w:val="0"/>
          <w:color w:val="000000" w:themeColor="text1"/>
          <w:sz w:val="22"/>
          <w:szCs w:val="22"/>
        </w:rPr>
        <w:t>1.1</w:t>
      </w:r>
      <w:r w:rsidRPr="00335FA0">
        <w:rPr>
          <w:rFonts w:ascii="Arial" w:hAnsi="Arial" w:cs="Arial"/>
          <w:b w:val="0"/>
          <w:color w:val="000000" w:themeColor="text1"/>
          <w:sz w:val="22"/>
          <w:szCs w:val="22"/>
        </w:rPr>
        <w:t xml:space="preserve"> kmol-P s</w:t>
      </w:r>
      <w:r w:rsidRPr="00335FA0">
        <w:rPr>
          <w:rFonts w:ascii="Arial" w:hAnsi="Arial" w:cs="Arial"/>
          <w:b w:val="0"/>
          <w:color w:val="000000" w:themeColor="text1"/>
          <w:sz w:val="22"/>
          <w:szCs w:val="22"/>
          <w:vertAlign w:val="superscript"/>
        </w:rPr>
        <w:t>-1</w:t>
      </w:r>
      <w:r w:rsidRPr="00335FA0">
        <w:rPr>
          <w:rFonts w:ascii="Arial" w:hAnsi="Arial" w:cs="Arial"/>
          <w:b w:val="0"/>
          <w:color w:val="000000" w:themeColor="text1"/>
          <w:sz w:val="22"/>
          <w:szCs w:val="22"/>
        </w:rPr>
        <w:t xml:space="preserve"> in 2004, and 8</w:t>
      </w:r>
      <w:r w:rsidR="00C5711E" w:rsidRPr="00335FA0">
        <w:rPr>
          <w:rFonts w:ascii="Arial" w:hAnsi="Arial" w:cs="Arial"/>
          <w:b w:val="0"/>
          <w:color w:val="000000" w:themeColor="text1"/>
          <w:sz w:val="22"/>
          <w:szCs w:val="22"/>
        </w:rPr>
        <w:t>1</w:t>
      </w:r>
      <w:r w:rsidRPr="00335FA0">
        <w:rPr>
          <w:rFonts w:ascii="Arial" w:hAnsi="Arial" w:cs="Arial"/>
          <w:b w:val="0"/>
          <w:color w:val="000000" w:themeColor="text1"/>
          <w:sz w:val="22"/>
          <w:szCs w:val="22"/>
        </w:rPr>
        <w:t xml:space="preserve"> ± </w:t>
      </w:r>
      <w:r w:rsidR="00C5711E" w:rsidRPr="00335FA0">
        <w:rPr>
          <w:rFonts w:ascii="Arial" w:hAnsi="Arial" w:cs="Arial"/>
          <w:b w:val="0"/>
          <w:color w:val="000000" w:themeColor="text1"/>
          <w:sz w:val="22"/>
          <w:szCs w:val="22"/>
        </w:rPr>
        <w:t>49</w:t>
      </w:r>
      <w:r w:rsidRPr="00335FA0">
        <w:rPr>
          <w:rFonts w:ascii="Arial" w:hAnsi="Arial" w:cs="Arial"/>
          <w:b w:val="0"/>
          <w:color w:val="000000" w:themeColor="text1"/>
          <w:sz w:val="22"/>
          <w:szCs w:val="22"/>
        </w:rPr>
        <w:t xml:space="preserve">  kmol-Si s</w:t>
      </w:r>
      <w:r w:rsidRPr="00335FA0">
        <w:rPr>
          <w:rFonts w:ascii="Arial" w:hAnsi="Arial" w:cs="Arial"/>
          <w:b w:val="0"/>
          <w:color w:val="000000" w:themeColor="text1"/>
          <w:sz w:val="22"/>
          <w:szCs w:val="22"/>
          <w:vertAlign w:val="superscript"/>
        </w:rPr>
        <w:t>-1</w:t>
      </w:r>
      <w:r w:rsidRPr="00335FA0">
        <w:rPr>
          <w:rFonts w:ascii="Arial" w:hAnsi="Arial" w:cs="Arial"/>
          <w:b w:val="0"/>
          <w:color w:val="000000" w:themeColor="text1"/>
          <w:sz w:val="22"/>
          <w:szCs w:val="22"/>
        </w:rPr>
        <w:t xml:space="preserve">, </w:t>
      </w:r>
      <w:r w:rsidR="00C5711E" w:rsidRPr="00335FA0">
        <w:rPr>
          <w:rFonts w:ascii="Arial" w:hAnsi="Arial" w:cs="Arial"/>
          <w:b w:val="0"/>
          <w:color w:val="000000" w:themeColor="text1"/>
          <w:sz w:val="22"/>
          <w:szCs w:val="22"/>
        </w:rPr>
        <w:t>45</w:t>
      </w:r>
      <w:r w:rsidRPr="00335FA0">
        <w:rPr>
          <w:rFonts w:ascii="Arial" w:hAnsi="Arial" w:cs="Arial"/>
          <w:b w:val="0"/>
          <w:color w:val="000000" w:themeColor="text1"/>
          <w:sz w:val="22"/>
          <w:szCs w:val="22"/>
        </w:rPr>
        <w:t xml:space="preserve"> ± </w:t>
      </w:r>
      <w:r w:rsidR="00C5711E" w:rsidRPr="00335FA0">
        <w:rPr>
          <w:rFonts w:ascii="Arial" w:hAnsi="Arial" w:cs="Arial"/>
          <w:b w:val="0"/>
          <w:color w:val="000000" w:themeColor="text1"/>
          <w:sz w:val="22"/>
          <w:szCs w:val="22"/>
        </w:rPr>
        <w:t>19</w:t>
      </w:r>
      <w:r w:rsidRPr="00335FA0">
        <w:rPr>
          <w:rFonts w:ascii="Arial" w:hAnsi="Arial" w:cs="Arial"/>
          <w:b w:val="0"/>
          <w:color w:val="000000" w:themeColor="text1"/>
          <w:sz w:val="22"/>
          <w:szCs w:val="22"/>
        </w:rPr>
        <w:t xml:space="preserve"> kmol-N s</w:t>
      </w:r>
      <w:r w:rsidRPr="00335FA0">
        <w:rPr>
          <w:rFonts w:ascii="Arial" w:hAnsi="Arial" w:cs="Arial"/>
          <w:b w:val="0"/>
          <w:color w:val="000000" w:themeColor="text1"/>
          <w:sz w:val="22"/>
          <w:szCs w:val="22"/>
          <w:vertAlign w:val="superscript"/>
        </w:rPr>
        <w:t>-1</w:t>
      </w:r>
      <w:r w:rsidRPr="00335FA0">
        <w:rPr>
          <w:rFonts w:ascii="Arial" w:hAnsi="Arial" w:cs="Arial"/>
          <w:b w:val="0"/>
          <w:color w:val="000000" w:themeColor="text1"/>
          <w:sz w:val="22"/>
          <w:szCs w:val="22"/>
        </w:rPr>
        <w:t xml:space="preserve">, and </w:t>
      </w:r>
      <w:r w:rsidR="00C5711E" w:rsidRPr="00335FA0">
        <w:rPr>
          <w:rFonts w:ascii="Arial" w:hAnsi="Arial" w:cs="Arial"/>
          <w:b w:val="0"/>
          <w:color w:val="000000" w:themeColor="text1"/>
          <w:sz w:val="22"/>
          <w:szCs w:val="22"/>
        </w:rPr>
        <w:t>6.7</w:t>
      </w:r>
      <w:r w:rsidRPr="00335FA0">
        <w:rPr>
          <w:rFonts w:ascii="Arial" w:hAnsi="Arial" w:cs="Arial"/>
          <w:b w:val="0"/>
          <w:color w:val="000000" w:themeColor="text1"/>
          <w:sz w:val="22"/>
          <w:szCs w:val="22"/>
        </w:rPr>
        <w:t xml:space="preserve"> ± </w:t>
      </w:r>
      <w:r w:rsidR="00C5711E" w:rsidRPr="00335FA0">
        <w:rPr>
          <w:rFonts w:ascii="Arial" w:hAnsi="Arial" w:cs="Arial"/>
          <w:b w:val="0"/>
          <w:color w:val="000000" w:themeColor="text1"/>
          <w:sz w:val="22"/>
          <w:szCs w:val="22"/>
        </w:rPr>
        <w:t>1.3</w:t>
      </w:r>
      <w:r w:rsidRPr="00335FA0">
        <w:rPr>
          <w:rFonts w:ascii="Arial" w:hAnsi="Arial" w:cs="Arial"/>
          <w:b w:val="0"/>
          <w:color w:val="000000" w:themeColor="text1"/>
          <w:sz w:val="22"/>
          <w:szCs w:val="22"/>
        </w:rPr>
        <w:t xml:space="preserve"> kmol-P s</w:t>
      </w:r>
      <w:r w:rsidRPr="00335FA0">
        <w:rPr>
          <w:rFonts w:ascii="Arial" w:hAnsi="Arial" w:cs="Arial"/>
          <w:b w:val="0"/>
          <w:color w:val="000000" w:themeColor="text1"/>
          <w:sz w:val="22"/>
          <w:szCs w:val="22"/>
          <w:vertAlign w:val="superscript"/>
        </w:rPr>
        <w:t>-1</w:t>
      </w:r>
      <w:r w:rsidRPr="00335FA0">
        <w:rPr>
          <w:rFonts w:ascii="Arial" w:hAnsi="Arial" w:cs="Arial"/>
          <w:b w:val="0"/>
          <w:color w:val="000000" w:themeColor="text1"/>
          <w:sz w:val="22"/>
          <w:szCs w:val="22"/>
        </w:rPr>
        <w:t xml:space="preserve"> in 2010</w:t>
      </w:r>
      <w:r w:rsidR="00C5711E" w:rsidRPr="00335FA0">
        <w:rPr>
          <w:rFonts w:ascii="Arial" w:hAnsi="Arial" w:cs="Arial"/>
          <w:b w:val="0"/>
          <w:color w:val="000000" w:themeColor="text1"/>
          <w:sz w:val="22"/>
          <w:szCs w:val="22"/>
        </w:rPr>
        <w:t xml:space="preserve"> (positive into the NA-box, i.e., southwards)</w:t>
      </w:r>
      <w:r w:rsidRPr="00335FA0">
        <w:rPr>
          <w:rFonts w:ascii="Arial" w:hAnsi="Arial" w:cs="Arial"/>
          <w:b w:val="0"/>
          <w:color w:val="000000" w:themeColor="text1"/>
          <w:sz w:val="22"/>
          <w:szCs w:val="22"/>
        </w:rPr>
        <w:t>. In both 2004 and 2010 cruises, the magnitude of the MOC (MOC</w:t>
      </w:r>
      <w:r w:rsidRPr="00335FA0">
        <w:rPr>
          <w:rFonts w:ascii="Arial" w:hAnsi="Arial" w:cs="Arial"/>
          <w:b w:val="0"/>
          <w:color w:val="000000" w:themeColor="text1"/>
          <w:sz w:val="22"/>
          <w:szCs w:val="22"/>
          <w:vertAlign w:val="subscript"/>
        </w:rPr>
        <w:sym w:font="Symbol" w:char="F073"/>
      </w:r>
      <w:r w:rsidRPr="00335FA0">
        <w:rPr>
          <w:rFonts w:ascii="Arial" w:hAnsi="Arial" w:cs="Arial"/>
          <w:b w:val="0"/>
          <w:color w:val="000000" w:themeColor="text1"/>
          <w:sz w:val="22"/>
          <w:szCs w:val="22"/>
        </w:rPr>
        <w:t xml:space="preserve"> of 16.4 Sv in 2004 and 16.9 Sv in 2010, </w:t>
      </w:r>
      <w:r w:rsidRPr="00335FA0">
        <w:rPr>
          <w:rFonts w:ascii="Arial" w:hAnsi="Arial" w:cs="Arial"/>
          <w:b w:val="0"/>
          <w:color w:val="000000" w:themeColor="text1"/>
          <w:sz w:val="22"/>
          <w:szCs w:val="22"/>
        </w:rPr>
        <w:fldChar w:fldCharType="begin"/>
      </w:r>
      <w:r w:rsidRPr="00335FA0">
        <w:rPr>
          <w:rFonts w:ascii="Arial" w:hAnsi="Arial" w:cs="Arial"/>
          <w:b w:val="0"/>
          <w:color w:val="000000" w:themeColor="text1"/>
          <w:sz w:val="22"/>
          <w:szCs w:val="22"/>
        </w:rPr>
        <w:instrText xml:space="preserve"> ADDIN ZOTERO_ITEM CSL_CITATION {"citationID":"ElWI6SGl","properties":{"formattedCitation":"(Herl\\uc0\\u233{} Mercier et al., 2015)","plainCitation":"(Herlé Mercier et al., 2015)","dontUpdate":true,"noteIndex":0},"citationItems":[{"id":889,"uris":["http://zotero.org/users/951135/items/SM644PSP"],"uri":["http://zotero.org/users/951135/items/SM644PSP"],"itemData":{"id":889,"type":"article-journal","abstract":"The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Pr="00335FA0">
        <w:rPr>
          <w:rFonts w:ascii="Arial" w:hAnsi="Arial" w:cs="Arial"/>
          <w:b w:val="0"/>
          <w:color w:val="000000" w:themeColor="text1"/>
          <w:sz w:val="22"/>
          <w:szCs w:val="22"/>
        </w:rPr>
        <w:fldChar w:fldCharType="separate"/>
      </w:r>
      <w:r w:rsidRPr="00335FA0">
        <w:rPr>
          <w:rFonts w:ascii="Arial" w:hAnsi="Arial" w:cs="Arial"/>
          <w:b w:val="0"/>
          <w:color w:val="000000" w:themeColor="text1"/>
          <w:sz w:val="22"/>
          <w:szCs w:val="22"/>
        </w:rPr>
        <w:t>Mercier et al. 2015</w:t>
      </w:r>
      <w:r w:rsidRPr="00335FA0">
        <w:rPr>
          <w:rFonts w:ascii="Arial" w:hAnsi="Arial" w:cs="Arial"/>
          <w:b w:val="0"/>
          <w:color w:val="000000" w:themeColor="text1"/>
          <w:sz w:val="22"/>
          <w:szCs w:val="22"/>
          <w:lang w:val="en-US"/>
        </w:rPr>
        <w:fldChar w:fldCharType="end"/>
      </w:r>
      <w:r w:rsidRPr="00335FA0">
        <w:rPr>
          <w:rFonts w:ascii="Arial" w:hAnsi="Arial" w:cs="Arial"/>
          <w:b w:val="0"/>
          <w:color w:val="000000" w:themeColor="text1"/>
          <w:sz w:val="22"/>
          <w:szCs w:val="22"/>
          <w:lang w:val="en-US"/>
        </w:rPr>
        <w:t xml:space="preserve">; </w:t>
      </w:r>
      <w:r w:rsidR="008F1517" w:rsidRPr="00335FA0">
        <w:rPr>
          <w:rFonts w:ascii="Arial" w:hAnsi="Arial" w:cs="Arial"/>
          <w:b w:val="0"/>
          <w:color w:val="000000" w:themeColor="text1"/>
          <w:sz w:val="22"/>
          <w:szCs w:val="22"/>
          <w:lang w:val="en-US"/>
        </w:rPr>
        <w:t>16.6</w:t>
      </w:r>
      <w:r w:rsidRPr="00335FA0">
        <w:rPr>
          <w:rFonts w:ascii="Arial" w:hAnsi="Arial" w:cs="Arial"/>
          <w:b w:val="0"/>
          <w:color w:val="000000" w:themeColor="text1"/>
          <w:sz w:val="22"/>
          <w:szCs w:val="22"/>
          <w:lang w:val="en-US"/>
        </w:rPr>
        <w:t xml:space="preserve"> ± </w:t>
      </w:r>
      <w:r w:rsidR="008F1517" w:rsidRPr="00335FA0">
        <w:rPr>
          <w:rFonts w:ascii="Arial" w:hAnsi="Arial" w:cs="Arial"/>
          <w:b w:val="0"/>
          <w:color w:val="000000" w:themeColor="text1"/>
          <w:sz w:val="22"/>
          <w:szCs w:val="22"/>
          <w:lang w:val="en-US"/>
        </w:rPr>
        <w:t>1.2</w:t>
      </w:r>
      <w:r w:rsidRPr="00335FA0">
        <w:rPr>
          <w:rFonts w:ascii="Arial" w:hAnsi="Arial" w:cs="Arial"/>
          <w:b w:val="0"/>
          <w:color w:val="000000" w:themeColor="text1"/>
          <w:sz w:val="22"/>
          <w:szCs w:val="22"/>
          <w:lang w:val="en-US"/>
        </w:rPr>
        <w:t xml:space="preserve"> and </w:t>
      </w:r>
      <w:r w:rsidR="008F1517" w:rsidRPr="00335FA0">
        <w:rPr>
          <w:rFonts w:ascii="Arial" w:hAnsi="Arial" w:cs="Arial"/>
          <w:b w:val="0"/>
          <w:color w:val="000000" w:themeColor="text1"/>
          <w:sz w:val="22"/>
          <w:szCs w:val="22"/>
          <w:lang w:val="en-US"/>
        </w:rPr>
        <w:t>18.8</w:t>
      </w:r>
      <w:r w:rsidRPr="00335FA0">
        <w:rPr>
          <w:rFonts w:ascii="Arial" w:hAnsi="Arial" w:cs="Arial"/>
          <w:b w:val="0"/>
          <w:color w:val="000000" w:themeColor="text1"/>
          <w:sz w:val="22"/>
          <w:szCs w:val="22"/>
          <w:lang w:val="en-US"/>
        </w:rPr>
        <w:t xml:space="preserve"> ± </w:t>
      </w:r>
      <w:r w:rsidR="008F1517" w:rsidRPr="00335FA0">
        <w:rPr>
          <w:rFonts w:ascii="Arial" w:hAnsi="Arial" w:cs="Arial"/>
          <w:b w:val="0"/>
          <w:color w:val="000000" w:themeColor="text1"/>
          <w:sz w:val="22"/>
          <w:szCs w:val="22"/>
          <w:lang w:val="en-US"/>
        </w:rPr>
        <w:t>1.5</w:t>
      </w:r>
      <w:r w:rsidRPr="00335FA0">
        <w:rPr>
          <w:rFonts w:ascii="Arial" w:hAnsi="Arial" w:cs="Arial"/>
          <w:b w:val="0"/>
          <w:color w:val="000000" w:themeColor="text1"/>
          <w:sz w:val="22"/>
          <w:szCs w:val="22"/>
          <w:lang w:val="en-US"/>
        </w:rPr>
        <w:t xml:space="preserve">, this study) </w:t>
      </w:r>
      <w:r w:rsidRPr="00335FA0">
        <w:rPr>
          <w:rFonts w:ascii="Arial" w:hAnsi="Arial" w:cs="Arial"/>
          <w:b w:val="0"/>
          <w:color w:val="000000" w:themeColor="text1"/>
          <w:sz w:val="22"/>
          <w:szCs w:val="22"/>
        </w:rPr>
        <w:t xml:space="preserve">was not significantly different to the long-term MOC average of 16.0 ± 1 Sv (average of the 1997, 2002, 2004, 2006, 2008 and 2010 hydrographic repeats, </w:t>
      </w:r>
      <w:r w:rsidRPr="00335FA0">
        <w:rPr>
          <w:rFonts w:ascii="Arial" w:hAnsi="Arial" w:cs="Arial"/>
          <w:b w:val="0"/>
          <w:color w:val="000000" w:themeColor="text1"/>
          <w:sz w:val="22"/>
          <w:szCs w:val="22"/>
        </w:rPr>
        <w:fldChar w:fldCharType="begin"/>
      </w:r>
      <w:r w:rsidRPr="00335FA0">
        <w:rPr>
          <w:rFonts w:ascii="Arial" w:hAnsi="Arial" w:cs="Arial"/>
          <w:b w:val="0"/>
          <w:color w:val="000000" w:themeColor="text1"/>
          <w:sz w:val="22"/>
          <w:szCs w:val="22"/>
        </w:rPr>
        <w:instrText xml:space="preserve"> ADDIN ZOTERO_ITEM CSL_CITATION {"citationID":"rrAuA0rz","properties":{"formattedCitation":"(Herl\\uc0\\u233{} Mercier et al., 2015)","plainCitation":"(Herlé Mercier et al., 2015)","dontUpdate":true,"noteIndex":0},"citationItems":[{"id":889,"uris":["http://zotero.org/users/951135/items/SM644PSP"],"uri":["http://zotero.org/users/951135/items/SM644PSP"],"itemData":{"id":889,"type":"article-journal","abstract":"The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Pr="00335FA0">
        <w:rPr>
          <w:rFonts w:ascii="Arial" w:hAnsi="Arial" w:cs="Arial"/>
          <w:b w:val="0"/>
          <w:color w:val="000000" w:themeColor="text1"/>
          <w:sz w:val="22"/>
          <w:szCs w:val="22"/>
        </w:rPr>
        <w:fldChar w:fldCharType="separate"/>
      </w:r>
      <w:r w:rsidRPr="00335FA0">
        <w:rPr>
          <w:rFonts w:ascii="Arial" w:hAnsi="Arial" w:cs="Arial"/>
          <w:b w:val="0"/>
          <w:color w:val="000000" w:themeColor="text1"/>
          <w:sz w:val="22"/>
          <w:szCs w:val="22"/>
        </w:rPr>
        <w:t>Mercier et al. 2015</w:t>
      </w:r>
      <w:r w:rsidRPr="00335FA0">
        <w:rPr>
          <w:rFonts w:ascii="Arial" w:hAnsi="Arial" w:cs="Arial"/>
          <w:b w:val="0"/>
          <w:color w:val="000000" w:themeColor="text1"/>
          <w:sz w:val="22"/>
          <w:szCs w:val="22"/>
          <w:lang w:val="en-US"/>
        </w:rPr>
        <w:fldChar w:fldCharType="end"/>
      </w:r>
      <w:r w:rsidRPr="00335FA0">
        <w:rPr>
          <w:rFonts w:ascii="Arial" w:hAnsi="Arial" w:cs="Arial"/>
          <w:b w:val="0"/>
          <w:color w:val="000000" w:themeColor="text1"/>
          <w:sz w:val="22"/>
          <w:szCs w:val="22"/>
        </w:rPr>
        <w:t xml:space="preserve">), suggesting there was no interannual aliasing on the nutrient transports at this location. </w:t>
      </w:r>
    </w:p>
    <w:p w14:paraId="4E4F84A8" w14:textId="04E14785" w:rsidR="00E1460D" w:rsidRPr="00335FA0" w:rsidRDefault="00E1460D" w:rsidP="00BC38EC">
      <w:pPr>
        <w:pStyle w:val="SMHeading"/>
        <w:spacing w:after="120" w:line="360" w:lineRule="auto"/>
        <w:jc w:val="both"/>
        <w:outlineLvl w:val="9"/>
        <w:rPr>
          <w:rFonts w:ascii="Arial" w:hAnsi="Arial" w:cs="Arial"/>
          <w:b w:val="0"/>
          <w:color w:val="000000" w:themeColor="text1"/>
          <w:sz w:val="22"/>
          <w:szCs w:val="22"/>
        </w:rPr>
      </w:pPr>
      <w:r w:rsidRPr="00335FA0">
        <w:rPr>
          <w:rFonts w:ascii="Arial" w:hAnsi="Arial" w:cs="Arial"/>
          <w:b w:val="0"/>
          <w:color w:val="000000" w:themeColor="text1"/>
          <w:sz w:val="22"/>
          <w:szCs w:val="22"/>
        </w:rPr>
        <w:t xml:space="preserve">Regards the seasonal signal, both the 2004 and 2010 cruises were carried out in spring-summer, when the Ekman transport is close to the annual mean (1 Sv southwards) </w:t>
      </w:r>
      <w:r w:rsidRPr="00335FA0">
        <w:rPr>
          <w:rFonts w:ascii="Arial" w:hAnsi="Arial" w:cs="Arial"/>
          <w:b w:val="0"/>
          <w:color w:val="000000" w:themeColor="text1"/>
          <w:sz w:val="22"/>
          <w:szCs w:val="22"/>
        </w:rPr>
        <w:fldChar w:fldCharType="begin"/>
      </w:r>
      <w:r w:rsidRPr="00335FA0">
        <w:rPr>
          <w:rFonts w:ascii="Arial" w:hAnsi="Arial" w:cs="Arial"/>
          <w:b w:val="0"/>
          <w:color w:val="000000" w:themeColor="text1"/>
          <w:sz w:val="22"/>
          <w:szCs w:val="22"/>
        </w:rPr>
        <w:instrText xml:space="preserve"> ADDIN ZOTERO_ITEM CSL_CITATION {"citationID":"UaM0p8hq","properties":{"formattedCitation":"(Treguier et al., 2006)","plainCitation":"(Treguier et al., 2006)","noteIndex":0},"citationItems":[{"id":3015,"uris":["http://zotero.org/groups/56168/items/IN6FZJF6"],"uri":["http://zotero.org/groups/56168/items/IN6FZJF6"],"itemData":{"id":3015,"type":"article-journal","container-title":"Ocean Dynamics","DOI":"10.1007/s10236-006-0069-y","issue":"5-6","page":"568-580","title":"Internal and forced variability along a section between Greenland and Portugal in the CLIPPER Atlantic model","volume":"56","author":[{"family":"Treguier","given":"Anne Marie"},{"family":"Gourcuff","given":"Claire"},{"family":"Lherminier","given":"Pascale"},{"family":"Mercier","given":"Herle"},{"family":"Barnier","given":"Bernard"},{"family":"Madec","given":"Gurvan"},{"family":"Molines","given":"Jean-Marc"},{"family":"Penduff","given":"Thierry"},{"family":"Czeschel","given":"Lars"},{"family":"Böning","given":"Claus"}],"issued":{"date-parts":[["2006"]]}}}],"schema":"https://github.com/citation-style-language/schema/raw/master/csl-citation.json"} </w:instrText>
      </w:r>
      <w:r w:rsidRPr="00335FA0">
        <w:rPr>
          <w:rFonts w:ascii="Arial" w:hAnsi="Arial" w:cs="Arial"/>
          <w:b w:val="0"/>
          <w:color w:val="000000" w:themeColor="text1"/>
          <w:sz w:val="22"/>
          <w:szCs w:val="22"/>
        </w:rPr>
        <w:fldChar w:fldCharType="separate"/>
      </w:r>
      <w:r w:rsidRPr="00335FA0">
        <w:rPr>
          <w:rFonts w:ascii="Arial" w:hAnsi="Arial" w:cs="Arial"/>
          <w:b w:val="0"/>
          <w:color w:val="000000" w:themeColor="text1"/>
          <w:sz w:val="22"/>
          <w:szCs w:val="22"/>
        </w:rPr>
        <w:t>(Treguier et al., 2006)</w:t>
      </w:r>
      <w:r w:rsidRPr="00335FA0">
        <w:rPr>
          <w:rFonts w:ascii="Arial" w:hAnsi="Arial" w:cs="Arial"/>
          <w:b w:val="0"/>
          <w:color w:val="000000" w:themeColor="text1"/>
          <w:sz w:val="22"/>
          <w:szCs w:val="22"/>
          <w:lang w:val="en-US"/>
        </w:rPr>
        <w:fldChar w:fldCharType="end"/>
      </w:r>
      <w:r w:rsidRPr="00335FA0">
        <w:rPr>
          <w:rFonts w:ascii="Arial" w:hAnsi="Arial" w:cs="Arial"/>
          <w:b w:val="0"/>
          <w:color w:val="000000" w:themeColor="text1"/>
          <w:sz w:val="22"/>
          <w:szCs w:val="22"/>
        </w:rPr>
        <w:t>, and the MOC magnitude</w:t>
      </w:r>
      <w:r w:rsidR="00CE1FB0" w:rsidRPr="00335FA0">
        <w:rPr>
          <w:rFonts w:ascii="Arial" w:hAnsi="Arial" w:cs="Arial"/>
          <w:b w:val="0"/>
          <w:color w:val="000000" w:themeColor="text1"/>
          <w:sz w:val="22"/>
          <w:szCs w:val="22"/>
        </w:rPr>
        <w:t xml:space="preserve"> (17.0 ± 1 Sv; Mercier et al., 2015)</w:t>
      </w:r>
      <w:r w:rsidRPr="00335FA0">
        <w:rPr>
          <w:rFonts w:ascii="Arial" w:hAnsi="Arial" w:cs="Arial"/>
          <w:b w:val="0"/>
          <w:color w:val="000000" w:themeColor="text1"/>
          <w:sz w:val="22"/>
          <w:szCs w:val="22"/>
        </w:rPr>
        <w:t xml:space="preserve"> is </w:t>
      </w:r>
      <w:r w:rsidR="005A1C5D" w:rsidRPr="00335FA0">
        <w:rPr>
          <w:rFonts w:ascii="Arial" w:hAnsi="Arial" w:cs="Arial"/>
          <w:b w:val="0"/>
          <w:color w:val="000000" w:themeColor="text1"/>
          <w:sz w:val="22"/>
          <w:szCs w:val="22"/>
        </w:rPr>
        <w:t xml:space="preserve">only </w:t>
      </w:r>
      <w:r w:rsidRPr="00335FA0">
        <w:rPr>
          <w:rFonts w:ascii="Arial" w:hAnsi="Arial" w:cs="Arial"/>
          <w:b w:val="0"/>
          <w:color w:val="000000" w:themeColor="text1"/>
          <w:sz w:val="22"/>
          <w:szCs w:val="22"/>
        </w:rPr>
        <w:t xml:space="preserve">reduced by 1 Sv with regards the annual average </w:t>
      </w:r>
      <w:r w:rsidRPr="00335FA0">
        <w:rPr>
          <w:rFonts w:ascii="Arial" w:hAnsi="Arial" w:cs="Arial"/>
          <w:b w:val="0"/>
          <w:color w:val="000000" w:themeColor="text1"/>
          <w:sz w:val="22"/>
          <w:szCs w:val="22"/>
        </w:rPr>
        <w:fldChar w:fldCharType="begin"/>
      </w:r>
      <w:r w:rsidR="00961F98">
        <w:rPr>
          <w:rFonts w:ascii="Arial" w:hAnsi="Arial" w:cs="Arial"/>
          <w:b w:val="0"/>
          <w:color w:val="000000" w:themeColor="text1"/>
          <w:sz w:val="22"/>
          <w:szCs w:val="22"/>
        </w:rPr>
        <w:instrText xml:space="preserve"> ADDIN ZOTERO_ITEM CSL_CITATION {"citationID":"xOCauHKt","properties":{"formattedCitation":"(Mercier et al., 2015)","plainCitation":"(Mercier et al., 2015)","dontUpdate":true,"noteIndex":0},"citationItems":[{"id":"jCzmf7Hn/iN9TdItE","uris":["http://zotero.org/users/951135/items/B3Z4DN2Q"],"uri":["http://zotero.org/users/951135/items/B3Z4DN2Q"],"itemData":{"id":3857,"type":"article-journal","title":"Variability of the meridional overturning circulation at the Greenland?Portugal OVIDE section from 1993 to 2010","container-title":"Progress in Oceanography","page":"250-261","volume":"132","source":"CrossRef","DOI":"10.1016/j.pocean.2013.11.001","ISSN":"00796611","shortTitle":"Variability of the meridional overturning circulation at the Greenland?","language":"en","author":[{"family":"Mercier","given":"Herl?"},{"family":"Lherminier","given":"Pascale"},{"family":"Sarafanov","given":"Artem"},{"family":"Gaillard","given":"Fabienne"},{"family":"Daniault","given":"Nathalie"},{"family":"Desbruy?res","given":"Damien"},{"family":"Falina","given":"Anastasia"},{"family":"Ferron","given":"Bruno"},{"family":"Gourcuff","given":"Claire"},{"family":"Huck","given":"Thierry"},{"family":"Thierry","given":"Virginie"}],"issued":{"date-parts":[["2015",3]]}}}],"schema":"https://github.com/citation-style-language/schema/raw/master/csl-citation.json"} </w:instrText>
      </w:r>
      <w:r w:rsidRPr="00335FA0">
        <w:rPr>
          <w:rFonts w:ascii="Arial" w:hAnsi="Arial" w:cs="Arial"/>
          <w:b w:val="0"/>
          <w:color w:val="000000" w:themeColor="text1"/>
          <w:sz w:val="22"/>
          <w:szCs w:val="22"/>
        </w:rPr>
        <w:fldChar w:fldCharType="separate"/>
      </w:r>
      <w:r w:rsidRPr="00335FA0">
        <w:rPr>
          <w:rFonts w:ascii="Arial" w:hAnsi="Arial" w:cs="Arial"/>
          <w:b w:val="0"/>
          <w:color w:val="000000" w:themeColor="text1"/>
          <w:sz w:val="22"/>
          <w:szCs w:val="22"/>
        </w:rPr>
        <w:t>(</w:t>
      </w:r>
      <w:r w:rsidR="00CE1FB0" w:rsidRPr="00335FA0">
        <w:rPr>
          <w:rFonts w:ascii="Arial" w:hAnsi="Arial" w:cs="Arial"/>
          <w:b w:val="0"/>
          <w:color w:val="000000" w:themeColor="text1"/>
          <w:sz w:val="22"/>
          <w:szCs w:val="22"/>
        </w:rPr>
        <w:t xml:space="preserve">18.1 ± 1.4 Sv; </w:t>
      </w:r>
      <w:r w:rsidRPr="00335FA0">
        <w:rPr>
          <w:rFonts w:ascii="Arial" w:hAnsi="Arial" w:cs="Arial"/>
          <w:b w:val="0"/>
          <w:color w:val="000000" w:themeColor="text1"/>
          <w:sz w:val="22"/>
          <w:szCs w:val="22"/>
        </w:rPr>
        <w:t>Mercier et al., 2015)</w:t>
      </w:r>
      <w:r w:rsidRPr="00335FA0">
        <w:rPr>
          <w:rFonts w:ascii="Arial" w:hAnsi="Arial" w:cs="Arial"/>
          <w:b w:val="0"/>
          <w:color w:val="000000" w:themeColor="text1"/>
          <w:sz w:val="22"/>
          <w:szCs w:val="22"/>
          <w:lang w:val="en-US"/>
        </w:rPr>
        <w:fldChar w:fldCharType="end"/>
      </w:r>
      <w:r w:rsidRPr="00335FA0">
        <w:rPr>
          <w:rFonts w:ascii="Arial" w:hAnsi="Arial" w:cs="Arial"/>
          <w:b w:val="0"/>
          <w:color w:val="000000" w:themeColor="text1"/>
          <w:sz w:val="22"/>
          <w:szCs w:val="22"/>
        </w:rPr>
        <w:t xml:space="preserve">. </w:t>
      </w:r>
      <w:r w:rsidR="00CE1FB0" w:rsidRPr="00335FA0">
        <w:rPr>
          <w:rFonts w:ascii="Arial" w:hAnsi="Arial" w:cs="Arial"/>
          <w:b w:val="0"/>
          <w:color w:val="000000" w:themeColor="text1"/>
          <w:sz w:val="22"/>
          <w:szCs w:val="22"/>
          <w:lang w:val="en-US"/>
        </w:rPr>
        <w:t xml:space="preserve">To account for the impact of this 1-Sv reduced </w:t>
      </w:r>
      <w:r w:rsidR="00CE1FB0" w:rsidRPr="00335FA0">
        <w:rPr>
          <w:rFonts w:ascii="Arial" w:hAnsi="Arial" w:cs="Arial"/>
          <w:b w:val="0"/>
          <w:color w:val="000000" w:themeColor="text1"/>
          <w:sz w:val="22"/>
          <w:szCs w:val="22"/>
        </w:rPr>
        <w:t>MOC</w:t>
      </w:r>
      <w:r w:rsidR="00CE1FB0" w:rsidRPr="00335FA0">
        <w:rPr>
          <w:rFonts w:ascii="Arial" w:hAnsi="Arial" w:cs="Arial"/>
          <w:b w:val="0"/>
          <w:color w:val="000000" w:themeColor="text1"/>
          <w:sz w:val="22"/>
          <w:szCs w:val="22"/>
          <w:vertAlign w:val="subscript"/>
        </w:rPr>
        <w:t>σ</w:t>
      </w:r>
      <w:r w:rsidR="00CE1FB0" w:rsidRPr="00335FA0">
        <w:rPr>
          <w:rFonts w:ascii="Arial" w:hAnsi="Arial" w:cs="Arial"/>
          <w:b w:val="0"/>
          <w:color w:val="000000" w:themeColor="text1"/>
          <w:sz w:val="22"/>
          <w:szCs w:val="22"/>
          <w:lang w:val="en-US"/>
        </w:rPr>
        <w:t xml:space="preserve"> with regards the </w:t>
      </w:r>
      <w:r w:rsidR="00CE1FB0" w:rsidRPr="00335FA0">
        <w:rPr>
          <w:rFonts w:ascii="Arial" w:hAnsi="Arial" w:cs="Arial"/>
          <w:b w:val="0"/>
          <w:color w:val="000000" w:themeColor="text1"/>
          <w:sz w:val="22"/>
          <w:szCs w:val="22"/>
        </w:rPr>
        <w:t>annual</w:t>
      </w:r>
      <w:r w:rsidR="00CE1FB0" w:rsidRPr="00335FA0">
        <w:rPr>
          <w:rFonts w:ascii="Arial" w:hAnsi="Arial" w:cs="Arial"/>
          <w:b w:val="0"/>
          <w:color w:val="000000" w:themeColor="text1"/>
          <w:sz w:val="22"/>
          <w:szCs w:val="22"/>
          <w:lang w:val="en-US"/>
        </w:rPr>
        <w:t xml:space="preserve"> </w:t>
      </w:r>
      <w:r w:rsidR="00CE1FB0" w:rsidRPr="00335FA0">
        <w:rPr>
          <w:rFonts w:ascii="Arial" w:hAnsi="Arial" w:cs="Arial"/>
          <w:b w:val="0"/>
          <w:color w:val="000000" w:themeColor="text1"/>
          <w:sz w:val="22"/>
          <w:szCs w:val="22"/>
        </w:rPr>
        <w:t>mean</w:t>
      </w:r>
      <w:r w:rsidRPr="00335FA0">
        <w:rPr>
          <w:rFonts w:ascii="Arial" w:hAnsi="Arial" w:cs="Arial"/>
          <w:b w:val="0"/>
          <w:color w:val="000000" w:themeColor="text1"/>
          <w:sz w:val="22"/>
          <w:szCs w:val="22"/>
        </w:rPr>
        <w:t xml:space="preserve">, </w:t>
      </w:r>
      <w:r w:rsidR="003E44F2" w:rsidRPr="00335FA0">
        <w:rPr>
          <w:rFonts w:ascii="Arial" w:hAnsi="Arial" w:cs="Arial"/>
          <w:b w:val="0"/>
          <w:color w:val="000000" w:themeColor="text1"/>
          <w:sz w:val="22"/>
          <w:szCs w:val="22"/>
        </w:rPr>
        <w:t xml:space="preserve">we approximated </w:t>
      </w:r>
      <w:r w:rsidRPr="00335FA0">
        <w:rPr>
          <w:rFonts w:ascii="Arial" w:hAnsi="Arial" w:cs="Arial"/>
          <w:b w:val="0"/>
          <w:color w:val="000000" w:themeColor="text1"/>
          <w:sz w:val="22"/>
          <w:szCs w:val="22"/>
        </w:rPr>
        <w:t xml:space="preserve">the total nutrient transport across the OVIDE section </w:t>
      </w:r>
      <w:r w:rsidR="003E44F2" w:rsidRPr="00335FA0">
        <w:rPr>
          <w:rFonts w:ascii="Arial" w:hAnsi="Arial" w:cs="Arial"/>
          <w:b w:val="0"/>
          <w:color w:val="000000" w:themeColor="text1"/>
          <w:sz w:val="22"/>
          <w:szCs w:val="22"/>
        </w:rPr>
        <w:t>by means of a</w:t>
      </w:r>
      <w:r w:rsidR="003E44F2" w:rsidRPr="00335FA0">
        <w:rPr>
          <w:rFonts w:ascii="Arial" w:hAnsi="Arial" w:cs="Arial"/>
          <w:b w:val="0"/>
          <w:color w:val="000000" w:themeColor="text1"/>
          <w:sz w:val="22"/>
          <w:szCs w:val="22"/>
          <w:lang w:val="en-US"/>
        </w:rPr>
        <w:t xml:space="preserve"> simplified estimator</w:t>
      </w:r>
      <w:r w:rsidR="00CE1FB0" w:rsidRPr="00335FA0">
        <w:rPr>
          <w:rFonts w:ascii="Arial" w:hAnsi="Arial" w:cs="Arial"/>
          <w:b w:val="0"/>
          <w:color w:val="000000" w:themeColor="text1"/>
          <w:sz w:val="22"/>
          <w:szCs w:val="22"/>
          <w:lang w:val="en-US"/>
        </w:rPr>
        <w:t xml:space="preserve"> equivalent to </w:t>
      </w:r>
      <w:r w:rsidR="00CE1FB0" w:rsidRPr="00335FA0">
        <w:rPr>
          <w:rFonts w:ascii="Arial" w:hAnsi="Arial" w:cs="Arial"/>
          <w:b w:val="0"/>
          <w:color w:val="000000" w:themeColor="text1"/>
          <w:sz w:val="22"/>
          <w:szCs w:val="22"/>
          <w:lang w:val="en-US"/>
        </w:rPr>
        <w:lastRenderedPageBreak/>
        <w:t>that used for</w:t>
      </w:r>
      <w:r w:rsidR="00CE1FB0" w:rsidRPr="00335FA0">
        <w:rPr>
          <w:rFonts w:ascii="Arial" w:hAnsi="Arial" w:cs="Arial"/>
          <w:b w:val="0"/>
          <w:color w:val="000000" w:themeColor="text1"/>
          <w:sz w:val="22"/>
          <w:szCs w:val="22"/>
        </w:rPr>
        <w:t xml:space="preserve"> heat </w:t>
      </w:r>
      <w:r w:rsidR="00CE1FB0" w:rsidRPr="00335FA0">
        <w:rPr>
          <w:rFonts w:ascii="Arial" w:hAnsi="Arial" w:cs="Arial"/>
          <w:b w:val="0"/>
          <w:color w:val="000000" w:themeColor="text1"/>
          <w:sz w:val="22"/>
          <w:szCs w:val="22"/>
        </w:rPr>
        <w:fldChar w:fldCharType="begin"/>
      </w:r>
      <w:r w:rsidR="00CE1FB0" w:rsidRPr="00335FA0">
        <w:rPr>
          <w:rFonts w:ascii="Arial" w:hAnsi="Arial" w:cs="Arial"/>
          <w:b w:val="0"/>
          <w:color w:val="000000" w:themeColor="text1"/>
          <w:sz w:val="22"/>
          <w:szCs w:val="22"/>
        </w:rPr>
        <w:instrText xml:space="preserve"> ADDIN ZOTERO_ITEM CSL_CITATION {"citationID":"MNO75AIf","properties":{"formattedCitation":"(Herl\\uc0\\u233{} Mercier et al., 2015)","plainCitation":"(Herlé Mercier et al., 2015)","dontUpdate":true,"noteIndex":0},"citationItems":[{"id":889,"uris":["http://zotero.org/users/951135/items/SM644PSP"],"uri":["http://zotero.org/users/951135/items/SM644PSP"],"itemData":{"id":889,"type":"article-journal","abstract":"The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00CE1FB0" w:rsidRPr="00335FA0">
        <w:rPr>
          <w:rFonts w:ascii="Arial" w:hAnsi="Arial" w:cs="Arial"/>
          <w:b w:val="0"/>
          <w:color w:val="000000" w:themeColor="text1"/>
          <w:sz w:val="22"/>
          <w:szCs w:val="22"/>
        </w:rPr>
        <w:fldChar w:fldCharType="separate"/>
      </w:r>
      <w:r w:rsidR="00CE1FB0" w:rsidRPr="00335FA0">
        <w:rPr>
          <w:rFonts w:ascii="Arial" w:hAnsi="Arial" w:cs="Arial"/>
          <w:b w:val="0"/>
          <w:color w:val="000000" w:themeColor="text1"/>
          <w:sz w:val="22"/>
          <w:lang w:val="en-US"/>
        </w:rPr>
        <w:t>(Mercier et al., 2015)</w:t>
      </w:r>
      <w:r w:rsidR="00CE1FB0" w:rsidRPr="00335FA0">
        <w:rPr>
          <w:rFonts w:ascii="Arial" w:hAnsi="Arial" w:cs="Arial"/>
          <w:b w:val="0"/>
          <w:color w:val="000000" w:themeColor="text1"/>
          <w:sz w:val="22"/>
          <w:szCs w:val="22"/>
        </w:rPr>
        <w:fldChar w:fldCharType="end"/>
      </w:r>
      <w:r w:rsidR="00CE1FB0" w:rsidRPr="00335FA0">
        <w:rPr>
          <w:rFonts w:ascii="Arial" w:hAnsi="Arial" w:cs="Arial"/>
          <w:b w:val="0"/>
          <w:color w:val="000000" w:themeColor="text1"/>
          <w:sz w:val="22"/>
          <w:szCs w:val="22"/>
        </w:rPr>
        <w:t xml:space="preserve"> and anthropogenic carbon transports </w:t>
      </w:r>
      <w:r w:rsidR="00CE1FB0" w:rsidRPr="00335FA0">
        <w:rPr>
          <w:rFonts w:ascii="Arial" w:hAnsi="Arial" w:cs="Arial"/>
          <w:b w:val="0"/>
          <w:color w:val="000000" w:themeColor="text1"/>
          <w:sz w:val="22"/>
          <w:szCs w:val="22"/>
        </w:rPr>
        <w:fldChar w:fldCharType="begin"/>
      </w:r>
      <w:r w:rsidR="00CE1FB0" w:rsidRPr="00335FA0">
        <w:rPr>
          <w:rFonts w:ascii="Arial" w:hAnsi="Arial" w:cs="Arial"/>
          <w:b w:val="0"/>
          <w:color w:val="000000" w:themeColor="text1"/>
          <w:sz w:val="22"/>
          <w:szCs w:val="22"/>
        </w:rPr>
        <w:instrText xml:space="preserve"> ADDIN ZOTERO_ITEM CSL_CITATION {"citationID":"9SE968ex","properties":{"formattedCitation":"(Zunino Rodriguez et al., 2014)","plainCitation":"(Zunino Rodriguez et al., 2014)","dontUpdate":true,"noteIndex":0},"citationItems":[{"id":518,"uris":["http://zotero.org/users/951135/items/DM894TNC"],"uri":["http://zotero.org/users/951135/items/DM894TNC"],"itemData":{"id":518,"type":"article-journal","container-title":"Biogeosciences","issue":"8","page":"2375–2389","source":"Google Scholar","title":"Variability of the transport of anthropogenic CO2 at the Greenland-Portugal OVIDE section: controlling mechanisms","title-short":"Variability of the transport of anthropogenic CO2 at the Greenland-Portugal OVIDE section","volume":"11","author":[{"family":"Zunino Rodriguez","given":"Patricia"},{"family":"Garcia-Ibanez","given":"Maria Isabel"},{"family":"Lherminier","given":"Pascale"},{"family":"Mercier","given":"Herle"},{"family":"Ríos","given":"Aida F"},{"family":"Pérez","given":"F. F."}],"issued":{"date-parts":[["2014"]]}}}],"schema":"https://github.com/citation-style-language/schema/raw/master/csl-citation.json"} </w:instrText>
      </w:r>
      <w:r w:rsidR="00CE1FB0" w:rsidRPr="00335FA0">
        <w:rPr>
          <w:rFonts w:ascii="Arial" w:hAnsi="Arial" w:cs="Arial"/>
          <w:b w:val="0"/>
          <w:color w:val="000000" w:themeColor="text1"/>
          <w:sz w:val="22"/>
          <w:szCs w:val="22"/>
        </w:rPr>
        <w:fldChar w:fldCharType="separate"/>
      </w:r>
      <w:r w:rsidR="00CE1FB0" w:rsidRPr="00335FA0">
        <w:rPr>
          <w:rFonts w:ascii="Arial" w:hAnsi="Arial" w:cs="Arial"/>
          <w:b w:val="0"/>
          <w:noProof/>
          <w:color w:val="000000" w:themeColor="text1"/>
          <w:sz w:val="22"/>
          <w:szCs w:val="22"/>
        </w:rPr>
        <w:t>(Zunino et al., 2014)</w:t>
      </w:r>
      <w:r w:rsidR="00CE1FB0" w:rsidRPr="00335FA0">
        <w:rPr>
          <w:rFonts w:ascii="Arial" w:hAnsi="Arial" w:cs="Arial"/>
          <w:b w:val="0"/>
          <w:color w:val="000000" w:themeColor="text1"/>
          <w:sz w:val="22"/>
          <w:szCs w:val="22"/>
        </w:rPr>
        <w:fldChar w:fldCharType="end"/>
      </w:r>
      <w:r w:rsidR="003E44F2" w:rsidRPr="00335FA0">
        <w:rPr>
          <w:rFonts w:ascii="Arial" w:hAnsi="Arial" w:cs="Arial"/>
          <w:b w:val="0"/>
          <w:color w:val="000000" w:themeColor="text1"/>
          <w:sz w:val="22"/>
          <w:szCs w:val="22"/>
          <w:lang w:val="en-US"/>
        </w:rPr>
        <w:t>:</w:t>
      </w:r>
    </w:p>
    <w:p w14:paraId="5BA0F879" w14:textId="77777777" w:rsidR="00E1460D" w:rsidRPr="00335FA0" w:rsidRDefault="00E1460D" w:rsidP="00E1460D">
      <w:pPr>
        <w:pStyle w:val="CommentText"/>
        <w:spacing w:before="120" w:after="120" w:line="360" w:lineRule="auto"/>
        <w:jc w:val="right"/>
        <w:rPr>
          <w:rFonts w:ascii="Arial" w:hAnsi="Arial" w:cs="Arial"/>
          <w:color w:val="000000" w:themeColor="text1"/>
          <w:sz w:val="22"/>
          <w:szCs w:val="22"/>
        </w:rPr>
      </w:pPr>
      <w:r w:rsidRPr="00335FA0">
        <w:rPr>
          <w:rFonts w:ascii="Arial" w:hAnsi="Arial" w:cs="Arial"/>
          <w:color w:val="000000" w:themeColor="text1"/>
          <w:sz w:val="22"/>
          <w:szCs w:val="22"/>
        </w:rPr>
        <w:t>T</w:t>
      </w:r>
      <w:r w:rsidRPr="00335FA0">
        <w:rPr>
          <w:rFonts w:ascii="Arial" w:hAnsi="Arial" w:cs="Arial"/>
          <w:color w:val="000000" w:themeColor="text1"/>
          <w:sz w:val="22"/>
          <w:szCs w:val="22"/>
          <w:vertAlign w:val="subscript"/>
        </w:rPr>
        <w:t>N</w:t>
      </w:r>
      <w:r w:rsidRPr="00335FA0">
        <w:rPr>
          <w:rFonts w:ascii="Arial" w:hAnsi="Arial" w:cs="Arial"/>
          <w:color w:val="000000" w:themeColor="text1"/>
          <w:sz w:val="22"/>
          <w:szCs w:val="22"/>
          <w:vertAlign w:val="superscript"/>
        </w:rPr>
        <w:t xml:space="preserve">estimator </w:t>
      </w:r>
      <w:r w:rsidRPr="00335FA0">
        <w:rPr>
          <w:rFonts w:ascii="Arial" w:hAnsi="Arial" w:cs="Arial"/>
          <w:color w:val="000000" w:themeColor="text1"/>
          <w:sz w:val="22"/>
          <w:szCs w:val="22"/>
        </w:rPr>
        <w:t xml:space="preserve">= ΔN </w:t>
      </w:r>
      <w:r w:rsidRPr="00335FA0">
        <w:rPr>
          <w:rFonts w:ascii="Arial" w:hAnsi="Arial" w:cs="Arial"/>
          <w:color w:val="000000" w:themeColor="text1"/>
          <w:sz w:val="22"/>
          <w:szCs w:val="22"/>
        </w:rPr>
        <w:sym w:font="Symbol" w:char="F072"/>
      </w:r>
      <w:r w:rsidRPr="00335FA0">
        <w:rPr>
          <w:rFonts w:ascii="Arial" w:hAnsi="Arial" w:cs="Arial"/>
          <w:color w:val="000000" w:themeColor="text1"/>
          <w:sz w:val="22"/>
          <w:szCs w:val="22"/>
          <w:vertAlign w:val="subscript"/>
        </w:rPr>
        <w:t>0</w:t>
      </w:r>
      <w:r w:rsidRPr="00335FA0">
        <w:rPr>
          <w:rFonts w:ascii="Arial" w:hAnsi="Arial" w:cs="Arial"/>
          <w:color w:val="000000" w:themeColor="text1"/>
          <w:sz w:val="22"/>
          <w:szCs w:val="22"/>
        </w:rPr>
        <w:t xml:space="preserve"> MOC</w:t>
      </w:r>
      <w:r w:rsidRPr="00335FA0">
        <w:rPr>
          <w:rFonts w:ascii="Arial" w:hAnsi="Arial" w:cs="Arial"/>
          <w:color w:val="000000" w:themeColor="text1"/>
          <w:sz w:val="22"/>
          <w:szCs w:val="22"/>
          <w:vertAlign w:val="subscript"/>
        </w:rPr>
        <w:t>σ</w:t>
      </w:r>
      <w:r w:rsidRPr="00335FA0">
        <w:rPr>
          <w:rFonts w:ascii="Arial" w:hAnsi="Arial" w:cs="Arial"/>
          <w:color w:val="000000" w:themeColor="text1"/>
          <w:sz w:val="22"/>
          <w:szCs w:val="22"/>
        </w:rPr>
        <w:t xml:space="preserve">                                                                (7)</w:t>
      </w:r>
    </w:p>
    <w:p w14:paraId="496912D2" w14:textId="043AFC18" w:rsidR="00E1460D" w:rsidRPr="00335FA0" w:rsidRDefault="00E1460D" w:rsidP="00E1460D">
      <w:pPr>
        <w:pStyle w:val="SMHeading"/>
        <w:spacing w:after="120" w:line="360" w:lineRule="auto"/>
        <w:jc w:val="both"/>
        <w:outlineLvl w:val="9"/>
        <w:rPr>
          <w:rFonts w:ascii="Arial" w:hAnsi="Arial" w:cs="Arial"/>
          <w:b w:val="0"/>
          <w:color w:val="000000" w:themeColor="text1"/>
          <w:sz w:val="22"/>
          <w:szCs w:val="22"/>
        </w:rPr>
      </w:pPr>
      <w:r w:rsidRPr="00335FA0">
        <w:rPr>
          <w:rFonts w:ascii="Arial" w:hAnsi="Arial" w:cs="Arial"/>
          <w:b w:val="0"/>
          <w:color w:val="000000" w:themeColor="text1"/>
          <w:sz w:val="22"/>
          <w:szCs w:val="22"/>
          <w:lang w:val="en-US"/>
        </w:rPr>
        <w:t xml:space="preserve">where </w:t>
      </w:r>
      <w:r w:rsidRPr="00335FA0">
        <w:rPr>
          <w:rFonts w:ascii="Arial" w:hAnsi="Arial" w:cs="Arial"/>
          <w:b w:val="0"/>
          <w:color w:val="000000" w:themeColor="text1"/>
          <w:sz w:val="22"/>
          <w:szCs w:val="22"/>
        </w:rPr>
        <w:t>ΔN</w:t>
      </w:r>
      <w:r w:rsidRPr="00335FA0">
        <w:rPr>
          <w:rFonts w:ascii="Arial" w:hAnsi="Arial" w:cs="Arial"/>
          <w:b w:val="0"/>
          <w:color w:val="000000" w:themeColor="text1"/>
          <w:sz w:val="22"/>
          <w:szCs w:val="22"/>
          <w:lang w:val="en-US"/>
        </w:rPr>
        <w:t xml:space="preserve"> is the difference between the mean value of the nutrient in the upper and lower limbs of the MOC (Table </w:t>
      </w:r>
      <w:r w:rsidR="004A12CE" w:rsidRPr="00335FA0">
        <w:rPr>
          <w:rFonts w:ascii="Arial" w:hAnsi="Arial" w:cs="Arial"/>
          <w:b w:val="0"/>
          <w:color w:val="000000" w:themeColor="text1"/>
          <w:sz w:val="22"/>
          <w:szCs w:val="22"/>
          <w:lang w:val="en-US"/>
        </w:rPr>
        <w:t>5</w:t>
      </w:r>
      <w:r w:rsidRPr="00335FA0">
        <w:rPr>
          <w:rFonts w:ascii="Arial" w:hAnsi="Arial" w:cs="Arial"/>
          <w:b w:val="0"/>
          <w:color w:val="000000" w:themeColor="text1"/>
          <w:sz w:val="22"/>
          <w:szCs w:val="22"/>
          <w:lang w:val="en-US"/>
        </w:rPr>
        <w:t xml:space="preserve">), </w:t>
      </w:r>
      <w:r w:rsidRPr="00335FA0">
        <w:rPr>
          <w:rFonts w:ascii="Arial" w:hAnsi="Arial" w:cs="Arial"/>
          <w:b w:val="0"/>
          <w:color w:val="000000" w:themeColor="text1"/>
          <w:sz w:val="22"/>
          <w:szCs w:val="22"/>
        </w:rPr>
        <w:sym w:font="Symbol" w:char="F072"/>
      </w:r>
      <w:r w:rsidRPr="00335FA0">
        <w:rPr>
          <w:rFonts w:ascii="Arial" w:hAnsi="Arial" w:cs="Arial"/>
          <w:b w:val="0"/>
          <w:color w:val="000000" w:themeColor="text1"/>
          <w:sz w:val="22"/>
          <w:szCs w:val="22"/>
          <w:vertAlign w:val="subscript"/>
        </w:rPr>
        <w:t>0</w:t>
      </w:r>
      <w:r w:rsidRPr="00335FA0">
        <w:rPr>
          <w:rFonts w:ascii="Arial" w:hAnsi="Arial" w:cs="Arial"/>
          <w:b w:val="0"/>
          <w:color w:val="000000" w:themeColor="text1"/>
          <w:sz w:val="22"/>
          <w:szCs w:val="22"/>
        </w:rPr>
        <w:t xml:space="preserve"> </w:t>
      </w:r>
      <w:r w:rsidRPr="00335FA0">
        <w:rPr>
          <w:rFonts w:ascii="Arial" w:hAnsi="Arial" w:cs="Arial"/>
          <w:b w:val="0"/>
          <w:color w:val="000000" w:themeColor="text1"/>
          <w:sz w:val="22"/>
          <w:szCs w:val="22"/>
          <w:lang w:val="en-US"/>
        </w:rPr>
        <w:t>is a reference density for seawater (</w:t>
      </w:r>
      <w:r w:rsidRPr="00335FA0">
        <w:rPr>
          <w:rFonts w:ascii="Arial" w:hAnsi="Arial" w:cs="Arial"/>
          <w:b w:val="0"/>
          <w:color w:val="000000" w:themeColor="text1"/>
          <w:sz w:val="22"/>
          <w:szCs w:val="22"/>
        </w:rPr>
        <w:sym w:font="Symbol" w:char="F072"/>
      </w:r>
      <w:r w:rsidRPr="00335FA0">
        <w:rPr>
          <w:rFonts w:ascii="Arial" w:hAnsi="Arial" w:cs="Arial"/>
          <w:b w:val="0"/>
          <w:color w:val="000000" w:themeColor="text1"/>
          <w:sz w:val="22"/>
          <w:szCs w:val="22"/>
          <w:vertAlign w:val="subscript"/>
        </w:rPr>
        <w:t>0</w:t>
      </w:r>
      <w:r w:rsidRPr="00335FA0">
        <w:rPr>
          <w:rFonts w:ascii="Arial" w:hAnsi="Arial" w:cs="Arial"/>
          <w:b w:val="0"/>
          <w:color w:val="000000" w:themeColor="text1"/>
          <w:sz w:val="22"/>
          <w:szCs w:val="22"/>
          <w:lang w:val="en-US"/>
        </w:rPr>
        <w:t xml:space="preserve"> = 1026 kg m</w:t>
      </w:r>
      <w:r w:rsidRPr="00335FA0">
        <w:rPr>
          <w:rFonts w:ascii="Arial" w:hAnsi="Arial" w:cs="Arial"/>
          <w:b w:val="0"/>
          <w:color w:val="000000" w:themeColor="text1"/>
          <w:sz w:val="22"/>
          <w:szCs w:val="22"/>
          <w:vertAlign w:val="superscript"/>
          <w:lang w:val="en-US"/>
        </w:rPr>
        <w:t>-3</w:t>
      </w:r>
      <w:r w:rsidRPr="00335FA0">
        <w:rPr>
          <w:rFonts w:ascii="Arial" w:hAnsi="Arial" w:cs="Arial"/>
          <w:b w:val="0"/>
          <w:color w:val="000000" w:themeColor="text1"/>
          <w:sz w:val="22"/>
          <w:szCs w:val="22"/>
          <w:lang w:val="en-US"/>
        </w:rPr>
        <w:t>),</w:t>
      </w:r>
      <w:r w:rsidRPr="00335FA0">
        <w:rPr>
          <w:rFonts w:ascii="Arial" w:hAnsi="Arial" w:cs="Arial"/>
          <w:color w:val="000000" w:themeColor="text1"/>
          <w:sz w:val="22"/>
          <w:szCs w:val="22"/>
          <w:lang w:val="en-US"/>
        </w:rPr>
        <w:t xml:space="preserve"> </w:t>
      </w:r>
      <w:r w:rsidRPr="00335FA0">
        <w:rPr>
          <w:rFonts w:ascii="Arial" w:hAnsi="Arial" w:cs="Arial"/>
          <w:b w:val="0"/>
          <w:color w:val="000000" w:themeColor="text1"/>
          <w:sz w:val="22"/>
          <w:szCs w:val="22"/>
          <w:lang w:val="en-US"/>
        </w:rPr>
        <w:t>and</w:t>
      </w:r>
      <w:r w:rsidRPr="00335FA0">
        <w:rPr>
          <w:rFonts w:ascii="Arial" w:hAnsi="Arial" w:cs="Arial"/>
          <w:b w:val="0"/>
          <w:color w:val="000000" w:themeColor="text1"/>
          <w:sz w:val="22"/>
          <w:szCs w:val="22"/>
        </w:rPr>
        <w:t xml:space="preserve"> MOC</w:t>
      </w:r>
      <w:r w:rsidRPr="00335FA0">
        <w:rPr>
          <w:rFonts w:ascii="Arial" w:hAnsi="Arial" w:cs="Arial"/>
          <w:b w:val="0"/>
          <w:color w:val="000000" w:themeColor="text1"/>
          <w:sz w:val="22"/>
          <w:szCs w:val="22"/>
          <w:vertAlign w:val="subscript"/>
        </w:rPr>
        <w:t>σ</w:t>
      </w:r>
      <w:r w:rsidRPr="00335FA0">
        <w:rPr>
          <w:rFonts w:ascii="Arial" w:hAnsi="Arial" w:cs="Arial"/>
          <w:b w:val="0"/>
          <w:color w:val="000000" w:themeColor="text1"/>
          <w:sz w:val="22"/>
          <w:szCs w:val="22"/>
          <w:lang w:val="en-US"/>
        </w:rPr>
        <w:t xml:space="preserve"> is the intensity of the MOC computed as the maximum of the overturning streamfunction in density coordinates. Based on this simple estimator, </w:t>
      </w:r>
      <w:r w:rsidR="00CE1FB0" w:rsidRPr="00335FA0">
        <w:rPr>
          <w:rFonts w:ascii="Arial" w:hAnsi="Arial" w:cs="Arial"/>
          <w:b w:val="0"/>
          <w:color w:val="000000" w:themeColor="text1"/>
          <w:sz w:val="22"/>
          <w:szCs w:val="22"/>
        </w:rPr>
        <w:t>we inferred a</w:t>
      </w:r>
      <w:r w:rsidRPr="00335FA0">
        <w:rPr>
          <w:rFonts w:ascii="Arial" w:hAnsi="Arial" w:cs="Arial"/>
          <w:b w:val="0"/>
          <w:color w:val="000000" w:themeColor="text1"/>
          <w:sz w:val="22"/>
          <w:szCs w:val="22"/>
        </w:rPr>
        <w:t xml:space="preserve"> 6% </w:t>
      </w:r>
      <w:r w:rsidR="00CE1FB0" w:rsidRPr="00335FA0">
        <w:rPr>
          <w:rFonts w:ascii="Arial" w:hAnsi="Arial" w:cs="Arial"/>
          <w:b w:val="0"/>
          <w:color w:val="000000" w:themeColor="text1"/>
          <w:sz w:val="22"/>
          <w:szCs w:val="22"/>
        </w:rPr>
        <w:t>(</w:t>
      </w:r>
      <w:r w:rsidRPr="00335FA0">
        <w:rPr>
          <w:rFonts w:ascii="Arial" w:hAnsi="Arial" w:cs="Arial"/>
          <w:b w:val="0"/>
          <w:color w:val="000000" w:themeColor="text1"/>
          <w:sz w:val="22"/>
          <w:szCs w:val="22"/>
        </w:rPr>
        <w:t>reduction</w:t>
      </w:r>
      <w:r w:rsidR="00CE1FB0" w:rsidRPr="00335FA0">
        <w:rPr>
          <w:rFonts w:ascii="Arial" w:hAnsi="Arial" w:cs="Arial"/>
          <w:b w:val="0"/>
          <w:color w:val="000000" w:themeColor="text1"/>
          <w:sz w:val="22"/>
          <w:szCs w:val="22"/>
        </w:rPr>
        <w:t>)</w:t>
      </w:r>
      <w:r w:rsidRPr="00335FA0">
        <w:rPr>
          <w:rFonts w:ascii="Arial" w:hAnsi="Arial" w:cs="Arial"/>
          <w:b w:val="0"/>
          <w:color w:val="000000" w:themeColor="text1"/>
          <w:sz w:val="22"/>
          <w:szCs w:val="22"/>
        </w:rPr>
        <w:t xml:space="preserve"> </w:t>
      </w:r>
      <w:r w:rsidR="00CE1FB0" w:rsidRPr="00335FA0">
        <w:rPr>
          <w:rFonts w:ascii="Arial" w:hAnsi="Arial" w:cs="Arial"/>
          <w:b w:val="0"/>
          <w:color w:val="000000" w:themeColor="text1"/>
          <w:sz w:val="22"/>
          <w:szCs w:val="22"/>
        </w:rPr>
        <w:t xml:space="preserve">seasonal </w:t>
      </w:r>
      <w:r w:rsidR="00CE1FB0">
        <w:rPr>
          <w:rFonts w:ascii="Arial" w:hAnsi="Arial" w:cs="Arial"/>
          <w:b w:val="0"/>
          <w:color w:val="000000" w:themeColor="text1"/>
          <w:sz w:val="22"/>
          <w:szCs w:val="22"/>
        </w:rPr>
        <w:t xml:space="preserve">bias </w:t>
      </w:r>
      <w:r w:rsidRPr="004E2840">
        <w:rPr>
          <w:rFonts w:ascii="Arial" w:hAnsi="Arial" w:cs="Arial"/>
          <w:b w:val="0"/>
          <w:color w:val="000000" w:themeColor="text1"/>
          <w:sz w:val="22"/>
          <w:szCs w:val="22"/>
        </w:rPr>
        <w:t xml:space="preserve">on the total transport of nutrients, which ultimately still lies within the range of the </w:t>
      </w:r>
      <w:r w:rsidRPr="00335FA0">
        <w:rPr>
          <w:rFonts w:ascii="Arial" w:hAnsi="Arial" w:cs="Arial"/>
          <w:b w:val="0"/>
          <w:color w:val="000000" w:themeColor="text1"/>
          <w:sz w:val="22"/>
          <w:szCs w:val="22"/>
        </w:rPr>
        <w:t xml:space="preserve">uncertainties of the </w:t>
      </w:r>
      <w:r w:rsidRPr="00335FA0">
        <w:rPr>
          <w:rFonts w:ascii="Arial" w:hAnsi="Arial" w:cs="Arial"/>
          <w:b w:val="0"/>
          <w:i/>
          <w:color w:val="000000" w:themeColor="text1"/>
          <w:sz w:val="22"/>
          <w:szCs w:val="22"/>
        </w:rPr>
        <w:t>in situ</w:t>
      </w:r>
      <w:r w:rsidRPr="00335FA0">
        <w:rPr>
          <w:rFonts w:ascii="Arial" w:hAnsi="Arial" w:cs="Arial"/>
          <w:b w:val="0"/>
          <w:color w:val="000000" w:themeColor="text1"/>
          <w:sz w:val="22"/>
          <w:szCs w:val="22"/>
        </w:rPr>
        <w:t xml:space="preserve"> total nutrient transports (Table </w:t>
      </w:r>
      <w:r w:rsidR="00334F6F" w:rsidRPr="00335FA0">
        <w:rPr>
          <w:rFonts w:ascii="Arial" w:hAnsi="Arial" w:cs="Arial"/>
          <w:b w:val="0"/>
          <w:color w:val="000000" w:themeColor="text1"/>
          <w:sz w:val="22"/>
          <w:szCs w:val="22"/>
        </w:rPr>
        <w:t>4</w:t>
      </w:r>
      <w:r w:rsidRPr="00335FA0">
        <w:rPr>
          <w:rFonts w:ascii="Arial" w:hAnsi="Arial" w:cs="Arial"/>
          <w:b w:val="0"/>
          <w:color w:val="000000" w:themeColor="text1"/>
          <w:sz w:val="22"/>
          <w:szCs w:val="22"/>
        </w:rPr>
        <w:t xml:space="preserve">). Summarizing, the 2004 and 2010 nutrient transports across the OVIDE section </w:t>
      </w:r>
      <w:r w:rsidR="00334F6F" w:rsidRPr="00335FA0">
        <w:rPr>
          <w:rFonts w:ascii="Arial" w:hAnsi="Arial" w:cs="Arial"/>
          <w:b w:val="0"/>
          <w:color w:val="000000" w:themeColor="text1"/>
          <w:sz w:val="22"/>
          <w:szCs w:val="22"/>
        </w:rPr>
        <w:t>are not</w:t>
      </w:r>
      <w:r w:rsidRPr="00335FA0">
        <w:rPr>
          <w:rFonts w:ascii="Arial" w:hAnsi="Arial" w:cs="Arial"/>
          <w:b w:val="0"/>
          <w:color w:val="000000" w:themeColor="text1"/>
          <w:sz w:val="22"/>
          <w:szCs w:val="22"/>
        </w:rPr>
        <w:t xml:space="preserve"> significantly affected (within the range of uncertainties) by either seasonal or interannual variability of the ocean circulation.</w:t>
      </w:r>
      <w:r w:rsidRPr="00335FA0">
        <w:rPr>
          <w:rFonts w:ascii="Arial" w:hAnsi="Arial" w:cs="Arial"/>
          <w:color w:val="000000" w:themeColor="text1"/>
          <w:sz w:val="22"/>
          <w:szCs w:val="22"/>
        </w:rPr>
        <w:t xml:space="preserve"> </w:t>
      </w:r>
    </w:p>
    <w:p w14:paraId="268F2D6D" w14:textId="32A3F88E" w:rsidR="009712A9" w:rsidRPr="00B0147F" w:rsidRDefault="009712A9" w:rsidP="00E1460D">
      <w:pPr>
        <w:spacing w:before="240" w:after="120" w:line="360" w:lineRule="auto"/>
        <w:jc w:val="both"/>
        <w:rPr>
          <w:rFonts w:ascii="Arial" w:hAnsi="Arial" w:cs="Arial"/>
          <w:color w:val="000000" w:themeColor="text1"/>
          <w:sz w:val="22"/>
          <w:szCs w:val="22"/>
        </w:rPr>
      </w:pPr>
      <w:r w:rsidRPr="00B0147F">
        <w:rPr>
          <w:rFonts w:ascii="Arial" w:hAnsi="Arial" w:cs="Arial"/>
          <w:color w:val="000000" w:themeColor="text1"/>
          <w:sz w:val="22"/>
          <w:szCs w:val="22"/>
        </w:rPr>
        <w:t>A</w:t>
      </w:r>
      <w:r w:rsidR="0073292B" w:rsidRPr="00B0147F">
        <w:rPr>
          <w:rFonts w:ascii="Arial" w:hAnsi="Arial" w:cs="Arial"/>
          <w:color w:val="000000" w:themeColor="text1"/>
          <w:sz w:val="22"/>
          <w:szCs w:val="22"/>
        </w:rPr>
        <w:t xml:space="preserve">pplying the same simplified estimator at </w:t>
      </w:r>
      <w:r w:rsidR="00E1460D" w:rsidRPr="00B0147F">
        <w:rPr>
          <w:rFonts w:ascii="Arial" w:hAnsi="Arial" w:cs="Arial"/>
          <w:color w:val="000000" w:themeColor="text1"/>
          <w:sz w:val="22"/>
          <w:szCs w:val="22"/>
        </w:rPr>
        <w:t>A05-24.5</w:t>
      </w:r>
      <w:r w:rsidR="00E1460D" w:rsidRPr="00B0147F">
        <w:rPr>
          <w:rFonts w:ascii="Arial" w:eastAsia="MS Gothic" w:hAnsi="Arial" w:cs="Arial"/>
          <w:color w:val="000000" w:themeColor="text1"/>
          <w:sz w:val="22"/>
          <w:szCs w:val="22"/>
        </w:rPr>
        <w:t>º</w:t>
      </w:r>
      <w:r w:rsidR="00E1460D" w:rsidRPr="00B0147F">
        <w:rPr>
          <w:rFonts w:ascii="Arial" w:hAnsi="Arial" w:cs="Arial"/>
          <w:color w:val="000000" w:themeColor="text1"/>
          <w:sz w:val="22"/>
          <w:szCs w:val="22"/>
        </w:rPr>
        <w:t>N,</w:t>
      </w:r>
      <w:r w:rsidRPr="00B0147F">
        <w:rPr>
          <w:rFonts w:ascii="Arial" w:hAnsi="Arial" w:cs="Arial"/>
          <w:color w:val="000000" w:themeColor="text1"/>
          <w:sz w:val="22"/>
          <w:szCs w:val="22"/>
        </w:rPr>
        <w:t xml:space="preserve"> and </w:t>
      </w:r>
      <w:r w:rsidR="000F6E1F" w:rsidRPr="00B0147F">
        <w:rPr>
          <w:rFonts w:ascii="Arial" w:hAnsi="Arial" w:cs="Arial"/>
          <w:color w:val="000000" w:themeColor="text1"/>
          <w:sz w:val="22"/>
          <w:szCs w:val="22"/>
        </w:rPr>
        <w:t>t</w:t>
      </w:r>
      <w:r w:rsidR="00011742" w:rsidRPr="00043172">
        <w:rPr>
          <w:rFonts w:ascii="Arial" w:hAnsi="Arial" w:cs="Arial"/>
          <w:color w:val="000000" w:themeColor="text1"/>
          <w:sz w:val="22"/>
          <w:szCs w:val="22"/>
        </w:rPr>
        <w:t xml:space="preserve">aking the </w:t>
      </w:r>
      <w:r w:rsidR="008B53F9" w:rsidRPr="00043172">
        <w:rPr>
          <w:rFonts w:ascii="Arial" w:hAnsi="Arial" w:cs="Arial"/>
          <w:color w:val="000000" w:themeColor="text1"/>
          <w:sz w:val="22"/>
          <w:szCs w:val="22"/>
        </w:rPr>
        <w:t xml:space="preserve">MOC </w:t>
      </w:r>
      <w:r w:rsidR="009473C0" w:rsidRPr="00043172">
        <w:rPr>
          <w:rFonts w:ascii="Arial" w:hAnsi="Arial" w:cs="Arial"/>
          <w:color w:val="000000" w:themeColor="text1"/>
          <w:sz w:val="22"/>
          <w:szCs w:val="22"/>
        </w:rPr>
        <w:t xml:space="preserve">annual averages by </w:t>
      </w:r>
      <w:r w:rsidR="008B53F9" w:rsidRPr="00043172">
        <w:rPr>
          <w:rFonts w:ascii="Arial" w:hAnsi="Arial" w:cs="Arial"/>
          <w:color w:val="000000" w:themeColor="text1"/>
          <w:sz w:val="22"/>
          <w:szCs w:val="22"/>
        </w:rPr>
        <w:t xml:space="preserve">the RAPID </w:t>
      </w:r>
      <w:r w:rsidR="009473C0" w:rsidRPr="00043172">
        <w:rPr>
          <w:rFonts w:ascii="Arial" w:hAnsi="Arial" w:cs="Arial"/>
          <w:color w:val="000000" w:themeColor="text1"/>
          <w:sz w:val="22"/>
          <w:szCs w:val="22"/>
        </w:rPr>
        <w:t>timeseries (</w:t>
      </w:r>
      <w:r w:rsidR="009473C0" w:rsidRPr="00043172">
        <w:rPr>
          <w:rFonts w:ascii="Arial" w:hAnsi="Arial" w:cs="Arial"/>
          <w:color w:val="000000" w:themeColor="text1"/>
          <w:sz w:val="22"/>
          <w:szCs w:val="22"/>
        </w:rPr>
        <w:fldChar w:fldCharType="begin"/>
      </w:r>
      <w:r w:rsidR="009473C0" w:rsidRPr="00043172">
        <w:rPr>
          <w:rFonts w:ascii="Arial" w:hAnsi="Arial" w:cs="Arial"/>
          <w:color w:val="000000" w:themeColor="text1"/>
          <w:sz w:val="22"/>
          <w:szCs w:val="22"/>
        </w:rPr>
        <w:instrText xml:space="preserve"> ADDIN ZOTERO_ITEM CSL_CITATION {"citationID":"CP4c8wdT","properties":{"formattedCitation":"(D. Smeed et al., 2019)","plainCitation":"(D. Smeed et al., 2019)","dontUpdate":true,"noteIndex":0},"citationItems":[{"id":4440,"uris":["http://zotero.org/users/951135/items/4FRXQJD5"],"uri":["http://zotero.org/users/951135/items/4FRXQJD5"],"itemData":{"id":4440,"type":"article-journal","abstract":"Atlantic meridional overturning circulation observed by the RAPID-MOCHA-WBTS (RAPID-Meridional Overturning Circulation and Heatflux Array-Western Boundary Time Series) array at 26N from 2004 to 2018.","container-title":"British Oceanographic Data Centre","DOI":"10/c72s","title":"Atlantic meridional overturning circulation observed by the RAPID-MOCHA-WBTS array at 26N from 2004 to 2018","URL":"https://www.bodc.ac.uk/data/published_data_library/catalogue/10.5285/8cd7e7bb-9a20-05d8-e053-6c86abc012c2/","author":[{"family":"Smeed","given":"D."},{"family":"Moat","given":"B.I."},{"family":"Rayner","given":"D."},{"family":"Johns","given":"W.E."},{"family":"Baringer","given":"M.O."},{"family":"Volkov","given":"D.L."},{"family":"Frajka-Williams","given":"E."}],"accessed":{"date-parts":[["2020",10,29]]},"issued":{"date-parts":[["2019"]]}}}],"schema":"https://github.com/citation-style-language/schema/raw/master/csl-citation.json"} </w:instrText>
      </w:r>
      <w:r w:rsidR="009473C0" w:rsidRPr="00043172">
        <w:rPr>
          <w:rFonts w:ascii="Arial" w:hAnsi="Arial" w:cs="Arial"/>
          <w:color w:val="000000" w:themeColor="text1"/>
          <w:sz w:val="22"/>
          <w:szCs w:val="22"/>
        </w:rPr>
        <w:fldChar w:fldCharType="separate"/>
      </w:r>
      <w:r w:rsidR="009473C0" w:rsidRPr="00043172">
        <w:rPr>
          <w:rFonts w:ascii="Arial" w:hAnsi="Arial" w:cs="Arial"/>
          <w:noProof/>
          <w:color w:val="000000" w:themeColor="text1"/>
          <w:sz w:val="22"/>
          <w:szCs w:val="22"/>
        </w:rPr>
        <w:t>Smeed et al., 2019</w:t>
      </w:r>
      <w:r w:rsidR="009473C0" w:rsidRPr="00043172">
        <w:rPr>
          <w:rFonts w:ascii="Arial" w:hAnsi="Arial" w:cs="Arial"/>
          <w:color w:val="000000" w:themeColor="text1"/>
          <w:sz w:val="22"/>
          <w:szCs w:val="22"/>
        </w:rPr>
        <w:fldChar w:fldCharType="end"/>
      </w:r>
      <w:r w:rsidR="009473C0" w:rsidRPr="00043172">
        <w:rPr>
          <w:rFonts w:ascii="Arial" w:hAnsi="Arial" w:cs="Arial"/>
          <w:color w:val="000000" w:themeColor="text1"/>
          <w:sz w:val="22"/>
          <w:szCs w:val="22"/>
        </w:rPr>
        <w:t xml:space="preserve">) </w:t>
      </w:r>
      <w:r w:rsidR="00011742" w:rsidRPr="00043172">
        <w:rPr>
          <w:rFonts w:ascii="Arial" w:hAnsi="Arial" w:cs="Arial"/>
          <w:color w:val="000000" w:themeColor="text1"/>
          <w:sz w:val="22"/>
          <w:szCs w:val="22"/>
        </w:rPr>
        <w:t xml:space="preserve">as </w:t>
      </w:r>
      <w:r w:rsidR="009473C0" w:rsidRPr="00043172">
        <w:rPr>
          <w:rFonts w:ascii="Arial" w:hAnsi="Arial" w:cs="Arial"/>
          <w:color w:val="000000" w:themeColor="text1"/>
          <w:sz w:val="22"/>
          <w:szCs w:val="22"/>
        </w:rPr>
        <w:t xml:space="preserve">year-round </w:t>
      </w:r>
      <w:r w:rsidR="00011742" w:rsidRPr="00043172">
        <w:rPr>
          <w:rFonts w:ascii="Arial" w:hAnsi="Arial" w:cs="Arial"/>
          <w:color w:val="000000" w:themeColor="text1"/>
          <w:sz w:val="22"/>
          <w:szCs w:val="22"/>
        </w:rPr>
        <w:t xml:space="preserve">representative </w:t>
      </w:r>
      <w:r w:rsidR="009473C0" w:rsidRPr="00043172">
        <w:rPr>
          <w:rFonts w:ascii="Arial" w:hAnsi="Arial" w:cs="Arial"/>
          <w:color w:val="000000" w:themeColor="text1"/>
          <w:sz w:val="22"/>
          <w:szCs w:val="22"/>
        </w:rPr>
        <w:t>MOC estimates</w:t>
      </w:r>
      <w:r w:rsidR="000F6E1F" w:rsidRPr="00043172">
        <w:rPr>
          <w:rFonts w:ascii="Arial" w:hAnsi="Arial" w:cs="Arial"/>
          <w:color w:val="000000" w:themeColor="text1"/>
          <w:sz w:val="22"/>
          <w:szCs w:val="22"/>
        </w:rPr>
        <w:t xml:space="preserve"> (</w:t>
      </w:r>
      <w:r w:rsidR="00904A93" w:rsidRPr="00043172">
        <w:rPr>
          <w:rFonts w:ascii="Arial" w:hAnsi="Arial" w:cs="Arial"/>
          <w:color w:val="000000" w:themeColor="text1"/>
          <w:sz w:val="22"/>
          <w:szCs w:val="22"/>
        </w:rPr>
        <w:t>17.8</w:t>
      </w:r>
      <w:r w:rsidR="00011742" w:rsidRPr="00043172">
        <w:rPr>
          <w:rFonts w:ascii="Arial" w:hAnsi="Arial" w:cs="Arial"/>
          <w:color w:val="000000" w:themeColor="text1"/>
          <w:sz w:val="22"/>
          <w:szCs w:val="22"/>
        </w:rPr>
        <w:t xml:space="preserve"> [4.</w:t>
      </w:r>
      <w:r w:rsidR="00904A93" w:rsidRPr="00043172">
        <w:rPr>
          <w:rFonts w:ascii="Arial" w:hAnsi="Arial" w:cs="Arial"/>
          <w:color w:val="000000" w:themeColor="text1"/>
          <w:sz w:val="22"/>
          <w:szCs w:val="22"/>
        </w:rPr>
        <w:t>7</w:t>
      </w:r>
      <w:r w:rsidR="00011742" w:rsidRPr="00043172">
        <w:rPr>
          <w:rFonts w:ascii="Arial" w:hAnsi="Arial" w:cs="Arial"/>
          <w:color w:val="000000" w:themeColor="text1"/>
          <w:sz w:val="22"/>
          <w:szCs w:val="22"/>
        </w:rPr>
        <w:t xml:space="preserve">] Sv </w:t>
      </w:r>
      <w:r w:rsidR="009473C0" w:rsidRPr="00043172">
        <w:rPr>
          <w:rFonts w:ascii="Arial" w:hAnsi="Arial" w:cs="Arial"/>
          <w:color w:val="000000" w:themeColor="text1"/>
          <w:sz w:val="22"/>
          <w:szCs w:val="22"/>
        </w:rPr>
        <w:t xml:space="preserve">in 2004, </w:t>
      </w:r>
      <w:r w:rsidR="00904A93" w:rsidRPr="00043172">
        <w:rPr>
          <w:rFonts w:ascii="Arial" w:hAnsi="Arial" w:cs="Arial"/>
          <w:color w:val="000000" w:themeColor="text1"/>
          <w:sz w:val="22"/>
          <w:szCs w:val="22"/>
        </w:rPr>
        <w:t>12.8</w:t>
      </w:r>
      <w:r w:rsidR="009473C0" w:rsidRPr="00043172">
        <w:rPr>
          <w:rFonts w:ascii="Arial" w:hAnsi="Arial" w:cs="Arial"/>
          <w:color w:val="000000" w:themeColor="text1"/>
          <w:sz w:val="22"/>
          <w:szCs w:val="22"/>
        </w:rPr>
        <w:t xml:space="preserve"> [</w:t>
      </w:r>
      <w:r w:rsidR="00904A93" w:rsidRPr="00043172">
        <w:rPr>
          <w:rFonts w:ascii="Arial" w:hAnsi="Arial" w:cs="Arial"/>
          <w:color w:val="000000" w:themeColor="text1"/>
          <w:sz w:val="22"/>
          <w:szCs w:val="22"/>
        </w:rPr>
        <w:t>4.0</w:t>
      </w:r>
      <w:r w:rsidR="009473C0" w:rsidRPr="00043172">
        <w:rPr>
          <w:rFonts w:ascii="Arial" w:hAnsi="Arial" w:cs="Arial"/>
          <w:color w:val="000000" w:themeColor="text1"/>
          <w:sz w:val="22"/>
          <w:szCs w:val="22"/>
        </w:rPr>
        <w:t xml:space="preserve">] Sv in 2010; </w:t>
      </w:r>
      <w:r w:rsidR="00011742" w:rsidRPr="00043172">
        <w:rPr>
          <w:rFonts w:ascii="Arial" w:hAnsi="Arial" w:cs="Arial"/>
          <w:color w:val="000000" w:themeColor="text1"/>
          <w:sz w:val="22"/>
          <w:szCs w:val="22"/>
        </w:rPr>
        <w:t>average [standard deviation] for the Jan-Dec annual period</w:t>
      </w:r>
      <w:r w:rsidR="000F6E1F" w:rsidRPr="00043172">
        <w:rPr>
          <w:rFonts w:ascii="Arial" w:hAnsi="Arial" w:cs="Arial"/>
          <w:color w:val="000000" w:themeColor="text1"/>
          <w:sz w:val="22"/>
          <w:szCs w:val="22"/>
        </w:rPr>
        <w:t xml:space="preserve">; </w:t>
      </w:r>
      <w:r w:rsidR="000F6E1F" w:rsidRPr="00043172">
        <w:rPr>
          <w:rFonts w:ascii="Arial" w:hAnsi="Arial" w:cs="Arial"/>
          <w:color w:val="000000" w:themeColor="text1"/>
          <w:sz w:val="22"/>
          <w:szCs w:val="22"/>
        </w:rPr>
        <w:fldChar w:fldCharType="begin"/>
      </w:r>
      <w:r w:rsidR="000F6E1F" w:rsidRPr="00043172">
        <w:rPr>
          <w:rFonts w:ascii="Arial" w:hAnsi="Arial" w:cs="Arial"/>
          <w:color w:val="000000" w:themeColor="text1"/>
          <w:sz w:val="22"/>
          <w:szCs w:val="22"/>
        </w:rPr>
        <w:instrText xml:space="preserve"> ADDIN ZOTERO_ITEM CSL_CITATION {"citationID":"CP4c8wdT","properties":{"formattedCitation":"(D. Smeed et al., 2019)","plainCitation":"(D. Smeed et al., 2019)","dontUpdate":true,"noteIndex":0},"citationItems":[{"id":4440,"uris":["http://zotero.org/users/951135/items/4FRXQJD5"],"uri":["http://zotero.org/users/951135/items/4FRXQJD5"],"itemData":{"id":4440,"type":"article-journal","abstract":"Atlantic meridional overturning circulation observed by the RAPID-MOCHA-WBTS (RAPID-Meridional Overturning Circulation and Heatflux Array-Western Boundary Time Series) array at 26N from 2004 to 2018.","container-title":"British Oceanographic Data Centre","DOI":"10/c72s","title":"Atlantic meridional overturning circulation observed by the RAPID-MOCHA-WBTS array at 26N from 2004 to 2018","URL":"https://www.bodc.ac.uk/data/published_data_library/catalogue/10.5285/8cd7e7bb-9a20-05d8-e053-6c86abc012c2/","author":[{"family":"Smeed","given":"D."},{"family":"Moat","given":"B.I."},{"family":"Rayner","given":"D."},{"family":"Johns","given":"W.E."},{"family":"Baringer","given":"M.O."},{"family":"Volkov","given":"D.L."},{"family":"Frajka-Williams","given":"E."}],"accessed":{"date-parts":[["2020",10,29]]},"issued":{"date-parts":[["2019"]]}}}],"schema":"https://github.com/citation-style-language/schema/raw/master/csl-citation.json"} </w:instrText>
      </w:r>
      <w:r w:rsidR="000F6E1F" w:rsidRPr="00043172">
        <w:rPr>
          <w:rFonts w:ascii="Arial" w:hAnsi="Arial" w:cs="Arial"/>
          <w:color w:val="000000" w:themeColor="text1"/>
          <w:sz w:val="22"/>
          <w:szCs w:val="22"/>
        </w:rPr>
        <w:fldChar w:fldCharType="separate"/>
      </w:r>
      <w:r w:rsidR="000F6E1F" w:rsidRPr="00043172">
        <w:rPr>
          <w:rFonts w:ascii="Arial" w:hAnsi="Arial" w:cs="Arial"/>
          <w:noProof/>
          <w:color w:val="000000" w:themeColor="text1"/>
          <w:sz w:val="22"/>
          <w:szCs w:val="22"/>
        </w:rPr>
        <w:t>Smeed et al., 2019</w:t>
      </w:r>
      <w:r w:rsidR="000F6E1F" w:rsidRPr="00043172">
        <w:rPr>
          <w:rFonts w:ascii="Arial" w:hAnsi="Arial" w:cs="Arial"/>
          <w:color w:val="000000" w:themeColor="text1"/>
          <w:sz w:val="22"/>
          <w:szCs w:val="22"/>
        </w:rPr>
        <w:fldChar w:fldCharType="end"/>
      </w:r>
      <w:r w:rsidR="008B53F9" w:rsidRPr="00043172">
        <w:rPr>
          <w:rFonts w:ascii="Arial" w:hAnsi="Arial" w:cs="Arial"/>
          <w:color w:val="000000" w:themeColor="text1"/>
          <w:sz w:val="22"/>
          <w:szCs w:val="22"/>
        </w:rPr>
        <w:t>)</w:t>
      </w:r>
      <w:r w:rsidR="00D71F3D" w:rsidRPr="00043172">
        <w:rPr>
          <w:rFonts w:ascii="Arial" w:hAnsi="Arial" w:cs="Arial"/>
          <w:color w:val="000000" w:themeColor="text1"/>
          <w:sz w:val="22"/>
          <w:szCs w:val="22"/>
        </w:rPr>
        <w:t xml:space="preserve">, </w:t>
      </w:r>
      <w:r w:rsidR="00904A93" w:rsidRPr="00043172">
        <w:rPr>
          <w:rFonts w:ascii="Arial" w:hAnsi="Arial" w:cs="Arial"/>
          <w:color w:val="000000" w:themeColor="text1"/>
          <w:sz w:val="22"/>
          <w:szCs w:val="22"/>
        </w:rPr>
        <w:t>compared to the long-term MOC average</w:t>
      </w:r>
      <w:r w:rsidR="009473C0" w:rsidRPr="00043172">
        <w:rPr>
          <w:rFonts w:ascii="Arial" w:hAnsi="Arial" w:cs="Arial"/>
          <w:color w:val="000000" w:themeColor="text1"/>
          <w:sz w:val="22"/>
          <w:szCs w:val="22"/>
        </w:rPr>
        <w:t xml:space="preserve"> </w:t>
      </w:r>
      <w:r w:rsidR="00904A93" w:rsidRPr="00043172">
        <w:rPr>
          <w:rFonts w:ascii="Arial" w:hAnsi="Arial" w:cs="Arial"/>
          <w:color w:val="000000" w:themeColor="text1"/>
          <w:sz w:val="22"/>
          <w:szCs w:val="22"/>
        </w:rPr>
        <w:t>of 17.0 [4.1] (</w:t>
      </w:r>
      <w:r w:rsidR="00904A93" w:rsidRPr="00043172">
        <w:rPr>
          <w:rFonts w:ascii="Arial" w:hAnsi="Arial" w:cs="Arial"/>
          <w:color w:val="000000" w:themeColor="text1"/>
          <w:sz w:val="22"/>
          <w:szCs w:val="22"/>
        </w:rPr>
        <w:fldChar w:fldCharType="begin"/>
      </w:r>
      <w:r w:rsidR="00904A93" w:rsidRPr="00043172">
        <w:rPr>
          <w:rFonts w:ascii="Arial" w:hAnsi="Arial" w:cs="Arial"/>
          <w:color w:val="000000" w:themeColor="text1"/>
          <w:sz w:val="22"/>
          <w:szCs w:val="22"/>
        </w:rPr>
        <w:instrText xml:space="preserve"> ADDIN ZOTERO_ITEM CSL_CITATION {"citationID":"CP4c8wdT","properties":{"formattedCitation":"(D. Smeed et al., 2019)","plainCitation":"(D. Smeed et al., 2019)","dontUpdate":true,"noteIndex":0},"citationItems":[{"id":4440,"uris":["http://zotero.org/users/951135/items/4FRXQJD5"],"uri":["http://zotero.org/users/951135/items/4FRXQJD5"],"itemData":{"id":4440,"type":"article-journal","abstract":"Atlantic meridional overturning circulation observed by the RAPID-MOCHA-WBTS (RAPID-Meridional Overturning Circulation and Heatflux Array-Western Boundary Time Series) array at 26N from 2004 to 2018.","container-title":"British Oceanographic Data Centre","DOI":"10/c72s","title":"Atlantic meridional overturning circulation observed by the RAPID-MOCHA-WBTS array at 26N from 2004 to 2018","URL":"https://www.bodc.ac.uk/data/published_data_library/catalogue/10.5285/8cd7e7bb-9a20-05d8-e053-6c86abc012c2/","author":[{"family":"Smeed","given":"D."},{"family":"Moat","given":"B.I."},{"family":"Rayner","given":"D."},{"family":"Johns","given":"W.E."},{"family":"Baringer","given":"M.O."},{"family":"Volkov","given":"D.L."},{"family":"Frajka-Williams","given":"E."}],"accessed":{"date-parts":[["2020",10,29]]},"issued":{"date-parts":[["2019"]]}}}],"schema":"https://github.com/citation-style-language/schema/raw/master/csl-citation.json"} </w:instrText>
      </w:r>
      <w:r w:rsidR="00904A93" w:rsidRPr="00043172">
        <w:rPr>
          <w:rFonts w:ascii="Arial" w:hAnsi="Arial" w:cs="Arial"/>
          <w:color w:val="000000" w:themeColor="text1"/>
          <w:sz w:val="22"/>
          <w:szCs w:val="22"/>
        </w:rPr>
        <w:fldChar w:fldCharType="separate"/>
      </w:r>
      <w:r w:rsidR="00904A93" w:rsidRPr="00043172">
        <w:rPr>
          <w:rFonts w:ascii="Arial" w:hAnsi="Arial" w:cs="Arial"/>
          <w:noProof/>
          <w:color w:val="000000" w:themeColor="text1"/>
          <w:sz w:val="22"/>
          <w:szCs w:val="22"/>
        </w:rPr>
        <w:t>Smeed et al., 2019</w:t>
      </w:r>
      <w:r w:rsidR="00904A93" w:rsidRPr="00043172">
        <w:rPr>
          <w:rFonts w:ascii="Arial" w:hAnsi="Arial" w:cs="Arial"/>
          <w:color w:val="000000" w:themeColor="text1"/>
          <w:sz w:val="22"/>
          <w:szCs w:val="22"/>
        </w:rPr>
        <w:fldChar w:fldCharType="end"/>
      </w:r>
      <w:r w:rsidR="00904A93" w:rsidRPr="00043172">
        <w:rPr>
          <w:rFonts w:ascii="Arial" w:hAnsi="Arial" w:cs="Arial"/>
          <w:color w:val="000000" w:themeColor="text1"/>
          <w:sz w:val="22"/>
          <w:szCs w:val="22"/>
        </w:rPr>
        <w:t>),</w:t>
      </w:r>
      <w:r w:rsidRPr="00043172">
        <w:rPr>
          <w:rFonts w:ascii="Arial" w:hAnsi="Arial" w:cs="Arial"/>
          <w:color w:val="000000" w:themeColor="text1"/>
          <w:sz w:val="22"/>
          <w:szCs w:val="22"/>
        </w:rPr>
        <w:t xml:space="preserve"> we inferred the impact of the interannual signal to be less than 5% </w:t>
      </w:r>
      <w:r w:rsidR="00D71F3D" w:rsidRPr="00043172">
        <w:rPr>
          <w:rFonts w:ascii="Arial" w:hAnsi="Arial" w:cs="Arial"/>
          <w:color w:val="000000" w:themeColor="text1"/>
          <w:sz w:val="22"/>
          <w:szCs w:val="22"/>
        </w:rPr>
        <w:t xml:space="preserve">of the total transports </w:t>
      </w:r>
      <w:r w:rsidRPr="00B0147F">
        <w:rPr>
          <w:rFonts w:ascii="Arial" w:hAnsi="Arial" w:cs="Arial"/>
          <w:color w:val="000000" w:themeColor="text1"/>
          <w:sz w:val="22"/>
          <w:szCs w:val="22"/>
        </w:rPr>
        <w:t xml:space="preserve">in 2004, but </w:t>
      </w:r>
      <w:r w:rsidR="00D71F3D" w:rsidRPr="00B0147F">
        <w:rPr>
          <w:rFonts w:ascii="Arial" w:hAnsi="Arial" w:cs="Arial"/>
          <w:color w:val="000000" w:themeColor="text1"/>
          <w:sz w:val="22"/>
          <w:szCs w:val="22"/>
        </w:rPr>
        <w:t xml:space="preserve">of more than </w:t>
      </w:r>
      <w:r w:rsidRPr="00B0147F">
        <w:rPr>
          <w:rFonts w:ascii="Arial" w:hAnsi="Arial" w:cs="Arial"/>
          <w:color w:val="000000" w:themeColor="text1"/>
          <w:sz w:val="22"/>
          <w:szCs w:val="22"/>
        </w:rPr>
        <w:t>3</w:t>
      </w:r>
      <w:r w:rsidR="00D71F3D" w:rsidRPr="00B0147F">
        <w:rPr>
          <w:rFonts w:ascii="Arial" w:hAnsi="Arial" w:cs="Arial"/>
          <w:color w:val="000000" w:themeColor="text1"/>
          <w:sz w:val="22"/>
          <w:szCs w:val="22"/>
        </w:rPr>
        <w:t>0</w:t>
      </w:r>
      <w:r w:rsidRPr="00B0147F">
        <w:rPr>
          <w:rFonts w:ascii="Arial" w:hAnsi="Arial" w:cs="Arial"/>
          <w:color w:val="000000" w:themeColor="text1"/>
          <w:sz w:val="22"/>
          <w:szCs w:val="22"/>
        </w:rPr>
        <w:t xml:space="preserve">% in 2010. </w:t>
      </w:r>
      <w:r w:rsidRPr="00B0147F">
        <w:rPr>
          <w:rFonts w:ascii="Arial" w:hAnsi="Arial" w:cs="Arial"/>
          <w:color w:val="000000" w:themeColor="text1"/>
          <w:sz w:val="22"/>
          <w:szCs w:val="22"/>
        </w:rPr>
        <w:t>Summarizing, 2004 is closer to the long-term mean and 2010 shows a strong interannual signal.</w:t>
      </w:r>
    </w:p>
    <w:p w14:paraId="42A06836" w14:textId="5609BCD5" w:rsidR="00590649" w:rsidRPr="00B0147F" w:rsidRDefault="00590649" w:rsidP="00590649">
      <w:pPr>
        <w:spacing w:before="240" w:after="120" w:line="360" w:lineRule="auto"/>
        <w:jc w:val="both"/>
        <w:rPr>
          <w:rFonts w:ascii="Arial" w:hAnsi="Arial" w:cs="Arial"/>
          <w:color w:val="000000" w:themeColor="text1"/>
          <w:sz w:val="22"/>
          <w:szCs w:val="22"/>
        </w:rPr>
      </w:pPr>
      <w:r w:rsidRPr="00B0147F">
        <w:rPr>
          <w:rFonts w:ascii="Arial" w:hAnsi="Arial" w:cs="Arial"/>
          <w:color w:val="000000" w:themeColor="text1"/>
          <w:sz w:val="22"/>
          <w:szCs w:val="22"/>
        </w:rPr>
        <w:t>The net meridional nutrient transport across A05-24.5</w:t>
      </w:r>
      <w:r w:rsidRPr="00043172">
        <w:rPr>
          <w:rFonts w:ascii="Arial" w:eastAsia="MS Gothic" w:hAnsi="Arial" w:cs="Arial"/>
          <w:color w:val="000000" w:themeColor="text1"/>
          <w:sz w:val="22"/>
          <w:szCs w:val="22"/>
        </w:rPr>
        <w:t>º</w:t>
      </w:r>
      <w:r w:rsidRPr="00B0147F">
        <w:rPr>
          <w:rFonts w:ascii="Arial" w:hAnsi="Arial" w:cs="Arial"/>
          <w:color w:val="000000" w:themeColor="text1"/>
          <w:sz w:val="22"/>
          <w:szCs w:val="22"/>
        </w:rPr>
        <w:t xml:space="preserve">N is also subject of </w:t>
      </w:r>
      <w:r w:rsidR="00D71F3D" w:rsidRPr="00B0147F">
        <w:rPr>
          <w:rFonts w:ascii="Arial" w:hAnsi="Arial" w:cs="Arial"/>
          <w:color w:val="000000" w:themeColor="text1"/>
          <w:sz w:val="22"/>
          <w:szCs w:val="22"/>
        </w:rPr>
        <w:t>experiencing</w:t>
      </w:r>
      <w:r w:rsidRPr="00B0147F">
        <w:rPr>
          <w:rFonts w:ascii="Arial" w:hAnsi="Arial" w:cs="Arial"/>
          <w:color w:val="000000" w:themeColor="text1"/>
          <w:sz w:val="22"/>
          <w:szCs w:val="22"/>
        </w:rPr>
        <w:t xml:space="preserve"> a distinct seasonal cycle, mainly following the seasonal pattern of the MOC </w:t>
      </w:r>
      <w:r w:rsidRPr="00B0147F">
        <w:rPr>
          <w:rFonts w:ascii="Arial" w:hAnsi="Arial" w:cs="Arial"/>
          <w:color w:val="000000" w:themeColor="text1"/>
          <w:sz w:val="22"/>
          <w:szCs w:val="22"/>
        </w:rPr>
        <w:fldChar w:fldCharType="begin"/>
      </w:r>
      <w:r w:rsidRPr="00B0147F">
        <w:rPr>
          <w:rFonts w:ascii="Arial" w:hAnsi="Arial" w:cs="Arial"/>
          <w:color w:val="000000" w:themeColor="text1"/>
          <w:sz w:val="22"/>
          <w:szCs w:val="22"/>
        </w:rPr>
        <w:instrText xml:space="preserve"> ADDIN ZOTERO_ITEM CSL_CITATION {"citationID":"NMkshwtv","properties":{"formattedCitation":"(Kanzow et al., 2010)","plainCitation":"(Kanzow et al., 2010)","noteIndex":0},"citationItems":[{"id":700,"uris":["http://zotero.org/users/951135/items/CWBCHNT8"],"uri":["http://zotero.org/users/951135/items/CWBCHNT8"],"itemData":{"id":700,"type":"article-journal","container-title":"Journal of Climate","DOI":"10.1175/2010JCLI3389.1","ISSN":"0894-8755, 1520-0442","issue":"21","language":"en","page":"5678-5698","source":"CrossRef","title":"Seasonal Variability of the Atlantic Meridional Overturning Circulation at 26.5°N","volume":"23","author":[{"family":"Kanzow","given":"T."},{"family":"Cunningham","given":"S. A."},{"family":"Johns","given":"W. E."},{"family":"Hirschi","given":"J. J-M."},{"family":"Marotzke","given":"J."},{"family":"Baringer","given":"M. O."},{"family":"Meinen","given":"C. S."},{"family":"Chidichimo","given":"M. P."},{"family":"Atkinson","given":"C."},{"family":"Beal","given":"L. M."},{"family":"Bryden","given":"H. L."},{"family":"Collins","given":"J."}],"issued":{"date-parts":[["2010",11]]}}}],"schema":"https://github.com/citation-style-language/schema/raw/master/csl-citation.json"} </w:instrText>
      </w:r>
      <w:r w:rsidRPr="00B0147F">
        <w:rPr>
          <w:rFonts w:ascii="Arial" w:hAnsi="Arial" w:cs="Arial"/>
          <w:color w:val="000000" w:themeColor="text1"/>
          <w:sz w:val="22"/>
          <w:szCs w:val="22"/>
        </w:rPr>
        <w:fldChar w:fldCharType="separate"/>
      </w:r>
      <w:r w:rsidRPr="00B0147F">
        <w:rPr>
          <w:rFonts w:ascii="Arial" w:hAnsi="Arial" w:cs="Arial"/>
          <w:color w:val="000000" w:themeColor="text1"/>
          <w:sz w:val="22"/>
          <w:szCs w:val="22"/>
        </w:rPr>
        <w:t>(Kanzow et al., 2010)</w:t>
      </w:r>
      <w:r w:rsidRPr="00B0147F">
        <w:rPr>
          <w:rFonts w:ascii="Arial" w:hAnsi="Arial" w:cs="Arial"/>
          <w:color w:val="000000" w:themeColor="text1"/>
          <w:sz w:val="22"/>
          <w:szCs w:val="22"/>
          <w:lang w:val="en-US"/>
        </w:rPr>
        <w:fldChar w:fldCharType="end"/>
      </w:r>
      <w:r w:rsidRPr="00B0147F">
        <w:rPr>
          <w:rFonts w:ascii="Arial" w:hAnsi="Arial" w:cs="Arial"/>
          <w:color w:val="000000" w:themeColor="text1"/>
          <w:sz w:val="22"/>
          <w:szCs w:val="22"/>
        </w:rPr>
        <w:t xml:space="preserve">. The 2004 cruise was carried out in spring, when the MOC reduces its magnitude by around 4 Sv with regards the annual average (MOC 2004 annual average of </w:t>
      </w:r>
      <w:r w:rsidRPr="00B0147F">
        <w:rPr>
          <w:rFonts w:ascii="Arial" w:hAnsi="Arial" w:cs="Arial"/>
          <w:color w:val="000000" w:themeColor="text1"/>
          <w:sz w:val="22"/>
          <w:szCs w:val="22"/>
          <w:lang w:val="en-US"/>
        </w:rPr>
        <w:t xml:space="preserve">17.8 Sv, </w:t>
      </w:r>
      <w:r w:rsidRPr="00043172">
        <w:rPr>
          <w:rFonts w:ascii="Arial" w:hAnsi="Arial" w:cs="Arial"/>
          <w:color w:val="000000" w:themeColor="text1"/>
          <w:sz w:val="22"/>
          <w:szCs w:val="22"/>
        </w:rPr>
        <w:fldChar w:fldCharType="begin"/>
      </w:r>
      <w:r w:rsidRPr="00043172">
        <w:rPr>
          <w:rFonts w:ascii="Arial" w:hAnsi="Arial" w:cs="Arial"/>
          <w:color w:val="000000" w:themeColor="text1"/>
          <w:sz w:val="22"/>
          <w:szCs w:val="22"/>
        </w:rPr>
        <w:instrText xml:space="preserve"> ADDIN ZOTERO_ITEM CSL_CITATION {"citationID":"CP4c8wdT","properties":{"formattedCitation":"(D. Smeed et al., 2019)","plainCitation":"(D. Smeed et al., 2019)","dontUpdate":true,"noteIndex":0},"citationItems":[{"id":4440,"uris":["http://zotero.org/users/951135/items/4FRXQJD5"],"uri":["http://zotero.org/users/951135/items/4FRXQJD5"],"itemData":{"id":4440,"type":"article-journal","abstract":"Atlantic meridional overturning circulation observed by the RAPID-MOCHA-WBTS (RAPID-Meridional Overturning Circulation and Heatflux Array-Western Boundary Time Series) array at 26N from 2004 to 2018.","container-title":"British Oceanographic Data Centre","DOI":"10/c72s","title":"Atlantic meridional overturning circulation observed by the RAPID-MOCHA-WBTS array at 26N from 2004 to 2018","URL":"https://www.bodc.ac.uk/data/published_data_library/catalogue/10.5285/8cd7e7bb-9a20-05d8-e053-6c86abc012c2/","author":[{"family":"Smeed","given":"D."},{"family":"Moat","given":"B.I."},{"family":"Rayner","given":"D."},{"family":"Johns","given":"W.E."},{"family":"Baringer","given":"M.O."},{"family":"Volkov","given":"D.L."},{"family":"Frajka-Williams","given":"E."}],"accessed":{"date-parts":[["2020",10,29]]},"issued":{"date-parts":[["2019"]]}}}],"schema":"https://github.com/citation-style-language/schema/raw/master/csl-citation.json"} </w:instrText>
      </w:r>
      <w:r w:rsidRPr="00043172">
        <w:rPr>
          <w:rFonts w:ascii="Arial" w:hAnsi="Arial" w:cs="Arial"/>
          <w:color w:val="000000" w:themeColor="text1"/>
          <w:sz w:val="22"/>
          <w:szCs w:val="22"/>
        </w:rPr>
        <w:fldChar w:fldCharType="separate"/>
      </w:r>
      <w:r w:rsidRPr="00043172">
        <w:rPr>
          <w:rFonts w:ascii="Arial" w:hAnsi="Arial" w:cs="Arial"/>
          <w:noProof/>
          <w:color w:val="000000" w:themeColor="text1"/>
          <w:sz w:val="22"/>
          <w:szCs w:val="22"/>
        </w:rPr>
        <w:t>Smeed et al., 2019</w:t>
      </w:r>
      <w:r w:rsidRPr="00043172">
        <w:rPr>
          <w:rFonts w:ascii="Arial" w:hAnsi="Arial" w:cs="Arial"/>
          <w:color w:val="000000" w:themeColor="text1"/>
          <w:sz w:val="22"/>
          <w:szCs w:val="22"/>
        </w:rPr>
        <w:fldChar w:fldCharType="end"/>
      </w:r>
      <w:r w:rsidRPr="00B0147F">
        <w:rPr>
          <w:rFonts w:ascii="Arial" w:hAnsi="Arial" w:cs="Arial"/>
          <w:color w:val="000000" w:themeColor="text1"/>
          <w:sz w:val="22"/>
          <w:szCs w:val="22"/>
        </w:rPr>
        <w:t>). In terms of the net nutrient transport, that involves a seasonal bias of about 35 kmol-Si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1</w:t>
      </w:r>
      <w:r w:rsidR="00D71F3D" w:rsidRPr="00B0147F">
        <w:rPr>
          <w:rFonts w:ascii="Arial" w:hAnsi="Arial" w:cs="Arial"/>
          <w:color w:val="000000" w:themeColor="text1"/>
          <w:sz w:val="22"/>
          <w:szCs w:val="22"/>
        </w:rPr>
        <w:t>1</w:t>
      </w:r>
      <w:r w:rsidRPr="00B0147F">
        <w:rPr>
          <w:rFonts w:ascii="Arial" w:hAnsi="Arial" w:cs="Arial"/>
          <w:color w:val="000000" w:themeColor="text1"/>
          <w:sz w:val="22"/>
          <w:szCs w:val="22"/>
        </w:rPr>
        <w:t xml:space="preserve"> kmol-N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xml:space="preserve"> and 1 kmol-P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which is smaller than the uncertainties (±68 kmol-Si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±40 kmol-N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w:t>
      </w:r>
      <w:r w:rsidR="00D71F3D" w:rsidRPr="00B0147F">
        <w:rPr>
          <w:rFonts w:ascii="Arial" w:hAnsi="Arial" w:cs="Arial"/>
          <w:color w:val="000000" w:themeColor="text1"/>
          <w:sz w:val="22"/>
          <w:szCs w:val="22"/>
        </w:rPr>
        <w:t>3</w:t>
      </w:r>
      <w:r w:rsidRPr="00B0147F">
        <w:rPr>
          <w:rFonts w:ascii="Arial" w:hAnsi="Arial" w:cs="Arial"/>
          <w:color w:val="000000" w:themeColor="text1"/>
          <w:sz w:val="22"/>
          <w:szCs w:val="22"/>
        </w:rPr>
        <w:t xml:space="preserve"> kmol-P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xml:space="preserve">). The 2010 cruise was carried out in winter, when the seasonal amplitude of the MOC is just 1 Sv more intense than the annual average </w:t>
      </w:r>
      <w:r w:rsidRPr="00B0147F">
        <w:rPr>
          <w:rFonts w:ascii="Arial" w:hAnsi="Arial" w:cs="Arial"/>
          <w:color w:val="000000" w:themeColor="text1"/>
          <w:sz w:val="22"/>
          <w:szCs w:val="22"/>
        </w:rPr>
        <w:fldChar w:fldCharType="begin"/>
      </w:r>
      <w:r w:rsidRPr="00B0147F">
        <w:rPr>
          <w:rFonts w:ascii="Arial" w:hAnsi="Arial" w:cs="Arial"/>
          <w:color w:val="000000" w:themeColor="text1"/>
          <w:sz w:val="22"/>
          <w:szCs w:val="22"/>
        </w:rPr>
        <w:instrText xml:space="preserve"> ADDIN ZOTERO_ITEM CSL_CITATION {"citationID":"f6UMQGDt","properties":{"formattedCitation":"(Kanzow et al., 2010)","plainCitation":"(Kanzow et al., 2010)","noteIndex":0},"citationItems":[{"id":700,"uris":["http://zotero.org/users/951135/items/CWBCHNT8"],"uri":["http://zotero.org/users/951135/items/CWBCHNT8"],"itemData":{"id":700,"type":"article-journal","container-title":"Journal of Climate","DOI":"10.1175/2010JCLI3389.1","ISSN":"0894-8755, 1520-0442","issue":"21","language":"en","page":"5678-5698","source":"CrossRef","title":"Seasonal Variability of the Atlantic Meridional Overturning Circulation at 26.5°N","volume":"23","author":[{"family":"Kanzow","given":"T."},{"family":"Cunningham","given":"S. A."},{"family":"Johns","given":"W. E."},{"family":"Hirschi","given":"J. J-M."},{"family":"Marotzke","given":"J."},{"family":"Baringer","given":"M. O."},{"family":"Meinen","given":"C. S."},{"family":"Chidichimo","given":"M. P."},{"family":"Atkinson","given":"C."},{"family":"Beal","given":"L. M."},{"family":"Bryden","given":"H. L."},{"family":"Collins","given":"J."}],"issued":{"date-parts":[["2010",11]]}}}],"schema":"https://github.com/citation-style-language/schema/raw/master/csl-citation.json"} </w:instrText>
      </w:r>
      <w:r w:rsidRPr="00B0147F">
        <w:rPr>
          <w:rFonts w:ascii="Arial" w:hAnsi="Arial" w:cs="Arial"/>
          <w:color w:val="000000" w:themeColor="text1"/>
          <w:sz w:val="22"/>
          <w:szCs w:val="22"/>
        </w:rPr>
        <w:fldChar w:fldCharType="separate"/>
      </w:r>
      <w:r w:rsidRPr="00B0147F">
        <w:rPr>
          <w:rFonts w:ascii="Arial" w:hAnsi="Arial" w:cs="Arial"/>
          <w:color w:val="000000" w:themeColor="text1"/>
          <w:sz w:val="22"/>
          <w:szCs w:val="22"/>
        </w:rPr>
        <w:t>(Kanzow et al., 2010)</w:t>
      </w:r>
      <w:r w:rsidRPr="00B0147F">
        <w:rPr>
          <w:rFonts w:ascii="Arial" w:hAnsi="Arial" w:cs="Arial"/>
          <w:color w:val="000000" w:themeColor="text1"/>
          <w:sz w:val="22"/>
          <w:szCs w:val="22"/>
          <w:lang w:val="en-US"/>
        </w:rPr>
        <w:fldChar w:fldCharType="end"/>
      </w:r>
      <w:r w:rsidRPr="00B0147F">
        <w:rPr>
          <w:rFonts w:ascii="Arial" w:hAnsi="Arial" w:cs="Arial"/>
          <w:color w:val="000000" w:themeColor="text1"/>
          <w:sz w:val="22"/>
          <w:szCs w:val="22"/>
        </w:rPr>
        <w:t xml:space="preserve">, hence the seasonal </w:t>
      </w:r>
      <w:r w:rsidR="006F5BF2" w:rsidRPr="00B0147F">
        <w:rPr>
          <w:rFonts w:ascii="Arial" w:hAnsi="Arial" w:cs="Arial"/>
          <w:color w:val="000000" w:themeColor="text1"/>
          <w:sz w:val="22"/>
          <w:szCs w:val="22"/>
        </w:rPr>
        <w:t>signal</w:t>
      </w:r>
      <w:r w:rsidRPr="00B0147F">
        <w:rPr>
          <w:rFonts w:ascii="Arial" w:hAnsi="Arial" w:cs="Arial"/>
          <w:color w:val="000000" w:themeColor="text1"/>
          <w:sz w:val="22"/>
          <w:szCs w:val="22"/>
        </w:rPr>
        <w:t xml:space="preserve"> in the nutrient transports </w:t>
      </w:r>
      <w:r w:rsidR="00D71F3D" w:rsidRPr="00B0147F">
        <w:rPr>
          <w:rFonts w:ascii="Arial" w:hAnsi="Arial" w:cs="Arial"/>
          <w:color w:val="000000" w:themeColor="text1"/>
          <w:sz w:val="22"/>
          <w:szCs w:val="22"/>
        </w:rPr>
        <w:t>is</w:t>
      </w:r>
      <w:r w:rsidRPr="00B0147F">
        <w:rPr>
          <w:rFonts w:ascii="Arial" w:hAnsi="Arial" w:cs="Arial"/>
          <w:color w:val="000000" w:themeColor="text1"/>
          <w:sz w:val="22"/>
          <w:szCs w:val="22"/>
        </w:rPr>
        <w:t xml:space="preserve"> even smaller than for the 2004 cruise</w:t>
      </w:r>
      <w:r w:rsidR="00D71F3D" w:rsidRPr="00B0147F">
        <w:rPr>
          <w:rFonts w:ascii="Arial" w:hAnsi="Arial" w:cs="Arial"/>
          <w:color w:val="000000" w:themeColor="text1"/>
          <w:sz w:val="22"/>
          <w:szCs w:val="22"/>
        </w:rPr>
        <w:t xml:space="preserve"> (l</w:t>
      </w:r>
      <w:r w:rsidRPr="00B0147F">
        <w:rPr>
          <w:rFonts w:ascii="Arial" w:hAnsi="Arial" w:cs="Arial"/>
          <w:color w:val="000000" w:themeColor="text1"/>
          <w:sz w:val="22"/>
          <w:szCs w:val="22"/>
        </w:rPr>
        <w:t xml:space="preserve">ess than </w:t>
      </w:r>
      <w:r w:rsidR="00D71F3D" w:rsidRPr="00B0147F">
        <w:rPr>
          <w:rFonts w:ascii="Arial" w:hAnsi="Arial" w:cs="Arial"/>
          <w:color w:val="000000" w:themeColor="text1"/>
          <w:sz w:val="22"/>
          <w:szCs w:val="22"/>
        </w:rPr>
        <w:t>10% bias compared to the total transport)</w:t>
      </w:r>
      <w:r w:rsidRPr="00B0147F">
        <w:rPr>
          <w:rFonts w:ascii="Arial" w:hAnsi="Arial" w:cs="Arial"/>
          <w:color w:val="000000" w:themeColor="text1"/>
          <w:sz w:val="22"/>
          <w:szCs w:val="22"/>
        </w:rPr>
        <w:t>, which</w:t>
      </w:r>
      <w:r w:rsidR="00D71F3D" w:rsidRPr="00B0147F">
        <w:rPr>
          <w:rFonts w:ascii="Arial" w:hAnsi="Arial" w:cs="Arial"/>
          <w:color w:val="000000" w:themeColor="text1"/>
          <w:sz w:val="22"/>
          <w:szCs w:val="22"/>
        </w:rPr>
        <w:t xml:space="preserve"> for both years</w:t>
      </w:r>
      <w:r w:rsidRPr="00B0147F">
        <w:rPr>
          <w:rFonts w:ascii="Arial" w:hAnsi="Arial" w:cs="Arial"/>
          <w:color w:val="000000" w:themeColor="text1"/>
          <w:sz w:val="22"/>
          <w:szCs w:val="22"/>
        </w:rPr>
        <w:t xml:space="preserve"> </w:t>
      </w:r>
      <w:r w:rsidR="00D71F3D" w:rsidRPr="00B0147F">
        <w:rPr>
          <w:rFonts w:ascii="Arial" w:hAnsi="Arial" w:cs="Arial"/>
          <w:color w:val="000000" w:themeColor="text1"/>
          <w:sz w:val="22"/>
          <w:szCs w:val="22"/>
        </w:rPr>
        <w:t xml:space="preserve">represents a </w:t>
      </w:r>
      <w:r w:rsidRPr="00B0147F">
        <w:rPr>
          <w:rFonts w:ascii="Arial" w:hAnsi="Arial" w:cs="Arial"/>
          <w:color w:val="000000" w:themeColor="text1"/>
          <w:sz w:val="22"/>
          <w:szCs w:val="22"/>
        </w:rPr>
        <w:t xml:space="preserve">smaller </w:t>
      </w:r>
      <w:r w:rsidR="006F5BF2" w:rsidRPr="00B0147F">
        <w:rPr>
          <w:rFonts w:ascii="Arial" w:hAnsi="Arial" w:cs="Arial"/>
          <w:color w:val="000000" w:themeColor="text1"/>
          <w:sz w:val="22"/>
          <w:szCs w:val="22"/>
        </w:rPr>
        <w:t xml:space="preserve">bias </w:t>
      </w:r>
      <w:r w:rsidRPr="00B0147F">
        <w:rPr>
          <w:rFonts w:ascii="Arial" w:hAnsi="Arial" w:cs="Arial"/>
          <w:color w:val="000000" w:themeColor="text1"/>
          <w:sz w:val="22"/>
          <w:szCs w:val="22"/>
        </w:rPr>
        <w:t>than the uncertainties of the quasi-synoptic estimates (±66-68 kmol-Si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±36-40 kmol-N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±2.3-2-7 kmol-P s</w:t>
      </w:r>
      <w:r w:rsidRPr="00B0147F">
        <w:rPr>
          <w:rFonts w:ascii="Arial" w:hAnsi="Arial" w:cs="Arial"/>
          <w:color w:val="000000" w:themeColor="text1"/>
          <w:sz w:val="22"/>
          <w:szCs w:val="22"/>
          <w:vertAlign w:val="superscript"/>
        </w:rPr>
        <w:t>-1</w:t>
      </w:r>
      <w:r w:rsidRPr="00B0147F">
        <w:rPr>
          <w:rFonts w:ascii="Arial" w:hAnsi="Arial" w:cs="Arial"/>
          <w:color w:val="000000" w:themeColor="text1"/>
          <w:sz w:val="22"/>
          <w:szCs w:val="22"/>
        </w:rPr>
        <w:t>, Table 4).</w:t>
      </w:r>
      <w:r w:rsidR="00D71F3D" w:rsidRPr="00B0147F">
        <w:rPr>
          <w:rFonts w:ascii="Arial" w:hAnsi="Arial" w:cs="Arial"/>
          <w:color w:val="000000" w:themeColor="text1"/>
          <w:sz w:val="22"/>
          <w:szCs w:val="22"/>
        </w:rPr>
        <w:t xml:space="preserve"> </w:t>
      </w:r>
    </w:p>
    <w:p w14:paraId="712792FC" w14:textId="4EE6F6A7" w:rsidR="00E1460D" w:rsidRPr="00B0147F" w:rsidRDefault="00E1460D" w:rsidP="00CA6BFC">
      <w:pPr>
        <w:spacing w:after="120" w:line="360" w:lineRule="auto"/>
        <w:jc w:val="both"/>
        <w:rPr>
          <w:rFonts w:ascii="Arial" w:hAnsi="Arial" w:cs="Arial"/>
          <w:color w:val="000000" w:themeColor="text1"/>
          <w:sz w:val="22"/>
          <w:szCs w:val="22"/>
        </w:rPr>
      </w:pPr>
      <w:r w:rsidRPr="00B0147F">
        <w:rPr>
          <w:rFonts w:ascii="Arial" w:hAnsi="Arial" w:cs="Arial"/>
          <w:color w:val="000000" w:themeColor="text1"/>
          <w:sz w:val="22"/>
          <w:szCs w:val="22"/>
        </w:rPr>
        <w:t xml:space="preserve">In view of the above, the seasonal aliasing in the total nutrient transport estimates can be disregarded for both cruises and locations, since it lied within the range of the quasi-synoptic </w:t>
      </w:r>
      <w:r w:rsidR="00823E4E" w:rsidRPr="00B0147F">
        <w:rPr>
          <w:rFonts w:ascii="Arial" w:hAnsi="Arial" w:cs="Arial"/>
          <w:color w:val="000000" w:themeColor="text1"/>
          <w:sz w:val="22"/>
          <w:szCs w:val="22"/>
        </w:rPr>
        <w:t xml:space="preserve">uncertainty </w:t>
      </w:r>
      <w:r w:rsidRPr="00B0147F">
        <w:rPr>
          <w:rFonts w:ascii="Arial" w:hAnsi="Arial" w:cs="Arial"/>
          <w:color w:val="000000" w:themeColor="text1"/>
          <w:sz w:val="22"/>
          <w:szCs w:val="22"/>
        </w:rPr>
        <w:t>estimates. The 2010 cruise at 24.5</w:t>
      </w:r>
      <w:r w:rsidRPr="00043172">
        <w:rPr>
          <w:rFonts w:ascii="Arial" w:eastAsia="MS Gothic" w:hAnsi="Arial" w:cs="Arial"/>
          <w:color w:val="000000" w:themeColor="text1"/>
          <w:sz w:val="22"/>
          <w:szCs w:val="22"/>
        </w:rPr>
        <w:t>º</w:t>
      </w:r>
      <w:r w:rsidRPr="00B0147F">
        <w:rPr>
          <w:rFonts w:ascii="Arial" w:hAnsi="Arial" w:cs="Arial"/>
          <w:color w:val="000000" w:themeColor="text1"/>
          <w:sz w:val="22"/>
          <w:szCs w:val="22"/>
        </w:rPr>
        <w:t xml:space="preserve">N, however, </w:t>
      </w:r>
      <w:r w:rsidR="00675F58" w:rsidRPr="00B0147F">
        <w:rPr>
          <w:rFonts w:ascii="Arial" w:hAnsi="Arial" w:cs="Arial"/>
          <w:color w:val="000000" w:themeColor="text1"/>
          <w:sz w:val="22"/>
          <w:szCs w:val="22"/>
        </w:rPr>
        <w:t>captured</w:t>
      </w:r>
      <w:r w:rsidRPr="00B0147F">
        <w:rPr>
          <w:rFonts w:ascii="Arial" w:hAnsi="Arial" w:cs="Arial"/>
          <w:color w:val="000000" w:themeColor="text1"/>
          <w:sz w:val="22"/>
          <w:szCs w:val="22"/>
        </w:rPr>
        <w:t xml:space="preserve"> a significant interannual </w:t>
      </w:r>
      <w:r w:rsidR="00675F58" w:rsidRPr="00B0147F">
        <w:rPr>
          <w:rFonts w:ascii="Arial" w:hAnsi="Arial" w:cs="Arial"/>
          <w:color w:val="000000" w:themeColor="text1"/>
          <w:sz w:val="22"/>
          <w:szCs w:val="22"/>
        </w:rPr>
        <w:t>signal</w:t>
      </w:r>
      <w:r w:rsidRPr="00B0147F">
        <w:rPr>
          <w:rFonts w:ascii="Arial" w:hAnsi="Arial" w:cs="Arial"/>
          <w:color w:val="000000" w:themeColor="text1"/>
          <w:sz w:val="22"/>
          <w:szCs w:val="22"/>
        </w:rPr>
        <w:t xml:space="preserve">. </w:t>
      </w:r>
    </w:p>
    <w:p w14:paraId="442AF197" w14:textId="1596BEEB" w:rsidR="001C1A8F" w:rsidRPr="00B74237" w:rsidRDefault="001C1A8F" w:rsidP="001C1A8F">
      <w:pPr>
        <w:pStyle w:val="SMHeading"/>
        <w:spacing w:after="120" w:line="360" w:lineRule="auto"/>
        <w:rPr>
          <w:rFonts w:ascii="Arial" w:hAnsi="Arial" w:cs="Arial"/>
          <w:color w:val="000000" w:themeColor="text1"/>
          <w:sz w:val="22"/>
          <w:szCs w:val="22"/>
        </w:rPr>
      </w:pPr>
      <w:r w:rsidRPr="00B74237">
        <w:rPr>
          <w:rFonts w:ascii="Arial" w:hAnsi="Arial" w:cs="Arial"/>
          <w:color w:val="000000" w:themeColor="text1"/>
          <w:sz w:val="22"/>
          <w:szCs w:val="22"/>
        </w:rPr>
        <w:lastRenderedPageBreak/>
        <w:t>Text S</w:t>
      </w:r>
      <w:r w:rsidR="00E1460D" w:rsidRPr="00B74237">
        <w:rPr>
          <w:rFonts w:ascii="Arial" w:hAnsi="Arial" w:cs="Arial"/>
          <w:color w:val="000000" w:themeColor="text1"/>
          <w:sz w:val="22"/>
          <w:szCs w:val="22"/>
        </w:rPr>
        <w:t>5</w:t>
      </w:r>
      <w:r w:rsidRPr="00B74237">
        <w:rPr>
          <w:rFonts w:ascii="Arial" w:hAnsi="Arial" w:cs="Arial"/>
          <w:color w:val="000000" w:themeColor="text1"/>
          <w:sz w:val="22"/>
          <w:szCs w:val="22"/>
        </w:rPr>
        <w:t xml:space="preserve">. </w:t>
      </w:r>
      <w:r w:rsidR="00CC7131" w:rsidRPr="00B74237">
        <w:rPr>
          <w:rFonts w:ascii="Arial" w:hAnsi="Arial" w:cs="Arial"/>
          <w:color w:val="000000" w:themeColor="text1"/>
          <w:sz w:val="22"/>
          <w:szCs w:val="22"/>
        </w:rPr>
        <w:t>Comparison of a</w:t>
      </w:r>
      <w:r w:rsidRPr="00B74237">
        <w:rPr>
          <w:rFonts w:ascii="Arial" w:hAnsi="Arial" w:cs="Arial"/>
          <w:color w:val="000000" w:themeColor="text1"/>
          <w:sz w:val="22"/>
          <w:szCs w:val="22"/>
        </w:rPr>
        <w:t>bsolute velocity fields</w:t>
      </w:r>
    </w:p>
    <w:p w14:paraId="471B6F75" w14:textId="7C79278A" w:rsidR="00A22D76" w:rsidRPr="00B74237" w:rsidRDefault="00D71994" w:rsidP="009404E5">
      <w:pPr>
        <w:pStyle w:val="SMHeading"/>
        <w:spacing w:after="120" w:line="360" w:lineRule="auto"/>
        <w:jc w:val="both"/>
        <w:outlineLvl w:val="9"/>
        <w:rPr>
          <w:rFonts w:ascii="Arial" w:hAnsi="Arial" w:cs="Arial"/>
          <w:b w:val="0"/>
          <w:bCs w:val="0"/>
          <w:color w:val="000000" w:themeColor="text1"/>
          <w:sz w:val="22"/>
          <w:szCs w:val="22"/>
        </w:rPr>
      </w:pPr>
      <w:r w:rsidRPr="00B74237">
        <w:rPr>
          <w:rFonts w:ascii="Arial" w:hAnsi="Arial" w:cs="Arial"/>
          <w:b w:val="0"/>
          <w:bCs w:val="0"/>
          <w:color w:val="000000" w:themeColor="text1"/>
          <w:sz w:val="22"/>
          <w:szCs w:val="22"/>
        </w:rPr>
        <w:t xml:space="preserve">To guarantee fully consistent velocity estimates across both </w:t>
      </w:r>
      <w:r w:rsidR="00817C42" w:rsidRPr="00B74237">
        <w:rPr>
          <w:rFonts w:ascii="Arial" w:hAnsi="Arial" w:cs="Arial"/>
          <w:b w:val="0"/>
          <w:bCs w:val="0"/>
          <w:color w:val="000000" w:themeColor="text1"/>
          <w:sz w:val="22"/>
          <w:szCs w:val="22"/>
        </w:rPr>
        <w:t>A05-24.5°N</w:t>
      </w:r>
      <w:r w:rsidRPr="00B74237">
        <w:rPr>
          <w:rFonts w:ascii="Arial" w:hAnsi="Arial" w:cs="Arial"/>
          <w:b w:val="0"/>
          <w:bCs w:val="0"/>
          <w:color w:val="000000" w:themeColor="text1"/>
          <w:sz w:val="22"/>
          <w:szCs w:val="22"/>
        </w:rPr>
        <w:t xml:space="preserve"> and OVIDE sections, </w:t>
      </w:r>
      <w:r w:rsidR="007A5CCB" w:rsidRPr="00B74237">
        <w:rPr>
          <w:rFonts w:ascii="Arial" w:hAnsi="Arial" w:cs="Arial"/>
          <w:b w:val="0"/>
          <w:bCs w:val="0"/>
          <w:color w:val="000000" w:themeColor="text1"/>
          <w:sz w:val="22"/>
          <w:szCs w:val="22"/>
        </w:rPr>
        <w:t>we</w:t>
      </w:r>
      <w:r w:rsidRPr="00B74237">
        <w:rPr>
          <w:rFonts w:ascii="Arial" w:hAnsi="Arial" w:cs="Arial"/>
          <w:b w:val="0"/>
          <w:bCs w:val="0"/>
          <w:color w:val="000000" w:themeColor="text1"/>
          <w:sz w:val="22"/>
          <w:szCs w:val="22"/>
        </w:rPr>
        <w:t xml:space="preserve"> </w:t>
      </w:r>
      <w:r w:rsidR="00817C42" w:rsidRPr="00B74237">
        <w:rPr>
          <w:rFonts w:ascii="Arial" w:hAnsi="Arial" w:cs="Arial"/>
          <w:b w:val="0"/>
          <w:bCs w:val="0"/>
          <w:color w:val="000000" w:themeColor="text1"/>
          <w:sz w:val="22"/>
          <w:szCs w:val="22"/>
        </w:rPr>
        <w:t xml:space="preserve">applied </w:t>
      </w:r>
      <w:r w:rsidR="007A5CCB" w:rsidRPr="00B74237">
        <w:rPr>
          <w:rFonts w:ascii="Arial" w:hAnsi="Arial" w:cs="Arial"/>
          <w:b w:val="0"/>
          <w:bCs w:val="0"/>
          <w:color w:val="000000" w:themeColor="text1"/>
          <w:sz w:val="22"/>
          <w:szCs w:val="22"/>
        </w:rPr>
        <w:t xml:space="preserve">a </w:t>
      </w:r>
      <w:r w:rsidRPr="00B74237">
        <w:rPr>
          <w:rFonts w:ascii="Arial" w:hAnsi="Arial" w:cs="Arial"/>
          <w:b w:val="0"/>
          <w:bCs w:val="0"/>
          <w:color w:val="000000" w:themeColor="text1"/>
          <w:sz w:val="22"/>
          <w:szCs w:val="22"/>
        </w:rPr>
        <w:t xml:space="preserve">joint </w:t>
      </w:r>
      <w:r w:rsidR="007A5CCB" w:rsidRPr="00B74237">
        <w:rPr>
          <w:rFonts w:ascii="Arial" w:hAnsi="Arial" w:cs="Arial"/>
          <w:b w:val="0"/>
          <w:bCs w:val="0"/>
          <w:color w:val="000000" w:themeColor="text1"/>
          <w:sz w:val="22"/>
          <w:szCs w:val="22"/>
        </w:rPr>
        <w:t>box inverse model</w:t>
      </w:r>
      <w:r w:rsidR="00653DC8" w:rsidRPr="00B74237">
        <w:rPr>
          <w:rFonts w:ascii="Arial" w:hAnsi="Arial" w:cs="Arial"/>
          <w:b w:val="0"/>
          <w:bCs w:val="0"/>
          <w:color w:val="000000" w:themeColor="text1"/>
          <w:sz w:val="22"/>
          <w:szCs w:val="22"/>
        </w:rPr>
        <w:t xml:space="preserve"> (details in Methods)</w:t>
      </w:r>
      <w:r w:rsidR="007A5CCB" w:rsidRPr="00B74237">
        <w:rPr>
          <w:rFonts w:ascii="Arial" w:hAnsi="Arial" w:cs="Arial"/>
          <w:b w:val="0"/>
          <w:bCs w:val="0"/>
          <w:color w:val="000000" w:themeColor="text1"/>
          <w:sz w:val="22"/>
          <w:szCs w:val="22"/>
        </w:rPr>
        <w:t xml:space="preserve">. </w:t>
      </w:r>
      <w:r w:rsidR="00817C42" w:rsidRPr="00B74237">
        <w:rPr>
          <w:rFonts w:ascii="Arial" w:hAnsi="Arial" w:cs="Arial"/>
          <w:b w:val="0"/>
          <w:bCs w:val="0"/>
          <w:color w:val="000000" w:themeColor="text1"/>
          <w:sz w:val="22"/>
          <w:szCs w:val="22"/>
        </w:rPr>
        <w:t>B</w:t>
      </w:r>
      <w:r w:rsidR="007A5CCB" w:rsidRPr="00B74237">
        <w:rPr>
          <w:rFonts w:ascii="Arial" w:hAnsi="Arial" w:cs="Arial"/>
          <w:b w:val="0"/>
          <w:bCs w:val="0"/>
          <w:color w:val="000000" w:themeColor="text1"/>
          <w:sz w:val="22"/>
          <w:szCs w:val="22"/>
        </w:rPr>
        <w:t xml:space="preserve">efore </w:t>
      </w:r>
      <w:r w:rsidR="00817C42" w:rsidRPr="00B74237">
        <w:rPr>
          <w:rFonts w:ascii="Arial" w:hAnsi="Arial" w:cs="Arial"/>
          <w:b w:val="0"/>
          <w:bCs w:val="0"/>
          <w:color w:val="000000" w:themeColor="text1"/>
          <w:sz w:val="22"/>
          <w:szCs w:val="22"/>
        </w:rPr>
        <w:t>applying</w:t>
      </w:r>
      <w:r w:rsidR="007A5CCB" w:rsidRPr="00B74237">
        <w:rPr>
          <w:rFonts w:ascii="Arial" w:hAnsi="Arial" w:cs="Arial"/>
          <w:b w:val="0"/>
          <w:bCs w:val="0"/>
          <w:color w:val="000000" w:themeColor="text1"/>
          <w:sz w:val="22"/>
          <w:szCs w:val="22"/>
        </w:rPr>
        <w:t xml:space="preserve"> the joint inversion, we ran </w:t>
      </w:r>
      <w:r w:rsidR="00653DC8" w:rsidRPr="00B74237">
        <w:rPr>
          <w:rFonts w:ascii="Arial" w:hAnsi="Arial" w:cs="Arial"/>
          <w:b w:val="0"/>
          <w:bCs w:val="0"/>
          <w:color w:val="000000" w:themeColor="text1"/>
          <w:sz w:val="22"/>
          <w:szCs w:val="22"/>
        </w:rPr>
        <w:t>three</w:t>
      </w:r>
      <w:r w:rsidR="007A5CCB" w:rsidRPr="00B74237">
        <w:rPr>
          <w:rFonts w:ascii="Arial" w:hAnsi="Arial" w:cs="Arial"/>
          <w:b w:val="0"/>
          <w:bCs w:val="0"/>
          <w:color w:val="000000" w:themeColor="text1"/>
          <w:sz w:val="22"/>
          <w:szCs w:val="22"/>
        </w:rPr>
        <w:t xml:space="preserve"> </w:t>
      </w:r>
      <w:r w:rsidR="00653DC8" w:rsidRPr="00B74237">
        <w:rPr>
          <w:rFonts w:ascii="Arial" w:hAnsi="Arial" w:cs="Arial"/>
          <w:b w:val="0"/>
          <w:bCs w:val="0"/>
          <w:color w:val="000000" w:themeColor="text1"/>
          <w:sz w:val="22"/>
          <w:szCs w:val="22"/>
        </w:rPr>
        <w:t xml:space="preserve">test inversions </w:t>
      </w:r>
      <w:r w:rsidR="00817C42" w:rsidRPr="00B74237">
        <w:rPr>
          <w:rFonts w:ascii="Arial" w:hAnsi="Arial" w:cs="Arial"/>
          <w:b w:val="0"/>
          <w:bCs w:val="0"/>
          <w:color w:val="000000" w:themeColor="text1"/>
          <w:sz w:val="22"/>
          <w:szCs w:val="22"/>
        </w:rPr>
        <w:t xml:space="preserve">at OVIDE </w:t>
      </w:r>
      <w:r w:rsidR="00653DC8" w:rsidRPr="00B74237">
        <w:rPr>
          <w:rFonts w:ascii="Arial" w:hAnsi="Arial" w:cs="Arial"/>
          <w:b w:val="0"/>
          <w:bCs w:val="0"/>
          <w:color w:val="000000" w:themeColor="text1"/>
          <w:sz w:val="22"/>
          <w:szCs w:val="22"/>
        </w:rPr>
        <w:t xml:space="preserve">separately, </w:t>
      </w:r>
      <w:r w:rsidR="007A5CCB" w:rsidRPr="00B74237">
        <w:rPr>
          <w:rFonts w:ascii="Arial" w:hAnsi="Arial" w:cs="Arial"/>
          <w:b w:val="0"/>
          <w:bCs w:val="0"/>
          <w:color w:val="000000" w:themeColor="text1"/>
          <w:sz w:val="22"/>
          <w:szCs w:val="22"/>
        </w:rPr>
        <w:t xml:space="preserve">to assess the </w:t>
      </w:r>
      <w:r w:rsidR="00354DB1" w:rsidRPr="00B74237">
        <w:rPr>
          <w:rFonts w:ascii="Arial" w:hAnsi="Arial" w:cs="Arial"/>
          <w:b w:val="0"/>
          <w:bCs w:val="0"/>
          <w:color w:val="000000" w:themeColor="text1"/>
          <w:sz w:val="22"/>
          <w:szCs w:val="22"/>
        </w:rPr>
        <w:t>differences</w:t>
      </w:r>
      <w:r w:rsidR="00107FD4" w:rsidRPr="00B74237">
        <w:rPr>
          <w:rFonts w:ascii="Arial" w:hAnsi="Arial" w:cs="Arial"/>
          <w:b w:val="0"/>
          <w:bCs w:val="0"/>
          <w:color w:val="000000" w:themeColor="text1"/>
          <w:sz w:val="22"/>
          <w:szCs w:val="22"/>
        </w:rPr>
        <w:t xml:space="preserve"> </w:t>
      </w:r>
      <w:r w:rsidR="00817C42" w:rsidRPr="00B74237">
        <w:rPr>
          <w:rFonts w:ascii="Arial" w:hAnsi="Arial" w:cs="Arial"/>
          <w:b w:val="0"/>
          <w:bCs w:val="0"/>
          <w:color w:val="000000" w:themeColor="text1"/>
          <w:sz w:val="22"/>
          <w:szCs w:val="22"/>
        </w:rPr>
        <w:t xml:space="preserve">between </w:t>
      </w:r>
      <w:r w:rsidR="00F45A64" w:rsidRPr="00B74237">
        <w:rPr>
          <w:rFonts w:ascii="Arial" w:hAnsi="Arial" w:cs="Arial"/>
          <w:b w:val="0"/>
          <w:bCs w:val="0"/>
          <w:color w:val="000000" w:themeColor="text1"/>
          <w:sz w:val="22"/>
          <w:szCs w:val="22"/>
        </w:rPr>
        <w:t>our</w:t>
      </w:r>
      <w:r w:rsidR="00A22D76" w:rsidRPr="00B74237">
        <w:rPr>
          <w:rFonts w:ascii="Arial" w:hAnsi="Arial" w:cs="Arial"/>
          <w:b w:val="0"/>
          <w:bCs w:val="0"/>
          <w:color w:val="000000" w:themeColor="text1"/>
          <w:sz w:val="22"/>
          <w:szCs w:val="22"/>
        </w:rPr>
        <w:t xml:space="preserve"> </w:t>
      </w:r>
      <w:r w:rsidR="00653DC8" w:rsidRPr="00B74237">
        <w:rPr>
          <w:rFonts w:ascii="Arial" w:hAnsi="Arial" w:cs="Arial"/>
          <w:b w:val="0"/>
          <w:bCs w:val="0"/>
          <w:color w:val="000000" w:themeColor="text1"/>
          <w:sz w:val="22"/>
          <w:szCs w:val="22"/>
        </w:rPr>
        <w:t xml:space="preserve">results </w:t>
      </w:r>
      <w:r w:rsidR="00F45A64" w:rsidRPr="00B74237">
        <w:rPr>
          <w:rFonts w:ascii="Arial" w:hAnsi="Arial" w:cs="Arial"/>
          <w:b w:val="0"/>
          <w:bCs w:val="0"/>
          <w:color w:val="000000" w:themeColor="text1"/>
          <w:sz w:val="22"/>
          <w:szCs w:val="22"/>
        </w:rPr>
        <w:t>and</w:t>
      </w:r>
      <w:r w:rsidR="00653DC8" w:rsidRPr="00B74237">
        <w:rPr>
          <w:rFonts w:ascii="Arial" w:hAnsi="Arial" w:cs="Arial"/>
          <w:b w:val="0"/>
          <w:bCs w:val="0"/>
          <w:color w:val="000000" w:themeColor="text1"/>
          <w:sz w:val="22"/>
          <w:szCs w:val="22"/>
        </w:rPr>
        <w:t xml:space="preserve"> those</w:t>
      </w:r>
      <w:r w:rsidR="00817C42" w:rsidRPr="00B74237">
        <w:rPr>
          <w:rFonts w:ascii="Arial" w:hAnsi="Arial" w:cs="Arial"/>
          <w:b w:val="0"/>
          <w:bCs w:val="0"/>
          <w:color w:val="000000" w:themeColor="text1"/>
          <w:sz w:val="22"/>
          <w:szCs w:val="22"/>
        </w:rPr>
        <w:t xml:space="preserve"> by Lherminier et al. (2010) and Mercier et al. (2015)</w:t>
      </w:r>
      <w:r w:rsidR="00653DC8" w:rsidRPr="00B74237">
        <w:rPr>
          <w:rFonts w:ascii="Arial" w:hAnsi="Arial" w:cs="Arial"/>
          <w:b w:val="0"/>
          <w:bCs w:val="0"/>
          <w:color w:val="000000" w:themeColor="text1"/>
          <w:sz w:val="22"/>
          <w:szCs w:val="22"/>
        </w:rPr>
        <w:t>. The first test (test 1-control: Figure S</w:t>
      </w:r>
      <w:r w:rsidR="009C1D53">
        <w:rPr>
          <w:rFonts w:ascii="Arial" w:hAnsi="Arial" w:cs="Arial"/>
          <w:b w:val="0"/>
          <w:bCs w:val="0"/>
          <w:color w:val="000000" w:themeColor="text1"/>
          <w:sz w:val="22"/>
          <w:szCs w:val="22"/>
        </w:rPr>
        <w:t>4</w:t>
      </w:r>
      <w:r w:rsidR="00653DC8" w:rsidRPr="00B74237">
        <w:rPr>
          <w:rFonts w:ascii="Arial" w:hAnsi="Arial" w:cs="Arial"/>
          <w:b w:val="0"/>
          <w:bCs w:val="0"/>
          <w:color w:val="000000" w:themeColor="text1"/>
          <w:sz w:val="22"/>
          <w:szCs w:val="22"/>
        </w:rPr>
        <w:t xml:space="preserve">, </w:t>
      </w:r>
      <w:r w:rsidR="00DC2DB2" w:rsidRPr="00B74237">
        <w:rPr>
          <w:rFonts w:ascii="Arial" w:hAnsi="Arial" w:cs="Arial"/>
          <w:b w:val="0"/>
          <w:bCs w:val="0"/>
          <w:color w:val="000000" w:themeColor="text1"/>
          <w:sz w:val="22"/>
          <w:szCs w:val="22"/>
        </w:rPr>
        <w:t>grey</w:t>
      </w:r>
      <w:r w:rsidR="00653DC8" w:rsidRPr="00B74237">
        <w:rPr>
          <w:rFonts w:ascii="Arial" w:hAnsi="Arial" w:cs="Arial"/>
          <w:b w:val="0"/>
          <w:bCs w:val="0"/>
          <w:color w:val="000000" w:themeColor="text1"/>
          <w:sz w:val="22"/>
          <w:szCs w:val="22"/>
        </w:rPr>
        <w:t xml:space="preserve"> numbers), consisted in using the same constraints </w:t>
      </w:r>
      <w:r w:rsidR="00DC2DB2" w:rsidRPr="00B74237">
        <w:rPr>
          <w:rFonts w:ascii="Arial" w:hAnsi="Arial" w:cs="Arial"/>
          <w:b w:val="0"/>
          <w:bCs w:val="0"/>
          <w:color w:val="000000" w:themeColor="text1"/>
          <w:sz w:val="22"/>
          <w:szCs w:val="22"/>
        </w:rPr>
        <w:t>and wind product</w:t>
      </w:r>
      <w:r w:rsidR="00A22D76" w:rsidRPr="00B74237">
        <w:rPr>
          <w:rFonts w:ascii="Arial" w:hAnsi="Arial" w:cs="Arial"/>
          <w:b w:val="0"/>
          <w:bCs w:val="0"/>
          <w:color w:val="000000" w:themeColor="text1"/>
          <w:sz w:val="22"/>
          <w:szCs w:val="22"/>
        </w:rPr>
        <w:t>s</w:t>
      </w:r>
      <w:r w:rsidR="00DC2DB2" w:rsidRPr="00B74237">
        <w:rPr>
          <w:rFonts w:ascii="Arial" w:hAnsi="Arial" w:cs="Arial"/>
          <w:b w:val="0"/>
          <w:bCs w:val="0"/>
          <w:color w:val="000000" w:themeColor="text1"/>
          <w:sz w:val="22"/>
          <w:szCs w:val="22"/>
        </w:rPr>
        <w:t xml:space="preserve"> </w:t>
      </w:r>
      <w:r w:rsidR="00653DC8" w:rsidRPr="00B74237">
        <w:rPr>
          <w:rFonts w:ascii="Arial" w:hAnsi="Arial" w:cs="Arial"/>
          <w:b w:val="0"/>
          <w:bCs w:val="0"/>
          <w:color w:val="000000" w:themeColor="text1"/>
          <w:sz w:val="22"/>
          <w:szCs w:val="22"/>
        </w:rPr>
        <w:t>as in Lherminier et al. (2010) and Mercier et al. (2015)</w:t>
      </w:r>
      <w:r w:rsidR="007C7E37" w:rsidRPr="00B74237">
        <w:rPr>
          <w:rFonts w:ascii="Arial" w:hAnsi="Arial" w:cs="Arial"/>
          <w:b w:val="0"/>
          <w:bCs w:val="0"/>
          <w:color w:val="000000" w:themeColor="text1"/>
          <w:sz w:val="22"/>
          <w:szCs w:val="22"/>
        </w:rPr>
        <w:t xml:space="preserve">, so that we only tested </w:t>
      </w:r>
      <w:r w:rsidR="00763D4A" w:rsidRPr="00B74237">
        <w:rPr>
          <w:rFonts w:ascii="Arial" w:hAnsi="Arial" w:cs="Arial"/>
          <w:b w:val="0"/>
          <w:bCs w:val="0"/>
          <w:color w:val="000000" w:themeColor="text1"/>
          <w:sz w:val="22"/>
          <w:szCs w:val="22"/>
        </w:rPr>
        <w:t xml:space="preserve">consistency of </w:t>
      </w:r>
      <w:r w:rsidR="007C7E37" w:rsidRPr="00B74237">
        <w:rPr>
          <w:rFonts w:ascii="Arial" w:hAnsi="Arial" w:cs="Arial"/>
          <w:b w:val="0"/>
          <w:bCs w:val="0"/>
          <w:color w:val="000000" w:themeColor="text1"/>
          <w:sz w:val="22"/>
          <w:szCs w:val="22"/>
        </w:rPr>
        <w:t>the new inverse model routines</w:t>
      </w:r>
      <w:r w:rsidR="00DC2DB2" w:rsidRPr="00B74237">
        <w:rPr>
          <w:rFonts w:ascii="Arial" w:hAnsi="Arial" w:cs="Arial"/>
          <w:b w:val="0"/>
          <w:bCs w:val="0"/>
          <w:color w:val="000000" w:themeColor="text1"/>
          <w:sz w:val="22"/>
          <w:szCs w:val="22"/>
        </w:rPr>
        <w:t xml:space="preserve">. </w:t>
      </w:r>
      <w:r w:rsidR="007A5CCB" w:rsidRPr="00B74237">
        <w:rPr>
          <w:rFonts w:ascii="Arial" w:hAnsi="Arial" w:cs="Arial"/>
          <w:b w:val="0"/>
          <w:bCs w:val="0"/>
          <w:color w:val="000000" w:themeColor="text1"/>
          <w:sz w:val="22"/>
          <w:szCs w:val="22"/>
        </w:rPr>
        <w:t xml:space="preserve">The </w:t>
      </w:r>
      <w:r w:rsidR="00DC2DB2" w:rsidRPr="00B74237">
        <w:rPr>
          <w:rFonts w:ascii="Arial" w:hAnsi="Arial" w:cs="Arial"/>
          <w:b w:val="0"/>
          <w:bCs w:val="0"/>
          <w:color w:val="000000" w:themeColor="text1"/>
          <w:sz w:val="22"/>
          <w:szCs w:val="22"/>
        </w:rPr>
        <w:t xml:space="preserve">second </w:t>
      </w:r>
      <w:r w:rsidR="007A5CCB" w:rsidRPr="00B74237">
        <w:rPr>
          <w:rFonts w:ascii="Arial" w:hAnsi="Arial" w:cs="Arial"/>
          <w:b w:val="0"/>
          <w:bCs w:val="0"/>
          <w:color w:val="000000" w:themeColor="text1"/>
          <w:sz w:val="22"/>
          <w:szCs w:val="22"/>
        </w:rPr>
        <w:t xml:space="preserve">test (test </w:t>
      </w:r>
      <w:r w:rsidR="00DC2DB2" w:rsidRPr="00B74237">
        <w:rPr>
          <w:rFonts w:ascii="Arial" w:hAnsi="Arial" w:cs="Arial"/>
          <w:b w:val="0"/>
          <w:bCs w:val="0"/>
          <w:color w:val="000000" w:themeColor="text1"/>
          <w:sz w:val="22"/>
          <w:szCs w:val="22"/>
        </w:rPr>
        <w:t>2</w:t>
      </w:r>
      <w:r w:rsidR="007A5CCB" w:rsidRPr="00B74237">
        <w:rPr>
          <w:rFonts w:ascii="Arial" w:hAnsi="Arial" w:cs="Arial"/>
          <w:b w:val="0"/>
          <w:bCs w:val="0"/>
          <w:color w:val="000000" w:themeColor="text1"/>
          <w:sz w:val="22"/>
          <w:szCs w:val="22"/>
        </w:rPr>
        <w:t>: Figure S</w:t>
      </w:r>
      <w:r w:rsidR="009C1D53">
        <w:rPr>
          <w:rFonts w:ascii="Arial" w:hAnsi="Arial" w:cs="Arial"/>
          <w:b w:val="0"/>
          <w:bCs w:val="0"/>
          <w:color w:val="000000" w:themeColor="text1"/>
          <w:sz w:val="22"/>
          <w:szCs w:val="22"/>
        </w:rPr>
        <w:t>4</w:t>
      </w:r>
      <w:r w:rsidR="007A5CCB" w:rsidRPr="00B74237">
        <w:rPr>
          <w:rFonts w:ascii="Arial" w:hAnsi="Arial" w:cs="Arial"/>
          <w:b w:val="0"/>
          <w:bCs w:val="0"/>
          <w:color w:val="000000" w:themeColor="text1"/>
          <w:sz w:val="22"/>
          <w:szCs w:val="22"/>
        </w:rPr>
        <w:t xml:space="preserve">, </w:t>
      </w:r>
      <w:r w:rsidR="00C41383" w:rsidRPr="00B74237">
        <w:rPr>
          <w:rFonts w:ascii="Arial" w:hAnsi="Arial" w:cs="Arial"/>
          <w:b w:val="0"/>
          <w:bCs w:val="0"/>
          <w:color w:val="000000" w:themeColor="text1"/>
          <w:sz w:val="22"/>
          <w:szCs w:val="22"/>
        </w:rPr>
        <w:t>red</w:t>
      </w:r>
      <w:r w:rsidR="007A5CCB" w:rsidRPr="00B74237">
        <w:rPr>
          <w:rFonts w:ascii="Arial" w:hAnsi="Arial" w:cs="Arial"/>
          <w:b w:val="0"/>
          <w:bCs w:val="0"/>
          <w:color w:val="000000" w:themeColor="text1"/>
          <w:sz w:val="22"/>
          <w:szCs w:val="22"/>
        </w:rPr>
        <w:t xml:space="preserve"> numbers), consisted in using </w:t>
      </w:r>
      <w:r w:rsidR="00653DC8" w:rsidRPr="00B74237">
        <w:rPr>
          <w:rFonts w:ascii="Arial" w:hAnsi="Arial" w:cs="Arial"/>
          <w:b w:val="0"/>
          <w:bCs w:val="0"/>
          <w:color w:val="000000" w:themeColor="text1"/>
          <w:sz w:val="22"/>
          <w:szCs w:val="22"/>
        </w:rPr>
        <w:t xml:space="preserve">all </w:t>
      </w:r>
      <w:r w:rsidR="007A5CCB" w:rsidRPr="00B74237">
        <w:rPr>
          <w:rFonts w:ascii="Arial" w:hAnsi="Arial" w:cs="Arial"/>
          <w:b w:val="0"/>
          <w:bCs w:val="0"/>
          <w:color w:val="000000" w:themeColor="text1"/>
          <w:sz w:val="22"/>
          <w:szCs w:val="22"/>
        </w:rPr>
        <w:t>the same constraints as in Lherminier et al. (2010) and Mercier et al. (2015)</w:t>
      </w:r>
      <w:r w:rsidR="00653DC8" w:rsidRPr="00B74237">
        <w:rPr>
          <w:rFonts w:ascii="Arial" w:hAnsi="Arial" w:cs="Arial"/>
          <w:b w:val="0"/>
          <w:bCs w:val="0"/>
          <w:color w:val="000000" w:themeColor="text1"/>
          <w:sz w:val="22"/>
          <w:szCs w:val="22"/>
        </w:rPr>
        <w:t xml:space="preserve">, but </w:t>
      </w:r>
      <w:r w:rsidR="00817C42" w:rsidRPr="00B74237">
        <w:rPr>
          <w:rFonts w:ascii="Arial" w:hAnsi="Arial" w:cs="Arial"/>
          <w:b w:val="0"/>
          <w:bCs w:val="0"/>
          <w:color w:val="000000" w:themeColor="text1"/>
          <w:sz w:val="22"/>
          <w:szCs w:val="22"/>
        </w:rPr>
        <w:t xml:space="preserve"> adding </w:t>
      </w:r>
      <w:r w:rsidR="00DC2DB2" w:rsidRPr="00B74237">
        <w:rPr>
          <w:rFonts w:ascii="Arial" w:hAnsi="Arial" w:cs="Arial"/>
          <w:b w:val="0"/>
          <w:bCs w:val="0"/>
          <w:color w:val="000000" w:themeColor="text1"/>
          <w:sz w:val="22"/>
          <w:szCs w:val="22"/>
        </w:rPr>
        <w:t xml:space="preserve">the </w:t>
      </w:r>
      <w:r w:rsidR="007A5CCB" w:rsidRPr="00B74237">
        <w:rPr>
          <w:rFonts w:ascii="Arial" w:hAnsi="Arial" w:cs="Arial"/>
          <w:b w:val="0"/>
          <w:bCs w:val="0"/>
          <w:color w:val="000000" w:themeColor="text1"/>
          <w:sz w:val="22"/>
          <w:szCs w:val="22"/>
        </w:rPr>
        <w:t>salt conservation</w:t>
      </w:r>
      <w:r w:rsidR="00DC2DB2" w:rsidRPr="00B74237">
        <w:rPr>
          <w:rFonts w:ascii="Arial" w:hAnsi="Arial" w:cs="Arial"/>
          <w:b w:val="0"/>
          <w:bCs w:val="0"/>
          <w:color w:val="000000" w:themeColor="text1"/>
          <w:sz w:val="22"/>
          <w:szCs w:val="22"/>
        </w:rPr>
        <w:t xml:space="preserve"> constraint</w:t>
      </w:r>
      <w:r w:rsidR="00A22D76" w:rsidRPr="00B74237">
        <w:rPr>
          <w:rFonts w:ascii="Arial" w:hAnsi="Arial" w:cs="Arial"/>
          <w:b w:val="0"/>
          <w:bCs w:val="0"/>
          <w:color w:val="000000" w:themeColor="text1"/>
          <w:sz w:val="22"/>
          <w:szCs w:val="22"/>
        </w:rPr>
        <w:t xml:space="preserve">, </w:t>
      </w:r>
      <w:r w:rsidR="00DC2DB2" w:rsidRPr="00B74237">
        <w:rPr>
          <w:rFonts w:ascii="Arial" w:hAnsi="Arial" w:cs="Arial"/>
          <w:b w:val="0"/>
          <w:bCs w:val="0"/>
          <w:color w:val="000000" w:themeColor="text1"/>
          <w:sz w:val="22"/>
          <w:szCs w:val="22"/>
        </w:rPr>
        <w:t>using the CCMP wind product</w:t>
      </w:r>
      <w:r w:rsidR="00A22D76" w:rsidRPr="00B74237">
        <w:rPr>
          <w:rFonts w:ascii="Arial" w:hAnsi="Arial" w:cs="Arial"/>
          <w:b w:val="0"/>
          <w:bCs w:val="0"/>
          <w:color w:val="000000" w:themeColor="text1"/>
          <w:sz w:val="22"/>
          <w:szCs w:val="22"/>
        </w:rPr>
        <w:t xml:space="preserve"> averaged annually</w:t>
      </w:r>
      <w:r w:rsidR="00C41383" w:rsidRPr="00B74237">
        <w:rPr>
          <w:rFonts w:ascii="Arial" w:hAnsi="Arial" w:cs="Arial"/>
          <w:b w:val="0"/>
          <w:bCs w:val="0"/>
          <w:color w:val="000000" w:themeColor="text1"/>
          <w:sz w:val="22"/>
          <w:szCs w:val="22"/>
        </w:rPr>
        <w:t>, and using constant velocity in the bottom triangles instead of linear</w:t>
      </w:r>
      <w:r w:rsidR="007A5CCB" w:rsidRPr="00B74237">
        <w:rPr>
          <w:rFonts w:ascii="Arial" w:hAnsi="Arial" w:cs="Arial"/>
          <w:b w:val="0"/>
          <w:bCs w:val="0"/>
          <w:color w:val="000000" w:themeColor="text1"/>
          <w:sz w:val="22"/>
          <w:szCs w:val="22"/>
        </w:rPr>
        <w:t xml:space="preserve">; and the </w:t>
      </w:r>
      <w:r w:rsidR="00DC2DB2" w:rsidRPr="00B74237">
        <w:rPr>
          <w:rFonts w:ascii="Arial" w:hAnsi="Arial" w:cs="Arial"/>
          <w:b w:val="0"/>
          <w:bCs w:val="0"/>
          <w:color w:val="000000" w:themeColor="text1"/>
          <w:sz w:val="22"/>
          <w:szCs w:val="22"/>
        </w:rPr>
        <w:t xml:space="preserve">third </w:t>
      </w:r>
      <w:r w:rsidR="007A5CCB" w:rsidRPr="00B74237">
        <w:rPr>
          <w:rFonts w:ascii="Arial" w:hAnsi="Arial" w:cs="Arial"/>
          <w:b w:val="0"/>
          <w:bCs w:val="0"/>
          <w:color w:val="000000" w:themeColor="text1"/>
          <w:sz w:val="22"/>
          <w:szCs w:val="22"/>
        </w:rPr>
        <w:t xml:space="preserve">test (test </w:t>
      </w:r>
      <w:r w:rsidR="00DC2DB2" w:rsidRPr="00B74237">
        <w:rPr>
          <w:rFonts w:ascii="Arial" w:hAnsi="Arial" w:cs="Arial"/>
          <w:b w:val="0"/>
          <w:bCs w:val="0"/>
          <w:color w:val="000000" w:themeColor="text1"/>
          <w:sz w:val="22"/>
          <w:szCs w:val="22"/>
        </w:rPr>
        <w:t>3</w:t>
      </w:r>
      <w:r w:rsidR="007A5CCB" w:rsidRPr="00B74237">
        <w:rPr>
          <w:rFonts w:ascii="Arial" w:hAnsi="Arial" w:cs="Arial"/>
          <w:b w:val="0"/>
          <w:bCs w:val="0"/>
          <w:color w:val="000000" w:themeColor="text1"/>
          <w:sz w:val="22"/>
          <w:szCs w:val="22"/>
        </w:rPr>
        <w:t>: Figure S</w:t>
      </w:r>
      <w:r w:rsidR="009C1D53">
        <w:rPr>
          <w:rFonts w:ascii="Arial" w:hAnsi="Arial" w:cs="Arial"/>
          <w:b w:val="0"/>
          <w:bCs w:val="0"/>
          <w:color w:val="000000" w:themeColor="text1"/>
          <w:sz w:val="22"/>
          <w:szCs w:val="22"/>
        </w:rPr>
        <w:t>4</w:t>
      </w:r>
      <w:r w:rsidR="007A5CCB" w:rsidRPr="00B74237">
        <w:rPr>
          <w:rFonts w:ascii="Arial" w:hAnsi="Arial" w:cs="Arial"/>
          <w:b w:val="0"/>
          <w:bCs w:val="0"/>
          <w:color w:val="000000" w:themeColor="text1"/>
          <w:sz w:val="22"/>
          <w:szCs w:val="22"/>
        </w:rPr>
        <w:t xml:space="preserve">, </w:t>
      </w:r>
      <w:r w:rsidR="0040436A" w:rsidRPr="00B74237">
        <w:rPr>
          <w:rFonts w:ascii="Arial" w:hAnsi="Arial" w:cs="Arial"/>
          <w:b w:val="0"/>
          <w:bCs w:val="0"/>
          <w:color w:val="000000" w:themeColor="text1"/>
          <w:sz w:val="22"/>
          <w:szCs w:val="22"/>
        </w:rPr>
        <w:t>blue</w:t>
      </w:r>
      <w:r w:rsidR="007A5CCB" w:rsidRPr="00B74237">
        <w:rPr>
          <w:rFonts w:ascii="Arial" w:hAnsi="Arial" w:cs="Arial"/>
          <w:b w:val="0"/>
          <w:bCs w:val="0"/>
          <w:color w:val="000000" w:themeColor="text1"/>
          <w:sz w:val="22"/>
          <w:szCs w:val="22"/>
        </w:rPr>
        <w:t xml:space="preserve"> numbers), </w:t>
      </w:r>
      <w:r w:rsidR="00C41383" w:rsidRPr="00B74237">
        <w:rPr>
          <w:rFonts w:ascii="Arial" w:hAnsi="Arial" w:cs="Arial"/>
          <w:b w:val="0"/>
          <w:bCs w:val="0"/>
          <w:color w:val="000000" w:themeColor="text1"/>
          <w:sz w:val="22"/>
          <w:szCs w:val="22"/>
        </w:rPr>
        <w:t>was equivalent to test 2, but instead of using the ADCP constraints</w:t>
      </w:r>
      <w:r w:rsidR="005A7652" w:rsidRPr="00B74237">
        <w:rPr>
          <w:rFonts w:ascii="Arial" w:hAnsi="Arial" w:cs="Arial"/>
          <w:b w:val="0"/>
          <w:bCs w:val="0"/>
          <w:color w:val="000000" w:themeColor="text1"/>
          <w:sz w:val="22"/>
          <w:szCs w:val="22"/>
        </w:rPr>
        <w:t>, we</w:t>
      </w:r>
      <w:r w:rsidR="00C41383" w:rsidRPr="00B74237">
        <w:rPr>
          <w:rFonts w:ascii="Arial" w:hAnsi="Arial" w:cs="Arial"/>
          <w:b w:val="0"/>
          <w:bCs w:val="0"/>
          <w:color w:val="000000" w:themeColor="text1"/>
          <w:sz w:val="22"/>
          <w:szCs w:val="22"/>
        </w:rPr>
        <w:t xml:space="preserve"> </w:t>
      </w:r>
      <w:r w:rsidR="00817C42" w:rsidRPr="00B74237">
        <w:rPr>
          <w:rFonts w:ascii="Arial" w:hAnsi="Arial" w:cs="Arial"/>
          <w:b w:val="0"/>
          <w:bCs w:val="0"/>
          <w:color w:val="000000" w:themeColor="text1"/>
          <w:sz w:val="22"/>
          <w:szCs w:val="22"/>
        </w:rPr>
        <w:t>us</w:t>
      </w:r>
      <w:r w:rsidR="005A7652" w:rsidRPr="00B74237">
        <w:rPr>
          <w:rFonts w:ascii="Arial" w:hAnsi="Arial" w:cs="Arial"/>
          <w:b w:val="0"/>
          <w:bCs w:val="0"/>
          <w:color w:val="000000" w:themeColor="text1"/>
          <w:sz w:val="22"/>
          <w:szCs w:val="22"/>
        </w:rPr>
        <w:t>ed</w:t>
      </w:r>
      <w:r w:rsidR="00817C42" w:rsidRPr="00B74237">
        <w:rPr>
          <w:rFonts w:ascii="Arial" w:hAnsi="Arial" w:cs="Arial"/>
          <w:b w:val="0"/>
          <w:bCs w:val="0"/>
          <w:color w:val="000000" w:themeColor="text1"/>
          <w:sz w:val="22"/>
          <w:szCs w:val="22"/>
        </w:rPr>
        <w:t xml:space="preserve"> the after-inversion velocities at the reference level by Lherminier et al. (2010) and Mercier et al. (2015) as </w:t>
      </w:r>
      <w:r w:rsidR="00817C42" w:rsidRPr="00B74237">
        <w:rPr>
          <w:rFonts w:ascii="Arial" w:hAnsi="Arial" w:cs="Arial"/>
          <w:b w:val="0"/>
          <w:bCs w:val="0"/>
          <w:i/>
          <w:iCs/>
          <w:color w:val="000000" w:themeColor="text1"/>
          <w:sz w:val="22"/>
          <w:szCs w:val="22"/>
        </w:rPr>
        <w:t>a priori</w:t>
      </w:r>
      <w:r w:rsidR="00817C42" w:rsidRPr="00B74237">
        <w:rPr>
          <w:rFonts w:ascii="Arial" w:hAnsi="Arial" w:cs="Arial"/>
          <w:b w:val="0"/>
          <w:bCs w:val="0"/>
          <w:color w:val="000000" w:themeColor="text1"/>
          <w:sz w:val="22"/>
          <w:szCs w:val="22"/>
        </w:rPr>
        <w:t xml:space="preserve"> velocities at the reference level</w:t>
      </w:r>
      <w:r w:rsidRPr="00B74237">
        <w:rPr>
          <w:rFonts w:ascii="Arial" w:hAnsi="Arial" w:cs="Arial"/>
          <w:b w:val="0"/>
          <w:bCs w:val="0"/>
          <w:color w:val="000000" w:themeColor="text1"/>
          <w:sz w:val="22"/>
          <w:szCs w:val="22"/>
        </w:rPr>
        <w:t xml:space="preserve"> </w:t>
      </w:r>
      <w:r w:rsidR="00817C42" w:rsidRPr="00B74237">
        <w:rPr>
          <w:rFonts w:ascii="Arial" w:hAnsi="Arial" w:cs="Arial"/>
          <w:b w:val="0"/>
          <w:bCs w:val="0"/>
          <w:color w:val="000000" w:themeColor="text1"/>
          <w:sz w:val="22"/>
          <w:szCs w:val="22"/>
        </w:rPr>
        <w:t xml:space="preserve">in our </w:t>
      </w:r>
      <w:r w:rsidR="0082263D" w:rsidRPr="00B74237">
        <w:rPr>
          <w:rFonts w:ascii="Arial" w:hAnsi="Arial" w:cs="Arial"/>
          <w:b w:val="0"/>
          <w:bCs w:val="0"/>
          <w:color w:val="000000" w:themeColor="text1"/>
          <w:sz w:val="22"/>
          <w:szCs w:val="22"/>
        </w:rPr>
        <w:t>model</w:t>
      </w:r>
      <w:r w:rsidRPr="00B74237">
        <w:rPr>
          <w:rFonts w:ascii="Arial" w:hAnsi="Arial" w:cs="Arial"/>
          <w:b w:val="0"/>
          <w:bCs w:val="0"/>
          <w:color w:val="000000" w:themeColor="text1"/>
          <w:sz w:val="22"/>
          <w:szCs w:val="22"/>
        </w:rPr>
        <w:t xml:space="preserve">. </w:t>
      </w:r>
    </w:p>
    <w:p w14:paraId="3D6D9353" w14:textId="039FE269" w:rsidR="001C1A8F" w:rsidRPr="00B74237" w:rsidRDefault="00885DEB" w:rsidP="009404E5">
      <w:pPr>
        <w:pStyle w:val="SMHeading"/>
        <w:spacing w:after="120" w:line="360" w:lineRule="auto"/>
        <w:jc w:val="both"/>
        <w:outlineLvl w:val="9"/>
        <w:rPr>
          <w:rFonts w:ascii="Arial" w:hAnsi="Arial" w:cs="Arial"/>
          <w:b w:val="0"/>
          <w:bCs w:val="0"/>
          <w:color w:val="000000" w:themeColor="text1"/>
          <w:sz w:val="22"/>
          <w:szCs w:val="22"/>
        </w:rPr>
      </w:pPr>
      <w:r w:rsidRPr="00B74237">
        <w:rPr>
          <w:rFonts w:ascii="Arial" w:hAnsi="Arial" w:cs="Arial"/>
          <w:b w:val="0"/>
          <w:bCs w:val="0"/>
          <w:color w:val="000000" w:themeColor="text1"/>
          <w:sz w:val="22"/>
          <w:szCs w:val="22"/>
        </w:rPr>
        <w:t>The original inversion by Lherminier et al. (2010) and Mercier et al. (2015) did not show significant di</w:t>
      </w:r>
      <w:r w:rsidR="00E969E7">
        <w:rPr>
          <w:rFonts w:ascii="Arial" w:hAnsi="Arial" w:cs="Arial"/>
          <w:b w:val="0"/>
          <w:bCs w:val="0"/>
          <w:color w:val="000000" w:themeColor="text1"/>
          <w:sz w:val="22"/>
          <w:szCs w:val="22"/>
        </w:rPr>
        <w:t>fferences</w:t>
      </w:r>
      <w:r w:rsidRPr="00B74237">
        <w:rPr>
          <w:rFonts w:ascii="Arial" w:hAnsi="Arial" w:cs="Arial"/>
          <w:b w:val="0"/>
          <w:bCs w:val="0"/>
          <w:color w:val="000000" w:themeColor="text1"/>
          <w:sz w:val="22"/>
          <w:szCs w:val="22"/>
        </w:rPr>
        <w:t xml:space="preserve"> with the control, nor the other two additional tests</w:t>
      </w:r>
      <w:r w:rsidR="00D700C9" w:rsidRPr="00B74237">
        <w:rPr>
          <w:rFonts w:ascii="Arial" w:hAnsi="Arial" w:cs="Arial"/>
          <w:b w:val="0"/>
          <w:bCs w:val="0"/>
          <w:color w:val="000000" w:themeColor="text1"/>
          <w:sz w:val="22"/>
          <w:szCs w:val="22"/>
        </w:rPr>
        <w:t xml:space="preserve"> 2 and 3, which positively </w:t>
      </w:r>
      <w:r w:rsidR="000E67D9" w:rsidRPr="00B74237">
        <w:rPr>
          <w:rFonts w:ascii="Arial" w:hAnsi="Arial" w:cs="Arial"/>
          <w:b w:val="0"/>
          <w:bCs w:val="0"/>
          <w:color w:val="000000" w:themeColor="text1"/>
          <w:sz w:val="22"/>
          <w:szCs w:val="22"/>
        </w:rPr>
        <w:t xml:space="preserve">satisfied </w:t>
      </w:r>
      <w:r w:rsidR="00D700C9" w:rsidRPr="00B74237">
        <w:rPr>
          <w:rFonts w:ascii="Arial" w:hAnsi="Arial" w:cs="Arial"/>
          <w:b w:val="0"/>
          <w:bCs w:val="0"/>
          <w:color w:val="000000" w:themeColor="text1"/>
          <w:sz w:val="22"/>
          <w:szCs w:val="22"/>
        </w:rPr>
        <w:t xml:space="preserve">conservation of </w:t>
      </w:r>
      <w:r w:rsidR="000E67D9" w:rsidRPr="00B74237">
        <w:rPr>
          <w:rFonts w:ascii="Arial" w:hAnsi="Arial" w:cs="Arial"/>
          <w:b w:val="0"/>
          <w:bCs w:val="0"/>
          <w:color w:val="000000" w:themeColor="text1"/>
          <w:sz w:val="22"/>
          <w:szCs w:val="22"/>
        </w:rPr>
        <w:t>salt</w:t>
      </w:r>
      <w:r w:rsidR="0079343C" w:rsidRPr="00B74237">
        <w:rPr>
          <w:rFonts w:ascii="Arial" w:hAnsi="Arial" w:cs="Arial"/>
          <w:b w:val="0"/>
          <w:bCs w:val="0"/>
          <w:color w:val="000000" w:themeColor="text1"/>
          <w:sz w:val="22"/>
          <w:szCs w:val="22"/>
        </w:rPr>
        <w:t xml:space="preserve"> and </w:t>
      </w:r>
      <w:r w:rsidR="000E67D9" w:rsidRPr="00B74237">
        <w:rPr>
          <w:rFonts w:ascii="Arial" w:hAnsi="Arial" w:cs="Arial"/>
          <w:b w:val="0"/>
          <w:bCs w:val="0"/>
          <w:color w:val="000000" w:themeColor="text1"/>
          <w:sz w:val="22"/>
          <w:szCs w:val="22"/>
        </w:rPr>
        <w:t xml:space="preserve">volume </w:t>
      </w:r>
      <w:r w:rsidR="0079343C" w:rsidRPr="00B74237">
        <w:rPr>
          <w:rFonts w:ascii="Arial" w:hAnsi="Arial" w:cs="Arial"/>
          <w:b w:val="0"/>
          <w:bCs w:val="0"/>
          <w:color w:val="000000" w:themeColor="text1"/>
          <w:sz w:val="22"/>
          <w:szCs w:val="22"/>
        </w:rPr>
        <w:t>after inversion</w:t>
      </w:r>
      <w:r w:rsidR="00D700C9" w:rsidRPr="00B74237">
        <w:rPr>
          <w:rFonts w:ascii="Arial" w:hAnsi="Arial" w:cs="Arial"/>
          <w:b w:val="0"/>
          <w:bCs w:val="0"/>
          <w:color w:val="000000" w:themeColor="text1"/>
          <w:sz w:val="22"/>
          <w:szCs w:val="22"/>
        </w:rPr>
        <w:t xml:space="preserve">. </w:t>
      </w:r>
      <w:r w:rsidR="000E67D9" w:rsidRPr="00B74237">
        <w:rPr>
          <w:rFonts w:ascii="Arial" w:hAnsi="Arial" w:cs="Arial"/>
          <w:b w:val="0"/>
          <w:bCs w:val="0"/>
          <w:color w:val="000000" w:themeColor="text1"/>
          <w:sz w:val="22"/>
          <w:szCs w:val="22"/>
        </w:rPr>
        <w:t xml:space="preserve">In view of these results, and to be consistent with </w:t>
      </w:r>
      <w:r w:rsidR="0079343C" w:rsidRPr="00B74237">
        <w:rPr>
          <w:rFonts w:ascii="Arial" w:hAnsi="Arial" w:cs="Arial"/>
          <w:b w:val="0"/>
          <w:bCs w:val="0"/>
          <w:color w:val="000000" w:themeColor="text1"/>
          <w:sz w:val="22"/>
          <w:szCs w:val="22"/>
        </w:rPr>
        <w:t>the</w:t>
      </w:r>
      <w:r w:rsidR="000E67D9" w:rsidRPr="00B74237">
        <w:rPr>
          <w:rFonts w:ascii="Arial" w:hAnsi="Arial" w:cs="Arial"/>
          <w:b w:val="0"/>
          <w:bCs w:val="0"/>
          <w:color w:val="000000" w:themeColor="text1"/>
          <w:sz w:val="22"/>
          <w:szCs w:val="22"/>
        </w:rPr>
        <w:t xml:space="preserve"> no-use of ADCP constraints at A05-24.5°N</w:t>
      </w:r>
      <w:r w:rsidR="0040436A" w:rsidRPr="00B74237">
        <w:rPr>
          <w:rFonts w:ascii="Arial" w:hAnsi="Arial" w:cs="Arial"/>
          <w:b w:val="0"/>
          <w:bCs w:val="0"/>
          <w:color w:val="000000" w:themeColor="text1"/>
          <w:sz w:val="22"/>
          <w:szCs w:val="22"/>
        </w:rPr>
        <w:t xml:space="preserve">, we chose </w:t>
      </w:r>
      <w:r w:rsidR="0079343C" w:rsidRPr="00B74237">
        <w:rPr>
          <w:rFonts w:ascii="Arial" w:hAnsi="Arial" w:cs="Arial"/>
          <w:b w:val="0"/>
          <w:bCs w:val="0"/>
          <w:color w:val="000000" w:themeColor="text1"/>
          <w:sz w:val="22"/>
          <w:szCs w:val="22"/>
        </w:rPr>
        <w:t xml:space="preserve">not to </w:t>
      </w:r>
      <w:r w:rsidR="000E67D9" w:rsidRPr="00B74237">
        <w:rPr>
          <w:rFonts w:ascii="Arial" w:hAnsi="Arial" w:cs="Arial"/>
          <w:b w:val="0"/>
          <w:bCs w:val="0"/>
          <w:color w:val="000000" w:themeColor="text1"/>
          <w:sz w:val="22"/>
          <w:szCs w:val="22"/>
        </w:rPr>
        <w:t>use ADCP constraints at OVIDE</w:t>
      </w:r>
      <w:r w:rsidR="00D700C9" w:rsidRPr="00B74237">
        <w:rPr>
          <w:rFonts w:ascii="Arial" w:hAnsi="Arial" w:cs="Arial"/>
          <w:b w:val="0"/>
          <w:bCs w:val="0"/>
          <w:color w:val="000000" w:themeColor="text1"/>
          <w:sz w:val="22"/>
          <w:szCs w:val="22"/>
        </w:rPr>
        <w:t xml:space="preserve"> either</w:t>
      </w:r>
      <w:r w:rsidR="000E67D9" w:rsidRPr="00B74237">
        <w:rPr>
          <w:rFonts w:ascii="Arial" w:hAnsi="Arial" w:cs="Arial"/>
          <w:b w:val="0"/>
          <w:bCs w:val="0"/>
          <w:color w:val="000000" w:themeColor="text1"/>
          <w:sz w:val="22"/>
          <w:szCs w:val="22"/>
        </w:rPr>
        <w:t xml:space="preserve">, but </w:t>
      </w:r>
      <w:r w:rsidR="0079343C" w:rsidRPr="00B74237">
        <w:rPr>
          <w:rFonts w:ascii="Arial" w:hAnsi="Arial" w:cs="Arial"/>
          <w:b w:val="0"/>
          <w:bCs w:val="0"/>
          <w:color w:val="000000" w:themeColor="text1"/>
          <w:sz w:val="22"/>
          <w:szCs w:val="22"/>
        </w:rPr>
        <w:t>to use</w:t>
      </w:r>
      <w:r w:rsidR="000E67D9" w:rsidRPr="00B74237">
        <w:rPr>
          <w:rFonts w:ascii="Arial" w:hAnsi="Arial" w:cs="Arial"/>
          <w:b w:val="0"/>
          <w:bCs w:val="0"/>
          <w:color w:val="000000" w:themeColor="text1"/>
          <w:sz w:val="22"/>
          <w:szCs w:val="22"/>
        </w:rPr>
        <w:t xml:space="preserve"> instead the </w:t>
      </w:r>
      <w:r w:rsidR="0079343C" w:rsidRPr="00B74237">
        <w:rPr>
          <w:rFonts w:ascii="Arial" w:hAnsi="Arial" w:cs="Arial"/>
          <w:b w:val="0"/>
          <w:bCs w:val="0"/>
          <w:color w:val="000000" w:themeColor="text1"/>
          <w:sz w:val="22"/>
          <w:szCs w:val="22"/>
        </w:rPr>
        <w:t>velocities at the reference level obtained by the</w:t>
      </w:r>
      <w:r w:rsidR="000E67D9" w:rsidRPr="00B74237">
        <w:rPr>
          <w:rFonts w:ascii="Arial" w:hAnsi="Arial" w:cs="Arial"/>
          <w:b w:val="0"/>
          <w:bCs w:val="0"/>
          <w:color w:val="000000" w:themeColor="text1"/>
          <w:sz w:val="22"/>
          <w:szCs w:val="22"/>
        </w:rPr>
        <w:t xml:space="preserve"> original inversion</w:t>
      </w:r>
      <w:r w:rsidR="0079343C" w:rsidRPr="00B74237">
        <w:rPr>
          <w:rFonts w:ascii="Arial" w:hAnsi="Arial" w:cs="Arial"/>
          <w:b w:val="0"/>
          <w:bCs w:val="0"/>
          <w:color w:val="000000" w:themeColor="text1"/>
          <w:sz w:val="22"/>
          <w:szCs w:val="22"/>
        </w:rPr>
        <w:t xml:space="preserve"> by Lherminier et al. (2010) and Mercier et al. (2015) as </w:t>
      </w:r>
      <w:r w:rsidR="0079343C" w:rsidRPr="00B74237">
        <w:rPr>
          <w:rFonts w:ascii="Arial" w:hAnsi="Arial" w:cs="Arial"/>
          <w:b w:val="0"/>
          <w:bCs w:val="0"/>
          <w:i/>
          <w:iCs/>
          <w:color w:val="000000" w:themeColor="text1"/>
          <w:sz w:val="22"/>
          <w:szCs w:val="22"/>
        </w:rPr>
        <w:t>a priori</w:t>
      </w:r>
      <w:r w:rsidR="0079343C" w:rsidRPr="00B74237">
        <w:rPr>
          <w:rFonts w:ascii="Arial" w:hAnsi="Arial" w:cs="Arial"/>
          <w:b w:val="0"/>
          <w:bCs w:val="0"/>
          <w:color w:val="000000" w:themeColor="text1"/>
          <w:sz w:val="22"/>
          <w:szCs w:val="22"/>
        </w:rPr>
        <w:t xml:space="preserve"> velocities at the reference level for our joint inversion</w:t>
      </w:r>
      <w:r w:rsidR="00790632" w:rsidRPr="00B74237">
        <w:rPr>
          <w:rFonts w:ascii="Arial" w:hAnsi="Arial" w:cs="Arial"/>
          <w:b w:val="0"/>
          <w:bCs w:val="0"/>
          <w:color w:val="000000" w:themeColor="text1"/>
          <w:sz w:val="22"/>
          <w:szCs w:val="22"/>
        </w:rPr>
        <w:t xml:space="preserve"> and the associated error covariance matrix taking </w:t>
      </w:r>
      <w:r w:rsidR="00790632" w:rsidRPr="00B74237">
        <w:rPr>
          <w:rFonts w:ascii="Arial" w:hAnsi="Arial" w:cs="Arial"/>
          <w:b w:val="0"/>
          <w:bCs w:val="0"/>
          <w:i/>
          <w:iCs/>
          <w:color w:val="000000" w:themeColor="text1"/>
          <w:sz w:val="22"/>
          <w:szCs w:val="22"/>
        </w:rPr>
        <w:t xml:space="preserve">de facto </w:t>
      </w:r>
      <w:r w:rsidR="00790632" w:rsidRPr="00B74237">
        <w:rPr>
          <w:rFonts w:ascii="Arial" w:hAnsi="Arial" w:cs="Arial"/>
          <w:b w:val="0"/>
          <w:bCs w:val="0"/>
          <w:color w:val="000000" w:themeColor="text1"/>
          <w:sz w:val="22"/>
          <w:szCs w:val="22"/>
        </w:rPr>
        <w:t>into account the ADCP information</w:t>
      </w:r>
      <w:r w:rsidR="0079343C" w:rsidRPr="00B74237">
        <w:rPr>
          <w:rFonts w:ascii="Arial" w:hAnsi="Arial" w:cs="Arial"/>
          <w:b w:val="0"/>
          <w:bCs w:val="0"/>
          <w:color w:val="000000" w:themeColor="text1"/>
          <w:sz w:val="22"/>
          <w:szCs w:val="22"/>
        </w:rPr>
        <w:t>.</w:t>
      </w:r>
      <w:r w:rsidR="007A0405" w:rsidRPr="00B74237">
        <w:rPr>
          <w:rFonts w:ascii="Arial" w:hAnsi="Arial" w:cs="Arial"/>
          <w:b w:val="0"/>
          <w:bCs w:val="0"/>
          <w:color w:val="000000" w:themeColor="text1"/>
          <w:sz w:val="22"/>
          <w:szCs w:val="22"/>
        </w:rPr>
        <w:t xml:space="preserve"> </w:t>
      </w:r>
    </w:p>
    <w:p w14:paraId="6D4A8CF9" w14:textId="77777777" w:rsidR="005517E0" w:rsidRPr="00B74237" w:rsidRDefault="005517E0" w:rsidP="005517E0">
      <w:pPr>
        <w:pStyle w:val="SMHeading"/>
        <w:spacing w:after="120" w:line="360" w:lineRule="auto"/>
        <w:rPr>
          <w:rFonts w:ascii="Arial" w:hAnsi="Arial" w:cs="Arial"/>
          <w:color w:val="000000" w:themeColor="text1"/>
          <w:sz w:val="22"/>
          <w:szCs w:val="22"/>
        </w:rPr>
      </w:pPr>
      <w:r w:rsidRPr="00B74237">
        <w:rPr>
          <w:rFonts w:ascii="Arial" w:hAnsi="Arial"/>
          <w:color w:val="000000" w:themeColor="text1"/>
          <w:sz w:val="22"/>
        </w:rPr>
        <w:t>Text S6.</w:t>
      </w:r>
      <w:r w:rsidRPr="00B74237">
        <w:rPr>
          <w:rFonts w:ascii="Arial" w:hAnsi="Arial" w:cs="Arial"/>
          <w:color w:val="000000" w:themeColor="text1"/>
          <w:sz w:val="22"/>
          <w:szCs w:val="22"/>
        </w:rPr>
        <w:t xml:space="preserve"> Sensitivity tests</w:t>
      </w:r>
    </w:p>
    <w:p w14:paraId="600F2FE1" w14:textId="77777777" w:rsidR="005517E0" w:rsidRPr="00B74237" w:rsidRDefault="005517E0" w:rsidP="005517E0">
      <w:pPr>
        <w:pStyle w:val="CommentText"/>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 xml:space="preserve">A sensitivity analysis was performed to test the robustness of the budget estimates under different assumptions, comprising: </w:t>
      </w:r>
    </w:p>
    <w:p w14:paraId="41ACBBA8" w14:textId="77777777" w:rsidR="005517E0" w:rsidRPr="00B74237" w:rsidRDefault="005517E0" w:rsidP="005517E0">
      <w:pPr>
        <w:pStyle w:val="CommentText"/>
        <w:numPr>
          <w:ilvl w:val="0"/>
          <w:numId w:val="42"/>
        </w:numPr>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test 1, annual Ekman and Florida Straits transport (results in main manuscript); reference level at the A05-24.5</w:t>
      </w:r>
      <m:oMath>
        <m:r>
          <w:rPr>
            <w:rFonts w:ascii="Cambria Math" w:hAnsi="Cambria Math" w:cs="Arial"/>
            <w:color w:val="000000" w:themeColor="text1"/>
            <w:sz w:val="22"/>
            <w:szCs w:val="22"/>
          </w:rPr>
          <m:t>°</m:t>
        </m:r>
      </m:oMath>
      <w:r w:rsidRPr="00B74237">
        <w:rPr>
          <w:rFonts w:ascii="Arial" w:hAnsi="Arial" w:cs="Arial"/>
          <w:color w:val="000000" w:themeColor="text1"/>
          <w:sz w:val="22"/>
          <w:szCs w:val="22"/>
        </w:rPr>
        <w:t xml:space="preserve">N section according to </w:t>
      </w:r>
      <w:r w:rsidRPr="00B74237">
        <w:rPr>
          <w:rFonts w:ascii="Arial" w:hAnsi="Arial" w:cs="Arial"/>
          <w:color w:val="000000" w:themeColor="text1"/>
          <w:sz w:val="22"/>
          <w:szCs w:val="22"/>
        </w:rPr>
        <w:fldChar w:fldCharType="begin"/>
      </w:r>
      <w:r w:rsidRPr="00B74237">
        <w:rPr>
          <w:rFonts w:ascii="Arial" w:hAnsi="Arial" w:cs="Arial"/>
          <w:color w:val="000000" w:themeColor="text1"/>
          <w:sz w:val="22"/>
          <w:szCs w:val="22"/>
        </w:rPr>
        <w:instrText xml:space="preserve"> ADDIN ZOTERO_ITEM CSL_CITATION {"citationID":"4MGANbBZ","properties":{"unsorted":true,"formattedCitation":"(Lav\\uc0\\u305{}\\uc0\\u769{}n et al., 2003; Atkinson et al., 2012)","plainCitation":"(Lavı́n et al., 2003; Atkinson et al., 2012)","dontUpdate":true,"noteIndex":0},"citationItems":[{"id":355,"uris":["http://zotero.org/users/951135/items/FI3RJ5QV"],"uri":["http://zotero.org/users/951135/items/FI3RJ5QV"],"itemData":{"id":355,"type":"article-journal","container-title":"Deep Sea Research Part I: Oceanographic Research Papers","DOI":"10.1016/S0967-0637(03)00095-5","ISSN":"09670637","issue":"9","page":"1099-1128","source":"CrossRef","title":"Mechanisms of heat, freshwater, oxygen and nutrient transports and budgets at 24.5°N in the subtropical North Atlantic","volume":"50","author":[{"family":"Lavı́n","given":"Alicia M."},{"family":"Bryden","given":"Harry L."},{"family":"Parrilla","given":"Gregorio"}],"issued":{"date-parts":[["2003",9]]}}},{"id":356,"uris":["http://zotero.org/users/951135/items/2K226NFK"],"uri":["http://zotero.org/users/951135/items/2K226NFK"],"itemData":{"id":356,"type":"article-journal","container-title":"Ocean Science","DOI":"10.5194/os-8-497-2012","ISSN":"1812-0792","issue":"4","page":"497-523","source":"CrossRef","title":"Atlantic transport variability at 25° N in six hydrographic sections","volume":"8","author":[{"family":"Atkinson","given":"C. P."},{"family":"Bryden","given":"H. L."},{"family":"Cunningham","given":"S. A."},{"family":"King","given":"B. A."}],"issued":{"date-parts":[["2012",7,19]]}}}],"schema":"https://github.com/citation-style-language/schema/raw/master/csl-citation.json"} </w:instrText>
      </w:r>
      <w:r w:rsidRPr="00B74237">
        <w:rPr>
          <w:rFonts w:ascii="Arial" w:hAnsi="Arial" w:cs="Arial"/>
          <w:color w:val="000000" w:themeColor="text1"/>
          <w:sz w:val="22"/>
          <w:szCs w:val="22"/>
        </w:rPr>
        <w:fldChar w:fldCharType="separate"/>
      </w:r>
      <w:r w:rsidRPr="00B74237">
        <w:rPr>
          <w:rFonts w:ascii="Arial" w:hAnsi="Arial" w:cs="Arial"/>
          <w:color w:val="000000" w:themeColor="text1"/>
          <w:sz w:val="22"/>
          <w:szCs w:val="22"/>
        </w:rPr>
        <w:t xml:space="preserve">Lavı́n et al. (2003)  and Atkinson et al. (2012) </w:t>
      </w:r>
      <w:r w:rsidRPr="00B74237">
        <w:rPr>
          <w:rFonts w:ascii="Arial" w:hAnsi="Arial" w:cs="Arial"/>
          <w:color w:val="000000" w:themeColor="text1"/>
          <w:sz w:val="22"/>
          <w:szCs w:val="22"/>
        </w:rPr>
        <w:fldChar w:fldCharType="end"/>
      </w:r>
      <w:r w:rsidRPr="00B74237">
        <w:rPr>
          <w:rFonts w:ascii="Arial" w:hAnsi="Arial" w:cs="Arial"/>
          <w:color w:val="000000" w:themeColor="text1"/>
          <w:sz w:val="22"/>
          <w:szCs w:val="22"/>
        </w:rPr>
        <w:t xml:space="preserve">and at the OVIDE section according to </w:t>
      </w:r>
      <w:r w:rsidRPr="00B74237">
        <w:rPr>
          <w:rFonts w:ascii="Arial" w:hAnsi="Arial" w:cs="Arial"/>
          <w:color w:val="000000" w:themeColor="text1"/>
          <w:sz w:val="22"/>
          <w:szCs w:val="22"/>
        </w:rPr>
        <w:fldChar w:fldCharType="begin"/>
      </w:r>
      <w:r w:rsidRPr="00B74237">
        <w:rPr>
          <w:rFonts w:ascii="Arial" w:hAnsi="Arial" w:cs="Arial"/>
          <w:color w:val="000000" w:themeColor="text1"/>
          <w:sz w:val="22"/>
          <w:szCs w:val="22"/>
        </w:rPr>
        <w:instrText xml:space="preserve"> ADDIN ZOTERO_ITEM CSL_CITATION {"citationID":"a2bem2fkgi3","properties":{"formattedCitation":"(Lherminier et al., 2007, 2010)","plainCitation":"(Lherminier et al., 2007, 2010)","dontUpdate":true,"noteIndex":0},"citationItems":[{"id":388,"uris":["http://zotero.org/users/951135/items/HCZ44GDW"],"uri":["http://zotero.org/users/951135/items/HCZ44GDW"],"itemData":{"id":388,"type":"article-journal","container-title":"Deep Sea Research Part I: Oceanographic Research Papers","DOI":"10.1016/j.dsr.2010.07.009","ISSN":"09670637","issue":"11","page":"1374-1391","source":"CrossRef","title":"The Atlantic Meridional Overturning Circulation and the subpolar gyre observed at the A25-OVIDE section in June 2002 and 2004","volume":"57","author":[{"family":"Lherminier","given":"Pascale"},{"family":"Mercier","given":"Herlé"},{"family":"Huck","given":"Thierry"},{"family":"Gourcuff","given":"Claire"},{"family":"Perez","given":"Fiz F."},{"family":"Morin","given":"Pascal"},{"family":"Sarafanov","given":"Artem"},{"family":"Falina","given":"Anastasia"}],"issued":{"date-parts":[["2010",11]]}},"label":"page"},{"id":389,"uris":["http://zotero.org/users/951135/items/7W92W6BJ"],"uri":["http://zotero.org/users/951135/items/7W92W6BJ"],"itemData":{"id":389,"type":"article-journal","container-title":"Journal of Geophysical Research","issue":"C7","page":"C07003","source":"Google Scholar","title":"Transports across the 2002 Greenland-Portugal Ovide section and comparison with 1997","volume":"112","author":[{"family":"Lherminier","given":"Pascale"},{"family":"Mercier","given":"Herle"},{"family":"Gourcuff","given":"Claire"},{"family":"Alvarez","given":"M."},{"family":"Bacon","given":"S."},{"family":"Kermabon","given":"Catherine"}],"issued":{"date-parts":[["2007"]]}},"label":"page"}],"schema":"https://github.com/citation-style-language/schema/raw/master/csl-citation.json"} </w:instrText>
      </w:r>
      <w:r w:rsidRPr="00B74237">
        <w:rPr>
          <w:rFonts w:ascii="Arial" w:hAnsi="Arial" w:cs="Arial"/>
          <w:color w:val="000000" w:themeColor="text1"/>
          <w:sz w:val="22"/>
          <w:szCs w:val="22"/>
        </w:rPr>
        <w:fldChar w:fldCharType="separate"/>
      </w:r>
      <w:r w:rsidRPr="00B74237">
        <w:rPr>
          <w:rFonts w:ascii="Arial" w:hAnsi="Arial" w:cs="Arial"/>
          <w:color w:val="000000" w:themeColor="text1"/>
          <w:sz w:val="22"/>
          <w:szCs w:val="22"/>
        </w:rPr>
        <w:t>Lherminier et al. (2007, 2010)</w:t>
      </w:r>
      <w:r w:rsidRPr="00B74237">
        <w:rPr>
          <w:rFonts w:ascii="Arial" w:hAnsi="Arial" w:cs="Arial"/>
          <w:color w:val="000000" w:themeColor="text1"/>
          <w:sz w:val="22"/>
          <w:szCs w:val="22"/>
        </w:rPr>
        <w:fldChar w:fldCharType="end"/>
      </w:r>
      <w:r w:rsidRPr="00B74237">
        <w:rPr>
          <w:rFonts w:ascii="Arial" w:hAnsi="Arial" w:cs="Arial"/>
          <w:color w:val="000000" w:themeColor="text1"/>
          <w:sz w:val="22"/>
          <w:szCs w:val="22"/>
        </w:rPr>
        <w:t xml:space="preserve"> and </w:t>
      </w:r>
      <w:r w:rsidRPr="00B74237">
        <w:rPr>
          <w:rFonts w:ascii="Arial" w:hAnsi="Arial" w:cs="Arial"/>
          <w:color w:val="000000" w:themeColor="text1"/>
          <w:sz w:val="22"/>
          <w:szCs w:val="22"/>
        </w:rPr>
        <w:fldChar w:fldCharType="begin"/>
      </w:r>
      <w:r w:rsidRPr="00B74237">
        <w:rPr>
          <w:rFonts w:ascii="Arial" w:hAnsi="Arial" w:cs="Arial"/>
          <w:color w:val="000000" w:themeColor="text1"/>
          <w:sz w:val="22"/>
          <w:szCs w:val="22"/>
        </w:rPr>
        <w:instrText xml:space="preserve"> ADDIN ZOTERO_ITEM CSL_CITATION {"citationID":"SR86idA7","properties":{"formattedCitation":"(Herl\\uc0\\u233{} Mercier et al., 2015)","plainCitation":"(Herlé Mercier et al., 2015)","dontUpdate":true,"noteIndex":0},"citationItems":[{"id":889,"uris":["http://zotero.org/users/951135/items/SM644PSP"],"uri":["http://zotero.org/users/951135/items/SM644PSP"],"itemData":{"id":889,"type":"article-journal","abstract":"The meridional overturning circulation (MOC) in the North Atlantic transports heat from the subtropics to high latitudes and hence plays an important role in the Earth’s climate. A region crucial for the MOC is the northern North Atlantic and the adjacent Nordic Seas, where waters transported northward in the MOC upper limb progressively cool, gain density and eventually sink. Here we discuss the variability of the gyre circulation, the MOC and heat flux as quantified from a joint analysis of hydrographic and velocity data from six repeats of the Greenland to Portugal OVIDE section (1997–2010), satellite altimetry and Argo float measurements. For each repeat of the OVIDE section, the full-depth absolute circulation and transports were assessed using an inverse model constrained by ship-mounted Acoustic Doppler Current Profiler data and by an overall mass balance. The obtained circulation patterns revealed remarkable transport changes in the whole water column and evidenced large variations (up to 50% of the lowest value) in the magnitude of the MOC computed in density coordinates (MOCσ). The extent and time scales of the MOCσ variability in 1993–2010 were then evaluated using a monthly MOCσ index built upon altimetry and Argo. The MOCσ index, validated by the good agreement with the estimates from repeat hydrographic surveys, shows a large variability of the MOCσ at OVIDE on monthly to decadal time scales. The intra-annual variability is dominated by the seasonal component with peak-to-peak amplitude of 4.3 Sv (1 Sv = 106 m3 s–1). On longer time scales, the MOCσ index varies from less than 15 Sv to about 25 Sv. It averages to 18.1 ± 1.4 Sv and shows an overall decline of 2.5 ± 1.4 Sv (95% confidence interval) between 1993 and 2010. The heat flux estimates from repeat hydrographic surveys, which vary between 0.29 and 0.70 ± 0.05 PW, indicate that the heat flux across the OVIDE section is linearly related to the MOCσ intensity (0.054 PW/Sv).","collection-title":"Oceanography of the Arctic and North Atlantic Basins","container-title":"Progress in Oceanography","DOI":"10.1016/j.pocean.2013.11.001","ISSN":"0079-6611","journalAbbreviation":"Progress in Oceanography","page":"250-261","source":"ScienceDirect","title":"Variability of the meridional overturning circulation at the Greenland–Portugal OVIDE section from 1993 to 2010","volume":"132","author":[{"family":"Mercier","given":"Herlé"},{"family":"Lherminier","given":"Pascale"},{"family":"Sarafanov","given":"Artem"},{"family":"Gaillard","given":"Fabienne"},{"family":"Daniault","given":"Nathalie"},{"family":"Desbruyères","given":"Damien"},{"family":"Falina","given":"Anastasia"},{"family":"Ferron","given":"Bruno"},{"family":"Gourcuff","given":"Claire"},{"family":"Huck","given":"Thierry"},{"family":"Thierry","given":"Virginie"}],"issued":{"date-parts":[["2015",3]]}}}],"schema":"https://github.com/citation-style-language/schema/raw/master/csl-citation.json"} </w:instrText>
      </w:r>
      <w:r w:rsidRPr="00B74237">
        <w:rPr>
          <w:rFonts w:ascii="Arial" w:hAnsi="Arial" w:cs="Arial"/>
          <w:color w:val="000000" w:themeColor="text1"/>
          <w:sz w:val="22"/>
          <w:szCs w:val="22"/>
        </w:rPr>
        <w:fldChar w:fldCharType="separate"/>
      </w:r>
      <w:r w:rsidRPr="00B74237">
        <w:rPr>
          <w:rFonts w:ascii="Arial" w:hAnsi="Arial" w:cs="Arial"/>
          <w:color w:val="000000" w:themeColor="text1"/>
          <w:sz w:val="22"/>
          <w:szCs w:val="22"/>
        </w:rPr>
        <w:t>Mercier et al. (2015</w:t>
      </w:r>
      <w:r w:rsidRPr="00B74237">
        <w:rPr>
          <w:rFonts w:ascii="Arial" w:hAnsi="Arial" w:cs="Arial"/>
          <w:color w:val="000000" w:themeColor="text1"/>
          <w:sz w:val="22"/>
          <w:szCs w:val="22"/>
        </w:rPr>
        <w:fldChar w:fldCharType="end"/>
      </w:r>
      <w:r w:rsidRPr="00B74237">
        <w:rPr>
          <w:rFonts w:ascii="Arial" w:hAnsi="Arial" w:cs="Arial"/>
          <w:color w:val="000000" w:themeColor="text1"/>
          <w:sz w:val="22"/>
          <w:szCs w:val="22"/>
        </w:rPr>
        <w:t>);</w:t>
      </w:r>
    </w:p>
    <w:p w14:paraId="1AA7EB9C" w14:textId="77777777" w:rsidR="005517E0" w:rsidRPr="00B74237" w:rsidRDefault="005517E0" w:rsidP="005517E0">
      <w:pPr>
        <w:pStyle w:val="CommentText"/>
        <w:numPr>
          <w:ilvl w:val="0"/>
          <w:numId w:val="42"/>
        </w:numPr>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 xml:space="preserve">test 2, annual Ekman and Florida Straits transport, but using a redefined shallower reference level in the West Boundary Wedge (west of 76.75°W) at A05-24.5°N; </w:t>
      </w:r>
    </w:p>
    <w:p w14:paraId="37066F67" w14:textId="77777777" w:rsidR="005517E0" w:rsidRPr="00B74237" w:rsidRDefault="005517E0" w:rsidP="005517E0">
      <w:pPr>
        <w:pStyle w:val="CommentText"/>
        <w:numPr>
          <w:ilvl w:val="0"/>
          <w:numId w:val="42"/>
        </w:numPr>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 xml:space="preserve">test 3, time-of-the-cruise Ekman and Florida Straits transport and shallower reference level in the West Boundary Wedge (west of 76.75°W) at A05-24.5°N; </w:t>
      </w:r>
    </w:p>
    <w:p w14:paraId="0CEC90F2" w14:textId="77777777" w:rsidR="005517E0" w:rsidRPr="00B74237" w:rsidRDefault="005517E0" w:rsidP="005517E0">
      <w:pPr>
        <w:pStyle w:val="CommentText"/>
        <w:numPr>
          <w:ilvl w:val="0"/>
          <w:numId w:val="42"/>
        </w:numPr>
        <w:spacing w:before="120" w:after="120" w:line="360" w:lineRule="auto"/>
        <w:jc w:val="both"/>
        <w:rPr>
          <w:rFonts w:ascii="Arial" w:hAnsi="Arial"/>
          <w:color w:val="000000" w:themeColor="text1"/>
          <w:sz w:val="22"/>
        </w:rPr>
      </w:pPr>
      <w:r w:rsidRPr="00B74237">
        <w:rPr>
          <w:rFonts w:ascii="Arial" w:hAnsi="Arial" w:cs="Arial"/>
          <w:color w:val="000000" w:themeColor="text1"/>
          <w:sz w:val="22"/>
          <w:szCs w:val="22"/>
        </w:rPr>
        <w:lastRenderedPageBreak/>
        <w:t xml:space="preserve">test 4, time-of-the-cruise Ekman and Florida Straits transport, shallower western boundary reference at A05-24.5°N and RAPID-Array Western boundary </w:t>
      </w:r>
      <w:r w:rsidRPr="00B74237">
        <w:rPr>
          <w:rFonts w:ascii="Arial" w:hAnsi="Arial" w:cs="Arial"/>
          <w:i/>
          <w:iCs/>
          <w:color w:val="000000" w:themeColor="text1"/>
          <w:sz w:val="22"/>
          <w:szCs w:val="22"/>
        </w:rPr>
        <w:t>in-situ</w:t>
      </w:r>
      <w:r w:rsidRPr="00B74237">
        <w:rPr>
          <w:rFonts w:ascii="Arial" w:hAnsi="Arial" w:cs="Arial"/>
          <w:color w:val="000000" w:themeColor="text1"/>
          <w:sz w:val="22"/>
          <w:szCs w:val="22"/>
        </w:rPr>
        <w:t xml:space="preserve"> transport </w:t>
      </w:r>
      <w:r w:rsidRPr="00B74237">
        <w:rPr>
          <w:rFonts w:ascii="Arial" w:hAnsi="Arial" w:cs="Arial"/>
          <w:color w:val="000000" w:themeColor="text1"/>
          <w:sz w:val="22"/>
          <w:szCs w:val="22"/>
        </w:rPr>
        <w:fldChar w:fldCharType="begin"/>
      </w:r>
      <w:r w:rsidRPr="00B74237">
        <w:rPr>
          <w:rFonts w:ascii="Arial" w:hAnsi="Arial" w:cs="Arial"/>
          <w:color w:val="000000" w:themeColor="text1"/>
          <w:sz w:val="22"/>
          <w:szCs w:val="22"/>
        </w:rPr>
        <w:instrText xml:space="preserve"> ADDIN ZOTERO_ITEM CSL_CITATION {"citationID":"abrjudt49l","properties":{"formattedCitation":"(Smeed et al., 2019)","plainCitation":"(Smeed et al., 2019)","noteIndex":0},"citationItems":[{"id":4440,"uris":["http://zotero.org/users/951135/items/4FRXQJD5"],"uri":["http://zotero.org/users/951135/items/4FRXQJD5"],"itemData":{"id":4440,"type":"article-journal","abstract":"Atlantic meridional overturning circulation observed by the RAPID-MOCHA-WBTS (RAPID-Meridional Overturning Circulation and Heatflux Array-Western Boundary Time Series) array at 26N from 2004 to 2018.","container-title":"British Oceanographic Data Centre","DOI":"10/c72s","title":"Atlantic meridional overturning circulation observed by the RAPID-MOCHA-WBTS array at 26N from 2004 to 2018","URL":"https://www.bodc.ac.uk/data/published_data_library/catalogue/10.5285/8cd7e7bb-9a20-05d8-e053-6c86abc012c2/","author":[{"family":"Smeed","given":"D."},{"family":"Moat","given":"B.I."},{"family":"Rayner","given":"D."},{"family":"Johns","given":"W.E."},{"family":"Baringer","given":"M.O."},{"family":"Volkov","given":"D.L."},{"family":"Frajka-Williams","given":"E."}],"accessed":{"date-parts":[["2020",10,29]]},"issued":{"date-parts":[["2019"]]}}}],"schema":"https://github.com/citation-style-language/schema/raw/master/csl-citation.json"} </w:instrText>
      </w:r>
      <w:r w:rsidRPr="00B74237">
        <w:rPr>
          <w:rFonts w:ascii="Arial" w:hAnsi="Arial" w:cs="Arial"/>
          <w:color w:val="000000" w:themeColor="text1"/>
          <w:sz w:val="22"/>
          <w:szCs w:val="22"/>
        </w:rPr>
        <w:fldChar w:fldCharType="separate"/>
      </w:r>
      <w:r w:rsidRPr="00B74237">
        <w:rPr>
          <w:rFonts w:ascii="Arial" w:hAnsi="Arial"/>
          <w:color w:val="000000" w:themeColor="text1"/>
          <w:sz w:val="22"/>
        </w:rPr>
        <w:t>(Smeed et al., 2019)</w:t>
      </w:r>
      <w:r w:rsidRPr="00B74237">
        <w:rPr>
          <w:rFonts w:ascii="Arial" w:hAnsi="Arial" w:cs="Arial"/>
          <w:color w:val="000000" w:themeColor="text1"/>
          <w:sz w:val="22"/>
          <w:szCs w:val="22"/>
        </w:rPr>
        <w:fldChar w:fldCharType="end"/>
      </w:r>
      <w:r w:rsidRPr="00B74237">
        <w:rPr>
          <w:rFonts w:ascii="Arial" w:hAnsi="Arial" w:cs="Arial"/>
          <w:color w:val="000000" w:themeColor="text1"/>
          <w:sz w:val="22"/>
          <w:szCs w:val="22"/>
        </w:rPr>
        <w:t xml:space="preserve"> used as constraint. </w:t>
      </w:r>
    </w:p>
    <w:p w14:paraId="6A81552D" w14:textId="4947066A" w:rsidR="005517E0" w:rsidRPr="00B74237" w:rsidRDefault="005517E0" w:rsidP="005517E0">
      <w:pPr>
        <w:pStyle w:val="CommentText"/>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 xml:space="preserve">The four tests above were repeated for: bottom triangles assuming constant velocity; bottom triangles assuming linearly decreasing velocity to 0 at bottom; and omitting bottom triangles, and salt conservation constraint with an uncertainty of 35 Sv psu; and salt conservation constraint with an uncertainty of 0.5 Sv psu. Results are summarized in Figures S8 and S9, and further details given in the text below. </w:t>
      </w:r>
    </w:p>
    <w:p w14:paraId="7EAD8133" w14:textId="77777777" w:rsidR="005517E0" w:rsidRPr="00B74237" w:rsidRDefault="005517E0" w:rsidP="005517E0">
      <w:pPr>
        <w:pStyle w:val="Heading2"/>
        <w:spacing w:before="120" w:after="120" w:line="360" w:lineRule="auto"/>
        <w:rPr>
          <w:rFonts w:ascii="Arial" w:hAnsi="Arial" w:cs="Arial"/>
          <w:bCs/>
          <w:i/>
          <w:color w:val="000000" w:themeColor="text1"/>
          <w:sz w:val="22"/>
          <w:szCs w:val="22"/>
        </w:rPr>
      </w:pPr>
      <w:r w:rsidRPr="00B74237">
        <w:rPr>
          <w:rFonts w:ascii="Arial" w:hAnsi="Arial" w:cs="Arial"/>
          <w:bCs/>
          <w:i/>
          <w:color w:val="000000" w:themeColor="text1"/>
          <w:sz w:val="22"/>
          <w:szCs w:val="22"/>
        </w:rPr>
        <w:t xml:space="preserve">S6.1. Sensitivity to the annual vs cruise-average Ekman and Florida Straits transports </w:t>
      </w:r>
    </w:p>
    <w:p w14:paraId="61428A45" w14:textId="4E6EE6FF" w:rsidR="005517E0" w:rsidRPr="00B74237" w:rsidRDefault="005517E0" w:rsidP="005517E0">
      <w:pPr>
        <w:pStyle w:val="CommentText"/>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 xml:space="preserve">We evaluated the </w:t>
      </w:r>
      <w:r w:rsidR="00354DB1" w:rsidRPr="00B74237">
        <w:rPr>
          <w:rFonts w:ascii="Arial" w:hAnsi="Arial" w:cs="Arial"/>
          <w:color w:val="000000" w:themeColor="text1"/>
          <w:sz w:val="22"/>
          <w:szCs w:val="22"/>
        </w:rPr>
        <w:t>differences</w:t>
      </w:r>
      <w:r w:rsidRPr="00B74237">
        <w:rPr>
          <w:rFonts w:ascii="Arial" w:hAnsi="Arial" w:cs="Arial"/>
          <w:color w:val="000000" w:themeColor="text1"/>
          <w:sz w:val="22"/>
          <w:szCs w:val="22"/>
        </w:rPr>
        <w:t xml:space="preserve"> on the nutrient transport estimates across both sections, and their impact on the nutrient budgets, of using annual (as in Atkinson et al., 2012) versus synoptic Ekman (wind forcing) and Florida Strait transports. We found that only for the 2010 cruise</w:t>
      </w:r>
      <w:r w:rsidRPr="00B74237">
        <w:rPr>
          <w:rFonts w:ascii="Arial" w:hAnsi="Arial" w:cs="Arial"/>
          <w:bCs/>
          <w:iCs/>
          <w:color w:val="000000" w:themeColor="text1"/>
          <w:sz w:val="22"/>
          <w:szCs w:val="22"/>
        </w:rPr>
        <w:t xml:space="preserve"> at 24.5</w:t>
      </w:r>
      <m:oMath>
        <m:r>
          <m:rPr>
            <m:sty m:val="bi"/>
          </m:rPr>
          <w:rPr>
            <w:rFonts w:ascii="Cambria Math" w:hAnsi="Cambria Math" w:cs="Arial"/>
            <w:color w:val="000000" w:themeColor="text1"/>
            <w:sz w:val="22"/>
            <w:szCs w:val="22"/>
          </w:rPr>
          <m:t>°</m:t>
        </m:r>
      </m:oMath>
      <w:r w:rsidRPr="00B74237">
        <w:rPr>
          <w:rFonts w:ascii="Arial" w:hAnsi="Arial" w:cs="Arial"/>
          <w:bCs/>
          <w:iCs/>
          <w:color w:val="000000" w:themeColor="text1"/>
          <w:sz w:val="22"/>
          <w:szCs w:val="22"/>
        </w:rPr>
        <w:t>N</w:t>
      </w:r>
      <w:r w:rsidRPr="00B74237">
        <w:rPr>
          <w:rFonts w:ascii="Arial" w:hAnsi="Arial" w:cs="Arial"/>
          <w:color w:val="000000" w:themeColor="text1"/>
          <w:sz w:val="22"/>
          <w:szCs w:val="22"/>
        </w:rPr>
        <w:t xml:space="preserve"> the net volume and oxygen transports by the upper and lower MOC limbs (and the net nutrient transports by the lower MOC limb) were sensitive to the annual (tests 1 and 2) vs synoptic (test 3 and 4) Ekman and Florida Strait transports (Figure S</w:t>
      </w:r>
      <w:r w:rsidR="009C1D53">
        <w:rPr>
          <w:rFonts w:ascii="Arial" w:hAnsi="Arial" w:cs="Arial"/>
          <w:color w:val="000000" w:themeColor="text1"/>
          <w:sz w:val="22"/>
          <w:szCs w:val="22"/>
        </w:rPr>
        <w:t>5</w:t>
      </w:r>
      <w:r w:rsidRPr="00B74237">
        <w:rPr>
          <w:rFonts w:ascii="Arial" w:hAnsi="Arial" w:cs="Arial"/>
          <w:color w:val="000000" w:themeColor="text1"/>
          <w:sz w:val="22"/>
          <w:szCs w:val="22"/>
        </w:rPr>
        <w:t>b). As result, the net nutrient budgets in 2010 were also sensitive to that choice, with the nitrate and phosphate convergence being significantly enhanced under synoptic forcing (Figure S</w:t>
      </w:r>
      <w:r w:rsidR="009C1D53">
        <w:rPr>
          <w:rFonts w:ascii="Arial" w:hAnsi="Arial" w:cs="Arial"/>
          <w:color w:val="000000" w:themeColor="text1"/>
          <w:sz w:val="22"/>
          <w:szCs w:val="22"/>
        </w:rPr>
        <w:t>6</w:t>
      </w:r>
      <w:r w:rsidRPr="00B74237">
        <w:rPr>
          <w:rFonts w:ascii="Arial" w:hAnsi="Arial" w:cs="Arial"/>
          <w:color w:val="000000" w:themeColor="text1"/>
          <w:sz w:val="22"/>
          <w:szCs w:val="22"/>
        </w:rPr>
        <w:t>).</w:t>
      </w:r>
    </w:p>
    <w:p w14:paraId="50BF65F0" w14:textId="77777777" w:rsidR="005517E0" w:rsidRPr="00B74237" w:rsidRDefault="005517E0" w:rsidP="005517E0">
      <w:pPr>
        <w:pStyle w:val="Heading2"/>
        <w:spacing w:before="120" w:after="120" w:line="360" w:lineRule="auto"/>
        <w:rPr>
          <w:rFonts w:ascii="Arial" w:hAnsi="Arial" w:cs="Arial"/>
          <w:i/>
          <w:color w:val="000000" w:themeColor="text1"/>
          <w:sz w:val="22"/>
          <w:szCs w:val="22"/>
        </w:rPr>
      </w:pPr>
      <w:r w:rsidRPr="00B74237">
        <w:rPr>
          <w:rFonts w:ascii="Arial" w:hAnsi="Arial" w:cs="Arial"/>
          <w:bCs/>
          <w:i/>
          <w:color w:val="000000" w:themeColor="text1"/>
          <w:sz w:val="22"/>
          <w:szCs w:val="22"/>
        </w:rPr>
        <w:t xml:space="preserve">S6.2. Sensitivity to the </w:t>
      </w:r>
      <w:r w:rsidRPr="00B74237">
        <w:rPr>
          <w:rFonts w:ascii="Arial" w:hAnsi="Arial" w:cs="Arial"/>
          <w:i/>
          <w:color w:val="000000" w:themeColor="text1"/>
          <w:sz w:val="22"/>
          <w:szCs w:val="22"/>
        </w:rPr>
        <w:t>West Boundary Wedge</w:t>
      </w:r>
      <w:r w:rsidRPr="00B74237">
        <w:rPr>
          <w:rFonts w:ascii="Arial" w:hAnsi="Arial" w:cs="Arial"/>
          <w:bCs/>
          <w:i/>
          <w:color w:val="000000" w:themeColor="text1"/>
          <w:sz w:val="22"/>
          <w:szCs w:val="22"/>
        </w:rPr>
        <w:t xml:space="preserve"> </w:t>
      </w:r>
      <w:r w:rsidRPr="00B74237">
        <w:rPr>
          <w:rFonts w:ascii="Arial" w:hAnsi="Arial" w:cs="Arial"/>
          <w:i/>
          <w:color w:val="000000" w:themeColor="text1"/>
          <w:sz w:val="22"/>
          <w:szCs w:val="22"/>
        </w:rPr>
        <w:t>reference level and transport</w:t>
      </w:r>
    </w:p>
    <w:p w14:paraId="5D9EADA2" w14:textId="797988F6" w:rsidR="005517E0" w:rsidRPr="00B74237" w:rsidRDefault="005517E0" w:rsidP="005517E0">
      <w:pPr>
        <w:pStyle w:val="CommentText"/>
        <w:spacing w:before="120" w:after="120" w:line="360" w:lineRule="auto"/>
        <w:jc w:val="both"/>
        <w:rPr>
          <w:rFonts w:ascii="Arial" w:hAnsi="Arial"/>
          <w:color w:val="000000" w:themeColor="text1"/>
          <w:sz w:val="22"/>
          <w:lang w:val="en-US"/>
        </w:rPr>
      </w:pPr>
      <w:r w:rsidRPr="00B74237">
        <w:rPr>
          <w:rFonts w:ascii="Arial" w:hAnsi="Arial" w:cs="Arial"/>
          <w:color w:val="000000" w:themeColor="text1"/>
          <w:sz w:val="22"/>
          <w:szCs w:val="22"/>
          <w:lang w:val="en-US"/>
        </w:rPr>
        <w:t xml:space="preserve">The </w:t>
      </w:r>
      <w:r w:rsidRPr="00B74237">
        <w:rPr>
          <w:rFonts w:ascii="Arial" w:hAnsi="Arial" w:cs="Arial"/>
          <w:color w:val="000000" w:themeColor="text1"/>
          <w:sz w:val="22"/>
          <w:szCs w:val="22"/>
        </w:rPr>
        <w:t xml:space="preserve">hydrography-based estimate of the </w:t>
      </w:r>
      <w:r w:rsidRPr="00B74237">
        <w:rPr>
          <w:rFonts w:ascii="Arial" w:hAnsi="Arial" w:cs="Arial"/>
          <w:color w:val="000000" w:themeColor="text1"/>
          <w:sz w:val="22"/>
          <w:szCs w:val="22"/>
          <w:lang w:val="en-US"/>
        </w:rPr>
        <w:t xml:space="preserve">MOC magnitude as presented in this study (annual Ekman and Florida Straits transports) was of 13.7 </w:t>
      </w:r>
      <w:r w:rsidRPr="00B74237">
        <w:rPr>
          <w:rFonts w:ascii="Arial" w:hAnsi="Arial" w:cs="Arial"/>
          <w:color w:val="000000" w:themeColor="text1"/>
          <w:sz w:val="22"/>
          <w:szCs w:val="22"/>
        </w:rPr>
        <w:t>±</w:t>
      </w:r>
      <w:r w:rsidRPr="00B74237">
        <w:rPr>
          <w:rFonts w:ascii="Arial" w:hAnsi="Arial" w:cs="Arial"/>
          <w:color w:val="000000" w:themeColor="text1"/>
          <w:sz w:val="22"/>
          <w:szCs w:val="22"/>
          <w:lang w:val="en-US"/>
        </w:rPr>
        <w:t xml:space="preserve"> 1.0 Sv in 2004, and 17.5 </w:t>
      </w:r>
      <w:r w:rsidRPr="00B74237">
        <w:rPr>
          <w:rFonts w:ascii="Arial" w:hAnsi="Arial" w:cs="Arial"/>
          <w:color w:val="000000" w:themeColor="text1"/>
          <w:sz w:val="22"/>
          <w:szCs w:val="22"/>
        </w:rPr>
        <w:t>±</w:t>
      </w:r>
      <w:r w:rsidRPr="00B74237">
        <w:rPr>
          <w:rFonts w:ascii="Arial" w:hAnsi="Arial" w:cs="Arial"/>
          <w:color w:val="000000" w:themeColor="text1"/>
          <w:sz w:val="22"/>
          <w:szCs w:val="22"/>
          <w:lang w:val="en-US"/>
        </w:rPr>
        <w:t xml:space="preserve"> 0.9 Sv in 2010. </w:t>
      </w:r>
      <w:r w:rsidRPr="00B74237">
        <w:rPr>
          <w:rFonts w:ascii="Arial" w:hAnsi="Arial"/>
          <w:color w:val="000000" w:themeColor="text1"/>
          <w:sz w:val="22"/>
          <w:lang w:val="en-US"/>
        </w:rPr>
        <w:t xml:space="preserve">These values </w:t>
      </w:r>
      <w:r w:rsidRPr="00B74237">
        <w:rPr>
          <w:rFonts w:ascii="Arial" w:hAnsi="Arial" w:cs="Arial"/>
          <w:color w:val="000000" w:themeColor="text1"/>
          <w:sz w:val="22"/>
          <w:szCs w:val="22"/>
          <w:lang w:val="en-US"/>
        </w:rPr>
        <w:t xml:space="preserve">compare to those by the </w:t>
      </w:r>
      <w:r w:rsidRPr="00B74237">
        <w:rPr>
          <w:rFonts w:ascii="Arial" w:hAnsi="Arial" w:cs="Arial"/>
          <w:color w:val="000000" w:themeColor="text1"/>
          <w:sz w:val="22"/>
          <w:szCs w:val="22"/>
        </w:rPr>
        <w:t>hydrography-based estimate</w:t>
      </w:r>
      <w:r w:rsidRPr="00B74237">
        <w:rPr>
          <w:rFonts w:ascii="Arial" w:hAnsi="Arial"/>
          <w:color w:val="000000" w:themeColor="text1"/>
          <w:sz w:val="22"/>
        </w:rPr>
        <w:t xml:space="preserve"> by </w:t>
      </w:r>
      <w:r w:rsidRPr="00B74237">
        <w:rPr>
          <w:rFonts w:ascii="Arial" w:hAnsi="Arial"/>
          <w:color w:val="000000" w:themeColor="text1"/>
          <w:sz w:val="22"/>
          <w:lang w:val="en-US"/>
        </w:rPr>
        <w:t xml:space="preserve">Atkinson et al. (2012) of 12.9 Sv in 2004, and 15.4 Sv in 2010, </w:t>
      </w:r>
      <w:r w:rsidRPr="00B74237">
        <w:rPr>
          <w:rFonts w:ascii="Arial" w:hAnsi="Arial" w:cs="Arial"/>
          <w:color w:val="000000" w:themeColor="text1"/>
          <w:sz w:val="22"/>
          <w:szCs w:val="22"/>
          <w:lang w:val="en-US"/>
        </w:rPr>
        <w:t>taking into account that the latter</w:t>
      </w:r>
      <w:r w:rsidRPr="00B74237">
        <w:rPr>
          <w:rFonts w:ascii="Arial" w:hAnsi="Arial"/>
          <w:color w:val="000000" w:themeColor="text1"/>
          <w:sz w:val="22"/>
          <w:lang w:val="en-US"/>
        </w:rPr>
        <w:t xml:space="preserve"> correspond to the net </w:t>
      </w:r>
      <w:r w:rsidRPr="00B74237">
        <w:rPr>
          <w:rFonts w:ascii="Arial" w:hAnsi="Arial" w:cs="Arial"/>
          <w:color w:val="000000" w:themeColor="text1"/>
          <w:sz w:val="22"/>
          <w:szCs w:val="22"/>
          <w:lang w:val="en-US"/>
        </w:rPr>
        <w:t xml:space="preserve">volume </w:t>
      </w:r>
      <w:r w:rsidRPr="00B74237">
        <w:rPr>
          <w:rFonts w:ascii="Arial" w:hAnsi="Arial"/>
          <w:color w:val="000000" w:themeColor="text1"/>
          <w:sz w:val="22"/>
          <w:lang w:val="en-US"/>
        </w:rPr>
        <w:t xml:space="preserve">transport in the upper 800 dbar, whereas </w:t>
      </w:r>
      <w:r w:rsidRPr="00B74237">
        <w:rPr>
          <w:rFonts w:ascii="Arial" w:hAnsi="Arial" w:cs="Arial"/>
          <w:color w:val="000000" w:themeColor="text1"/>
          <w:sz w:val="22"/>
          <w:szCs w:val="22"/>
          <w:lang w:val="en-US"/>
        </w:rPr>
        <w:t>ours</w:t>
      </w:r>
      <w:r w:rsidRPr="00B74237">
        <w:rPr>
          <w:rFonts w:ascii="Arial" w:hAnsi="Arial"/>
          <w:color w:val="000000" w:themeColor="text1"/>
          <w:sz w:val="22"/>
          <w:lang w:val="en-US"/>
        </w:rPr>
        <w:t xml:space="preserve"> account for a deeper range (roughly upper 1000 dbar of the water column). </w:t>
      </w:r>
      <w:r w:rsidR="00681069" w:rsidRPr="00B74237">
        <w:rPr>
          <w:rFonts w:ascii="Arial" w:hAnsi="Arial"/>
          <w:color w:val="000000" w:themeColor="text1"/>
          <w:sz w:val="22"/>
          <w:lang w:val="en-US"/>
        </w:rPr>
        <w:t>Di</w:t>
      </w:r>
      <w:r w:rsidR="00681069">
        <w:rPr>
          <w:rFonts w:ascii="Arial" w:hAnsi="Arial"/>
          <w:color w:val="000000" w:themeColor="text1"/>
          <w:sz w:val="22"/>
          <w:lang w:val="en-US"/>
        </w:rPr>
        <w:t>ssimilarities</w:t>
      </w:r>
      <w:r w:rsidRPr="00B74237">
        <w:rPr>
          <w:rFonts w:ascii="Arial" w:hAnsi="Arial"/>
          <w:color w:val="000000" w:themeColor="text1"/>
          <w:sz w:val="22"/>
          <w:lang w:val="en-US"/>
        </w:rPr>
        <w:t xml:space="preserve"> </w:t>
      </w:r>
      <w:r w:rsidRPr="00B74237">
        <w:rPr>
          <w:rFonts w:ascii="Arial" w:hAnsi="Arial" w:cs="Arial"/>
          <w:color w:val="000000" w:themeColor="text1"/>
          <w:sz w:val="22"/>
          <w:szCs w:val="22"/>
          <w:lang w:val="en-US"/>
        </w:rPr>
        <w:t>in</w:t>
      </w:r>
      <w:r w:rsidRPr="00B74237">
        <w:rPr>
          <w:rFonts w:ascii="Arial" w:hAnsi="Arial"/>
          <w:color w:val="000000" w:themeColor="text1"/>
          <w:sz w:val="22"/>
          <w:lang w:val="en-US"/>
        </w:rPr>
        <w:t xml:space="preserve"> the MOC </w:t>
      </w:r>
      <w:r w:rsidRPr="00B74237">
        <w:rPr>
          <w:rFonts w:ascii="Arial" w:hAnsi="Arial" w:cs="Arial"/>
          <w:color w:val="000000" w:themeColor="text1"/>
          <w:sz w:val="22"/>
          <w:szCs w:val="22"/>
          <w:lang w:val="en-US"/>
        </w:rPr>
        <w:t xml:space="preserve">magnitude, however, enlarge when it comes to compare the </w:t>
      </w:r>
      <w:r w:rsidRPr="00B74237">
        <w:rPr>
          <w:rFonts w:ascii="Arial" w:hAnsi="Arial" w:cs="Arial"/>
          <w:color w:val="000000" w:themeColor="text1"/>
          <w:sz w:val="22"/>
          <w:szCs w:val="22"/>
        </w:rPr>
        <w:t xml:space="preserve">hydrography-based </w:t>
      </w:r>
      <w:r w:rsidRPr="00B74237">
        <w:rPr>
          <w:rFonts w:ascii="Arial" w:hAnsi="Arial" w:cs="Arial"/>
          <w:color w:val="000000" w:themeColor="text1"/>
          <w:sz w:val="22"/>
          <w:szCs w:val="22"/>
          <w:lang w:val="en-US"/>
        </w:rPr>
        <w:t>MOC</w:t>
      </w:r>
      <w:r w:rsidRPr="00B74237">
        <w:rPr>
          <w:rFonts w:ascii="Arial" w:hAnsi="Arial" w:cs="Arial"/>
          <w:color w:val="000000" w:themeColor="text1"/>
          <w:sz w:val="22"/>
          <w:szCs w:val="22"/>
        </w:rPr>
        <w:t xml:space="preserve"> estimate with those </w:t>
      </w:r>
      <w:r w:rsidRPr="00B74237">
        <w:rPr>
          <w:rFonts w:ascii="Arial" w:hAnsi="Arial" w:cs="Arial"/>
          <w:color w:val="000000" w:themeColor="text1"/>
          <w:sz w:val="22"/>
          <w:szCs w:val="22"/>
          <w:lang w:val="en-US"/>
        </w:rPr>
        <w:t xml:space="preserve">those by the </w:t>
      </w:r>
      <w:r w:rsidRPr="00B74237">
        <w:rPr>
          <w:rFonts w:ascii="Arial" w:hAnsi="Arial"/>
          <w:color w:val="000000" w:themeColor="text1"/>
          <w:sz w:val="22"/>
          <w:lang w:val="en-US"/>
        </w:rPr>
        <w:t>RAPID time series</w:t>
      </w:r>
      <w:r w:rsidRPr="00B74237">
        <w:rPr>
          <w:rFonts w:ascii="Arial" w:hAnsi="Arial" w:cs="Arial"/>
          <w:color w:val="000000" w:themeColor="text1"/>
          <w:sz w:val="22"/>
          <w:szCs w:val="22"/>
          <w:lang w:val="en-US"/>
        </w:rPr>
        <w:t>,</w:t>
      </w:r>
      <w:r w:rsidRPr="00B74237">
        <w:rPr>
          <w:rFonts w:ascii="Arial" w:hAnsi="Arial"/>
          <w:color w:val="000000" w:themeColor="text1"/>
          <w:sz w:val="22"/>
          <w:lang w:val="en-US"/>
        </w:rPr>
        <w:t xml:space="preserve"> due to the </w:t>
      </w:r>
      <w:r w:rsidRPr="00B74237">
        <w:rPr>
          <w:rFonts w:ascii="Arial" w:hAnsi="Arial" w:cs="Arial"/>
          <w:color w:val="000000" w:themeColor="text1"/>
          <w:sz w:val="22"/>
          <w:szCs w:val="22"/>
          <w:lang w:val="en-US"/>
        </w:rPr>
        <w:t>differences in the</w:t>
      </w:r>
      <w:r w:rsidRPr="00B74237">
        <w:rPr>
          <w:rFonts w:ascii="Arial" w:hAnsi="Arial"/>
          <w:color w:val="000000" w:themeColor="text1"/>
          <w:sz w:val="22"/>
          <w:lang w:val="en-US"/>
        </w:rPr>
        <w:t xml:space="preserve"> methodological </w:t>
      </w:r>
      <w:r w:rsidRPr="00B74237">
        <w:rPr>
          <w:rFonts w:ascii="Arial" w:hAnsi="Arial" w:cs="Arial"/>
          <w:color w:val="000000" w:themeColor="text1"/>
          <w:sz w:val="22"/>
          <w:szCs w:val="22"/>
          <w:lang w:val="en-US"/>
        </w:rPr>
        <w:t>procedure</w:t>
      </w:r>
      <w:r w:rsidRPr="00B74237">
        <w:rPr>
          <w:rFonts w:ascii="Arial" w:hAnsi="Arial"/>
          <w:color w:val="000000" w:themeColor="text1"/>
          <w:sz w:val="22"/>
          <w:lang w:val="en-US"/>
        </w:rPr>
        <w:t xml:space="preserve"> (</w:t>
      </w:r>
      <w:r w:rsidRPr="00B74237">
        <w:rPr>
          <w:rFonts w:ascii="Arial" w:hAnsi="Arial"/>
          <w:color w:val="000000" w:themeColor="text1"/>
          <w:sz w:val="22"/>
        </w:rPr>
        <w:t>Morarji</w:t>
      </w:r>
      <w:r w:rsidR="000C1318">
        <w:rPr>
          <w:rFonts w:ascii="Arial" w:hAnsi="Arial"/>
          <w:color w:val="000000" w:themeColor="text1"/>
          <w:sz w:val="22"/>
        </w:rPr>
        <w:t xml:space="preserve">, </w:t>
      </w:r>
      <w:r w:rsidRPr="00B74237">
        <w:rPr>
          <w:rFonts w:ascii="Arial" w:hAnsi="Arial"/>
          <w:color w:val="000000" w:themeColor="text1"/>
          <w:sz w:val="22"/>
        </w:rPr>
        <w:t xml:space="preserve">PhD, 2018), </w:t>
      </w:r>
      <w:r w:rsidRPr="00B74237">
        <w:rPr>
          <w:rFonts w:ascii="Arial" w:hAnsi="Arial" w:cs="Arial"/>
          <w:color w:val="000000" w:themeColor="text1"/>
          <w:sz w:val="22"/>
          <w:szCs w:val="22"/>
        </w:rPr>
        <w:t xml:space="preserve">which </w:t>
      </w:r>
      <w:r w:rsidRPr="00B74237">
        <w:rPr>
          <w:rFonts w:ascii="Arial" w:hAnsi="Arial"/>
          <w:color w:val="000000" w:themeColor="text1"/>
          <w:sz w:val="22"/>
        </w:rPr>
        <w:t xml:space="preserve">prevents </w:t>
      </w:r>
      <w:r w:rsidRPr="00B74237">
        <w:rPr>
          <w:rFonts w:ascii="Arial" w:hAnsi="Arial" w:cs="Arial"/>
          <w:color w:val="000000" w:themeColor="text1"/>
          <w:sz w:val="22"/>
          <w:szCs w:val="22"/>
        </w:rPr>
        <w:t>from</w:t>
      </w:r>
      <w:r w:rsidRPr="00B74237">
        <w:rPr>
          <w:rFonts w:ascii="Arial" w:hAnsi="Arial"/>
          <w:color w:val="000000" w:themeColor="text1"/>
          <w:sz w:val="22"/>
        </w:rPr>
        <w:t xml:space="preserve"> a direct comparison</w:t>
      </w:r>
      <w:r w:rsidRPr="00B74237">
        <w:rPr>
          <w:rFonts w:ascii="Arial" w:hAnsi="Arial" w:cs="Arial"/>
          <w:color w:val="000000" w:themeColor="text1"/>
          <w:sz w:val="22"/>
          <w:szCs w:val="22"/>
        </w:rPr>
        <w:t>. In Morarji's work, they showed that one of the largest disagreements between hydrography and the RAPID estimates arose by the use (in the RAPID estimate) of absolute transports obtained from current meter moorings in the Western Boundary Wedge (WBW) (between Bahamas and 76.75</w:t>
      </w:r>
      <w:r w:rsidRPr="00B74237">
        <w:rPr>
          <w:rFonts w:ascii="Arial" w:hAnsi="Arial" w:cs="Arial"/>
          <w:color w:val="000000" w:themeColor="text1"/>
          <w:sz w:val="22"/>
          <w:szCs w:val="22"/>
        </w:rPr>
        <w:sym w:font="Symbol" w:char="F0B0"/>
      </w:r>
      <w:r w:rsidRPr="00B74237">
        <w:rPr>
          <w:rFonts w:ascii="Arial" w:hAnsi="Arial" w:cs="Arial"/>
          <w:color w:val="000000" w:themeColor="text1"/>
          <w:sz w:val="22"/>
          <w:szCs w:val="22"/>
        </w:rPr>
        <w:t>W, location of the RAPID-WB2 mooring). To evaluate that, we first took a closer look into the mean WBW current-meter velocity profiles to check whether they showed the same vertical shear as the mean geostrophic velocity profile at the same location (</w:t>
      </w:r>
      <w:r w:rsidR="00D03E89">
        <w:rPr>
          <w:rFonts w:ascii="Arial" w:hAnsi="Arial" w:cs="Arial"/>
          <w:color w:val="000000" w:themeColor="text1"/>
          <w:sz w:val="22"/>
          <w:szCs w:val="22"/>
        </w:rPr>
        <w:t>Figure S7</w:t>
      </w:r>
      <w:r w:rsidRPr="00B74237">
        <w:rPr>
          <w:rFonts w:ascii="Arial" w:hAnsi="Arial" w:cs="Arial"/>
          <w:color w:val="000000" w:themeColor="text1"/>
          <w:sz w:val="22"/>
          <w:szCs w:val="22"/>
        </w:rPr>
        <w:t xml:space="preserve">, upper panels). As seen in </w:t>
      </w:r>
      <w:r w:rsidR="00D03E89">
        <w:rPr>
          <w:rFonts w:ascii="Arial" w:hAnsi="Arial" w:cs="Arial"/>
          <w:color w:val="000000" w:themeColor="text1"/>
          <w:sz w:val="22"/>
          <w:szCs w:val="22"/>
        </w:rPr>
        <w:t>Figure S7</w:t>
      </w:r>
      <w:r w:rsidRPr="00B74237">
        <w:rPr>
          <w:rFonts w:ascii="Arial" w:hAnsi="Arial" w:cs="Arial"/>
          <w:color w:val="000000" w:themeColor="text1"/>
          <w:sz w:val="22"/>
          <w:szCs w:val="22"/>
        </w:rPr>
        <w:t xml:space="preserve"> (upper panels), the vertical velocity profiles (mooring vs geostrophic velocity profile) compared better for the 2010 cruise than for 2004.  In 2004, the geostrophic velocity mean </w:t>
      </w:r>
      <w:r w:rsidRPr="00B74237">
        <w:rPr>
          <w:rFonts w:ascii="Arial" w:hAnsi="Arial" w:cs="Arial"/>
          <w:color w:val="000000" w:themeColor="text1"/>
          <w:sz w:val="22"/>
          <w:szCs w:val="22"/>
        </w:rPr>
        <w:lastRenderedPageBreak/>
        <w:t>profile at the WBW seemed to be missing the deep (ageostrophic) signal, which, however, was seen in the first geostrophic velocity profile east of 76.75</w:t>
      </w:r>
      <w:r w:rsidRPr="00B74237">
        <w:rPr>
          <w:rFonts w:ascii="Arial" w:hAnsi="Arial" w:cs="Arial"/>
          <w:color w:val="000000" w:themeColor="text1"/>
          <w:sz w:val="22"/>
          <w:szCs w:val="22"/>
        </w:rPr>
        <w:sym w:font="Symbol" w:char="F0B0"/>
      </w:r>
      <w:r w:rsidRPr="00B74237">
        <w:rPr>
          <w:rFonts w:ascii="Arial" w:hAnsi="Arial" w:cs="Arial"/>
          <w:color w:val="000000" w:themeColor="text1"/>
          <w:sz w:val="22"/>
          <w:szCs w:val="22"/>
        </w:rPr>
        <w:t xml:space="preserve">W. </w:t>
      </w:r>
      <w:r w:rsidRPr="00B74237">
        <w:rPr>
          <w:rFonts w:ascii="Arial" w:hAnsi="Arial"/>
          <w:color w:val="000000" w:themeColor="text1"/>
          <w:sz w:val="22"/>
        </w:rPr>
        <w:t>To</w:t>
      </w:r>
      <w:r w:rsidRPr="00B74237">
        <w:rPr>
          <w:rFonts w:ascii="Arial" w:hAnsi="Arial" w:cs="Arial"/>
          <w:color w:val="000000" w:themeColor="text1"/>
          <w:sz w:val="22"/>
          <w:szCs w:val="22"/>
        </w:rPr>
        <w:t xml:space="preserve"> check how long did this deep feature lasted in time, </w:t>
      </w:r>
      <w:r w:rsidR="00D03E89">
        <w:rPr>
          <w:rFonts w:ascii="Arial" w:hAnsi="Arial" w:cs="Arial"/>
          <w:color w:val="000000" w:themeColor="text1"/>
          <w:sz w:val="22"/>
          <w:szCs w:val="22"/>
        </w:rPr>
        <w:t>Figure S7</w:t>
      </w:r>
      <w:r w:rsidRPr="00B74237">
        <w:rPr>
          <w:rFonts w:ascii="Arial" w:hAnsi="Arial" w:cs="Arial"/>
          <w:color w:val="000000" w:themeColor="text1"/>
          <w:sz w:val="22"/>
          <w:szCs w:val="22"/>
        </w:rPr>
        <w:t xml:space="preserve"> (lower panels) shows the WBW mooring velocity profiles at the time the WBW was sampled in the hydro-cruises, </w:t>
      </w:r>
      <w:r w:rsidRPr="00B74237">
        <w:rPr>
          <w:rFonts w:ascii="Arial" w:hAnsi="Arial" w:cs="Arial"/>
          <w:i/>
          <w:color w:val="000000" w:themeColor="text1"/>
          <w:sz w:val="22"/>
          <w:szCs w:val="22"/>
        </w:rPr>
        <w:t xml:space="preserve">plus </w:t>
      </w:r>
      <w:r w:rsidRPr="00B74237">
        <w:rPr>
          <w:rFonts w:ascii="Arial" w:hAnsi="Arial" w:cs="Arial"/>
          <w:color w:val="000000" w:themeColor="text1"/>
          <w:sz w:val="22"/>
          <w:szCs w:val="22"/>
        </w:rPr>
        <w:t>5 more mooring time-lapses in each case. As we can see, the deep positive-velocity feature in 2004 did not last longer than two days, but is was detectable in the 3-day average (</w:t>
      </w:r>
      <w:r w:rsidR="00D03E89">
        <w:rPr>
          <w:rFonts w:ascii="Arial" w:hAnsi="Arial" w:cs="Arial"/>
          <w:color w:val="000000" w:themeColor="text1"/>
          <w:sz w:val="22"/>
          <w:szCs w:val="22"/>
        </w:rPr>
        <w:t>Figure S7</w:t>
      </w:r>
      <w:r w:rsidRPr="00B74237">
        <w:rPr>
          <w:rFonts w:ascii="Arial" w:hAnsi="Arial" w:cs="Arial"/>
          <w:color w:val="000000" w:themeColor="text1"/>
          <w:sz w:val="22"/>
          <w:szCs w:val="22"/>
        </w:rPr>
        <w:t xml:space="preserve">c, black line). </w:t>
      </w:r>
      <w:r w:rsidRPr="00B74237">
        <w:rPr>
          <w:rFonts w:ascii="Arial" w:hAnsi="Arial"/>
          <w:color w:val="000000" w:themeColor="text1"/>
          <w:sz w:val="22"/>
        </w:rPr>
        <w:t>In</w:t>
      </w:r>
      <w:r w:rsidRPr="00B74237">
        <w:rPr>
          <w:rFonts w:ascii="Arial" w:hAnsi="Arial" w:cs="Arial"/>
          <w:color w:val="000000" w:themeColor="text1"/>
          <w:sz w:val="22"/>
          <w:szCs w:val="22"/>
        </w:rPr>
        <w:t xml:space="preserve"> 2010, large temporal variability was also detectable at depth, but in this case, the 3-day average profile was closer to the geostrophic mean profile (</w:t>
      </w:r>
      <w:r w:rsidR="00D03E89">
        <w:rPr>
          <w:rFonts w:ascii="Arial" w:hAnsi="Arial" w:cs="Arial"/>
          <w:color w:val="000000" w:themeColor="text1"/>
          <w:sz w:val="22"/>
          <w:szCs w:val="22"/>
        </w:rPr>
        <w:t>Figure S7</w:t>
      </w:r>
      <w:r w:rsidRPr="00B74237">
        <w:rPr>
          <w:rFonts w:ascii="Arial" w:hAnsi="Arial" w:cs="Arial"/>
          <w:color w:val="000000" w:themeColor="text1"/>
          <w:sz w:val="22"/>
          <w:szCs w:val="22"/>
        </w:rPr>
        <w:t>d). In both cases, the WBW mean current-meter velocity profile crossed 0 at around 940 dbar. Based on that, we decided to adjust the geostrophic reference level (</w:t>
      </w:r>
      <w:r w:rsidRPr="00B74237">
        <w:rPr>
          <w:rFonts w:ascii="Arial" w:hAnsi="Arial" w:cs="Arial"/>
          <w:i/>
          <w:iCs/>
          <w:color w:val="000000" w:themeColor="text1"/>
          <w:sz w:val="22"/>
          <w:szCs w:val="22"/>
        </w:rPr>
        <w:t>a priori</w:t>
      </w:r>
      <w:r w:rsidRPr="00B74237">
        <w:rPr>
          <w:rFonts w:ascii="Arial" w:hAnsi="Arial" w:cs="Arial"/>
          <w:color w:val="000000" w:themeColor="text1"/>
          <w:sz w:val="22"/>
          <w:szCs w:val="22"/>
        </w:rPr>
        <w:t xml:space="preserve"> level of no motion in the inverse model) from the original 1000 dbar level (as in Atkinson et al.</w:t>
      </w:r>
      <w:r w:rsidR="002506BC">
        <w:rPr>
          <w:rFonts w:ascii="Arial" w:hAnsi="Arial" w:cs="Arial"/>
          <w:color w:val="000000" w:themeColor="text1"/>
          <w:sz w:val="22"/>
          <w:szCs w:val="22"/>
        </w:rPr>
        <w:t>,</w:t>
      </w:r>
      <w:r w:rsidRPr="00B74237">
        <w:rPr>
          <w:rFonts w:ascii="Arial" w:hAnsi="Arial" w:cs="Arial"/>
          <w:color w:val="000000" w:themeColor="text1"/>
          <w:sz w:val="22"/>
          <w:szCs w:val="22"/>
        </w:rPr>
        <w:t xml:space="preserve"> 2012) to 940 dbar (test 2, Figure S</w:t>
      </w:r>
      <w:r w:rsidR="00D03E89">
        <w:rPr>
          <w:rFonts w:ascii="Arial" w:hAnsi="Arial" w:cs="Arial"/>
          <w:color w:val="000000" w:themeColor="text1"/>
          <w:sz w:val="22"/>
          <w:szCs w:val="22"/>
        </w:rPr>
        <w:t>5</w:t>
      </w:r>
      <w:r w:rsidRPr="00B74237">
        <w:rPr>
          <w:rFonts w:ascii="Arial" w:hAnsi="Arial" w:cs="Arial"/>
          <w:color w:val="000000" w:themeColor="text1"/>
          <w:sz w:val="22"/>
          <w:szCs w:val="22"/>
        </w:rPr>
        <w:t>b). But by doing so, we found no significant change in the MOC magnitude, which only experienced a 0.2-Sv decrease in 2004, and 0.5- Sv decrease in 2010. The change became significant only after using the time-of-the-cruise Ekman and Florida Straits transports while keeping the new WBW shallower reference level (test 3, Figure S</w:t>
      </w:r>
      <w:r w:rsidR="00D03E89">
        <w:rPr>
          <w:rFonts w:ascii="Arial" w:hAnsi="Arial" w:cs="Arial"/>
          <w:color w:val="000000" w:themeColor="text1"/>
          <w:sz w:val="22"/>
          <w:szCs w:val="22"/>
        </w:rPr>
        <w:t>5</w:t>
      </w:r>
      <w:r w:rsidRPr="00B74237">
        <w:rPr>
          <w:rFonts w:ascii="Arial" w:hAnsi="Arial" w:cs="Arial"/>
          <w:color w:val="000000" w:themeColor="text1"/>
          <w:sz w:val="22"/>
          <w:szCs w:val="22"/>
        </w:rPr>
        <w:t>b).</w:t>
      </w:r>
    </w:p>
    <w:p w14:paraId="2B7805D5" w14:textId="5D90B941" w:rsidR="005517E0" w:rsidRPr="00B74237" w:rsidRDefault="005517E0" w:rsidP="005517E0">
      <w:pPr>
        <w:pStyle w:val="CommentText"/>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Aware that t</w:t>
      </w:r>
      <w:r w:rsidRPr="00B74237">
        <w:rPr>
          <w:rFonts w:ascii="Arial" w:hAnsi="Arial" w:cs="Arial"/>
          <w:color w:val="000000" w:themeColor="text1"/>
          <w:sz w:val="22"/>
          <w:szCs w:val="22"/>
          <w:lang w:val="en-US"/>
        </w:rPr>
        <w:t xml:space="preserve">he inherent constraints on collecting hydrographic profiles (such as the temporal gap between profiles) in regions of highly variable transports like the western boundary wedge (e.g., </w:t>
      </w:r>
      <w:r w:rsidRPr="00B74237">
        <w:rPr>
          <w:rFonts w:ascii="Arial" w:hAnsi="Arial"/>
          <w:color w:val="000000" w:themeColor="text1"/>
          <w:sz w:val="22"/>
          <w:lang w:val="en-US"/>
        </w:rPr>
        <w:t xml:space="preserve">Figure </w:t>
      </w:r>
      <w:r w:rsidRPr="00B74237">
        <w:rPr>
          <w:rFonts w:ascii="Arial" w:hAnsi="Arial" w:cs="Arial"/>
          <w:color w:val="000000" w:themeColor="text1"/>
          <w:sz w:val="22"/>
          <w:szCs w:val="22"/>
          <w:lang w:val="en-US"/>
        </w:rPr>
        <w:t>S</w:t>
      </w:r>
      <w:r w:rsidR="00D03E89">
        <w:rPr>
          <w:rFonts w:ascii="Arial" w:hAnsi="Arial" w:cs="Arial"/>
          <w:color w:val="000000" w:themeColor="text1"/>
          <w:sz w:val="22"/>
          <w:szCs w:val="22"/>
          <w:lang w:val="en-US"/>
        </w:rPr>
        <w:t>8</w:t>
      </w:r>
      <w:r w:rsidRPr="00B74237">
        <w:rPr>
          <w:rFonts w:ascii="Arial" w:hAnsi="Arial" w:cs="Arial"/>
          <w:color w:val="000000" w:themeColor="text1"/>
          <w:sz w:val="22"/>
          <w:szCs w:val="22"/>
          <w:lang w:val="en-US"/>
        </w:rPr>
        <w:t xml:space="preserve">), may incur in aliasing and, therefore, limit the capture of the large short-term variability in the WBW signal </w:t>
      </w:r>
      <w:r w:rsidRPr="00B74237">
        <w:rPr>
          <w:rFonts w:ascii="Arial" w:hAnsi="Arial" w:cs="Arial"/>
          <w:color w:val="000000" w:themeColor="text1"/>
          <w:sz w:val="22"/>
          <w:szCs w:val="22"/>
          <w:lang w:val="en-US"/>
        </w:rPr>
        <w:fldChar w:fldCharType="begin"/>
      </w:r>
      <w:r w:rsidRPr="00B74237">
        <w:rPr>
          <w:rFonts w:ascii="Arial" w:hAnsi="Arial" w:cs="Arial"/>
          <w:color w:val="000000" w:themeColor="text1"/>
          <w:sz w:val="22"/>
          <w:szCs w:val="22"/>
          <w:lang w:val="en-US"/>
        </w:rPr>
        <w:instrText xml:space="preserve"> ADDIN ZOTERO_ITEM CSL_CITATION {"citationID":"tBnFHqpW","properties":{"formattedCitation":"(Meinen et al., 2004)","plainCitation":"(Meinen et al., 2004)","dontUpdate":true,"noteIndex":0},"citationItems":[{"id":646,"uris":["http://zotero.org/users/951135/items/4H236FTS"],"uri":["http://zotero.org/users/951135/items/4H236FTS"],"itemData":{"id":646,"type":"article-journal","abstract":"Hydrography is combined with 1-year-long Inverted Echo Sounder (IES) travel-time records and bottom pressure observations to estimate the Deep Western Boundary Current (DWBC) transport east of Abaco Island, the Bahamas (near 26.5°N); comparison of the results to a more traditional line of current meter moorings demonstrates that the IESs and pressure gauges, combined with hydrography, can accurately monitor the DWBC transport to within the accuracy of the current meter array estimate at this location. Between 800 and 4800dbar, bounded by two IES moorings 82km apart, the enclosed portion of the DWBC is shown to have a mean southward transport of about 25Sv (1Sv=106m3s-1) and a standard deviation of 23Sv. The DWBC transport is primarily barotropic (where barotropic is defined as the near-bottom velocity rather than the vertical average velocity); geostrophic transports relative to an assumed level of no motion do not accurately reflect the actual absolute transport variability (correlation coefficient is 0.30). The IES-pressure gauge absolute transport within 1200–4800dbar agrees well with the current meter absolute transports (upper integration limit based on shallowest current meter level); the standard deviation of the difference is 12Sv and the mean difference is 0.2Sv. The correlation coefficient between these two time series is 0.76. The northward flowing Antilles Current (AC) east of Abaco Island has a mean baroclinic transport of 6Sv as estimated by the IESs and a standard deviation of 3Sv. The AC variations observed during 1996–1997 are uncorrelated with the Florida Current transport variations west of Abaco Island in the Florida Straits, however, the AC transport variations bear some resemblance to the historical estimates of the AC annual cycle.","container-title":"Deep Sea Research Part I: Oceanographic Research Papers","DOI":"10.1016/j.dsr.2004.07.007","ISSN":"0967-0637","issue":"11","journalAbbreviation":"Deep Sea Research Part I: Oceanographic Research Papers","page":"1397-1415","source":"ScienceDirect","title":"Transport variability of the Deep Western Boundary Current and the Antilles Current off Abaco Island, Bahamas","volume":"51","author":[{"family":"Meinen","given":"Christopher S."},{"family":"Garzoli","given":"Silvia L."},{"family":"Johns","given":"William E."},{"family":"Baringer","given":"Molly O."}],"issued":{"date-parts":[["2004",11,1]]}}}],"schema":"https://github.com/citation-style-language/schema/raw/master/csl-citation.json"} </w:instrText>
      </w:r>
      <w:r w:rsidRPr="00B74237">
        <w:rPr>
          <w:rFonts w:ascii="Arial" w:hAnsi="Arial" w:cs="Arial"/>
          <w:color w:val="000000" w:themeColor="text1"/>
          <w:sz w:val="22"/>
          <w:szCs w:val="22"/>
          <w:lang w:val="en-US"/>
        </w:rPr>
        <w:fldChar w:fldCharType="separate"/>
      </w:r>
      <w:r w:rsidRPr="00B74237">
        <w:rPr>
          <w:rFonts w:ascii="Arial" w:hAnsi="Arial" w:cs="Arial"/>
          <w:color w:val="000000" w:themeColor="text1"/>
          <w:sz w:val="22"/>
        </w:rPr>
        <w:t>(Smeed et al., 2019)</w:t>
      </w:r>
      <w:r w:rsidRPr="00B74237">
        <w:rPr>
          <w:rFonts w:ascii="Arial" w:hAnsi="Arial" w:cs="Arial"/>
          <w:color w:val="000000" w:themeColor="text1"/>
          <w:sz w:val="22"/>
          <w:szCs w:val="22"/>
          <w:lang w:val="en-US"/>
        </w:rPr>
        <w:fldChar w:fldCharType="end"/>
      </w:r>
      <w:r w:rsidRPr="00B74237">
        <w:rPr>
          <w:rFonts w:ascii="Arial" w:hAnsi="Arial" w:cs="Arial"/>
          <w:color w:val="000000" w:themeColor="text1"/>
          <w:sz w:val="22"/>
          <w:szCs w:val="22"/>
          <w:lang w:val="en-US"/>
        </w:rPr>
        <w:t>, we decided to run</w:t>
      </w:r>
      <w:r w:rsidRPr="00B74237">
        <w:rPr>
          <w:rFonts w:ascii="Arial" w:hAnsi="Arial"/>
          <w:color w:val="000000" w:themeColor="text1"/>
          <w:sz w:val="22"/>
          <w:lang w:val="en-US"/>
        </w:rPr>
        <w:t xml:space="preserve"> one </w:t>
      </w:r>
      <w:r w:rsidRPr="00B74237">
        <w:rPr>
          <w:rFonts w:ascii="Arial" w:hAnsi="Arial" w:cs="Arial"/>
          <w:color w:val="000000" w:themeColor="text1"/>
          <w:sz w:val="22"/>
          <w:szCs w:val="22"/>
          <w:lang w:val="en-US"/>
        </w:rPr>
        <w:t>more sensitivity</w:t>
      </w:r>
      <w:r w:rsidRPr="00B74237">
        <w:rPr>
          <w:rFonts w:ascii="Arial" w:hAnsi="Arial"/>
          <w:color w:val="000000" w:themeColor="text1"/>
          <w:sz w:val="22"/>
          <w:lang w:val="en-US"/>
        </w:rPr>
        <w:t xml:space="preserve"> test</w:t>
      </w:r>
      <w:r w:rsidRPr="00B74237">
        <w:rPr>
          <w:rFonts w:ascii="Arial" w:hAnsi="Arial" w:cs="Arial"/>
          <w:color w:val="000000" w:themeColor="text1"/>
          <w:sz w:val="22"/>
          <w:szCs w:val="22"/>
        </w:rPr>
        <w:t xml:space="preserve"> (test 4, Figure S</w:t>
      </w:r>
      <w:r w:rsidR="00B41990">
        <w:rPr>
          <w:rFonts w:ascii="Arial" w:hAnsi="Arial" w:cs="Arial"/>
          <w:color w:val="000000" w:themeColor="text1"/>
          <w:sz w:val="22"/>
          <w:szCs w:val="22"/>
        </w:rPr>
        <w:t>5</w:t>
      </w:r>
      <w:r w:rsidRPr="00B74237">
        <w:rPr>
          <w:rFonts w:ascii="Arial" w:hAnsi="Arial" w:cs="Arial"/>
          <w:color w:val="000000" w:themeColor="text1"/>
          <w:sz w:val="22"/>
          <w:szCs w:val="22"/>
        </w:rPr>
        <w:t xml:space="preserve">b). Test 4 consisted in constraining the inversion with the with mooring-based WBW absolute transport estimates, i.e., </w:t>
      </w:r>
      <w:r w:rsidRPr="00B74237">
        <w:rPr>
          <w:rFonts w:ascii="Arial" w:hAnsi="Arial" w:cs="Arial"/>
          <w:color w:val="000000" w:themeColor="text1"/>
          <w:sz w:val="22"/>
          <w:szCs w:val="22"/>
          <w:lang w:val="en-US"/>
        </w:rPr>
        <w:t xml:space="preserve">4.1 </w:t>
      </w:r>
      <w:r w:rsidRPr="00B74237">
        <w:rPr>
          <w:rFonts w:ascii="Arial" w:hAnsi="Arial" w:cs="Arial"/>
          <w:color w:val="000000" w:themeColor="text1"/>
          <w:sz w:val="22"/>
          <w:szCs w:val="22"/>
        </w:rPr>
        <w:t>±</w:t>
      </w:r>
      <w:r w:rsidRPr="00B74237">
        <w:rPr>
          <w:rFonts w:ascii="Arial" w:hAnsi="Arial" w:cs="Arial"/>
          <w:color w:val="000000" w:themeColor="text1"/>
          <w:sz w:val="22"/>
          <w:szCs w:val="22"/>
          <w:lang w:val="en-US"/>
        </w:rPr>
        <w:t xml:space="preserve"> 0.1 Sv in 2004, and 0.6 </w:t>
      </w:r>
      <w:r w:rsidRPr="00B74237">
        <w:rPr>
          <w:rFonts w:ascii="Arial" w:hAnsi="Arial" w:cs="Arial"/>
          <w:color w:val="000000" w:themeColor="text1"/>
          <w:sz w:val="22"/>
          <w:szCs w:val="22"/>
        </w:rPr>
        <w:t>±</w:t>
      </w:r>
      <w:r w:rsidRPr="00B74237">
        <w:rPr>
          <w:rFonts w:ascii="Arial" w:hAnsi="Arial" w:cs="Arial"/>
          <w:color w:val="000000" w:themeColor="text1"/>
          <w:sz w:val="22"/>
          <w:szCs w:val="22"/>
          <w:lang w:val="en-US"/>
        </w:rPr>
        <w:t xml:space="preserve"> 0.1 Sv in 2010</w:t>
      </w:r>
      <w:r w:rsidRPr="00B74237">
        <w:rPr>
          <w:rFonts w:ascii="Arial" w:hAnsi="Arial" w:cs="Arial"/>
          <w:color w:val="000000" w:themeColor="text1"/>
          <w:sz w:val="22"/>
          <w:szCs w:val="22"/>
        </w:rPr>
        <w:t xml:space="preserve"> (Figure S</w:t>
      </w:r>
      <w:r w:rsidR="00B41990">
        <w:rPr>
          <w:rFonts w:ascii="Arial" w:hAnsi="Arial" w:cs="Arial"/>
          <w:color w:val="000000" w:themeColor="text1"/>
          <w:sz w:val="22"/>
          <w:szCs w:val="22"/>
        </w:rPr>
        <w:t>8</w:t>
      </w:r>
      <w:r w:rsidRPr="00B74237">
        <w:rPr>
          <w:rFonts w:ascii="Arial" w:hAnsi="Arial" w:cs="Arial"/>
          <w:color w:val="000000" w:themeColor="text1"/>
          <w:sz w:val="22"/>
          <w:szCs w:val="22"/>
        </w:rPr>
        <w:t>). No significant changes in the results were observed (Figure</w:t>
      </w:r>
      <w:r w:rsidR="0094546B">
        <w:rPr>
          <w:rFonts w:ascii="Arial" w:hAnsi="Arial" w:cs="Arial"/>
          <w:color w:val="000000" w:themeColor="text1"/>
          <w:sz w:val="22"/>
          <w:szCs w:val="22"/>
        </w:rPr>
        <w:t>s</w:t>
      </w:r>
      <w:r w:rsidRPr="00B74237">
        <w:rPr>
          <w:rFonts w:ascii="Arial" w:hAnsi="Arial" w:cs="Arial"/>
          <w:color w:val="000000" w:themeColor="text1"/>
          <w:sz w:val="22"/>
          <w:szCs w:val="22"/>
        </w:rPr>
        <w:t xml:space="preserve"> S</w:t>
      </w:r>
      <w:r w:rsidR="00B41990">
        <w:rPr>
          <w:rFonts w:ascii="Arial" w:hAnsi="Arial" w:cs="Arial"/>
          <w:color w:val="000000" w:themeColor="text1"/>
          <w:sz w:val="22"/>
          <w:szCs w:val="22"/>
        </w:rPr>
        <w:t>5 and S6</w:t>
      </w:r>
      <w:r w:rsidRPr="00B74237">
        <w:rPr>
          <w:rFonts w:ascii="Arial" w:hAnsi="Arial" w:cs="Arial"/>
          <w:color w:val="000000" w:themeColor="text1"/>
          <w:sz w:val="22"/>
          <w:szCs w:val="22"/>
        </w:rPr>
        <w:t>).</w:t>
      </w:r>
    </w:p>
    <w:p w14:paraId="36847806" w14:textId="77777777" w:rsidR="005517E0" w:rsidRPr="00B74237" w:rsidRDefault="005517E0" w:rsidP="005517E0">
      <w:pPr>
        <w:pStyle w:val="Heading2"/>
        <w:spacing w:before="120" w:after="120" w:line="360" w:lineRule="auto"/>
        <w:rPr>
          <w:rFonts w:ascii="Arial" w:hAnsi="Arial" w:cs="Arial"/>
          <w:i/>
          <w:color w:val="000000" w:themeColor="text1"/>
          <w:sz w:val="22"/>
          <w:szCs w:val="22"/>
        </w:rPr>
      </w:pPr>
      <w:r w:rsidRPr="00B74237">
        <w:rPr>
          <w:rFonts w:ascii="Arial" w:hAnsi="Arial" w:cs="Arial"/>
          <w:bCs/>
          <w:i/>
          <w:color w:val="000000" w:themeColor="text1"/>
          <w:sz w:val="22"/>
          <w:szCs w:val="22"/>
        </w:rPr>
        <w:t xml:space="preserve">S6.3. Sensitivity </w:t>
      </w:r>
      <w:r w:rsidRPr="00B74237">
        <w:rPr>
          <w:rFonts w:ascii="Arial" w:hAnsi="Arial" w:cs="Arial"/>
          <w:i/>
          <w:color w:val="000000" w:themeColor="text1"/>
          <w:sz w:val="22"/>
          <w:szCs w:val="22"/>
        </w:rPr>
        <w:t>to the bottom tringles</w:t>
      </w:r>
    </w:p>
    <w:p w14:paraId="12FD4823" w14:textId="44466080" w:rsidR="005517E0" w:rsidRPr="00B74237" w:rsidRDefault="005517E0" w:rsidP="005517E0">
      <w:pPr>
        <w:pStyle w:val="CommentText"/>
        <w:spacing w:before="120" w:after="120" w:line="360" w:lineRule="auto"/>
        <w:jc w:val="both"/>
        <w:rPr>
          <w:rFonts w:ascii="Arial" w:hAnsi="Arial" w:cs="Arial"/>
          <w:color w:val="000000" w:themeColor="text1"/>
          <w:sz w:val="22"/>
          <w:szCs w:val="22"/>
        </w:rPr>
      </w:pPr>
      <w:r w:rsidRPr="00B74237">
        <w:rPr>
          <w:rFonts w:ascii="Arial" w:hAnsi="Arial" w:cs="Arial"/>
          <w:color w:val="000000" w:themeColor="text1"/>
          <w:sz w:val="22"/>
          <w:szCs w:val="22"/>
        </w:rPr>
        <w:t>Although noticeable differences arise in the property transports depending on which bottom triangle assumption used (linear, constant or without bottom triangles), none of them were statistically significant</w:t>
      </w:r>
      <w:r w:rsidR="0094546B">
        <w:rPr>
          <w:rFonts w:ascii="Arial" w:hAnsi="Arial" w:cs="Arial"/>
          <w:color w:val="000000" w:themeColor="text1"/>
          <w:sz w:val="22"/>
          <w:szCs w:val="22"/>
        </w:rPr>
        <w:t xml:space="preserve"> </w:t>
      </w:r>
      <w:r w:rsidR="0094546B" w:rsidRPr="00B74237">
        <w:rPr>
          <w:rFonts w:ascii="Arial" w:hAnsi="Arial" w:cs="Arial"/>
          <w:color w:val="000000" w:themeColor="text1"/>
          <w:sz w:val="22"/>
          <w:szCs w:val="22"/>
        </w:rPr>
        <w:t>(Figure</w:t>
      </w:r>
      <w:r w:rsidR="0094546B">
        <w:rPr>
          <w:rFonts w:ascii="Arial" w:hAnsi="Arial" w:cs="Arial"/>
          <w:color w:val="000000" w:themeColor="text1"/>
          <w:sz w:val="22"/>
          <w:szCs w:val="22"/>
        </w:rPr>
        <w:t>s</w:t>
      </w:r>
      <w:r w:rsidR="0094546B" w:rsidRPr="00B74237">
        <w:rPr>
          <w:rFonts w:ascii="Arial" w:hAnsi="Arial" w:cs="Arial"/>
          <w:color w:val="000000" w:themeColor="text1"/>
          <w:sz w:val="22"/>
          <w:szCs w:val="22"/>
        </w:rPr>
        <w:t xml:space="preserve"> S</w:t>
      </w:r>
      <w:r w:rsidR="0094546B">
        <w:rPr>
          <w:rFonts w:ascii="Arial" w:hAnsi="Arial" w:cs="Arial"/>
          <w:color w:val="000000" w:themeColor="text1"/>
          <w:sz w:val="22"/>
          <w:szCs w:val="22"/>
        </w:rPr>
        <w:t>5 and S6</w:t>
      </w:r>
      <w:r w:rsidR="0094546B" w:rsidRPr="00B74237">
        <w:rPr>
          <w:rFonts w:ascii="Arial" w:hAnsi="Arial" w:cs="Arial"/>
          <w:color w:val="000000" w:themeColor="text1"/>
          <w:sz w:val="22"/>
          <w:szCs w:val="22"/>
        </w:rPr>
        <w:t>)</w:t>
      </w:r>
      <w:r w:rsidRPr="00B74237">
        <w:rPr>
          <w:rFonts w:ascii="Arial" w:hAnsi="Arial" w:cs="Arial"/>
          <w:color w:val="000000" w:themeColor="text1"/>
          <w:sz w:val="22"/>
          <w:szCs w:val="22"/>
        </w:rPr>
        <w:t>. Therefore, we kept the constant bottom triangles approach for the results shown in the main manuscript, as it accounted for the lower constraints residuals after inversion.</w:t>
      </w:r>
    </w:p>
    <w:p w14:paraId="19C524E8" w14:textId="77777777" w:rsidR="005517E0" w:rsidRPr="00B74237" w:rsidRDefault="005517E0" w:rsidP="005517E0">
      <w:pPr>
        <w:pStyle w:val="Heading2"/>
        <w:spacing w:before="120" w:after="120" w:line="360" w:lineRule="auto"/>
        <w:jc w:val="both"/>
        <w:rPr>
          <w:rFonts w:ascii="Arial" w:hAnsi="Arial" w:cs="Arial"/>
          <w:i/>
          <w:color w:val="000000" w:themeColor="text1"/>
          <w:sz w:val="22"/>
          <w:szCs w:val="22"/>
        </w:rPr>
      </w:pPr>
      <w:r w:rsidRPr="00B74237">
        <w:rPr>
          <w:rFonts w:ascii="Arial" w:hAnsi="Arial" w:cs="Arial"/>
          <w:bCs/>
          <w:i/>
          <w:color w:val="000000" w:themeColor="text1"/>
          <w:sz w:val="22"/>
          <w:szCs w:val="22"/>
        </w:rPr>
        <w:t xml:space="preserve">S6.4. Sensitivity </w:t>
      </w:r>
      <w:r w:rsidRPr="00B74237">
        <w:rPr>
          <w:rFonts w:ascii="Arial" w:hAnsi="Arial" w:cs="Arial"/>
          <w:i/>
          <w:color w:val="000000" w:themeColor="text1"/>
          <w:sz w:val="22"/>
          <w:szCs w:val="22"/>
        </w:rPr>
        <w:t>to the salt conservation constraint</w:t>
      </w:r>
    </w:p>
    <w:p w14:paraId="3B25A8FB" w14:textId="53927AF3" w:rsidR="005517E0" w:rsidRPr="00B74237" w:rsidRDefault="005517E0" w:rsidP="005517E0">
      <w:pPr>
        <w:spacing w:before="120" w:after="120" w:line="360" w:lineRule="auto"/>
        <w:jc w:val="both"/>
        <w:rPr>
          <w:color w:val="000000" w:themeColor="text1"/>
          <w:lang w:val="en-US"/>
        </w:rPr>
      </w:pPr>
      <w:r w:rsidRPr="00B74237">
        <w:rPr>
          <w:rFonts w:ascii="Arial" w:hAnsi="Arial" w:cs="Arial"/>
          <w:color w:val="000000" w:themeColor="text1"/>
          <w:sz w:val="22"/>
          <w:szCs w:val="22"/>
        </w:rPr>
        <w:t>We also aimed to test whether the salt constraint being more rigorously satisfied (for instance, by reducing the uncertainty of the salt constraint from 35 Sv psu uncertainty to 0.5 Sv psu uncertainty) might impact our results (opens squares vs stars, respectively,</w:t>
      </w:r>
      <w:r w:rsidR="00354DB1" w:rsidRPr="00B74237">
        <w:rPr>
          <w:rFonts w:ascii="Arial" w:hAnsi="Arial" w:cs="Arial"/>
          <w:color w:val="000000" w:themeColor="text1"/>
          <w:sz w:val="22"/>
          <w:szCs w:val="22"/>
        </w:rPr>
        <w:t xml:space="preserve"> </w:t>
      </w:r>
      <w:r w:rsidRPr="00B74237">
        <w:rPr>
          <w:rFonts w:ascii="Arial" w:hAnsi="Arial" w:cs="Arial"/>
          <w:color w:val="000000" w:themeColor="text1"/>
          <w:sz w:val="22"/>
          <w:szCs w:val="22"/>
        </w:rPr>
        <w:t>in Figures S</w:t>
      </w:r>
      <w:r w:rsidR="00C5670A">
        <w:rPr>
          <w:rFonts w:ascii="Arial" w:hAnsi="Arial" w:cs="Arial"/>
          <w:color w:val="000000" w:themeColor="text1"/>
          <w:sz w:val="22"/>
          <w:szCs w:val="22"/>
        </w:rPr>
        <w:t>7</w:t>
      </w:r>
      <w:r w:rsidRPr="00B74237">
        <w:rPr>
          <w:rFonts w:ascii="Arial" w:hAnsi="Arial" w:cs="Arial"/>
          <w:color w:val="000000" w:themeColor="text1"/>
          <w:sz w:val="22"/>
          <w:szCs w:val="22"/>
        </w:rPr>
        <w:t xml:space="preserve"> and S</w:t>
      </w:r>
      <w:r w:rsidR="00C5670A">
        <w:rPr>
          <w:rFonts w:ascii="Arial" w:hAnsi="Arial" w:cs="Arial"/>
          <w:color w:val="000000" w:themeColor="text1"/>
          <w:sz w:val="22"/>
          <w:szCs w:val="22"/>
        </w:rPr>
        <w:t>8</w:t>
      </w:r>
      <w:r w:rsidRPr="00B74237">
        <w:rPr>
          <w:rFonts w:ascii="Arial" w:hAnsi="Arial" w:cs="Arial"/>
          <w:color w:val="000000" w:themeColor="text1"/>
          <w:sz w:val="22"/>
          <w:szCs w:val="22"/>
        </w:rPr>
        <w:t>). However, no significant di</w:t>
      </w:r>
      <w:r w:rsidR="00E969E7">
        <w:rPr>
          <w:rFonts w:ascii="Arial" w:hAnsi="Arial" w:cs="Arial"/>
          <w:color w:val="000000" w:themeColor="text1"/>
          <w:sz w:val="22"/>
          <w:szCs w:val="22"/>
        </w:rPr>
        <w:t xml:space="preserve">fferences </w:t>
      </w:r>
      <w:r w:rsidRPr="00B74237">
        <w:rPr>
          <w:rFonts w:ascii="Arial" w:hAnsi="Arial" w:cs="Arial"/>
          <w:color w:val="000000" w:themeColor="text1"/>
          <w:sz w:val="22"/>
          <w:szCs w:val="22"/>
        </w:rPr>
        <w:t>were found when using a more or less restrictive salt conservation constraint</w:t>
      </w:r>
      <w:r w:rsidR="0094546B">
        <w:rPr>
          <w:rFonts w:ascii="Arial" w:hAnsi="Arial" w:cs="Arial"/>
          <w:color w:val="000000" w:themeColor="text1"/>
          <w:sz w:val="22"/>
          <w:szCs w:val="22"/>
        </w:rPr>
        <w:t xml:space="preserve"> </w:t>
      </w:r>
      <w:r w:rsidR="0094546B" w:rsidRPr="00B74237">
        <w:rPr>
          <w:rFonts w:ascii="Arial" w:hAnsi="Arial" w:cs="Arial"/>
          <w:color w:val="000000" w:themeColor="text1"/>
          <w:sz w:val="22"/>
          <w:szCs w:val="22"/>
        </w:rPr>
        <w:t>(Figure</w:t>
      </w:r>
      <w:r w:rsidR="0094546B">
        <w:rPr>
          <w:rFonts w:ascii="Arial" w:hAnsi="Arial" w:cs="Arial"/>
          <w:color w:val="000000" w:themeColor="text1"/>
          <w:sz w:val="22"/>
          <w:szCs w:val="22"/>
        </w:rPr>
        <w:t>s</w:t>
      </w:r>
      <w:r w:rsidR="0094546B" w:rsidRPr="00B74237">
        <w:rPr>
          <w:rFonts w:ascii="Arial" w:hAnsi="Arial" w:cs="Arial"/>
          <w:color w:val="000000" w:themeColor="text1"/>
          <w:sz w:val="22"/>
          <w:szCs w:val="22"/>
        </w:rPr>
        <w:t xml:space="preserve"> S</w:t>
      </w:r>
      <w:r w:rsidR="0094546B">
        <w:rPr>
          <w:rFonts w:ascii="Arial" w:hAnsi="Arial" w:cs="Arial"/>
          <w:color w:val="000000" w:themeColor="text1"/>
          <w:sz w:val="22"/>
          <w:szCs w:val="22"/>
        </w:rPr>
        <w:t>5 and S6</w:t>
      </w:r>
      <w:r w:rsidR="0094546B" w:rsidRPr="00B74237">
        <w:rPr>
          <w:rFonts w:ascii="Arial" w:hAnsi="Arial" w:cs="Arial"/>
          <w:color w:val="000000" w:themeColor="text1"/>
          <w:sz w:val="22"/>
          <w:szCs w:val="22"/>
        </w:rPr>
        <w:t>)</w:t>
      </w:r>
      <w:r w:rsidRPr="00B74237">
        <w:rPr>
          <w:rFonts w:ascii="Arial" w:hAnsi="Arial" w:cs="Arial"/>
          <w:color w:val="000000" w:themeColor="text1"/>
          <w:sz w:val="22"/>
          <w:szCs w:val="22"/>
        </w:rPr>
        <w:t>, so we kept the larger uncertainty (35 Sv psu) for the results shown in the main manuscript.</w:t>
      </w:r>
    </w:p>
    <w:p w14:paraId="22CCFDC2" w14:textId="4E62DA55" w:rsidR="006846B3" w:rsidRPr="0082183B" w:rsidRDefault="006846B3" w:rsidP="0082183B">
      <w:pPr>
        <w:pStyle w:val="CommentText"/>
        <w:spacing w:line="360" w:lineRule="auto"/>
        <w:jc w:val="both"/>
        <w:rPr>
          <w:rFonts w:ascii="Arial" w:hAnsi="Arial" w:cs="Arial"/>
          <w:color w:val="000000" w:themeColor="text1"/>
          <w:sz w:val="22"/>
          <w:szCs w:val="22"/>
          <w:lang w:val="en-US"/>
        </w:rPr>
      </w:pPr>
      <w:r>
        <w:rPr>
          <w:rFonts w:ascii="Arial" w:hAnsi="Arial" w:cs="Arial"/>
          <w:color w:val="000000" w:themeColor="text1"/>
        </w:rPr>
        <w:lastRenderedPageBreak/>
        <w:br w:type="page"/>
      </w:r>
    </w:p>
    <w:p w14:paraId="7A7A182A" w14:textId="77777777" w:rsidR="008179AD" w:rsidRDefault="008179AD" w:rsidP="008179AD">
      <w:pPr>
        <w:pStyle w:val="SMHeading"/>
        <w:spacing w:line="360" w:lineRule="auto"/>
        <w:outlineLvl w:val="9"/>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22B4AF6" wp14:editId="51E7808E">
            <wp:extent cx="5766390" cy="353833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7867" r="8030" b="2801"/>
                    <a:stretch/>
                  </pic:blipFill>
                  <pic:spPr bwMode="auto">
                    <a:xfrm>
                      <a:off x="0" y="0"/>
                      <a:ext cx="5793259" cy="3554817"/>
                    </a:xfrm>
                    <a:prstGeom prst="rect">
                      <a:avLst/>
                    </a:prstGeom>
                    <a:ln>
                      <a:noFill/>
                    </a:ln>
                    <a:extLst>
                      <a:ext uri="{53640926-AAD7-44D8-BBD7-CCE9431645EC}">
                        <a14:shadowObscured xmlns:a14="http://schemas.microsoft.com/office/drawing/2010/main"/>
                      </a:ext>
                    </a:extLst>
                  </pic:spPr>
                </pic:pic>
              </a:graphicData>
            </a:graphic>
          </wp:inline>
        </w:drawing>
      </w:r>
    </w:p>
    <w:p w14:paraId="68C1760E" w14:textId="2B29D221" w:rsidR="008179AD" w:rsidRDefault="008179AD" w:rsidP="009C1D53">
      <w:pPr>
        <w:pStyle w:val="Heading1"/>
        <w:spacing w:before="120" w:line="360" w:lineRule="auto"/>
        <w:jc w:val="both"/>
        <w:rPr>
          <w:rFonts w:ascii="Arial" w:hAnsi="Arial" w:cs="Arial"/>
          <w:color w:val="000000" w:themeColor="text1"/>
          <w:sz w:val="22"/>
          <w:szCs w:val="22"/>
        </w:rPr>
      </w:pPr>
      <w:r w:rsidRPr="008179AD">
        <w:rPr>
          <w:rFonts w:ascii="Arial" w:hAnsi="Arial" w:cs="Arial"/>
          <w:b/>
          <w:bCs/>
          <w:color w:val="000000" w:themeColor="text1"/>
          <w:sz w:val="22"/>
          <w:szCs w:val="22"/>
        </w:rPr>
        <w:t>Figure S</w:t>
      </w:r>
      <w:r>
        <w:rPr>
          <w:rFonts w:ascii="Arial" w:hAnsi="Arial" w:cs="Arial"/>
          <w:b/>
          <w:bCs/>
          <w:color w:val="000000" w:themeColor="text1"/>
          <w:sz w:val="22"/>
          <w:szCs w:val="22"/>
        </w:rPr>
        <w:t>1</w:t>
      </w:r>
      <w:r w:rsidRPr="008179AD">
        <w:rPr>
          <w:rFonts w:ascii="Arial" w:hAnsi="Arial" w:cs="Arial"/>
          <w:b/>
          <w:bCs/>
          <w:color w:val="000000" w:themeColor="text1"/>
          <w:sz w:val="22"/>
          <w:szCs w:val="22"/>
        </w:rPr>
        <w:t>.</w:t>
      </w:r>
      <w:r w:rsidRPr="008179AD">
        <w:rPr>
          <w:rFonts w:ascii="Arial" w:hAnsi="Arial" w:cs="Arial"/>
          <w:color w:val="000000" w:themeColor="text1"/>
          <w:sz w:val="22"/>
          <w:szCs w:val="22"/>
        </w:rPr>
        <w:t xml:space="preserve"> Annual Ekman transport across the A05-24.5°N section (left panels) and OVIDE section (right panels) for 2004 (upper panels) and 2010 (lower panels). Colour legend represents different wind products (in green, the CCMP wind data used in this study), and numbers in parenthesis the total Ekman transport across the section (negative southwards, positive northwards). Black lines in the right panels represent the Ekman transports originally used in Lherminier et al. (2010) and Mercier et al. (2015).</w:t>
      </w:r>
    </w:p>
    <w:p w14:paraId="7E6F1440" w14:textId="77777777" w:rsidR="008179AD" w:rsidRDefault="008179AD">
      <w:pPr>
        <w:rPr>
          <w:rFonts w:ascii="Arial" w:hAnsi="Arial" w:cs="Arial"/>
          <w:color w:val="000000" w:themeColor="text1"/>
          <w:sz w:val="22"/>
          <w:szCs w:val="22"/>
        </w:rPr>
      </w:pPr>
      <w:r>
        <w:rPr>
          <w:rFonts w:ascii="Arial" w:hAnsi="Arial" w:cs="Arial"/>
          <w:color w:val="000000" w:themeColor="text1"/>
          <w:sz w:val="22"/>
          <w:szCs w:val="22"/>
        </w:rPr>
        <w:br w:type="page"/>
      </w:r>
    </w:p>
    <w:p w14:paraId="4C0C233D" w14:textId="55CB0667" w:rsidR="005D6DDD" w:rsidRPr="004E2840" w:rsidRDefault="005D6DDD" w:rsidP="00CA6BFC">
      <w:pPr>
        <w:spacing w:before="120" w:line="360" w:lineRule="auto"/>
        <w:jc w:val="center"/>
        <w:rPr>
          <w:rFonts w:ascii="Arial" w:hAnsi="Arial" w:cs="Arial"/>
          <w:color w:val="000000" w:themeColor="text1"/>
        </w:rPr>
      </w:pPr>
      <w:r w:rsidRPr="004E2840">
        <w:rPr>
          <w:rFonts w:ascii="Arial" w:hAnsi="Arial" w:cs="Arial"/>
          <w:noProof/>
          <w:color w:val="000000" w:themeColor="text1"/>
        </w:rPr>
        <w:lastRenderedPageBreak/>
        <w:drawing>
          <wp:inline distT="0" distB="0" distL="0" distR="0" wp14:anchorId="1645DCB6" wp14:editId="1130E61F">
            <wp:extent cx="5484600" cy="2376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5 at 13.40.04.png"/>
                    <pic:cNvPicPr/>
                  </pic:nvPicPr>
                  <pic:blipFill>
                    <a:blip r:embed="rId10">
                      <a:extLst>
                        <a:ext uri="{28A0092B-C50C-407E-A947-70E740481C1C}">
                          <a14:useLocalDpi xmlns:a14="http://schemas.microsoft.com/office/drawing/2010/main" val="0"/>
                        </a:ext>
                      </a:extLst>
                    </a:blip>
                    <a:stretch>
                      <a:fillRect/>
                    </a:stretch>
                  </pic:blipFill>
                  <pic:spPr>
                    <a:xfrm>
                      <a:off x="0" y="0"/>
                      <a:ext cx="5484600" cy="2376000"/>
                    </a:xfrm>
                    <a:prstGeom prst="rect">
                      <a:avLst/>
                    </a:prstGeom>
                  </pic:spPr>
                </pic:pic>
              </a:graphicData>
            </a:graphic>
          </wp:inline>
        </w:drawing>
      </w:r>
    </w:p>
    <w:p w14:paraId="7C590E63" w14:textId="2990F8BB" w:rsidR="009C1D53" w:rsidRDefault="005D6DDD" w:rsidP="009C1D53">
      <w:pPr>
        <w:pStyle w:val="SMHeading"/>
        <w:spacing w:before="120" w:line="360" w:lineRule="auto"/>
        <w:jc w:val="both"/>
        <w:rPr>
          <w:rFonts w:ascii="Arial" w:hAnsi="Arial" w:cs="Arial"/>
          <w:b w:val="0"/>
          <w:color w:val="000000" w:themeColor="text1"/>
          <w:sz w:val="22"/>
          <w:szCs w:val="22"/>
        </w:rPr>
      </w:pPr>
      <w:r w:rsidRPr="002101B9">
        <w:rPr>
          <w:rFonts w:ascii="Arial" w:hAnsi="Arial" w:cs="Arial"/>
          <w:color w:val="000000" w:themeColor="text1"/>
          <w:sz w:val="22"/>
          <w:szCs w:val="22"/>
        </w:rPr>
        <w:t>Figure S</w:t>
      </w:r>
      <w:r w:rsidR="008179AD">
        <w:rPr>
          <w:rFonts w:ascii="Arial" w:hAnsi="Arial" w:cs="Arial"/>
          <w:color w:val="000000" w:themeColor="text1"/>
          <w:sz w:val="22"/>
          <w:szCs w:val="22"/>
        </w:rPr>
        <w:t>2</w:t>
      </w:r>
      <w:r w:rsidRPr="002101B9">
        <w:rPr>
          <w:rFonts w:ascii="Arial" w:hAnsi="Arial" w:cs="Arial"/>
          <w:color w:val="000000" w:themeColor="text1"/>
          <w:sz w:val="22"/>
          <w:szCs w:val="22"/>
        </w:rPr>
        <w:t xml:space="preserve">. </w:t>
      </w:r>
      <w:r w:rsidRPr="002101B9">
        <w:rPr>
          <w:rFonts w:ascii="Arial" w:hAnsi="Arial" w:cs="Arial"/>
          <w:b w:val="0"/>
          <w:color w:val="000000" w:themeColor="text1"/>
          <w:sz w:val="22"/>
          <w:szCs w:val="22"/>
        </w:rPr>
        <w:t xml:space="preserve">Salt conservation constraint as estimated in this study for </w:t>
      </w:r>
      <w:r w:rsidR="00DE3663" w:rsidRPr="002101B9">
        <w:rPr>
          <w:rFonts w:ascii="Arial" w:hAnsi="Arial" w:cs="Arial"/>
          <w:b w:val="0"/>
          <w:color w:val="000000" w:themeColor="text1"/>
          <w:sz w:val="22"/>
          <w:szCs w:val="22"/>
        </w:rPr>
        <w:t>a</w:t>
      </w:r>
      <w:r w:rsidRPr="002101B9">
        <w:rPr>
          <w:rFonts w:ascii="Arial" w:hAnsi="Arial" w:cs="Arial"/>
          <w:b w:val="0"/>
          <w:color w:val="000000" w:themeColor="text1"/>
          <w:sz w:val="22"/>
          <w:szCs w:val="22"/>
        </w:rPr>
        <w:t xml:space="preserve">) 2004 and </w:t>
      </w:r>
      <w:r w:rsidR="00DE3663" w:rsidRPr="002101B9">
        <w:rPr>
          <w:rFonts w:ascii="Arial" w:hAnsi="Arial" w:cs="Arial"/>
          <w:b w:val="0"/>
          <w:color w:val="000000" w:themeColor="text1"/>
          <w:sz w:val="22"/>
          <w:szCs w:val="22"/>
        </w:rPr>
        <w:t>b</w:t>
      </w:r>
      <w:r w:rsidRPr="002101B9">
        <w:rPr>
          <w:rFonts w:ascii="Arial" w:hAnsi="Arial" w:cs="Arial"/>
          <w:b w:val="0"/>
          <w:color w:val="000000" w:themeColor="text1"/>
          <w:sz w:val="22"/>
          <w:szCs w:val="22"/>
        </w:rPr>
        <w:t xml:space="preserve">) 2010. Numbers in italics account for salt transports, numbers </w:t>
      </w:r>
      <w:r w:rsidRPr="004E2840">
        <w:rPr>
          <w:rFonts w:ascii="Arial" w:hAnsi="Arial" w:cs="Arial"/>
          <w:b w:val="0"/>
          <w:color w:val="000000" w:themeColor="text1"/>
          <w:sz w:val="22"/>
          <w:szCs w:val="22"/>
        </w:rPr>
        <w:t>in parenthesis for volume transports.</w:t>
      </w:r>
    </w:p>
    <w:p w14:paraId="1DD91325" w14:textId="2C3B5C84" w:rsidR="005D6DDD" w:rsidRPr="00D76011" w:rsidRDefault="005D6DDD" w:rsidP="009C1D53">
      <w:pPr>
        <w:pStyle w:val="SMHeading"/>
        <w:spacing w:before="120" w:line="360" w:lineRule="auto"/>
        <w:jc w:val="both"/>
        <w:rPr>
          <w:rFonts w:ascii="Arial" w:hAnsi="Arial" w:cs="Arial"/>
          <w:b w:val="0"/>
          <w:color w:val="000000" w:themeColor="text1"/>
          <w:sz w:val="22"/>
          <w:szCs w:val="22"/>
        </w:rPr>
      </w:pPr>
      <w:r w:rsidRPr="004E2840">
        <w:rPr>
          <w:rFonts w:ascii="Arial" w:hAnsi="Arial" w:cs="Arial"/>
          <w:b w:val="0"/>
          <w:color w:val="000000" w:themeColor="text1"/>
          <w:sz w:val="22"/>
          <w:szCs w:val="22"/>
        </w:rPr>
        <w:br w:type="page"/>
      </w:r>
    </w:p>
    <w:p w14:paraId="2BC043D1" w14:textId="77777777" w:rsidR="005D6DDD" w:rsidRPr="004E2840" w:rsidRDefault="005D6DDD" w:rsidP="00CA6BFC">
      <w:pPr>
        <w:spacing w:line="360" w:lineRule="auto"/>
        <w:jc w:val="center"/>
        <w:rPr>
          <w:rFonts w:ascii="Arial" w:hAnsi="Arial" w:cs="Arial"/>
          <w:color w:val="000000" w:themeColor="text1"/>
        </w:rPr>
      </w:pPr>
      <w:r w:rsidRPr="004E2840">
        <w:rPr>
          <w:rFonts w:ascii="Arial" w:hAnsi="Arial" w:cs="Arial"/>
          <w:noProof/>
          <w:color w:val="000000" w:themeColor="text1"/>
        </w:rPr>
        <w:lastRenderedPageBreak/>
        <w:drawing>
          <wp:inline distT="0" distB="0" distL="0" distR="0" wp14:anchorId="1BF8E8FD" wp14:editId="437CEA74">
            <wp:extent cx="5542912" cy="1426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E_2004_paper.tif"/>
                    <pic:cNvPicPr/>
                  </pic:nvPicPr>
                  <pic:blipFill rotWithShape="1">
                    <a:blip r:embed="rId11">
                      <a:extLst>
                        <a:ext uri="{28A0092B-C50C-407E-A947-70E740481C1C}">
                          <a14:useLocalDpi xmlns:a14="http://schemas.microsoft.com/office/drawing/2010/main" val="0"/>
                        </a:ext>
                      </a:extLst>
                    </a:blip>
                    <a:srcRect l="10258" r="7691"/>
                    <a:stretch/>
                  </pic:blipFill>
                  <pic:spPr bwMode="auto">
                    <a:xfrm>
                      <a:off x="0" y="0"/>
                      <a:ext cx="5554123" cy="1429095"/>
                    </a:xfrm>
                    <a:prstGeom prst="rect">
                      <a:avLst/>
                    </a:prstGeom>
                    <a:ln>
                      <a:noFill/>
                    </a:ln>
                    <a:extLst>
                      <a:ext uri="{53640926-AAD7-44D8-BBD7-CCE9431645EC}">
                        <a14:shadowObscured xmlns:a14="http://schemas.microsoft.com/office/drawing/2010/main"/>
                      </a:ext>
                    </a:extLst>
                  </pic:spPr>
                </pic:pic>
              </a:graphicData>
            </a:graphic>
          </wp:inline>
        </w:drawing>
      </w:r>
    </w:p>
    <w:p w14:paraId="09F66672" w14:textId="77777777" w:rsidR="005D6DDD" w:rsidRPr="004E2840" w:rsidRDefault="005D6DDD" w:rsidP="00CA6BFC">
      <w:pPr>
        <w:spacing w:line="360" w:lineRule="auto"/>
        <w:jc w:val="center"/>
        <w:rPr>
          <w:rFonts w:ascii="Arial" w:hAnsi="Arial" w:cs="Arial"/>
          <w:color w:val="000000" w:themeColor="text1"/>
        </w:rPr>
      </w:pPr>
      <w:r w:rsidRPr="004E2840">
        <w:rPr>
          <w:rFonts w:ascii="Arial" w:hAnsi="Arial" w:cs="Arial"/>
          <w:noProof/>
          <w:color w:val="000000" w:themeColor="text1"/>
        </w:rPr>
        <w:drawing>
          <wp:inline distT="0" distB="0" distL="0" distR="0" wp14:anchorId="52DEA8FD" wp14:editId="1F4FA765">
            <wp:extent cx="5488823" cy="1415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_E_2010_paper.tif"/>
                    <pic:cNvPicPr/>
                  </pic:nvPicPr>
                  <pic:blipFill rotWithShape="1">
                    <a:blip r:embed="rId12">
                      <a:extLst>
                        <a:ext uri="{28A0092B-C50C-407E-A947-70E740481C1C}">
                          <a14:useLocalDpi xmlns:a14="http://schemas.microsoft.com/office/drawing/2010/main" val="0"/>
                        </a:ext>
                      </a:extLst>
                    </a:blip>
                    <a:srcRect l="10140" r="8056"/>
                    <a:stretch/>
                  </pic:blipFill>
                  <pic:spPr bwMode="auto">
                    <a:xfrm>
                      <a:off x="0" y="0"/>
                      <a:ext cx="5496317" cy="1417347"/>
                    </a:xfrm>
                    <a:prstGeom prst="rect">
                      <a:avLst/>
                    </a:prstGeom>
                    <a:ln>
                      <a:noFill/>
                    </a:ln>
                    <a:extLst>
                      <a:ext uri="{53640926-AAD7-44D8-BBD7-CCE9431645EC}">
                        <a14:shadowObscured xmlns:a14="http://schemas.microsoft.com/office/drawing/2010/main"/>
                      </a:ext>
                    </a:extLst>
                  </pic:spPr>
                </pic:pic>
              </a:graphicData>
            </a:graphic>
          </wp:inline>
        </w:drawing>
      </w:r>
    </w:p>
    <w:p w14:paraId="30AD3DEA" w14:textId="77777777" w:rsidR="008179AD" w:rsidRDefault="005D6DDD" w:rsidP="00F907FA">
      <w:pPr>
        <w:pStyle w:val="SMHeading"/>
        <w:spacing w:line="360" w:lineRule="auto"/>
        <w:jc w:val="both"/>
        <w:rPr>
          <w:rFonts w:ascii="Arial" w:hAnsi="Arial" w:cs="Arial"/>
          <w:b w:val="0"/>
          <w:color w:val="000000" w:themeColor="text1"/>
          <w:sz w:val="22"/>
          <w:szCs w:val="22"/>
        </w:rPr>
      </w:pPr>
      <w:r w:rsidRPr="002101B9">
        <w:rPr>
          <w:rFonts w:ascii="Arial" w:hAnsi="Arial" w:cs="Arial"/>
          <w:color w:val="000000" w:themeColor="text1"/>
          <w:sz w:val="22"/>
          <w:szCs w:val="22"/>
        </w:rPr>
        <w:t>Figure S</w:t>
      </w:r>
      <w:r w:rsidR="008179AD">
        <w:rPr>
          <w:rFonts w:ascii="Arial" w:hAnsi="Arial" w:cs="Arial"/>
          <w:color w:val="000000" w:themeColor="text1"/>
          <w:sz w:val="22"/>
          <w:szCs w:val="22"/>
        </w:rPr>
        <w:t>3</w:t>
      </w:r>
      <w:r w:rsidRPr="002101B9">
        <w:rPr>
          <w:rFonts w:ascii="Arial" w:hAnsi="Arial" w:cs="Arial"/>
          <w:color w:val="000000" w:themeColor="text1"/>
          <w:sz w:val="22"/>
          <w:szCs w:val="22"/>
        </w:rPr>
        <w:t xml:space="preserve">. </w:t>
      </w:r>
      <w:r w:rsidRPr="002101B9">
        <w:rPr>
          <w:rFonts w:ascii="Arial" w:hAnsi="Arial" w:cs="Arial"/>
          <w:b w:val="0"/>
          <w:color w:val="000000" w:themeColor="text1"/>
          <w:sz w:val="22"/>
          <w:szCs w:val="22"/>
        </w:rPr>
        <w:t>Evaporation (E), precipitation (P) and P-E in the North Atlantic Box and Mediterranean Sea</w:t>
      </w:r>
      <w:r w:rsidR="00085E27" w:rsidRPr="002101B9">
        <w:rPr>
          <w:rFonts w:ascii="Arial" w:hAnsi="Arial" w:cs="Arial"/>
          <w:b w:val="0"/>
          <w:color w:val="000000" w:themeColor="text1"/>
          <w:sz w:val="22"/>
          <w:szCs w:val="22"/>
        </w:rPr>
        <w:t xml:space="preserve"> in 2004 (upper panels) and 2010 (lower panels)</w:t>
      </w:r>
      <w:r w:rsidRPr="002101B9">
        <w:rPr>
          <w:rFonts w:ascii="Arial" w:hAnsi="Arial" w:cs="Arial"/>
          <w:b w:val="0"/>
          <w:color w:val="000000" w:themeColor="text1"/>
          <w:sz w:val="22"/>
          <w:szCs w:val="22"/>
        </w:rPr>
        <w:t>.</w:t>
      </w:r>
    </w:p>
    <w:p w14:paraId="55F8A107" w14:textId="3B94288F" w:rsidR="00AC4155" w:rsidRPr="00AC4155" w:rsidRDefault="00EA60A4" w:rsidP="00F907FA">
      <w:pPr>
        <w:pStyle w:val="SMHeading"/>
        <w:spacing w:line="360" w:lineRule="auto"/>
        <w:jc w:val="both"/>
        <w:rPr>
          <w:rFonts w:ascii="Arial" w:hAnsi="Arial" w:cs="Arial"/>
          <w:b w:val="0"/>
          <w:color w:val="000000" w:themeColor="text1"/>
          <w:sz w:val="22"/>
          <w:szCs w:val="22"/>
        </w:rPr>
      </w:pPr>
      <w:r>
        <w:rPr>
          <w:rFonts w:ascii="Arial" w:hAnsi="Arial" w:cs="Arial"/>
          <w:b w:val="0"/>
          <w:color w:val="000000" w:themeColor="text1"/>
          <w:sz w:val="22"/>
          <w:szCs w:val="22"/>
        </w:rPr>
        <w:br w:type="page"/>
      </w:r>
    </w:p>
    <w:p w14:paraId="6CA72284" w14:textId="3A0EBF4E" w:rsidR="00E60B3E" w:rsidRDefault="00F45A64" w:rsidP="00F45A64">
      <w:pPr>
        <w:pStyle w:val="SMHeading"/>
        <w:spacing w:line="360" w:lineRule="auto"/>
        <w:outlineLvl w:val="9"/>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C671D7D" wp14:editId="75A26D23">
            <wp:extent cx="5727700" cy="5774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27700" cy="5774055"/>
                    </a:xfrm>
                    <a:prstGeom prst="rect">
                      <a:avLst/>
                    </a:prstGeom>
                  </pic:spPr>
                </pic:pic>
              </a:graphicData>
            </a:graphic>
          </wp:inline>
        </w:drawing>
      </w:r>
    </w:p>
    <w:p w14:paraId="55317033" w14:textId="0449F095" w:rsidR="005D6DDD" w:rsidRPr="002101B9" w:rsidRDefault="007D4E2D" w:rsidP="008179AD">
      <w:pPr>
        <w:pStyle w:val="SMHeading"/>
        <w:spacing w:before="120" w:line="360" w:lineRule="auto"/>
        <w:jc w:val="both"/>
        <w:rPr>
          <w:rFonts w:ascii="Arial" w:hAnsi="Arial" w:cs="Arial"/>
          <w:b w:val="0"/>
          <w:color w:val="000000" w:themeColor="text1"/>
          <w:sz w:val="22"/>
          <w:szCs w:val="22"/>
        </w:rPr>
      </w:pPr>
      <w:r w:rsidRPr="002101B9">
        <w:rPr>
          <w:rFonts w:ascii="Arial" w:hAnsi="Arial" w:cs="Arial"/>
          <w:color w:val="000000" w:themeColor="text1"/>
          <w:sz w:val="22"/>
          <w:szCs w:val="22"/>
        </w:rPr>
        <w:t>Figure S</w:t>
      </w:r>
      <w:r w:rsidR="00774B0F" w:rsidRPr="002101B9">
        <w:rPr>
          <w:rFonts w:ascii="Arial" w:hAnsi="Arial" w:cs="Arial"/>
          <w:color w:val="000000" w:themeColor="text1"/>
          <w:sz w:val="22"/>
          <w:szCs w:val="22"/>
        </w:rPr>
        <w:t>4</w:t>
      </w:r>
      <w:r w:rsidRPr="002101B9">
        <w:rPr>
          <w:rFonts w:ascii="Arial" w:hAnsi="Arial" w:cs="Arial"/>
          <w:color w:val="000000" w:themeColor="text1"/>
          <w:sz w:val="22"/>
          <w:szCs w:val="22"/>
        </w:rPr>
        <w:t xml:space="preserve">. </w:t>
      </w:r>
      <w:r w:rsidR="00E60B3E" w:rsidRPr="002101B9">
        <w:rPr>
          <w:rFonts w:ascii="Arial" w:hAnsi="Arial" w:cs="Arial"/>
          <w:b w:val="0"/>
          <w:color w:val="000000" w:themeColor="text1"/>
          <w:sz w:val="22"/>
          <w:szCs w:val="22"/>
        </w:rPr>
        <w:t>Velocity (</w:t>
      </w:r>
      <w:r w:rsidR="00DE3663" w:rsidRPr="002101B9">
        <w:rPr>
          <w:rFonts w:ascii="Arial" w:hAnsi="Arial" w:cs="Arial"/>
          <w:b w:val="0"/>
          <w:color w:val="000000" w:themeColor="text1"/>
          <w:sz w:val="22"/>
          <w:szCs w:val="22"/>
        </w:rPr>
        <w:t xml:space="preserve">shadding, </w:t>
      </w:r>
      <w:r w:rsidR="00E60B3E" w:rsidRPr="002101B9">
        <w:rPr>
          <w:rFonts w:ascii="Arial" w:hAnsi="Arial" w:cs="Arial"/>
          <w:b w:val="0"/>
          <w:color w:val="000000" w:themeColor="text1"/>
          <w:sz w:val="22"/>
          <w:szCs w:val="22"/>
        </w:rPr>
        <w:t xml:space="preserve">in m/s) perpendicular to the OVIDE sections for the a) 2004 and b) 2010 cruises. The isopycnals used as density horizons for the transport estimates are also indicated (dotted lines): σMOC refers to σ1 isopycnal 32.15 kg m-3 (σ1 is the potential density referenced to 1000 dbar), separating the upper and lower limbs of the Atlantic Meridional Overturning Circulation (Mercier et al., 2015); σ1=32.53 kg m-3 ; σ4=45.9 kg m-3 (σ4 is the potential density referenced to 4000 dbar). Numbers represent net transports </w:t>
      </w:r>
      <w:r w:rsidR="00E60B3E" w:rsidRPr="002101B9">
        <w:rPr>
          <w:rFonts w:ascii="Arial" w:hAnsi="Arial" w:cs="Arial"/>
          <w:b w:val="0"/>
          <w:color w:val="000000" w:themeColor="text1"/>
          <w:sz w:val="22"/>
          <w:szCs w:val="22"/>
        </w:rPr>
        <w:sym w:font="Symbol" w:char="F0B1"/>
      </w:r>
      <w:r w:rsidR="00E60B3E" w:rsidRPr="002101B9">
        <w:rPr>
          <w:rFonts w:ascii="Arial" w:hAnsi="Arial" w:cs="Arial"/>
          <w:b w:val="0"/>
          <w:color w:val="000000" w:themeColor="text1"/>
          <w:sz w:val="22"/>
          <w:szCs w:val="22"/>
        </w:rPr>
        <w:t xml:space="preserve"> uncertainties (in Sv) by subregions</w:t>
      </w:r>
      <w:r w:rsidR="007C7E37" w:rsidRPr="002101B9">
        <w:rPr>
          <w:rFonts w:ascii="Arial" w:hAnsi="Arial" w:cs="Arial"/>
          <w:b w:val="0"/>
          <w:color w:val="000000" w:themeColor="text1"/>
          <w:sz w:val="22"/>
          <w:szCs w:val="22"/>
        </w:rPr>
        <w:t xml:space="preserve"> (negative, southwards)</w:t>
      </w:r>
      <w:r w:rsidR="00E60B3E" w:rsidRPr="002101B9">
        <w:rPr>
          <w:rFonts w:ascii="Arial" w:hAnsi="Arial" w:cs="Arial"/>
          <w:b w:val="0"/>
          <w:color w:val="000000" w:themeColor="text1"/>
          <w:sz w:val="22"/>
          <w:szCs w:val="22"/>
        </w:rPr>
        <w:t xml:space="preserve">. Legend </w:t>
      </w:r>
      <w:r w:rsidR="00BF6A69" w:rsidRPr="002101B9">
        <w:rPr>
          <w:rFonts w:ascii="Arial" w:hAnsi="Arial" w:cs="Arial"/>
          <w:b w:val="0"/>
          <w:color w:val="000000" w:themeColor="text1"/>
          <w:sz w:val="22"/>
          <w:szCs w:val="22"/>
        </w:rPr>
        <w:t>colour</w:t>
      </w:r>
      <w:r w:rsidR="00E60B3E" w:rsidRPr="002101B9">
        <w:rPr>
          <w:rFonts w:ascii="Arial" w:hAnsi="Arial" w:cs="Arial"/>
          <w:b w:val="0"/>
          <w:color w:val="000000" w:themeColor="text1"/>
          <w:sz w:val="22"/>
          <w:szCs w:val="22"/>
        </w:rPr>
        <w:t xml:space="preserve">: black, results as in Lherminier et al. (2010) and Mercier at al. (2015); </w:t>
      </w:r>
      <w:r w:rsidR="007C7E37" w:rsidRPr="002101B9">
        <w:rPr>
          <w:rFonts w:ascii="Arial" w:hAnsi="Arial" w:cs="Arial"/>
          <w:b w:val="0"/>
          <w:color w:val="000000" w:themeColor="text1"/>
          <w:sz w:val="22"/>
          <w:szCs w:val="22"/>
        </w:rPr>
        <w:t xml:space="preserve">grey, </w:t>
      </w:r>
      <w:r w:rsidR="00CA495C" w:rsidRPr="002101B9">
        <w:rPr>
          <w:rFonts w:ascii="Arial" w:hAnsi="Arial" w:cs="Arial"/>
          <w:b w:val="0"/>
          <w:color w:val="000000" w:themeColor="text1"/>
          <w:sz w:val="22"/>
          <w:szCs w:val="22"/>
        </w:rPr>
        <w:t xml:space="preserve">test1 </w:t>
      </w:r>
      <w:r w:rsidR="007C7E37" w:rsidRPr="002101B9">
        <w:rPr>
          <w:rFonts w:ascii="Arial" w:hAnsi="Arial" w:cs="Arial"/>
          <w:b w:val="0"/>
          <w:color w:val="000000" w:themeColor="text1"/>
          <w:sz w:val="22"/>
          <w:szCs w:val="22"/>
        </w:rPr>
        <w:t xml:space="preserve">control run - </w:t>
      </w:r>
      <w:r w:rsidR="005517E0" w:rsidRPr="002101B9">
        <w:rPr>
          <w:rFonts w:ascii="Arial" w:hAnsi="Arial" w:cs="Arial"/>
          <w:b w:val="0"/>
          <w:color w:val="000000" w:themeColor="text1"/>
          <w:sz w:val="22"/>
          <w:szCs w:val="22"/>
        </w:rPr>
        <w:t>joint</w:t>
      </w:r>
      <w:r w:rsidR="007C7E37" w:rsidRPr="002101B9">
        <w:rPr>
          <w:rFonts w:ascii="Arial" w:hAnsi="Arial" w:cs="Arial"/>
          <w:b w:val="0"/>
          <w:color w:val="000000" w:themeColor="text1"/>
          <w:sz w:val="22"/>
          <w:szCs w:val="22"/>
        </w:rPr>
        <w:t xml:space="preserve"> inversion with original setup; </w:t>
      </w:r>
      <w:r w:rsidR="00B33E52" w:rsidRPr="002101B9">
        <w:rPr>
          <w:rFonts w:ascii="Arial" w:hAnsi="Arial" w:cs="Arial"/>
          <w:b w:val="0"/>
          <w:color w:val="000000" w:themeColor="text1"/>
          <w:sz w:val="22"/>
          <w:szCs w:val="22"/>
        </w:rPr>
        <w:t>red</w:t>
      </w:r>
      <w:r w:rsidR="007C7E37" w:rsidRPr="002101B9">
        <w:rPr>
          <w:rFonts w:ascii="Arial" w:hAnsi="Arial" w:cs="Arial"/>
          <w:b w:val="0"/>
          <w:color w:val="000000" w:themeColor="text1"/>
          <w:sz w:val="22"/>
          <w:szCs w:val="22"/>
        </w:rPr>
        <w:t xml:space="preserve">, </w:t>
      </w:r>
      <w:r w:rsidR="00CA495C" w:rsidRPr="002101B9">
        <w:rPr>
          <w:rFonts w:ascii="Arial" w:hAnsi="Arial" w:cs="Arial"/>
          <w:b w:val="0"/>
          <w:color w:val="000000" w:themeColor="text1"/>
          <w:sz w:val="22"/>
          <w:szCs w:val="22"/>
        </w:rPr>
        <w:t xml:space="preserve">test 2 - </w:t>
      </w:r>
      <w:r w:rsidR="007C7E37" w:rsidRPr="002101B9">
        <w:rPr>
          <w:rFonts w:ascii="Arial" w:hAnsi="Arial" w:cs="Arial"/>
          <w:b w:val="0"/>
          <w:color w:val="000000" w:themeColor="text1"/>
          <w:sz w:val="22"/>
          <w:szCs w:val="22"/>
        </w:rPr>
        <w:t>new inversion with original setup plus salinity conservation applied</w:t>
      </w:r>
      <w:r w:rsidR="00B33E52" w:rsidRPr="002101B9">
        <w:rPr>
          <w:rFonts w:ascii="Arial" w:hAnsi="Arial" w:cs="Arial"/>
          <w:b w:val="0"/>
          <w:color w:val="000000" w:themeColor="text1"/>
          <w:sz w:val="22"/>
          <w:szCs w:val="22"/>
        </w:rPr>
        <w:t xml:space="preserve"> and new wind product</w:t>
      </w:r>
      <w:r w:rsidR="00E60B3E" w:rsidRPr="002101B9">
        <w:rPr>
          <w:rFonts w:ascii="Arial" w:hAnsi="Arial" w:cs="Arial"/>
          <w:b w:val="0"/>
          <w:color w:val="000000" w:themeColor="text1"/>
          <w:sz w:val="22"/>
          <w:szCs w:val="22"/>
        </w:rPr>
        <w:t xml:space="preserve">; and </w:t>
      </w:r>
      <w:r w:rsidR="00B33E52" w:rsidRPr="002101B9">
        <w:rPr>
          <w:rFonts w:ascii="Arial" w:hAnsi="Arial" w:cs="Arial"/>
          <w:b w:val="0"/>
          <w:color w:val="000000" w:themeColor="text1"/>
          <w:sz w:val="22"/>
          <w:szCs w:val="22"/>
        </w:rPr>
        <w:t>blue</w:t>
      </w:r>
      <w:r w:rsidR="00E60B3E" w:rsidRPr="002101B9">
        <w:rPr>
          <w:rFonts w:ascii="Arial" w:hAnsi="Arial" w:cs="Arial"/>
          <w:b w:val="0"/>
          <w:color w:val="000000" w:themeColor="text1"/>
          <w:sz w:val="22"/>
          <w:szCs w:val="22"/>
        </w:rPr>
        <w:t xml:space="preserve">, </w:t>
      </w:r>
      <w:r w:rsidR="00CA495C" w:rsidRPr="002101B9">
        <w:rPr>
          <w:rFonts w:ascii="Arial" w:hAnsi="Arial" w:cs="Arial"/>
          <w:b w:val="0"/>
          <w:color w:val="000000" w:themeColor="text1"/>
          <w:sz w:val="22"/>
          <w:szCs w:val="22"/>
        </w:rPr>
        <w:t xml:space="preserve">test 3 </w:t>
      </w:r>
      <w:r w:rsidR="00B33E52" w:rsidRPr="002101B9">
        <w:rPr>
          <w:rFonts w:ascii="Arial" w:hAnsi="Arial" w:cs="Arial"/>
          <w:b w:val="0"/>
          <w:color w:val="000000" w:themeColor="text1"/>
          <w:sz w:val="22"/>
          <w:szCs w:val="22"/>
        </w:rPr>
        <w:t>–</w:t>
      </w:r>
      <w:r w:rsidR="00CA495C" w:rsidRPr="002101B9">
        <w:rPr>
          <w:rFonts w:ascii="Arial" w:hAnsi="Arial" w:cs="Arial"/>
          <w:b w:val="0"/>
          <w:color w:val="000000" w:themeColor="text1"/>
          <w:sz w:val="22"/>
          <w:szCs w:val="22"/>
        </w:rPr>
        <w:t xml:space="preserve"> </w:t>
      </w:r>
      <w:r w:rsidR="00B33E52" w:rsidRPr="002101B9">
        <w:rPr>
          <w:rFonts w:ascii="Arial" w:hAnsi="Arial" w:cs="Arial"/>
          <w:b w:val="0"/>
          <w:color w:val="000000" w:themeColor="text1"/>
          <w:sz w:val="22"/>
          <w:szCs w:val="22"/>
        </w:rPr>
        <w:t>same as in test 2</w:t>
      </w:r>
      <w:r w:rsidR="00BF6A69" w:rsidRPr="002101B9">
        <w:rPr>
          <w:rFonts w:ascii="Arial" w:hAnsi="Arial" w:cs="Arial"/>
          <w:b w:val="0"/>
          <w:color w:val="000000" w:themeColor="text1"/>
          <w:sz w:val="22"/>
          <w:szCs w:val="22"/>
        </w:rPr>
        <w:t>,</w:t>
      </w:r>
      <w:r w:rsidR="00B33E52" w:rsidRPr="002101B9">
        <w:rPr>
          <w:rFonts w:ascii="Arial" w:hAnsi="Arial" w:cs="Arial"/>
          <w:b w:val="0"/>
          <w:color w:val="000000" w:themeColor="text1"/>
          <w:sz w:val="22"/>
          <w:szCs w:val="22"/>
        </w:rPr>
        <w:t xml:space="preserve"> but</w:t>
      </w:r>
      <w:r w:rsidR="00BF6A69" w:rsidRPr="002101B9">
        <w:rPr>
          <w:rFonts w:ascii="Arial" w:hAnsi="Arial" w:cs="Arial"/>
          <w:b w:val="0"/>
          <w:color w:val="000000" w:themeColor="text1"/>
          <w:sz w:val="22"/>
          <w:szCs w:val="22"/>
        </w:rPr>
        <w:t xml:space="preserve"> no SADCP used as constraint</w:t>
      </w:r>
      <w:r w:rsidR="00B33E52" w:rsidRPr="002101B9">
        <w:rPr>
          <w:rFonts w:ascii="Arial" w:hAnsi="Arial" w:cs="Arial"/>
          <w:b w:val="0"/>
          <w:color w:val="000000" w:themeColor="text1"/>
          <w:sz w:val="22"/>
          <w:szCs w:val="22"/>
        </w:rPr>
        <w:t xml:space="preserve"> </w:t>
      </w:r>
      <w:r w:rsidR="00BF6A69" w:rsidRPr="002101B9">
        <w:rPr>
          <w:rFonts w:ascii="Arial" w:hAnsi="Arial" w:cs="Arial"/>
          <w:b w:val="0"/>
          <w:color w:val="000000" w:themeColor="text1"/>
          <w:sz w:val="22"/>
          <w:szCs w:val="22"/>
        </w:rPr>
        <w:t>(see text S</w:t>
      </w:r>
      <w:r w:rsidR="007C7E37" w:rsidRPr="002101B9">
        <w:rPr>
          <w:rFonts w:ascii="Arial" w:hAnsi="Arial" w:cs="Arial"/>
          <w:b w:val="0"/>
          <w:color w:val="000000" w:themeColor="text1"/>
          <w:sz w:val="22"/>
          <w:szCs w:val="22"/>
        </w:rPr>
        <w:t>5</w:t>
      </w:r>
      <w:r w:rsidR="00BF6A69" w:rsidRPr="002101B9">
        <w:rPr>
          <w:rFonts w:ascii="Arial" w:hAnsi="Arial" w:cs="Arial"/>
          <w:b w:val="0"/>
          <w:color w:val="000000" w:themeColor="text1"/>
          <w:sz w:val="22"/>
          <w:szCs w:val="22"/>
        </w:rPr>
        <w:t xml:space="preserve"> for details).</w:t>
      </w:r>
      <w:r w:rsidR="00BF6A69" w:rsidRPr="002101B9">
        <w:rPr>
          <w:rFonts w:ascii="Arial" w:hAnsi="Arial" w:cs="Arial"/>
          <w:b w:val="0"/>
          <w:color w:val="000000" w:themeColor="text1"/>
          <w:sz w:val="22"/>
          <w:szCs w:val="22"/>
        </w:rPr>
        <w:br w:type="page"/>
      </w:r>
    </w:p>
    <w:p w14:paraId="5811A979" w14:textId="6527AD8D" w:rsidR="004A5440" w:rsidRDefault="004A5440" w:rsidP="00ED7C2E">
      <w:pPr>
        <w:rPr>
          <w:rFonts w:ascii="Arial" w:hAnsi="Arial" w:cs="Arial"/>
          <w:b/>
          <w:color w:val="000000" w:themeColor="text1"/>
          <w:sz w:val="22"/>
          <w:szCs w:val="22"/>
        </w:rPr>
      </w:pPr>
      <w:r>
        <w:rPr>
          <w:rFonts w:ascii="Arial" w:hAnsi="Arial" w:cs="Arial"/>
          <w:b/>
          <w:noProof/>
          <w:color w:val="000000" w:themeColor="text1"/>
          <w:sz w:val="22"/>
          <w:szCs w:val="22"/>
        </w:rPr>
        <w:lastRenderedPageBreak/>
        <w:drawing>
          <wp:inline distT="0" distB="0" distL="0" distR="0" wp14:anchorId="7EA5E824" wp14:editId="5F8A8C3C">
            <wp:extent cx="5731511" cy="3558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extLst>
                        <a:ext uri="{28A0092B-C50C-407E-A947-70E740481C1C}">
                          <a14:useLocalDpi xmlns:a14="http://schemas.microsoft.com/office/drawing/2010/main" val="0"/>
                        </a:ext>
                      </a:extLst>
                    </a:blip>
                    <a:srcRect r="1951"/>
                    <a:stretch/>
                  </pic:blipFill>
                  <pic:spPr bwMode="auto">
                    <a:xfrm>
                      <a:off x="0" y="0"/>
                      <a:ext cx="5738799" cy="3563065"/>
                    </a:xfrm>
                    <a:prstGeom prst="rect">
                      <a:avLst/>
                    </a:prstGeom>
                    <a:ln>
                      <a:noFill/>
                    </a:ln>
                    <a:extLst>
                      <a:ext uri="{53640926-AAD7-44D8-BBD7-CCE9431645EC}">
                        <a14:shadowObscured xmlns:a14="http://schemas.microsoft.com/office/drawing/2010/main"/>
                      </a:ext>
                    </a:extLst>
                  </pic:spPr>
                </pic:pic>
              </a:graphicData>
            </a:graphic>
          </wp:inline>
        </w:drawing>
      </w:r>
    </w:p>
    <w:p w14:paraId="0882EB24" w14:textId="722C0A16" w:rsidR="004A5440" w:rsidRPr="00092251" w:rsidRDefault="004A5440" w:rsidP="00092251">
      <w:pPr>
        <w:rPr>
          <w:lang w:val="en-US"/>
        </w:rPr>
      </w:pPr>
      <w:r>
        <w:rPr>
          <w:noProof/>
          <w:lang w:val="en-US"/>
        </w:rPr>
        <w:drawing>
          <wp:inline distT="0" distB="0" distL="0" distR="0" wp14:anchorId="5BBBAB10" wp14:editId="6F67BD86">
            <wp:extent cx="5727700" cy="3578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27700" cy="3578225"/>
                    </a:xfrm>
                    <a:prstGeom prst="rect">
                      <a:avLst/>
                    </a:prstGeom>
                  </pic:spPr>
                </pic:pic>
              </a:graphicData>
            </a:graphic>
          </wp:inline>
        </w:drawing>
      </w:r>
    </w:p>
    <w:p w14:paraId="66B2620F" w14:textId="13B58995" w:rsidR="00883F24" w:rsidRPr="002101B9" w:rsidRDefault="005579B8" w:rsidP="00D76011">
      <w:pPr>
        <w:pStyle w:val="Heading1"/>
        <w:spacing w:line="360" w:lineRule="auto"/>
        <w:jc w:val="both"/>
        <w:rPr>
          <w:rFonts w:ascii="Arial" w:hAnsi="Arial" w:cs="Arial"/>
          <w:color w:val="000000" w:themeColor="text1"/>
          <w:sz w:val="22"/>
          <w:szCs w:val="22"/>
        </w:rPr>
      </w:pPr>
      <w:r w:rsidRPr="002101B9">
        <w:rPr>
          <w:rFonts w:ascii="Arial" w:hAnsi="Arial" w:cs="Arial"/>
          <w:b/>
          <w:color w:val="000000" w:themeColor="text1"/>
          <w:sz w:val="22"/>
          <w:szCs w:val="22"/>
        </w:rPr>
        <w:lastRenderedPageBreak/>
        <w:t>Figure S</w:t>
      </w:r>
      <w:r w:rsidR="009C1D53">
        <w:rPr>
          <w:rFonts w:ascii="Arial" w:hAnsi="Arial" w:cs="Arial"/>
          <w:b/>
          <w:color w:val="000000" w:themeColor="text1"/>
          <w:sz w:val="22"/>
          <w:szCs w:val="22"/>
        </w:rPr>
        <w:t>5</w:t>
      </w:r>
      <w:r w:rsidRPr="002101B9">
        <w:rPr>
          <w:rFonts w:ascii="Arial" w:hAnsi="Arial" w:cs="Arial"/>
          <w:b/>
          <w:color w:val="000000" w:themeColor="text1"/>
          <w:sz w:val="22"/>
          <w:szCs w:val="22"/>
        </w:rPr>
        <w:t xml:space="preserve">. </w:t>
      </w:r>
      <w:r w:rsidRPr="002101B9">
        <w:rPr>
          <w:rFonts w:ascii="Arial" w:hAnsi="Arial" w:cs="Arial"/>
          <w:color w:val="000000" w:themeColor="text1"/>
          <w:sz w:val="22"/>
          <w:szCs w:val="22"/>
        </w:rPr>
        <w:t>Summary of sensitivity tests</w:t>
      </w:r>
      <w:r w:rsidR="00883F24" w:rsidRPr="002101B9">
        <w:rPr>
          <w:rFonts w:ascii="Arial" w:hAnsi="Arial" w:cs="Arial"/>
          <w:color w:val="000000" w:themeColor="text1"/>
          <w:sz w:val="22"/>
          <w:szCs w:val="22"/>
        </w:rPr>
        <w:t xml:space="preserve"> of transports across a) A05-24.5°N and b) OVIDE. </w:t>
      </w:r>
      <w:r w:rsidR="00C04C90" w:rsidRPr="002101B9">
        <w:rPr>
          <w:rFonts w:ascii="Arial" w:hAnsi="Arial" w:cs="Arial"/>
          <w:color w:val="000000" w:themeColor="text1"/>
          <w:sz w:val="22"/>
          <w:szCs w:val="22"/>
        </w:rPr>
        <w:t xml:space="preserve">The horizontal (x) axis displays test numeration: </w:t>
      </w:r>
      <w:r w:rsidR="002D1BB0" w:rsidRPr="002101B9">
        <w:rPr>
          <w:rFonts w:ascii="Arial" w:hAnsi="Arial" w:cs="Arial"/>
          <w:color w:val="000000" w:themeColor="text1"/>
          <w:sz w:val="22"/>
          <w:szCs w:val="22"/>
        </w:rPr>
        <w:t xml:space="preserve">test 1, </w:t>
      </w:r>
      <w:r w:rsidR="00883F24" w:rsidRPr="002101B9">
        <w:rPr>
          <w:rFonts w:ascii="Arial" w:hAnsi="Arial" w:cs="Arial"/>
          <w:color w:val="000000" w:themeColor="text1"/>
          <w:sz w:val="22"/>
          <w:szCs w:val="22"/>
        </w:rPr>
        <w:t>a</w:t>
      </w:r>
      <w:r w:rsidR="002D1BB0" w:rsidRPr="002101B9">
        <w:rPr>
          <w:rFonts w:ascii="Arial" w:hAnsi="Arial" w:cs="Arial"/>
          <w:color w:val="000000" w:themeColor="text1"/>
          <w:sz w:val="22"/>
          <w:szCs w:val="22"/>
        </w:rPr>
        <w:t>nnual Ekman (and annual Florida Straits transport)</w:t>
      </w:r>
      <w:r w:rsidR="00883F24" w:rsidRPr="002101B9">
        <w:rPr>
          <w:rFonts w:ascii="Arial" w:hAnsi="Arial" w:cs="Arial"/>
          <w:color w:val="000000" w:themeColor="text1"/>
          <w:sz w:val="22"/>
          <w:szCs w:val="22"/>
        </w:rPr>
        <w:t>;</w:t>
      </w:r>
      <w:r w:rsidR="002D1BB0" w:rsidRPr="002101B9">
        <w:rPr>
          <w:rFonts w:ascii="Arial" w:hAnsi="Arial" w:cs="Arial"/>
          <w:color w:val="000000" w:themeColor="text1"/>
          <w:sz w:val="22"/>
          <w:szCs w:val="22"/>
        </w:rPr>
        <w:t xml:space="preserve"> test 2</w:t>
      </w:r>
      <w:r w:rsidR="00883F24" w:rsidRPr="002101B9">
        <w:rPr>
          <w:rFonts w:ascii="Arial" w:hAnsi="Arial" w:cs="Arial"/>
          <w:color w:val="000000" w:themeColor="text1"/>
          <w:sz w:val="22"/>
          <w:szCs w:val="22"/>
        </w:rPr>
        <w:t xml:space="preserve">, annual Ekman (and annual Florida Straits transport) and use of a redefined (shallower) reference level in the West Boundary Wedge (west of 76.75°W) at A05-24.5°N (see text for details); test 3, time-of-the-cruise Ekman (and annual Florida Straits transport) and shallower western boundary reference at A05-24.5°N; test 4, time-of-the-cruise Ekman (and annual Florida Straits transport) and shallower western boundary reference at A05-24.5°N and RAPID Western boundary transport used as constraint. </w:t>
      </w:r>
      <w:r w:rsidR="007C4CA5" w:rsidRPr="002101B9">
        <w:rPr>
          <w:rFonts w:ascii="Arial" w:hAnsi="Arial" w:cs="Arial"/>
          <w:color w:val="000000" w:themeColor="text1"/>
          <w:sz w:val="22"/>
          <w:szCs w:val="22"/>
        </w:rPr>
        <w:t xml:space="preserve">Color legend: blue, </w:t>
      </w:r>
      <w:r w:rsidR="00240808" w:rsidRPr="002101B9">
        <w:rPr>
          <w:rFonts w:ascii="Arial" w:hAnsi="Arial" w:cs="Arial"/>
          <w:color w:val="000000" w:themeColor="text1"/>
          <w:sz w:val="22"/>
          <w:szCs w:val="22"/>
        </w:rPr>
        <w:t>bottom triangles assuming constant velocity</w:t>
      </w:r>
      <w:r w:rsidR="007C4CA5" w:rsidRPr="002101B9">
        <w:rPr>
          <w:rFonts w:ascii="Arial" w:hAnsi="Arial" w:cs="Arial"/>
          <w:color w:val="000000" w:themeColor="text1"/>
          <w:sz w:val="22"/>
          <w:szCs w:val="22"/>
        </w:rPr>
        <w:t>; red,</w:t>
      </w:r>
      <w:r w:rsidR="00240808" w:rsidRPr="002101B9">
        <w:rPr>
          <w:rFonts w:ascii="Arial" w:hAnsi="Arial" w:cs="Arial"/>
          <w:color w:val="000000" w:themeColor="text1"/>
          <w:sz w:val="22"/>
          <w:szCs w:val="22"/>
        </w:rPr>
        <w:t xml:space="preserve"> bottom triangles assuming linearly decreasing velocity to 0 at bottom</w:t>
      </w:r>
      <w:r w:rsidR="007C4CA5" w:rsidRPr="002101B9">
        <w:rPr>
          <w:rFonts w:ascii="Arial" w:hAnsi="Arial" w:cs="Arial"/>
          <w:color w:val="000000" w:themeColor="text1"/>
          <w:sz w:val="22"/>
          <w:szCs w:val="22"/>
        </w:rPr>
        <w:t>;</w:t>
      </w:r>
      <w:r w:rsidR="00240808" w:rsidRPr="002101B9">
        <w:rPr>
          <w:rFonts w:ascii="Arial" w:hAnsi="Arial" w:cs="Arial"/>
          <w:color w:val="000000" w:themeColor="text1"/>
          <w:sz w:val="22"/>
          <w:szCs w:val="22"/>
        </w:rPr>
        <w:t xml:space="preserve"> </w:t>
      </w:r>
      <w:r w:rsidR="007C4CA5" w:rsidRPr="002101B9">
        <w:rPr>
          <w:rFonts w:ascii="Arial" w:hAnsi="Arial" w:cs="Arial"/>
          <w:color w:val="000000" w:themeColor="text1"/>
          <w:sz w:val="22"/>
          <w:szCs w:val="22"/>
        </w:rPr>
        <w:t>green</w:t>
      </w:r>
      <w:r w:rsidR="00240808" w:rsidRPr="002101B9">
        <w:rPr>
          <w:rFonts w:ascii="Arial" w:hAnsi="Arial" w:cs="Arial"/>
          <w:color w:val="000000" w:themeColor="text1"/>
          <w:sz w:val="22"/>
          <w:szCs w:val="22"/>
        </w:rPr>
        <w:t>, no bottom triangles</w:t>
      </w:r>
      <w:r w:rsidR="007C4CA5" w:rsidRPr="002101B9">
        <w:rPr>
          <w:rFonts w:ascii="Arial" w:hAnsi="Arial" w:cs="Arial"/>
          <w:color w:val="000000" w:themeColor="text1"/>
          <w:sz w:val="22"/>
          <w:szCs w:val="22"/>
        </w:rPr>
        <w:t xml:space="preserve">. Symbol legend: open square, </w:t>
      </w:r>
      <w:r w:rsidR="00240808" w:rsidRPr="002101B9">
        <w:rPr>
          <w:rFonts w:ascii="Arial" w:hAnsi="Arial" w:cs="Arial"/>
          <w:color w:val="000000" w:themeColor="text1"/>
          <w:sz w:val="22"/>
          <w:szCs w:val="22"/>
        </w:rPr>
        <w:t>s</w:t>
      </w:r>
      <w:r w:rsidR="007C4CA5" w:rsidRPr="002101B9">
        <w:rPr>
          <w:rFonts w:ascii="Arial" w:hAnsi="Arial" w:cs="Arial"/>
          <w:color w:val="000000" w:themeColor="text1"/>
          <w:sz w:val="22"/>
          <w:szCs w:val="22"/>
        </w:rPr>
        <w:t xml:space="preserve">alt conservation constraint </w:t>
      </w:r>
      <w:r w:rsidR="00240808" w:rsidRPr="002101B9">
        <w:rPr>
          <w:rFonts w:ascii="Arial" w:hAnsi="Arial" w:cs="Arial"/>
          <w:color w:val="000000" w:themeColor="text1"/>
          <w:sz w:val="22"/>
          <w:szCs w:val="22"/>
        </w:rPr>
        <w:t>with an uncertainty of 25 Sv psu</w:t>
      </w:r>
      <w:r w:rsidR="007C4CA5" w:rsidRPr="002101B9">
        <w:rPr>
          <w:rFonts w:ascii="Arial" w:hAnsi="Arial" w:cs="Arial"/>
          <w:color w:val="000000" w:themeColor="text1"/>
          <w:sz w:val="22"/>
          <w:szCs w:val="22"/>
        </w:rPr>
        <w:t xml:space="preserve">; star, </w:t>
      </w:r>
      <w:r w:rsidR="00240808" w:rsidRPr="002101B9">
        <w:rPr>
          <w:rFonts w:ascii="Arial" w:hAnsi="Arial" w:cs="Arial"/>
          <w:color w:val="000000" w:themeColor="text1"/>
          <w:sz w:val="22"/>
          <w:szCs w:val="22"/>
        </w:rPr>
        <w:t xml:space="preserve">salt conservation constraint with an uncertainty of 0.5 Sv psu (see text for details). </w:t>
      </w:r>
      <w:r w:rsidR="00883F24" w:rsidRPr="002101B9">
        <w:rPr>
          <w:rFonts w:ascii="Arial" w:hAnsi="Arial" w:cs="Arial"/>
          <w:color w:val="000000" w:themeColor="text1"/>
          <w:sz w:val="22"/>
          <w:szCs w:val="22"/>
        </w:rPr>
        <w:t>N</w:t>
      </w:r>
      <w:r w:rsidRPr="002101B9">
        <w:rPr>
          <w:rFonts w:ascii="Arial" w:hAnsi="Arial" w:cs="Arial"/>
          <w:color w:val="000000" w:themeColor="text1"/>
          <w:sz w:val="22"/>
          <w:szCs w:val="22"/>
        </w:rPr>
        <w:t xml:space="preserve">egative (positive) values mean </w:t>
      </w:r>
      <w:r w:rsidR="00240808" w:rsidRPr="002101B9">
        <w:rPr>
          <w:rFonts w:ascii="Arial" w:hAnsi="Arial" w:cs="Arial"/>
          <w:color w:val="000000" w:themeColor="text1"/>
          <w:sz w:val="22"/>
          <w:szCs w:val="22"/>
        </w:rPr>
        <w:t>in</w:t>
      </w:r>
      <w:r w:rsidRPr="002101B9">
        <w:rPr>
          <w:rFonts w:ascii="Arial" w:hAnsi="Arial" w:cs="Arial"/>
          <w:color w:val="000000" w:themeColor="text1"/>
          <w:sz w:val="22"/>
          <w:szCs w:val="22"/>
        </w:rPr>
        <w:t>ward (</w:t>
      </w:r>
      <w:r w:rsidR="00240808" w:rsidRPr="002101B9">
        <w:rPr>
          <w:rFonts w:ascii="Arial" w:hAnsi="Arial" w:cs="Arial"/>
          <w:color w:val="000000" w:themeColor="text1"/>
          <w:sz w:val="22"/>
          <w:szCs w:val="22"/>
        </w:rPr>
        <w:t>out</w:t>
      </w:r>
      <w:r w:rsidRPr="002101B9">
        <w:rPr>
          <w:rFonts w:ascii="Arial" w:hAnsi="Arial" w:cs="Arial"/>
          <w:color w:val="000000" w:themeColor="text1"/>
          <w:sz w:val="22"/>
          <w:szCs w:val="22"/>
        </w:rPr>
        <w:t xml:space="preserve">ward) transports. </w:t>
      </w:r>
    </w:p>
    <w:p w14:paraId="34EA98DA" w14:textId="77777777" w:rsidR="00883F24" w:rsidRDefault="00883F24">
      <w:pPr>
        <w:rPr>
          <w:rFonts w:ascii="Arial" w:eastAsiaTheme="majorEastAsia" w:hAnsi="Arial" w:cs="Arial"/>
          <w:color w:val="000000" w:themeColor="text1"/>
          <w:sz w:val="22"/>
          <w:szCs w:val="22"/>
          <w:lang w:val="en-US"/>
        </w:rPr>
      </w:pPr>
      <w:r>
        <w:rPr>
          <w:rFonts w:ascii="Arial" w:hAnsi="Arial" w:cs="Arial"/>
          <w:color w:val="000000" w:themeColor="text1"/>
          <w:sz w:val="22"/>
          <w:szCs w:val="22"/>
        </w:rPr>
        <w:br w:type="page"/>
      </w:r>
    </w:p>
    <w:p w14:paraId="7C49781C" w14:textId="2A72C9C1" w:rsidR="00C04C90" w:rsidRPr="002101B9" w:rsidRDefault="006A1142" w:rsidP="00C04C90">
      <w:pPr>
        <w:pStyle w:val="Heading1"/>
        <w:spacing w:line="360" w:lineRule="auto"/>
        <w:jc w:val="both"/>
        <w:rPr>
          <w:rFonts w:ascii="Arial" w:hAnsi="Arial" w:cs="Arial"/>
          <w:color w:val="000000" w:themeColor="text1"/>
          <w:sz w:val="22"/>
          <w:szCs w:val="22"/>
        </w:rPr>
      </w:pPr>
      <w:r>
        <w:rPr>
          <w:rFonts w:ascii="Arial" w:hAnsi="Arial" w:cs="Arial"/>
          <w:b/>
          <w:noProof/>
          <w:color w:val="000000" w:themeColor="text1"/>
          <w:sz w:val="22"/>
          <w:szCs w:val="22"/>
        </w:rPr>
        <w:lastRenderedPageBreak/>
        <w:drawing>
          <wp:inline distT="0" distB="0" distL="0" distR="0" wp14:anchorId="7597DA3A" wp14:editId="78E82F4C">
            <wp:extent cx="5722620" cy="3818302"/>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print">
                      <a:extLst>
                        <a:ext uri="{28A0092B-C50C-407E-A947-70E740481C1C}">
                          <a14:useLocalDpi xmlns:a14="http://schemas.microsoft.com/office/drawing/2010/main" val="0"/>
                        </a:ext>
                      </a:extLst>
                    </a:blip>
                    <a:srcRect l="9977" r="11264" b="7458"/>
                    <a:stretch/>
                  </pic:blipFill>
                  <pic:spPr bwMode="auto">
                    <a:xfrm>
                      <a:off x="0" y="0"/>
                      <a:ext cx="5751799" cy="3837771"/>
                    </a:xfrm>
                    <a:prstGeom prst="rect">
                      <a:avLst/>
                    </a:prstGeom>
                    <a:ln>
                      <a:noFill/>
                    </a:ln>
                    <a:extLst>
                      <a:ext uri="{53640926-AAD7-44D8-BBD7-CCE9431645EC}">
                        <a14:shadowObscured xmlns:a14="http://schemas.microsoft.com/office/drawing/2010/main"/>
                      </a:ext>
                    </a:extLst>
                  </pic:spPr>
                </pic:pic>
              </a:graphicData>
            </a:graphic>
          </wp:inline>
        </w:drawing>
      </w:r>
      <w:r w:rsidR="00883F24" w:rsidRPr="002101B9">
        <w:rPr>
          <w:rFonts w:ascii="Arial" w:hAnsi="Arial" w:cs="Arial"/>
          <w:b/>
          <w:color w:val="000000" w:themeColor="text1"/>
          <w:sz w:val="22"/>
          <w:szCs w:val="22"/>
        </w:rPr>
        <w:t>Figure S</w:t>
      </w:r>
      <w:r w:rsidR="009C1D53">
        <w:rPr>
          <w:rFonts w:ascii="Arial" w:hAnsi="Arial" w:cs="Arial"/>
          <w:b/>
          <w:color w:val="000000" w:themeColor="text1"/>
          <w:sz w:val="22"/>
          <w:szCs w:val="22"/>
        </w:rPr>
        <w:t>6</w:t>
      </w:r>
      <w:r w:rsidR="00883F24" w:rsidRPr="002101B9">
        <w:rPr>
          <w:rFonts w:ascii="Arial" w:hAnsi="Arial" w:cs="Arial"/>
          <w:b/>
          <w:color w:val="000000" w:themeColor="text1"/>
          <w:sz w:val="22"/>
          <w:szCs w:val="22"/>
        </w:rPr>
        <w:t xml:space="preserve">. </w:t>
      </w:r>
      <w:r w:rsidR="00883F24" w:rsidRPr="002101B9">
        <w:rPr>
          <w:rFonts w:ascii="Arial" w:hAnsi="Arial" w:cs="Arial"/>
          <w:color w:val="000000" w:themeColor="text1"/>
          <w:sz w:val="22"/>
          <w:szCs w:val="22"/>
        </w:rPr>
        <w:t>Summary of sensitivity f</w:t>
      </w:r>
      <w:r w:rsidR="005579B8" w:rsidRPr="002101B9">
        <w:rPr>
          <w:rFonts w:ascii="Arial" w:hAnsi="Arial" w:cs="Arial"/>
          <w:color w:val="000000" w:themeColor="text1"/>
          <w:sz w:val="22"/>
          <w:szCs w:val="22"/>
        </w:rPr>
        <w:t>or the budget</w:t>
      </w:r>
      <w:r w:rsidR="00883F24" w:rsidRPr="002101B9">
        <w:rPr>
          <w:rFonts w:ascii="Arial" w:hAnsi="Arial" w:cs="Arial"/>
          <w:color w:val="000000" w:themeColor="text1"/>
          <w:sz w:val="22"/>
          <w:szCs w:val="22"/>
        </w:rPr>
        <w:t xml:space="preserve"> estimates. P</w:t>
      </w:r>
      <w:r w:rsidR="005579B8" w:rsidRPr="002101B9">
        <w:rPr>
          <w:rFonts w:ascii="Arial" w:hAnsi="Arial" w:cs="Arial"/>
          <w:color w:val="000000" w:themeColor="text1"/>
          <w:sz w:val="22"/>
          <w:szCs w:val="22"/>
        </w:rPr>
        <w:t xml:space="preserve">ositive values mean convergence (d([N]/dt&gt;0)) and/or nutrient consumption exceeding regeneration (steady-state assumption). Likewise, negative values mean nutrient divergence (d([N]/dt&lt;0)) and/or net nutrient regeneration (steady-state assumption). </w:t>
      </w:r>
      <w:r w:rsidR="00C04C90" w:rsidRPr="002101B9">
        <w:rPr>
          <w:rFonts w:ascii="Arial" w:hAnsi="Arial" w:cs="Arial"/>
          <w:color w:val="000000" w:themeColor="text1"/>
          <w:sz w:val="22"/>
          <w:szCs w:val="22"/>
        </w:rPr>
        <w:t xml:space="preserve">The horizontal (x) axis displays test numeration: test 1, annual Ekman (and annual Florida Straits transport); test 2, annual Ekman (and annual Florida Straits transport) and use of a redefined (shallower) reference level in the West Boundary Wedge (west of 76.75°W) at A05-24.5°N (see text for details); test 3, time-of-the-cruise Ekman (and annual Florida Straits transport) and shallower western boundary reference at A05-24.5°N; test 4, time-of-the-cruise Ekman (and annual Florida Straits transport) and shallower western boundary reference at A05-24.5°N and RAPID Western boundary transport used as constraint. Color legend: blue, bottom triangles assuming constant velocity; red, bottom triangles assuming linearly decreasing velocity to 0 at bottom; green, no bottom triangles. Symbol legend: open square, salt conservation constraint with an uncertainty of 25 Sv psu; star, salt conservation constraint with an uncertainty of 0.5 Sv psu (see text for details). </w:t>
      </w:r>
    </w:p>
    <w:p w14:paraId="6961121C" w14:textId="151ACFC5" w:rsidR="005D6DDD" w:rsidRDefault="005D6DDD" w:rsidP="00D76011">
      <w:pPr>
        <w:pStyle w:val="Heading1"/>
        <w:spacing w:line="360" w:lineRule="auto"/>
        <w:jc w:val="both"/>
        <w:rPr>
          <w:rFonts w:ascii="Arial" w:hAnsi="Arial" w:cs="Arial"/>
          <w:b/>
          <w:color w:val="000000" w:themeColor="text1"/>
          <w:sz w:val="22"/>
          <w:szCs w:val="22"/>
        </w:rPr>
      </w:pPr>
      <w:r w:rsidRPr="004E2840">
        <w:rPr>
          <w:rFonts w:ascii="Arial" w:hAnsi="Arial" w:cs="Arial"/>
          <w:b/>
          <w:color w:val="000000" w:themeColor="text1"/>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9C1D53" w:rsidRPr="004E2840" w14:paraId="0FC52C95" w14:textId="77777777" w:rsidTr="00E9674C">
        <w:tc>
          <w:tcPr>
            <w:tcW w:w="8630" w:type="dxa"/>
          </w:tcPr>
          <w:p w14:paraId="3C57CFA1" w14:textId="77777777" w:rsidR="009C1D53" w:rsidRPr="004E2840" w:rsidRDefault="009C1D53" w:rsidP="00E9674C">
            <w:pPr>
              <w:pStyle w:val="CommentText"/>
              <w:spacing w:line="360" w:lineRule="auto"/>
              <w:jc w:val="center"/>
              <w:rPr>
                <w:rFonts w:ascii="Arial" w:hAnsi="Arial" w:cs="Arial"/>
                <w:color w:val="000000" w:themeColor="text1"/>
                <w:sz w:val="22"/>
                <w:szCs w:val="22"/>
              </w:rPr>
            </w:pPr>
            <w:r w:rsidRPr="004E2840">
              <w:rPr>
                <w:rFonts w:ascii="Arial" w:hAnsi="Arial" w:cs="Arial"/>
                <w:noProof/>
              </w:rPr>
              <w:lastRenderedPageBreak/>
              <mc:AlternateContent>
                <mc:Choice Requires="wps">
                  <w:drawing>
                    <wp:anchor distT="0" distB="0" distL="114300" distR="114300" simplePos="0" relativeHeight="251661312" behindDoc="0" locked="0" layoutInCell="1" allowOverlap="1" wp14:anchorId="47C2B2BC" wp14:editId="134FBE73">
                      <wp:simplePos x="0" y="0"/>
                      <wp:positionH relativeFrom="column">
                        <wp:posOffset>415952</wp:posOffset>
                      </wp:positionH>
                      <wp:positionV relativeFrom="paragraph">
                        <wp:posOffset>3350260</wp:posOffset>
                      </wp:positionV>
                      <wp:extent cx="259715" cy="276860"/>
                      <wp:effectExtent l="0" t="0" r="0" b="0"/>
                      <wp:wrapNone/>
                      <wp:docPr id="12" name="CuadroTexto 19"/>
                      <wp:cNvGraphicFramePr/>
                      <a:graphic xmlns:a="http://schemas.openxmlformats.org/drawingml/2006/main">
                        <a:graphicData uri="http://schemas.microsoft.com/office/word/2010/wordprocessingShape">
                          <wps:wsp>
                            <wps:cNvSpPr txBox="1"/>
                            <wps:spPr>
                              <a:xfrm>
                                <a:off x="0" y="0"/>
                                <a:ext cx="259715" cy="276860"/>
                              </a:xfrm>
                              <a:prstGeom prst="rect">
                                <a:avLst/>
                              </a:prstGeom>
                              <a:noFill/>
                            </wps:spPr>
                            <wps:txbx>
                              <w:txbxContent>
                                <w:p w14:paraId="15199DCF" w14:textId="77777777" w:rsidR="0002489A" w:rsidRDefault="0002489A" w:rsidP="009C1D53">
                                  <w:pPr>
                                    <w:pStyle w:val="NormalWeb"/>
                                  </w:pPr>
                                  <w:r>
                                    <w:rPr>
                                      <w:rFonts w:asciiTheme="minorHAnsi" w:hAnsi="Calibri" w:cstheme="minorBidi"/>
                                      <w:b/>
                                      <w:bCs/>
                                      <w:color w:val="000000" w:themeColor="text1"/>
                                      <w:kern w:val="24"/>
                                      <w:lang w:val="es-ES"/>
                                    </w:rPr>
                                    <w:t>c</w:t>
                                  </w:r>
                                </w:p>
                              </w:txbxContent>
                            </wps:txbx>
                            <wps:bodyPr wrap="none" rtlCol="0">
                              <a:spAutoFit/>
                            </wps:bodyPr>
                          </wps:wsp>
                        </a:graphicData>
                      </a:graphic>
                      <wp14:sizeRelV relativeFrom="margin">
                        <wp14:pctHeight>0</wp14:pctHeight>
                      </wp14:sizeRelV>
                    </wp:anchor>
                  </w:drawing>
                </mc:Choice>
                <mc:Fallback>
                  <w:pict>
                    <v:shapetype w14:anchorId="47C2B2BC" id="_x0000_t202" coordsize="21600,21600" o:spt="202" path="m,l,21600r21600,l21600,xe">
                      <v:stroke joinstyle="miter"/>
                      <v:path gradientshapeok="t" o:connecttype="rect"/>
                    </v:shapetype>
                    <v:shape id="CuadroTexto 19" o:spid="_x0000_s1026" type="#_x0000_t202" style="position:absolute;left:0;text-align:left;margin-left:32.75pt;margin-top:263.8pt;width:20.45pt;height:21.8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" filled="f" stroked="f">
                      <v:textbox style="mso-fit-shape-to-text:t">
                        <w:txbxContent>
                          <w:p w14:paraId="15199DCF" w14:textId="77777777" w:rsidR="0002489A" w:rsidRDefault="0002489A" w:rsidP="009C1D53">
                            <w:pPr>
                              <w:pStyle w:val="NormalWeb"/>
                            </w:pPr>
                            <w:r>
                              <w:rPr>
                                <w:rFonts w:asciiTheme="minorHAnsi" w:hAnsi="Calibri" w:cstheme="minorBidi"/>
                                <w:b/>
                                <w:bCs/>
                                <w:color w:val="000000" w:themeColor="text1"/>
                                <w:kern w:val="24"/>
                                <w:lang w:val="es-ES"/>
                              </w:rPr>
                              <w:t>c</w:t>
                            </w:r>
                          </w:p>
                        </w:txbxContent>
                      </v:textbox>
                    </v:shape>
                  </w:pict>
                </mc:Fallback>
              </mc:AlternateContent>
            </w:r>
            <w:r w:rsidRPr="004E2840">
              <w:rPr>
                <w:rFonts w:ascii="Arial" w:hAnsi="Arial" w:cs="Arial"/>
                <w:noProof/>
              </w:rPr>
              <mc:AlternateContent>
                <mc:Choice Requires="wps">
                  <w:drawing>
                    <wp:anchor distT="0" distB="0" distL="114300" distR="114300" simplePos="0" relativeHeight="251662336" behindDoc="0" locked="0" layoutInCell="1" allowOverlap="1" wp14:anchorId="754A07AF" wp14:editId="3415B079">
                      <wp:simplePos x="0" y="0"/>
                      <wp:positionH relativeFrom="column">
                        <wp:posOffset>3004682</wp:posOffset>
                      </wp:positionH>
                      <wp:positionV relativeFrom="paragraph">
                        <wp:posOffset>3385074</wp:posOffset>
                      </wp:positionV>
                      <wp:extent cx="260008" cy="276999"/>
                      <wp:effectExtent l="0" t="0" r="0" b="0"/>
                      <wp:wrapNone/>
                      <wp:docPr id="16" name="CuadroTexto 19"/>
                      <wp:cNvGraphicFramePr/>
                      <a:graphic xmlns:a="http://schemas.openxmlformats.org/drawingml/2006/main">
                        <a:graphicData uri="http://schemas.microsoft.com/office/word/2010/wordprocessingShape">
                          <wps:wsp>
                            <wps:cNvSpPr txBox="1"/>
                            <wps:spPr>
                              <a:xfrm>
                                <a:off x="0" y="0"/>
                                <a:ext cx="260008" cy="276999"/>
                              </a:xfrm>
                              <a:prstGeom prst="rect">
                                <a:avLst/>
                              </a:prstGeom>
                              <a:noFill/>
                            </wps:spPr>
                            <wps:txbx>
                              <w:txbxContent>
                                <w:p w14:paraId="12C7C307" w14:textId="77777777" w:rsidR="0002489A" w:rsidRDefault="0002489A" w:rsidP="009C1D53">
                                  <w:pPr>
                                    <w:pStyle w:val="NormalWeb"/>
                                  </w:pPr>
                                  <w:r>
                                    <w:rPr>
                                      <w:rFonts w:asciiTheme="minorHAnsi" w:hAnsi="Calibri" w:cstheme="minorBidi"/>
                                      <w:b/>
                                      <w:bCs/>
                                      <w:color w:val="000000" w:themeColor="text1"/>
                                      <w:kern w:val="24"/>
                                      <w:lang w:val="es-ES"/>
                                    </w:rPr>
                                    <w:t>d</w:t>
                                  </w:r>
                                </w:p>
                              </w:txbxContent>
                            </wps:txbx>
                            <wps:bodyPr wrap="none" rtlCol="0">
                              <a:spAutoFit/>
                            </wps:bodyPr>
                          </wps:wsp>
                        </a:graphicData>
                      </a:graphic>
                      <wp14:sizeRelV relativeFrom="margin">
                        <wp14:pctHeight>0</wp14:pctHeight>
                      </wp14:sizeRelV>
                    </wp:anchor>
                  </w:drawing>
                </mc:Choice>
                <mc:Fallback>
                  <w:pict>
                    <v:shape w14:anchorId="754A07AF" id="_x0000_s1027" type="#_x0000_t202" style="position:absolute;left:0;text-align:left;margin-left:236.6pt;margin-top:266.55pt;width:20.45pt;height:21.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" filled="f" stroked="f">
                      <v:textbox style="mso-fit-shape-to-text:t">
                        <w:txbxContent>
                          <w:p w14:paraId="12C7C307" w14:textId="77777777" w:rsidR="0002489A" w:rsidRDefault="0002489A" w:rsidP="009C1D53">
                            <w:pPr>
                              <w:pStyle w:val="NormalWeb"/>
                            </w:pPr>
                            <w:r>
                              <w:rPr>
                                <w:rFonts w:asciiTheme="minorHAnsi" w:hAnsi="Calibri" w:cstheme="minorBidi"/>
                                <w:b/>
                                <w:bCs/>
                                <w:color w:val="000000" w:themeColor="text1"/>
                                <w:kern w:val="24"/>
                                <w:lang w:val="es-ES"/>
                              </w:rPr>
                              <w:t>d</w:t>
                            </w:r>
                          </w:p>
                        </w:txbxContent>
                      </v:textbox>
                    </v:shape>
                  </w:pict>
                </mc:Fallback>
              </mc:AlternateContent>
            </w:r>
            <w:r w:rsidRPr="004E2840">
              <w:rPr>
                <w:rFonts w:ascii="Arial" w:hAnsi="Arial" w:cs="Arial"/>
                <w:noProof/>
              </w:rPr>
              <mc:AlternateContent>
                <mc:Choice Requires="wps">
                  <w:drawing>
                    <wp:anchor distT="0" distB="0" distL="114300" distR="114300" simplePos="0" relativeHeight="251660288" behindDoc="0" locked="0" layoutInCell="1" allowOverlap="1" wp14:anchorId="3F1FDB03" wp14:editId="4421DFC0">
                      <wp:simplePos x="0" y="0"/>
                      <wp:positionH relativeFrom="column">
                        <wp:posOffset>401210</wp:posOffset>
                      </wp:positionH>
                      <wp:positionV relativeFrom="paragraph">
                        <wp:posOffset>214299</wp:posOffset>
                      </wp:positionV>
                      <wp:extent cx="259715" cy="276860"/>
                      <wp:effectExtent l="0" t="0" r="0" b="0"/>
                      <wp:wrapNone/>
                      <wp:docPr id="10" name="CuadroTexto 19"/>
                      <wp:cNvGraphicFramePr/>
                      <a:graphic xmlns:a="http://schemas.openxmlformats.org/drawingml/2006/main">
                        <a:graphicData uri="http://schemas.microsoft.com/office/word/2010/wordprocessingShape">
                          <wps:wsp>
                            <wps:cNvSpPr txBox="1"/>
                            <wps:spPr>
                              <a:xfrm>
                                <a:off x="0" y="0"/>
                                <a:ext cx="259715" cy="276860"/>
                              </a:xfrm>
                              <a:prstGeom prst="rect">
                                <a:avLst/>
                              </a:prstGeom>
                              <a:noFill/>
                            </wps:spPr>
                            <wps:txbx>
                              <w:txbxContent>
                                <w:p w14:paraId="14919932" w14:textId="77777777" w:rsidR="0002489A" w:rsidRDefault="0002489A" w:rsidP="009C1D53">
                                  <w:pPr>
                                    <w:pStyle w:val="NormalWeb"/>
                                  </w:pPr>
                                  <w:r>
                                    <w:rPr>
                                      <w:rFonts w:asciiTheme="minorHAnsi" w:hAnsi="Calibri" w:cstheme="minorBidi"/>
                                      <w:b/>
                                      <w:bCs/>
                                      <w:color w:val="000000" w:themeColor="text1"/>
                                      <w:kern w:val="24"/>
                                      <w:lang w:val="es-ES"/>
                                    </w:rPr>
                                    <w:t>a</w:t>
                                  </w:r>
                                </w:p>
                              </w:txbxContent>
                            </wps:txbx>
                            <wps:bodyPr wrap="none" rtlCol="0">
                              <a:spAutoFit/>
                            </wps:bodyPr>
                          </wps:wsp>
                        </a:graphicData>
                      </a:graphic>
                      <wp14:sizeRelV relativeFrom="margin">
                        <wp14:pctHeight>0</wp14:pctHeight>
                      </wp14:sizeRelV>
                    </wp:anchor>
                  </w:drawing>
                </mc:Choice>
                <mc:Fallback>
                  <w:pict>
                    <v:shape w14:anchorId="3F1FDB03" id="_x0000_s1028" type="#_x0000_t202" style="position:absolute;left:0;text-align:left;margin-left:31.6pt;margin-top:16.85pt;width:20.45pt;height:21.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" filled="f" stroked="f">
                      <v:textbox style="mso-fit-shape-to-text:t">
                        <w:txbxContent>
                          <w:p w14:paraId="14919932" w14:textId="77777777" w:rsidR="0002489A" w:rsidRDefault="0002489A" w:rsidP="009C1D53">
                            <w:pPr>
                              <w:pStyle w:val="NormalWeb"/>
                            </w:pPr>
                            <w:r>
                              <w:rPr>
                                <w:rFonts w:asciiTheme="minorHAnsi" w:hAnsi="Calibri" w:cstheme="minorBidi"/>
                                <w:b/>
                                <w:bCs/>
                                <w:color w:val="000000" w:themeColor="text1"/>
                                <w:kern w:val="24"/>
                                <w:lang w:val="es-ES"/>
                              </w:rPr>
                              <w:t>a</w:t>
                            </w:r>
                          </w:p>
                        </w:txbxContent>
                      </v:textbox>
                    </v:shape>
                  </w:pict>
                </mc:Fallback>
              </mc:AlternateContent>
            </w:r>
            <w:r w:rsidRPr="004E2840">
              <w:rPr>
                <w:rFonts w:ascii="Arial" w:hAnsi="Arial" w:cs="Arial"/>
                <w:noProof/>
              </w:rPr>
              <mc:AlternateContent>
                <mc:Choice Requires="wps">
                  <w:drawing>
                    <wp:anchor distT="0" distB="0" distL="114300" distR="114300" simplePos="0" relativeHeight="251659264" behindDoc="0" locked="0" layoutInCell="1" allowOverlap="1" wp14:anchorId="6291A489" wp14:editId="0862092B">
                      <wp:simplePos x="0" y="0"/>
                      <wp:positionH relativeFrom="column">
                        <wp:posOffset>3007995</wp:posOffset>
                      </wp:positionH>
                      <wp:positionV relativeFrom="paragraph">
                        <wp:posOffset>246656</wp:posOffset>
                      </wp:positionV>
                      <wp:extent cx="259715" cy="276860"/>
                      <wp:effectExtent l="0" t="0" r="0" b="0"/>
                      <wp:wrapNone/>
                      <wp:docPr id="92" name="CuadroTexto 19">
                        <a:extLst xmlns:a="http://schemas.openxmlformats.org/drawingml/2006/main">
                          <a:ext uri="{FF2B5EF4-FFF2-40B4-BE49-F238E27FC236}">
                            <a16:creationId xmlns:a16="http://schemas.microsoft.com/office/drawing/2014/main" id="{8102E3B6-0B8A-3F45-ABC1-41626960DCE4}"/>
                          </a:ext>
                        </a:extLst>
                      </wp:docPr>
                      <wp:cNvGraphicFramePr/>
                      <a:graphic xmlns:a="http://schemas.openxmlformats.org/drawingml/2006/main">
                        <a:graphicData uri="http://schemas.microsoft.com/office/word/2010/wordprocessingShape">
                          <wps:wsp>
                            <wps:cNvSpPr txBox="1"/>
                            <wps:spPr>
                              <a:xfrm>
                                <a:off x="0" y="0"/>
                                <a:ext cx="259715" cy="276860"/>
                              </a:xfrm>
                              <a:prstGeom prst="rect">
                                <a:avLst/>
                              </a:prstGeom>
                              <a:noFill/>
                            </wps:spPr>
                            <wps:txbx>
                              <w:txbxContent>
                                <w:p w14:paraId="30AEC8BD" w14:textId="77777777" w:rsidR="0002489A" w:rsidRDefault="0002489A" w:rsidP="009C1D53">
                                  <w:pPr>
                                    <w:pStyle w:val="NormalWeb"/>
                                  </w:pPr>
                                  <w:r>
                                    <w:rPr>
                                      <w:rFonts w:asciiTheme="minorHAnsi" w:hAnsi="Calibri" w:cstheme="minorBidi"/>
                                      <w:b/>
                                      <w:bCs/>
                                      <w:color w:val="000000" w:themeColor="text1"/>
                                      <w:kern w:val="24"/>
                                      <w:lang w:val="es-ES"/>
                                    </w:rPr>
                                    <w:t>b</w:t>
                                  </w:r>
                                </w:p>
                              </w:txbxContent>
                            </wps:txbx>
                            <wps:bodyPr wrap="none" rtlCol="0">
                              <a:spAutoFit/>
                            </wps:bodyPr>
                          </wps:wsp>
                        </a:graphicData>
                      </a:graphic>
                      <wp14:sizeRelV relativeFrom="margin">
                        <wp14:pctHeight>0</wp14:pctHeight>
                      </wp14:sizeRelV>
                    </wp:anchor>
                  </w:drawing>
                </mc:Choice>
                <mc:Fallback>
                  <w:pict>
                    <v:shape w14:anchorId="6291A489" id="_x0000_s1029" type="#_x0000_t202" style="position:absolute;left:0;text-align:left;margin-left:236.85pt;margin-top:19.4pt;width:20.45pt;height:21.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" filled="f" stroked="f">
                      <v:textbox style="mso-fit-shape-to-text:t">
                        <w:txbxContent>
                          <w:p w14:paraId="30AEC8BD" w14:textId="77777777" w:rsidR="0002489A" w:rsidRDefault="0002489A" w:rsidP="009C1D53">
                            <w:pPr>
                              <w:pStyle w:val="NormalWeb"/>
                            </w:pPr>
                            <w:r>
                              <w:rPr>
                                <w:rFonts w:asciiTheme="minorHAnsi" w:hAnsi="Calibri" w:cstheme="minorBidi"/>
                                <w:b/>
                                <w:bCs/>
                                <w:color w:val="000000" w:themeColor="text1"/>
                                <w:kern w:val="24"/>
                                <w:lang w:val="es-ES"/>
                              </w:rPr>
                              <w:t>b</w:t>
                            </w:r>
                          </w:p>
                        </w:txbxContent>
                      </v:textbox>
                    </v:shape>
                  </w:pict>
                </mc:Fallback>
              </mc:AlternateContent>
            </w:r>
            <w:r w:rsidRPr="004E2840">
              <w:rPr>
                <w:rFonts w:ascii="Arial" w:hAnsi="Arial" w:cs="Arial"/>
                <w:noProof/>
                <w:color w:val="000000" w:themeColor="text1"/>
                <w:sz w:val="24"/>
              </w:rPr>
              <w:drawing>
                <wp:inline distT="0" distB="0" distL="0" distR="0" wp14:anchorId="34067197" wp14:editId="764085D1">
                  <wp:extent cx="4981912" cy="3087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rative_hydro_moorings_1000.tif"/>
                          <pic:cNvPicPr/>
                        </pic:nvPicPr>
                        <pic:blipFill rotWithShape="1">
                          <a:blip r:embed="rId17" cstate="print">
                            <a:extLst>
                              <a:ext uri="{28A0092B-C50C-407E-A947-70E740481C1C}">
                                <a14:useLocalDpi xmlns:a14="http://schemas.microsoft.com/office/drawing/2010/main" val="0"/>
                              </a:ext>
                            </a:extLst>
                          </a:blip>
                          <a:srcRect l="8426" r="7761"/>
                          <a:stretch/>
                        </pic:blipFill>
                        <pic:spPr bwMode="auto">
                          <a:xfrm>
                            <a:off x="0" y="0"/>
                            <a:ext cx="5082622" cy="3149747"/>
                          </a:xfrm>
                          <a:prstGeom prst="rect">
                            <a:avLst/>
                          </a:prstGeom>
                          <a:ln w="3175">
                            <a:noFill/>
                          </a:ln>
                          <a:extLst>
                            <a:ext uri="{53640926-AAD7-44D8-BBD7-CCE9431645EC}">
                              <a14:shadowObscured xmlns:a14="http://schemas.microsoft.com/office/drawing/2010/main"/>
                            </a:ext>
                          </a:extLst>
                        </pic:spPr>
                      </pic:pic>
                    </a:graphicData>
                  </a:graphic>
                </wp:inline>
              </w:drawing>
            </w:r>
            <w:r w:rsidRPr="004E2840">
              <w:rPr>
                <w:rFonts w:ascii="Arial" w:hAnsi="Arial" w:cs="Arial"/>
                <w:noProof/>
                <w:color w:val="000000" w:themeColor="text1"/>
                <w:sz w:val="24"/>
              </w:rPr>
              <w:drawing>
                <wp:inline distT="0" distB="0" distL="0" distR="0" wp14:anchorId="245AAC92" wp14:editId="459B2A71">
                  <wp:extent cx="4945418" cy="30935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oring_vels.tif"/>
                          <pic:cNvPicPr/>
                        </pic:nvPicPr>
                        <pic:blipFill rotWithShape="1">
                          <a:blip r:embed="rId18" cstate="print">
                            <a:extLst>
                              <a:ext uri="{28A0092B-C50C-407E-A947-70E740481C1C}">
                                <a14:useLocalDpi xmlns:a14="http://schemas.microsoft.com/office/drawing/2010/main" val="0"/>
                              </a:ext>
                            </a:extLst>
                          </a:blip>
                          <a:srcRect l="8278" r="7466"/>
                          <a:stretch/>
                        </pic:blipFill>
                        <pic:spPr bwMode="auto">
                          <a:xfrm>
                            <a:off x="0" y="0"/>
                            <a:ext cx="5094077" cy="31865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4C027C" w14:textId="202BEFFF" w:rsidR="009C1D53" w:rsidRPr="004E2840" w:rsidRDefault="009C1D53" w:rsidP="009C1D53">
      <w:pPr>
        <w:pStyle w:val="CommentText"/>
        <w:spacing w:before="120" w:line="360" w:lineRule="auto"/>
        <w:jc w:val="both"/>
        <w:outlineLvl w:val="0"/>
        <w:rPr>
          <w:rFonts w:ascii="Arial" w:hAnsi="Arial" w:cs="Arial"/>
          <w:color w:val="000000" w:themeColor="text1"/>
          <w:sz w:val="22"/>
          <w:szCs w:val="22"/>
        </w:rPr>
      </w:pPr>
      <w:r w:rsidRPr="002101B9">
        <w:rPr>
          <w:rFonts w:ascii="Arial" w:hAnsi="Arial" w:cs="Arial"/>
          <w:b/>
          <w:color w:val="000000" w:themeColor="text1"/>
          <w:sz w:val="22"/>
          <w:szCs w:val="22"/>
        </w:rPr>
        <w:t>Figure S</w:t>
      </w:r>
      <w:r>
        <w:rPr>
          <w:rFonts w:ascii="Arial" w:hAnsi="Arial" w:cs="Arial"/>
          <w:b/>
          <w:color w:val="000000" w:themeColor="text1"/>
          <w:sz w:val="22"/>
          <w:szCs w:val="22"/>
        </w:rPr>
        <w:t>7</w:t>
      </w:r>
      <w:r w:rsidRPr="002101B9">
        <w:rPr>
          <w:rFonts w:ascii="Arial" w:hAnsi="Arial" w:cs="Arial"/>
          <w:b/>
          <w:color w:val="000000" w:themeColor="text1"/>
          <w:sz w:val="22"/>
          <w:szCs w:val="22"/>
        </w:rPr>
        <w:t>.</w:t>
      </w:r>
      <w:r w:rsidRPr="002101B9">
        <w:rPr>
          <w:rFonts w:ascii="Arial" w:hAnsi="Arial" w:cs="Arial"/>
          <w:color w:val="000000" w:themeColor="text1"/>
          <w:sz w:val="22"/>
          <w:szCs w:val="22"/>
        </w:rPr>
        <w:t xml:space="preserve"> </w:t>
      </w:r>
      <w:r w:rsidRPr="002101B9">
        <w:rPr>
          <w:rFonts w:ascii="Arial" w:hAnsi="Arial" w:cs="Arial"/>
          <w:i/>
          <w:color w:val="000000" w:themeColor="text1"/>
          <w:sz w:val="22"/>
          <w:szCs w:val="22"/>
        </w:rPr>
        <w:t>Upper panels:</w:t>
      </w:r>
      <w:r w:rsidRPr="002101B9">
        <w:rPr>
          <w:rFonts w:ascii="Arial" w:hAnsi="Arial" w:cs="Arial"/>
          <w:color w:val="000000" w:themeColor="text1"/>
          <w:sz w:val="22"/>
          <w:szCs w:val="22"/>
        </w:rPr>
        <w:t xml:space="preserve"> Comparison of the current meter (blue lines) vs. geostrophic velocity profiles (red lines) in the Western Boundary Wedge (region between Bahamas and 76.75</w:t>
      </w:r>
      <w:r w:rsidRPr="002101B9">
        <w:rPr>
          <w:rFonts w:ascii="Arial" w:hAnsi="Arial" w:cs="Arial"/>
          <w:color w:val="000000" w:themeColor="text1"/>
          <w:sz w:val="22"/>
          <w:szCs w:val="22"/>
        </w:rPr>
        <w:sym w:font="Symbol" w:char="F0B0"/>
      </w:r>
      <w:r w:rsidRPr="002101B9">
        <w:rPr>
          <w:rFonts w:ascii="Arial" w:hAnsi="Arial" w:cs="Arial"/>
          <w:color w:val="000000" w:themeColor="text1"/>
          <w:sz w:val="22"/>
          <w:szCs w:val="22"/>
        </w:rPr>
        <w:t>W). Current meter profiles are those corresponding to the same cruise sampling periods in the region (a) from Apr 7th 21:00 to Apr 8th 8:15, 2004 cruise; (b) from Jan 8th 19:00 to Jan 9th 14:00, 2010 cruise). First geostrophic velocity profile east of 76.75</w:t>
      </w:r>
      <w:r w:rsidRPr="002101B9">
        <w:rPr>
          <w:rFonts w:ascii="Arial" w:hAnsi="Arial" w:cs="Arial"/>
          <w:color w:val="000000" w:themeColor="text1"/>
          <w:sz w:val="22"/>
          <w:szCs w:val="22"/>
        </w:rPr>
        <w:sym w:font="Symbol" w:char="F0B0"/>
      </w:r>
      <w:r w:rsidRPr="002101B9">
        <w:rPr>
          <w:rFonts w:ascii="Arial" w:hAnsi="Arial" w:cs="Arial"/>
          <w:color w:val="000000" w:themeColor="text1"/>
          <w:sz w:val="22"/>
          <w:szCs w:val="22"/>
        </w:rPr>
        <w:t xml:space="preserve">W was also included (green line). </w:t>
      </w:r>
      <w:r w:rsidRPr="002101B9">
        <w:rPr>
          <w:rFonts w:ascii="Arial" w:hAnsi="Arial" w:cs="Arial"/>
          <w:i/>
          <w:color w:val="000000" w:themeColor="text1"/>
          <w:sz w:val="22"/>
          <w:szCs w:val="22"/>
        </w:rPr>
        <w:t>Lower panels:</w:t>
      </w:r>
      <w:r w:rsidRPr="002101B9">
        <w:rPr>
          <w:rFonts w:ascii="Arial" w:hAnsi="Arial" w:cs="Arial"/>
          <w:color w:val="000000" w:themeColor="text1"/>
          <w:sz w:val="22"/>
          <w:szCs w:val="22"/>
        </w:rPr>
        <w:t xml:space="preserve"> Temporal variability of the current-meter velocity profile in the Western Boundary Wedge (WBW, between Bahamas and 76.75</w:t>
      </w:r>
      <w:r w:rsidRPr="002101B9">
        <w:rPr>
          <w:rFonts w:ascii="Arial" w:hAnsi="Arial" w:cs="Arial"/>
          <w:color w:val="000000" w:themeColor="text1"/>
          <w:sz w:val="22"/>
          <w:szCs w:val="22"/>
        </w:rPr>
        <w:sym w:font="Symbol" w:char="F0B0"/>
      </w:r>
      <w:r w:rsidRPr="002101B9">
        <w:rPr>
          <w:rFonts w:ascii="Arial" w:hAnsi="Arial" w:cs="Arial"/>
          <w:color w:val="000000" w:themeColor="text1"/>
          <w:sz w:val="22"/>
          <w:szCs w:val="22"/>
        </w:rPr>
        <w:t>W). Current meter profiles are those corresponding to the same cruise sampling periods in the region (c) from Apr 7th 21:00 to Apr 8th 8:15, 2004 cruise; (d) from Jan 8th 19:00 to Jan 9th 14:00, 2010 cruise).</w:t>
      </w:r>
      <w:r w:rsidRPr="002101B9">
        <w:rPr>
          <w:rFonts w:ascii="Arial" w:hAnsi="Arial" w:cs="Arial"/>
          <w:color w:val="000000" w:themeColor="text1"/>
        </w:rPr>
        <w:t xml:space="preserve"> </w:t>
      </w:r>
      <w:r w:rsidRPr="004E2840">
        <w:rPr>
          <w:rFonts w:ascii="Arial" w:hAnsi="Arial" w:cs="Arial"/>
          <w:color w:val="000000" w:themeColor="text1"/>
          <w:sz w:val="22"/>
          <w:szCs w:val="22"/>
        </w:rPr>
        <w:br w:type="page"/>
      </w:r>
    </w:p>
    <w:p w14:paraId="710804EB" w14:textId="77777777" w:rsidR="009C1D53" w:rsidRPr="004E2840" w:rsidRDefault="009C1D53" w:rsidP="009C1D53">
      <w:pPr>
        <w:pStyle w:val="CommentText"/>
        <w:spacing w:line="360" w:lineRule="auto"/>
        <w:jc w:val="center"/>
        <w:rPr>
          <w:rFonts w:ascii="Arial" w:hAnsi="Arial" w:cs="Arial"/>
          <w:color w:val="2F5496" w:themeColor="accent1" w:themeShade="BF"/>
          <w:sz w:val="22"/>
          <w:szCs w:val="22"/>
        </w:rPr>
      </w:pPr>
      <w:r w:rsidRPr="004E2840">
        <w:rPr>
          <w:rFonts w:ascii="Arial" w:hAnsi="Arial" w:cs="Arial"/>
          <w:noProof/>
          <w:color w:val="4472C4" w:themeColor="accent1"/>
          <w:sz w:val="22"/>
          <w:szCs w:val="22"/>
        </w:rPr>
        <w:lastRenderedPageBreak/>
        <w:drawing>
          <wp:inline distT="0" distB="0" distL="0" distR="0" wp14:anchorId="6CB7FCE0" wp14:editId="696D16AF">
            <wp:extent cx="5440101" cy="203981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BW.tif"/>
                    <pic:cNvPicPr/>
                  </pic:nvPicPr>
                  <pic:blipFill rotWithShape="1">
                    <a:blip r:embed="rId19">
                      <a:extLst>
                        <a:ext uri="{28A0092B-C50C-407E-A947-70E740481C1C}">
                          <a14:useLocalDpi xmlns:a14="http://schemas.microsoft.com/office/drawing/2010/main" val="0"/>
                        </a:ext>
                      </a:extLst>
                    </a:blip>
                    <a:srcRect l="6518" r="8227"/>
                    <a:stretch/>
                  </pic:blipFill>
                  <pic:spPr bwMode="auto">
                    <a:xfrm>
                      <a:off x="0" y="0"/>
                      <a:ext cx="5475052" cy="2052920"/>
                    </a:xfrm>
                    <a:prstGeom prst="rect">
                      <a:avLst/>
                    </a:prstGeom>
                    <a:ln>
                      <a:noFill/>
                    </a:ln>
                    <a:extLst>
                      <a:ext uri="{53640926-AAD7-44D8-BBD7-CCE9431645EC}">
                        <a14:shadowObscured xmlns:a14="http://schemas.microsoft.com/office/drawing/2010/main"/>
                      </a:ext>
                    </a:extLst>
                  </pic:spPr>
                </pic:pic>
              </a:graphicData>
            </a:graphic>
          </wp:inline>
        </w:drawing>
      </w:r>
    </w:p>
    <w:p w14:paraId="5BB19C36" w14:textId="5A296033" w:rsidR="009C1D53" w:rsidRDefault="009C1D53" w:rsidP="009C1D53">
      <w:pPr>
        <w:pStyle w:val="Heading1"/>
        <w:spacing w:line="360" w:lineRule="auto"/>
        <w:jc w:val="both"/>
        <w:rPr>
          <w:rFonts w:ascii="Arial" w:hAnsi="Arial" w:cs="Arial"/>
          <w:color w:val="000000" w:themeColor="text1"/>
          <w:sz w:val="22"/>
          <w:szCs w:val="22"/>
        </w:rPr>
      </w:pPr>
      <w:r w:rsidRPr="002101B9">
        <w:rPr>
          <w:rFonts w:ascii="Arial" w:hAnsi="Arial" w:cs="Arial"/>
          <w:b/>
          <w:color w:val="000000" w:themeColor="text1"/>
          <w:sz w:val="22"/>
          <w:szCs w:val="22"/>
        </w:rPr>
        <w:t>Figure S</w:t>
      </w:r>
      <w:r>
        <w:rPr>
          <w:rFonts w:ascii="Arial" w:hAnsi="Arial" w:cs="Arial"/>
          <w:b/>
          <w:color w:val="000000" w:themeColor="text1"/>
          <w:sz w:val="22"/>
          <w:szCs w:val="22"/>
        </w:rPr>
        <w:t>8</w:t>
      </w:r>
      <w:r w:rsidRPr="002101B9">
        <w:rPr>
          <w:rFonts w:ascii="Arial" w:hAnsi="Arial" w:cs="Arial"/>
          <w:b/>
          <w:color w:val="000000" w:themeColor="text1"/>
          <w:sz w:val="22"/>
          <w:szCs w:val="22"/>
        </w:rPr>
        <w:t xml:space="preserve">. </w:t>
      </w:r>
      <w:r w:rsidRPr="002101B9">
        <w:rPr>
          <w:rFonts w:ascii="Arial" w:hAnsi="Arial" w:cs="Arial"/>
          <w:color w:val="000000" w:themeColor="text1"/>
          <w:sz w:val="22"/>
          <w:szCs w:val="22"/>
        </w:rPr>
        <w:t>Total Western Boundary Wedge (WBW, between Bahamas and 76.75</w:t>
      </w:r>
      <w:r w:rsidRPr="002101B9">
        <w:rPr>
          <w:rFonts w:ascii="Arial" w:hAnsi="Arial" w:cs="Arial"/>
          <w:color w:val="000000" w:themeColor="text1"/>
          <w:sz w:val="22"/>
          <w:szCs w:val="22"/>
        </w:rPr>
        <w:sym w:font="Symbol" w:char="F0B0"/>
      </w:r>
      <w:r w:rsidRPr="002101B9">
        <w:rPr>
          <w:rFonts w:ascii="Arial" w:hAnsi="Arial" w:cs="Arial"/>
          <w:color w:val="000000" w:themeColor="text1"/>
          <w:sz w:val="22"/>
          <w:szCs w:val="22"/>
        </w:rPr>
        <w:t>W) absolute transports. Grey line shows the 12-h WBW time series, and grey numbers are the corresponding WBW transport values averaged for the time of each cruise. Green line is 10-day low-pass filtered WBW transports, and black line represent the 3-month low-pass filtered. Red numbers are the hydrography-based estimates.</w:t>
      </w:r>
    </w:p>
    <w:p w14:paraId="703C9B13" w14:textId="77777777" w:rsidR="009C1D53" w:rsidRDefault="009C1D53">
      <w:pPr>
        <w:rPr>
          <w:rFonts w:ascii="Arial" w:eastAsiaTheme="majorEastAsia" w:hAnsi="Arial" w:cs="Arial"/>
          <w:color w:val="000000" w:themeColor="text1"/>
          <w:sz w:val="22"/>
          <w:szCs w:val="22"/>
          <w:lang w:val="en-US"/>
        </w:rPr>
      </w:pPr>
      <w:r>
        <w:rPr>
          <w:rFonts w:ascii="Arial" w:hAnsi="Arial" w:cs="Arial"/>
          <w:color w:val="000000" w:themeColor="text1"/>
          <w:sz w:val="22"/>
          <w:szCs w:val="22"/>
        </w:rPr>
        <w:br w:type="page"/>
      </w:r>
    </w:p>
    <w:p w14:paraId="3D3C73ED" w14:textId="5AF5A565" w:rsidR="005D6DDD" w:rsidRPr="002101B9" w:rsidRDefault="005D6DDD" w:rsidP="00CA6BFC">
      <w:pPr>
        <w:pStyle w:val="SMHeading"/>
        <w:spacing w:after="240" w:line="360" w:lineRule="auto"/>
        <w:jc w:val="both"/>
        <w:rPr>
          <w:rFonts w:ascii="Arial" w:hAnsi="Arial" w:cs="Arial"/>
          <w:color w:val="000000" w:themeColor="text1"/>
          <w:sz w:val="22"/>
          <w:szCs w:val="22"/>
        </w:rPr>
      </w:pPr>
      <w:r w:rsidRPr="002101B9">
        <w:rPr>
          <w:rFonts w:ascii="Arial" w:hAnsi="Arial" w:cs="Arial"/>
          <w:color w:val="000000" w:themeColor="text1"/>
          <w:sz w:val="22"/>
          <w:szCs w:val="22"/>
        </w:rPr>
        <w:lastRenderedPageBreak/>
        <w:t xml:space="preserve">Table S1. </w:t>
      </w:r>
      <w:r w:rsidRPr="002101B9">
        <w:rPr>
          <w:rFonts w:ascii="Arial" w:hAnsi="Arial" w:cs="Arial"/>
          <w:b w:val="0"/>
          <w:color w:val="000000" w:themeColor="text1"/>
          <w:sz w:val="22"/>
          <w:szCs w:val="22"/>
        </w:rPr>
        <w:t>Secondary QC GLODAPv2</w:t>
      </w:r>
      <w:r w:rsidR="006D54B6" w:rsidRPr="002101B9">
        <w:rPr>
          <w:rFonts w:ascii="Arial" w:hAnsi="Arial" w:cs="Arial"/>
          <w:b w:val="0"/>
          <w:color w:val="000000" w:themeColor="text1"/>
          <w:sz w:val="22"/>
          <w:szCs w:val="22"/>
        </w:rPr>
        <w:t xml:space="preserve">.2019 </w:t>
      </w:r>
      <w:r w:rsidR="00053925" w:rsidRPr="002101B9">
        <w:rPr>
          <w:rFonts w:ascii="Arial" w:hAnsi="Arial" w:cs="Arial"/>
          <w:b w:val="0"/>
          <w:color w:val="000000" w:themeColor="text1"/>
          <w:sz w:val="22"/>
          <w:szCs w:val="22"/>
        </w:rPr>
        <w:fldChar w:fldCharType="begin"/>
      </w:r>
      <w:r w:rsidR="00FC6B40" w:rsidRPr="002101B9">
        <w:rPr>
          <w:rFonts w:ascii="Arial" w:hAnsi="Arial" w:cs="Arial"/>
          <w:b w:val="0"/>
          <w:color w:val="000000" w:themeColor="text1"/>
          <w:sz w:val="22"/>
          <w:szCs w:val="22"/>
        </w:rPr>
        <w:instrText xml:space="preserve"> ADDIN ZOTERO_ITEM CSL_CITATION {"citationID":"a13h6inqudg","properties":{"formattedCitation":"(Olsen et al., 2019)","plainCitation":"(Olsen et al., 2019)","noteIndex":0},"citationItems":[{"id":4427,"uris":["http://zotero.org/users/951135/items/JHAYKWYJ"],"uri":["http://zotero.org/users/951135/items/JHAYKWYJ"],"itemData":{"id":4427,"type":"article-journal","container-title":"Earth System Science Data","DOI":"10.5194/essd-11-1437-2019","issue":"3","page":"1437–1461","title":"GLODAPv2.2019 – an update of GLODAPv2","volume":"11","author":[{"family":"Olsen","given":"A."},{"family":"Lange","given":"N."},{"family":"Key","given":"R. M."},{"family":"Tanhua","given":"T."},{"family":"Álvarez","given":"M."},{"family":"Becker","given":"S."},{"family":"Bittig","given":"H. C."},{"family":"Carter","given":"B. R."},{"family":"Cotrim da Cunha","given":"L."},{"family":"Feely","given":"R. A."},{"family":"Heuven","given":"S.","non-dropping-particle":"van"},{"family":"Hoppema","given":"M."},{"family":"Ishii","given":"M."},{"family":"Jeansson","given":"E."},{"family":"Jones","given":"S. D."},{"family":"Jutterström","given":"S."},{"family":"Karlsen","given":"M. K."},{"family":"Kozyr","given":"A."},{"family":"Lauvset","given":"S. K."},{"family":"Lo Monaco","given":"C."},{"family":"Murata","given":"A."},{"family":"Pérez","given":"F. F."},{"family":"Pfeil","given":"B."},{"family":"Schirnick","given":"C."},{"family":"Steinfeldt","given":"R."},{"family":"Suzuki","given":"T."},{"family":"Telszewski","given":"M."},{"family":"Tilbrook","given":"B."},{"family":"Velo","given":"A."},{"family":"Wanninkhof","given":"R."}],"issued":{"date-parts":[["2019"]]}}}],"schema":"https://github.com/citation-style-language/schema/raw/master/csl-citation.json"} </w:instrText>
      </w:r>
      <w:r w:rsidR="00053925" w:rsidRPr="002101B9">
        <w:rPr>
          <w:rFonts w:ascii="Arial" w:hAnsi="Arial" w:cs="Arial"/>
          <w:b w:val="0"/>
          <w:color w:val="000000" w:themeColor="text1"/>
          <w:sz w:val="22"/>
          <w:szCs w:val="22"/>
        </w:rPr>
        <w:fldChar w:fldCharType="separate"/>
      </w:r>
      <w:r w:rsidR="00FC6B40" w:rsidRPr="002101B9">
        <w:rPr>
          <w:rFonts w:ascii="Arial" w:hAnsi="Arial" w:cs="Arial"/>
          <w:b w:val="0"/>
          <w:color w:val="000000" w:themeColor="text1"/>
          <w:sz w:val="22"/>
        </w:rPr>
        <w:t>(Olsen et al., 2019)</w:t>
      </w:r>
      <w:r w:rsidR="00053925" w:rsidRPr="002101B9">
        <w:rPr>
          <w:rFonts w:ascii="Arial" w:hAnsi="Arial" w:cs="Arial"/>
          <w:b w:val="0"/>
          <w:color w:val="000000" w:themeColor="text1"/>
          <w:sz w:val="22"/>
          <w:szCs w:val="22"/>
        </w:rPr>
        <w:fldChar w:fldCharType="end"/>
      </w:r>
      <w:r w:rsidR="006D54B6" w:rsidRPr="002101B9">
        <w:rPr>
          <w:rFonts w:ascii="Arial" w:hAnsi="Arial" w:cs="Arial"/>
          <w:b w:val="0"/>
          <w:color w:val="000000" w:themeColor="text1"/>
          <w:sz w:val="22"/>
          <w:szCs w:val="22"/>
        </w:rPr>
        <w:t xml:space="preserve"> </w:t>
      </w:r>
      <w:r w:rsidRPr="002101B9">
        <w:rPr>
          <w:rFonts w:ascii="Arial" w:hAnsi="Arial" w:cs="Arial"/>
          <w:b w:val="0"/>
          <w:color w:val="000000" w:themeColor="text1"/>
          <w:sz w:val="22"/>
          <w:szCs w:val="22"/>
        </w:rPr>
        <w:t>multiplicative factors of correction for oxygen and nutrient bottle data.</w:t>
      </w:r>
      <w:r w:rsidRPr="002101B9">
        <w:rPr>
          <w:rFonts w:ascii="Arial" w:hAnsi="Arial" w:cs="Arial"/>
          <w:color w:val="000000" w:themeColor="text1"/>
          <w:sz w:val="22"/>
          <w:szCs w:val="22"/>
        </w:rPr>
        <w:t xml:space="preserve"> </w:t>
      </w:r>
    </w:p>
    <w:tbl>
      <w:tblPr>
        <w:tblW w:w="5000" w:type="pct"/>
        <w:tblCellMar>
          <w:left w:w="0" w:type="dxa"/>
          <w:right w:w="0" w:type="dxa"/>
        </w:tblCellMar>
        <w:tblLook w:val="04A0" w:firstRow="1" w:lastRow="0" w:firstColumn="1" w:lastColumn="0" w:noHBand="0" w:noVBand="1"/>
      </w:tblPr>
      <w:tblGrid>
        <w:gridCol w:w="1319"/>
        <w:gridCol w:w="1928"/>
        <w:gridCol w:w="1380"/>
        <w:gridCol w:w="1337"/>
        <w:gridCol w:w="1315"/>
        <w:gridCol w:w="1741"/>
      </w:tblGrid>
      <w:tr w:rsidR="005D6DDD" w:rsidRPr="002101B9" w14:paraId="2EF36D1B" w14:textId="77777777" w:rsidTr="00F041AB">
        <w:trPr>
          <w:trHeight w:val="268"/>
        </w:trPr>
        <w:tc>
          <w:tcPr>
            <w:tcW w:w="731" w:type="pct"/>
            <w:tcBorders>
              <w:top w:val="single" w:sz="4" w:space="0" w:color="000000"/>
              <w:left w:val="nil"/>
              <w:bottom w:val="single" w:sz="4" w:space="0" w:color="000000"/>
              <w:right w:val="nil"/>
            </w:tcBorders>
            <w:shd w:val="clear" w:color="auto" w:fill="auto"/>
            <w:tcMar>
              <w:top w:w="15" w:type="dxa"/>
              <w:left w:w="81" w:type="dxa"/>
              <w:bottom w:w="0" w:type="dxa"/>
              <w:right w:w="81" w:type="dxa"/>
            </w:tcMar>
            <w:vAlign w:val="center"/>
            <w:hideMark/>
          </w:tcPr>
          <w:p w14:paraId="53382982" w14:textId="77777777" w:rsidR="005D6DDD" w:rsidRPr="002101B9" w:rsidRDefault="005D6DDD" w:rsidP="00CA6BFC">
            <w:pPr>
              <w:pStyle w:val="SMHeading"/>
              <w:spacing w:before="0" w:after="0" w:line="360" w:lineRule="auto"/>
              <w:jc w:val="center"/>
              <w:rPr>
                <w:rFonts w:ascii="Arial" w:hAnsi="Arial" w:cs="Arial"/>
                <w:color w:val="000000" w:themeColor="text1"/>
                <w:sz w:val="22"/>
                <w:szCs w:val="22"/>
              </w:rPr>
            </w:pPr>
            <w:r w:rsidRPr="002101B9">
              <w:rPr>
                <w:rFonts w:ascii="Arial" w:hAnsi="Arial" w:cs="Arial"/>
                <w:color w:val="000000" w:themeColor="text1"/>
                <w:sz w:val="22"/>
                <w:szCs w:val="22"/>
              </w:rPr>
              <w:t>Section</w:t>
            </w:r>
          </w:p>
        </w:tc>
        <w:tc>
          <w:tcPr>
            <w:tcW w:w="1069" w:type="pct"/>
            <w:tcBorders>
              <w:top w:val="single" w:sz="4" w:space="0" w:color="000000"/>
              <w:left w:val="nil"/>
              <w:bottom w:val="single" w:sz="4" w:space="0" w:color="000000"/>
              <w:right w:val="nil"/>
            </w:tcBorders>
            <w:shd w:val="clear" w:color="auto" w:fill="auto"/>
            <w:tcMar>
              <w:top w:w="15" w:type="dxa"/>
              <w:left w:w="81" w:type="dxa"/>
              <w:bottom w:w="0" w:type="dxa"/>
              <w:right w:w="81" w:type="dxa"/>
            </w:tcMar>
            <w:vAlign w:val="center"/>
            <w:hideMark/>
          </w:tcPr>
          <w:p w14:paraId="2C9D34F9" w14:textId="77777777" w:rsidR="005D6DDD" w:rsidRPr="002101B9" w:rsidRDefault="005D6DDD" w:rsidP="00CA6BFC">
            <w:pPr>
              <w:pStyle w:val="SMHeading"/>
              <w:spacing w:before="0" w:after="0" w:line="360" w:lineRule="auto"/>
              <w:jc w:val="center"/>
              <w:rPr>
                <w:rFonts w:ascii="Arial" w:hAnsi="Arial" w:cs="Arial"/>
                <w:color w:val="000000" w:themeColor="text1"/>
                <w:sz w:val="22"/>
                <w:szCs w:val="22"/>
              </w:rPr>
            </w:pPr>
            <w:r w:rsidRPr="002101B9">
              <w:rPr>
                <w:rFonts w:ascii="Arial" w:hAnsi="Arial" w:cs="Arial"/>
                <w:color w:val="000000" w:themeColor="text1"/>
                <w:sz w:val="22"/>
                <w:szCs w:val="22"/>
              </w:rPr>
              <w:t>Cruise Year</w:t>
            </w:r>
          </w:p>
        </w:tc>
        <w:tc>
          <w:tcPr>
            <w:tcW w:w="765" w:type="pct"/>
            <w:tcBorders>
              <w:top w:val="single" w:sz="4" w:space="0" w:color="000000"/>
              <w:left w:val="nil"/>
              <w:bottom w:val="single" w:sz="4" w:space="0" w:color="000000"/>
              <w:right w:val="nil"/>
            </w:tcBorders>
            <w:shd w:val="clear" w:color="auto" w:fill="auto"/>
            <w:tcMar>
              <w:top w:w="15" w:type="dxa"/>
              <w:left w:w="81" w:type="dxa"/>
              <w:bottom w:w="0" w:type="dxa"/>
              <w:right w:w="81" w:type="dxa"/>
            </w:tcMar>
            <w:vAlign w:val="center"/>
            <w:hideMark/>
          </w:tcPr>
          <w:p w14:paraId="2605F8A5" w14:textId="77777777" w:rsidR="005D6DDD" w:rsidRPr="002101B9" w:rsidRDefault="005D6DDD" w:rsidP="00CA6BFC">
            <w:pPr>
              <w:pStyle w:val="SMHeading"/>
              <w:spacing w:before="0" w:after="0" w:line="360" w:lineRule="auto"/>
              <w:jc w:val="center"/>
              <w:rPr>
                <w:rFonts w:ascii="Arial" w:hAnsi="Arial" w:cs="Arial"/>
                <w:color w:val="000000" w:themeColor="text1"/>
                <w:sz w:val="22"/>
                <w:szCs w:val="22"/>
              </w:rPr>
            </w:pPr>
            <w:r w:rsidRPr="002101B9">
              <w:rPr>
                <w:rFonts w:ascii="Arial" w:hAnsi="Arial" w:cs="Arial"/>
                <w:color w:val="000000" w:themeColor="text1"/>
                <w:sz w:val="22"/>
                <w:szCs w:val="22"/>
              </w:rPr>
              <w:t>Oxygen</w:t>
            </w:r>
          </w:p>
        </w:tc>
        <w:tc>
          <w:tcPr>
            <w:tcW w:w="741" w:type="pct"/>
            <w:tcBorders>
              <w:top w:val="single" w:sz="4" w:space="0" w:color="000000"/>
              <w:left w:val="nil"/>
              <w:bottom w:val="single" w:sz="4" w:space="0" w:color="000000"/>
              <w:right w:val="nil"/>
            </w:tcBorders>
            <w:shd w:val="clear" w:color="auto" w:fill="auto"/>
            <w:tcMar>
              <w:top w:w="15" w:type="dxa"/>
              <w:left w:w="81" w:type="dxa"/>
              <w:bottom w:w="0" w:type="dxa"/>
              <w:right w:w="81" w:type="dxa"/>
            </w:tcMar>
            <w:vAlign w:val="center"/>
            <w:hideMark/>
          </w:tcPr>
          <w:p w14:paraId="4E2090A8" w14:textId="77777777" w:rsidR="005D6DDD" w:rsidRPr="002101B9" w:rsidRDefault="005D6DDD" w:rsidP="00CA6BFC">
            <w:pPr>
              <w:pStyle w:val="SMHeading"/>
              <w:spacing w:before="0" w:after="0" w:line="360" w:lineRule="auto"/>
              <w:jc w:val="center"/>
              <w:rPr>
                <w:rFonts w:ascii="Arial" w:hAnsi="Arial" w:cs="Arial"/>
                <w:color w:val="000000" w:themeColor="text1"/>
                <w:sz w:val="22"/>
                <w:szCs w:val="22"/>
              </w:rPr>
            </w:pPr>
            <w:r w:rsidRPr="002101B9">
              <w:rPr>
                <w:rFonts w:ascii="Arial" w:hAnsi="Arial" w:cs="Arial"/>
                <w:color w:val="000000" w:themeColor="text1"/>
                <w:sz w:val="22"/>
                <w:szCs w:val="22"/>
              </w:rPr>
              <w:t>Silicate</w:t>
            </w:r>
          </w:p>
        </w:tc>
        <w:tc>
          <w:tcPr>
            <w:tcW w:w="729" w:type="pct"/>
            <w:tcBorders>
              <w:top w:val="single" w:sz="4" w:space="0" w:color="000000"/>
              <w:left w:val="nil"/>
              <w:bottom w:val="single" w:sz="4" w:space="0" w:color="000000"/>
              <w:right w:val="nil"/>
            </w:tcBorders>
            <w:shd w:val="clear" w:color="auto" w:fill="auto"/>
            <w:tcMar>
              <w:top w:w="15" w:type="dxa"/>
              <w:left w:w="81" w:type="dxa"/>
              <w:bottom w:w="0" w:type="dxa"/>
              <w:right w:w="81" w:type="dxa"/>
            </w:tcMar>
            <w:vAlign w:val="center"/>
            <w:hideMark/>
          </w:tcPr>
          <w:p w14:paraId="525A5825" w14:textId="77777777" w:rsidR="005D6DDD" w:rsidRPr="002101B9" w:rsidRDefault="005D6DDD" w:rsidP="00CA6BFC">
            <w:pPr>
              <w:pStyle w:val="SMHeading"/>
              <w:spacing w:before="0" w:after="0" w:line="360" w:lineRule="auto"/>
              <w:jc w:val="center"/>
              <w:rPr>
                <w:rFonts w:ascii="Arial" w:hAnsi="Arial" w:cs="Arial"/>
                <w:color w:val="000000" w:themeColor="text1"/>
                <w:sz w:val="22"/>
                <w:szCs w:val="22"/>
              </w:rPr>
            </w:pPr>
            <w:r w:rsidRPr="002101B9">
              <w:rPr>
                <w:rFonts w:ascii="Arial" w:hAnsi="Arial" w:cs="Arial"/>
                <w:color w:val="000000" w:themeColor="text1"/>
                <w:sz w:val="22"/>
                <w:szCs w:val="22"/>
              </w:rPr>
              <w:t>Nitrate</w:t>
            </w:r>
          </w:p>
        </w:tc>
        <w:tc>
          <w:tcPr>
            <w:tcW w:w="965" w:type="pct"/>
            <w:tcBorders>
              <w:top w:val="single" w:sz="4" w:space="0" w:color="000000"/>
              <w:left w:val="nil"/>
              <w:bottom w:val="single" w:sz="4" w:space="0" w:color="000000"/>
              <w:right w:val="nil"/>
            </w:tcBorders>
            <w:shd w:val="clear" w:color="auto" w:fill="auto"/>
            <w:tcMar>
              <w:top w:w="15" w:type="dxa"/>
              <w:left w:w="81" w:type="dxa"/>
              <w:bottom w:w="0" w:type="dxa"/>
              <w:right w:w="81" w:type="dxa"/>
            </w:tcMar>
            <w:vAlign w:val="center"/>
            <w:hideMark/>
          </w:tcPr>
          <w:p w14:paraId="6EF4587C" w14:textId="77777777" w:rsidR="005D6DDD" w:rsidRPr="002101B9" w:rsidRDefault="005D6DDD" w:rsidP="00CA6BFC">
            <w:pPr>
              <w:pStyle w:val="SMHeading"/>
              <w:spacing w:before="0" w:after="0" w:line="360" w:lineRule="auto"/>
              <w:jc w:val="center"/>
              <w:rPr>
                <w:rFonts w:ascii="Arial" w:hAnsi="Arial" w:cs="Arial"/>
                <w:color w:val="000000" w:themeColor="text1"/>
                <w:sz w:val="22"/>
                <w:szCs w:val="22"/>
              </w:rPr>
            </w:pPr>
            <w:r w:rsidRPr="002101B9">
              <w:rPr>
                <w:rFonts w:ascii="Arial" w:hAnsi="Arial" w:cs="Arial"/>
                <w:color w:val="000000" w:themeColor="text1"/>
                <w:sz w:val="22"/>
                <w:szCs w:val="22"/>
              </w:rPr>
              <w:t>Phosphate</w:t>
            </w:r>
          </w:p>
        </w:tc>
      </w:tr>
      <w:tr w:rsidR="005D6DDD" w:rsidRPr="002101B9" w14:paraId="69663BF4" w14:textId="77777777" w:rsidTr="00F041AB">
        <w:trPr>
          <w:trHeight w:val="255"/>
        </w:trPr>
        <w:tc>
          <w:tcPr>
            <w:tcW w:w="731" w:type="pct"/>
            <w:vMerge w:val="restart"/>
            <w:tcBorders>
              <w:top w:val="single" w:sz="4" w:space="0" w:color="000000"/>
              <w:left w:val="nil"/>
              <w:bottom w:val="dotted" w:sz="8" w:space="0" w:color="DDD9C3"/>
              <w:right w:val="nil"/>
            </w:tcBorders>
            <w:shd w:val="clear" w:color="auto" w:fill="auto"/>
            <w:tcMar>
              <w:top w:w="15" w:type="dxa"/>
              <w:left w:w="81" w:type="dxa"/>
              <w:bottom w:w="0" w:type="dxa"/>
              <w:right w:w="81" w:type="dxa"/>
            </w:tcMar>
            <w:vAlign w:val="center"/>
            <w:hideMark/>
          </w:tcPr>
          <w:p w14:paraId="4BAD798D" w14:textId="30321BE5" w:rsidR="005D6DDD" w:rsidRPr="002101B9" w:rsidRDefault="00B3364C"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rPr>
              <w:t>A05-</w:t>
            </w:r>
            <w:r w:rsidR="005D6DDD" w:rsidRPr="002101B9">
              <w:rPr>
                <w:rFonts w:ascii="Arial" w:hAnsi="Arial" w:cs="Arial"/>
                <w:b w:val="0"/>
                <w:color w:val="000000" w:themeColor="text1"/>
                <w:sz w:val="22"/>
                <w:szCs w:val="22"/>
              </w:rPr>
              <w:t>24.5</w:t>
            </w:r>
            <w:r w:rsidR="005D6DDD" w:rsidRPr="002101B9">
              <w:rPr>
                <w:rFonts w:ascii="Arial" w:hAnsi="Arial" w:cs="Arial"/>
                <w:color w:val="000000" w:themeColor="text1"/>
                <w:sz w:val="22"/>
                <w:szCs w:val="22"/>
              </w:rPr>
              <w:t>°</w:t>
            </w:r>
            <w:r w:rsidR="005D6DDD" w:rsidRPr="002101B9">
              <w:rPr>
                <w:rFonts w:ascii="Arial" w:hAnsi="Arial" w:cs="Arial"/>
                <w:b w:val="0"/>
                <w:color w:val="000000" w:themeColor="text1"/>
                <w:sz w:val="22"/>
                <w:szCs w:val="22"/>
              </w:rPr>
              <w:t>N</w:t>
            </w:r>
          </w:p>
        </w:tc>
        <w:tc>
          <w:tcPr>
            <w:tcW w:w="1069" w:type="pct"/>
            <w:tcBorders>
              <w:top w:val="single" w:sz="4" w:space="0" w:color="000000"/>
              <w:left w:val="nil"/>
              <w:bottom w:val="nil"/>
              <w:right w:val="nil"/>
            </w:tcBorders>
            <w:shd w:val="clear" w:color="auto" w:fill="auto"/>
            <w:tcMar>
              <w:top w:w="15" w:type="dxa"/>
              <w:left w:w="81" w:type="dxa"/>
              <w:bottom w:w="0" w:type="dxa"/>
              <w:right w:w="81" w:type="dxa"/>
            </w:tcMar>
            <w:vAlign w:val="center"/>
            <w:hideMark/>
          </w:tcPr>
          <w:p w14:paraId="591D00C5"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rPr>
              <w:t>2004</w:t>
            </w:r>
          </w:p>
        </w:tc>
        <w:tc>
          <w:tcPr>
            <w:tcW w:w="765" w:type="pct"/>
            <w:tcBorders>
              <w:top w:val="single" w:sz="4" w:space="0" w:color="000000"/>
              <w:left w:val="nil"/>
              <w:bottom w:val="nil"/>
              <w:right w:val="nil"/>
            </w:tcBorders>
            <w:shd w:val="clear" w:color="auto" w:fill="auto"/>
            <w:tcMar>
              <w:top w:w="15" w:type="dxa"/>
              <w:left w:w="81" w:type="dxa"/>
              <w:bottom w:w="0" w:type="dxa"/>
              <w:right w:w="81" w:type="dxa"/>
            </w:tcMar>
            <w:vAlign w:val="center"/>
            <w:hideMark/>
          </w:tcPr>
          <w:p w14:paraId="48B36AA5" w14:textId="4C592069" w:rsidR="005D6DDD" w:rsidRPr="002101B9" w:rsidRDefault="006D54B6"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1</w:t>
            </w:r>
          </w:p>
        </w:tc>
        <w:tc>
          <w:tcPr>
            <w:tcW w:w="741" w:type="pct"/>
            <w:tcBorders>
              <w:top w:val="single" w:sz="4" w:space="0" w:color="000000"/>
              <w:left w:val="nil"/>
              <w:bottom w:val="nil"/>
              <w:right w:val="nil"/>
            </w:tcBorders>
            <w:shd w:val="clear" w:color="auto" w:fill="auto"/>
            <w:tcMar>
              <w:top w:w="15" w:type="dxa"/>
              <w:left w:w="81" w:type="dxa"/>
              <w:bottom w:w="0" w:type="dxa"/>
              <w:right w:w="81" w:type="dxa"/>
            </w:tcMar>
            <w:vAlign w:val="center"/>
            <w:hideMark/>
          </w:tcPr>
          <w:p w14:paraId="260F170E"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0.975</w:t>
            </w:r>
          </w:p>
        </w:tc>
        <w:tc>
          <w:tcPr>
            <w:tcW w:w="729" w:type="pct"/>
            <w:tcBorders>
              <w:top w:val="single" w:sz="4" w:space="0" w:color="000000"/>
              <w:left w:val="nil"/>
              <w:bottom w:val="nil"/>
              <w:right w:val="nil"/>
            </w:tcBorders>
            <w:shd w:val="clear" w:color="auto" w:fill="auto"/>
            <w:tcMar>
              <w:top w:w="15" w:type="dxa"/>
              <w:left w:w="81" w:type="dxa"/>
              <w:bottom w:w="0" w:type="dxa"/>
              <w:right w:w="81" w:type="dxa"/>
            </w:tcMar>
            <w:vAlign w:val="center"/>
            <w:hideMark/>
          </w:tcPr>
          <w:p w14:paraId="2BF44922"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0.975</w:t>
            </w:r>
          </w:p>
        </w:tc>
        <w:tc>
          <w:tcPr>
            <w:tcW w:w="965" w:type="pct"/>
            <w:tcBorders>
              <w:top w:val="single" w:sz="4" w:space="0" w:color="000000"/>
              <w:left w:val="nil"/>
              <w:bottom w:val="nil"/>
              <w:right w:val="nil"/>
            </w:tcBorders>
            <w:shd w:val="clear" w:color="auto" w:fill="auto"/>
            <w:tcMar>
              <w:top w:w="15" w:type="dxa"/>
              <w:left w:w="81" w:type="dxa"/>
              <w:bottom w:w="0" w:type="dxa"/>
              <w:right w:w="81" w:type="dxa"/>
            </w:tcMar>
            <w:vAlign w:val="center"/>
            <w:hideMark/>
          </w:tcPr>
          <w:p w14:paraId="55A6570C"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0.975</w:t>
            </w:r>
          </w:p>
        </w:tc>
      </w:tr>
      <w:tr w:rsidR="005D6DDD" w:rsidRPr="002101B9" w14:paraId="4F1B1749" w14:textId="77777777" w:rsidTr="00F041AB">
        <w:trPr>
          <w:trHeight w:val="255"/>
        </w:trPr>
        <w:tc>
          <w:tcPr>
            <w:tcW w:w="731" w:type="pct"/>
            <w:vMerge/>
            <w:tcBorders>
              <w:top w:val="single" w:sz="4" w:space="0" w:color="000000"/>
              <w:left w:val="nil"/>
              <w:bottom w:val="dotted" w:sz="8" w:space="0" w:color="DDD9C3"/>
              <w:right w:val="nil"/>
            </w:tcBorders>
            <w:vAlign w:val="center"/>
            <w:hideMark/>
          </w:tcPr>
          <w:p w14:paraId="1216DC41"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p>
        </w:tc>
        <w:tc>
          <w:tcPr>
            <w:tcW w:w="1069" w:type="pct"/>
            <w:tcBorders>
              <w:top w:val="nil"/>
              <w:left w:val="nil"/>
              <w:bottom w:val="dotted" w:sz="8" w:space="0" w:color="DDD9C3"/>
              <w:right w:val="nil"/>
            </w:tcBorders>
            <w:shd w:val="clear" w:color="auto" w:fill="auto"/>
            <w:tcMar>
              <w:top w:w="15" w:type="dxa"/>
              <w:left w:w="81" w:type="dxa"/>
              <w:bottom w:w="0" w:type="dxa"/>
              <w:right w:w="81" w:type="dxa"/>
            </w:tcMar>
            <w:vAlign w:val="center"/>
            <w:hideMark/>
          </w:tcPr>
          <w:p w14:paraId="120C7093"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rPr>
              <w:t>2010</w:t>
            </w:r>
          </w:p>
        </w:tc>
        <w:tc>
          <w:tcPr>
            <w:tcW w:w="765" w:type="pct"/>
            <w:tcBorders>
              <w:top w:val="nil"/>
              <w:left w:val="nil"/>
              <w:bottom w:val="dotted" w:sz="8" w:space="0" w:color="DDD9C3"/>
              <w:right w:val="nil"/>
            </w:tcBorders>
            <w:shd w:val="clear" w:color="auto" w:fill="auto"/>
            <w:tcMar>
              <w:top w:w="15" w:type="dxa"/>
              <w:left w:w="81" w:type="dxa"/>
              <w:bottom w:w="0" w:type="dxa"/>
              <w:right w:w="81" w:type="dxa"/>
            </w:tcMar>
            <w:vAlign w:val="center"/>
            <w:hideMark/>
          </w:tcPr>
          <w:p w14:paraId="02476B68"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1.025</w:t>
            </w:r>
          </w:p>
        </w:tc>
        <w:tc>
          <w:tcPr>
            <w:tcW w:w="741" w:type="pct"/>
            <w:tcBorders>
              <w:top w:val="nil"/>
              <w:left w:val="nil"/>
              <w:bottom w:val="dotted" w:sz="8" w:space="0" w:color="DDD9C3"/>
              <w:right w:val="nil"/>
            </w:tcBorders>
            <w:shd w:val="clear" w:color="auto" w:fill="auto"/>
            <w:tcMar>
              <w:top w:w="15" w:type="dxa"/>
              <w:left w:w="81" w:type="dxa"/>
              <w:bottom w:w="0" w:type="dxa"/>
              <w:right w:w="81" w:type="dxa"/>
            </w:tcMar>
            <w:vAlign w:val="center"/>
            <w:hideMark/>
          </w:tcPr>
          <w:p w14:paraId="08F02A82"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0.945</w:t>
            </w:r>
          </w:p>
        </w:tc>
        <w:tc>
          <w:tcPr>
            <w:tcW w:w="729" w:type="pct"/>
            <w:tcBorders>
              <w:top w:val="nil"/>
              <w:left w:val="nil"/>
              <w:bottom w:val="dotted" w:sz="8" w:space="0" w:color="DDD9C3"/>
              <w:right w:val="nil"/>
            </w:tcBorders>
            <w:shd w:val="clear" w:color="auto" w:fill="auto"/>
            <w:tcMar>
              <w:top w:w="15" w:type="dxa"/>
              <w:left w:w="81" w:type="dxa"/>
              <w:bottom w:w="0" w:type="dxa"/>
              <w:right w:w="81" w:type="dxa"/>
            </w:tcMar>
            <w:vAlign w:val="center"/>
            <w:hideMark/>
          </w:tcPr>
          <w:p w14:paraId="009B79C6"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0.965</w:t>
            </w:r>
          </w:p>
        </w:tc>
        <w:tc>
          <w:tcPr>
            <w:tcW w:w="965" w:type="pct"/>
            <w:tcBorders>
              <w:top w:val="nil"/>
              <w:left w:val="nil"/>
              <w:bottom w:val="dotted" w:sz="8" w:space="0" w:color="DDD9C3"/>
              <w:right w:val="nil"/>
            </w:tcBorders>
            <w:shd w:val="clear" w:color="auto" w:fill="auto"/>
            <w:tcMar>
              <w:top w:w="15" w:type="dxa"/>
              <w:left w:w="81" w:type="dxa"/>
              <w:bottom w:w="0" w:type="dxa"/>
              <w:right w:w="81" w:type="dxa"/>
            </w:tcMar>
            <w:vAlign w:val="center"/>
            <w:hideMark/>
          </w:tcPr>
          <w:p w14:paraId="679B6268"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0.985</w:t>
            </w:r>
          </w:p>
        </w:tc>
      </w:tr>
      <w:tr w:rsidR="005D6DDD" w:rsidRPr="002101B9" w14:paraId="1DB448F4" w14:textId="77777777" w:rsidTr="00F041AB">
        <w:trPr>
          <w:trHeight w:val="255"/>
        </w:trPr>
        <w:tc>
          <w:tcPr>
            <w:tcW w:w="731" w:type="pct"/>
            <w:vMerge w:val="restart"/>
            <w:tcBorders>
              <w:top w:val="dotted" w:sz="8" w:space="0" w:color="DDD9C3"/>
              <w:left w:val="nil"/>
              <w:bottom w:val="single" w:sz="4" w:space="0" w:color="000000"/>
              <w:right w:val="nil"/>
            </w:tcBorders>
            <w:shd w:val="clear" w:color="auto" w:fill="auto"/>
            <w:tcMar>
              <w:top w:w="15" w:type="dxa"/>
              <w:left w:w="81" w:type="dxa"/>
              <w:bottom w:w="0" w:type="dxa"/>
              <w:right w:w="81" w:type="dxa"/>
            </w:tcMar>
            <w:vAlign w:val="center"/>
            <w:hideMark/>
          </w:tcPr>
          <w:p w14:paraId="5D593252"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rPr>
              <w:t>OVIDE</w:t>
            </w:r>
          </w:p>
        </w:tc>
        <w:tc>
          <w:tcPr>
            <w:tcW w:w="1069" w:type="pct"/>
            <w:tcBorders>
              <w:top w:val="dotted" w:sz="8" w:space="0" w:color="DDD9C3"/>
              <w:left w:val="nil"/>
              <w:bottom w:val="nil"/>
              <w:right w:val="nil"/>
            </w:tcBorders>
            <w:shd w:val="clear" w:color="auto" w:fill="auto"/>
            <w:tcMar>
              <w:top w:w="15" w:type="dxa"/>
              <w:left w:w="81" w:type="dxa"/>
              <w:bottom w:w="0" w:type="dxa"/>
              <w:right w:w="81" w:type="dxa"/>
            </w:tcMar>
            <w:vAlign w:val="center"/>
            <w:hideMark/>
          </w:tcPr>
          <w:p w14:paraId="41EC55B8"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rPr>
              <w:t>2004</w:t>
            </w:r>
          </w:p>
        </w:tc>
        <w:tc>
          <w:tcPr>
            <w:tcW w:w="765" w:type="pct"/>
            <w:tcBorders>
              <w:top w:val="dotted" w:sz="8" w:space="0" w:color="DDD9C3"/>
              <w:left w:val="nil"/>
              <w:bottom w:val="nil"/>
              <w:right w:val="nil"/>
            </w:tcBorders>
            <w:shd w:val="clear" w:color="auto" w:fill="auto"/>
            <w:tcMar>
              <w:top w:w="15" w:type="dxa"/>
              <w:left w:w="81" w:type="dxa"/>
              <w:bottom w:w="0" w:type="dxa"/>
              <w:right w:w="81" w:type="dxa"/>
            </w:tcMar>
            <w:vAlign w:val="center"/>
            <w:hideMark/>
          </w:tcPr>
          <w:p w14:paraId="22A15D32" w14:textId="2B9D33DA" w:rsidR="005D6DDD" w:rsidRPr="002101B9" w:rsidRDefault="006D54B6"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1</w:t>
            </w:r>
          </w:p>
        </w:tc>
        <w:tc>
          <w:tcPr>
            <w:tcW w:w="741" w:type="pct"/>
            <w:tcBorders>
              <w:top w:val="dotted" w:sz="8" w:space="0" w:color="DDD9C3"/>
              <w:left w:val="nil"/>
              <w:bottom w:val="nil"/>
              <w:right w:val="nil"/>
            </w:tcBorders>
            <w:shd w:val="clear" w:color="auto" w:fill="auto"/>
            <w:tcMar>
              <w:top w:w="15" w:type="dxa"/>
              <w:left w:w="81" w:type="dxa"/>
              <w:bottom w:w="0" w:type="dxa"/>
              <w:right w:w="81" w:type="dxa"/>
            </w:tcMar>
            <w:vAlign w:val="center"/>
            <w:hideMark/>
          </w:tcPr>
          <w:p w14:paraId="2381097A"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0.98</w:t>
            </w:r>
          </w:p>
        </w:tc>
        <w:tc>
          <w:tcPr>
            <w:tcW w:w="729" w:type="pct"/>
            <w:tcBorders>
              <w:top w:val="dotted" w:sz="8" w:space="0" w:color="DDD9C3"/>
              <w:left w:val="nil"/>
              <w:bottom w:val="nil"/>
              <w:right w:val="nil"/>
            </w:tcBorders>
            <w:shd w:val="clear" w:color="auto" w:fill="auto"/>
            <w:tcMar>
              <w:top w:w="15" w:type="dxa"/>
              <w:left w:w="81" w:type="dxa"/>
              <w:bottom w:w="0" w:type="dxa"/>
              <w:right w:w="81" w:type="dxa"/>
            </w:tcMar>
            <w:vAlign w:val="center"/>
            <w:hideMark/>
          </w:tcPr>
          <w:p w14:paraId="28555DA5"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0.975</w:t>
            </w:r>
          </w:p>
        </w:tc>
        <w:tc>
          <w:tcPr>
            <w:tcW w:w="965" w:type="pct"/>
            <w:tcBorders>
              <w:top w:val="dotted" w:sz="8" w:space="0" w:color="DDD9C3"/>
              <w:left w:val="nil"/>
              <w:bottom w:val="nil"/>
              <w:right w:val="nil"/>
            </w:tcBorders>
            <w:shd w:val="clear" w:color="auto" w:fill="auto"/>
            <w:tcMar>
              <w:top w:w="15" w:type="dxa"/>
              <w:left w:w="81" w:type="dxa"/>
              <w:bottom w:w="0" w:type="dxa"/>
              <w:right w:w="81" w:type="dxa"/>
            </w:tcMar>
            <w:vAlign w:val="center"/>
            <w:hideMark/>
          </w:tcPr>
          <w:p w14:paraId="6DF651FD"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1.1</w:t>
            </w:r>
          </w:p>
        </w:tc>
      </w:tr>
      <w:tr w:rsidR="005D6DDD" w:rsidRPr="002101B9" w14:paraId="33006BE8" w14:textId="77777777" w:rsidTr="00F041AB">
        <w:trPr>
          <w:trHeight w:val="255"/>
        </w:trPr>
        <w:tc>
          <w:tcPr>
            <w:tcW w:w="731" w:type="pct"/>
            <w:vMerge/>
            <w:tcBorders>
              <w:top w:val="dotted" w:sz="8" w:space="0" w:color="DDD9C3"/>
              <w:left w:val="nil"/>
              <w:bottom w:val="single" w:sz="4" w:space="0" w:color="000000"/>
              <w:right w:val="nil"/>
            </w:tcBorders>
            <w:vAlign w:val="center"/>
            <w:hideMark/>
          </w:tcPr>
          <w:p w14:paraId="285F7DCD"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p>
        </w:tc>
        <w:tc>
          <w:tcPr>
            <w:tcW w:w="1069" w:type="pct"/>
            <w:tcBorders>
              <w:top w:val="nil"/>
              <w:left w:val="nil"/>
              <w:bottom w:val="single" w:sz="4" w:space="0" w:color="000000"/>
              <w:right w:val="nil"/>
            </w:tcBorders>
            <w:shd w:val="clear" w:color="auto" w:fill="auto"/>
            <w:tcMar>
              <w:top w:w="15" w:type="dxa"/>
              <w:left w:w="81" w:type="dxa"/>
              <w:bottom w:w="0" w:type="dxa"/>
              <w:right w:w="81" w:type="dxa"/>
            </w:tcMar>
            <w:vAlign w:val="center"/>
            <w:hideMark/>
          </w:tcPr>
          <w:p w14:paraId="7269EE0C"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rPr>
              <w:t>2010</w:t>
            </w:r>
          </w:p>
        </w:tc>
        <w:tc>
          <w:tcPr>
            <w:tcW w:w="765" w:type="pct"/>
            <w:tcBorders>
              <w:top w:val="nil"/>
              <w:left w:val="nil"/>
              <w:bottom w:val="single" w:sz="4" w:space="0" w:color="000000"/>
              <w:right w:val="nil"/>
            </w:tcBorders>
            <w:shd w:val="clear" w:color="auto" w:fill="auto"/>
            <w:tcMar>
              <w:top w:w="15" w:type="dxa"/>
              <w:left w:w="81" w:type="dxa"/>
              <w:bottom w:w="0" w:type="dxa"/>
              <w:right w:w="81" w:type="dxa"/>
            </w:tcMar>
            <w:vAlign w:val="center"/>
            <w:hideMark/>
          </w:tcPr>
          <w:p w14:paraId="64DE34A0" w14:textId="0F6F164D" w:rsidR="005D6DDD" w:rsidRPr="002101B9" w:rsidRDefault="006D54B6"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1</w:t>
            </w:r>
          </w:p>
        </w:tc>
        <w:tc>
          <w:tcPr>
            <w:tcW w:w="741" w:type="pct"/>
            <w:tcBorders>
              <w:top w:val="nil"/>
              <w:left w:val="nil"/>
              <w:bottom w:val="single" w:sz="4" w:space="0" w:color="000000"/>
              <w:right w:val="nil"/>
            </w:tcBorders>
            <w:shd w:val="clear" w:color="auto" w:fill="auto"/>
            <w:tcMar>
              <w:top w:w="15" w:type="dxa"/>
              <w:left w:w="81" w:type="dxa"/>
              <w:bottom w:w="0" w:type="dxa"/>
              <w:right w:w="81" w:type="dxa"/>
            </w:tcMar>
            <w:vAlign w:val="center"/>
            <w:hideMark/>
          </w:tcPr>
          <w:p w14:paraId="3B95B81D"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0.98</w:t>
            </w:r>
          </w:p>
        </w:tc>
        <w:tc>
          <w:tcPr>
            <w:tcW w:w="729" w:type="pct"/>
            <w:tcBorders>
              <w:top w:val="nil"/>
              <w:left w:val="nil"/>
              <w:bottom w:val="single" w:sz="4" w:space="0" w:color="000000"/>
              <w:right w:val="nil"/>
            </w:tcBorders>
            <w:shd w:val="clear" w:color="auto" w:fill="auto"/>
            <w:tcMar>
              <w:top w:w="15" w:type="dxa"/>
              <w:left w:w="81" w:type="dxa"/>
              <w:bottom w:w="0" w:type="dxa"/>
              <w:right w:w="81" w:type="dxa"/>
            </w:tcMar>
            <w:vAlign w:val="center"/>
            <w:hideMark/>
          </w:tcPr>
          <w:p w14:paraId="79C51024"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0.99</w:t>
            </w:r>
          </w:p>
        </w:tc>
        <w:tc>
          <w:tcPr>
            <w:tcW w:w="965" w:type="pct"/>
            <w:tcBorders>
              <w:top w:val="nil"/>
              <w:left w:val="nil"/>
              <w:bottom w:val="single" w:sz="4" w:space="0" w:color="000000"/>
              <w:right w:val="nil"/>
            </w:tcBorders>
            <w:shd w:val="clear" w:color="auto" w:fill="auto"/>
            <w:tcMar>
              <w:top w:w="15" w:type="dxa"/>
              <w:left w:w="81" w:type="dxa"/>
              <w:bottom w:w="0" w:type="dxa"/>
              <w:right w:w="81" w:type="dxa"/>
            </w:tcMar>
            <w:vAlign w:val="center"/>
            <w:hideMark/>
          </w:tcPr>
          <w:p w14:paraId="18092C97" w14:textId="77777777" w:rsidR="005D6DDD" w:rsidRPr="002101B9" w:rsidRDefault="005D6DDD" w:rsidP="00CA6BFC">
            <w:pPr>
              <w:pStyle w:val="SMHeading"/>
              <w:spacing w:before="0" w:after="0" w:line="360" w:lineRule="auto"/>
              <w:jc w:val="center"/>
              <w:rPr>
                <w:rFonts w:ascii="Arial" w:hAnsi="Arial" w:cs="Arial"/>
                <w:b w:val="0"/>
                <w:color w:val="000000" w:themeColor="text1"/>
                <w:sz w:val="22"/>
                <w:szCs w:val="22"/>
              </w:rPr>
            </w:pPr>
            <w:r w:rsidRPr="002101B9">
              <w:rPr>
                <w:rFonts w:ascii="Arial" w:hAnsi="Arial" w:cs="Arial"/>
                <w:b w:val="0"/>
                <w:color w:val="000000" w:themeColor="text1"/>
                <w:sz w:val="22"/>
                <w:szCs w:val="22"/>
                <w:lang w:val="es-ES"/>
              </w:rPr>
              <w:t>1.1</w:t>
            </w:r>
          </w:p>
        </w:tc>
      </w:tr>
    </w:tbl>
    <w:p w14:paraId="3A059860" w14:textId="77777777" w:rsidR="005D6DDD" w:rsidRPr="002101B9" w:rsidRDefault="005D6DDD" w:rsidP="00CA6BFC">
      <w:pPr>
        <w:spacing w:line="360" w:lineRule="auto"/>
        <w:rPr>
          <w:rFonts w:ascii="Arial" w:hAnsi="Arial" w:cs="Arial"/>
          <w:b/>
          <w:bCs/>
          <w:color w:val="000000" w:themeColor="text1"/>
          <w:kern w:val="32"/>
          <w:sz w:val="22"/>
          <w:szCs w:val="22"/>
        </w:rPr>
      </w:pPr>
      <w:r w:rsidRPr="002101B9">
        <w:rPr>
          <w:rFonts w:ascii="Arial" w:hAnsi="Arial" w:cs="Arial"/>
          <w:color w:val="000000" w:themeColor="text1"/>
          <w:sz w:val="22"/>
          <w:szCs w:val="22"/>
        </w:rPr>
        <w:br w:type="page"/>
      </w:r>
    </w:p>
    <w:p w14:paraId="03B37FE2" w14:textId="625A9EA5" w:rsidR="005D6DDD" w:rsidRPr="002101B9" w:rsidRDefault="005D6DDD" w:rsidP="00CA6BFC">
      <w:pPr>
        <w:pStyle w:val="Heading1"/>
        <w:spacing w:after="240" w:line="360" w:lineRule="auto"/>
        <w:jc w:val="both"/>
        <w:rPr>
          <w:rFonts w:ascii="Arial" w:hAnsi="Arial" w:cs="Arial"/>
          <w:color w:val="000000" w:themeColor="text1"/>
          <w:sz w:val="22"/>
          <w:szCs w:val="22"/>
        </w:rPr>
      </w:pPr>
      <w:r w:rsidRPr="002101B9">
        <w:rPr>
          <w:rFonts w:ascii="Arial" w:hAnsi="Arial" w:cs="Arial"/>
          <w:b/>
          <w:color w:val="000000" w:themeColor="text1"/>
          <w:sz w:val="22"/>
          <w:szCs w:val="22"/>
        </w:rPr>
        <w:lastRenderedPageBreak/>
        <w:t>Table S2.</w:t>
      </w:r>
      <w:r w:rsidRPr="002101B9">
        <w:rPr>
          <w:rFonts w:ascii="Arial" w:hAnsi="Arial" w:cs="Arial"/>
          <w:color w:val="000000" w:themeColor="text1"/>
          <w:sz w:val="22"/>
          <w:szCs w:val="22"/>
        </w:rPr>
        <w:t xml:space="preserve"> External sources (inputs) of silicate, nitrate and phosphate (other than advection across the hydrographic OVIDE and </w:t>
      </w:r>
      <w:r w:rsidR="00B3364C" w:rsidRPr="002101B9">
        <w:rPr>
          <w:rFonts w:ascii="Arial" w:hAnsi="Arial" w:cs="Arial"/>
          <w:color w:val="000000" w:themeColor="text1"/>
          <w:sz w:val="22"/>
          <w:szCs w:val="22"/>
        </w:rPr>
        <w:t>A05-</w:t>
      </w:r>
      <w:r w:rsidRPr="002101B9">
        <w:rPr>
          <w:rFonts w:ascii="Arial" w:hAnsi="Arial" w:cs="Arial"/>
          <w:color w:val="000000" w:themeColor="text1"/>
          <w:sz w:val="22"/>
          <w:szCs w:val="22"/>
        </w:rPr>
        <w:t>24.5°N sections) to the subtropical box (box boundaries shown in Figure 1).</w:t>
      </w:r>
      <w:r w:rsidR="00196E8C" w:rsidRPr="002101B9">
        <w:rPr>
          <w:rFonts w:ascii="Arial" w:hAnsi="Arial" w:cs="Arial"/>
          <w:color w:val="000000" w:themeColor="text1"/>
          <w:sz w:val="22"/>
          <w:szCs w:val="22"/>
        </w:rPr>
        <w:t xml:space="preserve"> </w:t>
      </w:r>
      <w:r w:rsidR="00237BE7" w:rsidRPr="002101B9">
        <w:rPr>
          <w:rFonts w:ascii="Arial" w:hAnsi="Arial" w:cs="Arial"/>
          <w:color w:val="000000" w:themeColor="text1"/>
          <w:sz w:val="22"/>
          <w:szCs w:val="22"/>
        </w:rPr>
        <w:t xml:space="preserve">Global, NA-box or NA, refer to a global-based, NA-box-based or North-Atlantic-based estimate, respectively; </w:t>
      </w:r>
      <w:r w:rsidR="00196E8C" w:rsidRPr="002101B9">
        <w:rPr>
          <w:rFonts w:ascii="Arial" w:hAnsi="Arial" w:cs="Arial"/>
          <w:color w:val="000000" w:themeColor="text1"/>
          <w:sz w:val="22"/>
          <w:szCs w:val="22"/>
        </w:rPr>
        <w:t xml:space="preserve">M </w:t>
      </w:r>
      <w:r w:rsidR="00237BE7" w:rsidRPr="002101B9">
        <w:rPr>
          <w:rFonts w:ascii="Arial" w:hAnsi="Arial" w:cs="Arial"/>
          <w:color w:val="000000" w:themeColor="text1"/>
          <w:sz w:val="22"/>
          <w:szCs w:val="22"/>
        </w:rPr>
        <w:t>or</w:t>
      </w:r>
      <w:r w:rsidR="00196E8C" w:rsidRPr="002101B9">
        <w:rPr>
          <w:rFonts w:ascii="Arial" w:hAnsi="Arial" w:cs="Arial"/>
          <w:color w:val="000000" w:themeColor="text1"/>
          <w:sz w:val="22"/>
          <w:szCs w:val="22"/>
        </w:rPr>
        <w:t xml:space="preserve"> O refer to model-based or observation-based estimates</w:t>
      </w:r>
      <w:r w:rsidR="00237BE7" w:rsidRPr="002101B9">
        <w:rPr>
          <w:rFonts w:ascii="Arial" w:hAnsi="Arial" w:cs="Arial"/>
          <w:color w:val="000000" w:themeColor="text1"/>
          <w:sz w:val="22"/>
          <w:szCs w:val="22"/>
        </w:rPr>
        <w:t>, respectively</w:t>
      </w:r>
      <w:r w:rsidR="00196E8C" w:rsidRPr="002101B9">
        <w:rPr>
          <w:rFonts w:ascii="Arial" w:hAnsi="Arial" w:cs="Arial"/>
          <w:color w:val="000000" w:themeColor="text1"/>
          <w:sz w:val="22"/>
          <w:szCs w:val="22"/>
        </w:rPr>
        <w:t>.</w:t>
      </w:r>
    </w:p>
    <w:tbl>
      <w:tblPr>
        <w:tblW w:w="9040" w:type="dxa"/>
        <w:tblBorders>
          <w:top w:val="nil"/>
          <w:left w:val="nil"/>
          <w:right w:val="nil"/>
        </w:tblBorders>
        <w:tblCellMar>
          <w:left w:w="0" w:type="dxa"/>
          <w:right w:w="0" w:type="dxa"/>
        </w:tblCellMar>
        <w:tblLook w:val="0000" w:firstRow="0" w:lastRow="0" w:firstColumn="0" w:lastColumn="0" w:noHBand="0" w:noVBand="0"/>
      </w:tblPr>
      <w:tblGrid>
        <w:gridCol w:w="2937"/>
        <w:gridCol w:w="1253"/>
        <w:gridCol w:w="739"/>
        <w:gridCol w:w="751"/>
        <w:gridCol w:w="549"/>
        <w:gridCol w:w="2811"/>
      </w:tblGrid>
      <w:tr w:rsidR="002D5F82" w:rsidRPr="002101B9" w14:paraId="7154F521" w14:textId="77777777" w:rsidTr="002D1BB0">
        <w:trPr>
          <w:trHeight w:val="113"/>
        </w:trPr>
        <w:tc>
          <w:tcPr>
            <w:tcW w:w="0" w:type="auto"/>
            <w:tcBorders>
              <w:bottom w:val="single" w:sz="2" w:space="0" w:color="auto"/>
            </w:tcBorders>
            <w:tcMar>
              <w:top w:w="105" w:type="nil"/>
              <w:left w:w="20" w:type="nil"/>
              <w:right w:w="105" w:type="nil"/>
            </w:tcMar>
            <w:vAlign w:val="center"/>
          </w:tcPr>
          <w:p w14:paraId="183DAEE3" w14:textId="77777777" w:rsidR="005A09D8" w:rsidRPr="002101B9" w:rsidRDefault="005A09D8" w:rsidP="005A09D8">
            <w:pPr>
              <w:autoSpaceDE w:val="0"/>
              <w:autoSpaceDN w:val="0"/>
              <w:adjustRightInd w:val="0"/>
              <w:spacing w:line="360" w:lineRule="auto"/>
              <w:jc w:val="center"/>
              <w:rPr>
                <w:rFonts w:ascii="Arial" w:hAnsi="Arial" w:cs="Arial"/>
                <w:color w:val="000000" w:themeColor="text1"/>
                <w:sz w:val="18"/>
                <w:szCs w:val="18"/>
                <w:lang w:val="en-US"/>
              </w:rPr>
            </w:pPr>
            <w:r w:rsidRPr="002101B9">
              <w:rPr>
                <w:rFonts w:ascii="Arial" w:hAnsi="Arial" w:cs="Arial"/>
                <w:b/>
                <w:bCs/>
                <w:color w:val="000000" w:themeColor="text1"/>
                <w:sz w:val="18"/>
                <w:szCs w:val="18"/>
                <w:lang w:val="en-US"/>
              </w:rPr>
              <w:t>Source</w:t>
            </w:r>
          </w:p>
        </w:tc>
        <w:tc>
          <w:tcPr>
            <w:tcW w:w="0" w:type="auto"/>
            <w:tcBorders>
              <w:bottom w:val="single" w:sz="2" w:space="0" w:color="auto"/>
            </w:tcBorders>
            <w:tcMar>
              <w:top w:w="105" w:type="nil"/>
              <w:left w:w="20" w:type="nil"/>
              <w:right w:w="105" w:type="nil"/>
            </w:tcMar>
            <w:vAlign w:val="center"/>
          </w:tcPr>
          <w:p w14:paraId="116AED45" w14:textId="77777777" w:rsidR="005A09D8" w:rsidRPr="002101B9" w:rsidRDefault="005A09D8" w:rsidP="005A09D8">
            <w:pPr>
              <w:autoSpaceDE w:val="0"/>
              <w:autoSpaceDN w:val="0"/>
              <w:adjustRightInd w:val="0"/>
              <w:spacing w:line="360" w:lineRule="auto"/>
              <w:jc w:val="center"/>
              <w:rPr>
                <w:rFonts w:ascii="Arial" w:hAnsi="Arial" w:cs="Arial"/>
                <w:color w:val="000000" w:themeColor="text1"/>
                <w:sz w:val="18"/>
                <w:szCs w:val="18"/>
              </w:rPr>
            </w:pPr>
            <w:r w:rsidRPr="002101B9">
              <w:rPr>
                <w:rFonts w:ascii="Arial" w:hAnsi="Arial" w:cs="Arial"/>
                <w:b/>
                <w:bCs/>
                <w:color w:val="000000" w:themeColor="text1"/>
                <w:sz w:val="18"/>
                <w:szCs w:val="18"/>
              </w:rPr>
              <w:t>Nutrient flux*</w:t>
            </w:r>
          </w:p>
          <w:p w14:paraId="4E1D2963" w14:textId="77777777" w:rsidR="005A09D8" w:rsidRPr="002101B9" w:rsidRDefault="005A09D8" w:rsidP="005A09D8">
            <w:pPr>
              <w:autoSpaceDE w:val="0"/>
              <w:autoSpaceDN w:val="0"/>
              <w:adjustRightInd w:val="0"/>
              <w:spacing w:line="360" w:lineRule="auto"/>
              <w:jc w:val="center"/>
              <w:rPr>
                <w:rFonts w:ascii="Arial" w:hAnsi="Arial" w:cs="Arial"/>
                <w:color w:val="000000" w:themeColor="text1"/>
                <w:sz w:val="18"/>
                <w:szCs w:val="18"/>
              </w:rPr>
            </w:pPr>
            <w:r w:rsidRPr="002101B9">
              <w:rPr>
                <w:rFonts w:ascii="Arial" w:hAnsi="Arial" w:cs="Arial"/>
                <w:b/>
                <w:bCs/>
                <w:color w:val="000000" w:themeColor="text1"/>
                <w:sz w:val="18"/>
                <w:szCs w:val="18"/>
              </w:rPr>
              <w:t>(kmol s</w:t>
            </w:r>
            <w:r w:rsidRPr="002101B9">
              <w:rPr>
                <w:rFonts w:ascii="Arial" w:hAnsi="Arial" w:cs="Arial"/>
                <w:b/>
                <w:bCs/>
                <w:color w:val="000000" w:themeColor="text1"/>
                <w:sz w:val="18"/>
                <w:szCs w:val="18"/>
                <w:vertAlign w:val="superscript"/>
              </w:rPr>
              <w:t>-1</w:t>
            </w:r>
            <w:r w:rsidRPr="002101B9">
              <w:rPr>
                <w:rFonts w:ascii="Arial" w:hAnsi="Arial" w:cs="Arial"/>
                <w:b/>
                <w:bCs/>
                <w:color w:val="000000" w:themeColor="text1"/>
                <w:sz w:val="18"/>
                <w:szCs w:val="18"/>
              </w:rPr>
              <w:t>)</w:t>
            </w:r>
          </w:p>
        </w:tc>
        <w:tc>
          <w:tcPr>
            <w:tcW w:w="739" w:type="dxa"/>
            <w:tcBorders>
              <w:bottom w:val="single" w:sz="2" w:space="0" w:color="auto"/>
            </w:tcBorders>
            <w:tcMar>
              <w:top w:w="105" w:type="nil"/>
              <w:left w:w="20" w:type="nil"/>
              <w:right w:w="105" w:type="nil"/>
            </w:tcMar>
            <w:vAlign w:val="center"/>
          </w:tcPr>
          <w:p w14:paraId="4FC99314" w14:textId="77777777" w:rsidR="005A09D8" w:rsidRPr="002101B9" w:rsidRDefault="005A09D8" w:rsidP="005A09D8">
            <w:pPr>
              <w:autoSpaceDE w:val="0"/>
              <w:autoSpaceDN w:val="0"/>
              <w:adjustRightInd w:val="0"/>
              <w:spacing w:line="360" w:lineRule="auto"/>
              <w:jc w:val="center"/>
              <w:rPr>
                <w:rFonts w:ascii="Arial" w:hAnsi="Arial" w:cs="Arial"/>
                <w:color w:val="000000" w:themeColor="text1"/>
                <w:sz w:val="18"/>
                <w:szCs w:val="18"/>
              </w:rPr>
            </w:pPr>
            <w:r w:rsidRPr="002101B9">
              <w:rPr>
                <w:rFonts w:ascii="Arial" w:hAnsi="Arial" w:cs="Arial"/>
                <w:b/>
                <w:bCs/>
                <w:color w:val="000000" w:themeColor="text1"/>
                <w:sz w:val="18"/>
                <w:szCs w:val="18"/>
              </w:rPr>
              <w:t>Ref. year**</w:t>
            </w:r>
          </w:p>
        </w:tc>
        <w:tc>
          <w:tcPr>
            <w:tcW w:w="0" w:type="auto"/>
            <w:tcBorders>
              <w:bottom w:val="single" w:sz="2" w:space="0" w:color="auto"/>
            </w:tcBorders>
            <w:vAlign w:val="center"/>
          </w:tcPr>
          <w:p w14:paraId="4DAA9F9D" w14:textId="1DC1CB08" w:rsidR="005A09D8" w:rsidRPr="002101B9" w:rsidRDefault="005A09D8" w:rsidP="005A09D8">
            <w:pPr>
              <w:autoSpaceDE w:val="0"/>
              <w:autoSpaceDN w:val="0"/>
              <w:adjustRightInd w:val="0"/>
              <w:spacing w:line="360" w:lineRule="auto"/>
              <w:jc w:val="center"/>
              <w:rPr>
                <w:rFonts w:ascii="Arial" w:hAnsi="Arial" w:cs="Arial"/>
                <w:b/>
                <w:bCs/>
                <w:color w:val="000000" w:themeColor="text1"/>
                <w:sz w:val="18"/>
                <w:szCs w:val="18"/>
              </w:rPr>
            </w:pPr>
            <w:r w:rsidRPr="002101B9">
              <w:rPr>
                <w:rFonts w:ascii="Arial" w:hAnsi="Arial" w:cs="Arial"/>
                <w:b/>
                <w:bCs/>
                <w:color w:val="000000" w:themeColor="text1"/>
                <w:sz w:val="18"/>
                <w:szCs w:val="18"/>
              </w:rPr>
              <w:t>Ref. region</w:t>
            </w:r>
          </w:p>
        </w:tc>
        <w:tc>
          <w:tcPr>
            <w:tcW w:w="0" w:type="auto"/>
            <w:tcBorders>
              <w:bottom w:val="single" w:sz="2" w:space="0" w:color="auto"/>
            </w:tcBorders>
            <w:vAlign w:val="center"/>
          </w:tcPr>
          <w:p w14:paraId="1FFBCB06" w14:textId="3567FAA0" w:rsidR="005A09D8" w:rsidRPr="002101B9" w:rsidRDefault="005A09D8" w:rsidP="005A09D8">
            <w:pPr>
              <w:autoSpaceDE w:val="0"/>
              <w:autoSpaceDN w:val="0"/>
              <w:adjustRightInd w:val="0"/>
              <w:spacing w:line="360" w:lineRule="auto"/>
              <w:jc w:val="center"/>
              <w:rPr>
                <w:rFonts w:ascii="Arial" w:hAnsi="Arial" w:cs="Arial"/>
                <w:b/>
                <w:bCs/>
                <w:color w:val="000000" w:themeColor="text1"/>
                <w:sz w:val="18"/>
                <w:szCs w:val="18"/>
              </w:rPr>
            </w:pPr>
            <w:r w:rsidRPr="002101B9">
              <w:rPr>
                <w:rFonts w:ascii="Arial" w:hAnsi="Arial" w:cs="Arial"/>
                <w:b/>
                <w:bCs/>
                <w:color w:val="000000" w:themeColor="text1"/>
                <w:sz w:val="18"/>
                <w:szCs w:val="18"/>
              </w:rPr>
              <w:t>Ref. data</w:t>
            </w:r>
          </w:p>
        </w:tc>
        <w:tc>
          <w:tcPr>
            <w:tcW w:w="0" w:type="auto"/>
            <w:tcBorders>
              <w:bottom w:val="single" w:sz="2" w:space="0" w:color="auto"/>
            </w:tcBorders>
            <w:tcMar>
              <w:top w:w="105" w:type="nil"/>
              <w:left w:w="20" w:type="nil"/>
              <w:right w:w="105" w:type="nil"/>
            </w:tcMar>
            <w:vAlign w:val="center"/>
          </w:tcPr>
          <w:p w14:paraId="031C577C" w14:textId="607FC029" w:rsidR="005A09D8" w:rsidRPr="002101B9" w:rsidRDefault="005A09D8" w:rsidP="005A09D8">
            <w:pPr>
              <w:autoSpaceDE w:val="0"/>
              <w:autoSpaceDN w:val="0"/>
              <w:adjustRightInd w:val="0"/>
              <w:spacing w:line="360" w:lineRule="auto"/>
              <w:jc w:val="center"/>
              <w:rPr>
                <w:rFonts w:ascii="Arial" w:hAnsi="Arial" w:cs="Arial"/>
                <w:color w:val="000000" w:themeColor="text1"/>
                <w:sz w:val="18"/>
                <w:szCs w:val="18"/>
              </w:rPr>
            </w:pPr>
            <w:r w:rsidRPr="002101B9">
              <w:rPr>
                <w:rFonts w:ascii="Arial" w:hAnsi="Arial" w:cs="Arial"/>
                <w:b/>
                <w:bCs/>
                <w:color w:val="000000" w:themeColor="text1"/>
                <w:sz w:val="18"/>
                <w:szCs w:val="18"/>
              </w:rPr>
              <w:t>References</w:t>
            </w:r>
          </w:p>
        </w:tc>
      </w:tr>
      <w:tr w:rsidR="00C0329B" w:rsidRPr="002101B9" w14:paraId="35809953" w14:textId="77777777" w:rsidTr="00670E95">
        <w:tblPrEx>
          <w:tblBorders>
            <w:top w:val="none" w:sz="0" w:space="0" w:color="auto"/>
          </w:tblBorders>
        </w:tblPrEx>
        <w:trPr>
          <w:trHeight w:val="340"/>
        </w:trPr>
        <w:tc>
          <w:tcPr>
            <w:tcW w:w="0" w:type="auto"/>
            <w:tcBorders>
              <w:top w:val="single" w:sz="2" w:space="0" w:color="auto"/>
              <w:bottom w:val="single" w:sz="2" w:space="0" w:color="auto"/>
            </w:tcBorders>
            <w:tcMar>
              <w:top w:w="105" w:type="nil"/>
              <w:left w:w="20" w:type="nil"/>
              <w:right w:w="105" w:type="nil"/>
            </w:tcMar>
            <w:vAlign w:val="center"/>
          </w:tcPr>
          <w:p w14:paraId="634CDEF6" w14:textId="77777777" w:rsidR="00C0329B" w:rsidRPr="009B232A" w:rsidRDefault="00C0329B" w:rsidP="009B232A">
            <w:pPr>
              <w:autoSpaceDE w:val="0"/>
              <w:autoSpaceDN w:val="0"/>
              <w:adjustRightInd w:val="0"/>
              <w:rPr>
                <w:rFonts w:ascii="Arial" w:hAnsi="Arial" w:cs="Arial"/>
                <w:b/>
                <w:bCs/>
                <w:color w:val="000000" w:themeColor="text1"/>
                <w:sz w:val="18"/>
                <w:szCs w:val="18"/>
              </w:rPr>
            </w:pPr>
            <w:r w:rsidRPr="009B232A">
              <w:rPr>
                <w:rFonts w:ascii="Arial" w:hAnsi="Arial" w:cs="Arial"/>
                <w:b/>
                <w:bCs/>
                <w:color w:val="000000" w:themeColor="text1"/>
                <w:sz w:val="18"/>
                <w:szCs w:val="18"/>
              </w:rPr>
              <w:t>Silicate</w:t>
            </w:r>
          </w:p>
        </w:tc>
        <w:tc>
          <w:tcPr>
            <w:tcW w:w="6176" w:type="dxa"/>
            <w:gridSpan w:val="5"/>
            <w:tcBorders>
              <w:top w:val="single" w:sz="2" w:space="0" w:color="auto"/>
              <w:bottom w:val="single" w:sz="2" w:space="0" w:color="auto"/>
            </w:tcBorders>
            <w:tcMar>
              <w:top w:w="105" w:type="nil"/>
              <w:left w:w="20" w:type="nil"/>
              <w:right w:w="105" w:type="nil"/>
            </w:tcMar>
            <w:vAlign w:val="center"/>
          </w:tcPr>
          <w:p w14:paraId="7077DEB8" w14:textId="77777777" w:rsidR="00432278" w:rsidRDefault="00C0329B" w:rsidP="009B232A">
            <w:pPr>
              <w:autoSpaceDE w:val="0"/>
              <w:autoSpaceDN w:val="0"/>
              <w:adjustRightInd w:val="0"/>
              <w:rPr>
                <w:rFonts w:ascii="Arial" w:hAnsi="Arial" w:cs="Arial"/>
                <w:b/>
                <w:bCs/>
                <w:color w:val="000000" w:themeColor="text1"/>
                <w:sz w:val="18"/>
                <w:szCs w:val="18"/>
              </w:rPr>
            </w:pPr>
            <w:r w:rsidRPr="009B232A">
              <w:rPr>
                <w:rFonts w:ascii="Arial" w:hAnsi="Arial" w:cs="Arial"/>
                <w:b/>
                <w:bCs/>
                <w:color w:val="000000" w:themeColor="text1"/>
                <w:sz w:val="18"/>
                <w:szCs w:val="18"/>
              </w:rPr>
              <w:t xml:space="preserve">2004: </w:t>
            </w:r>
            <w:r w:rsidR="008B7AEC" w:rsidRPr="009B232A">
              <w:rPr>
                <w:rFonts w:ascii="Arial" w:hAnsi="Arial" w:cs="Arial"/>
                <w:b/>
                <w:bCs/>
                <w:color w:val="000000" w:themeColor="text1"/>
                <w:sz w:val="18"/>
                <w:szCs w:val="18"/>
              </w:rPr>
              <w:t>7</w:t>
            </w:r>
            <w:r w:rsidR="009B232A" w:rsidRPr="009B232A">
              <w:rPr>
                <w:rFonts w:ascii="Arial" w:hAnsi="Arial" w:cs="Arial"/>
                <w:b/>
                <w:bCs/>
                <w:color w:val="000000" w:themeColor="text1"/>
                <w:sz w:val="18"/>
                <w:szCs w:val="18"/>
              </w:rPr>
              <w:t>1</w:t>
            </w:r>
            <w:r w:rsidRPr="009B232A">
              <w:rPr>
                <w:rFonts w:ascii="Arial" w:eastAsiaTheme="minorHAnsi" w:hAnsi="Arial" w:cs="Arial"/>
                <w:b/>
                <w:bCs/>
                <w:color w:val="000000" w:themeColor="text1"/>
                <w:sz w:val="18"/>
                <w:szCs w:val="18"/>
              </w:rPr>
              <w:t xml:space="preserve"> ±</w:t>
            </w:r>
            <w:r w:rsidRPr="009B232A">
              <w:rPr>
                <w:rFonts w:ascii="Arial" w:hAnsi="Arial" w:cs="Arial"/>
                <w:b/>
                <w:bCs/>
                <w:color w:val="000000" w:themeColor="text1"/>
                <w:sz w:val="18"/>
                <w:szCs w:val="18"/>
              </w:rPr>
              <w:t xml:space="preserve"> 1</w:t>
            </w:r>
            <w:r w:rsidR="009B232A" w:rsidRPr="009B232A">
              <w:rPr>
                <w:rFonts w:ascii="Arial" w:hAnsi="Arial" w:cs="Arial"/>
                <w:b/>
                <w:bCs/>
                <w:color w:val="000000" w:themeColor="text1"/>
                <w:sz w:val="18"/>
                <w:szCs w:val="18"/>
              </w:rPr>
              <w:t>1</w:t>
            </w:r>
          </w:p>
          <w:p w14:paraId="6603A93E" w14:textId="18B19A44" w:rsidR="00C0329B" w:rsidRPr="009B232A" w:rsidRDefault="00C0329B" w:rsidP="009B232A">
            <w:pPr>
              <w:autoSpaceDE w:val="0"/>
              <w:autoSpaceDN w:val="0"/>
              <w:adjustRightInd w:val="0"/>
              <w:rPr>
                <w:rFonts w:ascii="Arial" w:hAnsi="Arial" w:cs="Arial"/>
                <w:b/>
                <w:bCs/>
                <w:color w:val="000000" w:themeColor="text1"/>
                <w:sz w:val="18"/>
                <w:szCs w:val="18"/>
              </w:rPr>
            </w:pPr>
            <w:r w:rsidRPr="009B232A">
              <w:rPr>
                <w:rFonts w:ascii="Arial" w:hAnsi="Arial" w:cs="Arial"/>
                <w:b/>
                <w:bCs/>
                <w:color w:val="000000" w:themeColor="text1"/>
                <w:sz w:val="18"/>
                <w:szCs w:val="18"/>
              </w:rPr>
              <w:t>2010: 6</w:t>
            </w:r>
            <w:r w:rsidR="009B232A" w:rsidRPr="009B232A">
              <w:rPr>
                <w:rFonts w:ascii="Arial" w:hAnsi="Arial" w:cs="Arial"/>
                <w:b/>
                <w:bCs/>
                <w:color w:val="000000" w:themeColor="text1"/>
                <w:sz w:val="18"/>
                <w:szCs w:val="18"/>
              </w:rPr>
              <w:t>4</w:t>
            </w:r>
            <w:r w:rsidR="008B7AEC" w:rsidRPr="009B232A">
              <w:rPr>
                <w:rFonts w:ascii="Arial" w:hAnsi="Arial" w:cs="Arial"/>
                <w:b/>
                <w:bCs/>
                <w:color w:val="000000" w:themeColor="text1"/>
                <w:sz w:val="18"/>
                <w:szCs w:val="18"/>
              </w:rPr>
              <w:t xml:space="preserve"> </w:t>
            </w:r>
            <w:r w:rsidR="008B7AEC" w:rsidRPr="009B232A">
              <w:rPr>
                <w:rFonts w:ascii="Arial" w:eastAsiaTheme="minorHAnsi" w:hAnsi="Arial" w:cs="Arial"/>
                <w:b/>
                <w:bCs/>
                <w:color w:val="000000" w:themeColor="text1"/>
                <w:sz w:val="18"/>
                <w:szCs w:val="18"/>
              </w:rPr>
              <w:t>±</w:t>
            </w:r>
            <w:r w:rsidR="008B7AEC" w:rsidRPr="009B232A">
              <w:rPr>
                <w:rFonts w:ascii="Arial" w:hAnsi="Arial" w:cs="Arial"/>
                <w:b/>
                <w:bCs/>
                <w:color w:val="000000" w:themeColor="text1"/>
                <w:sz w:val="18"/>
                <w:szCs w:val="18"/>
              </w:rPr>
              <w:t xml:space="preserve"> 1</w:t>
            </w:r>
            <w:r w:rsidR="009B232A" w:rsidRPr="009B232A">
              <w:rPr>
                <w:rFonts w:ascii="Arial" w:hAnsi="Arial" w:cs="Arial"/>
                <w:b/>
                <w:bCs/>
                <w:color w:val="000000" w:themeColor="text1"/>
                <w:sz w:val="18"/>
                <w:szCs w:val="18"/>
              </w:rPr>
              <w:t>1</w:t>
            </w:r>
          </w:p>
        </w:tc>
      </w:tr>
      <w:tr w:rsidR="002D5F82" w:rsidRPr="002101B9" w14:paraId="0187172E" w14:textId="77777777" w:rsidTr="002D1BB0">
        <w:tblPrEx>
          <w:tblBorders>
            <w:top w:val="none" w:sz="0" w:space="0" w:color="auto"/>
          </w:tblBorders>
        </w:tblPrEx>
        <w:trPr>
          <w:trHeight w:val="113"/>
        </w:trPr>
        <w:tc>
          <w:tcPr>
            <w:tcW w:w="0" w:type="auto"/>
            <w:tcBorders>
              <w:top w:val="single" w:sz="2" w:space="0" w:color="auto"/>
            </w:tcBorders>
            <w:tcMar>
              <w:top w:w="105" w:type="nil"/>
              <w:left w:w="20" w:type="nil"/>
              <w:right w:w="105" w:type="nil"/>
            </w:tcMar>
            <w:vAlign w:val="center"/>
          </w:tcPr>
          <w:p w14:paraId="2186CAEA"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Atm. deposition</w:t>
            </w:r>
          </w:p>
        </w:tc>
        <w:tc>
          <w:tcPr>
            <w:tcW w:w="0" w:type="auto"/>
            <w:tcBorders>
              <w:top w:val="single" w:sz="2" w:space="0" w:color="auto"/>
            </w:tcBorders>
            <w:tcMar>
              <w:top w:w="105" w:type="nil"/>
              <w:left w:w="20" w:type="nil"/>
              <w:right w:w="105" w:type="nil"/>
            </w:tcMar>
            <w:vAlign w:val="center"/>
          </w:tcPr>
          <w:p w14:paraId="4B232A9B"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0.7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0.7</w:t>
            </w:r>
          </w:p>
        </w:tc>
        <w:tc>
          <w:tcPr>
            <w:tcW w:w="739" w:type="dxa"/>
            <w:tcBorders>
              <w:top w:val="single" w:sz="2" w:space="0" w:color="auto"/>
            </w:tcBorders>
            <w:tcMar>
              <w:top w:w="105" w:type="nil"/>
              <w:left w:w="20" w:type="nil"/>
              <w:right w:w="105" w:type="nil"/>
            </w:tcMar>
            <w:vAlign w:val="center"/>
          </w:tcPr>
          <w:p w14:paraId="1F264D9C"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No time ref.</w:t>
            </w:r>
          </w:p>
        </w:tc>
        <w:tc>
          <w:tcPr>
            <w:tcW w:w="0" w:type="auto"/>
            <w:tcBorders>
              <w:top w:val="single" w:sz="2" w:space="0" w:color="auto"/>
            </w:tcBorders>
          </w:tcPr>
          <w:p w14:paraId="1FB4102D" w14:textId="63C43F7D"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Global</w:t>
            </w:r>
          </w:p>
        </w:tc>
        <w:tc>
          <w:tcPr>
            <w:tcW w:w="0" w:type="auto"/>
            <w:tcBorders>
              <w:top w:val="single" w:sz="2" w:space="0" w:color="auto"/>
            </w:tcBorders>
          </w:tcPr>
          <w:p w14:paraId="1B22A2B3" w14:textId="2066F6FD"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O</w:t>
            </w:r>
          </w:p>
        </w:tc>
        <w:tc>
          <w:tcPr>
            <w:tcW w:w="0" w:type="auto"/>
            <w:tcBorders>
              <w:top w:val="single" w:sz="2" w:space="0" w:color="auto"/>
            </w:tcBorders>
            <w:tcMar>
              <w:top w:w="105" w:type="nil"/>
              <w:left w:w="20" w:type="nil"/>
              <w:right w:w="105" w:type="nil"/>
            </w:tcMar>
            <w:vAlign w:val="center"/>
          </w:tcPr>
          <w:p w14:paraId="1B7C1039" w14:textId="3C3F0988"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Tréguer et al. (1995, 2013)</w:t>
            </w:r>
          </w:p>
        </w:tc>
      </w:tr>
      <w:tr w:rsidR="002D5F82" w:rsidRPr="002101B9" w14:paraId="60C8206E" w14:textId="77777777" w:rsidTr="002D1BB0">
        <w:tblPrEx>
          <w:tblBorders>
            <w:top w:val="none" w:sz="0" w:space="0" w:color="auto"/>
          </w:tblBorders>
        </w:tblPrEx>
        <w:trPr>
          <w:trHeight w:val="113"/>
        </w:trPr>
        <w:tc>
          <w:tcPr>
            <w:tcW w:w="0" w:type="auto"/>
            <w:tcMar>
              <w:top w:w="105" w:type="nil"/>
              <w:left w:w="20" w:type="nil"/>
              <w:right w:w="105" w:type="nil"/>
            </w:tcMar>
            <w:vAlign w:val="center"/>
          </w:tcPr>
          <w:p w14:paraId="3690E33A"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Fluvial inputs and ice-sheet meltwaters</w:t>
            </w:r>
          </w:p>
        </w:tc>
        <w:tc>
          <w:tcPr>
            <w:tcW w:w="0" w:type="auto"/>
            <w:tcMar>
              <w:top w:w="105" w:type="nil"/>
              <w:left w:w="20" w:type="nil"/>
              <w:right w:w="105" w:type="nil"/>
            </w:tcMar>
            <w:vAlign w:val="center"/>
          </w:tcPr>
          <w:p w14:paraId="6F6A05A8"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26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11</w:t>
            </w:r>
          </w:p>
        </w:tc>
        <w:tc>
          <w:tcPr>
            <w:tcW w:w="739" w:type="dxa"/>
            <w:tcMar>
              <w:top w:w="105" w:type="nil"/>
              <w:left w:w="20" w:type="nil"/>
              <w:right w:w="105" w:type="nil"/>
            </w:tcMar>
            <w:vAlign w:val="center"/>
          </w:tcPr>
          <w:p w14:paraId="5167DE50"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No time ref.</w:t>
            </w:r>
          </w:p>
        </w:tc>
        <w:tc>
          <w:tcPr>
            <w:tcW w:w="0" w:type="auto"/>
          </w:tcPr>
          <w:p w14:paraId="1A1E9736" w14:textId="03A38EA0"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Global</w:t>
            </w:r>
          </w:p>
        </w:tc>
        <w:tc>
          <w:tcPr>
            <w:tcW w:w="0" w:type="auto"/>
          </w:tcPr>
          <w:p w14:paraId="175881F0" w14:textId="2AAF0B08"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O</w:t>
            </w:r>
          </w:p>
        </w:tc>
        <w:tc>
          <w:tcPr>
            <w:tcW w:w="0" w:type="auto"/>
            <w:tcMar>
              <w:top w:w="105" w:type="nil"/>
              <w:left w:w="20" w:type="nil"/>
              <w:right w:w="105" w:type="nil"/>
            </w:tcMar>
            <w:vAlign w:val="center"/>
          </w:tcPr>
          <w:p w14:paraId="18C88CA4" w14:textId="03B46009"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lang w:val="fr-FR"/>
              </w:rPr>
              <w:t xml:space="preserve">Tréguer et al. (2013), Dürr et al. </w:t>
            </w:r>
            <w:r w:rsidRPr="002101B9">
              <w:rPr>
                <w:rFonts w:ascii="Arial" w:hAnsi="Arial" w:cs="Arial"/>
                <w:color w:val="000000" w:themeColor="text1"/>
                <w:sz w:val="18"/>
                <w:szCs w:val="18"/>
              </w:rPr>
              <w:t>(2011), Hawkings et al. (2017)</w:t>
            </w:r>
          </w:p>
        </w:tc>
      </w:tr>
      <w:tr w:rsidR="002D5F82" w:rsidRPr="002101B9" w14:paraId="487B3EE4" w14:textId="77777777" w:rsidTr="002D1BB0">
        <w:tblPrEx>
          <w:tblBorders>
            <w:top w:val="none" w:sz="0" w:space="0" w:color="auto"/>
          </w:tblBorders>
        </w:tblPrEx>
        <w:trPr>
          <w:trHeight w:val="113"/>
        </w:trPr>
        <w:tc>
          <w:tcPr>
            <w:tcW w:w="0" w:type="auto"/>
            <w:tcMar>
              <w:top w:w="105" w:type="nil"/>
              <w:left w:w="20" w:type="nil"/>
              <w:right w:w="105" w:type="nil"/>
            </w:tcMar>
            <w:vAlign w:val="center"/>
          </w:tcPr>
          <w:p w14:paraId="78910648"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Davis Strait</w:t>
            </w:r>
          </w:p>
        </w:tc>
        <w:tc>
          <w:tcPr>
            <w:tcW w:w="0" w:type="auto"/>
            <w:tcMar>
              <w:top w:w="105" w:type="nil"/>
              <w:left w:w="20" w:type="nil"/>
              <w:right w:w="105" w:type="nil"/>
            </w:tcMar>
            <w:vAlign w:val="center"/>
          </w:tcPr>
          <w:p w14:paraId="6EAAEEB1" w14:textId="3200DFDE"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37.3</w:t>
            </w:r>
            <w:r>
              <w:rPr>
                <w:rFonts w:ascii="Arial" w:hAnsi="Arial" w:cs="Arial"/>
                <w:color w:val="000000" w:themeColor="text1"/>
                <w:sz w:val="18"/>
                <w:szCs w:val="18"/>
              </w:rPr>
              <w:t xml:space="preserve">, </w:t>
            </w:r>
            <w:r w:rsidRPr="002101B9">
              <w:rPr>
                <w:rFonts w:ascii="Arial" w:hAnsi="Arial" w:cs="Arial"/>
                <w:color w:val="000000" w:themeColor="text1"/>
                <w:sz w:val="18"/>
                <w:szCs w:val="18"/>
              </w:rPr>
              <w:t>27.8</w:t>
            </w:r>
          </w:p>
        </w:tc>
        <w:tc>
          <w:tcPr>
            <w:tcW w:w="739" w:type="dxa"/>
            <w:tcMar>
              <w:top w:w="105" w:type="nil"/>
              <w:left w:w="20" w:type="nil"/>
              <w:right w:w="105" w:type="nil"/>
            </w:tcMar>
            <w:vAlign w:val="center"/>
          </w:tcPr>
          <w:p w14:paraId="2E93E3EE"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2004, 2010</w:t>
            </w:r>
          </w:p>
        </w:tc>
        <w:tc>
          <w:tcPr>
            <w:tcW w:w="0" w:type="auto"/>
          </w:tcPr>
          <w:p w14:paraId="4BCEEF65" w14:textId="4B6AD0CC"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NA-box</w:t>
            </w:r>
          </w:p>
        </w:tc>
        <w:tc>
          <w:tcPr>
            <w:tcW w:w="0" w:type="auto"/>
          </w:tcPr>
          <w:p w14:paraId="232B8F81" w14:textId="7F03C09A"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O</w:t>
            </w:r>
          </w:p>
        </w:tc>
        <w:tc>
          <w:tcPr>
            <w:tcW w:w="0" w:type="auto"/>
            <w:tcMar>
              <w:top w:w="105" w:type="nil"/>
              <w:left w:w="20" w:type="nil"/>
              <w:right w:w="105" w:type="nil"/>
            </w:tcMar>
            <w:vAlign w:val="center"/>
          </w:tcPr>
          <w:p w14:paraId="7A9BDD07" w14:textId="397D9E38"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lang w:val="fr-FR"/>
              </w:rPr>
              <w:t xml:space="preserve">Torres-Valdés et al. (2013), Curry et al. </w:t>
            </w:r>
            <w:r w:rsidRPr="002101B9">
              <w:rPr>
                <w:rFonts w:ascii="Arial" w:hAnsi="Arial" w:cs="Arial"/>
                <w:color w:val="000000" w:themeColor="text1"/>
                <w:sz w:val="18"/>
                <w:szCs w:val="18"/>
              </w:rPr>
              <w:t>(2014)</w:t>
            </w:r>
          </w:p>
        </w:tc>
      </w:tr>
      <w:tr w:rsidR="002D5F82" w:rsidRPr="002101B9" w14:paraId="1CC0931B" w14:textId="77777777" w:rsidTr="002D1BB0">
        <w:tblPrEx>
          <w:tblBorders>
            <w:top w:val="none" w:sz="0" w:space="0" w:color="auto"/>
          </w:tblBorders>
        </w:tblPrEx>
        <w:trPr>
          <w:trHeight w:val="113"/>
        </w:trPr>
        <w:tc>
          <w:tcPr>
            <w:tcW w:w="0" w:type="auto"/>
            <w:tcBorders>
              <w:bottom w:val="single" w:sz="8" w:space="0" w:color="FFFFFF"/>
            </w:tcBorders>
            <w:tcMar>
              <w:top w:w="105" w:type="nil"/>
              <w:left w:w="20" w:type="nil"/>
              <w:right w:w="105" w:type="nil"/>
            </w:tcMar>
            <w:vAlign w:val="center"/>
          </w:tcPr>
          <w:p w14:paraId="3B2899A7"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Gibraltar Strait</w:t>
            </w:r>
          </w:p>
        </w:tc>
        <w:tc>
          <w:tcPr>
            <w:tcW w:w="0" w:type="auto"/>
            <w:tcMar>
              <w:top w:w="105" w:type="nil"/>
              <w:left w:w="20" w:type="nil"/>
              <w:right w:w="105" w:type="nil"/>
            </w:tcMar>
            <w:vAlign w:val="center"/>
          </w:tcPr>
          <w:p w14:paraId="1F9B79EE"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3.9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0.3</w:t>
            </w:r>
          </w:p>
        </w:tc>
        <w:tc>
          <w:tcPr>
            <w:tcW w:w="739" w:type="dxa"/>
            <w:tcMar>
              <w:top w:w="105" w:type="nil"/>
              <w:left w:w="20" w:type="nil"/>
              <w:right w:w="105" w:type="nil"/>
            </w:tcMar>
            <w:vAlign w:val="center"/>
          </w:tcPr>
          <w:p w14:paraId="2AA16645"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2005-2008</w:t>
            </w:r>
          </w:p>
        </w:tc>
        <w:tc>
          <w:tcPr>
            <w:tcW w:w="0" w:type="auto"/>
          </w:tcPr>
          <w:p w14:paraId="38418A59" w14:textId="71593AB4"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NA-box</w:t>
            </w:r>
          </w:p>
        </w:tc>
        <w:tc>
          <w:tcPr>
            <w:tcW w:w="0" w:type="auto"/>
          </w:tcPr>
          <w:p w14:paraId="3175FEF4" w14:textId="6BCFDE6B"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O</w:t>
            </w:r>
          </w:p>
        </w:tc>
        <w:tc>
          <w:tcPr>
            <w:tcW w:w="0" w:type="auto"/>
            <w:tcMar>
              <w:top w:w="105" w:type="nil"/>
              <w:left w:w="20" w:type="nil"/>
              <w:right w:w="105" w:type="nil"/>
            </w:tcMar>
            <w:vAlign w:val="center"/>
          </w:tcPr>
          <w:p w14:paraId="0CDD317F" w14:textId="592D1470"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Huertas et al. (2012)</w:t>
            </w:r>
          </w:p>
        </w:tc>
      </w:tr>
      <w:tr w:rsidR="002D5F82" w:rsidRPr="002101B9" w14:paraId="2F905141" w14:textId="77777777" w:rsidTr="002D1BB0">
        <w:tblPrEx>
          <w:tblBorders>
            <w:top w:val="none" w:sz="0" w:space="0" w:color="auto"/>
          </w:tblBorders>
        </w:tblPrEx>
        <w:trPr>
          <w:trHeight w:val="113"/>
        </w:trPr>
        <w:tc>
          <w:tcPr>
            <w:tcW w:w="0" w:type="auto"/>
            <w:tcBorders>
              <w:top w:val="single" w:sz="8" w:space="0" w:color="FFFFFF"/>
              <w:bottom w:val="single" w:sz="2" w:space="0" w:color="auto"/>
            </w:tcBorders>
            <w:tcMar>
              <w:top w:w="105" w:type="nil"/>
              <w:left w:w="20" w:type="nil"/>
              <w:right w:w="105" w:type="nil"/>
            </w:tcMar>
            <w:vAlign w:val="center"/>
          </w:tcPr>
          <w:p w14:paraId="22D82E9A"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Other (seafloor weathering, ground water, hydrothermal sources)</w:t>
            </w:r>
          </w:p>
        </w:tc>
        <w:tc>
          <w:tcPr>
            <w:tcW w:w="0" w:type="auto"/>
            <w:tcBorders>
              <w:bottom w:val="single" w:sz="2" w:space="0" w:color="auto"/>
            </w:tcBorders>
            <w:tcMar>
              <w:top w:w="105" w:type="nil"/>
              <w:left w:w="20" w:type="nil"/>
              <w:right w:w="105" w:type="nil"/>
            </w:tcMar>
            <w:vAlign w:val="center"/>
          </w:tcPr>
          <w:p w14:paraId="5A80A1D6"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bCs/>
                <w:color w:val="000000" w:themeColor="text1"/>
                <w:sz w:val="18"/>
                <w:szCs w:val="18"/>
              </w:rPr>
              <w:t>4.6 ± 1.5</w:t>
            </w:r>
          </w:p>
        </w:tc>
        <w:tc>
          <w:tcPr>
            <w:tcW w:w="739" w:type="dxa"/>
            <w:tcBorders>
              <w:bottom w:val="single" w:sz="2" w:space="0" w:color="auto"/>
            </w:tcBorders>
            <w:tcMar>
              <w:top w:w="105" w:type="nil"/>
              <w:left w:w="20" w:type="nil"/>
              <w:right w:w="105" w:type="nil"/>
            </w:tcMar>
            <w:vAlign w:val="center"/>
          </w:tcPr>
          <w:p w14:paraId="13CD6B0F"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No time ref.</w:t>
            </w:r>
          </w:p>
        </w:tc>
        <w:tc>
          <w:tcPr>
            <w:tcW w:w="0" w:type="auto"/>
            <w:tcBorders>
              <w:bottom w:val="single" w:sz="2" w:space="0" w:color="auto"/>
            </w:tcBorders>
          </w:tcPr>
          <w:p w14:paraId="585F3290" w14:textId="5D281D35"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Global</w:t>
            </w:r>
          </w:p>
        </w:tc>
        <w:tc>
          <w:tcPr>
            <w:tcW w:w="0" w:type="auto"/>
            <w:tcBorders>
              <w:bottom w:val="single" w:sz="2" w:space="0" w:color="auto"/>
            </w:tcBorders>
          </w:tcPr>
          <w:p w14:paraId="45FC103A" w14:textId="79803FB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O</w:t>
            </w:r>
          </w:p>
        </w:tc>
        <w:tc>
          <w:tcPr>
            <w:tcW w:w="0" w:type="auto"/>
            <w:tcBorders>
              <w:bottom w:val="single" w:sz="2" w:space="0" w:color="auto"/>
            </w:tcBorders>
            <w:tcMar>
              <w:top w:w="105" w:type="nil"/>
              <w:left w:w="20" w:type="nil"/>
              <w:right w:w="105" w:type="nil"/>
            </w:tcMar>
            <w:vAlign w:val="center"/>
          </w:tcPr>
          <w:p w14:paraId="4A90C988" w14:textId="438C896D"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Tréguer et al. (1995, 2013)</w:t>
            </w:r>
          </w:p>
        </w:tc>
      </w:tr>
      <w:tr w:rsidR="00C0329B" w:rsidRPr="002101B9" w14:paraId="31950718" w14:textId="77777777" w:rsidTr="00670E95">
        <w:tblPrEx>
          <w:tblBorders>
            <w:top w:val="none" w:sz="0" w:space="0" w:color="auto"/>
          </w:tblBorders>
        </w:tblPrEx>
        <w:trPr>
          <w:trHeight w:val="340"/>
        </w:trPr>
        <w:tc>
          <w:tcPr>
            <w:tcW w:w="0" w:type="auto"/>
            <w:tcBorders>
              <w:top w:val="single" w:sz="2" w:space="0" w:color="auto"/>
              <w:bottom w:val="single" w:sz="2" w:space="0" w:color="auto"/>
            </w:tcBorders>
            <w:tcMar>
              <w:top w:w="105" w:type="nil"/>
              <w:left w:w="20" w:type="nil"/>
              <w:right w:w="105" w:type="nil"/>
            </w:tcMar>
            <w:vAlign w:val="center"/>
          </w:tcPr>
          <w:p w14:paraId="4E8A0533" w14:textId="77777777" w:rsidR="00C0329B" w:rsidRPr="009B232A" w:rsidRDefault="00C0329B" w:rsidP="009B232A">
            <w:pPr>
              <w:autoSpaceDE w:val="0"/>
              <w:autoSpaceDN w:val="0"/>
              <w:adjustRightInd w:val="0"/>
              <w:spacing w:before="100" w:beforeAutospacing="1" w:after="100" w:afterAutospacing="1"/>
              <w:rPr>
                <w:rFonts w:ascii="Arial" w:hAnsi="Arial" w:cs="Arial"/>
                <w:b/>
                <w:bCs/>
                <w:color w:val="000000" w:themeColor="text1"/>
                <w:sz w:val="18"/>
                <w:szCs w:val="18"/>
              </w:rPr>
            </w:pPr>
            <w:r w:rsidRPr="009B232A">
              <w:rPr>
                <w:rFonts w:ascii="Arial" w:hAnsi="Arial" w:cs="Arial"/>
                <w:b/>
                <w:bCs/>
                <w:color w:val="000000" w:themeColor="text1"/>
                <w:sz w:val="18"/>
                <w:szCs w:val="18"/>
              </w:rPr>
              <w:t>Nitrate</w:t>
            </w:r>
          </w:p>
        </w:tc>
        <w:tc>
          <w:tcPr>
            <w:tcW w:w="6176" w:type="dxa"/>
            <w:gridSpan w:val="5"/>
            <w:tcBorders>
              <w:top w:val="single" w:sz="2" w:space="0" w:color="auto"/>
              <w:bottom w:val="single" w:sz="2" w:space="0" w:color="auto"/>
            </w:tcBorders>
            <w:tcMar>
              <w:top w:w="105" w:type="nil"/>
              <w:left w:w="20" w:type="nil"/>
              <w:right w:w="105" w:type="nil"/>
            </w:tcMar>
            <w:vAlign w:val="center"/>
          </w:tcPr>
          <w:p w14:paraId="5B31EF5C" w14:textId="7008F985" w:rsidR="00432278" w:rsidRDefault="009B232A" w:rsidP="009B232A">
            <w:pPr>
              <w:autoSpaceDE w:val="0"/>
              <w:autoSpaceDN w:val="0"/>
              <w:adjustRightInd w:val="0"/>
              <w:spacing w:before="100" w:beforeAutospacing="1" w:after="100" w:afterAutospacing="1"/>
              <w:contextualSpacing/>
              <w:rPr>
                <w:rFonts w:ascii="Arial" w:hAnsi="Arial" w:cs="Arial"/>
                <w:b/>
                <w:bCs/>
                <w:color w:val="000000" w:themeColor="text1"/>
                <w:sz w:val="18"/>
                <w:szCs w:val="18"/>
              </w:rPr>
            </w:pPr>
            <w:r w:rsidRPr="009B232A">
              <w:rPr>
                <w:rFonts w:ascii="Arial" w:hAnsi="Arial" w:cs="Arial"/>
                <w:b/>
                <w:bCs/>
                <w:color w:val="000000" w:themeColor="text1"/>
                <w:sz w:val="18"/>
                <w:szCs w:val="18"/>
              </w:rPr>
              <w:t>2004: 73</w:t>
            </w:r>
            <w:r w:rsidRPr="009B232A">
              <w:rPr>
                <w:rFonts w:ascii="Arial" w:eastAsiaTheme="minorHAnsi" w:hAnsi="Arial" w:cs="Arial"/>
                <w:b/>
                <w:bCs/>
                <w:color w:val="000000" w:themeColor="text1"/>
                <w:sz w:val="18"/>
                <w:szCs w:val="18"/>
              </w:rPr>
              <w:t xml:space="preserve"> ±</w:t>
            </w:r>
            <w:r w:rsidRPr="009B232A">
              <w:rPr>
                <w:rFonts w:ascii="Arial" w:hAnsi="Arial" w:cs="Arial"/>
                <w:b/>
                <w:bCs/>
                <w:color w:val="000000" w:themeColor="text1"/>
                <w:sz w:val="18"/>
                <w:szCs w:val="18"/>
              </w:rPr>
              <w:t xml:space="preserve"> 1</w:t>
            </w:r>
            <w:r w:rsidR="009D534B">
              <w:rPr>
                <w:rFonts w:ascii="Arial" w:hAnsi="Arial" w:cs="Arial"/>
                <w:b/>
                <w:bCs/>
                <w:color w:val="000000" w:themeColor="text1"/>
                <w:sz w:val="18"/>
                <w:szCs w:val="18"/>
              </w:rPr>
              <w:t>1</w:t>
            </w:r>
            <w:r w:rsidR="00432278">
              <w:rPr>
                <w:rFonts w:ascii="Arial" w:hAnsi="Arial" w:cs="Arial"/>
                <w:b/>
                <w:bCs/>
                <w:color w:val="000000" w:themeColor="text1"/>
                <w:sz w:val="18"/>
                <w:szCs w:val="18"/>
              </w:rPr>
              <w:t xml:space="preserve"> </w:t>
            </w:r>
            <w:r w:rsidR="00432278" w:rsidRPr="002D5F82">
              <w:rPr>
                <w:rFonts w:ascii="Arial" w:hAnsi="Arial" w:cs="Arial"/>
                <w:color w:val="000000" w:themeColor="text1"/>
                <w:sz w:val="18"/>
                <w:szCs w:val="18"/>
              </w:rPr>
              <w:t>(</w:t>
            </w:r>
            <w:r w:rsidR="00432278">
              <w:rPr>
                <w:rFonts w:ascii="Arial" w:hAnsi="Arial" w:cs="Arial"/>
                <w:color w:val="000000" w:themeColor="text1"/>
                <w:sz w:val="18"/>
                <w:szCs w:val="18"/>
              </w:rPr>
              <w:t>+</w:t>
            </w:r>
            <w:r w:rsidR="00432278" w:rsidRPr="002D5F82">
              <w:rPr>
                <w:rFonts w:ascii="Arial" w:hAnsi="Arial" w:cs="Arial"/>
                <w:color w:val="000000" w:themeColor="text1"/>
                <w:sz w:val="18"/>
                <w:szCs w:val="18"/>
              </w:rPr>
              <w:t xml:space="preserve"> DON</w:t>
            </w:r>
            <w:r w:rsidR="00432278">
              <w:rPr>
                <w:rFonts w:ascii="Arial" w:hAnsi="Arial" w:cs="Arial"/>
                <w:color w:val="000000" w:themeColor="text1"/>
                <w:sz w:val="18"/>
                <w:szCs w:val="18"/>
              </w:rPr>
              <w:t>*</w:t>
            </w:r>
            <w:r w:rsidR="00432278" w:rsidRPr="002D5F82">
              <w:rPr>
                <w:rFonts w:ascii="Arial" w:hAnsi="Arial" w:cs="Arial"/>
                <w:color w:val="000000" w:themeColor="text1"/>
                <w:sz w:val="18"/>
                <w:szCs w:val="18"/>
              </w:rPr>
              <w:t>: 84</w:t>
            </w:r>
            <w:r w:rsidR="00432278" w:rsidRPr="002D5F82">
              <w:rPr>
                <w:rFonts w:ascii="Arial" w:eastAsiaTheme="minorHAnsi" w:hAnsi="Arial" w:cs="Arial"/>
                <w:color w:val="000000" w:themeColor="text1"/>
                <w:sz w:val="18"/>
                <w:szCs w:val="18"/>
              </w:rPr>
              <w:t xml:space="preserve"> ±</w:t>
            </w:r>
            <w:r w:rsidR="00432278" w:rsidRPr="002D5F82">
              <w:rPr>
                <w:rFonts w:ascii="Arial" w:hAnsi="Arial" w:cs="Arial"/>
                <w:color w:val="000000" w:themeColor="text1"/>
                <w:sz w:val="18"/>
                <w:szCs w:val="18"/>
              </w:rPr>
              <w:t xml:space="preserve"> 12)</w:t>
            </w:r>
          </w:p>
          <w:p w14:paraId="6EF113E4" w14:textId="0784A699" w:rsidR="009B232A" w:rsidRPr="009B232A" w:rsidRDefault="009B232A" w:rsidP="009B232A">
            <w:pPr>
              <w:autoSpaceDE w:val="0"/>
              <w:autoSpaceDN w:val="0"/>
              <w:adjustRightInd w:val="0"/>
              <w:spacing w:before="100" w:beforeAutospacing="1" w:after="100" w:afterAutospacing="1"/>
              <w:contextualSpacing/>
              <w:rPr>
                <w:rFonts w:ascii="Arial" w:hAnsi="Arial" w:cs="Arial"/>
                <w:b/>
                <w:bCs/>
                <w:color w:val="000000" w:themeColor="text1"/>
                <w:sz w:val="18"/>
                <w:szCs w:val="18"/>
              </w:rPr>
            </w:pPr>
            <w:r w:rsidRPr="009B232A">
              <w:rPr>
                <w:rFonts w:ascii="Arial" w:hAnsi="Arial" w:cs="Arial"/>
                <w:b/>
                <w:bCs/>
                <w:color w:val="000000" w:themeColor="text1"/>
                <w:sz w:val="18"/>
                <w:szCs w:val="18"/>
              </w:rPr>
              <w:t>2010: 6</w:t>
            </w:r>
            <w:r w:rsidR="009D534B">
              <w:rPr>
                <w:rFonts w:ascii="Arial" w:hAnsi="Arial" w:cs="Arial"/>
                <w:b/>
                <w:bCs/>
                <w:color w:val="000000" w:themeColor="text1"/>
                <w:sz w:val="18"/>
                <w:szCs w:val="18"/>
              </w:rPr>
              <w:t>4</w:t>
            </w:r>
            <w:r w:rsidRPr="009B232A">
              <w:rPr>
                <w:rFonts w:ascii="Arial" w:hAnsi="Arial" w:cs="Arial"/>
                <w:b/>
                <w:bCs/>
                <w:color w:val="000000" w:themeColor="text1"/>
                <w:sz w:val="18"/>
                <w:szCs w:val="18"/>
              </w:rPr>
              <w:t xml:space="preserve"> </w:t>
            </w:r>
            <w:r w:rsidRPr="009B232A">
              <w:rPr>
                <w:rFonts w:ascii="Arial" w:eastAsiaTheme="minorHAnsi" w:hAnsi="Arial" w:cs="Arial"/>
                <w:b/>
                <w:bCs/>
                <w:color w:val="000000" w:themeColor="text1"/>
                <w:sz w:val="18"/>
                <w:szCs w:val="18"/>
              </w:rPr>
              <w:t>±</w:t>
            </w:r>
            <w:r w:rsidRPr="009B232A">
              <w:rPr>
                <w:rFonts w:ascii="Arial" w:hAnsi="Arial" w:cs="Arial"/>
                <w:b/>
                <w:bCs/>
                <w:color w:val="000000" w:themeColor="text1"/>
                <w:sz w:val="18"/>
                <w:szCs w:val="18"/>
              </w:rPr>
              <w:t xml:space="preserve"> 1</w:t>
            </w:r>
            <w:r w:rsidR="009D534B">
              <w:rPr>
                <w:rFonts w:ascii="Arial" w:hAnsi="Arial" w:cs="Arial"/>
                <w:b/>
                <w:bCs/>
                <w:color w:val="000000" w:themeColor="text1"/>
                <w:sz w:val="18"/>
                <w:szCs w:val="18"/>
              </w:rPr>
              <w:t>1</w:t>
            </w:r>
            <w:r w:rsidR="002D5F82">
              <w:rPr>
                <w:rFonts w:ascii="Arial" w:hAnsi="Arial" w:cs="Arial"/>
                <w:b/>
                <w:bCs/>
                <w:color w:val="000000" w:themeColor="text1"/>
                <w:sz w:val="18"/>
                <w:szCs w:val="18"/>
              </w:rPr>
              <w:t xml:space="preserve"> </w:t>
            </w:r>
            <w:r w:rsidR="009D534B" w:rsidRPr="002D5F82">
              <w:rPr>
                <w:rFonts w:ascii="Arial" w:hAnsi="Arial" w:cs="Arial"/>
                <w:color w:val="000000" w:themeColor="text1"/>
                <w:sz w:val="18"/>
                <w:szCs w:val="18"/>
              </w:rPr>
              <w:t>(</w:t>
            </w:r>
            <w:r w:rsidR="009D534B">
              <w:rPr>
                <w:rFonts w:ascii="Arial" w:hAnsi="Arial" w:cs="Arial"/>
                <w:color w:val="000000" w:themeColor="text1"/>
                <w:sz w:val="18"/>
                <w:szCs w:val="18"/>
              </w:rPr>
              <w:t>+</w:t>
            </w:r>
            <w:r w:rsidR="009D534B" w:rsidRPr="002D5F82">
              <w:rPr>
                <w:rFonts w:ascii="Arial" w:hAnsi="Arial" w:cs="Arial"/>
                <w:color w:val="000000" w:themeColor="text1"/>
                <w:sz w:val="18"/>
                <w:szCs w:val="18"/>
              </w:rPr>
              <w:t xml:space="preserve"> DON</w:t>
            </w:r>
            <w:r w:rsidR="00432278">
              <w:rPr>
                <w:rFonts w:ascii="Arial" w:hAnsi="Arial" w:cs="Arial"/>
                <w:color w:val="000000" w:themeColor="text1"/>
                <w:sz w:val="18"/>
                <w:szCs w:val="18"/>
              </w:rPr>
              <w:t>*</w:t>
            </w:r>
            <w:r w:rsidR="009D534B" w:rsidRPr="002D5F82">
              <w:rPr>
                <w:rFonts w:ascii="Arial" w:hAnsi="Arial" w:cs="Arial"/>
                <w:color w:val="000000" w:themeColor="text1"/>
                <w:sz w:val="18"/>
                <w:szCs w:val="18"/>
              </w:rPr>
              <w:t xml:space="preserve">: </w:t>
            </w:r>
            <w:r w:rsidR="009D534B">
              <w:rPr>
                <w:rFonts w:ascii="Arial" w:hAnsi="Arial" w:cs="Arial"/>
                <w:color w:val="000000" w:themeColor="text1"/>
                <w:sz w:val="18"/>
                <w:szCs w:val="18"/>
              </w:rPr>
              <w:t>77</w:t>
            </w:r>
            <w:r w:rsidR="009D534B" w:rsidRPr="002D5F82">
              <w:rPr>
                <w:rFonts w:ascii="Arial" w:hAnsi="Arial" w:cs="Arial"/>
                <w:color w:val="000000" w:themeColor="text1"/>
                <w:sz w:val="18"/>
                <w:szCs w:val="18"/>
              </w:rPr>
              <w:t xml:space="preserve"> </w:t>
            </w:r>
            <w:r w:rsidR="009D534B" w:rsidRPr="002D5F82">
              <w:rPr>
                <w:rFonts w:ascii="Arial" w:eastAsiaTheme="minorHAnsi" w:hAnsi="Arial" w:cs="Arial"/>
                <w:color w:val="000000" w:themeColor="text1"/>
                <w:sz w:val="18"/>
                <w:szCs w:val="18"/>
              </w:rPr>
              <w:t>±</w:t>
            </w:r>
            <w:r w:rsidR="009D534B" w:rsidRPr="002D5F82">
              <w:rPr>
                <w:rFonts w:ascii="Arial" w:hAnsi="Arial" w:cs="Arial"/>
                <w:color w:val="000000" w:themeColor="text1"/>
                <w:sz w:val="18"/>
                <w:szCs w:val="18"/>
              </w:rPr>
              <w:t xml:space="preserve"> 12)</w:t>
            </w:r>
          </w:p>
        </w:tc>
      </w:tr>
      <w:tr w:rsidR="002D5F82" w:rsidRPr="002101B9" w14:paraId="435A3571" w14:textId="77777777" w:rsidTr="002D1BB0">
        <w:tblPrEx>
          <w:tblBorders>
            <w:top w:val="none" w:sz="0" w:space="0" w:color="auto"/>
          </w:tblBorders>
        </w:tblPrEx>
        <w:trPr>
          <w:trHeight w:val="113"/>
        </w:trPr>
        <w:tc>
          <w:tcPr>
            <w:tcW w:w="0" w:type="auto"/>
            <w:tcBorders>
              <w:top w:val="single" w:sz="2" w:space="0" w:color="auto"/>
            </w:tcBorders>
            <w:tcMar>
              <w:top w:w="105" w:type="nil"/>
              <w:left w:w="20" w:type="nil"/>
              <w:right w:w="105" w:type="nil"/>
            </w:tcMar>
            <w:vAlign w:val="center"/>
          </w:tcPr>
          <w:p w14:paraId="3D3DE189"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Atm. deposition</w:t>
            </w:r>
          </w:p>
        </w:tc>
        <w:tc>
          <w:tcPr>
            <w:tcW w:w="0" w:type="auto"/>
            <w:tcBorders>
              <w:top w:val="single" w:sz="2" w:space="0" w:color="auto"/>
            </w:tcBorders>
            <w:tcMar>
              <w:top w:w="105" w:type="nil"/>
              <w:left w:w="20" w:type="nil"/>
              <w:right w:w="105" w:type="nil"/>
            </w:tcMar>
            <w:vAlign w:val="center"/>
          </w:tcPr>
          <w:p w14:paraId="0A0218FE"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4.5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4.5</w:t>
            </w:r>
          </w:p>
        </w:tc>
        <w:tc>
          <w:tcPr>
            <w:tcW w:w="739" w:type="dxa"/>
            <w:tcBorders>
              <w:top w:val="single" w:sz="2" w:space="0" w:color="auto"/>
            </w:tcBorders>
            <w:tcMar>
              <w:top w:w="105" w:type="nil"/>
              <w:left w:w="20" w:type="nil"/>
              <w:right w:w="105" w:type="nil"/>
            </w:tcMar>
            <w:vAlign w:val="center"/>
          </w:tcPr>
          <w:p w14:paraId="0D85820C"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2005</w:t>
            </w:r>
          </w:p>
        </w:tc>
        <w:tc>
          <w:tcPr>
            <w:tcW w:w="0" w:type="auto"/>
            <w:tcBorders>
              <w:top w:val="single" w:sz="2" w:space="0" w:color="auto"/>
            </w:tcBorders>
          </w:tcPr>
          <w:p w14:paraId="72F0E119" w14:textId="669FFFB1"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NA-box</w:t>
            </w:r>
          </w:p>
        </w:tc>
        <w:tc>
          <w:tcPr>
            <w:tcW w:w="0" w:type="auto"/>
            <w:tcBorders>
              <w:top w:val="single" w:sz="2" w:space="0" w:color="auto"/>
            </w:tcBorders>
          </w:tcPr>
          <w:p w14:paraId="6036CDA7" w14:textId="7C64B104"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M</w:t>
            </w:r>
          </w:p>
        </w:tc>
        <w:tc>
          <w:tcPr>
            <w:tcW w:w="0" w:type="auto"/>
            <w:tcBorders>
              <w:top w:val="single" w:sz="2" w:space="0" w:color="auto"/>
            </w:tcBorders>
            <w:tcMar>
              <w:top w:w="105" w:type="nil"/>
              <w:left w:w="20" w:type="nil"/>
              <w:right w:w="105" w:type="nil"/>
            </w:tcMar>
            <w:vAlign w:val="center"/>
          </w:tcPr>
          <w:p w14:paraId="55DABB8F" w14:textId="65C8B78F"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Jickells et al. (2017)</w:t>
            </w:r>
          </w:p>
        </w:tc>
      </w:tr>
      <w:tr w:rsidR="002D5F82" w:rsidRPr="002101B9" w14:paraId="567EBB96" w14:textId="77777777" w:rsidTr="002D1BB0">
        <w:tblPrEx>
          <w:tblBorders>
            <w:top w:val="none" w:sz="0" w:space="0" w:color="auto"/>
          </w:tblBorders>
        </w:tblPrEx>
        <w:trPr>
          <w:trHeight w:val="113"/>
        </w:trPr>
        <w:tc>
          <w:tcPr>
            <w:tcW w:w="0" w:type="auto"/>
            <w:tcMar>
              <w:top w:w="105" w:type="nil"/>
              <w:left w:w="20" w:type="nil"/>
              <w:right w:w="105" w:type="nil"/>
            </w:tcMar>
            <w:vAlign w:val="center"/>
          </w:tcPr>
          <w:p w14:paraId="76C0F761"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Fluvial inputs</w:t>
            </w:r>
          </w:p>
        </w:tc>
        <w:tc>
          <w:tcPr>
            <w:tcW w:w="0" w:type="auto"/>
            <w:tcMar>
              <w:top w:w="105" w:type="nil"/>
              <w:left w:w="20" w:type="nil"/>
              <w:right w:w="105" w:type="nil"/>
            </w:tcMar>
            <w:vAlign w:val="center"/>
          </w:tcPr>
          <w:p w14:paraId="63DF4171"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2.2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0.5</w:t>
            </w:r>
          </w:p>
        </w:tc>
        <w:tc>
          <w:tcPr>
            <w:tcW w:w="739" w:type="dxa"/>
            <w:tcMar>
              <w:top w:w="105" w:type="nil"/>
              <w:left w:w="20" w:type="nil"/>
              <w:right w:w="105" w:type="nil"/>
            </w:tcMar>
            <w:vAlign w:val="center"/>
          </w:tcPr>
          <w:p w14:paraId="06DE79F9"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2000</w:t>
            </w:r>
          </w:p>
        </w:tc>
        <w:tc>
          <w:tcPr>
            <w:tcW w:w="0" w:type="auto"/>
          </w:tcPr>
          <w:p w14:paraId="5DF90E8B" w14:textId="6771A335"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NA-box</w:t>
            </w:r>
          </w:p>
        </w:tc>
        <w:tc>
          <w:tcPr>
            <w:tcW w:w="0" w:type="auto"/>
          </w:tcPr>
          <w:p w14:paraId="0B3A99A0" w14:textId="178D4478"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M</w:t>
            </w:r>
          </w:p>
        </w:tc>
        <w:tc>
          <w:tcPr>
            <w:tcW w:w="0" w:type="auto"/>
            <w:tcMar>
              <w:top w:w="105" w:type="nil"/>
              <w:left w:w="20" w:type="nil"/>
              <w:right w:w="105" w:type="nil"/>
            </w:tcMar>
            <w:vAlign w:val="center"/>
          </w:tcPr>
          <w:p w14:paraId="1FFA0AD8" w14:textId="223CE606"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lang w:val="fr-FR"/>
              </w:rPr>
              <w:t>Mayorga et al. (2010), Sharples et al., (2016)</w:t>
            </w:r>
          </w:p>
        </w:tc>
      </w:tr>
      <w:tr w:rsidR="002D5F82" w:rsidRPr="002101B9" w14:paraId="1608EC94" w14:textId="77777777" w:rsidTr="002D1BB0">
        <w:tblPrEx>
          <w:tblBorders>
            <w:top w:val="none" w:sz="0" w:space="0" w:color="auto"/>
          </w:tblBorders>
        </w:tblPrEx>
        <w:trPr>
          <w:trHeight w:val="113"/>
        </w:trPr>
        <w:tc>
          <w:tcPr>
            <w:tcW w:w="0" w:type="auto"/>
            <w:tcMar>
              <w:top w:w="105" w:type="nil"/>
              <w:left w:w="20" w:type="nil"/>
              <w:right w:w="105" w:type="nil"/>
            </w:tcMar>
            <w:vAlign w:val="center"/>
          </w:tcPr>
          <w:p w14:paraId="56EF4F65"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Davis Strait</w:t>
            </w:r>
          </w:p>
        </w:tc>
        <w:tc>
          <w:tcPr>
            <w:tcW w:w="0" w:type="auto"/>
            <w:tcMar>
              <w:top w:w="105" w:type="nil"/>
              <w:left w:w="20" w:type="nil"/>
              <w:right w:w="105" w:type="nil"/>
            </w:tcMar>
            <w:vAlign w:val="center"/>
          </w:tcPr>
          <w:p w14:paraId="35C5B0BB" w14:textId="66990A8F"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26.4</w:t>
            </w:r>
            <w:r w:rsidR="002D5F82">
              <w:rPr>
                <w:rFonts w:ascii="Arial" w:hAnsi="Arial" w:cs="Arial"/>
                <w:color w:val="000000" w:themeColor="text1"/>
                <w:sz w:val="18"/>
                <w:szCs w:val="18"/>
              </w:rPr>
              <w:t xml:space="preserve"> </w:t>
            </w:r>
            <m:oMath>
              <m:r>
                <w:rPr>
                  <w:rFonts w:ascii="Cambria Math" w:hAnsi="Cambria Math" w:cs="Arial"/>
                  <w:color w:val="000000" w:themeColor="text1"/>
                  <w:sz w:val="18"/>
                  <w:szCs w:val="18"/>
                </w:rPr>
                <m:t>±</m:t>
              </m:r>
            </m:oMath>
            <w:r w:rsidR="002D5F82" w:rsidRPr="002101B9">
              <w:rPr>
                <w:rFonts w:ascii="Arial" w:hAnsi="Arial" w:cs="Arial"/>
                <w:color w:val="000000" w:themeColor="text1"/>
                <w:sz w:val="18"/>
                <w:szCs w:val="18"/>
              </w:rPr>
              <w:t xml:space="preserve"> 4.</w:t>
            </w:r>
            <w:r w:rsidR="002D5F82">
              <w:rPr>
                <w:rFonts w:ascii="Arial" w:hAnsi="Arial" w:cs="Arial"/>
                <w:color w:val="000000" w:themeColor="text1"/>
                <w:sz w:val="18"/>
                <w:szCs w:val="18"/>
              </w:rPr>
              <w:t>0</w:t>
            </w:r>
            <w:r>
              <w:rPr>
                <w:rFonts w:ascii="Arial" w:hAnsi="Arial" w:cs="Arial"/>
                <w:color w:val="000000" w:themeColor="text1"/>
                <w:sz w:val="18"/>
                <w:szCs w:val="18"/>
              </w:rPr>
              <w:t>,</w:t>
            </w:r>
            <w:r w:rsidR="002D5F82">
              <w:rPr>
                <w:rFonts w:ascii="Arial" w:hAnsi="Arial" w:cs="Arial"/>
                <w:color w:val="000000" w:themeColor="text1"/>
                <w:sz w:val="18"/>
                <w:szCs w:val="18"/>
              </w:rPr>
              <w:t xml:space="preserve">    </w:t>
            </w:r>
            <w:r w:rsidRPr="002101B9">
              <w:rPr>
                <w:rFonts w:ascii="Arial" w:hAnsi="Arial" w:cs="Arial"/>
                <w:color w:val="000000" w:themeColor="text1"/>
                <w:sz w:val="18"/>
                <w:szCs w:val="18"/>
              </w:rPr>
              <w:t>19.5</w:t>
            </w:r>
            <w:r w:rsidR="002D5F82">
              <w:rPr>
                <w:rFonts w:ascii="Arial" w:hAnsi="Arial" w:cs="Arial"/>
                <w:color w:val="000000" w:themeColor="text1"/>
                <w:sz w:val="18"/>
                <w:szCs w:val="18"/>
              </w:rPr>
              <w:t xml:space="preserve"> </w:t>
            </w:r>
            <m:oMath>
              <m:r>
                <w:rPr>
                  <w:rFonts w:ascii="Cambria Math" w:hAnsi="Cambria Math" w:cs="Arial"/>
                  <w:color w:val="000000" w:themeColor="text1"/>
                  <w:sz w:val="18"/>
                  <w:szCs w:val="18"/>
                </w:rPr>
                <m:t>±</m:t>
              </m:r>
            </m:oMath>
            <w:r w:rsidR="002D5F82" w:rsidRPr="002101B9">
              <w:rPr>
                <w:rFonts w:ascii="Arial" w:hAnsi="Arial" w:cs="Arial"/>
                <w:color w:val="000000" w:themeColor="text1"/>
                <w:sz w:val="18"/>
                <w:szCs w:val="18"/>
              </w:rPr>
              <w:t xml:space="preserve"> 4.</w:t>
            </w:r>
            <w:r w:rsidR="002D5F82">
              <w:rPr>
                <w:rFonts w:ascii="Arial" w:hAnsi="Arial" w:cs="Arial"/>
                <w:color w:val="000000" w:themeColor="text1"/>
                <w:sz w:val="18"/>
                <w:szCs w:val="18"/>
              </w:rPr>
              <w:t>0</w:t>
            </w:r>
          </w:p>
        </w:tc>
        <w:tc>
          <w:tcPr>
            <w:tcW w:w="739" w:type="dxa"/>
            <w:tcMar>
              <w:top w:w="105" w:type="nil"/>
              <w:left w:w="20" w:type="nil"/>
              <w:right w:w="105" w:type="nil"/>
            </w:tcMar>
            <w:vAlign w:val="center"/>
          </w:tcPr>
          <w:p w14:paraId="7C19C401"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2004, 2010</w:t>
            </w:r>
          </w:p>
        </w:tc>
        <w:tc>
          <w:tcPr>
            <w:tcW w:w="0" w:type="auto"/>
          </w:tcPr>
          <w:p w14:paraId="109E8252" w14:textId="734ECB66"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NA-box</w:t>
            </w:r>
          </w:p>
        </w:tc>
        <w:tc>
          <w:tcPr>
            <w:tcW w:w="0" w:type="auto"/>
          </w:tcPr>
          <w:p w14:paraId="24C2981E" w14:textId="2EF0A940"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M</w:t>
            </w:r>
          </w:p>
        </w:tc>
        <w:tc>
          <w:tcPr>
            <w:tcW w:w="0" w:type="auto"/>
            <w:tcMar>
              <w:top w:w="105" w:type="nil"/>
              <w:left w:w="20" w:type="nil"/>
              <w:right w:w="105" w:type="nil"/>
            </w:tcMar>
            <w:vAlign w:val="center"/>
          </w:tcPr>
          <w:p w14:paraId="038164E9" w14:textId="622446F2"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lang w:val="fr-FR"/>
              </w:rPr>
              <w:t xml:space="preserve">Torres-Valdés et al. (2013), Curry et al. </w:t>
            </w:r>
            <w:r w:rsidRPr="002101B9">
              <w:rPr>
                <w:rFonts w:ascii="Arial" w:hAnsi="Arial" w:cs="Arial"/>
                <w:color w:val="000000" w:themeColor="text1"/>
                <w:sz w:val="18"/>
                <w:szCs w:val="18"/>
              </w:rPr>
              <w:t>(2014)</w:t>
            </w:r>
          </w:p>
        </w:tc>
      </w:tr>
      <w:tr w:rsidR="002D5F82" w:rsidRPr="002101B9" w14:paraId="463BF285" w14:textId="77777777" w:rsidTr="002D1BB0">
        <w:tblPrEx>
          <w:tblBorders>
            <w:top w:val="none" w:sz="0" w:space="0" w:color="auto"/>
          </w:tblBorders>
        </w:tblPrEx>
        <w:trPr>
          <w:trHeight w:val="113"/>
        </w:trPr>
        <w:tc>
          <w:tcPr>
            <w:tcW w:w="0" w:type="auto"/>
            <w:tcBorders>
              <w:bottom w:val="single" w:sz="8" w:space="0" w:color="FFFFFF"/>
            </w:tcBorders>
            <w:tcMar>
              <w:top w:w="105" w:type="nil"/>
              <w:left w:w="20" w:type="nil"/>
              <w:right w:w="105" w:type="nil"/>
            </w:tcMar>
            <w:vAlign w:val="center"/>
          </w:tcPr>
          <w:p w14:paraId="6F68AA80"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Gibraltar Strait</w:t>
            </w:r>
          </w:p>
        </w:tc>
        <w:tc>
          <w:tcPr>
            <w:tcW w:w="0" w:type="auto"/>
            <w:tcMar>
              <w:top w:w="105" w:type="nil"/>
              <w:left w:w="20" w:type="nil"/>
              <w:right w:w="105" w:type="nil"/>
            </w:tcMar>
            <w:vAlign w:val="center"/>
          </w:tcPr>
          <w:p w14:paraId="1D61EE4F"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4.4</w:t>
            </w:r>
            <m:oMath>
              <m:r>
                <w:rPr>
                  <w:rFonts w:ascii="Cambria Math" w:hAnsi="Cambria Math" w:cs="Arial"/>
                  <w:color w:val="000000" w:themeColor="text1"/>
                  <w:sz w:val="18"/>
                  <w:szCs w:val="18"/>
                </w:rPr>
                <m:t xml:space="preserve"> ±</m:t>
              </m:r>
            </m:oMath>
            <w:r w:rsidRPr="002101B9">
              <w:rPr>
                <w:rFonts w:ascii="Arial" w:hAnsi="Arial" w:cs="Arial"/>
                <w:color w:val="000000" w:themeColor="text1"/>
                <w:sz w:val="18"/>
                <w:szCs w:val="18"/>
              </w:rPr>
              <w:t xml:space="preserve"> 0.1</w:t>
            </w:r>
          </w:p>
        </w:tc>
        <w:tc>
          <w:tcPr>
            <w:tcW w:w="739" w:type="dxa"/>
            <w:tcMar>
              <w:top w:w="105" w:type="nil"/>
              <w:left w:w="20" w:type="nil"/>
              <w:right w:w="105" w:type="nil"/>
            </w:tcMar>
            <w:vAlign w:val="center"/>
          </w:tcPr>
          <w:p w14:paraId="50FFFF46"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2005-2008</w:t>
            </w:r>
          </w:p>
        </w:tc>
        <w:tc>
          <w:tcPr>
            <w:tcW w:w="0" w:type="auto"/>
          </w:tcPr>
          <w:p w14:paraId="3C153B9F" w14:textId="058A3C9B"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NA-box</w:t>
            </w:r>
          </w:p>
        </w:tc>
        <w:tc>
          <w:tcPr>
            <w:tcW w:w="0" w:type="auto"/>
          </w:tcPr>
          <w:p w14:paraId="7123045E" w14:textId="4A8EDC4A"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O</w:t>
            </w:r>
          </w:p>
        </w:tc>
        <w:tc>
          <w:tcPr>
            <w:tcW w:w="0" w:type="auto"/>
            <w:tcMar>
              <w:top w:w="105" w:type="nil"/>
              <w:left w:w="20" w:type="nil"/>
              <w:right w:w="105" w:type="nil"/>
            </w:tcMar>
            <w:vAlign w:val="center"/>
          </w:tcPr>
          <w:p w14:paraId="07F11193" w14:textId="58528772"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Huertas et al. (2012)</w:t>
            </w:r>
          </w:p>
        </w:tc>
      </w:tr>
      <w:tr w:rsidR="002D5F82" w:rsidRPr="002101B9" w14:paraId="45C1F905" w14:textId="77777777" w:rsidTr="00591869">
        <w:tblPrEx>
          <w:tblBorders>
            <w:top w:val="none" w:sz="0" w:space="0" w:color="auto"/>
          </w:tblBorders>
        </w:tblPrEx>
        <w:trPr>
          <w:trHeight w:val="113"/>
        </w:trPr>
        <w:tc>
          <w:tcPr>
            <w:tcW w:w="0" w:type="auto"/>
            <w:tcBorders>
              <w:top w:val="single" w:sz="8" w:space="0" w:color="FFFFFF"/>
              <w:bottom w:val="single" w:sz="2" w:space="0" w:color="auto"/>
            </w:tcBorders>
            <w:tcMar>
              <w:top w:w="105" w:type="nil"/>
              <w:left w:w="20" w:type="nil"/>
              <w:right w:w="105" w:type="nil"/>
            </w:tcMar>
            <w:vAlign w:val="center"/>
          </w:tcPr>
          <w:p w14:paraId="04D3A20D"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N</w:t>
            </w:r>
            <w:r w:rsidRPr="002101B9">
              <w:rPr>
                <w:rFonts w:ascii="Arial" w:hAnsi="Arial" w:cs="Arial"/>
                <w:color w:val="000000" w:themeColor="text1"/>
                <w:sz w:val="18"/>
                <w:szCs w:val="18"/>
                <w:vertAlign w:val="subscript"/>
              </w:rPr>
              <w:t>2</w:t>
            </w:r>
            <w:r w:rsidRPr="002101B9">
              <w:rPr>
                <w:rFonts w:ascii="Arial" w:hAnsi="Arial" w:cs="Arial"/>
                <w:color w:val="000000" w:themeColor="text1"/>
                <w:sz w:val="18"/>
                <w:szCs w:val="18"/>
              </w:rPr>
              <w:t xml:space="preserve"> fixation</w:t>
            </w:r>
          </w:p>
        </w:tc>
        <w:tc>
          <w:tcPr>
            <w:tcW w:w="0" w:type="auto"/>
            <w:tcBorders>
              <w:bottom w:val="nil"/>
            </w:tcBorders>
            <w:tcMar>
              <w:top w:w="105" w:type="nil"/>
              <w:left w:w="20" w:type="nil"/>
              <w:right w:w="105" w:type="nil"/>
            </w:tcMar>
            <w:vAlign w:val="center"/>
          </w:tcPr>
          <w:p w14:paraId="45FC7602"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33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9</w:t>
            </w:r>
          </w:p>
        </w:tc>
        <w:tc>
          <w:tcPr>
            <w:tcW w:w="739" w:type="dxa"/>
            <w:tcBorders>
              <w:bottom w:val="nil"/>
            </w:tcBorders>
            <w:tcMar>
              <w:top w:w="105" w:type="nil"/>
              <w:left w:w="20" w:type="nil"/>
              <w:right w:w="105" w:type="nil"/>
            </w:tcMar>
            <w:vAlign w:val="center"/>
          </w:tcPr>
          <w:p w14:paraId="014807CB"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No time ref.</w:t>
            </w:r>
          </w:p>
        </w:tc>
        <w:tc>
          <w:tcPr>
            <w:tcW w:w="0" w:type="auto"/>
            <w:tcBorders>
              <w:bottom w:val="nil"/>
            </w:tcBorders>
          </w:tcPr>
          <w:p w14:paraId="471734DA" w14:textId="64BD337F"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NA-box/NA</w:t>
            </w:r>
          </w:p>
        </w:tc>
        <w:tc>
          <w:tcPr>
            <w:tcW w:w="0" w:type="auto"/>
            <w:tcBorders>
              <w:bottom w:val="nil"/>
            </w:tcBorders>
          </w:tcPr>
          <w:p w14:paraId="1FADDE3A" w14:textId="373106B8"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M/O</w:t>
            </w:r>
          </w:p>
        </w:tc>
        <w:tc>
          <w:tcPr>
            <w:tcW w:w="0" w:type="auto"/>
            <w:tcBorders>
              <w:bottom w:val="nil"/>
            </w:tcBorders>
            <w:tcMar>
              <w:top w:w="105" w:type="nil"/>
              <w:left w:w="20" w:type="nil"/>
              <w:right w:w="105" w:type="nil"/>
            </w:tcMar>
            <w:vAlign w:val="center"/>
          </w:tcPr>
          <w:p w14:paraId="435F9AC9" w14:textId="2D469031"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lang w:val="fr-FR"/>
              </w:rPr>
              <w:t>Jickells et al. (20</w:t>
            </w:r>
            <w:r>
              <w:rPr>
                <w:rFonts w:ascii="Arial" w:hAnsi="Arial" w:cs="Arial"/>
                <w:color w:val="000000" w:themeColor="text1"/>
                <w:sz w:val="18"/>
                <w:szCs w:val="18"/>
                <w:lang w:val="fr-FR"/>
              </w:rPr>
              <w:t>1</w:t>
            </w:r>
            <w:r w:rsidRPr="002101B9">
              <w:rPr>
                <w:rFonts w:ascii="Arial" w:hAnsi="Arial" w:cs="Arial"/>
                <w:color w:val="000000" w:themeColor="text1"/>
                <w:sz w:val="18"/>
                <w:szCs w:val="18"/>
                <w:lang w:val="fr-FR"/>
              </w:rPr>
              <w:t xml:space="preserve">7), Singh et al. </w:t>
            </w:r>
            <w:r w:rsidRPr="002101B9">
              <w:rPr>
                <w:rFonts w:ascii="Arial" w:hAnsi="Arial" w:cs="Arial"/>
                <w:color w:val="000000" w:themeColor="text1"/>
                <w:sz w:val="18"/>
                <w:szCs w:val="18"/>
              </w:rPr>
              <w:t>(2013)</w:t>
            </w:r>
          </w:p>
        </w:tc>
      </w:tr>
      <w:tr w:rsidR="00C0329B" w:rsidRPr="002101B9" w14:paraId="41840F86" w14:textId="77777777" w:rsidTr="00670E95">
        <w:tblPrEx>
          <w:tblBorders>
            <w:top w:val="none" w:sz="0" w:space="0" w:color="auto"/>
          </w:tblBorders>
        </w:tblPrEx>
        <w:trPr>
          <w:trHeight w:val="340"/>
        </w:trPr>
        <w:tc>
          <w:tcPr>
            <w:tcW w:w="0" w:type="auto"/>
            <w:tcBorders>
              <w:top w:val="single" w:sz="2" w:space="0" w:color="auto"/>
              <w:bottom w:val="single" w:sz="2" w:space="0" w:color="auto"/>
            </w:tcBorders>
            <w:tcMar>
              <w:top w:w="105" w:type="nil"/>
              <w:left w:w="20" w:type="nil"/>
              <w:right w:w="105" w:type="nil"/>
            </w:tcMar>
            <w:vAlign w:val="center"/>
          </w:tcPr>
          <w:p w14:paraId="3D7B1E9E" w14:textId="77777777" w:rsidR="00C0329B" w:rsidRPr="009B232A" w:rsidRDefault="00C0329B" w:rsidP="009B232A">
            <w:pPr>
              <w:autoSpaceDE w:val="0"/>
              <w:autoSpaceDN w:val="0"/>
              <w:adjustRightInd w:val="0"/>
              <w:spacing w:before="100" w:beforeAutospacing="1" w:after="100" w:afterAutospacing="1"/>
              <w:jc w:val="center"/>
              <w:rPr>
                <w:rFonts w:ascii="Arial" w:hAnsi="Arial" w:cs="Arial"/>
                <w:b/>
                <w:bCs/>
                <w:color w:val="000000" w:themeColor="text1"/>
                <w:sz w:val="18"/>
                <w:szCs w:val="18"/>
              </w:rPr>
            </w:pPr>
            <w:r w:rsidRPr="009B232A">
              <w:rPr>
                <w:rFonts w:ascii="Arial" w:hAnsi="Arial" w:cs="Arial"/>
                <w:b/>
                <w:bCs/>
                <w:color w:val="000000" w:themeColor="text1"/>
                <w:sz w:val="18"/>
                <w:szCs w:val="18"/>
              </w:rPr>
              <w:t>Phosphate</w:t>
            </w:r>
          </w:p>
        </w:tc>
        <w:tc>
          <w:tcPr>
            <w:tcW w:w="6176" w:type="dxa"/>
            <w:gridSpan w:val="5"/>
            <w:tcBorders>
              <w:top w:val="single" w:sz="4" w:space="0" w:color="auto"/>
              <w:bottom w:val="single" w:sz="2" w:space="0" w:color="auto"/>
            </w:tcBorders>
            <w:tcMar>
              <w:top w:w="105" w:type="nil"/>
              <w:left w:w="20" w:type="nil"/>
              <w:right w:w="105" w:type="nil"/>
            </w:tcMar>
            <w:vAlign w:val="center"/>
          </w:tcPr>
          <w:p w14:paraId="5FAED0BE" w14:textId="2727C19B" w:rsidR="00432278" w:rsidRDefault="009B232A" w:rsidP="009B232A">
            <w:pPr>
              <w:autoSpaceDE w:val="0"/>
              <w:autoSpaceDN w:val="0"/>
              <w:adjustRightInd w:val="0"/>
              <w:spacing w:before="100" w:beforeAutospacing="1" w:after="100" w:afterAutospacing="1"/>
              <w:contextualSpacing/>
              <w:rPr>
                <w:rFonts w:ascii="Arial" w:hAnsi="Arial" w:cs="Arial"/>
                <w:b/>
                <w:bCs/>
                <w:color w:val="000000" w:themeColor="text1"/>
                <w:sz w:val="18"/>
                <w:szCs w:val="18"/>
              </w:rPr>
            </w:pPr>
            <w:r w:rsidRPr="009B232A">
              <w:rPr>
                <w:rFonts w:ascii="Arial" w:hAnsi="Arial" w:cs="Arial"/>
                <w:b/>
                <w:bCs/>
                <w:color w:val="000000" w:themeColor="text1"/>
                <w:sz w:val="18"/>
                <w:szCs w:val="18"/>
              </w:rPr>
              <w:t>2004: 3.3</w:t>
            </w:r>
            <w:r w:rsidRPr="009B232A">
              <w:rPr>
                <w:rFonts w:ascii="Arial" w:eastAsiaTheme="minorHAnsi" w:hAnsi="Arial" w:cs="Arial"/>
                <w:b/>
                <w:bCs/>
                <w:color w:val="000000" w:themeColor="text1"/>
                <w:sz w:val="18"/>
                <w:szCs w:val="18"/>
              </w:rPr>
              <w:t xml:space="preserve"> ±</w:t>
            </w:r>
            <w:r w:rsidRPr="009B232A">
              <w:rPr>
                <w:rFonts w:ascii="Arial" w:hAnsi="Arial" w:cs="Arial"/>
                <w:b/>
                <w:bCs/>
                <w:color w:val="000000" w:themeColor="text1"/>
                <w:sz w:val="18"/>
                <w:szCs w:val="18"/>
              </w:rPr>
              <w:t xml:space="preserve"> 0.4</w:t>
            </w:r>
            <w:r w:rsidR="00432278">
              <w:rPr>
                <w:rFonts w:ascii="Arial" w:hAnsi="Arial" w:cs="Arial"/>
                <w:b/>
                <w:bCs/>
                <w:color w:val="000000" w:themeColor="text1"/>
                <w:sz w:val="18"/>
                <w:szCs w:val="18"/>
              </w:rPr>
              <w:t xml:space="preserve"> </w:t>
            </w:r>
            <w:r w:rsidR="00432278" w:rsidRPr="002D5F82">
              <w:rPr>
                <w:rFonts w:ascii="Arial" w:hAnsi="Arial" w:cs="Arial"/>
                <w:color w:val="000000" w:themeColor="text1"/>
                <w:sz w:val="18"/>
                <w:szCs w:val="18"/>
              </w:rPr>
              <w:t>(</w:t>
            </w:r>
            <w:r w:rsidR="00432278">
              <w:rPr>
                <w:rFonts w:ascii="Arial" w:hAnsi="Arial" w:cs="Arial"/>
                <w:color w:val="000000" w:themeColor="text1"/>
                <w:sz w:val="18"/>
                <w:szCs w:val="18"/>
              </w:rPr>
              <w:t>+</w:t>
            </w:r>
            <w:r w:rsidR="00432278" w:rsidRPr="002D5F82">
              <w:rPr>
                <w:rFonts w:ascii="Arial" w:hAnsi="Arial" w:cs="Arial"/>
                <w:color w:val="000000" w:themeColor="text1"/>
                <w:sz w:val="18"/>
                <w:szCs w:val="18"/>
              </w:rPr>
              <w:t xml:space="preserve"> DOP</w:t>
            </w:r>
            <w:r w:rsidR="00432278">
              <w:rPr>
                <w:rFonts w:ascii="Arial" w:hAnsi="Arial" w:cs="Arial"/>
                <w:color w:val="000000" w:themeColor="text1"/>
                <w:sz w:val="18"/>
                <w:szCs w:val="18"/>
              </w:rPr>
              <w:t>*</w:t>
            </w:r>
            <w:r w:rsidR="00432278" w:rsidRPr="002D5F82">
              <w:rPr>
                <w:rFonts w:ascii="Arial" w:hAnsi="Arial" w:cs="Arial"/>
                <w:color w:val="000000" w:themeColor="text1"/>
                <w:sz w:val="18"/>
                <w:szCs w:val="18"/>
              </w:rPr>
              <w:t xml:space="preserve">: </w:t>
            </w:r>
            <w:r w:rsidR="00432278">
              <w:rPr>
                <w:rFonts w:ascii="Arial" w:hAnsi="Arial" w:cs="Arial"/>
                <w:color w:val="000000" w:themeColor="text1"/>
                <w:sz w:val="18"/>
                <w:szCs w:val="18"/>
              </w:rPr>
              <w:t>6.3</w:t>
            </w:r>
            <w:r w:rsidR="00432278" w:rsidRPr="002D5F82">
              <w:rPr>
                <w:rFonts w:ascii="Arial" w:eastAsiaTheme="minorHAnsi" w:hAnsi="Arial" w:cs="Arial"/>
                <w:color w:val="000000" w:themeColor="text1"/>
                <w:sz w:val="18"/>
                <w:szCs w:val="18"/>
              </w:rPr>
              <w:t xml:space="preserve"> ±</w:t>
            </w:r>
            <w:r w:rsidR="00432278" w:rsidRPr="002D5F82">
              <w:rPr>
                <w:rFonts w:ascii="Arial" w:hAnsi="Arial" w:cs="Arial"/>
                <w:color w:val="000000" w:themeColor="text1"/>
                <w:sz w:val="18"/>
                <w:szCs w:val="18"/>
              </w:rPr>
              <w:t xml:space="preserve"> 1</w:t>
            </w:r>
            <w:r w:rsidR="00432278">
              <w:rPr>
                <w:rFonts w:ascii="Arial" w:hAnsi="Arial" w:cs="Arial"/>
                <w:color w:val="000000" w:themeColor="text1"/>
                <w:sz w:val="18"/>
                <w:szCs w:val="18"/>
              </w:rPr>
              <w:t>.1</w:t>
            </w:r>
            <w:r w:rsidR="00432278" w:rsidRPr="002D5F82">
              <w:rPr>
                <w:rFonts w:ascii="Arial" w:hAnsi="Arial" w:cs="Arial"/>
                <w:color w:val="000000" w:themeColor="text1"/>
                <w:sz w:val="18"/>
                <w:szCs w:val="18"/>
              </w:rPr>
              <w:t>)</w:t>
            </w:r>
          </w:p>
          <w:p w14:paraId="5FFE8012" w14:textId="646143F2" w:rsidR="00C0329B" w:rsidRPr="009B232A" w:rsidRDefault="009B232A" w:rsidP="009B232A">
            <w:pPr>
              <w:autoSpaceDE w:val="0"/>
              <w:autoSpaceDN w:val="0"/>
              <w:adjustRightInd w:val="0"/>
              <w:spacing w:before="100" w:beforeAutospacing="1" w:after="100" w:afterAutospacing="1"/>
              <w:contextualSpacing/>
              <w:rPr>
                <w:rFonts w:ascii="Arial" w:hAnsi="Arial" w:cs="Arial"/>
                <w:b/>
                <w:bCs/>
                <w:color w:val="000000" w:themeColor="text1"/>
                <w:sz w:val="18"/>
                <w:szCs w:val="18"/>
              </w:rPr>
            </w:pPr>
            <w:r w:rsidRPr="009B232A">
              <w:rPr>
                <w:rFonts w:ascii="Arial" w:hAnsi="Arial" w:cs="Arial"/>
                <w:b/>
                <w:bCs/>
                <w:color w:val="000000" w:themeColor="text1"/>
                <w:sz w:val="18"/>
                <w:szCs w:val="18"/>
              </w:rPr>
              <w:t xml:space="preserve">2010: 2.6 </w:t>
            </w:r>
            <w:r w:rsidRPr="009B232A">
              <w:rPr>
                <w:rFonts w:ascii="Arial" w:eastAsiaTheme="minorHAnsi" w:hAnsi="Arial" w:cs="Arial"/>
                <w:b/>
                <w:bCs/>
                <w:color w:val="000000" w:themeColor="text1"/>
                <w:sz w:val="18"/>
                <w:szCs w:val="18"/>
              </w:rPr>
              <w:t>±</w:t>
            </w:r>
            <w:r w:rsidRPr="009B232A">
              <w:rPr>
                <w:rFonts w:ascii="Arial" w:hAnsi="Arial" w:cs="Arial"/>
                <w:b/>
                <w:bCs/>
                <w:color w:val="000000" w:themeColor="text1"/>
                <w:sz w:val="18"/>
                <w:szCs w:val="18"/>
              </w:rPr>
              <w:t xml:space="preserve"> 0.4</w:t>
            </w:r>
            <w:r w:rsidR="002D5F82">
              <w:rPr>
                <w:rFonts w:ascii="Arial" w:hAnsi="Arial" w:cs="Arial"/>
                <w:b/>
                <w:bCs/>
                <w:color w:val="000000" w:themeColor="text1"/>
                <w:sz w:val="18"/>
                <w:szCs w:val="18"/>
              </w:rPr>
              <w:t xml:space="preserve"> </w:t>
            </w:r>
            <w:r w:rsidR="00432278" w:rsidRPr="002D5F82">
              <w:rPr>
                <w:rFonts w:ascii="Arial" w:hAnsi="Arial" w:cs="Arial"/>
                <w:color w:val="000000" w:themeColor="text1"/>
                <w:sz w:val="18"/>
                <w:szCs w:val="18"/>
              </w:rPr>
              <w:t>(</w:t>
            </w:r>
            <w:r w:rsidR="00432278">
              <w:rPr>
                <w:rFonts w:ascii="Arial" w:hAnsi="Arial" w:cs="Arial"/>
                <w:color w:val="000000" w:themeColor="text1"/>
                <w:sz w:val="18"/>
                <w:szCs w:val="18"/>
              </w:rPr>
              <w:t>+</w:t>
            </w:r>
            <w:r w:rsidR="00432278" w:rsidRPr="002D5F82">
              <w:rPr>
                <w:rFonts w:ascii="Arial" w:hAnsi="Arial" w:cs="Arial"/>
                <w:color w:val="000000" w:themeColor="text1"/>
                <w:sz w:val="18"/>
                <w:szCs w:val="18"/>
              </w:rPr>
              <w:t xml:space="preserve"> DOP</w:t>
            </w:r>
            <w:r w:rsidR="00432278">
              <w:rPr>
                <w:rFonts w:ascii="Arial" w:hAnsi="Arial" w:cs="Arial"/>
                <w:color w:val="000000" w:themeColor="text1"/>
                <w:sz w:val="18"/>
                <w:szCs w:val="18"/>
              </w:rPr>
              <w:t>*</w:t>
            </w:r>
            <w:r w:rsidR="00432278" w:rsidRPr="002D5F82">
              <w:rPr>
                <w:rFonts w:ascii="Arial" w:hAnsi="Arial" w:cs="Arial"/>
                <w:color w:val="000000" w:themeColor="text1"/>
                <w:sz w:val="18"/>
                <w:szCs w:val="18"/>
              </w:rPr>
              <w:t xml:space="preserve">: </w:t>
            </w:r>
            <w:r w:rsidR="00432278">
              <w:rPr>
                <w:rFonts w:ascii="Arial" w:hAnsi="Arial" w:cs="Arial"/>
                <w:color w:val="000000" w:themeColor="text1"/>
                <w:sz w:val="18"/>
                <w:szCs w:val="18"/>
              </w:rPr>
              <w:t>5.6</w:t>
            </w:r>
            <w:r w:rsidR="00432278" w:rsidRPr="002D5F82">
              <w:rPr>
                <w:rFonts w:ascii="Arial" w:hAnsi="Arial" w:cs="Arial"/>
                <w:color w:val="000000" w:themeColor="text1"/>
                <w:sz w:val="18"/>
                <w:szCs w:val="18"/>
              </w:rPr>
              <w:t xml:space="preserve"> </w:t>
            </w:r>
            <w:r w:rsidR="00432278" w:rsidRPr="002D5F82">
              <w:rPr>
                <w:rFonts w:ascii="Arial" w:eastAsiaTheme="minorHAnsi" w:hAnsi="Arial" w:cs="Arial"/>
                <w:color w:val="000000" w:themeColor="text1"/>
                <w:sz w:val="18"/>
                <w:szCs w:val="18"/>
              </w:rPr>
              <w:t>±</w:t>
            </w:r>
            <w:r w:rsidR="00432278" w:rsidRPr="002D5F82">
              <w:rPr>
                <w:rFonts w:ascii="Arial" w:hAnsi="Arial" w:cs="Arial"/>
                <w:color w:val="000000" w:themeColor="text1"/>
                <w:sz w:val="18"/>
                <w:szCs w:val="18"/>
              </w:rPr>
              <w:t xml:space="preserve"> 1</w:t>
            </w:r>
            <w:r w:rsidR="00432278">
              <w:rPr>
                <w:rFonts w:ascii="Arial" w:hAnsi="Arial" w:cs="Arial"/>
                <w:color w:val="000000" w:themeColor="text1"/>
                <w:sz w:val="18"/>
                <w:szCs w:val="18"/>
              </w:rPr>
              <w:t>.1</w:t>
            </w:r>
            <w:r w:rsidR="00432278" w:rsidRPr="002D5F82">
              <w:rPr>
                <w:rFonts w:ascii="Arial" w:hAnsi="Arial" w:cs="Arial"/>
                <w:color w:val="000000" w:themeColor="text1"/>
                <w:sz w:val="18"/>
                <w:szCs w:val="18"/>
              </w:rPr>
              <w:t>)</w:t>
            </w:r>
          </w:p>
        </w:tc>
      </w:tr>
      <w:tr w:rsidR="002D5F82" w:rsidRPr="002101B9" w14:paraId="6CDCF90B" w14:textId="77777777" w:rsidTr="002D1BB0">
        <w:tblPrEx>
          <w:tblBorders>
            <w:top w:val="none" w:sz="0" w:space="0" w:color="auto"/>
          </w:tblBorders>
        </w:tblPrEx>
        <w:trPr>
          <w:trHeight w:val="113"/>
        </w:trPr>
        <w:tc>
          <w:tcPr>
            <w:tcW w:w="0" w:type="auto"/>
            <w:tcBorders>
              <w:top w:val="single" w:sz="2" w:space="0" w:color="auto"/>
            </w:tcBorders>
            <w:tcMar>
              <w:top w:w="105" w:type="nil"/>
              <w:left w:w="20" w:type="nil"/>
              <w:right w:w="105" w:type="nil"/>
            </w:tcMar>
            <w:vAlign w:val="center"/>
          </w:tcPr>
          <w:p w14:paraId="0254717C"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Atm. deposition</w:t>
            </w:r>
          </w:p>
        </w:tc>
        <w:tc>
          <w:tcPr>
            <w:tcW w:w="0" w:type="auto"/>
            <w:tcBorders>
              <w:top w:val="single" w:sz="2" w:space="0" w:color="auto"/>
            </w:tcBorders>
            <w:tcMar>
              <w:top w:w="105" w:type="nil"/>
              <w:left w:w="20" w:type="nil"/>
              <w:right w:w="105" w:type="nil"/>
            </w:tcMar>
            <w:vAlign w:val="center"/>
          </w:tcPr>
          <w:p w14:paraId="7C924170"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 xml:space="preserve">0.03 </w:t>
            </w:r>
            <m:oMath>
              <m:r>
                <w:rPr>
                  <w:rFonts w:ascii="Cambria Math" w:hAnsi="Cambria Math" w:cs="Arial"/>
                  <w:color w:val="000000" w:themeColor="text1"/>
                  <w:sz w:val="18"/>
                  <w:szCs w:val="18"/>
                </w:rPr>
                <m:t>±</m:t>
              </m:r>
            </m:oMath>
            <w:r w:rsidRPr="002101B9">
              <w:rPr>
                <w:rFonts w:ascii="Arial" w:hAnsi="Arial" w:cs="Arial"/>
                <w:color w:val="000000" w:themeColor="text1"/>
                <w:sz w:val="18"/>
                <w:szCs w:val="18"/>
              </w:rPr>
              <w:t xml:space="preserve"> 0.03</w:t>
            </w:r>
          </w:p>
        </w:tc>
        <w:tc>
          <w:tcPr>
            <w:tcW w:w="739" w:type="dxa"/>
            <w:tcBorders>
              <w:top w:val="single" w:sz="2" w:space="0" w:color="auto"/>
            </w:tcBorders>
            <w:tcMar>
              <w:top w:w="105" w:type="nil"/>
              <w:left w:w="20" w:type="nil"/>
              <w:right w:w="105" w:type="nil"/>
            </w:tcMar>
            <w:vAlign w:val="center"/>
          </w:tcPr>
          <w:p w14:paraId="11E56A04"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No time ref.</w:t>
            </w:r>
          </w:p>
        </w:tc>
        <w:tc>
          <w:tcPr>
            <w:tcW w:w="0" w:type="auto"/>
            <w:tcBorders>
              <w:top w:val="single" w:sz="2" w:space="0" w:color="auto"/>
            </w:tcBorders>
          </w:tcPr>
          <w:p w14:paraId="397FFF11" w14:textId="608C553C"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w:t>
            </w:r>
          </w:p>
        </w:tc>
        <w:tc>
          <w:tcPr>
            <w:tcW w:w="0" w:type="auto"/>
            <w:tcBorders>
              <w:top w:val="single" w:sz="2" w:space="0" w:color="auto"/>
            </w:tcBorders>
          </w:tcPr>
          <w:p w14:paraId="61EC54C2" w14:textId="05C3C218"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M</w:t>
            </w:r>
          </w:p>
        </w:tc>
        <w:tc>
          <w:tcPr>
            <w:tcW w:w="0" w:type="auto"/>
            <w:tcBorders>
              <w:top w:val="single" w:sz="2" w:space="0" w:color="auto"/>
            </w:tcBorders>
            <w:tcMar>
              <w:top w:w="105" w:type="nil"/>
              <w:left w:w="20" w:type="nil"/>
              <w:right w:w="105" w:type="nil"/>
            </w:tcMar>
            <w:vAlign w:val="center"/>
          </w:tcPr>
          <w:p w14:paraId="2920DD77" w14:textId="14ECF7D5"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Mahowald et al. (2008)</w:t>
            </w:r>
          </w:p>
        </w:tc>
      </w:tr>
      <w:tr w:rsidR="002D5F82" w:rsidRPr="002101B9" w14:paraId="391DD56B" w14:textId="77777777" w:rsidTr="002D1BB0">
        <w:tblPrEx>
          <w:tblBorders>
            <w:top w:val="none" w:sz="0" w:space="0" w:color="auto"/>
          </w:tblBorders>
        </w:tblPrEx>
        <w:trPr>
          <w:trHeight w:val="113"/>
        </w:trPr>
        <w:tc>
          <w:tcPr>
            <w:tcW w:w="0" w:type="auto"/>
            <w:tcMar>
              <w:top w:w="105" w:type="nil"/>
              <w:left w:w="20" w:type="nil"/>
              <w:right w:w="105" w:type="nil"/>
            </w:tcMar>
            <w:vAlign w:val="center"/>
          </w:tcPr>
          <w:p w14:paraId="744AFA87"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Fluvial inputs</w:t>
            </w:r>
          </w:p>
        </w:tc>
        <w:tc>
          <w:tcPr>
            <w:tcW w:w="0" w:type="auto"/>
            <w:tcMar>
              <w:top w:w="105" w:type="nil"/>
              <w:left w:w="20" w:type="nil"/>
              <w:right w:w="105" w:type="nil"/>
            </w:tcMar>
            <w:vAlign w:val="center"/>
          </w:tcPr>
          <w:p w14:paraId="7B79FDA8"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0.13</w:t>
            </w:r>
            <m:oMath>
              <m:r>
                <w:rPr>
                  <w:rFonts w:ascii="Cambria Math" w:hAnsi="Cambria Math" w:cs="Arial"/>
                  <w:color w:val="000000" w:themeColor="text1"/>
                  <w:sz w:val="18"/>
                  <w:szCs w:val="18"/>
                </w:rPr>
                <m:t xml:space="preserve"> ±</m:t>
              </m:r>
            </m:oMath>
            <w:r w:rsidRPr="002101B9">
              <w:rPr>
                <w:rFonts w:ascii="Arial" w:hAnsi="Arial" w:cs="Arial"/>
                <w:color w:val="000000" w:themeColor="text1"/>
                <w:sz w:val="18"/>
                <w:szCs w:val="18"/>
              </w:rPr>
              <w:t xml:space="preserve"> 0.06</w:t>
            </w:r>
          </w:p>
        </w:tc>
        <w:tc>
          <w:tcPr>
            <w:tcW w:w="739" w:type="dxa"/>
            <w:tcMar>
              <w:top w:w="105" w:type="nil"/>
              <w:left w:w="20" w:type="nil"/>
              <w:right w:w="105" w:type="nil"/>
            </w:tcMar>
            <w:vAlign w:val="center"/>
          </w:tcPr>
          <w:p w14:paraId="12051689"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2000</w:t>
            </w:r>
          </w:p>
        </w:tc>
        <w:tc>
          <w:tcPr>
            <w:tcW w:w="0" w:type="auto"/>
          </w:tcPr>
          <w:p w14:paraId="1AABFCBF" w14:textId="7DA0F910"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NA-box</w:t>
            </w:r>
          </w:p>
        </w:tc>
        <w:tc>
          <w:tcPr>
            <w:tcW w:w="0" w:type="auto"/>
          </w:tcPr>
          <w:p w14:paraId="3D6EA842" w14:textId="72FBF5D0"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M</w:t>
            </w:r>
          </w:p>
        </w:tc>
        <w:tc>
          <w:tcPr>
            <w:tcW w:w="0" w:type="auto"/>
            <w:tcMar>
              <w:top w:w="105" w:type="nil"/>
              <w:left w:w="20" w:type="nil"/>
              <w:right w:w="105" w:type="nil"/>
            </w:tcMar>
            <w:vAlign w:val="center"/>
          </w:tcPr>
          <w:p w14:paraId="683E4D06" w14:textId="2FC19543"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lang w:val="fr-FR"/>
              </w:rPr>
              <w:t>Mayorga et al. (2010), Sharples et al., (2016)</w:t>
            </w:r>
          </w:p>
        </w:tc>
      </w:tr>
      <w:tr w:rsidR="002D5F82" w:rsidRPr="002101B9" w14:paraId="478AF82D" w14:textId="77777777" w:rsidTr="002D1BB0">
        <w:tblPrEx>
          <w:tblBorders>
            <w:top w:val="none" w:sz="0" w:space="0" w:color="auto"/>
          </w:tblBorders>
        </w:tblPrEx>
        <w:trPr>
          <w:trHeight w:val="113"/>
        </w:trPr>
        <w:tc>
          <w:tcPr>
            <w:tcW w:w="0" w:type="auto"/>
            <w:tcBorders>
              <w:bottom w:val="nil"/>
            </w:tcBorders>
            <w:tcMar>
              <w:top w:w="105" w:type="nil"/>
              <w:left w:w="20" w:type="nil"/>
              <w:right w:w="105" w:type="nil"/>
            </w:tcMar>
            <w:vAlign w:val="center"/>
          </w:tcPr>
          <w:p w14:paraId="48913579"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Davis Strait</w:t>
            </w:r>
          </w:p>
        </w:tc>
        <w:tc>
          <w:tcPr>
            <w:tcW w:w="0" w:type="auto"/>
            <w:tcBorders>
              <w:bottom w:val="nil"/>
            </w:tcBorders>
            <w:tcMar>
              <w:top w:w="105" w:type="nil"/>
              <w:left w:w="20" w:type="nil"/>
              <w:right w:w="105" w:type="nil"/>
            </w:tcMar>
            <w:vAlign w:val="center"/>
          </w:tcPr>
          <w:p w14:paraId="05BD475D" w14:textId="1836F1A9"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3.0</w:t>
            </w:r>
            <w:r w:rsidR="002D5F82">
              <w:rPr>
                <w:rFonts w:ascii="Arial" w:hAnsi="Arial" w:cs="Arial"/>
                <w:color w:val="000000" w:themeColor="text1"/>
                <w:sz w:val="18"/>
                <w:szCs w:val="18"/>
              </w:rPr>
              <w:t xml:space="preserve"> </w:t>
            </w:r>
            <m:oMath>
              <m:r>
                <w:rPr>
                  <w:rFonts w:ascii="Cambria Math" w:hAnsi="Cambria Math" w:cs="Arial"/>
                  <w:color w:val="000000" w:themeColor="text1"/>
                  <w:sz w:val="18"/>
                  <w:szCs w:val="18"/>
                </w:rPr>
                <m:t>±</m:t>
              </m:r>
            </m:oMath>
            <w:r w:rsidR="002D5F82" w:rsidRPr="002101B9">
              <w:rPr>
                <w:rFonts w:ascii="Arial" w:hAnsi="Arial" w:cs="Arial"/>
                <w:color w:val="000000" w:themeColor="text1"/>
                <w:sz w:val="18"/>
                <w:szCs w:val="18"/>
              </w:rPr>
              <w:t xml:space="preserve"> </w:t>
            </w:r>
            <w:r w:rsidR="009D534B">
              <w:rPr>
                <w:rFonts w:ascii="Arial" w:hAnsi="Arial" w:cs="Arial"/>
                <w:color w:val="000000" w:themeColor="text1"/>
                <w:sz w:val="18"/>
                <w:szCs w:val="18"/>
              </w:rPr>
              <w:t>0</w:t>
            </w:r>
            <w:r w:rsidR="002D5F82" w:rsidRPr="002101B9">
              <w:rPr>
                <w:rFonts w:ascii="Arial" w:hAnsi="Arial" w:cs="Arial"/>
                <w:color w:val="000000" w:themeColor="text1"/>
                <w:sz w:val="18"/>
                <w:szCs w:val="18"/>
              </w:rPr>
              <w:t>.</w:t>
            </w:r>
            <w:r w:rsidR="009D534B">
              <w:rPr>
                <w:rFonts w:ascii="Arial" w:hAnsi="Arial" w:cs="Arial"/>
                <w:color w:val="000000" w:themeColor="text1"/>
                <w:sz w:val="18"/>
                <w:szCs w:val="18"/>
              </w:rPr>
              <w:t>4</w:t>
            </w:r>
            <w:r>
              <w:rPr>
                <w:rFonts w:ascii="Arial" w:hAnsi="Arial" w:cs="Arial"/>
                <w:color w:val="000000" w:themeColor="text1"/>
                <w:sz w:val="18"/>
                <w:szCs w:val="18"/>
              </w:rPr>
              <w:t xml:space="preserve">, </w:t>
            </w:r>
            <w:r w:rsidR="002D5F82">
              <w:rPr>
                <w:rFonts w:ascii="Arial" w:hAnsi="Arial" w:cs="Arial"/>
                <w:color w:val="000000" w:themeColor="text1"/>
                <w:sz w:val="18"/>
                <w:szCs w:val="18"/>
              </w:rPr>
              <w:t xml:space="preserve">       </w:t>
            </w:r>
            <w:r w:rsidRPr="002101B9">
              <w:rPr>
                <w:rFonts w:ascii="Arial" w:hAnsi="Arial" w:cs="Arial"/>
                <w:color w:val="000000" w:themeColor="text1"/>
                <w:sz w:val="18"/>
                <w:szCs w:val="18"/>
              </w:rPr>
              <w:t>2.3</w:t>
            </w:r>
            <w:r w:rsidR="002D5F82">
              <w:rPr>
                <w:rFonts w:ascii="Arial" w:hAnsi="Arial" w:cs="Arial"/>
                <w:color w:val="000000" w:themeColor="text1"/>
                <w:sz w:val="18"/>
                <w:szCs w:val="18"/>
              </w:rPr>
              <w:t xml:space="preserve"> </w:t>
            </w:r>
            <m:oMath>
              <m:r>
                <w:rPr>
                  <w:rFonts w:ascii="Cambria Math" w:hAnsi="Cambria Math" w:cs="Arial"/>
                  <w:color w:val="000000" w:themeColor="text1"/>
                  <w:sz w:val="18"/>
                  <w:szCs w:val="18"/>
                </w:rPr>
                <m:t>±</m:t>
              </m:r>
            </m:oMath>
            <w:r w:rsidR="002D5F82" w:rsidRPr="002101B9">
              <w:rPr>
                <w:rFonts w:ascii="Arial" w:hAnsi="Arial" w:cs="Arial"/>
                <w:color w:val="000000" w:themeColor="text1"/>
                <w:sz w:val="18"/>
                <w:szCs w:val="18"/>
              </w:rPr>
              <w:t xml:space="preserve"> </w:t>
            </w:r>
            <w:r w:rsidR="009D534B">
              <w:rPr>
                <w:rFonts w:ascii="Arial" w:hAnsi="Arial" w:cs="Arial"/>
                <w:color w:val="000000" w:themeColor="text1"/>
                <w:sz w:val="18"/>
                <w:szCs w:val="18"/>
              </w:rPr>
              <w:t>0</w:t>
            </w:r>
            <w:r w:rsidR="002D5F82" w:rsidRPr="002101B9">
              <w:rPr>
                <w:rFonts w:ascii="Arial" w:hAnsi="Arial" w:cs="Arial"/>
                <w:color w:val="000000" w:themeColor="text1"/>
                <w:sz w:val="18"/>
                <w:szCs w:val="18"/>
              </w:rPr>
              <w:t>.</w:t>
            </w:r>
            <w:r w:rsidR="009D534B">
              <w:rPr>
                <w:rFonts w:ascii="Arial" w:hAnsi="Arial" w:cs="Arial"/>
                <w:color w:val="000000" w:themeColor="text1"/>
                <w:sz w:val="18"/>
                <w:szCs w:val="18"/>
              </w:rPr>
              <w:t>4</w:t>
            </w:r>
          </w:p>
        </w:tc>
        <w:tc>
          <w:tcPr>
            <w:tcW w:w="739" w:type="dxa"/>
            <w:tcBorders>
              <w:bottom w:val="nil"/>
            </w:tcBorders>
            <w:tcMar>
              <w:top w:w="105" w:type="nil"/>
              <w:left w:w="20" w:type="nil"/>
              <w:right w:w="105" w:type="nil"/>
            </w:tcMar>
            <w:vAlign w:val="center"/>
          </w:tcPr>
          <w:p w14:paraId="49677D8C"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2004, 2010</w:t>
            </w:r>
          </w:p>
        </w:tc>
        <w:tc>
          <w:tcPr>
            <w:tcW w:w="0" w:type="auto"/>
            <w:tcBorders>
              <w:bottom w:val="nil"/>
            </w:tcBorders>
          </w:tcPr>
          <w:p w14:paraId="09BC5299" w14:textId="6F044E72"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NA-box</w:t>
            </w:r>
          </w:p>
        </w:tc>
        <w:tc>
          <w:tcPr>
            <w:tcW w:w="0" w:type="auto"/>
            <w:tcBorders>
              <w:bottom w:val="nil"/>
            </w:tcBorders>
          </w:tcPr>
          <w:p w14:paraId="18979267" w14:textId="2A46B7D1"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lang w:val="fr-FR"/>
              </w:rPr>
            </w:pPr>
            <w:r w:rsidRPr="002101B9">
              <w:rPr>
                <w:rFonts w:ascii="Arial" w:hAnsi="Arial" w:cs="Arial"/>
                <w:color w:val="000000" w:themeColor="text1"/>
                <w:sz w:val="18"/>
                <w:szCs w:val="18"/>
              </w:rPr>
              <w:t>O</w:t>
            </w:r>
          </w:p>
        </w:tc>
        <w:tc>
          <w:tcPr>
            <w:tcW w:w="0" w:type="auto"/>
            <w:tcBorders>
              <w:bottom w:val="nil"/>
            </w:tcBorders>
            <w:tcMar>
              <w:top w:w="105" w:type="nil"/>
              <w:left w:w="20" w:type="nil"/>
              <w:right w:w="105" w:type="nil"/>
            </w:tcMar>
            <w:vAlign w:val="center"/>
          </w:tcPr>
          <w:p w14:paraId="224837A2" w14:textId="5939C71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lang w:val="fr-FR"/>
              </w:rPr>
              <w:t xml:space="preserve">Torres-Valdés et al. (2013), Curry et al. </w:t>
            </w:r>
            <w:r w:rsidRPr="002101B9">
              <w:rPr>
                <w:rFonts w:ascii="Arial" w:hAnsi="Arial" w:cs="Arial"/>
                <w:color w:val="000000" w:themeColor="text1"/>
                <w:sz w:val="18"/>
                <w:szCs w:val="18"/>
              </w:rPr>
              <w:t>(2014)</w:t>
            </w:r>
          </w:p>
        </w:tc>
      </w:tr>
      <w:tr w:rsidR="002D5F82" w:rsidRPr="002101B9" w14:paraId="7770B249" w14:textId="77777777" w:rsidTr="002D1BB0">
        <w:trPr>
          <w:trHeight w:val="113"/>
        </w:trPr>
        <w:tc>
          <w:tcPr>
            <w:tcW w:w="0" w:type="auto"/>
            <w:tcBorders>
              <w:top w:val="nil"/>
              <w:bottom w:val="single" w:sz="2" w:space="0" w:color="auto"/>
            </w:tcBorders>
            <w:tcMar>
              <w:top w:w="105" w:type="nil"/>
              <w:left w:w="20" w:type="nil"/>
              <w:right w:w="105" w:type="nil"/>
            </w:tcMar>
            <w:vAlign w:val="center"/>
          </w:tcPr>
          <w:p w14:paraId="395FA446" w14:textId="77777777" w:rsidR="00C0329B" w:rsidRPr="002101B9" w:rsidRDefault="00C0329B" w:rsidP="00C0329B">
            <w:pPr>
              <w:autoSpaceDE w:val="0"/>
              <w:autoSpaceDN w:val="0"/>
              <w:adjustRightInd w:val="0"/>
              <w:spacing w:before="100" w:beforeAutospacing="1" w:after="100" w:afterAutospacing="1" w:line="360" w:lineRule="auto"/>
              <w:rPr>
                <w:rFonts w:ascii="Arial" w:hAnsi="Arial" w:cs="Arial"/>
                <w:color w:val="000000" w:themeColor="text1"/>
                <w:sz w:val="18"/>
                <w:szCs w:val="18"/>
              </w:rPr>
            </w:pPr>
            <w:r w:rsidRPr="002101B9">
              <w:rPr>
                <w:rFonts w:ascii="Arial" w:hAnsi="Arial" w:cs="Arial"/>
                <w:color w:val="000000" w:themeColor="text1"/>
                <w:sz w:val="18"/>
                <w:szCs w:val="18"/>
              </w:rPr>
              <w:t>Gibraltar Strait</w:t>
            </w:r>
          </w:p>
        </w:tc>
        <w:tc>
          <w:tcPr>
            <w:tcW w:w="0" w:type="auto"/>
            <w:tcBorders>
              <w:top w:val="nil"/>
              <w:bottom w:val="single" w:sz="2" w:space="0" w:color="auto"/>
            </w:tcBorders>
            <w:tcMar>
              <w:top w:w="105" w:type="nil"/>
              <w:left w:w="20" w:type="nil"/>
              <w:right w:w="105" w:type="nil"/>
            </w:tcMar>
            <w:vAlign w:val="center"/>
          </w:tcPr>
          <w:p w14:paraId="252DE7AD"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0.15</w:t>
            </w:r>
            <m:oMath>
              <m:r>
                <w:rPr>
                  <w:rFonts w:ascii="Cambria Math" w:hAnsi="Cambria Math" w:cs="Arial"/>
                  <w:color w:val="000000" w:themeColor="text1"/>
                  <w:sz w:val="18"/>
                  <w:szCs w:val="18"/>
                </w:rPr>
                <m:t xml:space="preserve"> ±</m:t>
              </m:r>
            </m:oMath>
            <w:r w:rsidRPr="002101B9">
              <w:rPr>
                <w:rFonts w:ascii="Arial" w:hAnsi="Arial" w:cs="Arial"/>
                <w:color w:val="000000" w:themeColor="text1"/>
                <w:sz w:val="18"/>
                <w:szCs w:val="18"/>
              </w:rPr>
              <w:t xml:space="preserve"> 0.01</w:t>
            </w:r>
          </w:p>
        </w:tc>
        <w:tc>
          <w:tcPr>
            <w:tcW w:w="739" w:type="dxa"/>
            <w:tcBorders>
              <w:top w:val="nil"/>
              <w:bottom w:val="single" w:sz="2" w:space="0" w:color="auto"/>
            </w:tcBorders>
            <w:tcMar>
              <w:top w:w="105" w:type="nil"/>
              <w:left w:w="20" w:type="nil"/>
              <w:right w:w="105" w:type="nil"/>
            </w:tcMar>
            <w:vAlign w:val="center"/>
          </w:tcPr>
          <w:p w14:paraId="6D1D8DF2" w14:textId="7777777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2005-2008</w:t>
            </w:r>
          </w:p>
        </w:tc>
        <w:tc>
          <w:tcPr>
            <w:tcW w:w="0" w:type="auto"/>
            <w:tcBorders>
              <w:top w:val="nil"/>
              <w:bottom w:val="single" w:sz="2" w:space="0" w:color="auto"/>
            </w:tcBorders>
          </w:tcPr>
          <w:p w14:paraId="1D6C6331" w14:textId="0900BCC3"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NA-box</w:t>
            </w:r>
          </w:p>
        </w:tc>
        <w:tc>
          <w:tcPr>
            <w:tcW w:w="0" w:type="auto"/>
            <w:tcBorders>
              <w:top w:val="nil"/>
              <w:bottom w:val="single" w:sz="2" w:space="0" w:color="auto"/>
            </w:tcBorders>
          </w:tcPr>
          <w:p w14:paraId="462DB421" w14:textId="0F2E4207"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O</w:t>
            </w:r>
          </w:p>
        </w:tc>
        <w:tc>
          <w:tcPr>
            <w:tcW w:w="0" w:type="auto"/>
            <w:tcBorders>
              <w:top w:val="nil"/>
              <w:bottom w:val="single" w:sz="2" w:space="0" w:color="auto"/>
            </w:tcBorders>
            <w:tcMar>
              <w:top w:w="105" w:type="nil"/>
              <w:left w:w="20" w:type="nil"/>
              <w:right w:w="105" w:type="nil"/>
            </w:tcMar>
            <w:vAlign w:val="center"/>
          </w:tcPr>
          <w:p w14:paraId="21DB5C4D" w14:textId="09D8331E" w:rsidR="00C0329B" w:rsidRPr="002101B9" w:rsidRDefault="00C0329B" w:rsidP="00C0329B">
            <w:pPr>
              <w:autoSpaceDE w:val="0"/>
              <w:autoSpaceDN w:val="0"/>
              <w:adjustRightInd w:val="0"/>
              <w:spacing w:before="100" w:beforeAutospacing="1" w:after="100" w:afterAutospacing="1" w:line="360" w:lineRule="auto"/>
              <w:jc w:val="center"/>
              <w:rPr>
                <w:rFonts w:ascii="Arial" w:hAnsi="Arial" w:cs="Arial"/>
                <w:color w:val="000000" w:themeColor="text1"/>
                <w:sz w:val="18"/>
                <w:szCs w:val="18"/>
              </w:rPr>
            </w:pPr>
            <w:r w:rsidRPr="002101B9">
              <w:rPr>
                <w:rFonts w:ascii="Arial" w:hAnsi="Arial" w:cs="Arial"/>
                <w:color w:val="000000" w:themeColor="text1"/>
                <w:sz w:val="18"/>
                <w:szCs w:val="18"/>
              </w:rPr>
              <w:t>Huertas et al. (2012)</w:t>
            </w:r>
          </w:p>
        </w:tc>
      </w:tr>
    </w:tbl>
    <w:p w14:paraId="357F3021" w14:textId="5C3CCFA1" w:rsidR="005D6DDD" w:rsidRPr="00B50C2A" w:rsidRDefault="005D6DDD" w:rsidP="00B50C2A">
      <w:pPr>
        <w:autoSpaceDE w:val="0"/>
        <w:autoSpaceDN w:val="0"/>
        <w:adjustRightInd w:val="0"/>
        <w:spacing w:line="360" w:lineRule="auto"/>
        <w:jc w:val="right"/>
        <w:rPr>
          <w:rFonts w:ascii="Arial" w:hAnsi="Arial" w:cs="Arial"/>
          <w:color w:val="000000" w:themeColor="text1"/>
          <w:sz w:val="22"/>
          <w:szCs w:val="22"/>
        </w:rPr>
      </w:pPr>
      <w:r w:rsidRPr="002101B9">
        <w:rPr>
          <w:rFonts w:ascii="Arial" w:hAnsi="Arial" w:cs="Arial"/>
          <w:color w:val="000000" w:themeColor="text1"/>
          <w:sz w:val="22"/>
          <w:szCs w:val="22"/>
        </w:rPr>
        <w:t>* See Text S1 for derivation of numbers; ** Period of time the value accounts for.</w:t>
      </w:r>
      <w:r w:rsidRPr="004E2840">
        <w:rPr>
          <w:rFonts w:ascii="Arial" w:hAnsi="Arial" w:cs="Arial"/>
          <w:color w:val="000000" w:themeColor="text1"/>
          <w:sz w:val="22"/>
          <w:szCs w:val="22"/>
        </w:rPr>
        <w:br w:type="page"/>
      </w:r>
    </w:p>
    <w:p w14:paraId="6B661F6D" w14:textId="77777777" w:rsidR="005D6DDD" w:rsidRPr="004E2840" w:rsidRDefault="005D6DDD" w:rsidP="00CA6BFC">
      <w:pPr>
        <w:pStyle w:val="Normal1"/>
        <w:keepNext/>
        <w:pBdr>
          <w:top w:val="nil"/>
          <w:left w:val="nil"/>
          <w:bottom w:val="nil"/>
          <w:right w:val="nil"/>
          <w:between w:val="nil"/>
        </w:pBdr>
        <w:spacing w:after="200" w:line="360" w:lineRule="auto"/>
        <w:outlineLvl w:val="0"/>
        <w:rPr>
          <w:rFonts w:ascii="Arial" w:hAnsi="Arial" w:cs="Arial"/>
          <w:color w:val="000000"/>
          <w:sz w:val="22"/>
          <w:szCs w:val="22"/>
        </w:rPr>
      </w:pPr>
      <w:r w:rsidRPr="004E2840">
        <w:rPr>
          <w:rFonts w:ascii="Arial" w:hAnsi="Arial" w:cs="Arial"/>
          <w:b/>
          <w:color w:val="000000" w:themeColor="text1"/>
          <w:sz w:val="22"/>
          <w:szCs w:val="22"/>
        </w:rPr>
        <w:lastRenderedPageBreak/>
        <w:t xml:space="preserve">Table S3. </w:t>
      </w:r>
      <w:r w:rsidRPr="004E2840">
        <w:rPr>
          <w:rFonts w:ascii="Arial" w:hAnsi="Arial" w:cs="Arial"/>
          <w:color w:val="000000" w:themeColor="text1"/>
          <w:sz w:val="22"/>
          <w:szCs w:val="22"/>
        </w:rPr>
        <w:t>List of hydrographic cruises at the Florida Straits. P.I. denotes principal investigator, #St the number of stations.</w:t>
      </w:r>
      <w:r w:rsidRPr="004E2840">
        <w:rPr>
          <w:rFonts w:ascii="Arial" w:hAnsi="Arial" w:cs="Arial"/>
          <w:b/>
          <w:color w:val="000000" w:themeColor="text1"/>
          <w:sz w:val="22"/>
          <w:szCs w:val="22"/>
        </w:rPr>
        <w:t xml:space="preserve"> </w:t>
      </w:r>
    </w:p>
    <w:tbl>
      <w:tblPr>
        <w:tblW w:w="5000" w:type="pct"/>
        <w:tblBorders>
          <w:top w:val="nil"/>
          <w:left w:val="nil"/>
          <w:right w:val="nil"/>
        </w:tblBorders>
        <w:tblLook w:val="0000" w:firstRow="0" w:lastRow="0" w:firstColumn="0" w:lastColumn="0" w:noHBand="0" w:noVBand="0"/>
      </w:tblPr>
      <w:tblGrid>
        <w:gridCol w:w="915"/>
        <w:gridCol w:w="1501"/>
        <w:gridCol w:w="516"/>
        <w:gridCol w:w="864"/>
        <w:gridCol w:w="687"/>
        <w:gridCol w:w="1606"/>
        <w:gridCol w:w="2396"/>
        <w:gridCol w:w="245"/>
        <w:gridCol w:w="290"/>
      </w:tblGrid>
      <w:tr w:rsidR="005D6DDD" w:rsidRPr="002D1BB0" w14:paraId="15943143" w14:textId="77777777" w:rsidTr="00F041AB">
        <w:tc>
          <w:tcPr>
            <w:tcW w:w="507" w:type="pct"/>
            <w:tcBorders>
              <w:top w:val="single" w:sz="4" w:space="0" w:color="000000"/>
              <w:bottom w:val="single" w:sz="4" w:space="0" w:color="000000"/>
            </w:tcBorders>
            <w:tcMar>
              <w:top w:w="0" w:type="dxa"/>
              <w:left w:w="0" w:type="dxa"/>
              <w:right w:w="0" w:type="dxa"/>
            </w:tcMar>
            <w:vAlign w:val="center"/>
          </w:tcPr>
          <w:p w14:paraId="47D096B4"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b/>
                <w:sz w:val="18"/>
                <w:szCs w:val="18"/>
              </w:rPr>
              <w:t>Cruise no.</w:t>
            </w:r>
          </w:p>
        </w:tc>
        <w:tc>
          <w:tcPr>
            <w:tcW w:w="832" w:type="pct"/>
            <w:tcBorders>
              <w:top w:val="single" w:sz="4" w:space="0" w:color="000000"/>
              <w:bottom w:val="single" w:sz="4" w:space="0" w:color="000000"/>
            </w:tcBorders>
            <w:vAlign w:val="center"/>
          </w:tcPr>
          <w:p w14:paraId="283245D8" w14:textId="77777777" w:rsidR="005D6DDD" w:rsidRPr="002D1BB0" w:rsidRDefault="005D6DDD" w:rsidP="00CA6BFC">
            <w:pPr>
              <w:pStyle w:val="Normal1"/>
              <w:spacing w:after="0" w:line="360" w:lineRule="auto"/>
              <w:jc w:val="center"/>
              <w:rPr>
                <w:rFonts w:ascii="Arial" w:hAnsi="Arial" w:cs="Arial"/>
                <w:b/>
                <w:sz w:val="18"/>
                <w:szCs w:val="18"/>
              </w:rPr>
            </w:pPr>
            <w:r w:rsidRPr="002D1BB0">
              <w:rPr>
                <w:rFonts w:ascii="Arial" w:hAnsi="Arial" w:cs="Arial"/>
                <w:b/>
                <w:sz w:val="18"/>
                <w:szCs w:val="18"/>
              </w:rPr>
              <w:t>Cruise ID</w:t>
            </w:r>
          </w:p>
        </w:tc>
        <w:tc>
          <w:tcPr>
            <w:tcW w:w="286" w:type="pct"/>
            <w:tcBorders>
              <w:top w:val="single" w:sz="4" w:space="0" w:color="000000"/>
              <w:bottom w:val="single" w:sz="4" w:space="0" w:color="000000"/>
            </w:tcBorders>
            <w:tcMar>
              <w:top w:w="0" w:type="dxa"/>
              <w:left w:w="0" w:type="dxa"/>
              <w:right w:w="0" w:type="dxa"/>
            </w:tcMar>
            <w:vAlign w:val="center"/>
          </w:tcPr>
          <w:p w14:paraId="2BAE29C4"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b/>
                <w:sz w:val="18"/>
                <w:szCs w:val="18"/>
              </w:rPr>
              <w:t>Day</w:t>
            </w:r>
          </w:p>
        </w:tc>
        <w:tc>
          <w:tcPr>
            <w:tcW w:w="479" w:type="pct"/>
            <w:tcBorders>
              <w:top w:val="single" w:sz="4" w:space="0" w:color="000000"/>
              <w:bottom w:val="single" w:sz="4" w:space="0" w:color="000000"/>
            </w:tcBorders>
            <w:vAlign w:val="center"/>
          </w:tcPr>
          <w:p w14:paraId="538503D1" w14:textId="77777777" w:rsidR="005D6DDD" w:rsidRPr="002D1BB0" w:rsidRDefault="005D6DDD" w:rsidP="00CA6BFC">
            <w:pPr>
              <w:pStyle w:val="Normal1"/>
              <w:spacing w:after="0" w:line="360" w:lineRule="auto"/>
              <w:jc w:val="center"/>
              <w:rPr>
                <w:rFonts w:ascii="Arial" w:hAnsi="Arial" w:cs="Arial"/>
                <w:b/>
                <w:sz w:val="18"/>
                <w:szCs w:val="18"/>
              </w:rPr>
            </w:pPr>
            <w:r w:rsidRPr="002D1BB0">
              <w:rPr>
                <w:rFonts w:ascii="Arial" w:hAnsi="Arial" w:cs="Arial"/>
                <w:b/>
                <w:sz w:val="18"/>
                <w:szCs w:val="18"/>
              </w:rPr>
              <w:t>Month</w:t>
            </w:r>
          </w:p>
        </w:tc>
        <w:tc>
          <w:tcPr>
            <w:tcW w:w="381" w:type="pct"/>
            <w:tcBorders>
              <w:top w:val="single" w:sz="4" w:space="0" w:color="000000"/>
              <w:bottom w:val="single" w:sz="4" w:space="0" w:color="000000"/>
            </w:tcBorders>
            <w:vAlign w:val="center"/>
          </w:tcPr>
          <w:p w14:paraId="30F04AEF" w14:textId="77777777" w:rsidR="005D6DDD" w:rsidRPr="002D1BB0" w:rsidRDefault="005D6DDD" w:rsidP="00CA6BFC">
            <w:pPr>
              <w:pStyle w:val="Normal1"/>
              <w:spacing w:after="0" w:line="360" w:lineRule="auto"/>
              <w:jc w:val="center"/>
              <w:rPr>
                <w:rFonts w:ascii="Arial" w:hAnsi="Arial" w:cs="Arial"/>
                <w:b/>
                <w:sz w:val="18"/>
                <w:szCs w:val="18"/>
              </w:rPr>
            </w:pPr>
            <w:r w:rsidRPr="002D1BB0">
              <w:rPr>
                <w:rFonts w:ascii="Arial" w:hAnsi="Arial" w:cs="Arial"/>
                <w:b/>
                <w:sz w:val="18"/>
                <w:szCs w:val="18"/>
              </w:rPr>
              <w:t>Year</w:t>
            </w:r>
          </w:p>
        </w:tc>
        <w:tc>
          <w:tcPr>
            <w:tcW w:w="890" w:type="pct"/>
            <w:tcBorders>
              <w:top w:val="single" w:sz="4" w:space="0" w:color="000000"/>
              <w:bottom w:val="single" w:sz="4" w:space="0" w:color="000000"/>
            </w:tcBorders>
            <w:tcMar>
              <w:top w:w="0" w:type="dxa"/>
              <w:left w:w="0" w:type="dxa"/>
              <w:right w:w="0" w:type="dxa"/>
            </w:tcMar>
            <w:vAlign w:val="center"/>
          </w:tcPr>
          <w:p w14:paraId="0D777CC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b/>
                <w:sz w:val="18"/>
                <w:szCs w:val="18"/>
              </w:rPr>
              <w:t>Vessel</w:t>
            </w:r>
          </w:p>
        </w:tc>
        <w:tc>
          <w:tcPr>
            <w:tcW w:w="1328" w:type="pct"/>
            <w:tcBorders>
              <w:top w:val="single" w:sz="4" w:space="0" w:color="000000"/>
              <w:bottom w:val="single" w:sz="4" w:space="0" w:color="000000"/>
            </w:tcBorders>
            <w:tcMar>
              <w:top w:w="0" w:type="dxa"/>
              <w:left w:w="0" w:type="dxa"/>
              <w:right w:w="0" w:type="dxa"/>
            </w:tcMar>
            <w:vAlign w:val="center"/>
          </w:tcPr>
          <w:p w14:paraId="3BFAC2D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b/>
                <w:sz w:val="18"/>
                <w:szCs w:val="18"/>
              </w:rPr>
              <w:t>P.I.</w:t>
            </w:r>
          </w:p>
        </w:tc>
        <w:tc>
          <w:tcPr>
            <w:tcW w:w="136" w:type="pct"/>
            <w:tcBorders>
              <w:top w:val="single" w:sz="4" w:space="0" w:color="000000"/>
              <w:bottom w:val="single" w:sz="4" w:space="0" w:color="000000"/>
            </w:tcBorders>
          </w:tcPr>
          <w:p w14:paraId="1E11CF88" w14:textId="77777777" w:rsidR="005D6DDD" w:rsidRPr="002D1BB0" w:rsidRDefault="005D6DDD" w:rsidP="00CA6BFC">
            <w:pPr>
              <w:pStyle w:val="Normal1"/>
              <w:spacing w:after="0" w:line="360" w:lineRule="auto"/>
              <w:jc w:val="center"/>
              <w:rPr>
                <w:rFonts w:ascii="Arial" w:hAnsi="Arial" w:cs="Arial"/>
                <w:b/>
                <w:sz w:val="18"/>
                <w:szCs w:val="18"/>
              </w:rPr>
            </w:pPr>
          </w:p>
        </w:tc>
        <w:tc>
          <w:tcPr>
            <w:tcW w:w="162" w:type="pct"/>
            <w:tcBorders>
              <w:top w:val="single" w:sz="4" w:space="0" w:color="000000"/>
              <w:bottom w:val="single" w:sz="4" w:space="0" w:color="000000"/>
            </w:tcBorders>
            <w:tcMar>
              <w:top w:w="0" w:type="dxa"/>
              <w:left w:w="0" w:type="dxa"/>
              <w:right w:w="0" w:type="dxa"/>
            </w:tcMar>
            <w:vAlign w:val="center"/>
          </w:tcPr>
          <w:p w14:paraId="2C535FEF"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b/>
                <w:sz w:val="18"/>
                <w:szCs w:val="18"/>
              </w:rPr>
              <w:t>#St</w:t>
            </w:r>
          </w:p>
        </w:tc>
      </w:tr>
      <w:tr w:rsidR="005D6DDD" w:rsidRPr="002D1BB0" w14:paraId="13A941AD" w14:textId="77777777" w:rsidTr="00F041AB">
        <w:tc>
          <w:tcPr>
            <w:tcW w:w="507" w:type="pct"/>
            <w:tcBorders>
              <w:top w:val="single" w:sz="8" w:space="0" w:color="000000"/>
              <w:bottom w:val="nil"/>
            </w:tcBorders>
            <w:shd w:val="clear" w:color="auto" w:fill="auto"/>
            <w:tcMar>
              <w:top w:w="0" w:type="dxa"/>
              <w:left w:w="0" w:type="dxa"/>
              <w:right w:w="0" w:type="dxa"/>
            </w:tcMar>
            <w:vAlign w:val="center"/>
          </w:tcPr>
          <w:p w14:paraId="71329E3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w:t>
            </w:r>
          </w:p>
        </w:tc>
        <w:tc>
          <w:tcPr>
            <w:tcW w:w="832" w:type="pct"/>
            <w:tcBorders>
              <w:top w:val="nil"/>
              <w:bottom w:val="nil"/>
            </w:tcBorders>
          </w:tcPr>
          <w:p w14:paraId="3DECC41A"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FC1505</w:t>
            </w:r>
          </w:p>
        </w:tc>
        <w:tc>
          <w:tcPr>
            <w:tcW w:w="286" w:type="pct"/>
            <w:tcBorders>
              <w:top w:val="nil"/>
              <w:bottom w:val="nil"/>
            </w:tcBorders>
            <w:shd w:val="clear" w:color="auto" w:fill="auto"/>
            <w:tcMar>
              <w:top w:w="0" w:type="dxa"/>
              <w:left w:w="0" w:type="dxa"/>
              <w:right w:w="0" w:type="dxa"/>
            </w:tcMar>
            <w:vAlign w:val="center"/>
          </w:tcPr>
          <w:p w14:paraId="3F2BF9BB"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26-27</w:t>
            </w:r>
          </w:p>
        </w:tc>
        <w:tc>
          <w:tcPr>
            <w:tcW w:w="479" w:type="pct"/>
            <w:tcBorders>
              <w:top w:val="nil"/>
              <w:bottom w:val="nil"/>
            </w:tcBorders>
            <w:shd w:val="clear" w:color="auto" w:fill="auto"/>
            <w:vAlign w:val="center"/>
          </w:tcPr>
          <w:p w14:paraId="15183E13"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May</w:t>
            </w:r>
          </w:p>
        </w:tc>
        <w:tc>
          <w:tcPr>
            <w:tcW w:w="381" w:type="pct"/>
            <w:tcBorders>
              <w:top w:val="nil"/>
              <w:bottom w:val="nil"/>
            </w:tcBorders>
            <w:shd w:val="clear" w:color="auto" w:fill="auto"/>
            <w:vAlign w:val="center"/>
          </w:tcPr>
          <w:p w14:paraId="5E1208C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2015</w:t>
            </w:r>
          </w:p>
        </w:tc>
        <w:tc>
          <w:tcPr>
            <w:tcW w:w="890" w:type="pct"/>
            <w:tcBorders>
              <w:top w:val="nil"/>
              <w:bottom w:val="nil"/>
            </w:tcBorders>
            <w:shd w:val="clear" w:color="auto" w:fill="auto"/>
            <w:tcMar>
              <w:top w:w="0" w:type="dxa"/>
              <w:left w:w="0" w:type="dxa"/>
              <w:right w:w="0" w:type="dxa"/>
            </w:tcMar>
            <w:vAlign w:val="center"/>
          </w:tcPr>
          <w:p w14:paraId="74E7F576"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01C0A60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56AE459D" w14:textId="77777777" w:rsidR="005D6DDD" w:rsidRPr="002D1BB0" w:rsidRDefault="005D6DDD" w:rsidP="00CA6BFC">
            <w:pPr>
              <w:pStyle w:val="Normal1"/>
              <w:spacing w:after="0" w:line="360" w:lineRule="auto"/>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76B18787"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5040AB79" w14:textId="77777777" w:rsidTr="00F041AB">
        <w:tc>
          <w:tcPr>
            <w:tcW w:w="507" w:type="pct"/>
            <w:tcBorders>
              <w:top w:val="nil"/>
              <w:left w:val="nil"/>
              <w:bottom w:val="nil"/>
            </w:tcBorders>
            <w:shd w:val="clear" w:color="auto" w:fill="auto"/>
            <w:tcMar>
              <w:top w:w="0" w:type="dxa"/>
              <w:left w:w="0" w:type="dxa"/>
              <w:right w:w="0" w:type="dxa"/>
            </w:tcMar>
            <w:vAlign w:val="center"/>
          </w:tcPr>
          <w:p w14:paraId="5F49589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w:t>
            </w:r>
          </w:p>
        </w:tc>
        <w:tc>
          <w:tcPr>
            <w:tcW w:w="832" w:type="pct"/>
            <w:tcBorders>
              <w:top w:val="nil"/>
              <w:bottom w:val="nil"/>
            </w:tcBorders>
          </w:tcPr>
          <w:p w14:paraId="1BD8BBC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FC1507</w:t>
            </w:r>
          </w:p>
        </w:tc>
        <w:tc>
          <w:tcPr>
            <w:tcW w:w="286" w:type="pct"/>
            <w:tcBorders>
              <w:top w:val="nil"/>
              <w:bottom w:val="nil"/>
            </w:tcBorders>
            <w:shd w:val="clear" w:color="auto" w:fill="auto"/>
            <w:tcMar>
              <w:top w:w="0" w:type="dxa"/>
              <w:left w:w="0" w:type="dxa"/>
              <w:right w:w="0" w:type="dxa"/>
            </w:tcMar>
            <w:vAlign w:val="center"/>
          </w:tcPr>
          <w:p w14:paraId="64A78A3E"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14-15</w:t>
            </w:r>
          </w:p>
        </w:tc>
        <w:tc>
          <w:tcPr>
            <w:tcW w:w="479" w:type="pct"/>
            <w:tcBorders>
              <w:top w:val="nil"/>
              <w:bottom w:val="nil"/>
            </w:tcBorders>
            <w:shd w:val="clear" w:color="auto" w:fill="auto"/>
            <w:vAlign w:val="center"/>
          </w:tcPr>
          <w:p w14:paraId="0A6F500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Jul</w:t>
            </w:r>
          </w:p>
        </w:tc>
        <w:tc>
          <w:tcPr>
            <w:tcW w:w="381" w:type="pct"/>
            <w:tcBorders>
              <w:top w:val="nil"/>
              <w:bottom w:val="nil"/>
            </w:tcBorders>
            <w:shd w:val="clear" w:color="auto" w:fill="auto"/>
            <w:vAlign w:val="center"/>
          </w:tcPr>
          <w:p w14:paraId="6B5DFEC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2015</w:t>
            </w:r>
          </w:p>
        </w:tc>
        <w:tc>
          <w:tcPr>
            <w:tcW w:w="890" w:type="pct"/>
            <w:tcBorders>
              <w:top w:val="nil"/>
              <w:bottom w:val="nil"/>
            </w:tcBorders>
            <w:shd w:val="clear" w:color="auto" w:fill="auto"/>
            <w:tcMar>
              <w:top w:w="0" w:type="dxa"/>
              <w:left w:w="0" w:type="dxa"/>
              <w:right w:w="0" w:type="dxa"/>
            </w:tcMar>
            <w:vAlign w:val="center"/>
          </w:tcPr>
          <w:p w14:paraId="1003D0CB"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7D6DADB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73AE71F6"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0656EFF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2566965C" w14:textId="77777777" w:rsidTr="00F041AB">
        <w:tc>
          <w:tcPr>
            <w:tcW w:w="507" w:type="pct"/>
            <w:tcBorders>
              <w:top w:val="nil"/>
              <w:left w:val="nil"/>
              <w:bottom w:val="nil"/>
            </w:tcBorders>
            <w:shd w:val="clear" w:color="auto" w:fill="auto"/>
            <w:tcMar>
              <w:top w:w="0" w:type="dxa"/>
              <w:left w:w="0" w:type="dxa"/>
              <w:right w:w="0" w:type="dxa"/>
            </w:tcMar>
            <w:vAlign w:val="center"/>
          </w:tcPr>
          <w:p w14:paraId="5BFF2B8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3</w:t>
            </w:r>
          </w:p>
        </w:tc>
        <w:tc>
          <w:tcPr>
            <w:tcW w:w="832" w:type="pct"/>
            <w:tcBorders>
              <w:top w:val="nil"/>
              <w:bottom w:val="nil"/>
            </w:tcBorders>
          </w:tcPr>
          <w:p w14:paraId="6734D8F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FC1509</w:t>
            </w:r>
          </w:p>
        </w:tc>
        <w:tc>
          <w:tcPr>
            <w:tcW w:w="286" w:type="pct"/>
            <w:tcBorders>
              <w:top w:val="nil"/>
              <w:bottom w:val="nil"/>
            </w:tcBorders>
            <w:shd w:val="clear" w:color="auto" w:fill="auto"/>
            <w:tcMar>
              <w:top w:w="0" w:type="dxa"/>
              <w:left w:w="0" w:type="dxa"/>
              <w:right w:w="0" w:type="dxa"/>
            </w:tcMar>
            <w:vAlign w:val="center"/>
          </w:tcPr>
          <w:p w14:paraId="717370A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8-9</w:t>
            </w:r>
          </w:p>
        </w:tc>
        <w:tc>
          <w:tcPr>
            <w:tcW w:w="479" w:type="pct"/>
            <w:tcBorders>
              <w:top w:val="nil"/>
              <w:bottom w:val="nil"/>
            </w:tcBorders>
            <w:shd w:val="clear" w:color="auto" w:fill="auto"/>
            <w:vAlign w:val="center"/>
          </w:tcPr>
          <w:p w14:paraId="74B5FECC"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Sep</w:t>
            </w:r>
          </w:p>
        </w:tc>
        <w:tc>
          <w:tcPr>
            <w:tcW w:w="381" w:type="pct"/>
            <w:tcBorders>
              <w:top w:val="nil"/>
              <w:bottom w:val="nil"/>
            </w:tcBorders>
            <w:shd w:val="clear" w:color="auto" w:fill="auto"/>
            <w:vAlign w:val="center"/>
          </w:tcPr>
          <w:p w14:paraId="04FCDE9C"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2015</w:t>
            </w:r>
          </w:p>
        </w:tc>
        <w:tc>
          <w:tcPr>
            <w:tcW w:w="890" w:type="pct"/>
            <w:tcBorders>
              <w:top w:val="nil"/>
              <w:bottom w:val="nil"/>
            </w:tcBorders>
            <w:shd w:val="clear" w:color="auto" w:fill="auto"/>
            <w:tcMar>
              <w:top w:w="0" w:type="dxa"/>
              <w:left w:w="0" w:type="dxa"/>
              <w:right w:w="0" w:type="dxa"/>
            </w:tcMar>
            <w:vAlign w:val="center"/>
          </w:tcPr>
          <w:p w14:paraId="73F4BBF1"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0EDB1260"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055CB03D"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4FE1D2F3"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7E9EBAE4" w14:textId="77777777" w:rsidTr="00F041AB">
        <w:tc>
          <w:tcPr>
            <w:tcW w:w="507" w:type="pct"/>
            <w:tcBorders>
              <w:top w:val="nil"/>
              <w:left w:val="nil"/>
              <w:bottom w:val="nil"/>
            </w:tcBorders>
            <w:shd w:val="clear" w:color="auto" w:fill="auto"/>
            <w:tcMar>
              <w:top w:w="0" w:type="dxa"/>
              <w:left w:w="0" w:type="dxa"/>
              <w:right w:w="0" w:type="dxa"/>
            </w:tcMar>
            <w:vAlign w:val="center"/>
          </w:tcPr>
          <w:p w14:paraId="6BA3185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4</w:t>
            </w:r>
          </w:p>
        </w:tc>
        <w:tc>
          <w:tcPr>
            <w:tcW w:w="832" w:type="pct"/>
            <w:tcBorders>
              <w:top w:val="nil"/>
              <w:bottom w:val="nil"/>
            </w:tcBorders>
          </w:tcPr>
          <w:p w14:paraId="6AE9C86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FC1511</w:t>
            </w:r>
          </w:p>
        </w:tc>
        <w:tc>
          <w:tcPr>
            <w:tcW w:w="286" w:type="pct"/>
            <w:tcBorders>
              <w:top w:val="nil"/>
              <w:bottom w:val="nil"/>
            </w:tcBorders>
            <w:shd w:val="clear" w:color="auto" w:fill="auto"/>
            <w:tcMar>
              <w:top w:w="0" w:type="dxa"/>
              <w:left w:w="0" w:type="dxa"/>
              <w:right w:w="0" w:type="dxa"/>
            </w:tcMar>
            <w:vAlign w:val="center"/>
          </w:tcPr>
          <w:p w14:paraId="25B9E89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10-11</w:t>
            </w:r>
          </w:p>
        </w:tc>
        <w:tc>
          <w:tcPr>
            <w:tcW w:w="479" w:type="pct"/>
            <w:tcBorders>
              <w:top w:val="nil"/>
              <w:bottom w:val="nil"/>
            </w:tcBorders>
            <w:shd w:val="clear" w:color="auto" w:fill="auto"/>
            <w:vAlign w:val="center"/>
          </w:tcPr>
          <w:p w14:paraId="681BD1B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Nov</w:t>
            </w:r>
          </w:p>
        </w:tc>
        <w:tc>
          <w:tcPr>
            <w:tcW w:w="381" w:type="pct"/>
            <w:tcBorders>
              <w:top w:val="nil"/>
              <w:bottom w:val="nil"/>
            </w:tcBorders>
            <w:shd w:val="clear" w:color="auto" w:fill="auto"/>
            <w:vAlign w:val="center"/>
          </w:tcPr>
          <w:p w14:paraId="0E499840"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2015</w:t>
            </w:r>
          </w:p>
        </w:tc>
        <w:tc>
          <w:tcPr>
            <w:tcW w:w="890" w:type="pct"/>
            <w:tcBorders>
              <w:top w:val="nil"/>
              <w:bottom w:val="nil"/>
            </w:tcBorders>
            <w:shd w:val="clear" w:color="auto" w:fill="auto"/>
            <w:tcMar>
              <w:top w:w="0" w:type="dxa"/>
              <w:left w:w="0" w:type="dxa"/>
              <w:right w:w="0" w:type="dxa"/>
            </w:tcMar>
            <w:vAlign w:val="center"/>
          </w:tcPr>
          <w:p w14:paraId="38629442"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38DE8CFB"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4CD34D54"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614A68AE"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2DF402A6" w14:textId="77777777" w:rsidTr="00F041AB">
        <w:tc>
          <w:tcPr>
            <w:tcW w:w="507" w:type="pct"/>
            <w:tcBorders>
              <w:top w:val="nil"/>
              <w:bottom w:val="dotted" w:sz="4" w:space="0" w:color="000000"/>
            </w:tcBorders>
            <w:shd w:val="clear" w:color="auto" w:fill="auto"/>
            <w:tcMar>
              <w:top w:w="0" w:type="dxa"/>
              <w:left w:w="0" w:type="dxa"/>
              <w:right w:w="0" w:type="dxa"/>
            </w:tcMar>
            <w:vAlign w:val="center"/>
          </w:tcPr>
          <w:p w14:paraId="2A74BB4F"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5</w:t>
            </w:r>
          </w:p>
        </w:tc>
        <w:tc>
          <w:tcPr>
            <w:tcW w:w="832" w:type="pct"/>
            <w:tcBorders>
              <w:top w:val="nil"/>
              <w:bottom w:val="dotted" w:sz="4" w:space="0" w:color="000000"/>
            </w:tcBorders>
          </w:tcPr>
          <w:p w14:paraId="5B42908D"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DY040*</w:t>
            </w:r>
          </w:p>
        </w:tc>
        <w:tc>
          <w:tcPr>
            <w:tcW w:w="286" w:type="pct"/>
            <w:tcBorders>
              <w:top w:val="nil"/>
              <w:bottom w:val="dotted" w:sz="4" w:space="0" w:color="000000"/>
            </w:tcBorders>
            <w:shd w:val="clear" w:color="auto" w:fill="auto"/>
            <w:tcMar>
              <w:top w:w="0" w:type="dxa"/>
              <w:left w:w="0" w:type="dxa"/>
              <w:right w:w="0" w:type="dxa"/>
            </w:tcMar>
            <w:vAlign w:val="center"/>
          </w:tcPr>
          <w:p w14:paraId="23B05CAC"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10-12</w:t>
            </w:r>
          </w:p>
        </w:tc>
        <w:tc>
          <w:tcPr>
            <w:tcW w:w="479" w:type="pct"/>
            <w:tcBorders>
              <w:top w:val="nil"/>
              <w:bottom w:val="dotted" w:sz="4" w:space="0" w:color="000000"/>
            </w:tcBorders>
            <w:shd w:val="clear" w:color="auto" w:fill="auto"/>
            <w:vAlign w:val="center"/>
          </w:tcPr>
          <w:p w14:paraId="3FDFF81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Dec</w:t>
            </w:r>
          </w:p>
        </w:tc>
        <w:tc>
          <w:tcPr>
            <w:tcW w:w="381" w:type="pct"/>
            <w:tcBorders>
              <w:top w:val="nil"/>
              <w:bottom w:val="dotted" w:sz="4" w:space="0" w:color="000000"/>
            </w:tcBorders>
            <w:shd w:val="clear" w:color="auto" w:fill="auto"/>
            <w:vAlign w:val="center"/>
          </w:tcPr>
          <w:p w14:paraId="0E3D80BF"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2015</w:t>
            </w:r>
          </w:p>
        </w:tc>
        <w:tc>
          <w:tcPr>
            <w:tcW w:w="890" w:type="pct"/>
            <w:tcBorders>
              <w:top w:val="nil"/>
              <w:bottom w:val="dotted" w:sz="4" w:space="0" w:color="000000"/>
            </w:tcBorders>
            <w:shd w:val="clear" w:color="auto" w:fill="auto"/>
            <w:tcMar>
              <w:top w:w="0" w:type="dxa"/>
              <w:left w:w="0" w:type="dxa"/>
              <w:right w:w="0" w:type="dxa"/>
            </w:tcMar>
            <w:vAlign w:val="center"/>
          </w:tcPr>
          <w:p w14:paraId="6880D290"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RRS Discovery</w:t>
            </w:r>
          </w:p>
        </w:tc>
        <w:tc>
          <w:tcPr>
            <w:tcW w:w="1328" w:type="pct"/>
            <w:tcBorders>
              <w:top w:val="nil"/>
              <w:bottom w:val="dotted" w:sz="4" w:space="0" w:color="000000"/>
            </w:tcBorders>
            <w:shd w:val="clear" w:color="auto" w:fill="auto"/>
            <w:tcMar>
              <w:top w:w="0" w:type="dxa"/>
              <w:left w:w="0" w:type="dxa"/>
              <w:right w:w="0" w:type="dxa"/>
            </w:tcMar>
            <w:vAlign w:val="center"/>
          </w:tcPr>
          <w:p w14:paraId="311ABA7A"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B. King</w:t>
            </w:r>
          </w:p>
        </w:tc>
        <w:tc>
          <w:tcPr>
            <w:tcW w:w="136" w:type="pct"/>
            <w:tcBorders>
              <w:top w:val="nil"/>
              <w:bottom w:val="dotted" w:sz="4" w:space="0" w:color="000000"/>
            </w:tcBorders>
          </w:tcPr>
          <w:p w14:paraId="69709DD4"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dotted" w:sz="4" w:space="0" w:color="000000"/>
            </w:tcBorders>
            <w:shd w:val="clear" w:color="auto" w:fill="auto"/>
            <w:tcMar>
              <w:top w:w="0" w:type="dxa"/>
              <w:left w:w="0" w:type="dxa"/>
              <w:right w:w="0" w:type="dxa"/>
            </w:tcMar>
            <w:vAlign w:val="center"/>
          </w:tcPr>
          <w:p w14:paraId="2063C11C"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13</w:t>
            </w:r>
          </w:p>
        </w:tc>
      </w:tr>
      <w:tr w:rsidR="005D6DDD" w:rsidRPr="002D1BB0" w14:paraId="10CBF2ED" w14:textId="77777777" w:rsidTr="00F041AB">
        <w:tc>
          <w:tcPr>
            <w:tcW w:w="507" w:type="pct"/>
            <w:tcBorders>
              <w:top w:val="dotted" w:sz="4" w:space="0" w:color="000000"/>
              <w:bottom w:val="nil"/>
            </w:tcBorders>
            <w:shd w:val="clear" w:color="auto" w:fill="auto"/>
            <w:tcMar>
              <w:top w:w="0" w:type="dxa"/>
              <w:left w:w="0" w:type="dxa"/>
              <w:right w:w="0" w:type="dxa"/>
            </w:tcMar>
            <w:vAlign w:val="center"/>
          </w:tcPr>
          <w:p w14:paraId="05166BFB"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6</w:t>
            </w:r>
          </w:p>
        </w:tc>
        <w:tc>
          <w:tcPr>
            <w:tcW w:w="832" w:type="pct"/>
            <w:tcBorders>
              <w:bottom w:val="nil"/>
            </w:tcBorders>
          </w:tcPr>
          <w:p w14:paraId="48392F3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FC1603</w:t>
            </w:r>
          </w:p>
        </w:tc>
        <w:tc>
          <w:tcPr>
            <w:tcW w:w="286" w:type="pct"/>
            <w:tcBorders>
              <w:bottom w:val="nil"/>
            </w:tcBorders>
            <w:shd w:val="clear" w:color="auto" w:fill="auto"/>
            <w:tcMar>
              <w:top w:w="0" w:type="dxa"/>
              <w:left w:w="0" w:type="dxa"/>
              <w:right w:w="0" w:type="dxa"/>
            </w:tcMar>
            <w:vAlign w:val="center"/>
          </w:tcPr>
          <w:p w14:paraId="54D4F8D7"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23-24</w:t>
            </w:r>
          </w:p>
        </w:tc>
        <w:tc>
          <w:tcPr>
            <w:tcW w:w="479" w:type="pct"/>
            <w:tcBorders>
              <w:bottom w:val="nil"/>
            </w:tcBorders>
            <w:shd w:val="clear" w:color="auto" w:fill="auto"/>
            <w:vAlign w:val="center"/>
          </w:tcPr>
          <w:p w14:paraId="095B423A"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Mar</w:t>
            </w:r>
          </w:p>
        </w:tc>
        <w:tc>
          <w:tcPr>
            <w:tcW w:w="381" w:type="pct"/>
            <w:tcBorders>
              <w:bottom w:val="nil"/>
            </w:tcBorders>
            <w:shd w:val="clear" w:color="auto" w:fill="auto"/>
            <w:vAlign w:val="center"/>
          </w:tcPr>
          <w:p w14:paraId="0D0850B0"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2016</w:t>
            </w:r>
          </w:p>
        </w:tc>
        <w:tc>
          <w:tcPr>
            <w:tcW w:w="890" w:type="pct"/>
            <w:tcBorders>
              <w:bottom w:val="nil"/>
            </w:tcBorders>
            <w:shd w:val="clear" w:color="auto" w:fill="auto"/>
            <w:tcMar>
              <w:top w:w="0" w:type="dxa"/>
              <w:left w:w="0" w:type="dxa"/>
              <w:right w:w="0" w:type="dxa"/>
            </w:tcMar>
            <w:vAlign w:val="center"/>
          </w:tcPr>
          <w:p w14:paraId="130C2A76"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bottom w:val="nil"/>
            </w:tcBorders>
            <w:shd w:val="clear" w:color="auto" w:fill="auto"/>
            <w:tcMar>
              <w:top w:w="0" w:type="dxa"/>
              <w:left w:w="0" w:type="dxa"/>
              <w:right w:w="0" w:type="dxa"/>
            </w:tcMar>
            <w:vAlign w:val="center"/>
          </w:tcPr>
          <w:p w14:paraId="54C59F0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bottom w:val="nil"/>
            </w:tcBorders>
          </w:tcPr>
          <w:p w14:paraId="3C727ED3"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bottom w:val="nil"/>
            </w:tcBorders>
            <w:shd w:val="clear" w:color="auto" w:fill="auto"/>
            <w:tcMar>
              <w:top w:w="0" w:type="dxa"/>
              <w:left w:w="0" w:type="dxa"/>
              <w:right w:w="0" w:type="dxa"/>
            </w:tcMar>
            <w:vAlign w:val="center"/>
          </w:tcPr>
          <w:p w14:paraId="0F782FBC"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1F233F6B" w14:textId="77777777" w:rsidTr="00F041AB">
        <w:tc>
          <w:tcPr>
            <w:tcW w:w="507" w:type="pct"/>
            <w:tcBorders>
              <w:top w:val="nil"/>
              <w:left w:val="nil"/>
              <w:bottom w:val="nil"/>
            </w:tcBorders>
            <w:shd w:val="clear" w:color="auto" w:fill="auto"/>
            <w:tcMar>
              <w:top w:w="0" w:type="dxa"/>
              <w:left w:w="0" w:type="dxa"/>
              <w:right w:w="0" w:type="dxa"/>
            </w:tcMar>
            <w:vAlign w:val="center"/>
          </w:tcPr>
          <w:p w14:paraId="7B332757"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7</w:t>
            </w:r>
          </w:p>
        </w:tc>
        <w:tc>
          <w:tcPr>
            <w:tcW w:w="832" w:type="pct"/>
            <w:tcBorders>
              <w:top w:val="nil"/>
              <w:bottom w:val="nil"/>
            </w:tcBorders>
          </w:tcPr>
          <w:p w14:paraId="74792C1D"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FC1605</w:t>
            </w:r>
          </w:p>
        </w:tc>
        <w:tc>
          <w:tcPr>
            <w:tcW w:w="286" w:type="pct"/>
            <w:tcBorders>
              <w:top w:val="nil"/>
              <w:bottom w:val="nil"/>
            </w:tcBorders>
            <w:shd w:val="clear" w:color="auto" w:fill="auto"/>
            <w:tcMar>
              <w:top w:w="0" w:type="dxa"/>
              <w:left w:w="0" w:type="dxa"/>
              <w:right w:w="0" w:type="dxa"/>
            </w:tcMar>
            <w:vAlign w:val="center"/>
          </w:tcPr>
          <w:p w14:paraId="679E49F2"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16-17</w:t>
            </w:r>
          </w:p>
        </w:tc>
        <w:tc>
          <w:tcPr>
            <w:tcW w:w="479" w:type="pct"/>
            <w:tcBorders>
              <w:top w:val="nil"/>
              <w:bottom w:val="nil"/>
            </w:tcBorders>
            <w:shd w:val="clear" w:color="auto" w:fill="auto"/>
            <w:vAlign w:val="center"/>
          </w:tcPr>
          <w:p w14:paraId="3E87BB0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May</w:t>
            </w:r>
          </w:p>
        </w:tc>
        <w:tc>
          <w:tcPr>
            <w:tcW w:w="381" w:type="pct"/>
            <w:tcBorders>
              <w:top w:val="nil"/>
              <w:bottom w:val="nil"/>
            </w:tcBorders>
            <w:shd w:val="clear" w:color="auto" w:fill="auto"/>
            <w:vAlign w:val="center"/>
          </w:tcPr>
          <w:p w14:paraId="781EEDE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2016</w:t>
            </w:r>
          </w:p>
        </w:tc>
        <w:tc>
          <w:tcPr>
            <w:tcW w:w="890" w:type="pct"/>
            <w:tcBorders>
              <w:top w:val="nil"/>
              <w:bottom w:val="nil"/>
            </w:tcBorders>
            <w:shd w:val="clear" w:color="auto" w:fill="auto"/>
            <w:tcMar>
              <w:top w:w="0" w:type="dxa"/>
              <w:left w:w="0" w:type="dxa"/>
              <w:right w:w="0" w:type="dxa"/>
            </w:tcMar>
            <w:vAlign w:val="center"/>
          </w:tcPr>
          <w:p w14:paraId="5598D7FC"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63A2B324"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73BF48B0"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0C547543"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036B509E" w14:textId="77777777" w:rsidTr="00F041AB">
        <w:tc>
          <w:tcPr>
            <w:tcW w:w="507" w:type="pct"/>
            <w:tcBorders>
              <w:top w:val="nil"/>
              <w:left w:val="nil"/>
              <w:bottom w:val="nil"/>
            </w:tcBorders>
            <w:shd w:val="clear" w:color="auto" w:fill="auto"/>
            <w:tcMar>
              <w:top w:w="0" w:type="dxa"/>
              <w:left w:w="0" w:type="dxa"/>
              <w:right w:w="0" w:type="dxa"/>
            </w:tcMar>
            <w:vAlign w:val="center"/>
          </w:tcPr>
          <w:p w14:paraId="2644A89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8</w:t>
            </w:r>
          </w:p>
        </w:tc>
        <w:tc>
          <w:tcPr>
            <w:tcW w:w="832" w:type="pct"/>
            <w:tcBorders>
              <w:top w:val="nil"/>
              <w:bottom w:val="nil"/>
            </w:tcBorders>
          </w:tcPr>
          <w:p w14:paraId="33037B19"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FC1607</w:t>
            </w:r>
          </w:p>
        </w:tc>
        <w:tc>
          <w:tcPr>
            <w:tcW w:w="286" w:type="pct"/>
            <w:tcBorders>
              <w:top w:val="nil"/>
              <w:bottom w:val="nil"/>
            </w:tcBorders>
            <w:shd w:val="clear" w:color="auto" w:fill="auto"/>
            <w:tcMar>
              <w:top w:w="0" w:type="dxa"/>
              <w:left w:w="0" w:type="dxa"/>
              <w:right w:w="0" w:type="dxa"/>
            </w:tcMar>
            <w:vAlign w:val="center"/>
          </w:tcPr>
          <w:p w14:paraId="27963F4E"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13-14</w:t>
            </w:r>
          </w:p>
        </w:tc>
        <w:tc>
          <w:tcPr>
            <w:tcW w:w="479" w:type="pct"/>
            <w:tcBorders>
              <w:top w:val="nil"/>
              <w:bottom w:val="nil"/>
            </w:tcBorders>
            <w:shd w:val="clear" w:color="auto" w:fill="auto"/>
            <w:vAlign w:val="center"/>
          </w:tcPr>
          <w:p w14:paraId="4A076947"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Jul</w:t>
            </w:r>
          </w:p>
        </w:tc>
        <w:tc>
          <w:tcPr>
            <w:tcW w:w="381" w:type="pct"/>
            <w:tcBorders>
              <w:top w:val="nil"/>
              <w:bottom w:val="nil"/>
            </w:tcBorders>
            <w:shd w:val="clear" w:color="auto" w:fill="auto"/>
            <w:vAlign w:val="center"/>
          </w:tcPr>
          <w:p w14:paraId="195EAFBF"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2016</w:t>
            </w:r>
          </w:p>
        </w:tc>
        <w:tc>
          <w:tcPr>
            <w:tcW w:w="890" w:type="pct"/>
            <w:tcBorders>
              <w:top w:val="nil"/>
              <w:bottom w:val="nil"/>
            </w:tcBorders>
            <w:shd w:val="clear" w:color="auto" w:fill="auto"/>
            <w:tcMar>
              <w:top w:w="0" w:type="dxa"/>
              <w:left w:w="0" w:type="dxa"/>
              <w:right w:w="0" w:type="dxa"/>
            </w:tcMar>
            <w:vAlign w:val="center"/>
          </w:tcPr>
          <w:p w14:paraId="6088FBE4"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02343AF0"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28C5CC40"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47397C8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06750D73" w14:textId="77777777" w:rsidTr="00F041AB">
        <w:tc>
          <w:tcPr>
            <w:tcW w:w="507" w:type="pct"/>
            <w:tcBorders>
              <w:top w:val="nil"/>
              <w:left w:val="nil"/>
              <w:bottom w:val="nil"/>
            </w:tcBorders>
            <w:shd w:val="clear" w:color="auto" w:fill="auto"/>
            <w:tcMar>
              <w:top w:w="0" w:type="dxa"/>
              <w:left w:w="0" w:type="dxa"/>
              <w:right w:w="0" w:type="dxa"/>
            </w:tcMar>
            <w:vAlign w:val="center"/>
          </w:tcPr>
          <w:p w14:paraId="47005D65"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c>
          <w:tcPr>
            <w:tcW w:w="832" w:type="pct"/>
            <w:tcBorders>
              <w:top w:val="nil"/>
              <w:bottom w:val="nil"/>
            </w:tcBorders>
          </w:tcPr>
          <w:p w14:paraId="740BB4AB"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FC1609</w:t>
            </w:r>
          </w:p>
        </w:tc>
        <w:tc>
          <w:tcPr>
            <w:tcW w:w="286" w:type="pct"/>
            <w:tcBorders>
              <w:top w:val="nil"/>
              <w:bottom w:val="nil"/>
            </w:tcBorders>
            <w:shd w:val="clear" w:color="auto" w:fill="auto"/>
            <w:tcMar>
              <w:top w:w="0" w:type="dxa"/>
              <w:left w:w="0" w:type="dxa"/>
              <w:right w:w="0" w:type="dxa"/>
            </w:tcMar>
            <w:vAlign w:val="center"/>
          </w:tcPr>
          <w:p w14:paraId="001F012E"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15-16</w:t>
            </w:r>
          </w:p>
        </w:tc>
        <w:tc>
          <w:tcPr>
            <w:tcW w:w="479" w:type="pct"/>
            <w:tcBorders>
              <w:top w:val="nil"/>
              <w:bottom w:val="nil"/>
            </w:tcBorders>
            <w:shd w:val="clear" w:color="auto" w:fill="auto"/>
            <w:vAlign w:val="center"/>
          </w:tcPr>
          <w:p w14:paraId="407CFB55"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Sep</w:t>
            </w:r>
          </w:p>
        </w:tc>
        <w:tc>
          <w:tcPr>
            <w:tcW w:w="381" w:type="pct"/>
            <w:tcBorders>
              <w:top w:val="nil"/>
              <w:bottom w:val="nil"/>
            </w:tcBorders>
            <w:shd w:val="clear" w:color="auto" w:fill="auto"/>
            <w:vAlign w:val="center"/>
          </w:tcPr>
          <w:p w14:paraId="15C2B982"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2016</w:t>
            </w:r>
          </w:p>
        </w:tc>
        <w:tc>
          <w:tcPr>
            <w:tcW w:w="890" w:type="pct"/>
            <w:tcBorders>
              <w:top w:val="nil"/>
              <w:bottom w:val="nil"/>
            </w:tcBorders>
            <w:shd w:val="clear" w:color="auto" w:fill="auto"/>
            <w:tcMar>
              <w:top w:w="0" w:type="dxa"/>
              <w:left w:w="0" w:type="dxa"/>
              <w:right w:w="0" w:type="dxa"/>
            </w:tcMar>
            <w:vAlign w:val="center"/>
          </w:tcPr>
          <w:p w14:paraId="6A5378FB"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nil"/>
            </w:tcBorders>
            <w:shd w:val="clear" w:color="auto" w:fill="auto"/>
            <w:tcMar>
              <w:top w:w="0" w:type="dxa"/>
              <w:left w:w="0" w:type="dxa"/>
              <w:right w:w="0" w:type="dxa"/>
            </w:tcMar>
            <w:vAlign w:val="center"/>
          </w:tcPr>
          <w:p w14:paraId="1F551D5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nil"/>
            </w:tcBorders>
          </w:tcPr>
          <w:p w14:paraId="1F533227"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nil"/>
            </w:tcBorders>
            <w:shd w:val="clear" w:color="auto" w:fill="auto"/>
            <w:tcMar>
              <w:top w:w="0" w:type="dxa"/>
              <w:left w:w="0" w:type="dxa"/>
              <w:right w:w="0" w:type="dxa"/>
            </w:tcMar>
            <w:vAlign w:val="center"/>
          </w:tcPr>
          <w:p w14:paraId="55B7C7B3"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0178D0AA" w14:textId="77777777" w:rsidTr="00F041AB">
        <w:tc>
          <w:tcPr>
            <w:tcW w:w="507" w:type="pct"/>
            <w:tcBorders>
              <w:top w:val="nil"/>
              <w:bottom w:val="dotted" w:sz="4" w:space="0" w:color="000000"/>
            </w:tcBorders>
            <w:shd w:val="clear" w:color="auto" w:fill="auto"/>
            <w:tcMar>
              <w:top w:w="0" w:type="dxa"/>
              <w:left w:w="0" w:type="dxa"/>
              <w:right w:w="0" w:type="dxa"/>
            </w:tcMar>
            <w:vAlign w:val="center"/>
          </w:tcPr>
          <w:p w14:paraId="5391AC13"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10</w:t>
            </w:r>
          </w:p>
        </w:tc>
        <w:tc>
          <w:tcPr>
            <w:tcW w:w="832" w:type="pct"/>
            <w:tcBorders>
              <w:top w:val="nil"/>
              <w:bottom w:val="dotted" w:sz="4" w:space="0" w:color="000000"/>
            </w:tcBorders>
          </w:tcPr>
          <w:p w14:paraId="168330B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FC1612</w:t>
            </w:r>
          </w:p>
        </w:tc>
        <w:tc>
          <w:tcPr>
            <w:tcW w:w="286" w:type="pct"/>
            <w:tcBorders>
              <w:top w:val="nil"/>
              <w:bottom w:val="dotted" w:sz="4" w:space="0" w:color="000000"/>
            </w:tcBorders>
            <w:shd w:val="clear" w:color="auto" w:fill="auto"/>
            <w:tcMar>
              <w:top w:w="0" w:type="dxa"/>
              <w:left w:w="0" w:type="dxa"/>
              <w:right w:w="0" w:type="dxa"/>
            </w:tcMar>
            <w:vAlign w:val="center"/>
          </w:tcPr>
          <w:p w14:paraId="41EFBD55"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12-13</w:t>
            </w:r>
          </w:p>
        </w:tc>
        <w:tc>
          <w:tcPr>
            <w:tcW w:w="479" w:type="pct"/>
            <w:tcBorders>
              <w:top w:val="nil"/>
              <w:bottom w:val="dotted" w:sz="4" w:space="0" w:color="000000"/>
            </w:tcBorders>
            <w:shd w:val="clear" w:color="auto" w:fill="auto"/>
            <w:vAlign w:val="center"/>
          </w:tcPr>
          <w:p w14:paraId="253F473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Dec</w:t>
            </w:r>
          </w:p>
        </w:tc>
        <w:tc>
          <w:tcPr>
            <w:tcW w:w="381" w:type="pct"/>
            <w:tcBorders>
              <w:top w:val="nil"/>
              <w:bottom w:val="dotted" w:sz="4" w:space="0" w:color="000000"/>
            </w:tcBorders>
            <w:shd w:val="clear" w:color="auto" w:fill="auto"/>
            <w:vAlign w:val="center"/>
          </w:tcPr>
          <w:p w14:paraId="079BBA96"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2016</w:t>
            </w:r>
          </w:p>
        </w:tc>
        <w:tc>
          <w:tcPr>
            <w:tcW w:w="890" w:type="pct"/>
            <w:tcBorders>
              <w:top w:val="nil"/>
              <w:bottom w:val="dotted" w:sz="4" w:space="0" w:color="000000"/>
            </w:tcBorders>
            <w:shd w:val="clear" w:color="auto" w:fill="auto"/>
            <w:tcMar>
              <w:top w:w="0" w:type="dxa"/>
              <w:left w:w="0" w:type="dxa"/>
              <w:right w:w="0" w:type="dxa"/>
            </w:tcMar>
            <w:vAlign w:val="center"/>
          </w:tcPr>
          <w:p w14:paraId="7C51C968" w14:textId="77777777" w:rsidR="005D6DDD" w:rsidRPr="002D1BB0" w:rsidRDefault="005D6DDD" w:rsidP="00CA6BFC">
            <w:pPr>
              <w:pStyle w:val="Normal1"/>
              <w:spacing w:after="0" w:line="360" w:lineRule="auto"/>
              <w:jc w:val="center"/>
              <w:rPr>
                <w:rFonts w:ascii="Arial" w:hAnsi="Arial" w:cs="Arial"/>
                <w:i/>
                <w:sz w:val="18"/>
                <w:szCs w:val="18"/>
              </w:rPr>
            </w:pPr>
            <w:r w:rsidRPr="002D1BB0">
              <w:rPr>
                <w:rFonts w:ascii="Arial" w:hAnsi="Arial" w:cs="Arial"/>
                <w:i/>
                <w:sz w:val="18"/>
                <w:szCs w:val="18"/>
              </w:rPr>
              <w:t>R/V Walton Smith</w:t>
            </w:r>
          </w:p>
        </w:tc>
        <w:tc>
          <w:tcPr>
            <w:tcW w:w="1328" w:type="pct"/>
            <w:tcBorders>
              <w:top w:val="nil"/>
              <w:bottom w:val="dotted" w:sz="4" w:space="0" w:color="000000"/>
            </w:tcBorders>
            <w:shd w:val="clear" w:color="auto" w:fill="auto"/>
            <w:tcMar>
              <w:top w:w="0" w:type="dxa"/>
              <w:left w:w="0" w:type="dxa"/>
              <w:right w:w="0" w:type="dxa"/>
            </w:tcMar>
            <w:vAlign w:val="center"/>
          </w:tcPr>
          <w:p w14:paraId="68A88E78"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nil"/>
              <w:bottom w:val="dotted" w:sz="4" w:space="0" w:color="000000"/>
            </w:tcBorders>
          </w:tcPr>
          <w:p w14:paraId="256E7CD1"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nil"/>
              <w:bottom w:val="dotted" w:sz="4" w:space="0" w:color="000000"/>
            </w:tcBorders>
            <w:shd w:val="clear" w:color="auto" w:fill="auto"/>
            <w:tcMar>
              <w:top w:w="0" w:type="dxa"/>
              <w:left w:w="0" w:type="dxa"/>
              <w:right w:w="0" w:type="dxa"/>
            </w:tcMar>
            <w:vAlign w:val="center"/>
          </w:tcPr>
          <w:p w14:paraId="1AB734FF"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r w:rsidR="005D6DDD" w:rsidRPr="002D1BB0" w14:paraId="225EC1FF" w14:textId="77777777" w:rsidTr="00F041AB">
        <w:tc>
          <w:tcPr>
            <w:tcW w:w="507" w:type="pct"/>
            <w:tcBorders>
              <w:top w:val="dotted" w:sz="4" w:space="0" w:color="000000"/>
              <w:bottom w:val="single" w:sz="4" w:space="0" w:color="auto"/>
            </w:tcBorders>
            <w:shd w:val="clear" w:color="auto" w:fill="auto"/>
            <w:tcMar>
              <w:top w:w="0" w:type="dxa"/>
              <w:left w:w="0" w:type="dxa"/>
              <w:right w:w="0" w:type="dxa"/>
            </w:tcMar>
            <w:vAlign w:val="center"/>
          </w:tcPr>
          <w:p w14:paraId="12E9BBD0"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11</w:t>
            </w:r>
          </w:p>
        </w:tc>
        <w:tc>
          <w:tcPr>
            <w:tcW w:w="832" w:type="pct"/>
            <w:tcBorders>
              <w:top w:val="dotted" w:sz="4" w:space="0" w:color="000000"/>
              <w:bottom w:val="single" w:sz="4" w:space="0" w:color="auto"/>
            </w:tcBorders>
          </w:tcPr>
          <w:p w14:paraId="2BD6DAEE"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NOAA FC1702</w:t>
            </w:r>
          </w:p>
        </w:tc>
        <w:tc>
          <w:tcPr>
            <w:tcW w:w="286" w:type="pct"/>
            <w:tcBorders>
              <w:top w:val="dotted" w:sz="4" w:space="0" w:color="000000"/>
              <w:bottom w:val="single" w:sz="4" w:space="0" w:color="auto"/>
            </w:tcBorders>
            <w:shd w:val="clear" w:color="auto" w:fill="auto"/>
            <w:tcMar>
              <w:top w:w="0" w:type="dxa"/>
              <w:left w:w="0" w:type="dxa"/>
              <w:right w:w="0" w:type="dxa"/>
            </w:tcMar>
            <w:vAlign w:val="center"/>
          </w:tcPr>
          <w:p w14:paraId="6C999C8F"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7-8</w:t>
            </w:r>
          </w:p>
        </w:tc>
        <w:tc>
          <w:tcPr>
            <w:tcW w:w="479" w:type="pct"/>
            <w:tcBorders>
              <w:top w:val="dotted" w:sz="4" w:space="0" w:color="000000"/>
              <w:bottom w:val="single" w:sz="4" w:space="0" w:color="auto"/>
            </w:tcBorders>
            <w:shd w:val="clear" w:color="auto" w:fill="auto"/>
            <w:vAlign w:val="center"/>
          </w:tcPr>
          <w:p w14:paraId="5C18161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Feb</w:t>
            </w:r>
          </w:p>
        </w:tc>
        <w:tc>
          <w:tcPr>
            <w:tcW w:w="381" w:type="pct"/>
            <w:tcBorders>
              <w:top w:val="dotted" w:sz="4" w:space="0" w:color="000000"/>
              <w:bottom w:val="single" w:sz="4" w:space="0" w:color="auto"/>
            </w:tcBorders>
            <w:shd w:val="clear" w:color="auto" w:fill="auto"/>
            <w:vAlign w:val="center"/>
          </w:tcPr>
          <w:p w14:paraId="23137301"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2017</w:t>
            </w:r>
          </w:p>
        </w:tc>
        <w:tc>
          <w:tcPr>
            <w:tcW w:w="890" w:type="pct"/>
            <w:tcBorders>
              <w:top w:val="dotted" w:sz="4" w:space="0" w:color="000000"/>
              <w:bottom w:val="single" w:sz="4" w:space="0" w:color="auto"/>
            </w:tcBorders>
            <w:shd w:val="clear" w:color="auto" w:fill="auto"/>
            <w:tcMar>
              <w:top w:w="0" w:type="dxa"/>
              <w:left w:w="0" w:type="dxa"/>
              <w:right w:w="0" w:type="dxa"/>
            </w:tcMar>
            <w:vAlign w:val="center"/>
          </w:tcPr>
          <w:p w14:paraId="3C2FA543"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i/>
                <w:sz w:val="18"/>
                <w:szCs w:val="18"/>
              </w:rPr>
              <w:t>R/V Walton Smith</w:t>
            </w:r>
          </w:p>
        </w:tc>
        <w:tc>
          <w:tcPr>
            <w:tcW w:w="1328" w:type="pct"/>
            <w:tcBorders>
              <w:top w:val="dotted" w:sz="4" w:space="0" w:color="000000"/>
              <w:bottom w:val="single" w:sz="4" w:space="0" w:color="auto"/>
            </w:tcBorders>
            <w:shd w:val="clear" w:color="auto" w:fill="auto"/>
            <w:tcMar>
              <w:top w:w="0" w:type="dxa"/>
              <w:left w:w="0" w:type="dxa"/>
              <w:right w:w="0" w:type="dxa"/>
            </w:tcMar>
            <w:vAlign w:val="center"/>
          </w:tcPr>
          <w:p w14:paraId="0AE3C227"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J.A. Hooper, M.O. Baringer</w:t>
            </w:r>
          </w:p>
        </w:tc>
        <w:tc>
          <w:tcPr>
            <w:tcW w:w="136" w:type="pct"/>
            <w:tcBorders>
              <w:top w:val="dotted" w:sz="4" w:space="0" w:color="000000"/>
              <w:bottom w:val="single" w:sz="4" w:space="0" w:color="auto"/>
            </w:tcBorders>
          </w:tcPr>
          <w:p w14:paraId="5E9BF83B" w14:textId="77777777" w:rsidR="005D6DDD" w:rsidRPr="002D1BB0" w:rsidRDefault="005D6DDD" w:rsidP="00CA6BFC">
            <w:pPr>
              <w:pStyle w:val="Normal1"/>
              <w:spacing w:after="0" w:line="360" w:lineRule="auto"/>
              <w:jc w:val="center"/>
              <w:rPr>
                <w:rFonts w:ascii="Arial" w:hAnsi="Arial" w:cs="Arial"/>
                <w:sz w:val="18"/>
                <w:szCs w:val="18"/>
              </w:rPr>
            </w:pPr>
          </w:p>
        </w:tc>
        <w:tc>
          <w:tcPr>
            <w:tcW w:w="162" w:type="pct"/>
            <w:tcBorders>
              <w:top w:val="dotted" w:sz="4" w:space="0" w:color="000000"/>
              <w:bottom w:val="single" w:sz="4" w:space="0" w:color="auto"/>
            </w:tcBorders>
            <w:shd w:val="clear" w:color="auto" w:fill="auto"/>
            <w:tcMar>
              <w:top w:w="0" w:type="dxa"/>
              <w:left w:w="0" w:type="dxa"/>
              <w:right w:w="0" w:type="dxa"/>
            </w:tcMar>
            <w:vAlign w:val="center"/>
          </w:tcPr>
          <w:p w14:paraId="208ED3C4" w14:textId="77777777" w:rsidR="005D6DDD" w:rsidRPr="002D1BB0" w:rsidRDefault="005D6DDD" w:rsidP="00CA6BFC">
            <w:pPr>
              <w:pStyle w:val="Normal1"/>
              <w:spacing w:after="0" w:line="360" w:lineRule="auto"/>
              <w:jc w:val="center"/>
              <w:rPr>
                <w:rFonts w:ascii="Arial" w:hAnsi="Arial" w:cs="Arial"/>
                <w:sz w:val="18"/>
                <w:szCs w:val="18"/>
              </w:rPr>
            </w:pPr>
            <w:r w:rsidRPr="002D1BB0">
              <w:rPr>
                <w:rFonts w:ascii="Arial" w:hAnsi="Arial" w:cs="Arial"/>
                <w:sz w:val="18"/>
                <w:szCs w:val="18"/>
              </w:rPr>
              <w:t>9</w:t>
            </w:r>
          </w:p>
        </w:tc>
      </w:tr>
    </w:tbl>
    <w:p w14:paraId="00A3B65C" w14:textId="50A3B017" w:rsidR="005D6DDD" w:rsidRPr="004E2840" w:rsidRDefault="005D6DDD" w:rsidP="00CA6BFC">
      <w:pPr>
        <w:spacing w:line="360" w:lineRule="auto"/>
        <w:rPr>
          <w:rFonts w:ascii="Arial" w:hAnsi="Arial" w:cs="Arial"/>
          <w:color w:val="000000" w:themeColor="text1"/>
          <w:sz w:val="22"/>
          <w:szCs w:val="22"/>
        </w:rPr>
      </w:pPr>
      <w:r w:rsidRPr="004E2840">
        <w:rPr>
          <w:rFonts w:ascii="Arial" w:hAnsi="Arial" w:cs="Arial"/>
          <w:color w:val="000000" w:themeColor="text1"/>
          <w:sz w:val="22"/>
          <w:szCs w:val="22"/>
        </w:rPr>
        <w:t>* DY040 cruise was carried out across the whole A05-24.5°N section.</w:t>
      </w:r>
      <w:r w:rsidRPr="004E2840">
        <w:rPr>
          <w:rFonts w:ascii="Arial" w:hAnsi="Arial" w:cs="Arial"/>
          <w:color w:val="000000" w:themeColor="text1"/>
          <w:sz w:val="22"/>
          <w:szCs w:val="22"/>
        </w:rPr>
        <w:br w:type="page"/>
      </w:r>
    </w:p>
    <w:p w14:paraId="01A86093" w14:textId="70864BA5" w:rsidR="005D6DDD" w:rsidRPr="00053925" w:rsidRDefault="005D6DDD" w:rsidP="00053925">
      <w:pPr>
        <w:pStyle w:val="Heading1"/>
        <w:keepNext w:val="0"/>
        <w:keepLines w:val="0"/>
        <w:spacing w:before="0" w:after="240" w:line="360" w:lineRule="auto"/>
        <w:jc w:val="both"/>
        <w:rPr>
          <w:rFonts w:ascii="Arial" w:hAnsi="Arial" w:cs="Arial"/>
          <w:color w:val="000000" w:themeColor="text1"/>
          <w:sz w:val="22"/>
          <w:szCs w:val="22"/>
        </w:rPr>
      </w:pPr>
      <w:r w:rsidRPr="002101B9">
        <w:rPr>
          <w:rFonts w:ascii="Arial" w:hAnsi="Arial" w:cs="Arial"/>
          <w:b/>
          <w:color w:val="000000" w:themeColor="text1"/>
          <w:sz w:val="22"/>
          <w:szCs w:val="22"/>
        </w:rPr>
        <w:lastRenderedPageBreak/>
        <w:t>Table S</w:t>
      </w:r>
      <w:r w:rsidR="00E1460D" w:rsidRPr="002101B9">
        <w:rPr>
          <w:rFonts w:ascii="Arial" w:hAnsi="Arial" w:cs="Arial"/>
          <w:b/>
          <w:color w:val="000000" w:themeColor="text1"/>
          <w:sz w:val="22"/>
          <w:szCs w:val="22"/>
        </w:rPr>
        <w:t>4</w:t>
      </w:r>
      <w:r w:rsidRPr="002101B9">
        <w:rPr>
          <w:rFonts w:ascii="Arial" w:hAnsi="Arial" w:cs="Arial"/>
          <w:b/>
          <w:color w:val="000000" w:themeColor="text1"/>
          <w:sz w:val="22"/>
          <w:szCs w:val="22"/>
        </w:rPr>
        <w:t>a.</w:t>
      </w:r>
      <w:r w:rsidRPr="002101B9">
        <w:rPr>
          <w:rFonts w:ascii="Arial" w:hAnsi="Arial" w:cs="Arial"/>
          <w:color w:val="000000" w:themeColor="text1"/>
          <w:sz w:val="22"/>
          <w:szCs w:val="22"/>
        </w:rPr>
        <w:t xml:space="preserve"> Volume </w:t>
      </w:r>
      <w:r w:rsidRPr="004E2840">
        <w:rPr>
          <w:rFonts w:ascii="Arial" w:hAnsi="Arial" w:cs="Arial"/>
          <w:color w:val="000000" w:themeColor="text1"/>
          <w:sz w:val="22"/>
          <w:szCs w:val="22"/>
        </w:rPr>
        <w:t>(T</w:t>
      </w:r>
      <w:r w:rsidRPr="004E2840">
        <w:rPr>
          <w:rFonts w:ascii="Arial" w:hAnsi="Arial" w:cs="Arial"/>
          <w:color w:val="000000" w:themeColor="text1"/>
          <w:sz w:val="22"/>
          <w:szCs w:val="22"/>
          <w:vertAlign w:val="subscript"/>
        </w:rPr>
        <w:t>vol</w:t>
      </w:r>
      <w:r w:rsidRPr="004E2840">
        <w:rPr>
          <w:rFonts w:ascii="Arial" w:hAnsi="Arial" w:cs="Arial"/>
          <w:color w:val="000000" w:themeColor="text1"/>
          <w:sz w:val="22"/>
          <w:szCs w:val="22"/>
        </w:rPr>
        <w:t>)  and nutrient (T</w:t>
      </w:r>
      <w:r w:rsidRPr="004E2840">
        <w:rPr>
          <w:rFonts w:ascii="Arial" w:hAnsi="Arial" w:cs="Arial"/>
          <w:color w:val="000000" w:themeColor="text1"/>
          <w:sz w:val="22"/>
          <w:szCs w:val="22"/>
          <w:vertAlign w:val="subscript"/>
        </w:rPr>
        <w:t>sil</w:t>
      </w:r>
      <w:r w:rsidRPr="004E2840">
        <w:rPr>
          <w:rFonts w:ascii="Arial" w:hAnsi="Arial" w:cs="Arial"/>
          <w:color w:val="000000" w:themeColor="text1"/>
          <w:sz w:val="22"/>
          <w:szCs w:val="22"/>
        </w:rPr>
        <w:t>, T</w:t>
      </w:r>
      <w:r w:rsidRPr="004E2840">
        <w:rPr>
          <w:rFonts w:ascii="Arial" w:hAnsi="Arial" w:cs="Arial"/>
          <w:color w:val="000000" w:themeColor="text1"/>
          <w:sz w:val="22"/>
          <w:szCs w:val="22"/>
          <w:vertAlign w:val="subscript"/>
        </w:rPr>
        <w:t>nit</w:t>
      </w:r>
      <w:r w:rsidRPr="004E2840">
        <w:rPr>
          <w:rFonts w:ascii="Arial" w:hAnsi="Arial" w:cs="Arial"/>
          <w:color w:val="000000" w:themeColor="text1"/>
          <w:sz w:val="22"/>
          <w:szCs w:val="22"/>
        </w:rPr>
        <w:t>, T</w:t>
      </w:r>
      <w:r w:rsidRPr="004E2840">
        <w:rPr>
          <w:rFonts w:ascii="Arial" w:hAnsi="Arial" w:cs="Arial"/>
          <w:color w:val="000000" w:themeColor="text1"/>
          <w:sz w:val="22"/>
          <w:szCs w:val="22"/>
          <w:vertAlign w:val="subscript"/>
        </w:rPr>
        <w:t>phos</w:t>
      </w:r>
      <w:r w:rsidRPr="004E2840">
        <w:rPr>
          <w:rFonts w:ascii="Arial" w:hAnsi="Arial" w:cs="Arial"/>
          <w:color w:val="000000" w:themeColor="text1"/>
          <w:sz w:val="22"/>
          <w:szCs w:val="22"/>
        </w:rPr>
        <w:t xml:space="preserve">) transports across Davis Straits by vertical levels (see </w:t>
      </w:r>
      <w:r w:rsidRPr="004E2840">
        <w:rPr>
          <w:rFonts w:ascii="Arial" w:hAnsi="Arial" w:cs="Arial"/>
          <w:color w:val="000000" w:themeColor="text1"/>
          <w:sz w:val="22"/>
          <w:szCs w:val="22"/>
        </w:rPr>
        <w:fldChar w:fldCharType="begin"/>
      </w:r>
      <w:r w:rsidR="00387A35">
        <w:rPr>
          <w:rFonts w:ascii="Arial" w:hAnsi="Arial" w:cs="Arial"/>
          <w:color w:val="000000" w:themeColor="text1"/>
          <w:sz w:val="22"/>
          <w:szCs w:val="22"/>
        </w:rPr>
        <w:instrText xml:space="preserve"> ADDIN ZOTERO_ITEM CSL_CITATION {"citationID":"VZGlStOJ","properties":{"formattedCitation":"(Torres-Vald\\uc0\\u233{}s et al., 2013)","plainCitation":"(Torres-Valdés et al., 2013)","dontUpdate":true,"noteIndex":0},"citationItems":[{"id":878,"uris":["http://zotero.org/users/951135/items/MNZF8WUK"],"uri":["http://zotero.org/users/951135/items/MNZF8WUK"],"itemData":{"id":878,"type":"article-journal","abstract":"This study provides the first physically based mass-balanced transport estimates of dissolved inorganic nutrients (nitrate, phosphate, and silicate) for the Arctic Ocean. Using an inverse model-generated velocity field in combination with a quasi-synoptic assemblage of hydrographic and hydrochemical data, we quantify nutrient transports across the main Arctic Ocean gateways: Davis Strait, Fram Strait, the Barents Sea Opening (BSO), and Bering Strait. We found that the major exports of all three nutrients occur via Davis Strait. Transports associated with the East Greenland Current are almost balanced by transports associated with the West Spitsbergen Current. The most important imports of nitrate and phosphate to the Arctic occur via the BSO, and the most important import of silicate occurs via Bering Strait. Oceanic budgets show that statistically robust net silicate and phosphate exports exist, while the net nitrate flux is zero, within the uncertainty limits. The Arctic Ocean is a net exporter of silicate (−15.7 ± 3.2 kmol s−1) and phosphate (−1.0 ± 0.3 kmol s−1; net ± 1 standard error) to the North Atlantic. The export of excess phosphate (relative to nitrate) from the Arctic, calculated at −1.1 ± 0.3 kmol s−1, is almost twice as large as previously estimated. Net transports of silicate and phosphate from the Arctic Ocean provide 12% and 90%, respectively, of the net southward fluxes estimated at 47°N in the North Atlantic. Additional sources of nutrients that may offset nutrient imbalances are explored, and the relevance and the pathway of nutrient transports to the North Atlantic are discussed.","container-title":"Journal of Geophysical Research: Oceans","DOI":"10.1002/jgrc.20063","ISSN":"2169-9291","issue":"4","journalAbbreviation":"J. Geophys. Res. Oceans","language":"en","page":"1625-1644","source":"Wiley Online Library","title":"Export of nutrients from the Arctic Ocean","volume":"118","author":[{"family":"Torres-Valdés","given":"Sinhué"},{"family":"Tsubouchi","given":"Takamasa"},{"family":"Bacon","given":"Sheldon"},{"family":"Naveira-Garabato","given":"Alberto C."},{"family":"Sanders","given":"Richards"},{"family":"McLaughlin","given":"Fiona A."},{"family":"Petrie","given":"Brian"},{"family":"Kattner","given":"Gerhard"},{"family":"Azetsu-Scott","given":"Kumiko"},{"family":"Whitledge","given":"Terry E."}],"issued":{"date-parts":[["2013",4,1]]}}}],"schema":"https://github.com/citation-style-language/schema/raw/master/csl-citation.json"} </w:instrText>
      </w:r>
      <w:r w:rsidRPr="004E2840">
        <w:rPr>
          <w:rFonts w:ascii="Arial" w:hAnsi="Arial" w:cs="Arial"/>
          <w:color w:val="000000" w:themeColor="text1"/>
          <w:sz w:val="22"/>
          <w:szCs w:val="22"/>
        </w:rPr>
        <w:fldChar w:fldCharType="separate"/>
      </w:r>
      <w:r w:rsidRPr="004E2840">
        <w:rPr>
          <w:rFonts w:ascii="Arial" w:hAnsi="Arial" w:cs="Arial"/>
          <w:color w:val="000000" w:themeColor="text1"/>
          <w:sz w:val="22"/>
        </w:rPr>
        <w:t>Torres-Valdés et al. (2013)</w:t>
      </w:r>
      <w:r w:rsidRPr="004E2840">
        <w:rPr>
          <w:rFonts w:ascii="Arial" w:hAnsi="Arial" w:cs="Arial"/>
          <w:color w:val="000000" w:themeColor="text1"/>
          <w:sz w:val="22"/>
          <w:szCs w:val="22"/>
        </w:rPr>
        <w:fldChar w:fldCharType="end"/>
      </w:r>
      <w:r w:rsidRPr="004E2840">
        <w:rPr>
          <w:rFonts w:ascii="Arial" w:hAnsi="Arial" w:cs="Arial"/>
          <w:color w:val="000000" w:themeColor="text1"/>
          <w:sz w:val="22"/>
          <w:szCs w:val="22"/>
        </w:rPr>
        <w:t xml:space="preserve"> for layer definitions). TW accounts for the transport weighted properties, as obtained from </w:t>
      </w:r>
      <w:r w:rsidRPr="004E2840">
        <w:rPr>
          <w:rFonts w:ascii="Arial" w:hAnsi="Arial" w:cs="Arial"/>
          <w:color w:val="000000" w:themeColor="text1"/>
          <w:sz w:val="22"/>
          <w:szCs w:val="22"/>
        </w:rPr>
        <w:fldChar w:fldCharType="begin"/>
      </w:r>
      <w:r w:rsidR="00387A35">
        <w:rPr>
          <w:rFonts w:ascii="Arial" w:hAnsi="Arial" w:cs="Arial"/>
          <w:color w:val="000000" w:themeColor="text1"/>
          <w:sz w:val="22"/>
          <w:szCs w:val="22"/>
        </w:rPr>
        <w:instrText xml:space="preserve"> ADDIN ZOTERO_ITEM CSL_CITATION {"citationID":"vUmwrct8","properties":{"formattedCitation":"(Torres-Vald\\uc0\\u233{}s et al., 2013)","plainCitation":"(Torres-Valdés et al., 2013)","dontUpdate":true,"noteIndex":0},"citationItems":[{"id":878,"uris":["http://zotero.org/users/951135/items/MNZF8WUK"],"uri":["http://zotero.org/users/951135/items/MNZF8WUK"],"itemData":{"id":878,"type":"article-journal","abstract":"This study provides the first physically based mass-balanced transport estimates of dissolved inorganic nutrients (nitrate, phosphate, and silicate) for the Arctic Ocean. Using an inverse model-generated velocity field in combination with a quasi-synoptic assemblage of hydrographic and hydrochemical data, we quantify nutrient transports across the main Arctic Ocean gateways: Davis Strait, Fram Strait, the Barents Sea Opening (BSO), and Bering Strait. We found that the major exports of all three nutrients occur via Davis Strait. Transports associated with the East Greenland Current are almost balanced by transports associated with the West Spitsbergen Current. The most important imports of nitrate and phosphate to the Arctic occur via the BSO, and the most important import of silicate occurs via Bering Strait. Oceanic budgets show that statistically robust net silicate and phosphate exports exist, while the net nitrate flux is zero, within the uncertainty limits. The Arctic Ocean is a net exporter of silicate (−15.7 ± 3.2 kmol s−1) and phosphate (−1.0 ± 0.3 kmol s−1; net ± 1 standard error) to the North Atlantic. The export of excess phosphate (relative to nitrate) from the Arctic, calculated at −1.1 ± 0.3 kmol s−1, is almost twice as large as previously estimated. Net transports of silicate and phosphate from the Arctic Ocean provide 12% and 90%, respectively, of the net southward fluxes estimated at 47°N in the North Atlantic. Additional sources of nutrients that may offset nutrient imbalances are explored, and the relevance and the pathway of nutrient transports to the North Atlantic are discussed.","container-title":"Journal of Geophysical Research: Oceans","DOI":"10.1002/jgrc.20063","ISSN":"2169-9291","issue":"4","journalAbbreviation":"J. Geophys. Res. Oceans","language":"en","page":"1625-1644","source":"Wiley Online Library","title":"Export of nutrients from the Arctic Ocean","volume":"118","author":[{"family":"Torres-Valdés","given":"Sinhué"},{"family":"Tsubouchi","given":"Takamasa"},{"family":"Bacon","given":"Sheldon"},{"family":"Naveira-Garabato","given":"Alberto C."},{"family":"Sanders","given":"Richards"},{"family":"McLaughlin","given":"Fiona A."},{"family":"Petrie","given":"Brian"},{"family":"Kattner","given":"Gerhard"},{"family":"Azetsu-Scott","given":"Kumiko"},{"family":"Whitledge","given":"Terry E."}],"issued":{"date-parts":[["2013",4,1]]}}}],"schema":"https://github.com/citation-style-language/schema/raw/master/csl-citation.json"} </w:instrText>
      </w:r>
      <w:r w:rsidRPr="004E2840">
        <w:rPr>
          <w:rFonts w:ascii="Arial" w:hAnsi="Arial" w:cs="Arial"/>
          <w:color w:val="000000" w:themeColor="text1"/>
          <w:sz w:val="22"/>
          <w:szCs w:val="22"/>
        </w:rPr>
        <w:fldChar w:fldCharType="separate"/>
      </w:r>
      <w:r w:rsidRPr="004E2840">
        <w:rPr>
          <w:rFonts w:ascii="Arial" w:hAnsi="Arial" w:cs="Arial"/>
          <w:color w:val="000000" w:themeColor="text1"/>
          <w:sz w:val="22"/>
        </w:rPr>
        <w:t>Torres-Valdés et al. (2013)</w:t>
      </w:r>
      <w:r w:rsidRPr="004E2840">
        <w:rPr>
          <w:rFonts w:ascii="Arial" w:hAnsi="Arial" w:cs="Arial"/>
          <w:color w:val="000000" w:themeColor="text1"/>
          <w:sz w:val="22"/>
          <w:szCs w:val="22"/>
        </w:rPr>
        <w:fldChar w:fldCharType="end"/>
      </w:r>
      <w:r w:rsidRPr="004E2840">
        <w:rPr>
          <w:rFonts w:ascii="Arial" w:hAnsi="Arial" w:cs="Arial"/>
          <w:color w:val="000000" w:themeColor="text1"/>
          <w:sz w:val="22"/>
          <w:szCs w:val="22"/>
        </w:rPr>
        <w:t>. T</w:t>
      </w:r>
      <w:r w:rsidRPr="004E2840">
        <w:rPr>
          <w:rFonts w:ascii="Arial" w:hAnsi="Arial" w:cs="Arial"/>
          <w:color w:val="000000" w:themeColor="text1"/>
          <w:sz w:val="22"/>
          <w:szCs w:val="22"/>
          <w:vertAlign w:val="subscript"/>
        </w:rPr>
        <w:t>sil</w:t>
      </w:r>
      <w:r w:rsidRPr="004E2840">
        <w:rPr>
          <w:rFonts w:ascii="Arial" w:hAnsi="Arial" w:cs="Arial"/>
          <w:color w:val="000000" w:themeColor="text1"/>
          <w:sz w:val="22"/>
          <w:szCs w:val="22"/>
        </w:rPr>
        <w:t>, T</w:t>
      </w:r>
      <w:r w:rsidRPr="004E2840">
        <w:rPr>
          <w:rFonts w:ascii="Arial" w:hAnsi="Arial" w:cs="Arial"/>
          <w:color w:val="000000" w:themeColor="text1"/>
          <w:sz w:val="22"/>
          <w:szCs w:val="22"/>
          <w:vertAlign w:val="subscript"/>
        </w:rPr>
        <w:t>nit</w:t>
      </w:r>
      <w:r w:rsidRPr="004E2840">
        <w:rPr>
          <w:rFonts w:ascii="Arial" w:hAnsi="Arial" w:cs="Arial"/>
          <w:color w:val="000000" w:themeColor="text1"/>
          <w:sz w:val="22"/>
          <w:szCs w:val="22"/>
        </w:rPr>
        <w:t xml:space="preserve"> and T</w:t>
      </w:r>
      <w:r w:rsidRPr="004E2840">
        <w:rPr>
          <w:rFonts w:ascii="Arial" w:hAnsi="Arial" w:cs="Arial"/>
          <w:color w:val="000000" w:themeColor="text1"/>
          <w:sz w:val="22"/>
          <w:szCs w:val="22"/>
          <w:vertAlign w:val="subscript"/>
        </w:rPr>
        <w:t xml:space="preserve">phos </w:t>
      </w:r>
      <w:r w:rsidRPr="004E2840">
        <w:rPr>
          <w:rFonts w:ascii="Arial" w:hAnsi="Arial" w:cs="Arial"/>
          <w:color w:val="000000" w:themeColor="text1"/>
          <w:sz w:val="22"/>
          <w:szCs w:val="22"/>
        </w:rPr>
        <w:t xml:space="preserve">at given layer result from multiplying the TW property at the given layer by the volume transport of that layer (volume transport estimates by </w:t>
      </w:r>
      <w:r w:rsidRPr="004E2840">
        <w:rPr>
          <w:rFonts w:ascii="Arial" w:hAnsi="Arial" w:cs="Arial"/>
          <w:color w:val="000000" w:themeColor="text1"/>
          <w:sz w:val="22"/>
          <w:szCs w:val="22"/>
        </w:rPr>
        <w:fldChar w:fldCharType="begin"/>
      </w:r>
      <w:r w:rsidR="00387A35">
        <w:rPr>
          <w:rFonts w:ascii="Arial" w:hAnsi="Arial" w:cs="Arial"/>
          <w:color w:val="000000" w:themeColor="text1"/>
          <w:sz w:val="22"/>
          <w:szCs w:val="22"/>
        </w:rPr>
        <w:instrText xml:space="preserve"> ADDIN ZOTERO_ITEM CSL_CITATION {"citationID":"sLj7wlNl","properties":{"formattedCitation":"(Curry et al., 2013)","plainCitation":"(Curry et al., 2013)","dontUpdate":true,"noteIndex":0},"citationItems":[{"id":876,"uris":["http://zotero.org/users/951135/items/N3MWV3ZU"],"uri":["http://zotero.org/users/951135/items/N3MWV3ZU"],"itemData":{"id":876,"type":"article-journal","abstract":"Davis Strait is a primary gateway for freshwater exchange between the Arctic and North Atlantic Oceans including freshwater contributions from west Greenland and Canadian Arctic Archipelago glacial melt. Data from six years (2004–10) of continuous measurements collected by a full-strait moored array and concurrent high-resolution Seaglider surveys are used to estimate volume and liquid freshwater transports through Davis Strait, with respective annual averages of −1.6 ± 0.5 Sverdrups (Sv; 1 Sv ≡ 106 m3 s−1) and −93 ± 6 mSv (negative sign indicates southward transport). Sea ice export contributes an additional −10 ± 1 mSv of freshwater transport, estimated using satellite ice area transport and moored upward-looking sonar ice thickness measurements. Interannual and annual variability of the net transports are large, with average annual volume and liquid freshwater transport standard deviations of 0.7 Sv and 17 mSv and with interannual standard deviations of 0.3 Sv and 15 mSv. Moreover, there are no clear trends in the net transports over the 6-yr period. However, salinity in the upper 250 m between Baffin Island and midstrait decreases starting in September 2009 and remains below average through August 2010, but appears to return to normal by the end of 2010. This freshening event, likely caused by changes in arctic freshwater storage, is not apparent in the liquid freshwater transport time series due to a reduction in southward volume transport in 2009–10. Reanalysis of Davis Strait mooring data from the period 1987–90, compared to the 2004–10 measurements, reveals less arctic outflow and warmer, more saline North Atlantic inflow during the most recent period.","container-title":"Journal of Physical Oceanography","DOI":"10.1175/JPO-D-13-0177.1","ISSN":"0022-3670","issue":"4","journalAbbreviation":"J. Phys. Oceanogr.","page":"1244-1266","source":"journals.ametsoc.org (Atypon)","title":"Multiyear Volume, Liquid Freshwater, and Sea Ice Transports through Davis Strait, 2004–10","volume":"44","author":[{"family":"Curry","given":"B."},{"family":"Lee","given":"C. M."},{"family":"Petrie","given":"B."},{"family":"Moritz","given":"R. E."},{"family":"Kwok","given":"R."}],"issued":{"date-parts":[["2013",12,18]]}}}],"schema":"https://github.com/citation-style-language/schema/raw/master/csl-citation.json"} </w:instrText>
      </w:r>
      <w:r w:rsidRPr="004E2840">
        <w:rPr>
          <w:rFonts w:ascii="Arial" w:hAnsi="Arial" w:cs="Arial"/>
          <w:color w:val="000000" w:themeColor="text1"/>
          <w:sz w:val="22"/>
          <w:szCs w:val="22"/>
        </w:rPr>
        <w:fldChar w:fldCharType="separate"/>
      </w:r>
      <w:r w:rsidRPr="004E2840">
        <w:rPr>
          <w:rFonts w:ascii="Arial" w:hAnsi="Arial" w:cs="Arial"/>
          <w:noProof/>
          <w:color w:val="000000" w:themeColor="text1"/>
          <w:sz w:val="22"/>
          <w:szCs w:val="22"/>
        </w:rPr>
        <w:t>Curry et al., 201</w:t>
      </w:r>
      <w:r w:rsidR="00CB1EBE">
        <w:rPr>
          <w:rFonts w:ascii="Arial" w:hAnsi="Arial" w:cs="Arial"/>
          <w:noProof/>
          <w:color w:val="000000" w:themeColor="text1"/>
          <w:sz w:val="22"/>
          <w:szCs w:val="22"/>
        </w:rPr>
        <w:t>4</w:t>
      </w:r>
      <w:r w:rsidRPr="004E2840">
        <w:rPr>
          <w:rFonts w:ascii="Arial" w:hAnsi="Arial" w:cs="Arial"/>
          <w:noProof/>
          <w:color w:val="000000" w:themeColor="text1"/>
          <w:sz w:val="22"/>
          <w:szCs w:val="22"/>
        </w:rPr>
        <w:t>)</w:t>
      </w:r>
      <w:r w:rsidRPr="004E2840">
        <w:rPr>
          <w:rFonts w:ascii="Arial" w:hAnsi="Arial" w:cs="Arial"/>
          <w:color w:val="000000" w:themeColor="text1"/>
          <w:sz w:val="22"/>
          <w:szCs w:val="22"/>
        </w:rPr>
        <w:fldChar w:fldCharType="end"/>
      </w:r>
      <w:r w:rsidRPr="004E2840">
        <w:rPr>
          <w:rFonts w:ascii="Arial" w:hAnsi="Arial" w:cs="Arial"/>
          <w:color w:val="000000" w:themeColor="text1"/>
          <w:sz w:val="22"/>
          <w:szCs w:val="22"/>
        </w:rPr>
        <w:t>. Finally, total transport weighted nutrients* were estimated as the total nutrient transport divided by the total volume transport.</w:t>
      </w:r>
    </w:p>
    <w:tbl>
      <w:tblPr>
        <w:tblW w:w="5000" w:type="pct"/>
        <w:tblCellMar>
          <w:left w:w="28" w:type="dxa"/>
          <w:right w:w="28" w:type="dxa"/>
        </w:tblCellMar>
        <w:tblLook w:val="04A0" w:firstRow="1" w:lastRow="0" w:firstColumn="1" w:lastColumn="0" w:noHBand="0" w:noVBand="1"/>
      </w:tblPr>
      <w:tblGrid>
        <w:gridCol w:w="2810"/>
        <w:gridCol w:w="734"/>
        <w:gridCol w:w="954"/>
        <w:gridCol w:w="972"/>
        <w:gridCol w:w="1250"/>
        <w:gridCol w:w="88"/>
        <w:gridCol w:w="740"/>
        <w:gridCol w:w="740"/>
        <w:gridCol w:w="732"/>
      </w:tblGrid>
      <w:tr w:rsidR="005D6DDD" w:rsidRPr="004E2840" w14:paraId="5F38CDDB" w14:textId="77777777" w:rsidTr="00053925">
        <w:trPr>
          <w:trHeight w:val="283"/>
        </w:trPr>
        <w:tc>
          <w:tcPr>
            <w:tcW w:w="1557" w:type="pct"/>
            <w:tcBorders>
              <w:top w:val="nil"/>
              <w:left w:val="nil"/>
              <w:bottom w:val="nil"/>
              <w:right w:val="nil"/>
            </w:tcBorders>
            <w:shd w:val="clear" w:color="auto" w:fill="auto"/>
            <w:noWrap/>
            <w:vAlign w:val="bottom"/>
            <w:hideMark/>
          </w:tcPr>
          <w:p w14:paraId="338D9256" w14:textId="77777777" w:rsidR="005D6DDD" w:rsidRPr="004E2840" w:rsidRDefault="005D6DDD" w:rsidP="00053925">
            <w:pPr>
              <w:spacing w:line="220" w:lineRule="atLeast"/>
              <w:rPr>
                <w:rFonts w:ascii="Arial" w:hAnsi="Arial" w:cs="Arial"/>
                <w:color w:val="000000" w:themeColor="text1"/>
                <w:sz w:val="20"/>
                <w:szCs w:val="20"/>
              </w:rPr>
            </w:pPr>
          </w:p>
        </w:tc>
        <w:tc>
          <w:tcPr>
            <w:tcW w:w="407" w:type="pct"/>
            <w:tcBorders>
              <w:top w:val="single" w:sz="4" w:space="0" w:color="auto"/>
              <w:left w:val="nil"/>
              <w:bottom w:val="nil"/>
              <w:right w:val="nil"/>
            </w:tcBorders>
            <w:shd w:val="clear" w:color="auto" w:fill="auto"/>
            <w:noWrap/>
            <w:vAlign w:val="bottom"/>
            <w:hideMark/>
          </w:tcPr>
          <w:p w14:paraId="5933CA27"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t>
            </w:r>
            <w:r w:rsidRPr="004E2840">
              <w:rPr>
                <w:rFonts w:ascii="Arial" w:hAnsi="Arial" w:cs="Arial"/>
                <w:b/>
                <w:bCs/>
                <w:color w:val="000000" w:themeColor="text1"/>
                <w:sz w:val="22"/>
                <w:szCs w:val="22"/>
                <w:vertAlign w:val="subscript"/>
              </w:rPr>
              <w:t>vol</w:t>
            </w:r>
          </w:p>
        </w:tc>
        <w:tc>
          <w:tcPr>
            <w:tcW w:w="529" w:type="pct"/>
            <w:tcBorders>
              <w:top w:val="single" w:sz="4" w:space="0" w:color="auto"/>
              <w:left w:val="nil"/>
              <w:bottom w:val="single" w:sz="4" w:space="0" w:color="auto"/>
              <w:right w:val="nil"/>
            </w:tcBorders>
            <w:shd w:val="clear" w:color="auto" w:fill="auto"/>
            <w:noWrap/>
            <w:vAlign w:val="bottom"/>
            <w:hideMark/>
          </w:tcPr>
          <w:p w14:paraId="32DF2880"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TW-sil</w:t>
            </w:r>
          </w:p>
        </w:tc>
        <w:tc>
          <w:tcPr>
            <w:tcW w:w="539" w:type="pct"/>
            <w:tcBorders>
              <w:top w:val="single" w:sz="4" w:space="0" w:color="auto"/>
              <w:left w:val="nil"/>
              <w:bottom w:val="single" w:sz="4" w:space="0" w:color="auto"/>
              <w:right w:val="nil"/>
            </w:tcBorders>
            <w:shd w:val="clear" w:color="auto" w:fill="auto"/>
            <w:noWrap/>
            <w:vAlign w:val="bottom"/>
            <w:hideMark/>
          </w:tcPr>
          <w:p w14:paraId="36218F11"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TW-nit</w:t>
            </w:r>
          </w:p>
        </w:tc>
        <w:tc>
          <w:tcPr>
            <w:tcW w:w="693" w:type="pct"/>
            <w:tcBorders>
              <w:top w:val="single" w:sz="4" w:space="0" w:color="auto"/>
              <w:left w:val="nil"/>
              <w:bottom w:val="single" w:sz="4" w:space="0" w:color="auto"/>
              <w:right w:val="nil"/>
            </w:tcBorders>
            <w:shd w:val="clear" w:color="auto" w:fill="auto"/>
            <w:noWrap/>
            <w:vAlign w:val="bottom"/>
            <w:hideMark/>
          </w:tcPr>
          <w:p w14:paraId="407A4D7A"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TW-phos</w:t>
            </w:r>
          </w:p>
        </w:tc>
        <w:tc>
          <w:tcPr>
            <w:tcW w:w="49" w:type="pct"/>
            <w:tcBorders>
              <w:top w:val="single" w:sz="4" w:space="0" w:color="auto"/>
              <w:left w:val="nil"/>
              <w:right w:val="nil"/>
            </w:tcBorders>
          </w:tcPr>
          <w:p w14:paraId="2EFB140B" w14:textId="77777777" w:rsidR="005D6DDD" w:rsidRPr="004E2840" w:rsidRDefault="005D6DDD" w:rsidP="00053925">
            <w:pPr>
              <w:spacing w:line="220" w:lineRule="atLeast"/>
              <w:jc w:val="center"/>
              <w:rPr>
                <w:rFonts w:ascii="Arial" w:hAnsi="Arial" w:cs="Arial"/>
                <w:b/>
                <w:bCs/>
                <w:color w:val="000000" w:themeColor="text1"/>
                <w:sz w:val="22"/>
                <w:szCs w:val="22"/>
              </w:rPr>
            </w:pPr>
          </w:p>
        </w:tc>
        <w:tc>
          <w:tcPr>
            <w:tcW w:w="410" w:type="pct"/>
            <w:tcBorders>
              <w:top w:val="single" w:sz="4" w:space="0" w:color="auto"/>
              <w:left w:val="nil"/>
              <w:bottom w:val="single" w:sz="4" w:space="0" w:color="auto"/>
              <w:right w:val="nil"/>
            </w:tcBorders>
            <w:shd w:val="clear" w:color="auto" w:fill="auto"/>
            <w:noWrap/>
            <w:vAlign w:val="bottom"/>
            <w:hideMark/>
          </w:tcPr>
          <w:p w14:paraId="713CB1DA"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t>
            </w:r>
            <w:r w:rsidRPr="004E2840">
              <w:rPr>
                <w:rFonts w:ascii="Arial" w:hAnsi="Arial" w:cs="Arial"/>
                <w:b/>
                <w:bCs/>
                <w:color w:val="000000" w:themeColor="text1"/>
                <w:sz w:val="22"/>
                <w:szCs w:val="22"/>
                <w:vertAlign w:val="subscript"/>
              </w:rPr>
              <w:t>sil</w:t>
            </w:r>
          </w:p>
        </w:tc>
        <w:tc>
          <w:tcPr>
            <w:tcW w:w="410" w:type="pct"/>
            <w:tcBorders>
              <w:top w:val="single" w:sz="4" w:space="0" w:color="auto"/>
              <w:left w:val="nil"/>
              <w:bottom w:val="single" w:sz="4" w:space="0" w:color="auto"/>
              <w:right w:val="nil"/>
            </w:tcBorders>
            <w:shd w:val="clear" w:color="auto" w:fill="auto"/>
            <w:noWrap/>
            <w:vAlign w:val="bottom"/>
            <w:hideMark/>
          </w:tcPr>
          <w:p w14:paraId="407FD974"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t>
            </w:r>
            <w:r w:rsidRPr="004E2840">
              <w:rPr>
                <w:rFonts w:ascii="Arial" w:hAnsi="Arial" w:cs="Arial"/>
                <w:b/>
                <w:bCs/>
                <w:color w:val="000000" w:themeColor="text1"/>
                <w:sz w:val="22"/>
                <w:szCs w:val="22"/>
                <w:vertAlign w:val="subscript"/>
              </w:rPr>
              <w:t>nit</w:t>
            </w:r>
          </w:p>
        </w:tc>
        <w:tc>
          <w:tcPr>
            <w:tcW w:w="406" w:type="pct"/>
            <w:tcBorders>
              <w:top w:val="single" w:sz="4" w:space="0" w:color="auto"/>
              <w:left w:val="nil"/>
              <w:bottom w:val="single" w:sz="4" w:space="0" w:color="auto"/>
              <w:right w:val="nil"/>
            </w:tcBorders>
            <w:shd w:val="clear" w:color="auto" w:fill="auto"/>
            <w:noWrap/>
            <w:vAlign w:val="bottom"/>
            <w:hideMark/>
          </w:tcPr>
          <w:p w14:paraId="03C6084B"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t>
            </w:r>
            <w:r w:rsidRPr="004E2840">
              <w:rPr>
                <w:rFonts w:ascii="Arial" w:hAnsi="Arial" w:cs="Arial"/>
                <w:b/>
                <w:bCs/>
                <w:color w:val="000000" w:themeColor="text1"/>
                <w:sz w:val="22"/>
                <w:szCs w:val="22"/>
                <w:vertAlign w:val="subscript"/>
              </w:rPr>
              <w:t>phos</w:t>
            </w:r>
          </w:p>
        </w:tc>
      </w:tr>
      <w:tr w:rsidR="005D6DDD" w:rsidRPr="004E2840" w14:paraId="2E1A19BC" w14:textId="77777777" w:rsidTr="00053925">
        <w:trPr>
          <w:trHeight w:val="283"/>
        </w:trPr>
        <w:tc>
          <w:tcPr>
            <w:tcW w:w="1557" w:type="pct"/>
            <w:tcBorders>
              <w:top w:val="nil"/>
              <w:left w:val="nil"/>
              <w:bottom w:val="nil"/>
              <w:right w:val="nil"/>
            </w:tcBorders>
            <w:shd w:val="clear" w:color="auto" w:fill="auto"/>
            <w:noWrap/>
            <w:vAlign w:val="bottom"/>
            <w:hideMark/>
          </w:tcPr>
          <w:p w14:paraId="213E35A2" w14:textId="77777777" w:rsidR="005D6DDD" w:rsidRPr="004E2840" w:rsidRDefault="005D6DDD" w:rsidP="00053925">
            <w:pPr>
              <w:spacing w:line="220" w:lineRule="atLeast"/>
              <w:jc w:val="center"/>
              <w:rPr>
                <w:rFonts w:ascii="Arial" w:hAnsi="Arial" w:cs="Arial"/>
                <w:b/>
                <w:bCs/>
                <w:color w:val="000000" w:themeColor="text1"/>
                <w:sz w:val="22"/>
                <w:szCs w:val="22"/>
              </w:rPr>
            </w:pPr>
          </w:p>
        </w:tc>
        <w:tc>
          <w:tcPr>
            <w:tcW w:w="407" w:type="pct"/>
            <w:tcBorders>
              <w:top w:val="nil"/>
              <w:left w:val="nil"/>
              <w:bottom w:val="single" w:sz="4" w:space="0" w:color="auto"/>
              <w:right w:val="nil"/>
            </w:tcBorders>
            <w:shd w:val="clear" w:color="auto" w:fill="auto"/>
            <w:noWrap/>
            <w:vAlign w:val="bottom"/>
            <w:hideMark/>
          </w:tcPr>
          <w:p w14:paraId="6A9C50FB"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(Sv)</w:t>
            </w:r>
          </w:p>
        </w:tc>
        <w:tc>
          <w:tcPr>
            <w:tcW w:w="1761" w:type="pct"/>
            <w:gridSpan w:val="3"/>
            <w:tcBorders>
              <w:top w:val="single" w:sz="4" w:space="0" w:color="auto"/>
              <w:left w:val="nil"/>
              <w:bottom w:val="nil"/>
              <w:right w:val="nil"/>
            </w:tcBorders>
            <w:shd w:val="clear" w:color="auto" w:fill="auto"/>
            <w:noWrap/>
            <w:vAlign w:val="bottom"/>
            <w:hideMark/>
          </w:tcPr>
          <w:p w14:paraId="09DB91D1"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(μmol kg</w:t>
            </w:r>
            <w:r w:rsidRPr="004E2840">
              <w:rPr>
                <w:rFonts w:ascii="Arial" w:hAnsi="Arial" w:cs="Arial"/>
                <w:bCs/>
                <w:color w:val="000000" w:themeColor="text1"/>
                <w:sz w:val="22"/>
                <w:szCs w:val="22"/>
                <w:vertAlign w:val="superscript"/>
              </w:rPr>
              <w:t>-1</w:t>
            </w:r>
            <w:r w:rsidRPr="004E2840">
              <w:rPr>
                <w:rFonts w:ascii="Arial" w:hAnsi="Arial" w:cs="Arial"/>
                <w:bCs/>
                <w:color w:val="000000" w:themeColor="text1"/>
                <w:sz w:val="22"/>
                <w:szCs w:val="22"/>
              </w:rPr>
              <w:t>)</w:t>
            </w:r>
          </w:p>
          <w:p w14:paraId="4775B03A" w14:textId="77777777" w:rsidR="005D6DDD" w:rsidRPr="004E2840" w:rsidRDefault="005D6DDD" w:rsidP="00053925">
            <w:pPr>
              <w:spacing w:line="220" w:lineRule="atLeast"/>
              <w:jc w:val="center"/>
              <w:rPr>
                <w:rFonts w:ascii="Arial" w:hAnsi="Arial" w:cs="Arial"/>
                <w:bCs/>
                <w:color w:val="000000" w:themeColor="text1"/>
                <w:sz w:val="22"/>
                <w:szCs w:val="22"/>
              </w:rPr>
            </w:pPr>
          </w:p>
        </w:tc>
        <w:tc>
          <w:tcPr>
            <w:tcW w:w="49" w:type="pct"/>
            <w:tcBorders>
              <w:left w:val="nil"/>
              <w:bottom w:val="nil"/>
              <w:right w:val="nil"/>
            </w:tcBorders>
          </w:tcPr>
          <w:p w14:paraId="08F68ED8" w14:textId="77777777" w:rsidR="005D6DDD" w:rsidRPr="004E2840" w:rsidRDefault="005D6DDD" w:rsidP="00053925">
            <w:pPr>
              <w:spacing w:line="220" w:lineRule="atLeast"/>
              <w:jc w:val="center"/>
              <w:rPr>
                <w:rFonts w:ascii="Arial" w:hAnsi="Arial" w:cs="Arial"/>
                <w:iCs/>
                <w:color w:val="000000" w:themeColor="text1"/>
                <w:sz w:val="22"/>
                <w:szCs w:val="22"/>
              </w:rPr>
            </w:pPr>
          </w:p>
        </w:tc>
        <w:tc>
          <w:tcPr>
            <w:tcW w:w="1226" w:type="pct"/>
            <w:gridSpan w:val="3"/>
            <w:tcBorders>
              <w:top w:val="single" w:sz="4" w:space="0" w:color="auto"/>
              <w:left w:val="nil"/>
              <w:bottom w:val="nil"/>
              <w:right w:val="nil"/>
            </w:tcBorders>
            <w:shd w:val="clear" w:color="auto" w:fill="auto"/>
            <w:noWrap/>
            <w:vAlign w:val="bottom"/>
            <w:hideMark/>
          </w:tcPr>
          <w:p w14:paraId="75D2ABEA" w14:textId="77777777" w:rsidR="005D6DDD" w:rsidRPr="004E2840" w:rsidRDefault="005D6DDD" w:rsidP="00053925">
            <w:pPr>
              <w:spacing w:line="220" w:lineRule="atLeast"/>
              <w:jc w:val="center"/>
              <w:rPr>
                <w:rFonts w:ascii="Arial" w:hAnsi="Arial" w:cs="Arial"/>
                <w:iCs/>
                <w:color w:val="000000" w:themeColor="text1"/>
                <w:sz w:val="22"/>
                <w:szCs w:val="22"/>
              </w:rPr>
            </w:pPr>
            <w:r w:rsidRPr="004E2840">
              <w:rPr>
                <w:rFonts w:ascii="Arial" w:hAnsi="Arial" w:cs="Arial"/>
                <w:iCs/>
                <w:color w:val="000000" w:themeColor="text1"/>
                <w:sz w:val="22"/>
                <w:szCs w:val="22"/>
              </w:rPr>
              <w:t>(kmol s</w:t>
            </w:r>
            <w:r w:rsidRPr="004E2840">
              <w:rPr>
                <w:rFonts w:ascii="Arial" w:hAnsi="Arial" w:cs="Arial"/>
                <w:iCs/>
                <w:color w:val="000000" w:themeColor="text1"/>
                <w:sz w:val="22"/>
                <w:szCs w:val="22"/>
                <w:vertAlign w:val="superscript"/>
              </w:rPr>
              <w:t>-1</w:t>
            </w:r>
            <w:r w:rsidRPr="004E2840">
              <w:rPr>
                <w:rFonts w:ascii="Arial" w:hAnsi="Arial" w:cs="Arial"/>
                <w:iCs/>
                <w:color w:val="000000" w:themeColor="text1"/>
                <w:sz w:val="22"/>
                <w:szCs w:val="22"/>
              </w:rPr>
              <w:t>)</w:t>
            </w:r>
          </w:p>
        </w:tc>
      </w:tr>
      <w:tr w:rsidR="005D6DDD" w:rsidRPr="004E2840" w14:paraId="29C50DF2" w14:textId="77777777" w:rsidTr="00053925">
        <w:trPr>
          <w:trHeight w:val="283"/>
        </w:trPr>
        <w:tc>
          <w:tcPr>
            <w:tcW w:w="5000" w:type="pct"/>
            <w:gridSpan w:val="9"/>
            <w:tcBorders>
              <w:top w:val="single" w:sz="4" w:space="0" w:color="auto"/>
              <w:left w:val="nil"/>
              <w:bottom w:val="single" w:sz="4" w:space="0" w:color="auto"/>
              <w:right w:val="nil"/>
            </w:tcBorders>
            <w:shd w:val="clear" w:color="000000" w:fill="F2F2F2"/>
          </w:tcPr>
          <w:p w14:paraId="3A5A002A"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2004</w:t>
            </w:r>
          </w:p>
        </w:tc>
      </w:tr>
      <w:tr w:rsidR="005D6DDD" w:rsidRPr="004E2840" w14:paraId="4CFEB427" w14:textId="77777777" w:rsidTr="00053925">
        <w:trPr>
          <w:trHeight w:val="283"/>
        </w:trPr>
        <w:tc>
          <w:tcPr>
            <w:tcW w:w="1557" w:type="pct"/>
            <w:tcBorders>
              <w:top w:val="nil"/>
              <w:left w:val="nil"/>
              <w:bottom w:val="nil"/>
              <w:right w:val="nil"/>
            </w:tcBorders>
            <w:shd w:val="clear" w:color="auto" w:fill="auto"/>
            <w:noWrap/>
            <w:vAlign w:val="bottom"/>
            <w:hideMark/>
          </w:tcPr>
          <w:p w14:paraId="07B4C9B8"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Surface Water</w:t>
            </w:r>
          </w:p>
        </w:tc>
        <w:tc>
          <w:tcPr>
            <w:tcW w:w="407" w:type="pct"/>
            <w:tcBorders>
              <w:top w:val="nil"/>
              <w:left w:val="nil"/>
              <w:bottom w:val="nil"/>
              <w:right w:val="nil"/>
            </w:tcBorders>
            <w:shd w:val="clear" w:color="auto" w:fill="auto"/>
            <w:noWrap/>
            <w:vAlign w:val="bottom"/>
            <w:hideMark/>
          </w:tcPr>
          <w:p w14:paraId="3DAB524A"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1.4</w:t>
            </w:r>
          </w:p>
        </w:tc>
        <w:tc>
          <w:tcPr>
            <w:tcW w:w="529" w:type="pct"/>
            <w:tcBorders>
              <w:top w:val="nil"/>
              <w:left w:val="nil"/>
              <w:bottom w:val="nil"/>
              <w:right w:val="nil"/>
            </w:tcBorders>
            <w:shd w:val="clear" w:color="auto" w:fill="auto"/>
            <w:noWrap/>
            <w:vAlign w:val="bottom"/>
            <w:hideMark/>
          </w:tcPr>
          <w:p w14:paraId="7080AE6E"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7.79</w:t>
            </w:r>
          </w:p>
        </w:tc>
        <w:tc>
          <w:tcPr>
            <w:tcW w:w="539" w:type="pct"/>
            <w:tcBorders>
              <w:top w:val="nil"/>
              <w:left w:val="nil"/>
              <w:bottom w:val="nil"/>
              <w:right w:val="nil"/>
            </w:tcBorders>
            <w:shd w:val="clear" w:color="auto" w:fill="auto"/>
            <w:noWrap/>
            <w:vAlign w:val="bottom"/>
            <w:hideMark/>
          </w:tcPr>
          <w:p w14:paraId="13B0B21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6.49</w:t>
            </w:r>
          </w:p>
        </w:tc>
        <w:tc>
          <w:tcPr>
            <w:tcW w:w="693" w:type="pct"/>
            <w:tcBorders>
              <w:top w:val="nil"/>
              <w:left w:val="nil"/>
              <w:bottom w:val="nil"/>
              <w:right w:val="nil"/>
            </w:tcBorders>
            <w:shd w:val="clear" w:color="auto" w:fill="auto"/>
            <w:noWrap/>
            <w:vAlign w:val="bottom"/>
            <w:hideMark/>
          </w:tcPr>
          <w:p w14:paraId="7CACE73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0.11</w:t>
            </w:r>
          </w:p>
        </w:tc>
        <w:tc>
          <w:tcPr>
            <w:tcW w:w="49" w:type="pct"/>
            <w:tcBorders>
              <w:top w:val="nil"/>
              <w:left w:val="nil"/>
              <w:bottom w:val="nil"/>
              <w:right w:val="nil"/>
            </w:tcBorders>
          </w:tcPr>
          <w:p w14:paraId="102EC7B4" w14:textId="77777777" w:rsidR="005D6DDD" w:rsidRPr="004E2840" w:rsidRDefault="005D6DDD" w:rsidP="00053925">
            <w:pPr>
              <w:spacing w:line="220" w:lineRule="atLeast"/>
              <w:jc w:val="center"/>
              <w:rPr>
                <w:rFonts w:ascii="Arial" w:hAnsi="Arial" w:cs="Arial"/>
                <w:color w:val="000000" w:themeColor="text1"/>
                <w:sz w:val="22"/>
                <w:szCs w:val="22"/>
              </w:rPr>
            </w:pPr>
          </w:p>
        </w:tc>
        <w:tc>
          <w:tcPr>
            <w:tcW w:w="410" w:type="pct"/>
            <w:tcBorders>
              <w:top w:val="nil"/>
              <w:left w:val="nil"/>
              <w:bottom w:val="nil"/>
              <w:right w:val="nil"/>
            </w:tcBorders>
            <w:shd w:val="clear" w:color="auto" w:fill="auto"/>
            <w:noWrap/>
            <w:vAlign w:val="bottom"/>
            <w:hideMark/>
          </w:tcPr>
          <w:p w14:paraId="6DB00A2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8.7</w:t>
            </w:r>
          </w:p>
        </w:tc>
        <w:tc>
          <w:tcPr>
            <w:tcW w:w="410" w:type="pct"/>
            <w:tcBorders>
              <w:top w:val="nil"/>
              <w:left w:val="nil"/>
              <w:bottom w:val="nil"/>
              <w:right w:val="nil"/>
            </w:tcBorders>
            <w:shd w:val="clear" w:color="auto" w:fill="auto"/>
            <w:noWrap/>
            <w:vAlign w:val="bottom"/>
            <w:hideMark/>
          </w:tcPr>
          <w:p w14:paraId="158231C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9.3</w:t>
            </w:r>
          </w:p>
        </w:tc>
        <w:tc>
          <w:tcPr>
            <w:tcW w:w="406" w:type="pct"/>
            <w:tcBorders>
              <w:top w:val="nil"/>
              <w:left w:val="nil"/>
              <w:bottom w:val="nil"/>
              <w:right w:val="nil"/>
            </w:tcBorders>
            <w:shd w:val="clear" w:color="auto" w:fill="auto"/>
            <w:noWrap/>
            <w:vAlign w:val="bottom"/>
            <w:hideMark/>
          </w:tcPr>
          <w:p w14:paraId="3EBBFDA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1.09</w:t>
            </w:r>
          </w:p>
        </w:tc>
      </w:tr>
      <w:tr w:rsidR="005D6DDD" w:rsidRPr="004E2840" w14:paraId="689F509D" w14:textId="77777777" w:rsidTr="00053925">
        <w:trPr>
          <w:trHeight w:val="283"/>
        </w:trPr>
        <w:tc>
          <w:tcPr>
            <w:tcW w:w="1557" w:type="pct"/>
            <w:tcBorders>
              <w:top w:val="nil"/>
              <w:left w:val="nil"/>
              <w:bottom w:val="nil"/>
              <w:right w:val="nil"/>
            </w:tcBorders>
            <w:shd w:val="clear" w:color="auto" w:fill="auto"/>
            <w:noWrap/>
            <w:vAlign w:val="bottom"/>
            <w:hideMark/>
          </w:tcPr>
          <w:p w14:paraId="625216C1"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 Subsurface Water</w:t>
            </w:r>
          </w:p>
        </w:tc>
        <w:tc>
          <w:tcPr>
            <w:tcW w:w="407" w:type="pct"/>
            <w:tcBorders>
              <w:top w:val="nil"/>
              <w:left w:val="nil"/>
              <w:bottom w:val="nil"/>
              <w:right w:val="nil"/>
            </w:tcBorders>
            <w:shd w:val="clear" w:color="auto" w:fill="auto"/>
            <w:noWrap/>
            <w:vAlign w:val="bottom"/>
            <w:hideMark/>
          </w:tcPr>
          <w:p w14:paraId="023FDB1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-1.75</w:t>
            </w:r>
          </w:p>
        </w:tc>
        <w:tc>
          <w:tcPr>
            <w:tcW w:w="529" w:type="pct"/>
            <w:tcBorders>
              <w:top w:val="nil"/>
              <w:left w:val="nil"/>
              <w:bottom w:val="nil"/>
              <w:right w:val="nil"/>
            </w:tcBorders>
            <w:shd w:val="clear" w:color="auto" w:fill="auto"/>
            <w:noWrap/>
            <w:vAlign w:val="bottom"/>
            <w:hideMark/>
          </w:tcPr>
          <w:p w14:paraId="66C57159"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9.74</w:t>
            </w:r>
          </w:p>
        </w:tc>
        <w:tc>
          <w:tcPr>
            <w:tcW w:w="539" w:type="pct"/>
            <w:tcBorders>
              <w:top w:val="nil"/>
              <w:left w:val="nil"/>
              <w:bottom w:val="nil"/>
              <w:right w:val="nil"/>
            </w:tcBorders>
            <w:shd w:val="clear" w:color="auto" w:fill="auto"/>
            <w:noWrap/>
            <w:vAlign w:val="bottom"/>
            <w:hideMark/>
          </w:tcPr>
          <w:p w14:paraId="3F9A5BAB"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8.76</w:t>
            </w:r>
          </w:p>
        </w:tc>
        <w:tc>
          <w:tcPr>
            <w:tcW w:w="693" w:type="pct"/>
            <w:tcBorders>
              <w:top w:val="nil"/>
              <w:left w:val="nil"/>
              <w:bottom w:val="nil"/>
              <w:right w:val="nil"/>
            </w:tcBorders>
            <w:shd w:val="clear" w:color="auto" w:fill="auto"/>
            <w:noWrap/>
            <w:vAlign w:val="bottom"/>
            <w:hideMark/>
          </w:tcPr>
          <w:p w14:paraId="1FBB950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0.13</w:t>
            </w:r>
          </w:p>
        </w:tc>
        <w:tc>
          <w:tcPr>
            <w:tcW w:w="49" w:type="pct"/>
            <w:tcBorders>
              <w:top w:val="nil"/>
              <w:left w:val="nil"/>
              <w:bottom w:val="nil"/>
              <w:right w:val="nil"/>
            </w:tcBorders>
          </w:tcPr>
          <w:p w14:paraId="7A50E237" w14:textId="77777777" w:rsidR="005D6DDD" w:rsidRPr="004E2840" w:rsidRDefault="005D6DDD" w:rsidP="00053925">
            <w:pPr>
              <w:spacing w:line="220" w:lineRule="atLeast"/>
              <w:jc w:val="center"/>
              <w:rPr>
                <w:rFonts w:ascii="Arial" w:hAnsi="Arial" w:cs="Arial"/>
                <w:color w:val="000000" w:themeColor="text1"/>
                <w:sz w:val="22"/>
                <w:szCs w:val="22"/>
              </w:rPr>
            </w:pPr>
          </w:p>
        </w:tc>
        <w:tc>
          <w:tcPr>
            <w:tcW w:w="410" w:type="pct"/>
            <w:tcBorders>
              <w:top w:val="nil"/>
              <w:left w:val="nil"/>
              <w:bottom w:val="nil"/>
              <w:right w:val="nil"/>
            </w:tcBorders>
            <w:shd w:val="clear" w:color="auto" w:fill="auto"/>
            <w:noWrap/>
            <w:vAlign w:val="bottom"/>
            <w:hideMark/>
          </w:tcPr>
          <w:p w14:paraId="0C034C6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-21.0</w:t>
            </w:r>
          </w:p>
        </w:tc>
        <w:tc>
          <w:tcPr>
            <w:tcW w:w="410" w:type="pct"/>
            <w:tcBorders>
              <w:top w:val="nil"/>
              <w:left w:val="nil"/>
              <w:bottom w:val="nil"/>
              <w:right w:val="nil"/>
            </w:tcBorders>
            <w:shd w:val="clear" w:color="auto" w:fill="auto"/>
            <w:noWrap/>
            <w:vAlign w:val="bottom"/>
            <w:hideMark/>
          </w:tcPr>
          <w:p w14:paraId="75978932"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-15.8</w:t>
            </w:r>
          </w:p>
        </w:tc>
        <w:tc>
          <w:tcPr>
            <w:tcW w:w="406" w:type="pct"/>
            <w:tcBorders>
              <w:top w:val="nil"/>
              <w:left w:val="nil"/>
              <w:bottom w:val="nil"/>
              <w:right w:val="nil"/>
            </w:tcBorders>
            <w:shd w:val="clear" w:color="auto" w:fill="auto"/>
            <w:noWrap/>
            <w:vAlign w:val="bottom"/>
            <w:hideMark/>
          </w:tcPr>
          <w:p w14:paraId="51774BAF"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-2.10</w:t>
            </w:r>
          </w:p>
        </w:tc>
      </w:tr>
      <w:tr w:rsidR="005D6DDD" w:rsidRPr="004E2840" w14:paraId="585D7871" w14:textId="77777777" w:rsidTr="00053925">
        <w:trPr>
          <w:trHeight w:val="283"/>
        </w:trPr>
        <w:tc>
          <w:tcPr>
            <w:tcW w:w="1557" w:type="pct"/>
            <w:tcBorders>
              <w:top w:val="nil"/>
              <w:left w:val="nil"/>
              <w:bottom w:val="nil"/>
              <w:right w:val="nil"/>
            </w:tcBorders>
            <w:shd w:val="clear" w:color="auto" w:fill="auto"/>
            <w:noWrap/>
            <w:vAlign w:val="bottom"/>
            <w:hideMark/>
          </w:tcPr>
          <w:p w14:paraId="42E48149"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Upper Atlantic Water</w:t>
            </w:r>
          </w:p>
        </w:tc>
        <w:tc>
          <w:tcPr>
            <w:tcW w:w="407" w:type="pct"/>
            <w:tcBorders>
              <w:top w:val="nil"/>
              <w:left w:val="nil"/>
              <w:bottom w:val="nil"/>
              <w:right w:val="nil"/>
            </w:tcBorders>
            <w:shd w:val="clear" w:color="auto" w:fill="auto"/>
            <w:noWrap/>
            <w:vAlign w:val="bottom"/>
            <w:hideMark/>
          </w:tcPr>
          <w:p w14:paraId="534096B9"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-1.5</w:t>
            </w:r>
          </w:p>
        </w:tc>
        <w:tc>
          <w:tcPr>
            <w:tcW w:w="529" w:type="pct"/>
            <w:tcBorders>
              <w:top w:val="nil"/>
              <w:left w:val="nil"/>
              <w:bottom w:val="nil"/>
              <w:right w:val="nil"/>
            </w:tcBorders>
            <w:shd w:val="clear" w:color="auto" w:fill="auto"/>
            <w:noWrap/>
            <w:vAlign w:val="bottom"/>
            <w:hideMark/>
          </w:tcPr>
          <w:p w14:paraId="6FE322CD"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12.17</w:t>
            </w:r>
          </w:p>
        </w:tc>
        <w:tc>
          <w:tcPr>
            <w:tcW w:w="539" w:type="pct"/>
            <w:tcBorders>
              <w:top w:val="nil"/>
              <w:left w:val="nil"/>
              <w:bottom w:val="nil"/>
              <w:right w:val="nil"/>
            </w:tcBorders>
            <w:shd w:val="clear" w:color="auto" w:fill="auto"/>
            <w:noWrap/>
            <w:vAlign w:val="bottom"/>
            <w:hideMark/>
          </w:tcPr>
          <w:p w14:paraId="77BB0C61"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12.98</w:t>
            </w:r>
          </w:p>
        </w:tc>
        <w:tc>
          <w:tcPr>
            <w:tcW w:w="693" w:type="pct"/>
            <w:tcBorders>
              <w:top w:val="nil"/>
              <w:left w:val="nil"/>
              <w:bottom w:val="nil"/>
              <w:right w:val="nil"/>
            </w:tcBorders>
            <w:shd w:val="clear" w:color="auto" w:fill="auto"/>
            <w:noWrap/>
            <w:vAlign w:val="bottom"/>
            <w:hideMark/>
          </w:tcPr>
          <w:p w14:paraId="5DD6D37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0.10</w:t>
            </w:r>
          </w:p>
        </w:tc>
        <w:tc>
          <w:tcPr>
            <w:tcW w:w="49" w:type="pct"/>
            <w:tcBorders>
              <w:top w:val="nil"/>
              <w:left w:val="nil"/>
              <w:bottom w:val="nil"/>
              <w:right w:val="nil"/>
            </w:tcBorders>
          </w:tcPr>
          <w:p w14:paraId="157B10D7" w14:textId="77777777" w:rsidR="005D6DDD" w:rsidRPr="004E2840" w:rsidRDefault="005D6DDD" w:rsidP="00053925">
            <w:pPr>
              <w:spacing w:line="220" w:lineRule="atLeast"/>
              <w:jc w:val="center"/>
              <w:rPr>
                <w:rFonts w:ascii="Arial" w:hAnsi="Arial" w:cs="Arial"/>
                <w:color w:val="000000" w:themeColor="text1"/>
                <w:sz w:val="22"/>
                <w:szCs w:val="22"/>
              </w:rPr>
            </w:pPr>
          </w:p>
        </w:tc>
        <w:tc>
          <w:tcPr>
            <w:tcW w:w="410" w:type="pct"/>
            <w:tcBorders>
              <w:top w:val="nil"/>
              <w:left w:val="nil"/>
              <w:bottom w:val="nil"/>
              <w:right w:val="nil"/>
            </w:tcBorders>
            <w:shd w:val="clear" w:color="auto" w:fill="auto"/>
            <w:noWrap/>
            <w:vAlign w:val="bottom"/>
            <w:hideMark/>
          </w:tcPr>
          <w:p w14:paraId="2D41B9B6"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-25.0</w:t>
            </w:r>
          </w:p>
        </w:tc>
        <w:tc>
          <w:tcPr>
            <w:tcW w:w="410" w:type="pct"/>
            <w:tcBorders>
              <w:top w:val="nil"/>
              <w:left w:val="nil"/>
              <w:bottom w:val="nil"/>
              <w:right w:val="nil"/>
            </w:tcBorders>
            <w:shd w:val="clear" w:color="auto" w:fill="auto"/>
            <w:noWrap/>
            <w:vAlign w:val="bottom"/>
            <w:hideMark/>
          </w:tcPr>
          <w:p w14:paraId="4D7E3809"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-20.0</w:t>
            </w:r>
          </w:p>
        </w:tc>
        <w:tc>
          <w:tcPr>
            <w:tcW w:w="406" w:type="pct"/>
            <w:tcBorders>
              <w:top w:val="nil"/>
              <w:left w:val="nil"/>
              <w:bottom w:val="nil"/>
              <w:right w:val="nil"/>
            </w:tcBorders>
            <w:shd w:val="clear" w:color="auto" w:fill="auto"/>
            <w:noWrap/>
            <w:vAlign w:val="bottom"/>
            <w:hideMark/>
          </w:tcPr>
          <w:p w14:paraId="7E387E98"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-2.00</w:t>
            </w:r>
          </w:p>
        </w:tc>
      </w:tr>
      <w:tr w:rsidR="005D6DDD" w:rsidRPr="004E2840" w14:paraId="5B84BB2F" w14:textId="77777777" w:rsidTr="00053925">
        <w:trPr>
          <w:trHeight w:val="283"/>
        </w:trPr>
        <w:tc>
          <w:tcPr>
            <w:tcW w:w="1557" w:type="pct"/>
            <w:tcBorders>
              <w:top w:val="nil"/>
              <w:left w:val="nil"/>
              <w:bottom w:val="nil"/>
              <w:right w:val="nil"/>
            </w:tcBorders>
            <w:shd w:val="clear" w:color="auto" w:fill="auto"/>
            <w:noWrap/>
            <w:vAlign w:val="bottom"/>
            <w:hideMark/>
          </w:tcPr>
          <w:p w14:paraId="14E25E32" w14:textId="77777777" w:rsidR="005D6DDD" w:rsidRPr="004E2840" w:rsidRDefault="005D6DDD" w:rsidP="00053925">
            <w:pPr>
              <w:spacing w:line="220" w:lineRule="atLeast"/>
              <w:jc w:val="right"/>
              <w:rPr>
                <w:rFonts w:ascii="Arial" w:hAnsi="Arial" w:cs="Arial"/>
                <w:b/>
                <w:bCs/>
                <w:color w:val="000000" w:themeColor="text1"/>
                <w:sz w:val="22"/>
                <w:szCs w:val="22"/>
              </w:rPr>
            </w:pPr>
            <w:r w:rsidRPr="004E2840">
              <w:rPr>
                <w:rFonts w:ascii="Arial" w:hAnsi="Arial" w:cs="Arial"/>
                <w:b/>
                <w:bCs/>
                <w:color w:val="000000" w:themeColor="text1"/>
                <w:sz w:val="22"/>
                <w:szCs w:val="22"/>
              </w:rPr>
              <w:t>Total</w:t>
            </w:r>
          </w:p>
        </w:tc>
        <w:tc>
          <w:tcPr>
            <w:tcW w:w="407" w:type="pct"/>
            <w:tcBorders>
              <w:top w:val="nil"/>
              <w:left w:val="nil"/>
              <w:bottom w:val="nil"/>
              <w:right w:val="nil"/>
            </w:tcBorders>
            <w:shd w:val="clear" w:color="auto" w:fill="auto"/>
            <w:noWrap/>
            <w:vAlign w:val="bottom"/>
            <w:hideMark/>
          </w:tcPr>
          <w:p w14:paraId="4B446128"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-1.9</w:t>
            </w:r>
          </w:p>
        </w:tc>
        <w:tc>
          <w:tcPr>
            <w:tcW w:w="529" w:type="pct"/>
            <w:tcBorders>
              <w:top w:val="nil"/>
              <w:left w:val="nil"/>
              <w:bottom w:val="nil"/>
              <w:right w:val="nil"/>
            </w:tcBorders>
            <w:shd w:val="clear" w:color="auto" w:fill="auto"/>
            <w:noWrap/>
            <w:vAlign w:val="bottom"/>
            <w:hideMark/>
          </w:tcPr>
          <w:p w14:paraId="19500FD4"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20.16*</w:t>
            </w:r>
          </w:p>
        </w:tc>
        <w:tc>
          <w:tcPr>
            <w:tcW w:w="539" w:type="pct"/>
            <w:tcBorders>
              <w:top w:val="nil"/>
              <w:left w:val="nil"/>
              <w:bottom w:val="nil"/>
              <w:right w:val="nil"/>
            </w:tcBorders>
            <w:shd w:val="clear" w:color="auto" w:fill="auto"/>
            <w:noWrap/>
            <w:vAlign w:val="bottom"/>
            <w:hideMark/>
          </w:tcPr>
          <w:p w14:paraId="2F7BF8C1"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14.28*</w:t>
            </w:r>
          </w:p>
        </w:tc>
        <w:tc>
          <w:tcPr>
            <w:tcW w:w="693" w:type="pct"/>
            <w:tcBorders>
              <w:top w:val="nil"/>
              <w:left w:val="nil"/>
              <w:bottom w:val="nil"/>
              <w:right w:val="nil"/>
            </w:tcBorders>
            <w:shd w:val="clear" w:color="auto" w:fill="auto"/>
            <w:noWrap/>
            <w:vAlign w:val="bottom"/>
            <w:hideMark/>
          </w:tcPr>
          <w:p w14:paraId="4202DB8E"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1.63*</w:t>
            </w:r>
          </w:p>
        </w:tc>
        <w:tc>
          <w:tcPr>
            <w:tcW w:w="49" w:type="pct"/>
            <w:tcBorders>
              <w:top w:val="nil"/>
              <w:left w:val="nil"/>
              <w:bottom w:val="nil"/>
              <w:right w:val="nil"/>
            </w:tcBorders>
          </w:tcPr>
          <w:p w14:paraId="02ADAF74" w14:textId="77777777" w:rsidR="005D6DDD" w:rsidRPr="004E2840" w:rsidRDefault="005D6DDD" w:rsidP="00053925">
            <w:pPr>
              <w:spacing w:line="220" w:lineRule="atLeast"/>
              <w:jc w:val="center"/>
              <w:rPr>
                <w:rFonts w:ascii="Arial" w:hAnsi="Arial" w:cs="Arial"/>
                <w:b/>
                <w:bCs/>
                <w:color w:val="000000" w:themeColor="text1"/>
                <w:sz w:val="22"/>
                <w:szCs w:val="22"/>
              </w:rPr>
            </w:pPr>
          </w:p>
        </w:tc>
        <w:tc>
          <w:tcPr>
            <w:tcW w:w="410" w:type="pct"/>
            <w:tcBorders>
              <w:top w:val="nil"/>
              <w:left w:val="nil"/>
              <w:bottom w:val="nil"/>
              <w:right w:val="nil"/>
            </w:tcBorders>
            <w:shd w:val="clear" w:color="auto" w:fill="auto"/>
            <w:noWrap/>
            <w:vAlign w:val="bottom"/>
            <w:hideMark/>
          </w:tcPr>
          <w:p w14:paraId="5C30B8F3"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-37.3</w:t>
            </w:r>
          </w:p>
        </w:tc>
        <w:tc>
          <w:tcPr>
            <w:tcW w:w="410" w:type="pct"/>
            <w:tcBorders>
              <w:top w:val="nil"/>
              <w:left w:val="nil"/>
              <w:bottom w:val="nil"/>
              <w:right w:val="nil"/>
            </w:tcBorders>
            <w:shd w:val="clear" w:color="auto" w:fill="auto"/>
            <w:noWrap/>
            <w:vAlign w:val="bottom"/>
            <w:hideMark/>
          </w:tcPr>
          <w:p w14:paraId="54342AE1"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-26.4</w:t>
            </w:r>
          </w:p>
        </w:tc>
        <w:tc>
          <w:tcPr>
            <w:tcW w:w="406" w:type="pct"/>
            <w:tcBorders>
              <w:top w:val="nil"/>
              <w:left w:val="nil"/>
              <w:bottom w:val="nil"/>
              <w:right w:val="nil"/>
            </w:tcBorders>
            <w:shd w:val="clear" w:color="auto" w:fill="auto"/>
            <w:noWrap/>
            <w:vAlign w:val="bottom"/>
            <w:hideMark/>
          </w:tcPr>
          <w:p w14:paraId="705DDA18"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-3.0</w:t>
            </w:r>
          </w:p>
        </w:tc>
      </w:tr>
      <w:tr w:rsidR="005D6DDD" w:rsidRPr="004E2840" w14:paraId="1E955E6F" w14:textId="77777777" w:rsidTr="00053925">
        <w:trPr>
          <w:trHeight w:val="283"/>
        </w:trPr>
        <w:tc>
          <w:tcPr>
            <w:tcW w:w="1557" w:type="pct"/>
            <w:tcBorders>
              <w:top w:val="single" w:sz="4" w:space="0" w:color="auto"/>
              <w:left w:val="nil"/>
              <w:bottom w:val="single" w:sz="4" w:space="0" w:color="auto"/>
              <w:right w:val="nil"/>
            </w:tcBorders>
            <w:shd w:val="clear" w:color="000000" w:fill="F2F2F2"/>
            <w:noWrap/>
            <w:vAlign w:val="bottom"/>
            <w:hideMark/>
          </w:tcPr>
          <w:p w14:paraId="0E0DECA5"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2010</w:t>
            </w:r>
          </w:p>
        </w:tc>
        <w:tc>
          <w:tcPr>
            <w:tcW w:w="407" w:type="pct"/>
            <w:tcBorders>
              <w:top w:val="single" w:sz="4" w:space="0" w:color="auto"/>
              <w:left w:val="nil"/>
              <w:bottom w:val="single" w:sz="4" w:space="0" w:color="auto"/>
              <w:right w:val="nil"/>
            </w:tcBorders>
            <w:shd w:val="clear" w:color="000000" w:fill="F2F2F2"/>
            <w:noWrap/>
            <w:vAlign w:val="bottom"/>
            <w:hideMark/>
          </w:tcPr>
          <w:p w14:paraId="473C1F01"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529" w:type="pct"/>
            <w:tcBorders>
              <w:top w:val="single" w:sz="4" w:space="0" w:color="auto"/>
              <w:left w:val="nil"/>
              <w:bottom w:val="single" w:sz="4" w:space="0" w:color="auto"/>
              <w:right w:val="nil"/>
            </w:tcBorders>
            <w:shd w:val="clear" w:color="000000" w:fill="F2F2F2"/>
            <w:noWrap/>
            <w:vAlign w:val="bottom"/>
            <w:hideMark/>
          </w:tcPr>
          <w:p w14:paraId="687E3184"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539" w:type="pct"/>
            <w:tcBorders>
              <w:top w:val="single" w:sz="4" w:space="0" w:color="auto"/>
              <w:left w:val="nil"/>
              <w:bottom w:val="single" w:sz="4" w:space="0" w:color="auto"/>
              <w:right w:val="nil"/>
            </w:tcBorders>
            <w:shd w:val="clear" w:color="000000" w:fill="F2F2F2"/>
            <w:noWrap/>
            <w:vAlign w:val="bottom"/>
            <w:hideMark/>
          </w:tcPr>
          <w:p w14:paraId="4C3E9215"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693" w:type="pct"/>
            <w:tcBorders>
              <w:top w:val="single" w:sz="4" w:space="0" w:color="auto"/>
              <w:left w:val="nil"/>
              <w:bottom w:val="single" w:sz="4" w:space="0" w:color="auto"/>
              <w:right w:val="nil"/>
            </w:tcBorders>
            <w:shd w:val="clear" w:color="000000" w:fill="F2F2F2"/>
            <w:noWrap/>
            <w:vAlign w:val="bottom"/>
            <w:hideMark/>
          </w:tcPr>
          <w:p w14:paraId="17771682"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49" w:type="pct"/>
            <w:tcBorders>
              <w:top w:val="single" w:sz="4" w:space="0" w:color="auto"/>
              <w:left w:val="nil"/>
              <w:bottom w:val="single" w:sz="4" w:space="0" w:color="auto"/>
              <w:right w:val="nil"/>
            </w:tcBorders>
            <w:shd w:val="clear" w:color="000000" w:fill="F2F2F2"/>
          </w:tcPr>
          <w:p w14:paraId="4EA73BC3" w14:textId="77777777" w:rsidR="005D6DDD" w:rsidRPr="004E2840" w:rsidRDefault="005D6DDD" w:rsidP="00053925">
            <w:pPr>
              <w:spacing w:line="220" w:lineRule="atLeast"/>
              <w:rPr>
                <w:rFonts w:ascii="Arial" w:hAnsi="Arial" w:cs="Arial"/>
                <w:b/>
                <w:bCs/>
                <w:color w:val="000000" w:themeColor="text1"/>
                <w:sz w:val="22"/>
                <w:szCs w:val="22"/>
              </w:rPr>
            </w:pPr>
          </w:p>
        </w:tc>
        <w:tc>
          <w:tcPr>
            <w:tcW w:w="410" w:type="pct"/>
            <w:tcBorders>
              <w:top w:val="single" w:sz="4" w:space="0" w:color="auto"/>
              <w:left w:val="nil"/>
              <w:bottom w:val="single" w:sz="4" w:space="0" w:color="auto"/>
              <w:right w:val="nil"/>
            </w:tcBorders>
            <w:shd w:val="clear" w:color="000000" w:fill="F2F2F2"/>
            <w:noWrap/>
            <w:vAlign w:val="bottom"/>
            <w:hideMark/>
          </w:tcPr>
          <w:p w14:paraId="00AC8D12"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410" w:type="pct"/>
            <w:tcBorders>
              <w:top w:val="single" w:sz="4" w:space="0" w:color="auto"/>
              <w:left w:val="nil"/>
              <w:bottom w:val="single" w:sz="4" w:space="0" w:color="auto"/>
              <w:right w:val="nil"/>
            </w:tcBorders>
            <w:shd w:val="clear" w:color="000000" w:fill="F2F2F2"/>
            <w:noWrap/>
            <w:vAlign w:val="bottom"/>
            <w:hideMark/>
          </w:tcPr>
          <w:p w14:paraId="76ACAE39"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406" w:type="pct"/>
            <w:tcBorders>
              <w:top w:val="single" w:sz="4" w:space="0" w:color="auto"/>
              <w:left w:val="nil"/>
              <w:bottom w:val="single" w:sz="4" w:space="0" w:color="auto"/>
              <w:right w:val="nil"/>
            </w:tcBorders>
            <w:shd w:val="clear" w:color="000000" w:fill="F2F2F2"/>
            <w:noWrap/>
            <w:vAlign w:val="bottom"/>
            <w:hideMark/>
          </w:tcPr>
          <w:p w14:paraId="59A4B3DF"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r>
      <w:tr w:rsidR="005D6DDD" w:rsidRPr="004E2840" w14:paraId="74D1FD78" w14:textId="77777777" w:rsidTr="00053925">
        <w:trPr>
          <w:trHeight w:val="283"/>
        </w:trPr>
        <w:tc>
          <w:tcPr>
            <w:tcW w:w="1557" w:type="pct"/>
            <w:tcBorders>
              <w:top w:val="nil"/>
              <w:left w:val="nil"/>
              <w:bottom w:val="nil"/>
              <w:right w:val="nil"/>
            </w:tcBorders>
            <w:shd w:val="clear" w:color="auto" w:fill="auto"/>
            <w:noWrap/>
            <w:vAlign w:val="bottom"/>
            <w:hideMark/>
          </w:tcPr>
          <w:p w14:paraId="63549BCB"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Surface Water</w:t>
            </w:r>
          </w:p>
        </w:tc>
        <w:tc>
          <w:tcPr>
            <w:tcW w:w="407" w:type="pct"/>
            <w:tcBorders>
              <w:top w:val="nil"/>
              <w:left w:val="nil"/>
              <w:bottom w:val="nil"/>
              <w:right w:val="nil"/>
            </w:tcBorders>
            <w:shd w:val="clear" w:color="auto" w:fill="auto"/>
            <w:noWrap/>
            <w:vAlign w:val="bottom"/>
            <w:hideMark/>
          </w:tcPr>
          <w:p w14:paraId="3FE9A1E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1.1</w:t>
            </w:r>
          </w:p>
        </w:tc>
        <w:tc>
          <w:tcPr>
            <w:tcW w:w="529" w:type="pct"/>
            <w:tcBorders>
              <w:top w:val="nil"/>
              <w:left w:val="nil"/>
              <w:bottom w:val="nil"/>
              <w:right w:val="nil"/>
            </w:tcBorders>
            <w:shd w:val="clear" w:color="auto" w:fill="auto"/>
            <w:noWrap/>
            <w:vAlign w:val="bottom"/>
            <w:hideMark/>
          </w:tcPr>
          <w:p w14:paraId="00F5B926"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7.79</w:t>
            </w:r>
          </w:p>
        </w:tc>
        <w:tc>
          <w:tcPr>
            <w:tcW w:w="539" w:type="pct"/>
            <w:tcBorders>
              <w:top w:val="nil"/>
              <w:left w:val="nil"/>
              <w:bottom w:val="nil"/>
              <w:right w:val="nil"/>
            </w:tcBorders>
            <w:shd w:val="clear" w:color="auto" w:fill="auto"/>
            <w:noWrap/>
            <w:vAlign w:val="bottom"/>
            <w:hideMark/>
          </w:tcPr>
          <w:p w14:paraId="6DCC952F"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6.49</w:t>
            </w:r>
          </w:p>
        </w:tc>
        <w:tc>
          <w:tcPr>
            <w:tcW w:w="693" w:type="pct"/>
            <w:tcBorders>
              <w:top w:val="nil"/>
              <w:left w:val="nil"/>
              <w:bottom w:val="nil"/>
              <w:right w:val="nil"/>
            </w:tcBorders>
            <w:shd w:val="clear" w:color="auto" w:fill="auto"/>
            <w:noWrap/>
            <w:vAlign w:val="bottom"/>
            <w:hideMark/>
          </w:tcPr>
          <w:p w14:paraId="5C84169F"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0.11</w:t>
            </w:r>
          </w:p>
        </w:tc>
        <w:tc>
          <w:tcPr>
            <w:tcW w:w="49" w:type="pct"/>
            <w:tcBorders>
              <w:top w:val="nil"/>
              <w:left w:val="nil"/>
              <w:bottom w:val="nil"/>
              <w:right w:val="nil"/>
            </w:tcBorders>
          </w:tcPr>
          <w:p w14:paraId="5264C261" w14:textId="77777777" w:rsidR="005D6DDD" w:rsidRPr="004E2840" w:rsidRDefault="005D6DDD" w:rsidP="00053925">
            <w:pPr>
              <w:spacing w:line="220" w:lineRule="atLeast"/>
              <w:jc w:val="center"/>
              <w:rPr>
                <w:rFonts w:ascii="Arial" w:hAnsi="Arial" w:cs="Arial"/>
                <w:color w:val="000000" w:themeColor="text1"/>
                <w:sz w:val="22"/>
                <w:szCs w:val="22"/>
              </w:rPr>
            </w:pPr>
          </w:p>
        </w:tc>
        <w:tc>
          <w:tcPr>
            <w:tcW w:w="410" w:type="pct"/>
            <w:tcBorders>
              <w:top w:val="nil"/>
              <w:left w:val="nil"/>
              <w:bottom w:val="nil"/>
              <w:right w:val="nil"/>
            </w:tcBorders>
            <w:shd w:val="clear" w:color="auto" w:fill="auto"/>
            <w:noWrap/>
            <w:vAlign w:val="bottom"/>
            <w:hideMark/>
          </w:tcPr>
          <w:p w14:paraId="7E81DD4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6.8</w:t>
            </w:r>
          </w:p>
        </w:tc>
        <w:tc>
          <w:tcPr>
            <w:tcW w:w="410" w:type="pct"/>
            <w:tcBorders>
              <w:top w:val="nil"/>
              <w:left w:val="nil"/>
              <w:bottom w:val="nil"/>
              <w:right w:val="nil"/>
            </w:tcBorders>
            <w:shd w:val="clear" w:color="auto" w:fill="auto"/>
            <w:noWrap/>
            <w:vAlign w:val="bottom"/>
            <w:hideMark/>
          </w:tcPr>
          <w:p w14:paraId="5713B98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7.3</w:t>
            </w:r>
          </w:p>
        </w:tc>
        <w:tc>
          <w:tcPr>
            <w:tcW w:w="406" w:type="pct"/>
            <w:tcBorders>
              <w:top w:val="nil"/>
              <w:left w:val="nil"/>
              <w:bottom w:val="nil"/>
              <w:right w:val="nil"/>
            </w:tcBorders>
            <w:shd w:val="clear" w:color="auto" w:fill="auto"/>
            <w:noWrap/>
            <w:vAlign w:val="bottom"/>
            <w:hideMark/>
          </w:tcPr>
          <w:p w14:paraId="2AC22353"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0.86</w:t>
            </w:r>
          </w:p>
        </w:tc>
      </w:tr>
      <w:tr w:rsidR="005D6DDD" w:rsidRPr="004E2840" w14:paraId="2C793B66" w14:textId="77777777" w:rsidTr="00053925">
        <w:trPr>
          <w:trHeight w:val="283"/>
        </w:trPr>
        <w:tc>
          <w:tcPr>
            <w:tcW w:w="1557" w:type="pct"/>
            <w:tcBorders>
              <w:top w:val="nil"/>
              <w:left w:val="nil"/>
              <w:bottom w:val="nil"/>
              <w:right w:val="nil"/>
            </w:tcBorders>
            <w:shd w:val="clear" w:color="auto" w:fill="auto"/>
            <w:noWrap/>
            <w:vAlign w:val="bottom"/>
            <w:hideMark/>
          </w:tcPr>
          <w:p w14:paraId="36F5C806"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 Subsurface Water</w:t>
            </w:r>
          </w:p>
        </w:tc>
        <w:tc>
          <w:tcPr>
            <w:tcW w:w="407" w:type="pct"/>
            <w:tcBorders>
              <w:top w:val="nil"/>
              <w:left w:val="nil"/>
              <w:bottom w:val="nil"/>
              <w:right w:val="nil"/>
            </w:tcBorders>
            <w:shd w:val="clear" w:color="auto" w:fill="auto"/>
            <w:noWrap/>
            <w:vAlign w:val="bottom"/>
            <w:hideMark/>
          </w:tcPr>
          <w:p w14:paraId="0E07698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-1.5</w:t>
            </w:r>
          </w:p>
        </w:tc>
        <w:tc>
          <w:tcPr>
            <w:tcW w:w="529" w:type="pct"/>
            <w:tcBorders>
              <w:top w:val="nil"/>
              <w:left w:val="nil"/>
              <w:bottom w:val="nil"/>
              <w:right w:val="nil"/>
            </w:tcBorders>
            <w:shd w:val="clear" w:color="auto" w:fill="auto"/>
            <w:noWrap/>
            <w:vAlign w:val="bottom"/>
            <w:hideMark/>
          </w:tcPr>
          <w:p w14:paraId="4D67D6E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9.74</w:t>
            </w:r>
          </w:p>
        </w:tc>
        <w:tc>
          <w:tcPr>
            <w:tcW w:w="539" w:type="pct"/>
            <w:tcBorders>
              <w:top w:val="nil"/>
              <w:left w:val="nil"/>
              <w:bottom w:val="nil"/>
              <w:right w:val="nil"/>
            </w:tcBorders>
            <w:shd w:val="clear" w:color="auto" w:fill="auto"/>
            <w:noWrap/>
            <w:vAlign w:val="bottom"/>
            <w:hideMark/>
          </w:tcPr>
          <w:p w14:paraId="23AC2F9D"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8.76</w:t>
            </w:r>
          </w:p>
        </w:tc>
        <w:tc>
          <w:tcPr>
            <w:tcW w:w="693" w:type="pct"/>
            <w:tcBorders>
              <w:top w:val="nil"/>
              <w:left w:val="nil"/>
              <w:bottom w:val="nil"/>
              <w:right w:val="nil"/>
            </w:tcBorders>
            <w:shd w:val="clear" w:color="auto" w:fill="auto"/>
            <w:noWrap/>
            <w:vAlign w:val="bottom"/>
            <w:hideMark/>
          </w:tcPr>
          <w:p w14:paraId="1FAB6FC1"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0.13</w:t>
            </w:r>
          </w:p>
        </w:tc>
        <w:tc>
          <w:tcPr>
            <w:tcW w:w="49" w:type="pct"/>
            <w:tcBorders>
              <w:top w:val="nil"/>
              <w:left w:val="nil"/>
              <w:bottom w:val="nil"/>
              <w:right w:val="nil"/>
            </w:tcBorders>
          </w:tcPr>
          <w:p w14:paraId="0EEB112A" w14:textId="77777777" w:rsidR="005D6DDD" w:rsidRPr="004E2840" w:rsidRDefault="005D6DDD" w:rsidP="00053925">
            <w:pPr>
              <w:spacing w:line="220" w:lineRule="atLeast"/>
              <w:jc w:val="center"/>
              <w:rPr>
                <w:rFonts w:ascii="Arial" w:hAnsi="Arial" w:cs="Arial"/>
                <w:color w:val="000000" w:themeColor="text1"/>
                <w:sz w:val="22"/>
                <w:szCs w:val="22"/>
              </w:rPr>
            </w:pPr>
          </w:p>
        </w:tc>
        <w:tc>
          <w:tcPr>
            <w:tcW w:w="410" w:type="pct"/>
            <w:tcBorders>
              <w:top w:val="nil"/>
              <w:left w:val="nil"/>
              <w:bottom w:val="nil"/>
              <w:right w:val="nil"/>
            </w:tcBorders>
            <w:shd w:val="clear" w:color="auto" w:fill="auto"/>
            <w:noWrap/>
            <w:vAlign w:val="bottom"/>
            <w:hideMark/>
          </w:tcPr>
          <w:p w14:paraId="6AFE27C3"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-18.0</w:t>
            </w:r>
          </w:p>
        </w:tc>
        <w:tc>
          <w:tcPr>
            <w:tcW w:w="410" w:type="pct"/>
            <w:tcBorders>
              <w:top w:val="nil"/>
              <w:left w:val="nil"/>
              <w:bottom w:val="nil"/>
              <w:right w:val="nil"/>
            </w:tcBorders>
            <w:shd w:val="clear" w:color="auto" w:fill="auto"/>
            <w:noWrap/>
            <w:vAlign w:val="bottom"/>
            <w:hideMark/>
          </w:tcPr>
          <w:p w14:paraId="334843D3"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-13.5</w:t>
            </w:r>
          </w:p>
        </w:tc>
        <w:tc>
          <w:tcPr>
            <w:tcW w:w="406" w:type="pct"/>
            <w:tcBorders>
              <w:top w:val="nil"/>
              <w:left w:val="nil"/>
              <w:bottom w:val="nil"/>
              <w:right w:val="nil"/>
            </w:tcBorders>
            <w:shd w:val="clear" w:color="auto" w:fill="auto"/>
            <w:noWrap/>
            <w:vAlign w:val="bottom"/>
            <w:hideMark/>
          </w:tcPr>
          <w:p w14:paraId="765EC35A"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-1.80</w:t>
            </w:r>
          </w:p>
        </w:tc>
      </w:tr>
      <w:tr w:rsidR="005D6DDD" w:rsidRPr="004E2840" w14:paraId="6D035529" w14:textId="77777777" w:rsidTr="00053925">
        <w:trPr>
          <w:trHeight w:val="283"/>
        </w:trPr>
        <w:tc>
          <w:tcPr>
            <w:tcW w:w="1557" w:type="pct"/>
            <w:tcBorders>
              <w:top w:val="nil"/>
              <w:left w:val="nil"/>
              <w:bottom w:val="nil"/>
              <w:right w:val="nil"/>
            </w:tcBorders>
            <w:shd w:val="clear" w:color="auto" w:fill="auto"/>
            <w:noWrap/>
            <w:vAlign w:val="bottom"/>
            <w:hideMark/>
          </w:tcPr>
          <w:p w14:paraId="41E87A84"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Upper Atlantic Water</w:t>
            </w:r>
          </w:p>
        </w:tc>
        <w:tc>
          <w:tcPr>
            <w:tcW w:w="407" w:type="pct"/>
            <w:tcBorders>
              <w:top w:val="nil"/>
              <w:left w:val="nil"/>
              <w:bottom w:val="nil"/>
              <w:right w:val="nil"/>
            </w:tcBorders>
            <w:shd w:val="clear" w:color="auto" w:fill="auto"/>
            <w:noWrap/>
            <w:vAlign w:val="bottom"/>
            <w:hideMark/>
          </w:tcPr>
          <w:p w14:paraId="0EB0F83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w:t>
            </w:r>
          </w:p>
        </w:tc>
        <w:tc>
          <w:tcPr>
            <w:tcW w:w="529" w:type="pct"/>
            <w:tcBorders>
              <w:top w:val="nil"/>
              <w:left w:val="nil"/>
              <w:bottom w:val="nil"/>
              <w:right w:val="nil"/>
            </w:tcBorders>
            <w:shd w:val="clear" w:color="auto" w:fill="auto"/>
            <w:noWrap/>
            <w:vAlign w:val="bottom"/>
            <w:hideMark/>
          </w:tcPr>
          <w:p w14:paraId="362F1CCA"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12.17</w:t>
            </w:r>
          </w:p>
        </w:tc>
        <w:tc>
          <w:tcPr>
            <w:tcW w:w="539" w:type="pct"/>
            <w:tcBorders>
              <w:top w:val="nil"/>
              <w:left w:val="nil"/>
              <w:bottom w:val="nil"/>
              <w:right w:val="nil"/>
            </w:tcBorders>
            <w:shd w:val="clear" w:color="auto" w:fill="auto"/>
            <w:noWrap/>
            <w:vAlign w:val="bottom"/>
            <w:hideMark/>
          </w:tcPr>
          <w:p w14:paraId="48703DCF"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12.98</w:t>
            </w:r>
          </w:p>
        </w:tc>
        <w:tc>
          <w:tcPr>
            <w:tcW w:w="693" w:type="pct"/>
            <w:tcBorders>
              <w:top w:val="nil"/>
              <w:left w:val="nil"/>
              <w:bottom w:val="nil"/>
              <w:right w:val="nil"/>
            </w:tcBorders>
            <w:shd w:val="clear" w:color="auto" w:fill="auto"/>
            <w:noWrap/>
            <w:vAlign w:val="bottom"/>
            <w:hideMark/>
          </w:tcPr>
          <w:p w14:paraId="15001288"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0.10</w:t>
            </w:r>
          </w:p>
        </w:tc>
        <w:tc>
          <w:tcPr>
            <w:tcW w:w="49" w:type="pct"/>
            <w:tcBorders>
              <w:top w:val="nil"/>
              <w:left w:val="nil"/>
              <w:bottom w:val="nil"/>
              <w:right w:val="nil"/>
            </w:tcBorders>
          </w:tcPr>
          <w:p w14:paraId="3ED3A733" w14:textId="77777777" w:rsidR="005D6DDD" w:rsidRPr="004E2840" w:rsidRDefault="005D6DDD" w:rsidP="00053925">
            <w:pPr>
              <w:spacing w:line="220" w:lineRule="atLeast"/>
              <w:jc w:val="center"/>
              <w:rPr>
                <w:rFonts w:ascii="Arial" w:hAnsi="Arial" w:cs="Arial"/>
                <w:color w:val="000000" w:themeColor="text1"/>
                <w:sz w:val="22"/>
                <w:szCs w:val="22"/>
              </w:rPr>
            </w:pPr>
          </w:p>
        </w:tc>
        <w:tc>
          <w:tcPr>
            <w:tcW w:w="410" w:type="pct"/>
            <w:tcBorders>
              <w:top w:val="nil"/>
              <w:left w:val="nil"/>
              <w:bottom w:val="nil"/>
              <w:right w:val="nil"/>
            </w:tcBorders>
            <w:shd w:val="clear" w:color="auto" w:fill="auto"/>
            <w:noWrap/>
            <w:vAlign w:val="bottom"/>
            <w:hideMark/>
          </w:tcPr>
          <w:p w14:paraId="58C2276B"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-16.7</w:t>
            </w:r>
          </w:p>
        </w:tc>
        <w:tc>
          <w:tcPr>
            <w:tcW w:w="410" w:type="pct"/>
            <w:tcBorders>
              <w:top w:val="nil"/>
              <w:left w:val="nil"/>
              <w:bottom w:val="nil"/>
              <w:right w:val="nil"/>
            </w:tcBorders>
            <w:shd w:val="clear" w:color="auto" w:fill="auto"/>
            <w:noWrap/>
            <w:vAlign w:val="bottom"/>
            <w:hideMark/>
          </w:tcPr>
          <w:p w14:paraId="2B6F102F"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-13.3</w:t>
            </w:r>
          </w:p>
        </w:tc>
        <w:tc>
          <w:tcPr>
            <w:tcW w:w="406" w:type="pct"/>
            <w:tcBorders>
              <w:top w:val="nil"/>
              <w:left w:val="nil"/>
              <w:bottom w:val="nil"/>
              <w:right w:val="nil"/>
            </w:tcBorders>
            <w:shd w:val="clear" w:color="auto" w:fill="auto"/>
            <w:noWrap/>
            <w:vAlign w:val="bottom"/>
            <w:hideMark/>
          </w:tcPr>
          <w:p w14:paraId="5ECCAC8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-1.33</w:t>
            </w:r>
          </w:p>
        </w:tc>
      </w:tr>
      <w:tr w:rsidR="005D6DDD" w:rsidRPr="004E2840" w14:paraId="4DFDB63B" w14:textId="77777777" w:rsidTr="00053925">
        <w:trPr>
          <w:trHeight w:val="283"/>
        </w:trPr>
        <w:tc>
          <w:tcPr>
            <w:tcW w:w="1557" w:type="pct"/>
            <w:tcBorders>
              <w:top w:val="nil"/>
              <w:left w:val="nil"/>
              <w:bottom w:val="single" w:sz="4" w:space="0" w:color="auto"/>
              <w:right w:val="nil"/>
            </w:tcBorders>
            <w:shd w:val="clear" w:color="auto" w:fill="auto"/>
            <w:noWrap/>
            <w:vAlign w:val="bottom"/>
            <w:hideMark/>
          </w:tcPr>
          <w:p w14:paraId="33E706D9" w14:textId="77777777" w:rsidR="005D6DDD" w:rsidRPr="004E2840" w:rsidRDefault="005D6DDD" w:rsidP="00053925">
            <w:pPr>
              <w:spacing w:line="220" w:lineRule="atLeast"/>
              <w:jc w:val="right"/>
              <w:rPr>
                <w:rFonts w:ascii="Arial" w:hAnsi="Arial" w:cs="Arial"/>
                <w:b/>
                <w:bCs/>
                <w:color w:val="000000" w:themeColor="text1"/>
                <w:sz w:val="22"/>
                <w:szCs w:val="22"/>
              </w:rPr>
            </w:pPr>
            <w:r w:rsidRPr="004E2840">
              <w:rPr>
                <w:rFonts w:ascii="Arial" w:hAnsi="Arial" w:cs="Arial"/>
                <w:b/>
                <w:bCs/>
                <w:color w:val="000000" w:themeColor="text1"/>
                <w:sz w:val="22"/>
                <w:szCs w:val="22"/>
              </w:rPr>
              <w:t>Total</w:t>
            </w:r>
          </w:p>
        </w:tc>
        <w:tc>
          <w:tcPr>
            <w:tcW w:w="407" w:type="pct"/>
            <w:tcBorders>
              <w:top w:val="nil"/>
              <w:left w:val="nil"/>
              <w:bottom w:val="single" w:sz="4" w:space="0" w:color="auto"/>
              <w:right w:val="nil"/>
            </w:tcBorders>
            <w:shd w:val="clear" w:color="auto" w:fill="auto"/>
            <w:noWrap/>
            <w:vAlign w:val="bottom"/>
            <w:hideMark/>
          </w:tcPr>
          <w:p w14:paraId="40FE7D89"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-1.4</w:t>
            </w:r>
          </w:p>
        </w:tc>
        <w:tc>
          <w:tcPr>
            <w:tcW w:w="529" w:type="pct"/>
            <w:tcBorders>
              <w:top w:val="nil"/>
              <w:left w:val="nil"/>
              <w:bottom w:val="single" w:sz="4" w:space="0" w:color="auto"/>
              <w:right w:val="nil"/>
            </w:tcBorders>
            <w:shd w:val="clear" w:color="auto" w:fill="auto"/>
            <w:noWrap/>
            <w:vAlign w:val="bottom"/>
            <w:hideMark/>
          </w:tcPr>
          <w:p w14:paraId="7E22CE47"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19.87*</w:t>
            </w:r>
          </w:p>
        </w:tc>
        <w:tc>
          <w:tcPr>
            <w:tcW w:w="539" w:type="pct"/>
            <w:tcBorders>
              <w:top w:val="nil"/>
              <w:left w:val="nil"/>
              <w:bottom w:val="single" w:sz="4" w:space="0" w:color="auto"/>
              <w:right w:val="nil"/>
            </w:tcBorders>
            <w:shd w:val="clear" w:color="auto" w:fill="auto"/>
            <w:noWrap/>
            <w:vAlign w:val="bottom"/>
            <w:hideMark/>
          </w:tcPr>
          <w:p w14:paraId="18506E02"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13.93*</w:t>
            </w:r>
          </w:p>
        </w:tc>
        <w:tc>
          <w:tcPr>
            <w:tcW w:w="693" w:type="pct"/>
            <w:tcBorders>
              <w:top w:val="nil"/>
              <w:left w:val="nil"/>
              <w:bottom w:val="single" w:sz="4" w:space="0" w:color="auto"/>
              <w:right w:val="nil"/>
            </w:tcBorders>
            <w:shd w:val="clear" w:color="auto" w:fill="auto"/>
            <w:noWrap/>
            <w:vAlign w:val="bottom"/>
            <w:hideMark/>
          </w:tcPr>
          <w:p w14:paraId="60991213" w14:textId="77777777" w:rsidR="005D6DDD" w:rsidRPr="004E2840" w:rsidRDefault="005D6DDD"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1.63*</w:t>
            </w:r>
          </w:p>
        </w:tc>
        <w:tc>
          <w:tcPr>
            <w:tcW w:w="49" w:type="pct"/>
            <w:tcBorders>
              <w:top w:val="nil"/>
              <w:left w:val="nil"/>
              <w:bottom w:val="single" w:sz="4" w:space="0" w:color="auto"/>
              <w:right w:val="nil"/>
            </w:tcBorders>
          </w:tcPr>
          <w:p w14:paraId="6B574A73" w14:textId="77777777" w:rsidR="005D6DDD" w:rsidRPr="004E2840" w:rsidRDefault="005D6DDD" w:rsidP="00053925">
            <w:pPr>
              <w:spacing w:line="220" w:lineRule="atLeast"/>
              <w:jc w:val="center"/>
              <w:rPr>
                <w:rFonts w:ascii="Arial" w:hAnsi="Arial" w:cs="Arial"/>
                <w:b/>
                <w:bCs/>
                <w:color w:val="000000" w:themeColor="text1"/>
                <w:sz w:val="22"/>
                <w:szCs w:val="22"/>
              </w:rPr>
            </w:pPr>
          </w:p>
        </w:tc>
        <w:tc>
          <w:tcPr>
            <w:tcW w:w="410" w:type="pct"/>
            <w:tcBorders>
              <w:top w:val="nil"/>
              <w:left w:val="nil"/>
              <w:bottom w:val="single" w:sz="4" w:space="0" w:color="auto"/>
              <w:right w:val="nil"/>
            </w:tcBorders>
            <w:shd w:val="clear" w:color="auto" w:fill="auto"/>
            <w:noWrap/>
            <w:vAlign w:val="bottom"/>
            <w:hideMark/>
          </w:tcPr>
          <w:p w14:paraId="0ED01F08"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-27.8</w:t>
            </w:r>
          </w:p>
        </w:tc>
        <w:tc>
          <w:tcPr>
            <w:tcW w:w="410" w:type="pct"/>
            <w:tcBorders>
              <w:top w:val="nil"/>
              <w:left w:val="nil"/>
              <w:bottom w:val="single" w:sz="4" w:space="0" w:color="auto"/>
              <w:right w:val="nil"/>
            </w:tcBorders>
            <w:shd w:val="clear" w:color="auto" w:fill="auto"/>
            <w:noWrap/>
            <w:vAlign w:val="bottom"/>
            <w:hideMark/>
          </w:tcPr>
          <w:p w14:paraId="6143361E"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-19.5</w:t>
            </w:r>
          </w:p>
        </w:tc>
        <w:tc>
          <w:tcPr>
            <w:tcW w:w="406" w:type="pct"/>
            <w:tcBorders>
              <w:top w:val="nil"/>
              <w:left w:val="nil"/>
              <w:bottom w:val="single" w:sz="4" w:space="0" w:color="auto"/>
              <w:right w:val="nil"/>
            </w:tcBorders>
            <w:shd w:val="clear" w:color="auto" w:fill="auto"/>
            <w:noWrap/>
            <w:vAlign w:val="bottom"/>
            <w:hideMark/>
          </w:tcPr>
          <w:p w14:paraId="6A801049"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-2.3</w:t>
            </w:r>
          </w:p>
        </w:tc>
      </w:tr>
    </w:tbl>
    <w:p w14:paraId="01DE8A70" w14:textId="254C23CF" w:rsidR="005D6DDD" w:rsidRPr="002101B9" w:rsidRDefault="005D6DDD" w:rsidP="00CA6BFC">
      <w:pPr>
        <w:pStyle w:val="SMHeading"/>
        <w:spacing w:line="360" w:lineRule="auto"/>
        <w:jc w:val="both"/>
        <w:rPr>
          <w:rFonts w:ascii="Arial" w:hAnsi="Arial" w:cs="Arial"/>
          <w:b w:val="0"/>
          <w:color w:val="000000" w:themeColor="text1"/>
          <w:sz w:val="22"/>
          <w:szCs w:val="22"/>
        </w:rPr>
      </w:pPr>
      <w:r w:rsidRPr="002101B9">
        <w:rPr>
          <w:rFonts w:ascii="Arial" w:hAnsi="Arial" w:cs="Arial"/>
          <w:color w:val="000000" w:themeColor="text1"/>
          <w:sz w:val="22"/>
          <w:szCs w:val="22"/>
        </w:rPr>
        <w:t>Table S</w:t>
      </w:r>
      <w:r w:rsidR="00E1460D" w:rsidRPr="002101B9">
        <w:rPr>
          <w:rFonts w:ascii="Arial" w:hAnsi="Arial" w:cs="Arial"/>
          <w:color w:val="000000" w:themeColor="text1"/>
          <w:sz w:val="22"/>
          <w:szCs w:val="22"/>
        </w:rPr>
        <w:t>4</w:t>
      </w:r>
      <w:r w:rsidRPr="002101B9">
        <w:rPr>
          <w:rFonts w:ascii="Arial" w:hAnsi="Arial" w:cs="Arial"/>
          <w:color w:val="000000" w:themeColor="text1"/>
          <w:sz w:val="22"/>
          <w:szCs w:val="22"/>
        </w:rPr>
        <w:t xml:space="preserve">b. </w:t>
      </w:r>
      <w:r w:rsidRPr="002101B9">
        <w:rPr>
          <w:rFonts w:ascii="Arial" w:hAnsi="Arial" w:cs="Arial"/>
          <w:b w:val="0"/>
          <w:color w:val="000000" w:themeColor="text1"/>
          <w:sz w:val="22"/>
          <w:szCs w:val="22"/>
        </w:rPr>
        <w:t xml:space="preserve">Volume and salt transports at Davis Straits by water masses as defined by </w:t>
      </w:r>
      <w:r w:rsidRPr="002101B9">
        <w:rPr>
          <w:rFonts w:ascii="Arial" w:hAnsi="Arial" w:cs="Arial"/>
          <w:b w:val="0"/>
          <w:color w:val="000000" w:themeColor="text1"/>
          <w:sz w:val="22"/>
          <w:szCs w:val="22"/>
        </w:rPr>
        <w:fldChar w:fldCharType="begin"/>
      </w:r>
      <w:r w:rsidR="00387A35" w:rsidRPr="002101B9">
        <w:rPr>
          <w:rFonts w:ascii="Arial" w:hAnsi="Arial" w:cs="Arial"/>
          <w:b w:val="0"/>
          <w:color w:val="000000" w:themeColor="text1"/>
          <w:sz w:val="22"/>
          <w:szCs w:val="22"/>
        </w:rPr>
        <w:instrText xml:space="preserve"> ADDIN ZOTERO_ITEM CSL_CITATION {"citationID":"Sfk7tfdq","properties":{"formattedCitation":"(Curry et al., 2013)","plainCitation":"(Curry et al., 2013)","dontUpdate":true,"noteIndex":0},"citationItems":[{"id":876,"uris":["http://zotero.org/users/951135/items/N3MWV3ZU"],"uri":["http://zotero.org/users/951135/items/N3MWV3ZU"],"itemData":{"id":876,"type":"article-journal","abstract":"Davis Strait is a primary gateway for freshwater exchange between the Arctic and North Atlantic Oceans including freshwater contributions from west Greenland and Canadian Arctic Archipelago glacial melt. Data from six years (2004–10) of continuous measurements collected by a full-strait moored array and concurrent high-resolution Seaglider surveys are used to estimate volume and liquid freshwater transports through Davis Strait, with respective annual averages of −1.6 ± 0.5 Sverdrups (Sv; 1 Sv ≡ 106 m3 s−1) and −93 ± 6 mSv (negative sign indicates southward transport). Sea ice export contributes an additional −10 ± 1 mSv of freshwater transport, estimated using satellite ice area transport and moored upward-looking sonar ice thickness measurements. Interannual and annual variability of the net transports are large, with average annual volume and liquid freshwater transport standard deviations of 0.7 Sv and 17 mSv and with interannual standard deviations of 0.3 Sv and 15 mSv. Moreover, there are no clear trends in the net transports over the 6-yr period. However, salinity in the upper 250 m between Baffin Island and midstrait decreases starting in September 2009 and remains below average through August 2010, but appears to return to normal by the end of 2010. This freshening event, likely caused by changes in arctic freshwater storage, is not apparent in the liquid freshwater transport time series due to a reduction in southward volume transport in 2009–10. Reanalysis of Davis Strait mooring data from the period 1987–90, compared to the 2004–10 measurements, reveals less arctic outflow and warmer, more saline North Atlantic inflow during the most recent period.","container-title":"Journal of Physical Oceanography","DOI":"10.1175/JPO-D-13-0177.1","ISSN":"0022-3670","issue":"4","journalAbbreviation":"J. Phys. Oceanogr.","page":"1244-1266","source":"journals.ametsoc.org (Atypon)","title":"Multiyear Volume, Liquid Freshwater, and Sea Ice Transports through Davis Strait, 2004–10","volume":"44","author":[{"family":"Curry","given":"B."},{"family":"Lee","given":"C. M."},{"family":"Petrie","given":"B."},{"family":"Moritz","given":"R. E."},{"family":"Kwok","given":"R."}],"issued":{"date-parts":[["2013",12,18]]}}}],"schema":"https://github.com/citation-style-language/schema/raw/master/csl-citation.json"} </w:instrText>
      </w:r>
      <w:r w:rsidRPr="002101B9">
        <w:rPr>
          <w:rFonts w:ascii="Arial" w:hAnsi="Arial" w:cs="Arial"/>
          <w:b w:val="0"/>
          <w:color w:val="000000" w:themeColor="text1"/>
          <w:sz w:val="22"/>
          <w:szCs w:val="22"/>
        </w:rPr>
        <w:fldChar w:fldCharType="separate"/>
      </w:r>
      <w:r w:rsidRPr="002101B9">
        <w:rPr>
          <w:rFonts w:ascii="Arial" w:hAnsi="Arial" w:cs="Arial"/>
          <w:b w:val="0"/>
          <w:noProof/>
          <w:color w:val="000000" w:themeColor="text1"/>
          <w:sz w:val="22"/>
          <w:szCs w:val="22"/>
        </w:rPr>
        <w:t>Curry et al. (201</w:t>
      </w:r>
      <w:r w:rsidR="00CB1EBE">
        <w:rPr>
          <w:rFonts w:ascii="Arial" w:hAnsi="Arial" w:cs="Arial"/>
          <w:b w:val="0"/>
          <w:noProof/>
          <w:color w:val="000000" w:themeColor="text1"/>
          <w:sz w:val="22"/>
          <w:szCs w:val="22"/>
        </w:rPr>
        <w:t>4</w:t>
      </w:r>
      <w:r w:rsidRPr="002101B9">
        <w:rPr>
          <w:rFonts w:ascii="Arial" w:hAnsi="Arial" w:cs="Arial"/>
          <w:b w:val="0"/>
          <w:noProof/>
          <w:color w:val="000000" w:themeColor="text1"/>
          <w:sz w:val="22"/>
          <w:szCs w:val="22"/>
        </w:rPr>
        <w:t>)</w:t>
      </w:r>
      <w:r w:rsidRPr="002101B9">
        <w:rPr>
          <w:rFonts w:ascii="Arial" w:hAnsi="Arial" w:cs="Arial"/>
          <w:b w:val="0"/>
          <w:color w:val="000000" w:themeColor="text1"/>
          <w:sz w:val="22"/>
          <w:szCs w:val="22"/>
        </w:rPr>
        <w:fldChar w:fldCharType="end"/>
      </w:r>
      <w:r w:rsidRPr="002101B9">
        <w:rPr>
          <w:rFonts w:ascii="Arial" w:hAnsi="Arial" w:cs="Arial"/>
          <w:b w:val="0"/>
          <w:color w:val="000000" w:themeColor="text1"/>
          <w:sz w:val="22"/>
          <w:szCs w:val="22"/>
        </w:rPr>
        <w:t>. Salt transports (T</w:t>
      </w:r>
      <w:r w:rsidRPr="002101B9">
        <w:rPr>
          <w:rFonts w:ascii="Arial" w:hAnsi="Arial" w:cs="Arial"/>
          <w:b w:val="0"/>
          <w:color w:val="000000" w:themeColor="text1"/>
          <w:sz w:val="22"/>
          <w:szCs w:val="22"/>
          <w:vertAlign w:val="subscript"/>
        </w:rPr>
        <w:t>sal</w:t>
      </w:r>
      <w:r w:rsidRPr="002101B9">
        <w:rPr>
          <w:rFonts w:ascii="Arial" w:hAnsi="Arial" w:cs="Arial"/>
          <w:b w:val="0"/>
          <w:color w:val="000000" w:themeColor="text1"/>
          <w:sz w:val="22"/>
          <w:szCs w:val="22"/>
        </w:rPr>
        <w:t>) by water mass were computed as the volume transport (T</w:t>
      </w:r>
      <w:r w:rsidRPr="002101B9">
        <w:rPr>
          <w:rFonts w:ascii="Arial" w:hAnsi="Arial" w:cs="Arial"/>
          <w:b w:val="0"/>
          <w:color w:val="000000" w:themeColor="text1"/>
          <w:sz w:val="22"/>
          <w:szCs w:val="22"/>
          <w:vertAlign w:val="subscript"/>
        </w:rPr>
        <w:t>vol</w:t>
      </w:r>
      <w:r w:rsidRPr="002101B9">
        <w:rPr>
          <w:rFonts w:ascii="Arial" w:hAnsi="Arial" w:cs="Arial"/>
          <w:b w:val="0"/>
          <w:color w:val="000000" w:themeColor="text1"/>
          <w:sz w:val="22"/>
          <w:szCs w:val="22"/>
        </w:rPr>
        <w:t>) multiplied by the mean salinity of a given water mass. The total salt transport was then estimated as the sum of the contribution of all water masses. Finally, a transport weighted salinity* was re-estimated as total salt transport divided by the total volume transport.</w:t>
      </w:r>
    </w:p>
    <w:tbl>
      <w:tblPr>
        <w:tblpPr w:leftFromText="180" w:rightFromText="180" w:vertAnchor="text" w:horzAnchor="margin" w:tblpXSpec="center" w:tblpY="173"/>
        <w:tblW w:w="7768" w:type="dxa"/>
        <w:tblLook w:val="04A0" w:firstRow="1" w:lastRow="0" w:firstColumn="1" w:lastColumn="0" w:noHBand="0" w:noVBand="1"/>
      </w:tblPr>
      <w:tblGrid>
        <w:gridCol w:w="3444"/>
        <w:gridCol w:w="1140"/>
        <w:gridCol w:w="1600"/>
        <w:gridCol w:w="1578"/>
        <w:gridCol w:w="6"/>
      </w:tblGrid>
      <w:tr w:rsidR="00053925" w:rsidRPr="004E2840" w14:paraId="3D987EC8" w14:textId="77777777" w:rsidTr="00053925">
        <w:trPr>
          <w:gridAfter w:val="1"/>
          <w:wAfter w:w="6" w:type="dxa"/>
          <w:trHeight w:val="300"/>
        </w:trPr>
        <w:tc>
          <w:tcPr>
            <w:tcW w:w="3444" w:type="dxa"/>
            <w:tcBorders>
              <w:top w:val="nil"/>
              <w:left w:val="nil"/>
              <w:bottom w:val="nil"/>
              <w:right w:val="nil"/>
            </w:tcBorders>
            <w:shd w:val="clear" w:color="auto" w:fill="auto"/>
            <w:noWrap/>
            <w:vAlign w:val="bottom"/>
            <w:hideMark/>
          </w:tcPr>
          <w:p w14:paraId="5171AAD3" w14:textId="77777777" w:rsidR="00053925" w:rsidRPr="004E2840" w:rsidRDefault="00053925" w:rsidP="00053925">
            <w:pPr>
              <w:spacing w:line="220" w:lineRule="atLeast"/>
              <w:rPr>
                <w:rFonts w:ascii="Arial" w:hAnsi="Arial" w:cs="Arial"/>
                <w:color w:val="000000" w:themeColor="text1"/>
                <w:sz w:val="20"/>
              </w:rPr>
            </w:pPr>
          </w:p>
        </w:tc>
        <w:tc>
          <w:tcPr>
            <w:tcW w:w="1140" w:type="dxa"/>
            <w:tcBorders>
              <w:top w:val="single" w:sz="4" w:space="0" w:color="auto"/>
              <w:left w:val="nil"/>
              <w:bottom w:val="nil"/>
              <w:right w:val="nil"/>
            </w:tcBorders>
            <w:shd w:val="clear" w:color="auto" w:fill="auto"/>
            <w:noWrap/>
            <w:vAlign w:val="bottom"/>
            <w:hideMark/>
          </w:tcPr>
          <w:p w14:paraId="10B34D14" w14:textId="77777777" w:rsidR="00053925" w:rsidRPr="004E2840" w:rsidRDefault="00053925"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t>
            </w:r>
            <w:r w:rsidRPr="004E2840">
              <w:rPr>
                <w:rFonts w:ascii="Arial" w:hAnsi="Arial" w:cs="Arial"/>
                <w:b/>
                <w:bCs/>
                <w:color w:val="000000" w:themeColor="text1"/>
                <w:sz w:val="22"/>
                <w:szCs w:val="22"/>
                <w:vertAlign w:val="subscript"/>
              </w:rPr>
              <w:t>vol</w:t>
            </w:r>
          </w:p>
        </w:tc>
        <w:tc>
          <w:tcPr>
            <w:tcW w:w="1600" w:type="dxa"/>
            <w:vMerge w:val="restart"/>
            <w:tcBorders>
              <w:top w:val="single" w:sz="4" w:space="0" w:color="auto"/>
              <w:left w:val="nil"/>
              <w:right w:val="nil"/>
            </w:tcBorders>
            <w:shd w:val="clear" w:color="auto" w:fill="auto"/>
            <w:noWrap/>
            <w:vAlign w:val="center"/>
          </w:tcPr>
          <w:p w14:paraId="49A0BC60" w14:textId="77777777" w:rsidR="00053925" w:rsidRPr="004E2840" w:rsidRDefault="00053925"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Mean salinity</w:t>
            </w:r>
          </w:p>
        </w:tc>
        <w:tc>
          <w:tcPr>
            <w:tcW w:w="1578" w:type="dxa"/>
            <w:tcBorders>
              <w:top w:val="single" w:sz="4" w:space="0" w:color="auto"/>
              <w:left w:val="nil"/>
              <w:bottom w:val="nil"/>
              <w:right w:val="nil"/>
            </w:tcBorders>
            <w:shd w:val="clear" w:color="auto" w:fill="auto"/>
            <w:noWrap/>
            <w:vAlign w:val="bottom"/>
            <w:hideMark/>
          </w:tcPr>
          <w:p w14:paraId="36678CFC" w14:textId="77777777" w:rsidR="00053925" w:rsidRPr="004E2840" w:rsidRDefault="00053925"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T</w:t>
            </w:r>
            <w:r w:rsidRPr="004E2840">
              <w:rPr>
                <w:rFonts w:ascii="Arial" w:hAnsi="Arial" w:cs="Arial"/>
                <w:b/>
                <w:bCs/>
                <w:color w:val="000000" w:themeColor="text1"/>
                <w:sz w:val="22"/>
                <w:szCs w:val="22"/>
                <w:vertAlign w:val="subscript"/>
              </w:rPr>
              <w:t>sal</w:t>
            </w:r>
          </w:p>
        </w:tc>
      </w:tr>
      <w:tr w:rsidR="00053925" w:rsidRPr="004E2840" w14:paraId="5DB5DAEB" w14:textId="77777777" w:rsidTr="00053925">
        <w:trPr>
          <w:gridAfter w:val="1"/>
          <w:wAfter w:w="6" w:type="dxa"/>
          <w:trHeight w:val="300"/>
        </w:trPr>
        <w:tc>
          <w:tcPr>
            <w:tcW w:w="3444" w:type="dxa"/>
            <w:tcBorders>
              <w:top w:val="nil"/>
              <w:left w:val="nil"/>
              <w:bottom w:val="nil"/>
              <w:right w:val="nil"/>
            </w:tcBorders>
            <w:shd w:val="clear" w:color="auto" w:fill="auto"/>
            <w:noWrap/>
            <w:vAlign w:val="bottom"/>
            <w:hideMark/>
          </w:tcPr>
          <w:p w14:paraId="1E449354" w14:textId="77777777" w:rsidR="00053925" w:rsidRPr="004E2840" w:rsidRDefault="00053925" w:rsidP="00053925">
            <w:pPr>
              <w:spacing w:line="220" w:lineRule="atLeast"/>
              <w:jc w:val="center"/>
              <w:rPr>
                <w:rFonts w:ascii="Arial" w:hAnsi="Arial" w:cs="Arial"/>
                <w:b/>
                <w:bCs/>
                <w:color w:val="000000" w:themeColor="text1"/>
                <w:sz w:val="22"/>
                <w:szCs w:val="22"/>
              </w:rPr>
            </w:pPr>
          </w:p>
        </w:tc>
        <w:tc>
          <w:tcPr>
            <w:tcW w:w="1140" w:type="dxa"/>
            <w:tcBorders>
              <w:top w:val="nil"/>
              <w:left w:val="nil"/>
              <w:bottom w:val="single" w:sz="4" w:space="0" w:color="auto"/>
              <w:right w:val="nil"/>
            </w:tcBorders>
            <w:shd w:val="clear" w:color="auto" w:fill="auto"/>
            <w:noWrap/>
            <w:vAlign w:val="bottom"/>
            <w:hideMark/>
          </w:tcPr>
          <w:p w14:paraId="47D4BABB" w14:textId="77777777" w:rsidR="00053925" w:rsidRPr="004E2840" w:rsidRDefault="00053925"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(Sv)</w:t>
            </w:r>
          </w:p>
        </w:tc>
        <w:tc>
          <w:tcPr>
            <w:tcW w:w="1600" w:type="dxa"/>
            <w:vMerge/>
            <w:tcBorders>
              <w:left w:val="nil"/>
              <w:bottom w:val="single" w:sz="4" w:space="0" w:color="auto"/>
              <w:right w:val="nil"/>
            </w:tcBorders>
            <w:shd w:val="clear" w:color="auto" w:fill="auto"/>
            <w:noWrap/>
            <w:vAlign w:val="bottom"/>
            <w:hideMark/>
          </w:tcPr>
          <w:p w14:paraId="470C8122" w14:textId="4C6DC11C" w:rsidR="00053925" w:rsidRPr="004E2840" w:rsidRDefault="00053925" w:rsidP="00053925">
            <w:pPr>
              <w:spacing w:line="220" w:lineRule="atLeast"/>
              <w:jc w:val="center"/>
              <w:rPr>
                <w:rFonts w:ascii="Arial" w:hAnsi="Arial" w:cs="Arial"/>
                <w:bCs/>
                <w:color w:val="000000" w:themeColor="text1"/>
                <w:sz w:val="22"/>
                <w:szCs w:val="22"/>
              </w:rPr>
            </w:pPr>
          </w:p>
        </w:tc>
        <w:tc>
          <w:tcPr>
            <w:tcW w:w="1578" w:type="dxa"/>
            <w:tcBorders>
              <w:top w:val="nil"/>
              <w:left w:val="nil"/>
              <w:bottom w:val="single" w:sz="4" w:space="0" w:color="auto"/>
              <w:right w:val="nil"/>
            </w:tcBorders>
            <w:shd w:val="clear" w:color="auto" w:fill="auto"/>
            <w:noWrap/>
            <w:vAlign w:val="bottom"/>
            <w:hideMark/>
          </w:tcPr>
          <w:p w14:paraId="45C2D017" w14:textId="77777777" w:rsidR="00053925" w:rsidRPr="004E2840" w:rsidRDefault="00053925" w:rsidP="00053925">
            <w:pPr>
              <w:spacing w:line="220" w:lineRule="atLeast"/>
              <w:jc w:val="center"/>
              <w:rPr>
                <w:rFonts w:ascii="Arial" w:hAnsi="Arial" w:cs="Arial"/>
                <w:bCs/>
                <w:color w:val="000000" w:themeColor="text1"/>
                <w:sz w:val="22"/>
                <w:szCs w:val="22"/>
              </w:rPr>
            </w:pPr>
            <w:r w:rsidRPr="004E2840">
              <w:rPr>
                <w:rFonts w:ascii="Arial" w:hAnsi="Arial" w:cs="Arial"/>
                <w:bCs/>
                <w:color w:val="000000" w:themeColor="text1"/>
                <w:sz w:val="22"/>
                <w:szCs w:val="22"/>
              </w:rPr>
              <w:t>(Sv psu)</w:t>
            </w:r>
          </w:p>
        </w:tc>
      </w:tr>
      <w:tr w:rsidR="005D6DDD" w:rsidRPr="004E2840" w14:paraId="1DD051FE" w14:textId="77777777" w:rsidTr="00053925">
        <w:trPr>
          <w:trHeight w:val="300"/>
        </w:trPr>
        <w:tc>
          <w:tcPr>
            <w:tcW w:w="7768" w:type="dxa"/>
            <w:gridSpan w:val="5"/>
            <w:tcBorders>
              <w:top w:val="single" w:sz="4" w:space="0" w:color="auto"/>
              <w:left w:val="nil"/>
              <w:bottom w:val="single" w:sz="4" w:space="0" w:color="auto"/>
              <w:right w:val="nil"/>
            </w:tcBorders>
            <w:shd w:val="clear" w:color="000000" w:fill="F2F2F2"/>
            <w:noWrap/>
            <w:vAlign w:val="bottom"/>
            <w:hideMark/>
          </w:tcPr>
          <w:p w14:paraId="249C5E09"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2004</w:t>
            </w:r>
          </w:p>
        </w:tc>
      </w:tr>
      <w:tr w:rsidR="005D6DDD" w:rsidRPr="004E2840" w14:paraId="47C42FD1" w14:textId="77777777" w:rsidTr="00053925">
        <w:trPr>
          <w:gridAfter w:val="1"/>
          <w:wAfter w:w="6" w:type="dxa"/>
          <w:trHeight w:val="227"/>
        </w:trPr>
        <w:tc>
          <w:tcPr>
            <w:tcW w:w="3444" w:type="dxa"/>
            <w:tcBorders>
              <w:top w:val="nil"/>
              <w:left w:val="nil"/>
              <w:bottom w:val="nil"/>
              <w:right w:val="nil"/>
            </w:tcBorders>
            <w:shd w:val="clear" w:color="auto" w:fill="auto"/>
            <w:noWrap/>
            <w:vAlign w:val="bottom"/>
            <w:hideMark/>
          </w:tcPr>
          <w:p w14:paraId="5BE64521"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Arctic Water</w:t>
            </w:r>
          </w:p>
        </w:tc>
        <w:tc>
          <w:tcPr>
            <w:tcW w:w="1140" w:type="dxa"/>
            <w:tcBorders>
              <w:top w:val="nil"/>
              <w:left w:val="nil"/>
              <w:bottom w:val="nil"/>
              <w:right w:val="nil"/>
            </w:tcBorders>
            <w:shd w:val="clear" w:color="auto" w:fill="auto"/>
            <w:noWrap/>
            <w:vAlign w:val="bottom"/>
            <w:hideMark/>
          </w:tcPr>
          <w:p w14:paraId="2BF6E43F"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-1.8</w:t>
            </w:r>
          </w:p>
        </w:tc>
        <w:tc>
          <w:tcPr>
            <w:tcW w:w="1600" w:type="dxa"/>
            <w:tcBorders>
              <w:top w:val="nil"/>
              <w:left w:val="nil"/>
              <w:bottom w:val="nil"/>
              <w:right w:val="nil"/>
            </w:tcBorders>
            <w:shd w:val="clear" w:color="auto" w:fill="auto"/>
            <w:noWrap/>
            <w:vAlign w:val="bottom"/>
            <w:hideMark/>
          </w:tcPr>
          <w:p w14:paraId="399F15E3"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33.10</w:t>
            </w:r>
          </w:p>
        </w:tc>
        <w:tc>
          <w:tcPr>
            <w:tcW w:w="1578" w:type="dxa"/>
            <w:tcBorders>
              <w:top w:val="nil"/>
              <w:left w:val="nil"/>
              <w:bottom w:val="nil"/>
              <w:right w:val="nil"/>
            </w:tcBorders>
            <w:shd w:val="clear" w:color="auto" w:fill="auto"/>
            <w:noWrap/>
            <w:vAlign w:val="bottom"/>
            <w:hideMark/>
          </w:tcPr>
          <w:p w14:paraId="27176681"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-59.6</w:t>
            </w:r>
          </w:p>
        </w:tc>
      </w:tr>
      <w:tr w:rsidR="005D6DDD" w:rsidRPr="004E2840" w14:paraId="3C3F63BD" w14:textId="77777777" w:rsidTr="00053925">
        <w:trPr>
          <w:gridAfter w:val="1"/>
          <w:wAfter w:w="6" w:type="dxa"/>
          <w:trHeight w:val="227"/>
        </w:trPr>
        <w:tc>
          <w:tcPr>
            <w:tcW w:w="3444" w:type="dxa"/>
            <w:tcBorders>
              <w:top w:val="nil"/>
              <w:left w:val="nil"/>
              <w:bottom w:val="nil"/>
              <w:right w:val="nil"/>
            </w:tcBorders>
            <w:shd w:val="clear" w:color="auto" w:fill="auto"/>
            <w:noWrap/>
            <w:vAlign w:val="bottom"/>
            <w:hideMark/>
          </w:tcPr>
          <w:p w14:paraId="4C6B2D4E"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West Greenland Irminger Water</w:t>
            </w:r>
          </w:p>
        </w:tc>
        <w:tc>
          <w:tcPr>
            <w:tcW w:w="1140" w:type="dxa"/>
            <w:tcBorders>
              <w:top w:val="nil"/>
              <w:left w:val="nil"/>
              <w:bottom w:val="nil"/>
              <w:right w:val="nil"/>
            </w:tcBorders>
            <w:shd w:val="clear" w:color="auto" w:fill="auto"/>
            <w:noWrap/>
            <w:vAlign w:val="bottom"/>
            <w:hideMark/>
          </w:tcPr>
          <w:p w14:paraId="46B5F502"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0.9</w:t>
            </w:r>
          </w:p>
        </w:tc>
        <w:tc>
          <w:tcPr>
            <w:tcW w:w="1600" w:type="dxa"/>
            <w:tcBorders>
              <w:top w:val="nil"/>
              <w:left w:val="nil"/>
              <w:bottom w:val="nil"/>
              <w:right w:val="nil"/>
            </w:tcBorders>
            <w:shd w:val="clear" w:color="auto" w:fill="auto"/>
            <w:noWrap/>
            <w:vAlign w:val="bottom"/>
            <w:hideMark/>
          </w:tcPr>
          <w:p w14:paraId="4D85283D"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34.57</w:t>
            </w:r>
          </w:p>
        </w:tc>
        <w:tc>
          <w:tcPr>
            <w:tcW w:w="1578" w:type="dxa"/>
            <w:tcBorders>
              <w:top w:val="nil"/>
              <w:left w:val="nil"/>
              <w:bottom w:val="nil"/>
              <w:right w:val="nil"/>
            </w:tcBorders>
            <w:shd w:val="clear" w:color="auto" w:fill="auto"/>
            <w:noWrap/>
            <w:vAlign w:val="bottom"/>
            <w:hideMark/>
          </w:tcPr>
          <w:p w14:paraId="08659630"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31.1</w:t>
            </w:r>
          </w:p>
        </w:tc>
      </w:tr>
      <w:tr w:rsidR="005D6DDD" w:rsidRPr="004E2840" w14:paraId="721F3F9B" w14:textId="77777777" w:rsidTr="00053925">
        <w:trPr>
          <w:gridAfter w:val="1"/>
          <w:wAfter w:w="6" w:type="dxa"/>
          <w:trHeight w:val="227"/>
        </w:trPr>
        <w:tc>
          <w:tcPr>
            <w:tcW w:w="3444" w:type="dxa"/>
            <w:tcBorders>
              <w:top w:val="nil"/>
              <w:left w:val="nil"/>
              <w:bottom w:val="nil"/>
              <w:right w:val="nil"/>
            </w:tcBorders>
            <w:shd w:val="clear" w:color="auto" w:fill="auto"/>
            <w:noWrap/>
            <w:vAlign w:val="bottom"/>
            <w:hideMark/>
          </w:tcPr>
          <w:p w14:paraId="66E21B41"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West Greenland Shelf Water</w:t>
            </w:r>
          </w:p>
        </w:tc>
        <w:tc>
          <w:tcPr>
            <w:tcW w:w="1140" w:type="dxa"/>
            <w:tcBorders>
              <w:top w:val="nil"/>
              <w:left w:val="nil"/>
              <w:bottom w:val="nil"/>
              <w:right w:val="nil"/>
            </w:tcBorders>
            <w:shd w:val="clear" w:color="auto" w:fill="auto"/>
            <w:noWrap/>
            <w:vAlign w:val="bottom"/>
            <w:hideMark/>
          </w:tcPr>
          <w:p w14:paraId="0B3C856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0.4</w:t>
            </w:r>
          </w:p>
        </w:tc>
        <w:tc>
          <w:tcPr>
            <w:tcW w:w="1600" w:type="dxa"/>
            <w:tcBorders>
              <w:top w:val="nil"/>
              <w:left w:val="nil"/>
              <w:bottom w:val="nil"/>
              <w:right w:val="nil"/>
            </w:tcBorders>
            <w:shd w:val="clear" w:color="auto" w:fill="auto"/>
            <w:noWrap/>
            <w:vAlign w:val="bottom"/>
            <w:hideMark/>
          </w:tcPr>
          <w:p w14:paraId="2BD66C6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33.30</w:t>
            </w:r>
          </w:p>
        </w:tc>
        <w:tc>
          <w:tcPr>
            <w:tcW w:w="1578" w:type="dxa"/>
            <w:tcBorders>
              <w:top w:val="nil"/>
              <w:left w:val="nil"/>
              <w:bottom w:val="nil"/>
              <w:right w:val="nil"/>
            </w:tcBorders>
            <w:shd w:val="clear" w:color="auto" w:fill="auto"/>
            <w:noWrap/>
            <w:vAlign w:val="bottom"/>
            <w:hideMark/>
          </w:tcPr>
          <w:p w14:paraId="5C0976CB"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12.7</w:t>
            </w:r>
          </w:p>
        </w:tc>
      </w:tr>
      <w:tr w:rsidR="005D6DDD" w:rsidRPr="004E2840" w14:paraId="6DABCDE1" w14:textId="77777777" w:rsidTr="00053925">
        <w:trPr>
          <w:gridAfter w:val="1"/>
          <w:wAfter w:w="6" w:type="dxa"/>
          <w:trHeight w:val="227"/>
        </w:trPr>
        <w:tc>
          <w:tcPr>
            <w:tcW w:w="3444" w:type="dxa"/>
            <w:tcBorders>
              <w:top w:val="nil"/>
              <w:left w:val="nil"/>
              <w:bottom w:val="nil"/>
              <w:right w:val="nil"/>
            </w:tcBorders>
            <w:shd w:val="clear" w:color="auto" w:fill="auto"/>
            <w:noWrap/>
            <w:vAlign w:val="bottom"/>
            <w:hideMark/>
          </w:tcPr>
          <w:p w14:paraId="33D812CC"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Transitional Water</w:t>
            </w:r>
          </w:p>
        </w:tc>
        <w:tc>
          <w:tcPr>
            <w:tcW w:w="1140" w:type="dxa"/>
            <w:tcBorders>
              <w:top w:val="nil"/>
              <w:left w:val="nil"/>
              <w:bottom w:val="nil"/>
              <w:right w:val="nil"/>
            </w:tcBorders>
            <w:shd w:val="clear" w:color="auto" w:fill="auto"/>
            <w:noWrap/>
            <w:vAlign w:val="bottom"/>
            <w:hideMark/>
          </w:tcPr>
          <w:p w14:paraId="0355EEC2"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-1.5</w:t>
            </w:r>
          </w:p>
        </w:tc>
        <w:tc>
          <w:tcPr>
            <w:tcW w:w="1600" w:type="dxa"/>
            <w:tcBorders>
              <w:top w:val="nil"/>
              <w:left w:val="nil"/>
              <w:bottom w:val="nil"/>
              <w:right w:val="nil"/>
            </w:tcBorders>
            <w:shd w:val="clear" w:color="auto" w:fill="auto"/>
            <w:noWrap/>
            <w:vAlign w:val="bottom"/>
            <w:hideMark/>
          </w:tcPr>
          <w:p w14:paraId="12B5495E"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34.29</w:t>
            </w:r>
          </w:p>
        </w:tc>
        <w:tc>
          <w:tcPr>
            <w:tcW w:w="1578" w:type="dxa"/>
            <w:tcBorders>
              <w:top w:val="nil"/>
              <w:left w:val="nil"/>
              <w:bottom w:val="nil"/>
              <w:right w:val="nil"/>
            </w:tcBorders>
            <w:shd w:val="clear" w:color="auto" w:fill="auto"/>
            <w:noWrap/>
            <w:vAlign w:val="bottom"/>
            <w:hideMark/>
          </w:tcPr>
          <w:p w14:paraId="4FCC5A2A"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-51.4</w:t>
            </w:r>
          </w:p>
        </w:tc>
      </w:tr>
      <w:tr w:rsidR="005D6DDD" w:rsidRPr="004E2840" w14:paraId="4BD707C0" w14:textId="77777777" w:rsidTr="00053925">
        <w:trPr>
          <w:gridAfter w:val="1"/>
          <w:wAfter w:w="6" w:type="dxa"/>
          <w:trHeight w:val="227"/>
        </w:trPr>
        <w:tc>
          <w:tcPr>
            <w:tcW w:w="3444" w:type="dxa"/>
            <w:tcBorders>
              <w:top w:val="nil"/>
              <w:left w:val="nil"/>
              <w:bottom w:val="nil"/>
              <w:right w:val="nil"/>
            </w:tcBorders>
            <w:shd w:val="clear" w:color="auto" w:fill="auto"/>
            <w:noWrap/>
            <w:vAlign w:val="bottom"/>
            <w:hideMark/>
          </w:tcPr>
          <w:p w14:paraId="73061BA8" w14:textId="77777777" w:rsidR="005D6DDD" w:rsidRPr="004E2840" w:rsidRDefault="005D6DDD" w:rsidP="00053925">
            <w:pPr>
              <w:spacing w:line="220" w:lineRule="atLeast"/>
              <w:jc w:val="right"/>
              <w:rPr>
                <w:rFonts w:ascii="Arial" w:hAnsi="Arial" w:cs="Arial"/>
                <w:b/>
                <w:bCs/>
                <w:color w:val="000000" w:themeColor="text1"/>
                <w:sz w:val="22"/>
                <w:szCs w:val="22"/>
              </w:rPr>
            </w:pPr>
            <w:r w:rsidRPr="004E2840">
              <w:rPr>
                <w:rFonts w:ascii="Arial" w:hAnsi="Arial" w:cs="Arial"/>
                <w:b/>
                <w:bCs/>
                <w:color w:val="000000" w:themeColor="text1"/>
                <w:sz w:val="22"/>
                <w:szCs w:val="22"/>
              </w:rPr>
              <w:t>Total</w:t>
            </w:r>
          </w:p>
        </w:tc>
        <w:tc>
          <w:tcPr>
            <w:tcW w:w="1140" w:type="dxa"/>
            <w:tcBorders>
              <w:top w:val="nil"/>
              <w:left w:val="nil"/>
              <w:bottom w:val="nil"/>
              <w:right w:val="nil"/>
            </w:tcBorders>
            <w:shd w:val="clear" w:color="auto" w:fill="auto"/>
            <w:noWrap/>
            <w:vAlign w:val="bottom"/>
            <w:hideMark/>
          </w:tcPr>
          <w:p w14:paraId="4C600407"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-2.0</w:t>
            </w:r>
          </w:p>
        </w:tc>
        <w:tc>
          <w:tcPr>
            <w:tcW w:w="1600" w:type="dxa"/>
            <w:tcBorders>
              <w:top w:val="nil"/>
              <w:left w:val="nil"/>
              <w:bottom w:val="nil"/>
              <w:right w:val="nil"/>
            </w:tcBorders>
            <w:shd w:val="clear" w:color="auto" w:fill="auto"/>
            <w:noWrap/>
            <w:vAlign w:val="bottom"/>
            <w:hideMark/>
          </w:tcPr>
          <w:p w14:paraId="1A874E19"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33.29*</w:t>
            </w:r>
          </w:p>
        </w:tc>
        <w:tc>
          <w:tcPr>
            <w:tcW w:w="1578" w:type="dxa"/>
            <w:tcBorders>
              <w:top w:val="nil"/>
              <w:left w:val="nil"/>
              <w:bottom w:val="nil"/>
              <w:right w:val="nil"/>
            </w:tcBorders>
            <w:shd w:val="clear" w:color="auto" w:fill="auto"/>
            <w:noWrap/>
            <w:vAlign w:val="bottom"/>
            <w:hideMark/>
          </w:tcPr>
          <w:p w14:paraId="53CBC87B"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-67.2</w:t>
            </w:r>
          </w:p>
        </w:tc>
      </w:tr>
      <w:tr w:rsidR="005D6DDD" w:rsidRPr="004E2840" w14:paraId="18E40E0F" w14:textId="77777777" w:rsidTr="00053925">
        <w:trPr>
          <w:gridAfter w:val="1"/>
          <w:wAfter w:w="6" w:type="dxa"/>
          <w:trHeight w:val="300"/>
        </w:trPr>
        <w:tc>
          <w:tcPr>
            <w:tcW w:w="3444" w:type="dxa"/>
            <w:tcBorders>
              <w:top w:val="single" w:sz="4" w:space="0" w:color="auto"/>
              <w:left w:val="nil"/>
              <w:bottom w:val="single" w:sz="4" w:space="0" w:color="auto"/>
              <w:right w:val="nil"/>
            </w:tcBorders>
            <w:shd w:val="clear" w:color="000000" w:fill="F2F2F2"/>
            <w:noWrap/>
            <w:vAlign w:val="bottom"/>
            <w:hideMark/>
          </w:tcPr>
          <w:p w14:paraId="13512E43"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2010</w:t>
            </w:r>
          </w:p>
        </w:tc>
        <w:tc>
          <w:tcPr>
            <w:tcW w:w="1140" w:type="dxa"/>
            <w:tcBorders>
              <w:top w:val="single" w:sz="4" w:space="0" w:color="auto"/>
              <w:left w:val="nil"/>
              <w:bottom w:val="single" w:sz="4" w:space="0" w:color="auto"/>
              <w:right w:val="nil"/>
            </w:tcBorders>
            <w:shd w:val="clear" w:color="000000" w:fill="F2F2F2"/>
            <w:noWrap/>
            <w:vAlign w:val="bottom"/>
            <w:hideMark/>
          </w:tcPr>
          <w:p w14:paraId="2C688E31"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1600" w:type="dxa"/>
            <w:tcBorders>
              <w:top w:val="single" w:sz="4" w:space="0" w:color="auto"/>
              <w:left w:val="nil"/>
              <w:bottom w:val="single" w:sz="4" w:space="0" w:color="auto"/>
              <w:right w:val="nil"/>
            </w:tcBorders>
            <w:shd w:val="clear" w:color="000000" w:fill="F2F2F2"/>
            <w:noWrap/>
            <w:vAlign w:val="bottom"/>
            <w:hideMark/>
          </w:tcPr>
          <w:p w14:paraId="4223BD13"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c>
          <w:tcPr>
            <w:tcW w:w="1578" w:type="dxa"/>
            <w:tcBorders>
              <w:top w:val="single" w:sz="4" w:space="0" w:color="auto"/>
              <w:left w:val="nil"/>
              <w:bottom w:val="single" w:sz="4" w:space="0" w:color="auto"/>
              <w:right w:val="nil"/>
            </w:tcBorders>
            <w:shd w:val="clear" w:color="000000" w:fill="F2F2F2"/>
            <w:noWrap/>
            <w:vAlign w:val="bottom"/>
            <w:hideMark/>
          </w:tcPr>
          <w:p w14:paraId="7019627B" w14:textId="77777777" w:rsidR="005D6DDD" w:rsidRPr="004E2840" w:rsidRDefault="005D6DDD" w:rsidP="00053925">
            <w:pPr>
              <w:spacing w:line="220" w:lineRule="atLeast"/>
              <w:rPr>
                <w:rFonts w:ascii="Arial" w:hAnsi="Arial" w:cs="Arial"/>
                <w:b/>
                <w:bCs/>
                <w:color w:val="000000" w:themeColor="text1"/>
                <w:sz w:val="22"/>
                <w:szCs w:val="22"/>
              </w:rPr>
            </w:pPr>
            <w:r w:rsidRPr="004E2840">
              <w:rPr>
                <w:rFonts w:ascii="Arial" w:hAnsi="Arial" w:cs="Arial"/>
                <w:b/>
                <w:bCs/>
                <w:color w:val="000000" w:themeColor="text1"/>
                <w:sz w:val="22"/>
                <w:szCs w:val="22"/>
              </w:rPr>
              <w:t> </w:t>
            </w:r>
          </w:p>
        </w:tc>
      </w:tr>
      <w:tr w:rsidR="005D6DDD" w:rsidRPr="004E2840" w14:paraId="6C65BF7B" w14:textId="77777777" w:rsidTr="00053925">
        <w:trPr>
          <w:gridAfter w:val="1"/>
          <w:wAfter w:w="6" w:type="dxa"/>
          <w:trHeight w:val="300"/>
        </w:trPr>
        <w:tc>
          <w:tcPr>
            <w:tcW w:w="3444" w:type="dxa"/>
            <w:tcBorders>
              <w:top w:val="nil"/>
              <w:left w:val="nil"/>
              <w:bottom w:val="nil"/>
              <w:right w:val="nil"/>
            </w:tcBorders>
            <w:shd w:val="clear" w:color="auto" w:fill="auto"/>
            <w:noWrap/>
            <w:vAlign w:val="bottom"/>
            <w:hideMark/>
          </w:tcPr>
          <w:p w14:paraId="7FFC1536"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Arctic Water</w:t>
            </w:r>
          </w:p>
        </w:tc>
        <w:tc>
          <w:tcPr>
            <w:tcW w:w="1140" w:type="dxa"/>
            <w:tcBorders>
              <w:top w:val="nil"/>
              <w:left w:val="nil"/>
              <w:bottom w:val="nil"/>
              <w:right w:val="nil"/>
            </w:tcBorders>
            <w:shd w:val="clear" w:color="auto" w:fill="auto"/>
            <w:noWrap/>
            <w:vAlign w:val="bottom"/>
            <w:hideMark/>
          </w:tcPr>
          <w:p w14:paraId="04C6A890"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-1.6</w:t>
            </w:r>
          </w:p>
        </w:tc>
        <w:tc>
          <w:tcPr>
            <w:tcW w:w="1600" w:type="dxa"/>
            <w:tcBorders>
              <w:top w:val="nil"/>
              <w:left w:val="nil"/>
              <w:bottom w:val="nil"/>
              <w:right w:val="nil"/>
            </w:tcBorders>
            <w:shd w:val="clear" w:color="auto" w:fill="auto"/>
            <w:noWrap/>
            <w:vAlign w:val="bottom"/>
            <w:hideMark/>
          </w:tcPr>
          <w:p w14:paraId="543D5E2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32.90</w:t>
            </w:r>
          </w:p>
        </w:tc>
        <w:tc>
          <w:tcPr>
            <w:tcW w:w="1578" w:type="dxa"/>
            <w:tcBorders>
              <w:top w:val="nil"/>
              <w:left w:val="nil"/>
              <w:bottom w:val="nil"/>
              <w:right w:val="nil"/>
            </w:tcBorders>
            <w:shd w:val="clear" w:color="auto" w:fill="auto"/>
            <w:noWrap/>
            <w:vAlign w:val="bottom"/>
            <w:hideMark/>
          </w:tcPr>
          <w:p w14:paraId="5152B139"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-52.6</w:t>
            </w:r>
          </w:p>
        </w:tc>
      </w:tr>
      <w:tr w:rsidR="005D6DDD" w:rsidRPr="004E2840" w14:paraId="3958C036" w14:textId="77777777" w:rsidTr="00053925">
        <w:trPr>
          <w:gridAfter w:val="1"/>
          <w:wAfter w:w="6" w:type="dxa"/>
          <w:trHeight w:val="300"/>
        </w:trPr>
        <w:tc>
          <w:tcPr>
            <w:tcW w:w="3444" w:type="dxa"/>
            <w:tcBorders>
              <w:top w:val="nil"/>
              <w:left w:val="nil"/>
              <w:bottom w:val="nil"/>
              <w:right w:val="nil"/>
            </w:tcBorders>
            <w:shd w:val="clear" w:color="auto" w:fill="auto"/>
            <w:noWrap/>
            <w:vAlign w:val="bottom"/>
            <w:hideMark/>
          </w:tcPr>
          <w:p w14:paraId="166FC17B"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West Greenland Irminger Water</w:t>
            </w:r>
          </w:p>
        </w:tc>
        <w:tc>
          <w:tcPr>
            <w:tcW w:w="1140" w:type="dxa"/>
            <w:tcBorders>
              <w:top w:val="nil"/>
              <w:left w:val="nil"/>
              <w:bottom w:val="nil"/>
              <w:right w:val="nil"/>
            </w:tcBorders>
            <w:shd w:val="clear" w:color="auto" w:fill="auto"/>
            <w:noWrap/>
            <w:vAlign w:val="bottom"/>
            <w:hideMark/>
          </w:tcPr>
          <w:p w14:paraId="585E3F75"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0.6</w:t>
            </w:r>
          </w:p>
        </w:tc>
        <w:tc>
          <w:tcPr>
            <w:tcW w:w="1600" w:type="dxa"/>
            <w:tcBorders>
              <w:top w:val="nil"/>
              <w:left w:val="nil"/>
              <w:bottom w:val="nil"/>
              <w:right w:val="nil"/>
            </w:tcBorders>
            <w:shd w:val="clear" w:color="auto" w:fill="auto"/>
            <w:noWrap/>
            <w:vAlign w:val="bottom"/>
            <w:hideMark/>
          </w:tcPr>
          <w:p w14:paraId="32B5590D"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34.55</w:t>
            </w:r>
          </w:p>
        </w:tc>
        <w:tc>
          <w:tcPr>
            <w:tcW w:w="1578" w:type="dxa"/>
            <w:tcBorders>
              <w:top w:val="nil"/>
              <w:left w:val="nil"/>
              <w:bottom w:val="nil"/>
              <w:right w:val="nil"/>
            </w:tcBorders>
            <w:shd w:val="clear" w:color="auto" w:fill="auto"/>
            <w:noWrap/>
            <w:vAlign w:val="bottom"/>
            <w:hideMark/>
          </w:tcPr>
          <w:p w14:paraId="722610A0"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20.7</w:t>
            </w:r>
          </w:p>
        </w:tc>
      </w:tr>
      <w:tr w:rsidR="005D6DDD" w:rsidRPr="004E2840" w14:paraId="544FAC66" w14:textId="77777777" w:rsidTr="00053925">
        <w:trPr>
          <w:gridAfter w:val="1"/>
          <w:wAfter w:w="6" w:type="dxa"/>
          <w:trHeight w:val="300"/>
        </w:trPr>
        <w:tc>
          <w:tcPr>
            <w:tcW w:w="3444" w:type="dxa"/>
            <w:tcBorders>
              <w:top w:val="nil"/>
              <w:left w:val="nil"/>
              <w:bottom w:val="nil"/>
              <w:right w:val="nil"/>
            </w:tcBorders>
            <w:shd w:val="clear" w:color="auto" w:fill="auto"/>
            <w:noWrap/>
            <w:vAlign w:val="bottom"/>
            <w:hideMark/>
          </w:tcPr>
          <w:p w14:paraId="1CD2BBA6"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West Greenland Shelf Water</w:t>
            </w:r>
          </w:p>
        </w:tc>
        <w:tc>
          <w:tcPr>
            <w:tcW w:w="1140" w:type="dxa"/>
            <w:tcBorders>
              <w:top w:val="nil"/>
              <w:left w:val="nil"/>
              <w:bottom w:val="nil"/>
              <w:right w:val="nil"/>
            </w:tcBorders>
            <w:shd w:val="clear" w:color="auto" w:fill="auto"/>
            <w:noWrap/>
            <w:vAlign w:val="bottom"/>
            <w:hideMark/>
          </w:tcPr>
          <w:p w14:paraId="5B759596"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0.4</w:t>
            </w:r>
          </w:p>
        </w:tc>
        <w:tc>
          <w:tcPr>
            <w:tcW w:w="1600" w:type="dxa"/>
            <w:tcBorders>
              <w:top w:val="nil"/>
              <w:left w:val="nil"/>
              <w:bottom w:val="nil"/>
              <w:right w:val="nil"/>
            </w:tcBorders>
            <w:shd w:val="clear" w:color="auto" w:fill="auto"/>
            <w:noWrap/>
            <w:vAlign w:val="bottom"/>
            <w:hideMark/>
          </w:tcPr>
          <w:p w14:paraId="48F883DE"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33.30</w:t>
            </w:r>
          </w:p>
        </w:tc>
        <w:tc>
          <w:tcPr>
            <w:tcW w:w="1578" w:type="dxa"/>
            <w:tcBorders>
              <w:top w:val="nil"/>
              <w:left w:val="nil"/>
              <w:bottom w:val="nil"/>
              <w:right w:val="nil"/>
            </w:tcBorders>
            <w:shd w:val="clear" w:color="auto" w:fill="auto"/>
            <w:noWrap/>
            <w:vAlign w:val="bottom"/>
            <w:hideMark/>
          </w:tcPr>
          <w:p w14:paraId="00E7B677"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12.7</w:t>
            </w:r>
          </w:p>
        </w:tc>
      </w:tr>
      <w:tr w:rsidR="005D6DDD" w:rsidRPr="004E2840" w14:paraId="2486E25B" w14:textId="77777777" w:rsidTr="00053925">
        <w:trPr>
          <w:gridAfter w:val="1"/>
          <w:wAfter w:w="6" w:type="dxa"/>
          <w:trHeight w:val="300"/>
        </w:trPr>
        <w:tc>
          <w:tcPr>
            <w:tcW w:w="3444" w:type="dxa"/>
            <w:tcBorders>
              <w:top w:val="nil"/>
              <w:left w:val="nil"/>
              <w:bottom w:val="nil"/>
              <w:right w:val="nil"/>
            </w:tcBorders>
            <w:shd w:val="clear" w:color="auto" w:fill="auto"/>
            <w:noWrap/>
            <w:vAlign w:val="bottom"/>
            <w:hideMark/>
          </w:tcPr>
          <w:p w14:paraId="0F95B59A" w14:textId="77777777" w:rsidR="005D6DDD" w:rsidRPr="004E2840" w:rsidRDefault="005D6DDD" w:rsidP="00053925">
            <w:pPr>
              <w:spacing w:line="220" w:lineRule="atLeast"/>
              <w:jc w:val="right"/>
              <w:rPr>
                <w:rFonts w:ascii="Arial" w:hAnsi="Arial" w:cs="Arial"/>
                <w:color w:val="000000" w:themeColor="text1"/>
                <w:sz w:val="22"/>
                <w:szCs w:val="22"/>
              </w:rPr>
            </w:pPr>
            <w:r w:rsidRPr="004E2840">
              <w:rPr>
                <w:rFonts w:ascii="Arial" w:hAnsi="Arial" w:cs="Arial"/>
                <w:color w:val="000000" w:themeColor="text1"/>
                <w:sz w:val="22"/>
                <w:szCs w:val="22"/>
              </w:rPr>
              <w:t>Transitional Water</w:t>
            </w:r>
          </w:p>
        </w:tc>
        <w:tc>
          <w:tcPr>
            <w:tcW w:w="1140" w:type="dxa"/>
            <w:tcBorders>
              <w:top w:val="nil"/>
              <w:left w:val="nil"/>
              <w:bottom w:val="nil"/>
              <w:right w:val="nil"/>
            </w:tcBorders>
            <w:shd w:val="clear" w:color="auto" w:fill="auto"/>
            <w:noWrap/>
            <w:vAlign w:val="bottom"/>
            <w:hideMark/>
          </w:tcPr>
          <w:p w14:paraId="7D648D23"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-0.9</w:t>
            </w:r>
          </w:p>
        </w:tc>
        <w:tc>
          <w:tcPr>
            <w:tcW w:w="1600" w:type="dxa"/>
            <w:tcBorders>
              <w:top w:val="nil"/>
              <w:left w:val="nil"/>
              <w:bottom w:val="nil"/>
              <w:right w:val="nil"/>
            </w:tcBorders>
            <w:shd w:val="clear" w:color="auto" w:fill="auto"/>
            <w:noWrap/>
            <w:vAlign w:val="bottom"/>
            <w:hideMark/>
          </w:tcPr>
          <w:p w14:paraId="158780C3"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34.29</w:t>
            </w:r>
          </w:p>
        </w:tc>
        <w:tc>
          <w:tcPr>
            <w:tcW w:w="1578" w:type="dxa"/>
            <w:tcBorders>
              <w:top w:val="nil"/>
              <w:left w:val="nil"/>
              <w:bottom w:val="nil"/>
              <w:right w:val="nil"/>
            </w:tcBorders>
            <w:shd w:val="clear" w:color="auto" w:fill="auto"/>
            <w:noWrap/>
            <w:vAlign w:val="bottom"/>
            <w:hideMark/>
          </w:tcPr>
          <w:p w14:paraId="0A6374DC" w14:textId="77777777" w:rsidR="005D6DDD" w:rsidRPr="004E2840" w:rsidRDefault="005D6DDD" w:rsidP="00053925">
            <w:pPr>
              <w:spacing w:line="220" w:lineRule="atLeast"/>
              <w:jc w:val="center"/>
              <w:rPr>
                <w:rFonts w:ascii="Arial" w:hAnsi="Arial" w:cs="Arial"/>
                <w:color w:val="000000" w:themeColor="text1"/>
                <w:sz w:val="22"/>
                <w:szCs w:val="22"/>
              </w:rPr>
            </w:pPr>
            <w:r w:rsidRPr="004E2840">
              <w:rPr>
                <w:rFonts w:ascii="Arial" w:hAnsi="Arial" w:cs="Arial"/>
                <w:color w:val="000000" w:themeColor="text1"/>
                <w:sz w:val="22"/>
                <w:szCs w:val="22"/>
              </w:rPr>
              <w:t>-30.9</w:t>
            </w:r>
          </w:p>
        </w:tc>
      </w:tr>
      <w:tr w:rsidR="005D6DDD" w:rsidRPr="004E2840" w14:paraId="18DCFDC4" w14:textId="77777777" w:rsidTr="00053925">
        <w:trPr>
          <w:gridAfter w:val="1"/>
          <w:wAfter w:w="6" w:type="dxa"/>
          <w:trHeight w:val="300"/>
        </w:trPr>
        <w:tc>
          <w:tcPr>
            <w:tcW w:w="3444" w:type="dxa"/>
            <w:tcBorders>
              <w:top w:val="nil"/>
              <w:left w:val="nil"/>
              <w:bottom w:val="single" w:sz="4" w:space="0" w:color="auto"/>
              <w:right w:val="nil"/>
            </w:tcBorders>
            <w:shd w:val="clear" w:color="auto" w:fill="auto"/>
            <w:noWrap/>
            <w:vAlign w:val="bottom"/>
            <w:hideMark/>
          </w:tcPr>
          <w:p w14:paraId="65A68D01" w14:textId="77777777" w:rsidR="005D6DDD" w:rsidRPr="004E2840" w:rsidRDefault="005D6DDD" w:rsidP="00053925">
            <w:pPr>
              <w:spacing w:line="220" w:lineRule="atLeast"/>
              <w:jc w:val="right"/>
              <w:rPr>
                <w:rFonts w:ascii="Arial" w:hAnsi="Arial" w:cs="Arial"/>
                <w:b/>
                <w:bCs/>
                <w:color w:val="000000" w:themeColor="text1"/>
                <w:sz w:val="22"/>
                <w:szCs w:val="22"/>
              </w:rPr>
            </w:pPr>
            <w:r w:rsidRPr="004E2840">
              <w:rPr>
                <w:rFonts w:ascii="Arial" w:hAnsi="Arial" w:cs="Arial"/>
                <w:b/>
                <w:bCs/>
                <w:color w:val="000000" w:themeColor="text1"/>
                <w:sz w:val="22"/>
                <w:szCs w:val="22"/>
              </w:rPr>
              <w:t>Total</w:t>
            </w:r>
          </w:p>
        </w:tc>
        <w:tc>
          <w:tcPr>
            <w:tcW w:w="1140" w:type="dxa"/>
            <w:tcBorders>
              <w:top w:val="nil"/>
              <w:left w:val="nil"/>
              <w:bottom w:val="single" w:sz="4" w:space="0" w:color="auto"/>
              <w:right w:val="nil"/>
            </w:tcBorders>
            <w:shd w:val="clear" w:color="auto" w:fill="auto"/>
            <w:noWrap/>
            <w:vAlign w:val="bottom"/>
            <w:hideMark/>
          </w:tcPr>
          <w:p w14:paraId="417C584C"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-1.5</w:t>
            </w:r>
          </w:p>
        </w:tc>
        <w:tc>
          <w:tcPr>
            <w:tcW w:w="1600" w:type="dxa"/>
            <w:tcBorders>
              <w:top w:val="nil"/>
              <w:left w:val="nil"/>
              <w:bottom w:val="single" w:sz="4" w:space="0" w:color="auto"/>
              <w:right w:val="nil"/>
            </w:tcBorders>
            <w:shd w:val="clear" w:color="auto" w:fill="auto"/>
            <w:noWrap/>
            <w:vAlign w:val="bottom"/>
            <w:hideMark/>
          </w:tcPr>
          <w:p w14:paraId="5A543BE4"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32.97*</w:t>
            </w:r>
          </w:p>
        </w:tc>
        <w:tc>
          <w:tcPr>
            <w:tcW w:w="1578" w:type="dxa"/>
            <w:tcBorders>
              <w:top w:val="nil"/>
              <w:left w:val="nil"/>
              <w:bottom w:val="single" w:sz="4" w:space="0" w:color="auto"/>
              <w:right w:val="nil"/>
            </w:tcBorders>
            <w:shd w:val="clear" w:color="auto" w:fill="auto"/>
            <w:noWrap/>
            <w:vAlign w:val="bottom"/>
            <w:hideMark/>
          </w:tcPr>
          <w:p w14:paraId="6C8A8353" w14:textId="77777777" w:rsidR="005D6DDD" w:rsidRPr="004E2840" w:rsidRDefault="005D6DDD" w:rsidP="00053925">
            <w:pPr>
              <w:spacing w:line="220" w:lineRule="atLeast"/>
              <w:jc w:val="center"/>
              <w:rPr>
                <w:rFonts w:ascii="Arial" w:hAnsi="Arial" w:cs="Arial"/>
                <w:b/>
                <w:bCs/>
                <w:color w:val="000000" w:themeColor="text1"/>
                <w:sz w:val="22"/>
                <w:szCs w:val="22"/>
              </w:rPr>
            </w:pPr>
            <w:r w:rsidRPr="004E2840">
              <w:rPr>
                <w:rFonts w:ascii="Arial" w:hAnsi="Arial" w:cs="Arial"/>
                <w:b/>
                <w:bCs/>
                <w:color w:val="000000" w:themeColor="text1"/>
                <w:sz w:val="22"/>
                <w:szCs w:val="22"/>
              </w:rPr>
              <w:t>-50.1</w:t>
            </w:r>
          </w:p>
        </w:tc>
      </w:tr>
    </w:tbl>
    <w:p w14:paraId="7100105B" w14:textId="77777777" w:rsidR="005D6DDD" w:rsidRPr="004E2840" w:rsidRDefault="005D6DDD" w:rsidP="00CA6BFC">
      <w:pPr>
        <w:spacing w:line="360" w:lineRule="auto"/>
        <w:rPr>
          <w:rFonts w:ascii="Arial" w:hAnsi="Arial" w:cs="Arial"/>
          <w:color w:val="000000" w:themeColor="text1"/>
          <w:sz w:val="22"/>
          <w:szCs w:val="22"/>
        </w:rPr>
      </w:pPr>
    </w:p>
    <w:p w14:paraId="2A807031" w14:textId="77777777" w:rsidR="005D6DDD" w:rsidRPr="004E2840" w:rsidRDefault="005D6DDD" w:rsidP="00CA6BFC">
      <w:pPr>
        <w:spacing w:line="360" w:lineRule="auto"/>
        <w:rPr>
          <w:rFonts w:ascii="Arial" w:hAnsi="Arial" w:cs="Arial"/>
          <w:color w:val="000000" w:themeColor="text1"/>
          <w:sz w:val="22"/>
          <w:szCs w:val="22"/>
        </w:rPr>
      </w:pPr>
    </w:p>
    <w:p w14:paraId="1C5CC877" w14:textId="77777777" w:rsidR="005D6DDD" w:rsidRPr="004E2840" w:rsidRDefault="005D6DDD" w:rsidP="00CA6BFC">
      <w:pPr>
        <w:spacing w:line="360" w:lineRule="auto"/>
        <w:rPr>
          <w:rFonts w:ascii="Arial" w:hAnsi="Arial" w:cs="Arial"/>
          <w:color w:val="000000" w:themeColor="text1"/>
          <w:sz w:val="22"/>
          <w:szCs w:val="22"/>
        </w:rPr>
      </w:pPr>
    </w:p>
    <w:p w14:paraId="2E834DB4" w14:textId="77777777" w:rsidR="005D6DDD" w:rsidRPr="004E2840" w:rsidRDefault="005D6DDD" w:rsidP="00CA6BFC">
      <w:pPr>
        <w:spacing w:line="360" w:lineRule="auto"/>
        <w:rPr>
          <w:rFonts w:ascii="Arial" w:hAnsi="Arial" w:cs="Arial"/>
          <w:color w:val="000000" w:themeColor="text1"/>
          <w:sz w:val="22"/>
          <w:szCs w:val="22"/>
        </w:rPr>
      </w:pPr>
    </w:p>
    <w:p w14:paraId="7E48CF60" w14:textId="77777777" w:rsidR="005D6DDD" w:rsidRPr="004E2840" w:rsidRDefault="005D6DDD" w:rsidP="00CA6BFC">
      <w:pPr>
        <w:spacing w:line="360" w:lineRule="auto"/>
        <w:rPr>
          <w:rFonts w:ascii="Arial" w:hAnsi="Arial" w:cs="Arial"/>
          <w:color w:val="000000" w:themeColor="text1"/>
          <w:sz w:val="22"/>
          <w:szCs w:val="22"/>
        </w:rPr>
      </w:pPr>
    </w:p>
    <w:p w14:paraId="4A487FAC" w14:textId="77777777" w:rsidR="005D6DDD" w:rsidRPr="004E2840" w:rsidRDefault="005D6DDD" w:rsidP="00CA6BFC">
      <w:pPr>
        <w:spacing w:line="360" w:lineRule="auto"/>
        <w:rPr>
          <w:rFonts w:ascii="Arial" w:hAnsi="Arial" w:cs="Arial"/>
          <w:color w:val="000000" w:themeColor="text1"/>
          <w:sz w:val="22"/>
          <w:szCs w:val="22"/>
        </w:rPr>
      </w:pPr>
    </w:p>
    <w:p w14:paraId="5A56D59B" w14:textId="77777777" w:rsidR="005D6DDD" w:rsidRPr="004E2840" w:rsidRDefault="005D6DDD" w:rsidP="00CA6BFC">
      <w:pPr>
        <w:spacing w:line="360" w:lineRule="auto"/>
        <w:rPr>
          <w:rFonts w:ascii="Arial" w:hAnsi="Arial" w:cs="Arial"/>
          <w:color w:val="000000" w:themeColor="text1"/>
          <w:sz w:val="22"/>
          <w:szCs w:val="22"/>
        </w:rPr>
      </w:pPr>
    </w:p>
    <w:p w14:paraId="6F0A6F1E" w14:textId="67878C4A" w:rsidR="005D6DDD" w:rsidRPr="004E2840" w:rsidRDefault="005D6DDD" w:rsidP="00CA6BFC">
      <w:pPr>
        <w:spacing w:line="360" w:lineRule="auto"/>
        <w:rPr>
          <w:rFonts w:ascii="Arial" w:hAnsi="Arial" w:cs="Arial"/>
          <w:b/>
          <w:color w:val="000000" w:themeColor="text1"/>
          <w:sz w:val="18"/>
          <w:szCs w:val="18"/>
        </w:rPr>
      </w:pPr>
    </w:p>
    <w:sectPr w:rsidR="005D6DDD" w:rsidRPr="004E2840" w:rsidSect="00E25D40">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404F2" w14:textId="77777777" w:rsidR="00D0587F" w:rsidRDefault="00D0587F" w:rsidP="00286F7B">
      <w:r>
        <w:separator/>
      </w:r>
    </w:p>
  </w:endnote>
  <w:endnote w:type="continuationSeparator" w:id="0">
    <w:p w14:paraId="4FB139FD" w14:textId="77777777" w:rsidR="00D0587F" w:rsidRDefault="00D0587F" w:rsidP="0028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ꀀ᚛菜"/>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09F" w:csb1="00000000"/>
  </w:font>
  <w:font w:name="AvantGarde LT Book">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164BF" w14:textId="77777777" w:rsidR="00D0587F" w:rsidRDefault="00D0587F" w:rsidP="00286F7B">
      <w:r>
        <w:separator/>
      </w:r>
    </w:p>
  </w:footnote>
  <w:footnote w:type="continuationSeparator" w:id="0">
    <w:p w14:paraId="74566BA5" w14:textId="77777777" w:rsidR="00D0587F" w:rsidRDefault="00D0587F" w:rsidP="00286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F00F2D"/>
    <w:multiLevelType w:val="hybridMultilevel"/>
    <w:tmpl w:val="8F4492A0"/>
    <w:lvl w:ilvl="0" w:tplc="B582F56A">
      <w:numFmt w:val="bullet"/>
      <w:lvlText w:val="-"/>
      <w:lvlJc w:val="left"/>
      <w:pPr>
        <w:ind w:left="720" w:hanging="360"/>
      </w:pPr>
      <w:rPr>
        <w:rFonts w:ascii="Arial" w:eastAsia="Times New Roman" w:hAnsi="Arial" w:cs="Aria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234709"/>
    <w:multiLevelType w:val="hybridMultilevel"/>
    <w:tmpl w:val="EA9AB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F5959"/>
    <w:multiLevelType w:val="hybridMultilevel"/>
    <w:tmpl w:val="631ECC44"/>
    <w:lvl w:ilvl="0" w:tplc="6A0E1B5E">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1F32D8"/>
    <w:multiLevelType w:val="hybridMultilevel"/>
    <w:tmpl w:val="5B74E330"/>
    <w:lvl w:ilvl="0" w:tplc="4C220D80">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7978F3"/>
    <w:multiLevelType w:val="hybridMultilevel"/>
    <w:tmpl w:val="9600F620"/>
    <w:lvl w:ilvl="0" w:tplc="F4F27D7C">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C31DE"/>
    <w:multiLevelType w:val="hybridMultilevel"/>
    <w:tmpl w:val="774E47A2"/>
    <w:lvl w:ilvl="0" w:tplc="D94481A8">
      <w:start w:val="5"/>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91353"/>
    <w:multiLevelType w:val="hybridMultilevel"/>
    <w:tmpl w:val="0726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C3CE2"/>
    <w:multiLevelType w:val="hybridMultilevel"/>
    <w:tmpl w:val="BA749444"/>
    <w:lvl w:ilvl="0" w:tplc="FE0A6E40">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632881"/>
    <w:multiLevelType w:val="hybridMultilevel"/>
    <w:tmpl w:val="E51E4440"/>
    <w:lvl w:ilvl="0" w:tplc="FE0A6E40">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8373DF"/>
    <w:multiLevelType w:val="hybridMultilevel"/>
    <w:tmpl w:val="F86CFC44"/>
    <w:lvl w:ilvl="0" w:tplc="FE0A6E40">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2E7380"/>
    <w:multiLevelType w:val="hybridMultilevel"/>
    <w:tmpl w:val="98DE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B5689"/>
    <w:multiLevelType w:val="hybridMultilevel"/>
    <w:tmpl w:val="26A4E38A"/>
    <w:lvl w:ilvl="0" w:tplc="53901C8C">
      <w:start w:val="4"/>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F14D99"/>
    <w:multiLevelType w:val="hybridMultilevel"/>
    <w:tmpl w:val="D21AD890"/>
    <w:lvl w:ilvl="0" w:tplc="F4F27D7C">
      <w:start w:val="1"/>
      <w:numFmt w:val="lowerRoman"/>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0B3680"/>
    <w:multiLevelType w:val="hybridMultilevel"/>
    <w:tmpl w:val="2D9E88CC"/>
    <w:lvl w:ilvl="0" w:tplc="FE0A6E40">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9B30D8"/>
    <w:multiLevelType w:val="multilevel"/>
    <w:tmpl w:val="EA8A6858"/>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872E9D"/>
    <w:multiLevelType w:val="hybridMultilevel"/>
    <w:tmpl w:val="46AEE064"/>
    <w:lvl w:ilvl="0" w:tplc="E29E4296">
      <w:start w:val="4"/>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30336C"/>
    <w:multiLevelType w:val="hybridMultilevel"/>
    <w:tmpl w:val="26A4E38A"/>
    <w:lvl w:ilvl="0" w:tplc="53901C8C">
      <w:start w:val="4"/>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0" w15:restartNumberingAfterBreak="0">
    <w:nsid w:val="7362375D"/>
    <w:multiLevelType w:val="hybridMultilevel"/>
    <w:tmpl w:val="4D2CF77A"/>
    <w:lvl w:ilvl="0" w:tplc="FE0A6E40">
      <w:numFmt w:val="bullet"/>
      <w:lvlText w:val="-"/>
      <w:lvlJc w:val="left"/>
      <w:pPr>
        <w:ind w:left="786" w:hanging="360"/>
      </w:pPr>
      <w:rPr>
        <w:rFonts w:ascii="Times New Roman" w:eastAsia="MS Gothic"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737E6A4E"/>
    <w:multiLevelType w:val="hybridMultilevel"/>
    <w:tmpl w:val="F0E07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39"/>
  </w:num>
  <w:num w:numId="4">
    <w:abstractNumId w:val="25"/>
  </w:num>
  <w:num w:numId="5">
    <w:abstractNumId w:val="27"/>
  </w:num>
  <w:num w:numId="6">
    <w:abstractNumId w:val="34"/>
  </w:num>
  <w:num w:numId="7">
    <w:abstractNumId w:val="36"/>
  </w:num>
  <w:num w:numId="8">
    <w:abstractNumId w:val="37"/>
  </w:num>
  <w:num w:numId="9">
    <w:abstractNumId w:val="18"/>
  </w:num>
  <w:num w:numId="10">
    <w:abstractNumId w:val="33"/>
  </w:num>
  <w:num w:numId="11">
    <w:abstractNumId w:val="20"/>
  </w:num>
  <w:num w:numId="12">
    <w:abstractNumId w:val="24"/>
  </w:num>
  <w:num w:numId="13">
    <w:abstractNumId w:val="23"/>
  </w:num>
  <w:num w:numId="14">
    <w:abstractNumId w:val="21"/>
  </w:num>
  <w:num w:numId="15">
    <w:abstractNumId w:val="22"/>
  </w:num>
  <w:num w:numId="16">
    <w:abstractNumId w:val="29"/>
  </w:num>
  <w:num w:numId="17">
    <w:abstractNumId w:val="40"/>
  </w:num>
  <w:num w:numId="18">
    <w:abstractNumId w:val="17"/>
  </w:num>
  <w:num w:numId="19">
    <w:abstractNumId w:val="38"/>
  </w:num>
  <w:num w:numId="20">
    <w:abstractNumId w:val="16"/>
  </w:num>
  <w:num w:numId="21">
    <w:abstractNumId w:val="15"/>
  </w:num>
  <w:num w:numId="22">
    <w:abstractNumId w:val="13"/>
  </w:num>
  <w:num w:numId="23">
    <w:abstractNumId w:val="41"/>
  </w:num>
  <w:num w:numId="24">
    <w:abstractNumId w:val="30"/>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2"/>
  </w:num>
  <w:num w:numId="37">
    <w:abstractNumId w:val="35"/>
  </w:num>
  <w:num w:numId="38">
    <w:abstractNumId w:val="19"/>
  </w:num>
  <w:num w:numId="39">
    <w:abstractNumId w:val="26"/>
  </w:num>
  <w:num w:numId="40">
    <w:abstractNumId w:val="28"/>
  </w:num>
  <w:num w:numId="41">
    <w:abstractNumId w:val="11"/>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DDD"/>
    <w:rsid w:val="00001D3F"/>
    <w:rsid w:val="00011742"/>
    <w:rsid w:val="00016CAB"/>
    <w:rsid w:val="00021935"/>
    <w:rsid w:val="00022219"/>
    <w:rsid w:val="000227D2"/>
    <w:rsid w:val="000234D0"/>
    <w:rsid w:val="0002489A"/>
    <w:rsid w:val="00026AFF"/>
    <w:rsid w:val="0003519E"/>
    <w:rsid w:val="00040928"/>
    <w:rsid w:val="00040E62"/>
    <w:rsid w:val="00043172"/>
    <w:rsid w:val="000434E3"/>
    <w:rsid w:val="000463B0"/>
    <w:rsid w:val="000470C1"/>
    <w:rsid w:val="0005218A"/>
    <w:rsid w:val="00053925"/>
    <w:rsid w:val="000646AB"/>
    <w:rsid w:val="00065512"/>
    <w:rsid w:val="000660C1"/>
    <w:rsid w:val="00066A94"/>
    <w:rsid w:val="00070B1D"/>
    <w:rsid w:val="00071BA9"/>
    <w:rsid w:val="00072AA6"/>
    <w:rsid w:val="00074DAA"/>
    <w:rsid w:val="00076993"/>
    <w:rsid w:val="000779DB"/>
    <w:rsid w:val="00080141"/>
    <w:rsid w:val="000820DB"/>
    <w:rsid w:val="00082706"/>
    <w:rsid w:val="00082DEF"/>
    <w:rsid w:val="000849ED"/>
    <w:rsid w:val="00085E27"/>
    <w:rsid w:val="00086F6D"/>
    <w:rsid w:val="00091794"/>
    <w:rsid w:val="00092251"/>
    <w:rsid w:val="000946B9"/>
    <w:rsid w:val="000947B9"/>
    <w:rsid w:val="000A003A"/>
    <w:rsid w:val="000A1611"/>
    <w:rsid w:val="000A3435"/>
    <w:rsid w:val="000A3534"/>
    <w:rsid w:val="000A44DA"/>
    <w:rsid w:val="000A6028"/>
    <w:rsid w:val="000B4566"/>
    <w:rsid w:val="000B6B14"/>
    <w:rsid w:val="000C1318"/>
    <w:rsid w:val="000C2607"/>
    <w:rsid w:val="000C2926"/>
    <w:rsid w:val="000C50EF"/>
    <w:rsid w:val="000C60DE"/>
    <w:rsid w:val="000C7CCC"/>
    <w:rsid w:val="000D031C"/>
    <w:rsid w:val="000D18CE"/>
    <w:rsid w:val="000D3FC9"/>
    <w:rsid w:val="000D5255"/>
    <w:rsid w:val="000D63D0"/>
    <w:rsid w:val="000E051A"/>
    <w:rsid w:val="000E1C4C"/>
    <w:rsid w:val="000E25D0"/>
    <w:rsid w:val="000E3808"/>
    <w:rsid w:val="000E3BF0"/>
    <w:rsid w:val="000E67D9"/>
    <w:rsid w:val="000E6A29"/>
    <w:rsid w:val="000E71E6"/>
    <w:rsid w:val="000F0219"/>
    <w:rsid w:val="000F061D"/>
    <w:rsid w:val="000F0AD2"/>
    <w:rsid w:val="000F0CC2"/>
    <w:rsid w:val="000F3C7F"/>
    <w:rsid w:val="000F3DE5"/>
    <w:rsid w:val="000F6E1F"/>
    <w:rsid w:val="001003B0"/>
    <w:rsid w:val="001013C0"/>
    <w:rsid w:val="0010205C"/>
    <w:rsid w:val="00102F7C"/>
    <w:rsid w:val="00107369"/>
    <w:rsid w:val="00107FD4"/>
    <w:rsid w:val="00110365"/>
    <w:rsid w:val="00115B67"/>
    <w:rsid w:val="00116C0E"/>
    <w:rsid w:val="00117244"/>
    <w:rsid w:val="00117BBC"/>
    <w:rsid w:val="001223DB"/>
    <w:rsid w:val="00122608"/>
    <w:rsid w:val="00122ABB"/>
    <w:rsid w:val="00126565"/>
    <w:rsid w:val="001265A1"/>
    <w:rsid w:val="00127361"/>
    <w:rsid w:val="0013107E"/>
    <w:rsid w:val="001320C2"/>
    <w:rsid w:val="00135AFB"/>
    <w:rsid w:val="0013646E"/>
    <w:rsid w:val="00136B8E"/>
    <w:rsid w:val="00144F41"/>
    <w:rsid w:val="00145526"/>
    <w:rsid w:val="001511A1"/>
    <w:rsid w:val="0015192A"/>
    <w:rsid w:val="00157F7D"/>
    <w:rsid w:val="001601B9"/>
    <w:rsid w:val="001621DC"/>
    <w:rsid w:val="0016356F"/>
    <w:rsid w:val="00163C44"/>
    <w:rsid w:val="001644DD"/>
    <w:rsid w:val="0016612F"/>
    <w:rsid w:val="00167B16"/>
    <w:rsid w:val="00167FAC"/>
    <w:rsid w:val="0017328A"/>
    <w:rsid w:val="00174D19"/>
    <w:rsid w:val="00175BEA"/>
    <w:rsid w:val="0017611E"/>
    <w:rsid w:val="00184530"/>
    <w:rsid w:val="00184F4D"/>
    <w:rsid w:val="001908E1"/>
    <w:rsid w:val="00196A2C"/>
    <w:rsid w:val="00196E8C"/>
    <w:rsid w:val="001A3168"/>
    <w:rsid w:val="001A37AC"/>
    <w:rsid w:val="001A4743"/>
    <w:rsid w:val="001B1FE0"/>
    <w:rsid w:val="001C0E2F"/>
    <w:rsid w:val="001C1A8F"/>
    <w:rsid w:val="001C2122"/>
    <w:rsid w:val="001C2165"/>
    <w:rsid w:val="001C2D50"/>
    <w:rsid w:val="001C5E87"/>
    <w:rsid w:val="001D35B1"/>
    <w:rsid w:val="001D3798"/>
    <w:rsid w:val="001D4A2C"/>
    <w:rsid w:val="001D6D0B"/>
    <w:rsid w:val="001D6F7A"/>
    <w:rsid w:val="001E1BC5"/>
    <w:rsid w:val="001E26FB"/>
    <w:rsid w:val="001E6404"/>
    <w:rsid w:val="001E68F1"/>
    <w:rsid w:val="001E7CE5"/>
    <w:rsid w:val="001F0250"/>
    <w:rsid w:val="001F202C"/>
    <w:rsid w:val="001F263F"/>
    <w:rsid w:val="001F38A1"/>
    <w:rsid w:val="001F64BF"/>
    <w:rsid w:val="002003EA"/>
    <w:rsid w:val="0020086B"/>
    <w:rsid w:val="002034C9"/>
    <w:rsid w:val="00203DD4"/>
    <w:rsid w:val="002101B9"/>
    <w:rsid w:val="00210E9C"/>
    <w:rsid w:val="002137B6"/>
    <w:rsid w:val="002149F1"/>
    <w:rsid w:val="00215FB9"/>
    <w:rsid w:val="00217959"/>
    <w:rsid w:val="00217A9D"/>
    <w:rsid w:val="00220E5D"/>
    <w:rsid w:val="0022302B"/>
    <w:rsid w:val="0022558B"/>
    <w:rsid w:val="002261E3"/>
    <w:rsid w:val="002309C4"/>
    <w:rsid w:val="00233C31"/>
    <w:rsid w:val="0023456C"/>
    <w:rsid w:val="0023493B"/>
    <w:rsid w:val="00237BE7"/>
    <w:rsid w:val="00240808"/>
    <w:rsid w:val="002466CD"/>
    <w:rsid w:val="002470AB"/>
    <w:rsid w:val="00247830"/>
    <w:rsid w:val="002505F0"/>
    <w:rsid w:val="002506BC"/>
    <w:rsid w:val="0025160C"/>
    <w:rsid w:val="00252D0E"/>
    <w:rsid w:val="002533E0"/>
    <w:rsid w:val="0026312E"/>
    <w:rsid w:val="0026375F"/>
    <w:rsid w:val="00264A73"/>
    <w:rsid w:val="0026646E"/>
    <w:rsid w:val="00273865"/>
    <w:rsid w:val="002765EB"/>
    <w:rsid w:val="0027744F"/>
    <w:rsid w:val="002821DE"/>
    <w:rsid w:val="00282D61"/>
    <w:rsid w:val="00283B68"/>
    <w:rsid w:val="00284599"/>
    <w:rsid w:val="002853E3"/>
    <w:rsid w:val="00285E53"/>
    <w:rsid w:val="00286F7B"/>
    <w:rsid w:val="00287786"/>
    <w:rsid w:val="00290B3D"/>
    <w:rsid w:val="00291609"/>
    <w:rsid w:val="00293CA3"/>
    <w:rsid w:val="002956B6"/>
    <w:rsid w:val="00296DAB"/>
    <w:rsid w:val="00297DDF"/>
    <w:rsid w:val="002A0795"/>
    <w:rsid w:val="002A0F6B"/>
    <w:rsid w:val="002A1941"/>
    <w:rsid w:val="002A3A5E"/>
    <w:rsid w:val="002A7258"/>
    <w:rsid w:val="002B1108"/>
    <w:rsid w:val="002B2D95"/>
    <w:rsid w:val="002C0605"/>
    <w:rsid w:val="002C234C"/>
    <w:rsid w:val="002C294C"/>
    <w:rsid w:val="002C4FAF"/>
    <w:rsid w:val="002C5A19"/>
    <w:rsid w:val="002C6E50"/>
    <w:rsid w:val="002D0F98"/>
    <w:rsid w:val="002D1BB0"/>
    <w:rsid w:val="002D1CC3"/>
    <w:rsid w:val="002D20C8"/>
    <w:rsid w:val="002D5E7C"/>
    <w:rsid w:val="002D5F82"/>
    <w:rsid w:val="002D7154"/>
    <w:rsid w:val="002D7ABC"/>
    <w:rsid w:val="002E0237"/>
    <w:rsid w:val="002E2271"/>
    <w:rsid w:val="002E5C41"/>
    <w:rsid w:val="002E7116"/>
    <w:rsid w:val="002F1E12"/>
    <w:rsid w:val="002F33A8"/>
    <w:rsid w:val="002F3AC3"/>
    <w:rsid w:val="002F4008"/>
    <w:rsid w:val="002F7C2E"/>
    <w:rsid w:val="00300903"/>
    <w:rsid w:val="00302DC0"/>
    <w:rsid w:val="00304A76"/>
    <w:rsid w:val="00304F44"/>
    <w:rsid w:val="00305CE5"/>
    <w:rsid w:val="0031004A"/>
    <w:rsid w:val="00312450"/>
    <w:rsid w:val="00315946"/>
    <w:rsid w:val="00320C37"/>
    <w:rsid w:val="00320FFA"/>
    <w:rsid w:val="00322D06"/>
    <w:rsid w:val="00324854"/>
    <w:rsid w:val="00332A3D"/>
    <w:rsid w:val="00334F6F"/>
    <w:rsid w:val="00335FA0"/>
    <w:rsid w:val="003370F9"/>
    <w:rsid w:val="00344083"/>
    <w:rsid w:val="00344D01"/>
    <w:rsid w:val="003467D1"/>
    <w:rsid w:val="00346D6F"/>
    <w:rsid w:val="00347604"/>
    <w:rsid w:val="003476DA"/>
    <w:rsid w:val="00354DB1"/>
    <w:rsid w:val="00366505"/>
    <w:rsid w:val="00366817"/>
    <w:rsid w:val="00372EEE"/>
    <w:rsid w:val="00373ED9"/>
    <w:rsid w:val="003744F6"/>
    <w:rsid w:val="0038114F"/>
    <w:rsid w:val="0038234C"/>
    <w:rsid w:val="003843AC"/>
    <w:rsid w:val="00387A35"/>
    <w:rsid w:val="00393D1E"/>
    <w:rsid w:val="00396944"/>
    <w:rsid w:val="003A13B2"/>
    <w:rsid w:val="003A2258"/>
    <w:rsid w:val="003A32FF"/>
    <w:rsid w:val="003B06D6"/>
    <w:rsid w:val="003B15C3"/>
    <w:rsid w:val="003B68B6"/>
    <w:rsid w:val="003C18AB"/>
    <w:rsid w:val="003C4790"/>
    <w:rsid w:val="003C4A86"/>
    <w:rsid w:val="003C5535"/>
    <w:rsid w:val="003C7033"/>
    <w:rsid w:val="003C7BFF"/>
    <w:rsid w:val="003D2BA5"/>
    <w:rsid w:val="003D5F53"/>
    <w:rsid w:val="003E0171"/>
    <w:rsid w:val="003E0D71"/>
    <w:rsid w:val="003E2379"/>
    <w:rsid w:val="003E3177"/>
    <w:rsid w:val="003E44F2"/>
    <w:rsid w:val="003E4F46"/>
    <w:rsid w:val="003F0ADF"/>
    <w:rsid w:val="003F0CC9"/>
    <w:rsid w:val="003F1B00"/>
    <w:rsid w:val="003F2118"/>
    <w:rsid w:val="003F27D3"/>
    <w:rsid w:val="004009EF"/>
    <w:rsid w:val="004016D5"/>
    <w:rsid w:val="0040436A"/>
    <w:rsid w:val="00422921"/>
    <w:rsid w:val="004257AE"/>
    <w:rsid w:val="00427A5A"/>
    <w:rsid w:val="00432278"/>
    <w:rsid w:val="0043325E"/>
    <w:rsid w:val="00434294"/>
    <w:rsid w:val="004363A4"/>
    <w:rsid w:val="00447BEE"/>
    <w:rsid w:val="00450B3C"/>
    <w:rsid w:val="0045383F"/>
    <w:rsid w:val="00456BBD"/>
    <w:rsid w:val="00460271"/>
    <w:rsid w:val="00461260"/>
    <w:rsid w:val="00462678"/>
    <w:rsid w:val="0046302F"/>
    <w:rsid w:val="004633E0"/>
    <w:rsid w:val="00464236"/>
    <w:rsid w:val="00471197"/>
    <w:rsid w:val="00471822"/>
    <w:rsid w:val="00473163"/>
    <w:rsid w:val="00475458"/>
    <w:rsid w:val="00477C55"/>
    <w:rsid w:val="004812E2"/>
    <w:rsid w:val="004822C2"/>
    <w:rsid w:val="004851A5"/>
    <w:rsid w:val="00485549"/>
    <w:rsid w:val="0048658B"/>
    <w:rsid w:val="00491996"/>
    <w:rsid w:val="004929C1"/>
    <w:rsid w:val="00492BC6"/>
    <w:rsid w:val="00494674"/>
    <w:rsid w:val="0049592C"/>
    <w:rsid w:val="0049608A"/>
    <w:rsid w:val="004A12CE"/>
    <w:rsid w:val="004A5440"/>
    <w:rsid w:val="004A5861"/>
    <w:rsid w:val="004A7006"/>
    <w:rsid w:val="004A75AC"/>
    <w:rsid w:val="004B0229"/>
    <w:rsid w:val="004B0F67"/>
    <w:rsid w:val="004B263E"/>
    <w:rsid w:val="004B6620"/>
    <w:rsid w:val="004C4D2C"/>
    <w:rsid w:val="004C55A1"/>
    <w:rsid w:val="004C5A72"/>
    <w:rsid w:val="004C74B2"/>
    <w:rsid w:val="004C7EDD"/>
    <w:rsid w:val="004D1AC8"/>
    <w:rsid w:val="004D3424"/>
    <w:rsid w:val="004D39EF"/>
    <w:rsid w:val="004D3C96"/>
    <w:rsid w:val="004E2121"/>
    <w:rsid w:val="004E2840"/>
    <w:rsid w:val="004E3477"/>
    <w:rsid w:val="004E7455"/>
    <w:rsid w:val="004E79E8"/>
    <w:rsid w:val="004F07F7"/>
    <w:rsid w:val="004F2539"/>
    <w:rsid w:val="004F382F"/>
    <w:rsid w:val="004F712C"/>
    <w:rsid w:val="00502ABC"/>
    <w:rsid w:val="00514031"/>
    <w:rsid w:val="00515079"/>
    <w:rsid w:val="00515998"/>
    <w:rsid w:val="00521B50"/>
    <w:rsid w:val="0052383F"/>
    <w:rsid w:val="005250CB"/>
    <w:rsid w:val="00525C0E"/>
    <w:rsid w:val="005305B7"/>
    <w:rsid w:val="00531650"/>
    <w:rsid w:val="00531FBD"/>
    <w:rsid w:val="005329C1"/>
    <w:rsid w:val="00536F30"/>
    <w:rsid w:val="0054048D"/>
    <w:rsid w:val="005433A0"/>
    <w:rsid w:val="005433FE"/>
    <w:rsid w:val="00546006"/>
    <w:rsid w:val="00547E02"/>
    <w:rsid w:val="00550458"/>
    <w:rsid w:val="005517E0"/>
    <w:rsid w:val="005521BF"/>
    <w:rsid w:val="0055251D"/>
    <w:rsid w:val="00552CAB"/>
    <w:rsid w:val="00557981"/>
    <w:rsid w:val="005579B8"/>
    <w:rsid w:val="0056195D"/>
    <w:rsid w:val="00562C55"/>
    <w:rsid w:val="00564F41"/>
    <w:rsid w:val="005659A0"/>
    <w:rsid w:val="005671E9"/>
    <w:rsid w:val="00567AEB"/>
    <w:rsid w:val="00571C69"/>
    <w:rsid w:val="00573DC6"/>
    <w:rsid w:val="005770FF"/>
    <w:rsid w:val="00577AE3"/>
    <w:rsid w:val="005836FD"/>
    <w:rsid w:val="005840CD"/>
    <w:rsid w:val="005840D2"/>
    <w:rsid w:val="005863EC"/>
    <w:rsid w:val="00590649"/>
    <w:rsid w:val="00591869"/>
    <w:rsid w:val="005960B9"/>
    <w:rsid w:val="005A09D8"/>
    <w:rsid w:val="005A1C5D"/>
    <w:rsid w:val="005A29D1"/>
    <w:rsid w:val="005A30B8"/>
    <w:rsid w:val="005A3B14"/>
    <w:rsid w:val="005A4E02"/>
    <w:rsid w:val="005A6568"/>
    <w:rsid w:val="005A6F0F"/>
    <w:rsid w:val="005A6FD1"/>
    <w:rsid w:val="005A7652"/>
    <w:rsid w:val="005B1C4B"/>
    <w:rsid w:val="005B2153"/>
    <w:rsid w:val="005B2A8D"/>
    <w:rsid w:val="005B53FD"/>
    <w:rsid w:val="005B5EC5"/>
    <w:rsid w:val="005C3CDD"/>
    <w:rsid w:val="005C5100"/>
    <w:rsid w:val="005C665E"/>
    <w:rsid w:val="005D3A9C"/>
    <w:rsid w:val="005D6DDD"/>
    <w:rsid w:val="005D720A"/>
    <w:rsid w:val="005D770E"/>
    <w:rsid w:val="005E4264"/>
    <w:rsid w:val="005F414E"/>
    <w:rsid w:val="005F5188"/>
    <w:rsid w:val="005F60AD"/>
    <w:rsid w:val="006045B7"/>
    <w:rsid w:val="00604E7E"/>
    <w:rsid w:val="006062E1"/>
    <w:rsid w:val="00606467"/>
    <w:rsid w:val="00607C8B"/>
    <w:rsid w:val="006133B2"/>
    <w:rsid w:val="0061723A"/>
    <w:rsid w:val="00620AAC"/>
    <w:rsid w:val="00622812"/>
    <w:rsid w:val="00622BFE"/>
    <w:rsid w:val="00622C6A"/>
    <w:rsid w:val="0062314B"/>
    <w:rsid w:val="00624916"/>
    <w:rsid w:val="00632ECD"/>
    <w:rsid w:val="0063582D"/>
    <w:rsid w:val="00636C76"/>
    <w:rsid w:val="00646753"/>
    <w:rsid w:val="0064682B"/>
    <w:rsid w:val="006471DE"/>
    <w:rsid w:val="00650071"/>
    <w:rsid w:val="00653DC8"/>
    <w:rsid w:val="00654762"/>
    <w:rsid w:val="006645CE"/>
    <w:rsid w:val="0067008C"/>
    <w:rsid w:val="00670E95"/>
    <w:rsid w:val="006738AA"/>
    <w:rsid w:val="00675A63"/>
    <w:rsid w:val="00675F58"/>
    <w:rsid w:val="0067656C"/>
    <w:rsid w:val="00681069"/>
    <w:rsid w:val="0068225A"/>
    <w:rsid w:val="006825FF"/>
    <w:rsid w:val="006846B3"/>
    <w:rsid w:val="006908B9"/>
    <w:rsid w:val="0069184E"/>
    <w:rsid w:val="006A1142"/>
    <w:rsid w:val="006A44DD"/>
    <w:rsid w:val="006A556C"/>
    <w:rsid w:val="006A633B"/>
    <w:rsid w:val="006A7330"/>
    <w:rsid w:val="006B0DF7"/>
    <w:rsid w:val="006B28B4"/>
    <w:rsid w:val="006B4810"/>
    <w:rsid w:val="006C1E0A"/>
    <w:rsid w:val="006C5698"/>
    <w:rsid w:val="006C706D"/>
    <w:rsid w:val="006D00CF"/>
    <w:rsid w:val="006D54B6"/>
    <w:rsid w:val="006D5D39"/>
    <w:rsid w:val="006E1719"/>
    <w:rsid w:val="006E3C97"/>
    <w:rsid w:val="006E5445"/>
    <w:rsid w:val="006E7502"/>
    <w:rsid w:val="006F0210"/>
    <w:rsid w:val="006F0E72"/>
    <w:rsid w:val="006F5BF2"/>
    <w:rsid w:val="006F60E5"/>
    <w:rsid w:val="007037EA"/>
    <w:rsid w:val="007066C4"/>
    <w:rsid w:val="00706A56"/>
    <w:rsid w:val="0070749D"/>
    <w:rsid w:val="00710B49"/>
    <w:rsid w:val="00710F8D"/>
    <w:rsid w:val="007124FC"/>
    <w:rsid w:val="007131A5"/>
    <w:rsid w:val="007141EA"/>
    <w:rsid w:val="0071436D"/>
    <w:rsid w:val="00714C8F"/>
    <w:rsid w:val="00717FAB"/>
    <w:rsid w:val="00720904"/>
    <w:rsid w:val="0072124F"/>
    <w:rsid w:val="00722839"/>
    <w:rsid w:val="0072770D"/>
    <w:rsid w:val="00731A20"/>
    <w:rsid w:val="0073292B"/>
    <w:rsid w:val="00737317"/>
    <w:rsid w:val="007455B8"/>
    <w:rsid w:val="00747096"/>
    <w:rsid w:val="00747638"/>
    <w:rsid w:val="00750121"/>
    <w:rsid w:val="00751B3C"/>
    <w:rsid w:val="00760FB8"/>
    <w:rsid w:val="007629A3"/>
    <w:rsid w:val="00763D4A"/>
    <w:rsid w:val="00767310"/>
    <w:rsid w:val="00770A22"/>
    <w:rsid w:val="00770DA7"/>
    <w:rsid w:val="00771B01"/>
    <w:rsid w:val="0077308B"/>
    <w:rsid w:val="00773B42"/>
    <w:rsid w:val="00773CE9"/>
    <w:rsid w:val="00774B0F"/>
    <w:rsid w:val="00781EC8"/>
    <w:rsid w:val="00783BDE"/>
    <w:rsid w:val="00784183"/>
    <w:rsid w:val="007900BD"/>
    <w:rsid w:val="00790632"/>
    <w:rsid w:val="007911AF"/>
    <w:rsid w:val="00791F1B"/>
    <w:rsid w:val="0079343C"/>
    <w:rsid w:val="007A0405"/>
    <w:rsid w:val="007A269E"/>
    <w:rsid w:val="007A4474"/>
    <w:rsid w:val="007A51D1"/>
    <w:rsid w:val="007A5CCB"/>
    <w:rsid w:val="007A6C68"/>
    <w:rsid w:val="007A7E76"/>
    <w:rsid w:val="007B0206"/>
    <w:rsid w:val="007B0DC4"/>
    <w:rsid w:val="007B67A7"/>
    <w:rsid w:val="007C4CA5"/>
    <w:rsid w:val="007C4DA8"/>
    <w:rsid w:val="007C5C48"/>
    <w:rsid w:val="007C7012"/>
    <w:rsid w:val="007C7B64"/>
    <w:rsid w:val="007C7E37"/>
    <w:rsid w:val="007D4CA3"/>
    <w:rsid w:val="007D4E2D"/>
    <w:rsid w:val="007D555F"/>
    <w:rsid w:val="007D5A38"/>
    <w:rsid w:val="007D6027"/>
    <w:rsid w:val="007E37B0"/>
    <w:rsid w:val="007E3B86"/>
    <w:rsid w:val="007E50AD"/>
    <w:rsid w:val="007E7BB0"/>
    <w:rsid w:val="007F1412"/>
    <w:rsid w:val="007F2BE6"/>
    <w:rsid w:val="007F784B"/>
    <w:rsid w:val="00800C46"/>
    <w:rsid w:val="0080226D"/>
    <w:rsid w:val="00802465"/>
    <w:rsid w:val="00805433"/>
    <w:rsid w:val="0081057A"/>
    <w:rsid w:val="00815EC6"/>
    <w:rsid w:val="008179AD"/>
    <w:rsid w:val="00817C42"/>
    <w:rsid w:val="00817F12"/>
    <w:rsid w:val="008208EA"/>
    <w:rsid w:val="0082183B"/>
    <w:rsid w:val="0082263D"/>
    <w:rsid w:val="00823E4E"/>
    <w:rsid w:val="00840BFA"/>
    <w:rsid w:val="00842836"/>
    <w:rsid w:val="008444D3"/>
    <w:rsid w:val="00845E64"/>
    <w:rsid w:val="008460B5"/>
    <w:rsid w:val="00846C95"/>
    <w:rsid w:val="008474CD"/>
    <w:rsid w:val="00851532"/>
    <w:rsid w:val="00852205"/>
    <w:rsid w:val="00852DE8"/>
    <w:rsid w:val="0085615C"/>
    <w:rsid w:val="00860F68"/>
    <w:rsid w:val="00861661"/>
    <w:rsid w:val="00861A3B"/>
    <w:rsid w:val="00861ECB"/>
    <w:rsid w:val="00863379"/>
    <w:rsid w:val="008657C1"/>
    <w:rsid w:val="00866221"/>
    <w:rsid w:val="0086730B"/>
    <w:rsid w:val="008706E7"/>
    <w:rsid w:val="00870F8F"/>
    <w:rsid w:val="0087149B"/>
    <w:rsid w:val="00881391"/>
    <w:rsid w:val="00883121"/>
    <w:rsid w:val="00883CFF"/>
    <w:rsid w:val="00883F24"/>
    <w:rsid w:val="008845B1"/>
    <w:rsid w:val="008853E5"/>
    <w:rsid w:val="00885DEB"/>
    <w:rsid w:val="00893456"/>
    <w:rsid w:val="00895C47"/>
    <w:rsid w:val="0089762C"/>
    <w:rsid w:val="008A03DE"/>
    <w:rsid w:val="008A6937"/>
    <w:rsid w:val="008A7993"/>
    <w:rsid w:val="008B01CF"/>
    <w:rsid w:val="008B39DC"/>
    <w:rsid w:val="008B4320"/>
    <w:rsid w:val="008B4332"/>
    <w:rsid w:val="008B45CB"/>
    <w:rsid w:val="008B53F9"/>
    <w:rsid w:val="008B678E"/>
    <w:rsid w:val="008B7AEC"/>
    <w:rsid w:val="008C1BBC"/>
    <w:rsid w:val="008C20E7"/>
    <w:rsid w:val="008C498A"/>
    <w:rsid w:val="008C52CC"/>
    <w:rsid w:val="008C5BB6"/>
    <w:rsid w:val="008C7988"/>
    <w:rsid w:val="008D122A"/>
    <w:rsid w:val="008D3E1C"/>
    <w:rsid w:val="008D67F4"/>
    <w:rsid w:val="008D76A1"/>
    <w:rsid w:val="008E0777"/>
    <w:rsid w:val="008E103D"/>
    <w:rsid w:val="008E423B"/>
    <w:rsid w:val="008E5631"/>
    <w:rsid w:val="008E765E"/>
    <w:rsid w:val="008F1517"/>
    <w:rsid w:val="008F2F2C"/>
    <w:rsid w:val="008F5E06"/>
    <w:rsid w:val="008F6639"/>
    <w:rsid w:val="00904A93"/>
    <w:rsid w:val="00911C00"/>
    <w:rsid w:val="00911CE8"/>
    <w:rsid w:val="00912CD9"/>
    <w:rsid w:val="00914A93"/>
    <w:rsid w:val="00914FD7"/>
    <w:rsid w:val="0091611E"/>
    <w:rsid w:val="0092137B"/>
    <w:rsid w:val="00922145"/>
    <w:rsid w:val="009233B2"/>
    <w:rsid w:val="009237A8"/>
    <w:rsid w:val="00924989"/>
    <w:rsid w:val="009252F5"/>
    <w:rsid w:val="009324FD"/>
    <w:rsid w:val="009354A6"/>
    <w:rsid w:val="00935AC7"/>
    <w:rsid w:val="00935DEB"/>
    <w:rsid w:val="009371E5"/>
    <w:rsid w:val="009404E5"/>
    <w:rsid w:val="009405BB"/>
    <w:rsid w:val="00941CA4"/>
    <w:rsid w:val="00942D60"/>
    <w:rsid w:val="00944628"/>
    <w:rsid w:val="0094546B"/>
    <w:rsid w:val="009473C0"/>
    <w:rsid w:val="00947A77"/>
    <w:rsid w:val="0095110C"/>
    <w:rsid w:val="00951726"/>
    <w:rsid w:val="00951BF2"/>
    <w:rsid w:val="00960748"/>
    <w:rsid w:val="00960770"/>
    <w:rsid w:val="00961F98"/>
    <w:rsid w:val="00963AEC"/>
    <w:rsid w:val="00965B3A"/>
    <w:rsid w:val="009712A9"/>
    <w:rsid w:val="00971BF8"/>
    <w:rsid w:val="00975F84"/>
    <w:rsid w:val="009814E1"/>
    <w:rsid w:val="009819DE"/>
    <w:rsid w:val="009846E4"/>
    <w:rsid w:val="00985543"/>
    <w:rsid w:val="00985B74"/>
    <w:rsid w:val="00985B8E"/>
    <w:rsid w:val="009868C8"/>
    <w:rsid w:val="009A22EC"/>
    <w:rsid w:val="009A23E0"/>
    <w:rsid w:val="009A4A75"/>
    <w:rsid w:val="009A4F31"/>
    <w:rsid w:val="009A5E26"/>
    <w:rsid w:val="009B232A"/>
    <w:rsid w:val="009B6ECD"/>
    <w:rsid w:val="009C1D53"/>
    <w:rsid w:val="009C2608"/>
    <w:rsid w:val="009C2AC0"/>
    <w:rsid w:val="009C2C11"/>
    <w:rsid w:val="009C2C7B"/>
    <w:rsid w:val="009D09F7"/>
    <w:rsid w:val="009D0DBE"/>
    <w:rsid w:val="009D1B62"/>
    <w:rsid w:val="009D50AB"/>
    <w:rsid w:val="009D534B"/>
    <w:rsid w:val="009E1313"/>
    <w:rsid w:val="009E436B"/>
    <w:rsid w:val="009E5380"/>
    <w:rsid w:val="009E65E8"/>
    <w:rsid w:val="009E77B1"/>
    <w:rsid w:val="009F0124"/>
    <w:rsid w:val="009F0300"/>
    <w:rsid w:val="009F0D0D"/>
    <w:rsid w:val="009F454C"/>
    <w:rsid w:val="009F6459"/>
    <w:rsid w:val="00A0414A"/>
    <w:rsid w:val="00A10346"/>
    <w:rsid w:val="00A130E6"/>
    <w:rsid w:val="00A14088"/>
    <w:rsid w:val="00A165E1"/>
    <w:rsid w:val="00A17560"/>
    <w:rsid w:val="00A21FC3"/>
    <w:rsid w:val="00A22D76"/>
    <w:rsid w:val="00A23DD5"/>
    <w:rsid w:val="00A23FBB"/>
    <w:rsid w:val="00A24029"/>
    <w:rsid w:val="00A32441"/>
    <w:rsid w:val="00A34E74"/>
    <w:rsid w:val="00A40EC0"/>
    <w:rsid w:val="00A41BB3"/>
    <w:rsid w:val="00A41CBE"/>
    <w:rsid w:val="00A42014"/>
    <w:rsid w:val="00A42B5E"/>
    <w:rsid w:val="00A45D14"/>
    <w:rsid w:val="00A51975"/>
    <w:rsid w:val="00A51E53"/>
    <w:rsid w:val="00A61B2C"/>
    <w:rsid w:val="00A670DF"/>
    <w:rsid w:val="00A725D8"/>
    <w:rsid w:val="00A7553C"/>
    <w:rsid w:val="00A77C89"/>
    <w:rsid w:val="00A83F19"/>
    <w:rsid w:val="00A84A59"/>
    <w:rsid w:val="00A84BB7"/>
    <w:rsid w:val="00A9091D"/>
    <w:rsid w:val="00A97235"/>
    <w:rsid w:val="00A97281"/>
    <w:rsid w:val="00AA7D2C"/>
    <w:rsid w:val="00AA7EF6"/>
    <w:rsid w:val="00AB3303"/>
    <w:rsid w:val="00AB530B"/>
    <w:rsid w:val="00AB5718"/>
    <w:rsid w:val="00AB74EE"/>
    <w:rsid w:val="00AC14D9"/>
    <w:rsid w:val="00AC2535"/>
    <w:rsid w:val="00AC2A5E"/>
    <w:rsid w:val="00AC4155"/>
    <w:rsid w:val="00AC58E2"/>
    <w:rsid w:val="00AD1900"/>
    <w:rsid w:val="00AD191F"/>
    <w:rsid w:val="00AD35EA"/>
    <w:rsid w:val="00AD6146"/>
    <w:rsid w:val="00AD6D1D"/>
    <w:rsid w:val="00AD7FB2"/>
    <w:rsid w:val="00AE1C1F"/>
    <w:rsid w:val="00AE3451"/>
    <w:rsid w:val="00AE447A"/>
    <w:rsid w:val="00AE70F5"/>
    <w:rsid w:val="00AF1FC2"/>
    <w:rsid w:val="00AF2204"/>
    <w:rsid w:val="00AF3792"/>
    <w:rsid w:val="00AF3F71"/>
    <w:rsid w:val="00AF4655"/>
    <w:rsid w:val="00B00BB1"/>
    <w:rsid w:val="00B0147F"/>
    <w:rsid w:val="00B01D47"/>
    <w:rsid w:val="00B04B25"/>
    <w:rsid w:val="00B05212"/>
    <w:rsid w:val="00B07603"/>
    <w:rsid w:val="00B11267"/>
    <w:rsid w:val="00B11673"/>
    <w:rsid w:val="00B14F11"/>
    <w:rsid w:val="00B16681"/>
    <w:rsid w:val="00B1756C"/>
    <w:rsid w:val="00B232A6"/>
    <w:rsid w:val="00B25C69"/>
    <w:rsid w:val="00B26A38"/>
    <w:rsid w:val="00B27A9E"/>
    <w:rsid w:val="00B30E00"/>
    <w:rsid w:val="00B310DB"/>
    <w:rsid w:val="00B3364C"/>
    <w:rsid w:val="00B33E52"/>
    <w:rsid w:val="00B41990"/>
    <w:rsid w:val="00B44EA8"/>
    <w:rsid w:val="00B46118"/>
    <w:rsid w:val="00B50C2A"/>
    <w:rsid w:val="00B5243E"/>
    <w:rsid w:val="00B52CEB"/>
    <w:rsid w:val="00B53778"/>
    <w:rsid w:val="00B5419E"/>
    <w:rsid w:val="00B561DE"/>
    <w:rsid w:val="00B56FE6"/>
    <w:rsid w:val="00B627A4"/>
    <w:rsid w:val="00B65D29"/>
    <w:rsid w:val="00B74237"/>
    <w:rsid w:val="00B74C73"/>
    <w:rsid w:val="00B755C4"/>
    <w:rsid w:val="00B80BE4"/>
    <w:rsid w:val="00B827F0"/>
    <w:rsid w:val="00B8413E"/>
    <w:rsid w:val="00B849B7"/>
    <w:rsid w:val="00B85F9A"/>
    <w:rsid w:val="00B878B2"/>
    <w:rsid w:val="00B87A65"/>
    <w:rsid w:val="00B90435"/>
    <w:rsid w:val="00B914B4"/>
    <w:rsid w:val="00B92288"/>
    <w:rsid w:val="00B95A6C"/>
    <w:rsid w:val="00B97132"/>
    <w:rsid w:val="00B97E58"/>
    <w:rsid w:val="00BA0D1F"/>
    <w:rsid w:val="00BA1816"/>
    <w:rsid w:val="00BA2048"/>
    <w:rsid w:val="00BA208B"/>
    <w:rsid w:val="00BA261A"/>
    <w:rsid w:val="00BA288B"/>
    <w:rsid w:val="00BA619F"/>
    <w:rsid w:val="00BA77C5"/>
    <w:rsid w:val="00BA7BA4"/>
    <w:rsid w:val="00BB0042"/>
    <w:rsid w:val="00BB06A7"/>
    <w:rsid w:val="00BB0B53"/>
    <w:rsid w:val="00BB29BB"/>
    <w:rsid w:val="00BB440C"/>
    <w:rsid w:val="00BB5018"/>
    <w:rsid w:val="00BB575F"/>
    <w:rsid w:val="00BB69A7"/>
    <w:rsid w:val="00BB7DBC"/>
    <w:rsid w:val="00BB7EE5"/>
    <w:rsid w:val="00BC203D"/>
    <w:rsid w:val="00BC38EC"/>
    <w:rsid w:val="00BC3E5F"/>
    <w:rsid w:val="00BC6E1D"/>
    <w:rsid w:val="00BD04C2"/>
    <w:rsid w:val="00BD13E4"/>
    <w:rsid w:val="00BD4999"/>
    <w:rsid w:val="00BD625B"/>
    <w:rsid w:val="00BD7056"/>
    <w:rsid w:val="00BE0225"/>
    <w:rsid w:val="00BE14E5"/>
    <w:rsid w:val="00BE2B24"/>
    <w:rsid w:val="00BE4C5F"/>
    <w:rsid w:val="00BE4EB6"/>
    <w:rsid w:val="00BE6AA7"/>
    <w:rsid w:val="00BF2A54"/>
    <w:rsid w:val="00BF2CF8"/>
    <w:rsid w:val="00BF3980"/>
    <w:rsid w:val="00BF6240"/>
    <w:rsid w:val="00BF6A69"/>
    <w:rsid w:val="00BF6C61"/>
    <w:rsid w:val="00C01969"/>
    <w:rsid w:val="00C0329B"/>
    <w:rsid w:val="00C0331B"/>
    <w:rsid w:val="00C04C90"/>
    <w:rsid w:val="00C05361"/>
    <w:rsid w:val="00C06CDE"/>
    <w:rsid w:val="00C1000D"/>
    <w:rsid w:val="00C117BF"/>
    <w:rsid w:val="00C158C6"/>
    <w:rsid w:val="00C1614D"/>
    <w:rsid w:val="00C16A9C"/>
    <w:rsid w:val="00C205FB"/>
    <w:rsid w:val="00C24500"/>
    <w:rsid w:val="00C26DE2"/>
    <w:rsid w:val="00C31C28"/>
    <w:rsid w:val="00C3316E"/>
    <w:rsid w:val="00C352C0"/>
    <w:rsid w:val="00C371EC"/>
    <w:rsid w:val="00C3732D"/>
    <w:rsid w:val="00C40003"/>
    <w:rsid w:val="00C4016C"/>
    <w:rsid w:val="00C41383"/>
    <w:rsid w:val="00C4245C"/>
    <w:rsid w:val="00C43605"/>
    <w:rsid w:val="00C43AE5"/>
    <w:rsid w:val="00C440BA"/>
    <w:rsid w:val="00C5169A"/>
    <w:rsid w:val="00C5212B"/>
    <w:rsid w:val="00C52169"/>
    <w:rsid w:val="00C527C9"/>
    <w:rsid w:val="00C54D16"/>
    <w:rsid w:val="00C5670A"/>
    <w:rsid w:val="00C56C10"/>
    <w:rsid w:val="00C5711E"/>
    <w:rsid w:val="00C64185"/>
    <w:rsid w:val="00C6626E"/>
    <w:rsid w:val="00C66366"/>
    <w:rsid w:val="00C67A2F"/>
    <w:rsid w:val="00C67B1B"/>
    <w:rsid w:val="00C70C10"/>
    <w:rsid w:val="00C71F44"/>
    <w:rsid w:val="00C73E3F"/>
    <w:rsid w:val="00C74F98"/>
    <w:rsid w:val="00C8143E"/>
    <w:rsid w:val="00C820A3"/>
    <w:rsid w:val="00C8548F"/>
    <w:rsid w:val="00C8747B"/>
    <w:rsid w:val="00C97A51"/>
    <w:rsid w:val="00CA01DB"/>
    <w:rsid w:val="00CA0D56"/>
    <w:rsid w:val="00CA0FA5"/>
    <w:rsid w:val="00CA29E8"/>
    <w:rsid w:val="00CA2BAE"/>
    <w:rsid w:val="00CA3868"/>
    <w:rsid w:val="00CA495C"/>
    <w:rsid w:val="00CA6BFC"/>
    <w:rsid w:val="00CA7839"/>
    <w:rsid w:val="00CA7C8C"/>
    <w:rsid w:val="00CB1EBE"/>
    <w:rsid w:val="00CB6C0C"/>
    <w:rsid w:val="00CC06D3"/>
    <w:rsid w:val="00CC0980"/>
    <w:rsid w:val="00CC150D"/>
    <w:rsid w:val="00CC1714"/>
    <w:rsid w:val="00CC6832"/>
    <w:rsid w:val="00CC7131"/>
    <w:rsid w:val="00CC7526"/>
    <w:rsid w:val="00CD3F2C"/>
    <w:rsid w:val="00CE1FB0"/>
    <w:rsid w:val="00CE252F"/>
    <w:rsid w:val="00CE416B"/>
    <w:rsid w:val="00CE4204"/>
    <w:rsid w:val="00CE4A2A"/>
    <w:rsid w:val="00CE5D3E"/>
    <w:rsid w:val="00CF2354"/>
    <w:rsid w:val="00CF3B54"/>
    <w:rsid w:val="00CF4AFD"/>
    <w:rsid w:val="00CF5CA7"/>
    <w:rsid w:val="00D03E89"/>
    <w:rsid w:val="00D0587F"/>
    <w:rsid w:val="00D0775D"/>
    <w:rsid w:val="00D102E6"/>
    <w:rsid w:val="00D10CD0"/>
    <w:rsid w:val="00D136E0"/>
    <w:rsid w:val="00D13854"/>
    <w:rsid w:val="00D14036"/>
    <w:rsid w:val="00D15E47"/>
    <w:rsid w:val="00D16CCF"/>
    <w:rsid w:val="00D2346C"/>
    <w:rsid w:val="00D34F59"/>
    <w:rsid w:val="00D35A67"/>
    <w:rsid w:val="00D37F2A"/>
    <w:rsid w:val="00D4531C"/>
    <w:rsid w:val="00D45A12"/>
    <w:rsid w:val="00D51299"/>
    <w:rsid w:val="00D52952"/>
    <w:rsid w:val="00D52A3D"/>
    <w:rsid w:val="00D552BA"/>
    <w:rsid w:val="00D57189"/>
    <w:rsid w:val="00D64E92"/>
    <w:rsid w:val="00D652B4"/>
    <w:rsid w:val="00D657DF"/>
    <w:rsid w:val="00D660CC"/>
    <w:rsid w:val="00D67327"/>
    <w:rsid w:val="00D700C9"/>
    <w:rsid w:val="00D7092E"/>
    <w:rsid w:val="00D71994"/>
    <w:rsid w:val="00D71F3D"/>
    <w:rsid w:val="00D7484B"/>
    <w:rsid w:val="00D76011"/>
    <w:rsid w:val="00D80693"/>
    <w:rsid w:val="00D82DEE"/>
    <w:rsid w:val="00D83A74"/>
    <w:rsid w:val="00D83F94"/>
    <w:rsid w:val="00D844D6"/>
    <w:rsid w:val="00D91492"/>
    <w:rsid w:val="00D93E51"/>
    <w:rsid w:val="00D94DD2"/>
    <w:rsid w:val="00D95596"/>
    <w:rsid w:val="00DA00E4"/>
    <w:rsid w:val="00DA4422"/>
    <w:rsid w:val="00DA4616"/>
    <w:rsid w:val="00DA4722"/>
    <w:rsid w:val="00DA7AB0"/>
    <w:rsid w:val="00DB0212"/>
    <w:rsid w:val="00DB2573"/>
    <w:rsid w:val="00DB3207"/>
    <w:rsid w:val="00DB3BB5"/>
    <w:rsid w:val="00DB3D1E"/>
    <w:rsid w:val="00DC2880"/>
    <w:rsid w:val="00DC2DB2"/>
    <w:rsid w:val="00DC3526"/>
    <w:rsid w:val="00DC3C38"/>
    <w:rsid w:val="00DC4103"/>
    <w:rsid w:val="00DD13D1"/>
    <w:rsid w:val="00DD2BA2"/>
    <w:rsid w:val="00DD4338"/>
    <w:rsid w:val="00DE1084"/>
    <w:rsid w:val="00DE30AF"/>
    <w:rsid w:val="00DE3663"/>
    <w:rsid w:val="00DE4C2D"/>
    <w:rsid w:val="00DE53CC"/>
    <w:rsid w:val="00DE7210"/>
    <w:rsid w:val="00DF2865"/>
    <w:rsid w:val="00DF2AF2"/>
    <w:rsid w:val="00DF2DCE"/>
    <w:rsid w:val="00DF3FA3"/>
    <w:rsid w:val="00DF4F69"/>
    <w:rsid w:val="00E03370"/>
    <w:rsid w:val="00E057E3"/>
    <w:rsid w:val="00E108F1"/>
    <w:rsid w:val="00E14067"/>
    <w:rsid w:val="00E1460D"/>
    <w:rsid w:val="00E14893"/>
    <w:rsid w:val="00E16462"/>
    <w:rsid w:val="00E16931"/>
    <w:rsid w:val="00E17708"/>
    <w:rsid w:val="00E17872"/>
    <w:rsid w:val="00E213A4"/>
    <w:rsid w:val="00E25D40"/>
    <w:rsid w:val="00E2634A"/>
    <w:rsid w:val="00E274B3"/>
    <w:rsid w:val="00E279DA"/>
    <w:rsid w:val="00E30539"/>
    <w:rsid w:val="00E33660"/>
    <w:rsid w:val="00E379D0"/>
    <w:rsid w:val="00E40375"/>
    <w:rsid w:val="00E44881"/>
    <w:rsid w:val="00E4620F"/>
    <w:rsid w:val="00E53CAD"/>
    <w:rsid w:val="00E574CA"/>
    <w:rsid w:val="00E57F14"/>
    <w:rsid w:val="00E60B3E"/>
    <w:rsid w:val="00E65F68"/>
    <w:rsid w:val="00E84AC1"/>
    <w:rsid w:val="00E84CAB"/>
    <w:rsid w:val="00E850CD"/>
    <w:rsid w:val="00E903A4"/>
    <w:rsid w:val="00E922CA"/>
    <w:rsid w:val="00E94E50"/>
    <w:rsid w:val="00E9674C"/>
    <w:rsid w:val="00E969E7"/>
    <w:rsid w:val="00EA1920"/>
    <w:rsid w:val="00EA36D3"/>
    <w:rsid w:val="00EA4856"/>
    <w:rsid w:val="00EA5E39"/>
    <w:rsid w:val="00EA60A4"/>
    <w:rsid w:val="00EB083A"/>
    <w:rsid w:val="00EB09AF"/>
    <w:rsid w:val="00EB271D"/>
    <w:rsid w:val="00EB484E"/>
    <w:rsid w:val="00EB49C3"/>
    <w:rsid w:val="00EC165B"/>
    <w:rsid w:val="00ED0429"/>
    <w:rsid w:val="00ED10F2"/>
    <w:rsid w:val="00ED72E6"/>
    <w:rsid w:val="00ED7C2E"/>
    <w:rsid w:val="00EE0E32"/>
    <w:rsid w:val="00EE4A95"/>
    <w:rsid w:val="00EE4B46"/>
    <w:rsid w:val="00EE5D93"/>
    <w:rsid w:val="00EF1900"/>
    <w:rsid w:val="00EF1AE7"/>
    <w:rsid w:val="00EF3FB4"/>
    <w:rsid w:val="00F002D6"/>
    <w:rsid w:val="00F041AB"/>
    <w:rsid w:val="00F05950"/>
    <w:rsid w:val="00F13BC0"/>
    <w:rsid w:val="00F16ED1"/>
    <w:rsid w:val="00F239F3"/>
    <w:rsid w:val="00F24259"/>
    <w:rsid w:val="00F26206"/>
    <w:rsid w:val="00F2775C"/>
    <w:rsid w:val="00F41BEF"/>
    <w:rsid w:val="00F438FC"/>
    <w:rsid w:val="00F44F29"/>
    <w:rsid w:val="00F455AB"/>
    <w:rsid w:val="00F45A64"/>
    <w:rsid w:val="00F472E4"/>
    <w:rsid w:val="00F47868"/>
    <w:rsid w:val="00F52A43"/>
    <w:rsid w:val="00F537DD"/>
    <w:rsid w:val="00F57F4C"/>
    <w:rsid w:val="00F6159B"/>
    <w:rsid w:val="00F62B23"/>
    <w:rsid w:val="00F64270"/>
    <w:rsid w:val="00F675E9"/>
    <w:rsid w:val="00F72831"/>
    <w:rsid w:val="00F728C6"/>
    <w:rsid w:val="00F730BD"/>
    <w:rsid w:val="00F75983"/>
    <w:rsid w:val="00F77D2C"/>
    <w:rsid w:val="00F77FA8"/>
    <w:rsid w:val="00F835EF"/>
    <w:rsid w:val="00F8506F"/>
    <w:rsid w:val="00F87962"/>
    <w:rsid w:val="00F907FA"/>
    <w:rsid w:val="00F94C42"/>
    <w:rsid w:val="00F96CB6"/>
    <w:rsid w:val="00F97A17"/>
    <w:rsid w:val="00FA21D1"/>
    <w:rsid w:val="00FA283F"/>
    <w:rsid w:val="00FB0287"/>
    <w:rsid w:val="00FB0C8D"/>
    <w:rsid w:val="00FB2B8A"/>
    <w:rsid w:val="00FB5917"/>
    <w:rsid w:val="00FB61DD"/>
    <w:rsid w:val="00FC09FF"/>
    <w:rsid w:val="00FC1991"/>
    <w:rsid w:val="00FC2751"/>
    <w:rsid w:val="00FC4EF5"/>
    <w:rsid w:val="00FC6B40"/>
    <w:rsid w:val="00FD144E"/>
    <w:rsid w:val="00FD496B"/>
    <w:rsid w:val="00FD610D"/>
    <w:rsid w:val="00FD6E3C"/>
    <w:rsid w:val="00FD717B"/>
    <w:rsid w:val="00FE0866"/>
    <w:rsid w:val="00FE1F4F"/>
    <w:rsid w:val="00FE4103"/>
    <w:rsid w:val="00FE7E2D"/>
    <w:rsid w:val="00FF6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3F2B8"/>
  <w15:chartTrackingRefBased/>
  <w15:docId w15:val="{76336A1A-149A-FD44-B60A-BBA0A352B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DDD"/>
    <w:rPr>
      <w:rFonts w:ascii="Times New Roman" w:eastAsia="Times New Roman" w:hAnsi="Times New Roman" w:cs="Times New Roman"/>
    </w:rPr>
  </w:style>
  <w:style w:type="paragraph" w:styleId="Heading1">
    <w:name w:val="heading 1"/>
    <w:basedOn w:val="Normal"/>
    <w:next w:val="Normal"/>
    <w:link w:val="Heading1Char"/>
    <w:qFormat/>
    <w:rsid w:val="005D6DDD"/>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nhideWhenUsed/>
    <w:qFormat/>
    <w:rsid w:val="005D6DDD"/>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qFormat/>
    <w:rsid w:val="005D6DDD"/>
    <w:pPr>
      <w:keepNext/>
      <w:spacing w:before="240" w:after="240"/>
      <w:jc w:val="both"/>
      <w:outlineLvl w:val="2"/>
    </w:pPr>
    <w:rPr>
      <w:rFonts w:cs="Arial"/>
      <w:b/>
      <w:bCs/>
      <w:sz w:val="20"/>
      <w:szCs w:val="26"/>
      <w:lang w:eastAsia="de-DE"/>
    </w:rPr>
  </w:style>
  <w:style w:type="paragraph" w:styleId="Heading4">
    <w:name w:val="heading 4"/>
    <w:basedOn w:val="Normal"/>
    <w:next w:val="Normal"/>
    <w:link w:val="Heading4Char"/>
    <w:semiHidden/>
    <w:qFormat/>
    <w:rsid w:val="005D6DDD"/>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5D6DD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5D6DDD"/>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5D6DDD"/>
    <w:pPr>
      <w:spacing w:before="240" w:after="60"/>
      <w:outlineLvl w:val="6"/>
    </w:pPr>
    <w:rPr>
      <w:rFonts w:ascii="Calibri" w:hAnsi="Calibri"/>
    </w:rPr>
  </w:style>
  <w:style w:type="paragraph" w:styleId="Heading8">
    <w:name w:val="heading 8"/>
    <w:basedOn w:val="Normal"/>
    <w:next w:val="Normal"/>
    <w:link w:val="Heading8Char"/>
    <w:semiHidden/>
    <w:qFormat/>
    <w:rsid w:val="005D6DDD"/>
    <w:pPr>
      <w:spacing w:before="240" w:after="60"/>
      <w:outlineLvl w:val="7"/>
    </w:pPr>
    <w:rPr>
      <w:rFonts w:ascii="Calibri" w:hAnsi="Calibri"/>
      <w:i/>
      <w:iCs/>
    </w:rPr>
  </w:style>
  <w:style w:type="paragraph" w:styleId="Heading9">
    <w:name w:val="heading 9"/>
    <w:basedOn w:val="Normal"/>
    <w:next w:val="Normal"/>
    <w:link w:val="Heading9Char"/>
    <w:semiHidden/>
    <w:qFormat/>
    <w:rsid w:val="005D6DD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82706"/>
    <w:rPr>
      <w:sz w:val="18"/>
      <w:szCs w:val="18"/>
    </w:rPr>
  </w:style>
  <w:style w:type="character" w:customStyle="1" w:styleId="BalloonTextChar">
    <w:name w:val="Balloon Text Char"/>
    <w:basedOn w:val="DefaultParagraphFont"/>
    <w:link w:val="BalloonText"/>
    <w:semiHidden/>
    <w:rsid w:val="00082706"/>
    <w:rPr>
      <w:rFonts w:ascii="Times New Roman" w:hAnsi="Times New Roman" w:cs="Times New Roman"/>
      <w:sz w:val="18"/>
      <w:szCs w:val="18"/>
    </w:rPr>
  </w:style>
  <w:style w:type="character" w:customStyle="1" w:styleId="Heading1Char">
    <w:name w:val="Heading 1 Char"/>
    <w:basedOn w:val="DefaultParagraphFont"/>
    <w:link w:val="Heading1"/>
    <w:rsid w:val="005D6DDD"/>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rsid w:val="005D6DDD"/>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rsid w:val="005D6DDD"/>
    <w:rPr>
      <w:rFonts w:ascii="Times New Roman" w:eastAsia="Times New Roman" w:hAnsi="Times New Roman" w:cs="Arial"/>
      <w:b/>
      <w:bCs/>
      <w:sz w:val="20"/>
      <w:szCs w:val="26"/>
      <w:lang w:eastAsia="de-DE"/>
    </w:rPr>
  </w:style>
  <w:style w:type="character" w:customStyle="1" w:styleId="Heading4Char">
    <w:name w:val="Heading 4 Char"/>
    <w:basedOn w:val="DefaultParagraphFont"/>
    <w:link w:val="Heading4"/>
    <w:semiHidden/>
    <w:rsid w:val="005D6DDD"/>
    <w:rPr>
      <w:rFonts w:ascii="Times" w:eastAsia="Times New Roman" w:hAnsi="Times" w:cs="Times New Roman"/>
      <w:b/>
      <w:color w:val="0000FF"/>
      <w:sz w:val="44"/>
    </w:rPr>
  </w:style>
  <w:style w:type="character" w:customStyle="1" w:styleId="Heading5Char">
    <w:name w:val="Heading 5 Char"/>
    <w:basedOn w:val="DefaultParagraphFont"/>
    <w:link w:val="Heading5"/>
    <w:semiHidden/>
    <w:rsid w:val="005D6DDD"/>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5D6DDD"/>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5D6DDD"/>
    <w:rPr>
      <w:rFonts w:ascii="Calibri" w:eastAsia="Times New Roman" w:hAnsi="Calibri" w:cs="Times New Roman"/>
    </w:rPr>
  </w:style>
  <w:style w:type="character" w:customStyle="1" w:styleId="Heading8Char">
    <w:name w:val="Heading 8 Char"/>
    <w:basedOn w:val="DefaultParagraphFont"/>
    <w:link w:val="Heading8"/>
    <w:semiHidden/>
    <w:rsid w:val="005D6DDD"/>
    <w:rPr>
      <w:rFonts w:ascii="Calibri" w:eastAsia="Times New Roman" w:hAnsi="Calibri" w:cs="Times New Roman"/>
      <w:i/>
      <w:iCs/>
    </w:rPr>
  </w:style>
  <w:style w:type="character" w:customStyle="1" w:styleId="Heading9Char">
    <w:name w:val="Heading 9 Char"/>
    <w:basedOn w:val="DefaultParagraphFont"/>
    <w:link w:val="Heading9"/>
    <w:semiHidden/>
    <w:rsid w:val="005D6DDD"/>
    <w:rPr>
      <w:rFonts w:ascii="Cambria" w:eastAsia="Times New Roman" w:hAnsi="Cambria" w:cs="Times New Roman"/>
      <w:sz w:val="22"/>
      <w:szCs w:val="22"/>
    </w:rPr>
  </w:style>
  <w:style w:type="paragraph" w:styleId="Title">
    <w:name w:val="Title"/>
    <w:basedOn w:val="Normal"/>
    <w:next w:val="Normal"/>
    <w:link w:val="TitleChar"/>
    <w:qFormat/>
    <w:rsid w:val="005D6DDD"/>
    <w:pPr>
      <w:contextualSpacing/>
      <w:jc w:val="center"/>
    </w:pPr>
    <w:rPr>
      <w:rFonts w:eastAsiaTheme="majorEastAsia" w:cstheme="majorBidi"/>
      <w:b/>
      <w:spacing w:val="-10"/>
      <w:kern w:val="28"/>
      <w:sz w:val="28"/>
      <w:szCs w:val="56"/>
      <w:lang w:val="en-US"/>
    </w:rPr>
  </w:style>
  <w:style w:type="character" w:customStyle="1" w:styleId="TitleChar">
    <w:name w:val="Title Char"/>
    <w:basedOn w:val="DefaultParagraphFont"/>
    <w:link w:val="Title"/>
    <w:rsid w:val="005D6DDD"/>
    <w:rPr>
      <w:rFonts w:ascii="Times New Roman" w:eastAsiaTheme="majorEastAsia" w:hAnsi="Times New Roman" w:cstheme="majorBidi"/>
      <w:b/>
      <w:spacing w:val="-10"/>
      <w:kern w:val="28"/>
      <w:sz w:val="28"/>
      <w:szCs w:val="56"/>
      <w:lang w:val="en-US"/>
    </w:rPr>
  </w:style>
  <w:style w:type="paragraph" w:customStyle="1" w:styleId="Reference">
    <w:name w:val="Reference"/>
    <w:basedOn w:val="Normal"/>
    <w:rsid w:val="005D6DDD"/>
    <w:pPr>
      <w:spacing w:before="120"/>
      <w:ind w:left="720" w:hanging="720"/>
    </w:pPr>
    <w:rPr>
      <w:lang w:val="en-US"/>
    </w:rPr>
  </w:style>
  <w:style w:type="paragraph" w:styleId="Header">
    <w:name w:val="header"/>
    <w:basedOn w:val="Normal"/>
    <w:link w:val="HeaderChar"/>
    <w:unhideWhenUsed/>
    <w:rsid w:val="005D6DDD"/>
    <w:pPr>
      <w:tabs>
        <w:tab w:val="center" w:pos="4680"/>
        <w:tab w:val="right" w:pos="9360"/>
      </w:tabs>
    </w:pPr>
    <w:rPr>
      <w:rFonts w:eastAsia="Calibri"/>
      <w:sz w:val="20"/>
      <w:szCs w:val="20"/>
      <w:lang w:val="en-US"/>
    </w:rPr>
  </w:style>
  <w:style w:type="character" w:customStyle="1" w:styleId="HeaderChar">
    <w:name w:val="Header Char"/>
    <w:basedOn w:val="DefaultParagraphFont"/>
    <w:link w:val="Header"/>
    <w:rsid w:val="005D6DDD"/>
    <w:rPr>
      <w:rFonts w:ascii="Times New Roman" w:eastAsia="Calibri" w:hAnsi="Times New Roman" w:cs="Times New Roman"/>
      <w:sz w:val="20"/>
      <w:szCs w:val="20"/>
      <w:lang w:val="en-US"/>
    </w:rPr>
  </w:style>
  <w:style w:type="paragraph" w:customStyle="1" w:styleId="Heading-Secondary">
    <w:name w:val="Heading-Secondary"/>
    <w:basedOn w:val="Heading-Main"/>
    <w:qFormat/>
    <w:rsid w:val="005D6DDD"/>
    <w:pPr>
      <w:ind w:left="720"/>
    </w:pPr>
    <w:rPr>
      <w:b w:val="0"/>
    </w:rPr>
  </w:style>
  <w:style w:type="paragraph" w:customStyle="1" w:styleId="Authors">
    <w:name w:val="Authors"/>
    <w:basedOn w:val="Normal"/>
    <w:rsid w:val="005D6DDD"/>
    <w:pPr>
      <w:spacing w:before="120" w:after="360"/>
    </w:pPr>
    <w:rPr>
      <w:b/>
      <w:lang w:val="en-US"/>
    </w:rPr>
  </w:style>
  <w:style w:type="paragraph" w:customStyle="1" w:styleId="Text">
    <w:name w:val="Text"/>
    <w:basedOn w:val="Normal"/>
    <w:rsid w:val="005D6DDD"/>
    <w:pPr>
      <w:spacing w:before="120"/>
      <w:ind w:firstLine="720"/>
    </w:pPr>
    <w:rPr>
      <w:lang w:val="en-US"/>
    </w:rPr>
  </w:style>
  <w:style w:type="paragraph" w:customStyle="1" w:styleId="FigureorTableCaption">
    <w:name w:val="Figure or Table Caption"/>
    <w:basedOn w:val="Normal"/>
    <w:rsid w:val="005D6DDD"/>
    <w:pPr>
      <w:keepNext/>
      <w:spacing w:before="240"/>
      <w:outlineLvl w:val="0"/>
    </w:pPr>
    <w:rPr>
      <w:kern w:val="28"/>
      <w:lang w:val="en-US"/>
    </w:rPr>
  </w:style>
  <w:style w:type="character" w:styleId="Hyperlink">
    <w:name w:val="Hyperlink"/>
    <w:uiPriority w:val="99"/>
    <w:rsid w:val="005D6DDD"/>
    <w:rPr>
      <w:color w:val="0000FF"/>
      <w:u w:val="single"/>
    </w:rPr>
  </w:style>
  <w:style w:type="paragraph" w:customStyle="1" w:styleId="Heading-Main">
    <w:name w:val="Heading-Main"/>
    <w:basedOn w:val="Normal"/>
    <w:rsid w:val="005D6DDD"/>
    <w:pPr>
      <w:keepNext/>
      <w:spacing w:before="240" w:after="120"/>
      <w:outlineLvl w:val="0"/>
    </w:pPr>
    <w:rPr>
      <w:b/>
      <w:bCs/>
      <w:kern w:val="28"/>
      <w:lang w:val="en-US"/>
    </w:rPr>
  </w:style>
  <w:style w:type="paragraph" w:customStyle="1" w:styleId="Affiliation">
    <w:name w:val="Affiliation"/>
    <w:basedOn w:val="Text"/>
    <w:qFormat/>
    <w:rsid w:val="005D6DDD"/>
    <w:pPr>
      <w:ind w:firstLine="0"/>
    </w:pPr>
  </w:style>
  <w:style w:type="paragraph" w:customStyle="1" w:styleId="KeyPoints">
    <w:name w:val="Key Points"/>
    <w:basedOn w:val="Normal"/>
    <w:rsid w:val="005D6DDD"/>
    <w:pPr>
      <w:spacing w:before="120"/>
    </w:pPr>
    <w:rPr>
      <w:lang w:val="en-US"/>
    </w:rPr>
  </w:style>
  <w:style w:type="paragraph" w:customStyle="1" w:styleId="Abstract">
    <w:name w:val="Abstract"/>
    <w:basedOn w:val="Normal"/>
    <w:qFormat/>
    <w:rsid w:val="005D6DDD"/>
    <w:pPr>
      <w:spacing w:before="120"/>
    </w:pPr>
    <w:rPr>
      <w:lang w:val="en-US"/>
    </w:rPr>
  </w:style>
  <w:style w:type="paragraph" w:customStyle="1" w:styleId="Note">
    <w:name w:val="Note"/>
    <w:basedOn w:val="Normal"/>
    <w:qFormat/>
    <w:rsid w:val="005D6DDD"/>
    <w:pPr>
      <w:spacing w:before="240" w:after="240"/>
    </w:pPr>
    <w:rPr>
      <w:rFonts w:eastAsia="Calibri"/>
      <w:color w:val="00B0F0"/>
      <w:sz w:val="20"/>
      <w:szCs w:val="20"/>
      <w:lang w:val="en-US"/>
    </w:rPr>
  </w:style>
  <w:style w:type="paragraph" w:styleId="NormalWeb">
    <w:name w:val="Normal (Web)"/>
    <w:basedOn w:val="Normal"/>
    <w:uiPriority w:val="99"/>
    <w:unhideWhenUsed/>
    <w:rsid w:val="005D6DDD"/>
    <w:rPr>
      <w:rFonts w:eastAsia="Calibri"/>
      <w:lang w:val="en-US"/>
    </w:rPr>
  </w:style>
  <w:style w:type="paragraph" w:styleId="Footer">
    <w:name w:val="footer"/>
    <w:basedOn w:val="Normal"/>
    <w:link w:val="FooterChar"/>
    <w:unhideWhenUsed/>
    <w:rsid w:val="005D6DDD"/>
    <w:pPr>
      <w:tabs>
        <w:tab w:val="center" w:pos="4680"/>
        <w:tab w:val="right" w:pos="9360"/>
      </w:tabs>
    </w:pPr>
    <w:rPr>
      <w:rFonts w:eastAsia="Calibri"/>
      <w:sz w:val="20"/>
      <w:szCs w:val="20"/>
      <w:lang w:val="en-US"/>
    </w:rPr>
  </w:style>
  <w:style w:type="character" w:customStyle="1" w:styleId="FooterChar">
    <w:name w:val="Footer Char"/>
    <w:basedOn w:val="DefaultParagraphFont"/>
    <w:link w:val="Footer"/>
    <w:rsid w:val="005D6DDD"/>
    <w:rPr>
      <w:rFonts w:ascii="Times New Roman" w:eastAsia="Calibri" w:hAnsi="Times New Roman" w:cs="Times New Roman"/>
      <w:sz w:val="20"/>
      <w:szCs w:val="20"/>
      <w:lang w:val="en-US"/>
    </w:rPr>
  </w:style>
  <w:style w:type="paragraph" w:styleId="ListParagraph">
    <w:name w:val="List Paragraph"/>
    <w:basedOn w:val="Normal"/>
    <w:uiPriority w:val="34"/>
    <w:qFormat/>
    <w:rsid w:val="005D6DDD"/>
    <w:pPr>
      <w:spacing w:after="200"/>
      <w:ind w:left="720"/>
      <w:contextualSpacing/>
    </w:pPr>
    <w:rPr>
      <w:rFonts w:asciiTheme="minorHAnsi" w:eastAsiaTheme="minorEastAsia" w:hAnsiTheme="minorHAnsi" w:cstheme="minorBidi"/>
      <w:lang w:val="en-US" w:eastAsia="ja-JP"/>
    </w:rPr>
  </w:style>
  <w:style w:type="character" w:customStyle="1" w:styleId="UnresolvedMention1">
    <w:name w:val="Unresolved Mention1"/>
    <w:basedOn w:val="DefaultParagraphFont"/>
    <w:uiPriority w:val="99"/>
    <w:rsid w:val="005D6DDD"/>
    <w:rPr>
      <w:color w:val="808080"/>
      <w:shd w:val="clear" w:color="auto" w:fill="E6E6E6"/>
    </w:rPr>
  </w:style>
  <w:style w:type="character" w:styleId="Emphasis">
    <w:name w:val="Emphasis"/>
    <w:basedOn w:val="DefaultParagraphFont"/>
    <w:uiPriority w:val="20"/>
    <w:qFormat/>
    <w:rsid w:val="005D6DDD"/>
    <w:rPr>
      <w:i/>
      <w:iCs/>
    </w:rPr>
  </w:style>
  <w:style w:type="character" w:styleId="FollowedHyperlink">
    <w:name w:val="FollowedHyperlink"/>
    <w:basedOn w:val="DefaultParagraphFont"/>
    <w:uiPriority w:val="99"/>
    <w:semiHidden/>
    <w:unhideWhenUsed/>
    <w:rsid w:val="005D6DDD"/>
    <w:rPr>
      <w:color w:val="954F72" w:themeColor="followedHyperlink"/>
      <w:u w:val="single"/>
    </w:rPr>
  </w:style>
  <w:style w:type="paragraph" w:styleId="Bibliography">
    <w:name w:val="Bibliography"/>
    <w:basedOn w:val="Normal"/>
    <w:next w:val="Normal"/>
    <w:uiPriority w:val="37"/>
    <w:unhideWhenUsed/>
    <w:rsid w:val="005D6DDD"/>
    <w:pPr>
      <w:spacing w:line="480" w:lineRule="auto"/>
      <w:ind w:left="720" w:hanging="720"/>
    </w:pPr>
    <w:rPr>
      <w:rFonts w:eastAsia="Calibri"/>
      <w:sz w:val="20"/>
      <w:szCs w:val="20"/>
      <w:lang w:val="en-US"/>
    </w:rPr>
  </w:style>
  <w:style w:type="paragraph" w:styleId="Caption">
    <w:name w:val="caption"/>
    <w:basedOn w:val="Normal"/>
    <w:next w:val="Normal"/>
    <w:unhideWhenUsed/>
    <w:qFormat/>
    <w:rsid w:val="005D6DDD"/>
    <w:pPr>
      <w:spacing w:after="200"/>
      <w:jc w:val="both"/>
    </w:pPr>
    <w:rPr>
      <w:b/>
      <w:bCs/>
      <w:sz w:val="18"/>
      <w:szCs w:val="18"/>
      <w:lang w:eastAsia="de-DE"/>
    </w:rPr>
  </w:style>
  <w:style w:type="character" w:styleId="PlaceholderText">
    <w:name w:val="Placeholder Text"/>
    <w:basedOn w:val="DefaultParagraphFont"/>
    <w:uiPriority w:val="99"/>
    <w:semiHidden/>
    <w:rsid w:val="005D6DDD"/>
    <w:rPr>
      <w:color w:val="808080"/>
    </w:rPr>
  </w:style>
  <w:style w:type="character" w:styleId="LineNumber">
    <w:name w:val="line number"/>
    <w:basedOn w:val="DefaultParagraphFont"/>
    <w:uiPriority w:val="99"/>
    <w:semiHidden/>
    <w:unhideWhenUsed/>
    <w:rsid w:val="005D6DDD"/>
  </w:style>
  <w:style w:type="paragraph" w:styleId="Revision">
    <w:name w:val="Revision"/>
    <w:hidden/>
    <w:uiPriority w:val="99"/>
    <w:semiHidden/>
    <w:rsid w:val="005D6DDD"/>
    <w:rPr>
      <w:rFonts w:ascii="Times New Roman" w:eastAsia="Calibri" w:hAnsi="Times New Roman" w:cs="Times New Roman"/>
      <w:sz w:val="20"/>
      <w:szCs w:val="20"/>
      <w:lang w:val="en-US"/>
    </w:rPr>
  </w:style>
  <w:style w:type="character" w:customStyle="1" w:styleId="st">
    <w:name w:val="st"/>
    <w:basedOn w:val="DefaultParagraphFont"/>
    <w:rsid w:val="005D6DDD"/>
  </w:style>
  <w:style w:type="character" w:customStyle="1" w:styleId="UnresolvedMention2">
    <w:name w:val="Unresolved Mention2"/>
    <w:basedOn w:val="DefaultParagraphFont"/>
    <w:uiPriority w:val="99"/>
    <w:semiHidden/>
    <w:unhideWhenUsed/>
    <w:rsid w:val="005D6DDD"/>
    <w:rPr>
      <w:color w:val="808080"/>
      <w:shd w:val="clear" w:color="auto" w:fill="E6E6E6"/>
    </w:rPr>
  </w:style>
  <w:style w:type="character" w:customStyle="1" w:styleId="highlight">
    <w:name w:val="highlight"/>
    <w:basedOn w:val="DefaultParagraphFont"/>
    <w:rsid w:val="005D6DDD"/>
  </w:style>
  <w:style w:type="character" w:customStyle="1" w:styleId="A4">
    <w:name w:val="A4"/>
    <w:uiPriority w:val="99"/>
    <w:rsid w:val="005D6DDD"/>
    <w:rPr>
      <w:rFonts w:cs="AvantGarde LT Book"/>
      <w:color w:val="000000"/>
      <w:sz w:val="20"/>
      <w:szCs w:val="20"/>
    </w:rPr>
  </w:style>
  <w:style w:type="character" w:customStyle="1" w:styleId="detailstext">
    <w:name w:val="detailstext"/>
    <w:basedOn w:val="DefaultParagraphFont"/>
    <w:rsid w:val="005D6DDD"/>
  </w:style>
  <w:style w:type="character" w:styleId="CommentReference">
    <w:name w:val="annotation reference"/>
    <w:basedOn w:val="DefaultParagraphFont"/>
    <w:semiHidden/>
    <w:unhideWhenUsed/>
    <w:rsid w:val="005D6DDD"/>
    <w:rPr>
      <w:sz w:val="16"/>
      <w:szCs w:val="16"/>
    </w:rPr>
  </w:style>
  <w:style w:type="paragraph" w:styleId="CommentText">
    <w:name w:val="annotation text"/>
    <w:basedOn w:val="Normal"/>
    <w:link w:val="CommentTextChar"/>
    <w:uiPriority w:val="99"/>
    <w:unhideWhenUsed/>
    <w:rsid w:val="005D6DDD"/>
    <w:rPr>
      <w:sz w:val="20"/>
      <w:szCs w:val="20"/>
      <w:lang w:eastAsia="en-GB"/>
    </w:rPr>
  </w:style>
  <w:style w:type="character" w:customStyle="1" w:styleId="CommentTextChar">
    <w:name w:val="Comment Text Char"/>
    <w:basedOn w:val="DefaultParagraphFont"/>
    <w:link w:val="CommentText"/>
    <w:uiPriority w:val="99"/>
    <w:rsid w:val="005D6DD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unhideWhenUsed/>
    <w:rsid w:val="005D6DDD"/>
    <w:rPr>
      <w:b/>
      <w:bCs/>
    </w:rPr>
  </w:style>
  <w:style w:type="character" w:customStyle="1" w:styleId="CommentSubjectChar">
    <w:name w:val="Comment Subject Char"/>
    <w:basedOn w:val="CommentTextChar"/>
    <w:link w:val="CommentSubject"/>
    <w:semiHidden/>
    <w:rsid w:val="005D6DDD"/>
    <w:rPr>
      <w:rFonts w:ascii="Times New Roman" w:eastAsia="Times New Roman" w:hAnsi="Times New Roman" w:cs="Times New Roman"/>
      <w:b/>
      <w:bCs/>
      <w:sz w:val="20"/>
      <w:szCs w:val="20"/>
      <w:lang w:eastAsia="en-GB"/>
    </w:rPr>
  </w:style>
  <w:style w:type="character" w:styleId="PageNumber">
    <w:name w:val="page number"/>
    <w:basedOn w:val="DefaultParagraphFont"/>
    <w:semiHidden/>
    <w:rsid w:val="005D6DDD"/>
  </w:style>
  <w:style w:type="paragraph" w:customStyle="1" w:styleId="SMHeading">
    <w:name w:val="SM Heading"/>
    <w:basedOn w:val="Heading1"/>
    <w:qFormat/>
    <w:rsid w:val="005D6DDD"/>
    <w:pPr>
      <w:keepLines w:val="0"/>
      <w:spacing w:after="60"/>
    </w:pPr>
    <w:rPr>
      <w:rFonts w:ascii="Times New Roman" w:eastAsia="Times New Roman" w:hAnsi="Times New Roman" w:cs="Times New Roman"/>
      <w:b/>
      <w:bCs/>
      <w:color w:val="auto"/>
      <w:kern w:val="32"/>
      <w:sz w:val="24"/>
      <w:szCs w:val="24"/>
      <w:lang w:val="en-GB"/>
    </w:rPr>
  </w:style>
  <w:style w:type="paragraph" w:customStyle="1" w:styleId="SMSubheading">
    <w:name w:val="SM Subheading"/>
    <w:basedOn w:val="Normal"/>
    <w:qFormat/>
    <w:rsid w:val="005D6DDD"/>
    <w:rPr>
      <w:u w:val="words"/>
    </w:rPr>
  </w:style>
  <w:style w:type="paragraph" w:customStyle="1" w:styleId="SMText">
    <w:name w:val="SM Text"/>
    <w:basedOn w:val="Normal"/>
    <w:qFormat/>
    <w:rsid w:val="005D6DDD"/>
    <w:pPr>
      <w:ind w:firstLine="480"/>
    </w:pPr>
  </w:style>
  <w:style w:type="paragraph" w:customStyle="1" w:styleId="SMcaption">
    <w:name w:val="SM caption"/>
    <w:basedOn w:val="SMText"/>
    <w:qFormat/>
    <w:rsid w:val="005D6DDD"/>
    <w:pPr>
      <w:ind w:firstLine="0"/>
    </w:pPr>
  </w:style>
  <w:style w:type="paragraph" w:styleId="BlockText">
    <w:name w:val="Block Text"/>
    <w:basedOn w:val="Normal"/>
    <w:semiHidden/>
    <w:rsid w:val="005D6DDD"/>
    <w:pPr>
      <w:spacing w:after="120"/>
      <w:ind w:left="1440" w:right="1440"/>
    </w:pPr>
  </w:style>
  <w:style w:type="paragraph" w:styleId="BodyText">
    <w:name w:val="Body Text"/>
    <w:basedOn w:val="Normal"/>
    <w:link w:val="BodyTextChar"/>
    <w:semiHidden/>
    <w:rsid w:val="005D6DDD"/>
    <w:pPr>
      <w:spacing w:after="120"/>
    </w:pPr>
  </w:style>
  <w:style w:type="character" w:customStyle="1" w:styleId="BodyTextChar">
    <w:name w:val="Body Text Char"/>
    <w:basedOn w:val="DefaultParagraphFont"/>
    <w:link w:val="BodyText"/>
    <w:semiHidden/>
    <w:rsid w:val="005D6DDD"/>
    <w:rPr>
      <w:rFonts w:ascii="Times New Roman" w:eastAsia="Times New Roman" w:hAnsi="Times New Roman" w:cs="Times New Roman"/>
    </w:rPr>
  </w:style>
  <w:style w:type="paragraph" w:styleId="BodyText2">
    <w:name w:val="Body Text 2"/>
    <w:basedOn w:val="Normal"/>
    <w:link w:val="BodyText2Char"/>
    <w:semiHidden/>
    <w:rsid w:val="005D6DDD"/>
    <w:pPr>
      <w:spacing w:after="120" w:line="480" w:lineRule="auto"/>
    </w:pPr>
  </w:style>
  <w:style w:type="character" w:customStyle="1" w:styleId="BodyText2Char">
    <w:name w:val="Body Text 2 Char"/>
    <w:basedOn w:val="DefaultParagraphFont"/>
    <w:link w:val="BodyText2"/>
    <w:semiHidden/>
    <w:rsid w:val="005D6DDD"/>
    <w:rPr>
      <w:rFonts w:ascii="Times New Roman" w:eastAsia="Times New Roman" w:hAnsi="Times New Roman" w:cs="Times New Roman"/>
    </w:rPr>
  </w:style>
  <w:style w:type="paragraph" w:styleId="BodyText3">
    <w:name w:val="Body Text 3"/>
    <w:basedOn w:val="Normal"/>
    <w:link w:val="BodyText3Char"/>
    <w:semiHidden/>
    <w:rsid w:val="005D6DDD"/>
    <w:pPr>
      <w:spacing w:after="120"/>
    </w:pPr>
    <w:rPr>
      <w:sz w:val="16"/>
      <w:szCs w:val="16"/>
    </w:rPr>
  </w:style>
  <w:style w:type="character" w:customStyle="1" w:styleId="BodyText3Char">
    <w:name w:val="Body Text 3 Char"/>
    <w:basedOn w:val="DefaultParagraphFont"/>
    <w:link w:val="BodyText3"/>
    <w:semiHidden/>
    <w:rsid w:val="005D6DDD"/>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5D6DDD"/>
    <w:pPr>
      <w:ind w:firstLine="210"/>
    </w:pPr>
  </w:style>
  <w:style w:type="character" w:customStyle="1" w:styleId="BodyTextFirstIndentChar">
    <w:name w:val="Body Text First Indent Char"/>
    <w:basedOn w:val="BodyTextChar"/>
    <w:link w:val="BodyTextFirstIndent"/>
    <w:semiHidden/>
    <w:rsid w:val="005D6DDD"/>
    <w:rPr>
      <w:rFonts w:ascii="Times New Roman" w:eastAsia="Times New Roman" w:hAnsi="Times New Roman" w:cs="Times New Roman"/>
    </w:rPr>
  </w:style>
  <w:style w:type="paragraph" w:styleId="BodyTextIndent">
    <w:name w:val="Body Text Indent"/>
    <w:basedOn w:val="Normal"/>
    <w:link w:val="BodyTextIndentChar"/>
    <w:semiHidden/>
    <w:rsid w:val="005D6DDD"/>
    <w:pPr>
      <w:spacing w:after="120"/>
      <w:ind w:left="360"/>
    </w:pPr>
  </w:style>
  <w:style w:type="character" w:customStyle="1" w:styleId="BodyTextIndentChar">
    <w:name w:val="Body Text Indent Char"/>
    <w:basedOn w:val="DefaultParagraphFont"/>
    <w:link w:val="BodyTextIndent"/>
    <w:semiHidden/>
    <w:rsid w:val="005D6DDD"/>
    <w:rPr>
      <w:rFonts w:ascii="Times New Roman" w:eastAsia="Times New Roman" w:hAnsi="Times New Roman" w:cs="Times New Roman"/>
    </w:rPr>
  </w:style>
  <w:style w:type="paragraph" w:styleId="BodyTextFirstIndent2">
    <w:name w:val="Body Text First Indent 2"/>
    <w:basedOn w:val="BodyTextIndent"/>
    <w:link w:val="BodyTextFirstIndent2Char"/>
    <w:semiHidden/>
    <w:rsid w:val="005D6DDD"/>
    <w:pPr>
      <w:ind w:firstLine="210"/>
    </w:pPr>
  </w:style>
  <w:style w:type="character" w:customStyle="1" w:styleId="BodyTextFirstIndent2Char">
    <w:name w:val="Body Text First Indent 2 Char"/>
    <w:basedOn w:val="BodyTextIndentChar"/>
    <w:link w:val="BodyTextFirstIndent2"/>
    <w:semiHidden/>
    <w:rsid w:val="005D6DDD"/>
    <w:rPr>
      <w:rFonts w:ascii="Times New Roman" w:eastAsia="Times New Roman" w:hAnsi="Times New Roman" w:cs="Times New Roman"/>
    </w:rPr>
  </w:style>
  <w:style w:type="paragraph" w:styleId="BodyTextIndent2">
    <w:name w:val="Body Text Indent 2"/>
    <w:basedOn w:val="Normal"/>
    <w:link w:val="BodyTextIndent2Char"/>
    <w:semiHidden/>
    <w:rsid w:val="005D6DDD"/>
    <w:pPr>
      <w:spacing w:after="120" w:line="480" w:lineRule="auto"/>
      <w:ind w:left="360"/>
    </w:pPr>
  </w:style>
  <w:style w:type="character" w:customStyle="1" w:styleId="BodyTextIndent2Char">
    <w:name w:val="Body Text Indent 2 Char"/>
    <w:basedOn w:val="DefaultParagraphFont"/>
    <w:link w:val="BodyTextIndent2"/>
    <w:semiHidden/>
    <w:rsid w:val="005D6DDD"/>
    <w:rPr>
      <w:rFonts w:ascii="Times New Roman" w:eastAsia="Times New Roman" w:hAnsi="Times New Roman" w:cs="Times New Roman"/>
    </w:rPr>
  </w:style>
  <w:style w:type="paragraph" w:styleId="BodyTextIndent3">
    <w:name w:val="Body Text Indent 3"/>
    <w:basedOn w:val="Normal"/>
    <w:link w:val="BodyTextIndent3Char"/>
    <w:semiHidden/>
    <w:rsid w:val="005D6DDD"/>
    <w:pPr>
      <w:spacing w:after="120"/>
      <w:ind w:left="360"/>
    </w:pPr>
    <w:rPr>
      <w:sz w:val="16"/>
      <w:szCs w:val="16"/>
    </w:rPr>
  </w:style>
  <w:style w:type="character" w:customStyle="1" w:styleId="BodyTextIndent3Char">
    <w:name w:val="Body Text Indent 3 Char"/>
    <w:basedOn w:val="DefaultParagraphFont"/>
    <w:link w:val="BodyTextIndent3"/>
    <w:semiHidden/>
    <w:rsid w:val="005D6DDD"/>
    <w:rPr>
      <w:rFonts w:ascii="Times New Roman" w:eastAsia="Times New Roman" w:hAnsi="Times New Roman" w:cs="Times New Roman"/>
      <w:sz w:val="16"/>
      <w:szCs w:val="16"/>
    </w:rPr>
  </w:style>
  <w:style w:type="paragraph" w:styleId="Closing">
    <w:name w:val="Closing"/>
    <w:basedOn w:val="Normal"/>
    <w:link w:val="ClosingChar"/>
    <w:semiHidden/>
    <w:rsid w:val="005D6DDD"/>
    <w:pPr>
      <w:ind w:left="4320"/>
    </w:pPr>
  </w:style>
  <w:style w:type="character" w:customStyle="1" w:styleId="ClosingChar">
    <w:name w:val="Closing Char"/>
    <w:basedOn w:val="DefaultParagraphFont"/>
    <w:link w:val="Closing"/>
    <w:semiHidden/>
    <w:rsid w:val="005D6DDD"/>
    <w:rPr>
      <w:rFonts w:ascii="Times New Roman" w:eastAsia="Times New Roman" w:hAnsi="Times New Roman" w:cs="Times New Roman"/>
    </w:rPr>
  </w:style>
  <w:style w:type="paragraph" w:styleId="Date">
    <w:name w:val="Date"/>
    <w:basedOn w:val="Normal"/>
    <w:next w:val="Normal"/>
    <w:link w:val="DateChar"/>
    <w:semiHidden/>
    <w:rsid w:val="005D6DDD"/>
  </w:style>
  <w:style w:type="character" w:customStyle="1" w:styleId="DateChar">
    <w:name w:val="Date Char"/>
    <w:basedOn w:val="DefaultParagraphFont"/>
    <w:link w:val="Date"/>
    <w:semiHidden/>
    <w:rsid w:val="005D6DDD"/>
    <w:rPr>
      <w:rFonts w:ascii="Times New Roman" w:eastAsia="Times New Roman" w:hAnsi="Times New Roman" w:cs="Times New Roman"/>
    </w:rPr>
  </w:style>
  <w:style w:type="paragraph" w:styleId="DocumentMap">
    <w:name w:val="Document Map"/>
    <w:basedOn w:val="Normal"/>
    <w:link w:val="DocumentMapChar"/>
    <w:semiHidden/>
    <w:rsid w:val="005D6DDD"/>
    <w:rPr>
      <w:rFonts w:ascii="Tahoma" w:hAnsi="Tahoma" w:cs="Tahoma"/>
      <w:sz w:val="16"/>
      <w:szCs w:val="16"/>
    </w:rPr>
  </w:style>
  <w:style w:type="character" w:customStyle="1" w:styleId="DocumentMapChar">
    <w:name w:val="Document Map Char"/>
    <w:basedOn w:val="DefaultParagraphFont"/>
    <w:link w:val="DocumentMap"/>
    <w:semiHidden/>
    <w:rsid w:val="005D6DDD"/>
    <w:rPr>
      <w:rFonts w:ascii="Tahoma" w:eastAsia="Times New Roman" w:hAnsi="Tahoma" w:cs="Tahoma"/>
      <w:sz w:val="16"/>
      <w:szCs w:val="16"/>
    </w:rPr>
  </w:style>
  <w:style w:type="paragraph" w:styleId="EmailSignature">
    <w:name w:val="E-mail Signature"/>
    <w:basedOn w:val="Normal"/>
    <w:link w:val="EmailSignatureChar"/>
    <w:semiHidden/>
    <w:rsid w:val="005D6DDD"/>
  </w:style>
  <w:style w:type="character" w:customStyle="1" w:styleId="EmailSignatureChar">
    <w:name w:val="Email Signature Char"/>
    <w:basedOn w:val="DefaultParagraphFont"/>
    <w:link w:val="EmailSignature"/>
    <w:semiHidden/>
    <w:rsid w:val="005D6DDD"/>
    <w:rPr>
      <w:rFonts w:ascii="Times New Roman" w:eastAsia="Times New Roman" w:hAnsi="Times New Roman" w:cs="Times New Roman"/>
    </w:rPr>
  </w:style>
  <w:style w:type="paragraph" w:styleId="EndnoteText">
    <w:name w:val="endnote text"/>
    <w:basedOn w:val="Normal"/>
    <w:link w:val="EndnoteTextChar"/>
    <w:semiHidden/>
    <w:rsid w:val="005D6DDD"/>
    <w:rPr>
      <w:sz w:val="20"/>
    </w:rPr>
  </w:style>
  <w:style w:type="character" w:customStyle="1" w:styleId="EndnoteTextChar">
    <w:name w:val="Endnote Text Char"/>
    <w:basedOn w:val="DefaultParagraphFont"/>
    <w:link w:val="EndnoteText"/>
    <w:semiHidden/>
    <w:rsid w:val="005D6DDD"/>
    <w:rPr>
      <w:rFonts w:ascii="Times New Roman" w:eastAsia="Times New Roman" w:hAnsi="Times New Roman" w:cs="Times New Roman"/>
      <w:sz w:val="20"/>
    </w:rPr>
  </w:style>
  <w:style w:type="paragraph" w:styleId="EnvelopeAddress">
    <w:name w:val="envelope address"/>
    <w:basedOn w:val="Normal"/>
    <w:semiHidden/>
    <w:rsid w:val="005D6DDD"/>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5D6DDD"/>
    <w:rPr>
      <w:rFonts w:ascii="Cambria" w:hAnsi="Cambria"/>
      <w:sz w:val="20"/>
    </w:rPr>
  </w:style>
  <w:style w:type="paragraph" w:styleId="FootnoteText">
    <w:name w:val="footnote text"/>
    <w:basedOn w:val="Normal"/>
    <w:link w:val="FootnoteTextChar"/>
    <w:semiHidden/>
    <w:rsid w:val="005D6DDD"/>
    <w:rPr>
      <w:sz w:val="20"/>
    </w:rPr>
  </w:style>
  <w:style w:type="character" w:customStyle="1" w:styleId="FootnoteTextChar">
    <w:name w:val="Footnote Text Char"/>
    <w:basedOn w:val="DefaultParagraphFont"/>
    <w:link w:val="FootnoteText"/>
    <w:semiHidden/>
    <w:rsid w:val="005D6DDD"/>
    <w:rPr>
      <w:rFonts w:ascii="Times New Roman" w:eastAsia="Times New Roman" w:hAnsi="Times New Roman" w:cs="Times New Roman"/>
      <w:sz w:val="20"/>
    </w:rPr>
  </w:style>
  <w:style w:type="paragraph" w:styleId="HTMLAddress">
    <w:name w:val="HTML Address"/>
    <w:basedOn w:val="Normal"/>
    <w:link w:val="HTMLAddressChar"/>
    <w:semiHidden/>
    <w:rsid w:val="005D6DDD"/>
    <w:rPr>
      <w:i/>
      <w:iCs/>
    </w:rPr>
  </w:style>
  <w:style w:type="character" w:customStyle="1" w:styleId="HTMLAddressChar">
    <w:name w:val="HTML Address Char"/>
    <w:basedOn w:val="DefaultParagraphFont"/>
    <w:link w:val="HTMLAddress"/>
    <w:semiHidden/>
    <w:rsid w:val="005D6DDD"/>
    <w:rPr>
      <w:rFonts w:ascii="Times New Roman" w:eastAsia="Times New Roman" w:hAnsi="Times New Roman" w:cs="Times New Roman"/>
      <w:i/>
      <w:iCs/>
    </w:rPr>
  </w:style>
  <w:style w:type="paragraph" w:styleId="HTMLPreformatted">
    <w:name w:val="HTML Preformatted"/>
    <w:basedOn w:val="Normal"/>
    <w:link w:val="HTMLPreformattedChar"/>
    <w:semiHidden/>
    <w:rsid w:val="005D6DDD"/>
    <w:rPr>
      <w:rFonts w:ascii="Courier New" w:hAnsi="Courier New" w:cs="Courier New"/>
      <w:sz w:val="20"/>
    </w:rPr>
  </w:style>
  <w:style w:type="character" w:customStyle="1" w:styleId="HTMLPreformattedChar">
    <w:name w:val="HTML Preformatted Char"/>
    <w:basedOn w:val="DefaultParagraphFont"/>
    <w:link w:val="HTMLPreformatted"/>
    <w:semiHidden/>
    <w:rsid w:val="005D6DDD"/>
    <w:rPr>
      <w:rFonts w:ascii="Courier New" w:eastAsia="Times New Roman" w:hAnsi="Courier New" w:cs="Courier New"/>
      <w:sz w:val="20"/>
    </w:rPr>
  </w:style>
  <w:style w:type="paragraph" w:styleId="Index1">
    <w:name w:val="index 1"/>
    <w:basedOn w:val="Normal"/>
    <w:next w:val="Normal"/>
    <w:autoRedefine/>
    <w:semiHidden/>
    <w:rsid w:val="005D6DDD"/>
    <w:pPr>
      <w:ind w:left="240" w:hanging="240"/>
    </w:pPr>
  </w:style>
  <w:style w:type="paragraph" w:styleId="Index2">
    <w:name w:val="index 2"/>
    <w:basedOn w:val="Normal"/>
    <w:next w:val="Normal"/>
    <w:autoRedefine/>
    <w:semiHidden/>
    <w:rsid w:val="005D6DDD"/>
    <w:pPr>
      <w:ind w:left="480" w:hanging="240"/>
    </w:pPr>
  </w:style>
  <w:style w:type="paragraph" w:styleId="Index3">
    <w:name w:val="index 3"/>
    <w:basedOn w:val="Normal"/>
    <w:next w:val="Normal"/>
    <w:autoRedefine/>
    <w:semiHidden/>
    <w:rsid w:val="005D6DDD"/>
    <w:pPr>
      <w:ind w:left="720" w:hanging="240"/>
    </w:pPr>
  </w:style>
  <w:style w:type="paragraph" w:styleId="Index4">
    <w:name w:val="index 4"/>
    <w:basedOn w:val="Normal"/>
    <w:next w:val="Normal"/>
    <w:autoRedefine/>
    <w:semiHidden/>
    <w:rsid w:val="005D6DDD"/>
    <w:pPr>
      <w:ind w:left="960" w:hanging="240"/>
    </w:pPr>
  </w:style>
  <w:style w:type="paragraph" w:styleId="Index5">
    <w:name w:val="index 5"/>
    <w:basedOn w:val="Normal"/>
    <w:next w:val="Normal"/>
    <w:autoRedefine/>
    <w:semiHidden/>
    <w:rsid w:val="005D6DDD"/>
    <w:pPr>
      <w:ind w:left="1200" w:hanging="240"/>
    </w:pPr>
  </w:style>
  <w:style w:type="paragraph" w:styleId="Index6">
    <w:name w:val="index 6"/>
    <w:basedOn w:val="Normal"/>
    <w:next w:val="Normal"/>
    <w:autoRedefine/>
    <w:semiHidden/>
    <w:rsid w:val="005D6DDD"/>
    <w:pPr>
      <w:ind w:left="1440" w:hanging="240"/>
    </w:pPr>
  </w:style>
  <w:style w:type="paragraph" w:styleId="Index7">
    <w:name w:val="index 7"/>
    <w:basedOn w:val="Normal"/>
    <w:next w:val="Normal"/>
    <w:autoRedefine/>
    <w:semiHidden/>
    <w:rsid w:val="005D6DDD"/>
    <w:pPr>
      <w:ind w:left="1680" w:hanging="240"/>
    </w:pPr>
  </w:style>
  <w:style w:type="paragraph" w:styleId="Index8">
    <w:name w:val="index 8"/>
    <w:basedOn w:val="Normal"/>
    <w:next w:val="Normal"/>
    <w:autoRedefine/>
    <w:semiHidden/>
    <w:rsid w:val="005D6DDD"/>
    <w:pPr>
      <w:ind w:left="1920" w:hanging="240"/>
    </w:pPr>
  </w:style>
  <w:style w:type="paragraph" w:styleId="Index9">
    <w:name w:val="index 9"/>
    <w:basedOn w:val="Normal"/>
    <w:next w:val="Normal"/>
    <w:autoRedefine/>
    <w:semiHidden/>
    <w:rsid w:val="005D6DDD"/>
    <w:pPr>
      <w:ind w:left="2160" w:hanging="240"/>
    </w:pPr>
  </w:style>
  <w:style w:type="paragraph" w:styleId="IndexHeading">
    <w:name w:val="index heading"/>
    <w:basedOn w:val="Normal"/>
    <w:next w:val="Index1"/>
    <w:semiHidden/>
    <w:rsid w:val="005D6DDD"/>
    <w:rPr>
      <w:rFonts w:ascii="Cambria" w:hAnsi="Cambria"/>
      <w:b/>
      <w:bCs/>
    </w:rPr>
  </w:style>
  <w:style w:type="paragraph" w:styleId="IntenseQuote">
    <w:name w:val="Intense Quote"/>
    <w:basedOn w:val="Normal"/>
    <w:next w:val="Normal"/>
    <w:link w:val="IntenseQuoteChar"/>
    <w:uiPriority w:val="30"/>
    <w:qFormat/>
    <w:rsid w:val="005D6DD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D6DDD"/>
    <w:rPr>
      <w:rFonts w:ascii="Times New Roman" w:eastAsia="Times New Roman" w:hAnsi="Times New Roman" w:cs="Times New Roman"/>
      <w:b/>
      <w:bCs/>
      <w:i/>
      <w:iCs/>
      <w:color w:val="4F81BD"/>
    </w:rPr>
  </w:style>
  <w:style w:type="paragraph" w:styleId="List">
    <w:name w:val="List"/>
    <w:basedOn w:val="Normal"/>
    <w:semiHidden/>
    <w:rsid w:val="005D6DDD"/>
    <w:pPr>
      <w:ind w:left="360" w:hanging="360"/>
      <w:contextualSpacing/>
    </w:pPr>
  </w:style>
  <w:style w:type="paragraph" w:styleId="List2">
    <w:name w:val="List 2"/>
    <w:basedOn w:val="Normal"/>
    <w:semiHidden/>
    <w:rsid w:val="005D6DDD"/>
    <w:pPr>
      <w:ind w:left="720" w:hanging="360"/>
      <w:contextualSpacing/>
    </w:pPr>
  </w:style>
  <w:style w:type="paragraph" w:styleId="List3">
    <w:name w:val="List 3"/>
    <w:basedOn w:val="Normal"/>
    <w:semiHidden/>
    <w:rsid w:val="005D6DDD"/>
    <w:pPr>
      <w:ind w:left="1080" w:hanging="360"/>
      <w:contextualSpacing/>
    </w:pPr>
  </w:style>
  <w:style w:type="paragraph" w:styleId="List4">
    <w:name w:val="List 4"/>
    <w:basedOn w:val="Normal"/>
    <w:semiHidden/>
    <w:rsid w:val="005D6DDD"/>
    <w:pPr>
      <w:ind w:left="1440" w:hanging="360"/>
      <w:contextualSpacing/>
    </w:pPr>
  </w:style>
  <w:style w:type="paragraph" w:styleId="List5">
    <w:name w:val="List 5"/>
    <w:basedOn w:val="Normal"/>
    <w:semiHidden/>
    <w:rsid w:val="005D6DDD"/>
    <w:pPr>
      <w:ind w:left="1800" w:hanging="360"/>
      <w:contextualSpacing/>
    </w:pPr>
  </w:style>
  <w:style w:type="paragraph" w:styleId="ListBullet">
    <w:name w:val="List Bullet"/>
    <w:basedOn w:val="Normal"/>
    <w:semiHidden/>
    <w:rsid w:val="005D6DDD"/>
    <w:pPr>
      <w:numPr>
        <w:numId w:val="26"/>
      </w:numPr>
      <w:contextualSpacing/>
    </w:pPr>
  </w:style>
  <w:style w:type="paragraph" w:styleId="ListBullet2">
    <w:name w:val="List Bullet 2"/>
    <w:basedOn w:val="Normal"/>
    <w:semiHidden/>
    <w:rsid w:val="005D6DDD"/>
    <w:pPr>
      <w:numPr>
        <w:numId w:val="27"/>
      </w:numPr>
      <w:contextualSpacing/>
    </w:pPr>
  </w:style>
  <w:style w:type="paragraph" w:styleId="ListBullet3">
    <w:name w:val="List Bullet 3"/>
    <w:basedOn w:val="Normal"/>
    <w:semiHidden/>
    <w:rsid w:val="005D6DDD"/>
    <w:pPr>
      <w:numPr>
        <w:numId w:val="28"/>
      </w:numPr>
      <w:contextualSpacing/>
    </w:pPr>
  </w:style>
  <w:style w:type="paragraph" w:styleId="ListBullet4">
    <w:name w:val="List Bullet 4"/>
    <w:basedOn w:val="Normal"/>
    <w:semiHidden/>
    <w:rsid w:val="005D6DDD"/>
    <w:pPr>
      <w:numPr>
        <w:numId w:val="29"/>
      </w:numPr>
      <w:contextualSpacing/>
    </w:pPr>
  </w:style>
  <w:style w:type="paragraph" w:styleId="ListBullet5">
    <w:name w:val="List Bullet 5"/>
    <w:basedOn w:val="Normal"/>
    <w:semiHidden/>
    <w:rsid w:val="005D6DDD"/>
    <w:pPr>
      <w:numPr>
        <w:numId w:val="30"/>
      </w:numPr>
      <w:contextualSpacing/>
    </w:pPr>
  </w:style>
  <w:style w:type="paragraph" w:styleId="ListContinue">
    <w:name w:val="List Continue"/>
    <w:basedOn w:val="Normal"/>
    <w:semiHidden/>
    <w:rsid w:val="005D6DDD"/>
    <w:pPr>
      <w:spacing w:after="120"/>
      <w:ind w:left="360"/>
      <w:contextualSpacing/>
    </w:pPr>
  </w:style>
  <w:style w:type="paragraph" w:styleId="ListContinue2">
    <w:name w:val="List Continue 2"/>
    <w:basedOn w:val="Normal"/>
    <w:semiHidden/>
    <w:rsid w:val="005D6DDD"/>
    <w:pPr>
      <w:spacing w:after="120"/>
      <w:ind w:left="720"/>
      <w:contextualSpacing/>
    </w:pPr>
  </w:style>
  <w:style w:type="paragraph" w:styleId="ListContinue3">
    <w:name w:val="List Continue 3"/>
    <w:basedOn w:val="Normal"/>
    <w:semiHidden/>
    <w:rsid w:val="005D6DDD"/>
    <w:pPr>
      <w:spacing w:after="120"/>
      <w:ind w:left="1080"/>
      <w:contextualSpacing/>
    </w:pPr>
  </w:style>
  <w:style w:type="paragraph" w:styleId="ListContinue4">
    <w:name w:val="List Continue 4"/>
    <w:basedOn w:val="Normal"/>
    <w:semiHidden/>
    <w:rsid w:val="005D6DDD"/>
    <w:pPr>
      <w:spacing w:after="120"/>
      <w:ind w:left="1440"/>
      <w:contextualSpacing/>
    </w:pPr>
  </w:style>
  <w:style w:type="paragraph" w:styleId="ListContinue5">
    <w:name w:val="List Continue 5"/>
    <w:basedOn w:val="Normal"/>
    <w:semiHidden/>
    <w:rsid w:val="005D6DDD"/>
    <w:pPr>
      <w:spacing w:after="120"/>
      <w:ind w:left="1800"/>
      <w:contextualSpacing/>
    </w:pPr>
  </w:style>
  <w:style w:type="paragraph" w:styleId="ListNumber">
    <w:name w:val="List Number"/>
    <w:basedOn w:val="Normal"/>
    <w:semiHidden/>
    <w:rsid w:val="005D6DDD"/>
    <w:pPr>
      <w:numPr>
        <w:numId w:val="31"/>
      </w:numPr>
      <w:contextualSpacing/>
    </w:pPr>
  </w:style>
  <w:style w:type="paragraph" w:styleId="ListNumber2">
    <w:name w:val="List Number 2"/>
    <w:basedOn w:val="Normal"/>
    <w:semiHidden/>
    <w:rsid w:val="005D6DDD"/>
    <w:pPr>
      <w:numPr>
        <w:numId w:val="32"/>
      </w:numPr>
      <w:contextualSpacing/>
    </w:pPr>
  </w:style>
  <w:style w:type="paragraph" w:styleId="ListNumber3">
    <w:name w:val="List Number 3"/>
    <w:basedOn w:val="Normal"/>
    <w:semiHidden/>
    <w:rsid w:val="005D6DDD"/>
    <w:pPr>
      <w:numPr>
        <w:numId w:val="33"/>
      </w:numPr>
      <w:contextualSpacing/>
    </w:pPr>
  </w:style>
  <w:style w:type="paragraph" w:styleId="ListNumber4">
    <w:name w:val="List Number 4"/>
    <w:basedOn w:val="Normal"/>
    <w:semiHidden/>
    <w:rsid w:val="005D6DDD"/>
    <w:pPr>
      <w:numPr>
        <w:numId w:val="34"/>
      </w:numPr>
      <w:contextualSpacing/>
    </w:pPr>
  </w:style>
  <w:style w:type="paragraph" w:styleId="ListNumber5">
    <w:name w:val="List Number 5"/>
    <w:basedOn w:val="Normal"/>
    <w:semiHidden/>
    <w:rsid w:val="005D6DDD"/>
    <w:pPr>
      <w:numPr>
        <w:numId w:val="35"/>
      </w:numPr>
      <w:contextualSpacing/>
    </w:pPr>
  </w:style>
  <w:style w:type="paragraph" w:styleId="MacroText">
    <w:name w:val="macro"/>
    <w:link w:val="MacroTextChar"/>
    <w:semiHidden/>
    <w:rsid w:val="005D6DD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semiHidden/>
    <w:rsid w:val="005D6DDD"/>
    <w:rPr>
      <w:rFonts w:ascii="Courier New" w:eastAsia="Times New Roman" w:hAnsi="Courier New" w:cs="Courier New"/>
      <w:sz w:val="20"/>
      <w:szCs w:val="20"/>
      <w:lang w:val="en-US"/>
    </w:rPr>
  </w:style>
  <w:style w:type="paragraph" w:styleId="MessageHeader">
    <w:name w:val="Message Header"/>
    <w:basedOn w:val="Normal"/>
    <w:link w:val="MessageHeaderChar"/>
    <w:semiHidden/>
    <w:rsid w:val="005D6DD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5D6DDD"/>
    <w:rPr>
      <w:rFonts w:ascii="Cambria" w:eastAsia="Times New Roman" w:hAnsi="Cambria" w:cs="Times New Roman"/>
      <w:shd w:val="pct20" w:color="auto" w:fill="auto"/>
    </w:rPr>
  </w:style>
  <w:style w:type="paragraph" w:styleId="NoSpacing">
    <w:name w:val="No Spacing"/>
    <w:uiPriority w:val="1"/>
    <w:qFormat/>
    <w:rsid w:val="005D6DDD"/>
    <w:rPr>
      <w:rFonts w:ascii="Times New Roman" w:eastAsia="Times New Roman" w:hAnsi="Times New Roman" w:cs="Times New Roman"/>
      <w:szCs w:val="20"/>
      <w:lang w:val="en-US"/>
    </w:rPr>
  </w:style>
  <w:style w:type="paragraph" w:styleId="NormalIndent">
    <w:name w:val="Normal Indent"/>
    <w:basedOn w:val="Normal"/>
    <w:semiHidden/>
    <w:rsid w:val="005D6DDD"/>
    <w:pPr>
      <w:ind w:left="720"/>
    </w:pPr>
  </w:style>
  <w:style w:type="paragraph" w:styleId="NoteHeading">
    <w:name w:val="Note Heading"/>
    <w:basedOn w:val="Normal"/>
    <w:next w:val="Normal"/>
    <w:link w:val="NoteHeadingChar"/>
    <w:semiHidden/>
    <w:rsid w:val="005D6DDD"/>
  </w:style>
  <w:style w:type="character" w:customStyle="1" w:styleId="NoteHeadingChar">
    <w:name w:val="Note Heading Char"/>
    <w:basedOn w:val="DefaultParagraphFont"/>
    <w:link w:val="NoteHeading"/>
    <w:semiHidden/>
    <w:rsid w:val="005D6DDD"/>
    <w:rPr>
      <w:rFonts w:ascii="Times New Roman" w:eastAsia="Times New Roman" w:hAnsi="Times New Roman" w:cs="Times New Roman"/>
    </w:rPr>
  </w:style>
  <w:style w:type="paragraph" w:styleId="PlainText">
    <w:name w:val="Plain Text"/>
    <w:basedOn w:val="Normal"/>
    <w:link w:val="PlainTextChar"/>
    <w:semiHidden/>
    <w:rsid w:val="005D6DDD"/>
    <w:rPr>
      <w:rFonts w:ascii="Courier New" w:hAnsi="Courier New" w:cs="Courier New"/>
      <w:sz w:val="20"/>
    </w:rPr>
  </w:style>
  <w:style w:type="character" w:customStyle="1" w:styleId="PlainTextChar">
    <w:name w:val="Plain Text Char"/>
    <w:basedOn w:val="DefaultParagraphFont"/>
    <w:link w:val="PlainText"/>
    <w:semiHidden/>
    <w:rsid w:val="005D6DDD"/>
    <w:rPr>
      <w:rFonts w:ascii="Courier New" w:eastAsia="Times New Roman" w:hAnsi="Courier New" w:cs="Courier New"/>
      <w:sz w:val="20"/>
    </w:rPr>
  </w:style>
  <w:style w:type="paragraph" w:styleId="Quote">
    <w:name w:val="Quote"/>
    <w:basedOn w:val="Normal"/>
    <w:next w:val="Normal"/>
    <w:link w:val="QuoteChar"/>
    <w:uiPriority w:val="29"/>
    <w:qFormat/>
    <w:rsid w:val="005D6DDD"/>
    <w:rPr>
      <w:i/>
      <w:iCs/>
      <w:color w:val="000000"/>
    </w:rPr>
  </w:style>
  <w:style w:type="character" w:customStyle="1" w:styleId="QuoteChar">
    <w:name w:val="Quote Char"/>
    <w:basedOn w:val="DefaultParagraphFont"/>
    <w:link w:val="Quote"/>
    <w:uiPriority w:val="29"/>
    <w:rsid w:val="005D6DDD"/>
    <w:rPr>
      <w:rFonts w:ascii="Times New Roman" w:eastAsia="Times New Roman" w:hAnsi="Times New Roman" w:cs="Times New Roman"/>
      <w:i/>
      <w:iCs/>
      <w:color w:val="000000"/>
    </w:rPr>
  </w:style>
  <w:style w:type="paragraph" w:styleId="Salutation">
    <w:name w:val="Salutation"/>
    <w:basedOn w:val="Normal"/>
    <w:next w:val="Normal"/>
    <w:link w:val="SalutationChar"/>
    <w:semiHidden/>
    <w:rsid w:val="005D6DDD"/>
  </w:style>
  <w:style w:type="character" w:customStyle="1" w:styleId="SalutationChar">
    <w:name w:val="Salutation Char"/>
    <w:basedOn w:val="DefaultParagraphFont"/>
    <w:link w:val="Salutation"/>
    <w:semiHidden/>
    <w:rsid w:val="005D6DDD"/>
    <w:rPr>
      <w:rFonts w:ascii="Times New Roman" w:eastAsia="Times New Roman" w:hAnsi="Times New Roman" w:cs="Times New Roman"/>
    </w:rPr>
  </w:style>
  <w:style w:type="paragraph" w:styleId="Signature">
    <w:name w:val="Signature"/>
    <w:basedOn w:val="Normal"/>
    <w:link w:val="SignatureChar"/>
    <w:semiHidden/>
    <w:rsid w:val="005D6DDD"/>
    <w:pPr>
      <w:ind w:left="4320"/>
    </w:pPr>
  </w:style>
  <w:style w:type="character" w:customStyle="1" w:styleId="SignatureChar">
    <w:name w:val="Signature Char"/>
    <w:basedOn w:val="DefaultParagraphFont"/>
    <w:link w:val="Signature"/>
    <w:semiHidden/>
    <w:rsid w:val="005D6DDD"/>
    <w:rPr>
      <w:rFonts w:ascii="Times New Roman" w:eastAsia="Times New Roman" w:hAnsi="Times New Roman" w:cs="Times New Roman"/>
    </w:rPr>
  </w:style>
  <w:style w:type="paragraph" w:styleId="Subtitle">
    <w:name w:val="Subtitle"/>
    <w:basedOn w:val="Normal"/>
    <w:next w:val="Normal"/>
    <w:link w:val="SubtitleChar"/>
    <w:qFormat/>
    <w:rsid w:val="005D6DDD"/>
    <w:pPr>
      <w:spacing w:after="60"/>
      <w:jc w:val="center"/>
      <w:outlineLvl w:val="1"/>
    </w:pPr>
    <w:rPr>
      <w:rFonts w:ascii="Cambria" w:hAnsi="Cambria"/>
    </w:rPr>
  </w:style>
  <w:style w:type="character" w:customStyle="1" w:styleId="SubtitleChar">
    <w:name w:val="Subtitle Char"/>
    <w:basedOn w:val="DefaultParagraphFont"/>
    <w:link w:val="Subtitle"/>
    <w:rsid w:val="005D6DDD"/>
    <w:rPr>
      <w:rFonts w:ascii="Cambria" w:eastAsia="Times New Roman" w:hAnsi="Cambria" w:cs="Times New Roman"/>
    </w:rPr>
  </w:style>
  <w:style w:type="paragraph" w:styleId="TableofAuthorities">
    <w:name w:val="table of authorities"/>
    <w:basedOn w:val="Normal"/>
    <w:next w:val="Normal"/>
    <w:semiHidden/>
    <w:rsid w:val="005D6DDD"/>
    <w:pPr>
      <w:ind w:left="240" w:hanging="240"/>
    </w:pPr>
  </w:style>
  <w:style w:type="paragraph" w:styleId="TableofFigures">
    <w:name w:val="table of figures"/>
    <w:basedOn w:val="Normal"/>
    <w:next w:val="Normal"/>
    <w:semiHidden/>
    <w:rsid w:val="005D6DDD"/>
  </w:style>
  <w:style w:type="paragraph" w:styleId="TOAHeading">
    <w:name w:val="toa heading"/>
    <w:basedOn w:val="Normal"/>
    <w:next w:val="Normal"/>
    <w:semiHidden/>
    <w:rsid w:val="005D6DDD"/>
    <w:pPr>
      <w:spacing w:before="120"/>
    </w:pPr>
    <w:rPr>
      <w:rFonts w:ascii="Cambria" w:hAnsi="Cambria"/>
      <w:b/>
      <w:bCs/>
    </w:rPr>
  </w:style>
  <w:style w:type="paragraph" w:styleId="TOC1">
    <w:name w:val="toc 1"/>
    <w:basedOn w:val="Normal"/>
    <w:next w:val="Normal"/>
    <w:autoRedefine/>
    <w:semiHidden/>
    <w:rsid w:val="005D6DDD"/>
  </w:style>
  <w:style w:type="paragraph" w:styleId="TOC2">
    <w:name w:val="toc 2"/>
    <w:basedOn w:val="Normal"/>
    <w:next w:val="Normal"/>
    <w:autoRedefine/>
    <w:semiHidden/>
    <w:rsid w:val="005D6DDD"/>
    <w:pPr>
      <w:ind w:left="240"/>
    </w:pPr>
  </w:style>
  <w:style w:type="paragraph" w:styleId="TOC3">
    <w:name w:val="toc 3"/>
    <w:basedOn w:val="Normal"/>
    <w:next w:val="Normal"/>
    <w:autoRedefine/>
    <w:semiHidden/>
    <w:rsid w:val="005D6DDD"/>
    <w:pPr>
      <w:ind w:left="480"/>
    </w:pPr>
  </w:style>
  <w:style w:type="paragraph" w:styleId="TOC4">
    <w:name w:val="toc 4"/>
    <w:basedOn w:val="Normal"/>
    <w:next w:val="Normal"/>
    <w:autoRedefine/>
    <w:semiHidden/>
    <w:rsid w:val="005D6DDD"/>
    <w:pPr>
      <w:ind w:left="720"/>
    </w:pPr>
  </w:style>
  <w:style w:type="paragraph" w:styleId="TOC5">
    <w:name w:val="toc 5"/>
    <w:basedOn w:val="Normal"/>
    <w:next w:val="Normal"/>
    <w:autoRedefine/>
    <w:semiHidden/>
    <w:rsid w:val="005D6DDD"/>
    <w:pPr>
      <w:ind w:left="960"/>
    </w:pPr>
  </w:style>
  <w:style w:type="paragraph" w:styleId="TOC6">
    <w:name w:val="toc 6"/>
    <w:basedOn w:val="Normal"/>
    <w:next w:val="Normal"/>
    <w:autoRedefine/>
    <w:semiHidden/>
    <w:rsid w:val="005D6DDD"/>
    <w:pPr>
      <w:ind w:left="1200"/>
    </w:pPr>
  </w:style>
  <w:style w:type="paragraph" w:styleId="TOC7">
    <w:name w:val="toc 7"/>
    <w:basedOn w:val="Normal"/>
    <w:next w:val="Normal"/>
    <w:autoRedefine/>
    <w:semiHidden/>
    <w:rsid w:val="005D6DDD"/>
    <w:pPr>
      <w:ind w:left="1440"/>
    </w:pPr>
  </w:style>
  <w:style w:type="paragraph" w:styleId="TOC8">
    <w:name w:val="toc 8"/>
    <w:basedOn w:val="Normal"/>
    <w:next w:val="Normal"/>
    <w:autoRedefine/>
    <w:semiHidden/>
    <w:rsid w:val="005D6DDD"/>
    <w:pPr>
      <w:ind w:left="1680"/>
    </w:pPr>
  </w:style>
  <w:style w:type="paragraph" w:styleId="TOC9">
    <w:name w:val="toc 9"/>
    <w:basedOn w:val="Normal"/>
    <w:next w:val="Normal"/>
    <w:autoRedefine/>
    <w:semiHidden/>
    <w:rsid w:val="005D6DDD"/>
    <w:pPr>
      <w:ind w:left="1920"/>
    </w:pPr>
  </w:style>
  <w:style w:type="paragraph" w:styleId="TOCHeading">
    <w:name w:val="TOC Heading"/>
    <w:basedOn w:val="Heading1"/>
    <w:next w:val="Normal"/>
    <w:uiPriority w:val="39"/>
    <w:semiHidden/>
    <w:unhideWhenUsed/>
    <w:qFormat/>
    <w:rsid w:val="005D6DDD"/>
    <w:pPr>
      <w:keepLines w:val="0"/>
      <w:spacing w:after="60"/>
      <w:outlineLvl w:val="9"/>
    </w:pPr>
    <w:rPr>
      <w:rFonts w:ascii="Cambria" w:eastAsia="Times New Roman" w:hAnsi="Cambria" w:cs="Times New Roman"/>
      <w:b/>
      <w:bCs/>
      <w:color w:val="auto"/>
      <w:kern w:val="32"/>
      <w:lang w:val="en-GB"/>
    </w:rPr>
  </w:style>
  <w:style w:type="paragraph" w:customStyle="1" w:styleId="body-copy-normal">
    <w:name w:val="body-copy-normal"/>
    <w:basedOn w:val="Normal"/>
    <w:rsid w:val="005D6DDD"/>
    <w:pPr>
      <w:spacing w:before="100" w:beforeAutospacing="1" w:after="100" w:afterAutospacing="1"/>
    </w:pPr>
  </w:style>
  <w:style w:type="paragraph" w:customStyle="1" w:styleId="body-copy-ndent">
    <w:name w:val="body-copy-ndent"/>
    <w:basedOn w:val="Normal"/>
    <w:rsid w:val="005D6DDD"/>
    <w:pPr>
      <w:spacing w:before="100" w:beforeAutospacing="1" w:after="100" w:afterAutospacing="1"/>
    </w:pPr>
  </w:style>
  <w:style w:type="character" w:styleId="Strong">
    <w:name w:val="Strong"/>
    <w:uiPriority w:val="22"/>
    <w:qFormat/>
    <w:rsid w:val="005D6DDD"/>
    <w:rPr>
      <w:b/>
      <w:bCs/>
    </w:rPr>
  </w:style>
  <w:style w:type="table" w:styleId="TableGrid">
    <w:name w:val="Table Grid"/>
    <w:basedOn w:val="TableNormal"/>
    <w:rsid w:val="005D6DDD"/>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D6DDD"/>
    <w:pPr>
      <w:spacing w:after="120"/>
      <w:jc w:val="both"/>
    </w:pPr>
    <w:rPr>
      <w:rFonts w:ascii="Calibri" w:eastAsia="Calibri" w:hAnsi="Calibri" w:cs="Calibri"/>
    </w:rPr>
  </w:style>
  <w:style w:type="character" w:customStyle="1" w:styleId="citation">
    <w:name w:val="citation"/>
    <w:basedOn w:val="DefaultParagraphFont"/>
    <w:rsid w:val="000C1318"/>
  </w:style>
  <w:style w:type="character" w:customStyle="1" w:styleId="personname">
    <w:name w:val="person_name"/>
    <w:basedOn w:val="DefaultParagraphFont"/>
    <w:rsid w:val="000C1318"/>
  </w:style>
  <w:style w:type="character" w:customStyle="1" w:styleId="Date1">
    <w:name w:val="Date1"/>
    <w:basedOn w:val="DefaultParagraphFont"/>
    <w:rsid w:val="000C1318"/>
  </w:style>
  <w:style w:type="character" w:customStyle="1" w:styleId="Title1">
    <w:name w:val="Title1"/>
    <w:basedOn w:val="DefaultParagraphFont"/>
    <w:rsid w:val="000C1318"/>
  </w:style>
  <w:style w:type="character" w:customStyle="1" w:styleId="institution">
    <w:name w:val="institution"/>
    <w:basedOn w:val="DefaultParagraphFont"/>
    <w:rsid w:val="000C1318"/>
  </w:style>
  <w:style w:type="character" w:customStyle="1" w:styleId="thesistype">
    <w:name w:val="thesis_type"/>
    <w:basedOn w:val="DefaultParagraphFont"/>
    <w:rsid w:val="000C1318"/>
  </w:style>
  <w:style w:type="character" w:customStyle="1" w:styleId="pages">
    <w:name w:val="pages"/>
    <w:basedOn w:val="DefaultParagraphFont"/>
    <w:rsid w:val="000C1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82542">
      <w:bodyDiv w:val="1"/>
      <w:marLeft w:val="0"/>
      <w:marRight w:val="0"/>
      <w:marTop w:val="0"/>
      <w:marBottom w:val="0"/>
      <w:divBdr>
        <w:top w:val="none" w:sz="0" w:space="0" w:color="auto"/>
        <w:left w:val="none" w:sz="0" w:space="0" w:color="auto"/>
        <w:bottom w:val="none" w:sz="0" w:space="0" w:color="auto"/>
        <w:right w:val="none" w:sz="0" w:space="0" w:color="auto"/>
      </w:divBdr>
    </w:div>
    <w:div w:id="326592033">
      <w:bodyDiv w:val="1"/>
      <w:marLeft w:val="0"/>
      <w:marRight w:val="0"/>
      <w:marTop w:val="0"/>
      <w:marBottom w:val="0"/>
      <w:divBdr>
        <w:top w:val="none" w:sz="0" w:space="0" w:color="auto"/>
        <w:left w:val="none" w:sz="0" w:space="0" w:color="auto"/>
        <w:bottom w:val="none" w:sz="0" w:space="0" w:color="auto"/>
        <w:right w:val="none" w:sz="0" w:space="0" w:color="auto"/>
      </w:divBdr>
    </w:div>
    <w:div w:id="462502426">
      <w:bodyDiv w:val="1"/>
      <w:marLeft w:val="0"/>
      <w:marRight w:val="0"/>
      <w:marTop w:val="0"/>
      <w:marBottom w:val="0"/>
      <w:divBdr>
        <w:top w:val="none" w:sz="0" w:space="0" w:color="auto"/>
        <w:left w:val="none" w:sz="0" w:space="0" w:color="auto"/>
        <w:bottom w:val="none" w:sz="0" w:space="0" w:color="auto"/>
        <w:right w:val="none" w:sz="0" w:space="0" w:color="auto"/>
      </w:divBdr>
    </w:div>
    <w:div w:id="530653262">
      <w:bodyDiv w:val="1"/>
      <w:marLeft w:val="0"/>
      <w:marRight w:val="0"/>
      <w:marTop w:val="0"/>
      <w:marBottom w:val="0"/>
      <w:divBdr>
        <w:top w:val="none" w:sz="0" w:space="0" w:color="auto"/>
        <w:left w:val="none" w:sz="0" w:space="0" w:color="auto"/>
        <w:bottom w:val="none" w:sz="0" w:space="0" w:color="auto"/>
        <w:right w:val="none" w:sz="0" w:space="0" w:color="auto"/>
      </w:divBdr>
    </w:div>
    <w:div w:id="536890357">
      <w:bodyDiv w:val="1"/>
      <w:marLeft w:val="0"/>
      <w:marRight w:val="0"/>
      <w:marTop w:val="0"/>
      <w:marBottom w:val="0"/>
      <w:divBdr>
        <w:top w:val="none" w:sz="0" w:space="0" w:color="auto"/>
        <w:left w:val="none" w:sz="0" w:space="0" w:color="auto"/>
        <w:bottom w:val="none" w:sz="0" w:space="0" w:color="auto"/>
        <w:right w:val="none" w:sz="0" w:space="0" w:color="auto"/>
      </w:divBdr>
    </w:div>
    <w:div w:id="634257666">
      <w:bodyDiv w:val="1"/>
      <w:marLeft w:val="0"/>
      <w:marRight w:val="0"/>
      <w:marTop w:val="0"/>
      <w:marBottom w:val="0"/>
      <w:divBdr>
        <w:top w:val="none" w:sz="0" w:space="0" w:color="auto"/>
        <w:left w:val="none" w:sz="0" w:space="0" w:color="auto"/>
        <w:bottom w:val="none" w:sz="0" w:space="0" w:color="auto"/>
        <w:right w:val="none" w:sz="0" w:space="0" w:color="auto"/>
      </w:divBdr>
    </w:div>
    <w:div w:id="753473494">
      <w:bodyDiv w:val="1"/>
      <w:marLeft w:val="0"/>
      <w:marRight w:val="0"/>
      <w:marTop w:val="0"/>
      <w:marBottom w:val="0"/>
      <w:divBdr>
        <w:top w:val="none" w:sz="0" w:space="0" w:color="auto"/>
        <w:left w:val="none" w:sz="0" w:space="0" w:color="auto"/>
        <w:bottom w:val="none" w:sz="0" w:space="0" w:color="auto"/>
        <w:right w:val="none" w:sz="0" w:space="0" w:color="auto"/>
      </w:divBdr>
    </w:div>
    <w:div w:id="104143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738D-43E4-A04C-8AE6-8D04623A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35084</Words>
  <Characters>199980</Characters>
  <Application>Microsoft Office Word</Application>
  <DocSecurity>0</DocSecurity>
  <Lines>1666</Lines>
  <Paragraphs>469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I. Carracedo</dc:creator>
  <cp:keywords/>
  <dc:description/>
  <cp:lastModifiedBy>L.I. Carracedo</cp:lastModifiedBy>
  <cp:revision>3</cp:revision>
  <cp:lastPrinted>2019-08-21T14:46:00Z</cp:lastPrinted>
  <dcterms:created xsi:type="dcterms:W3CDTF">2021-03-15T18:30:00Z</dcterms:created>
  <dcterms:modified xsi:type="dcterms:W3CDTF">2021-03-15T18:31:00Z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id="jCzmf7Hn"/&gt;&lt;style id="http://www.zotero.org/styles/american-geophysical-union" hasBibliography="1" bibliographyStyleHasBeenSet="1"/&gt;&lt;prefs&gt;&lt;pref name="fieldType" value="Field"/&gt;&lt;pref name="delayC</vt:lpwstr>
  </property>
  <property fmtid="{D5CDD505-2E9C-101B-9397-08002B2CF9AE}" pid="3" name="ZOTERO_PREF_2">
    <vt:lpwstr>itationUpdates" value="true"/&gt;&lt;pref name="dontAskDelayCitationUpdates" value="true"/&gt;&lt;/prefs&gt;&lt;/data&gt;</vt:lpwstr>
  </property>
</Properties>
</file>