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31" w:rsidRDefault="008D7411" w:rsidP="009F2E31">
      <w:pPr>
        <w:keepNext/>
        <w:keepLines/>
        <w:spacing w:after="0"/>
        <w:jc w:val="center"/>
        <w:outlineLvl w:val="0"/>
        <w:rPr>
          <w:rFonts w:ascii="Arial" w:eastAsiaTheme="majorEastAsia" w:hAnsi="Arial" w:cstheme="majorBidi"/>
          <w:b/>
          <w:bCs/>
          <w:sz w:val="28"/>
          <w:szCs w:val="28"/>
          <w:lang w:val="en-US"/>
        </w:rPr>
      </w:pPr>
      <w:r>
        <w:rPr>
          <w:rFonts w:ascii="Arial" w:eastAsiaTheme="majorEastAsia" w:hAnsi="Arial" w:cstheme="majorBidi"/>
          <w:b/>
          <w:bCs/>
          <w:sz w:val="28"/>
          <w:szCs w:val="28"/>
          <w:lang w:val="en-US"/>
        </w:rPr>
        <w:t>Appendix A.</w:t>
      </w:r>
      <w:r w:rsidR="009F2E31">
        <w:rPr>
          <w:rFonts w:ascii="Arial" w:eastAsiaTheme="majorEastAsia" w:hAnsi="Arial" w:cstheme="majorBidi"/>
          <w:b/>
          <w:bCs/>
          <w:sz w:val="28"/>
          <w:szCs w:val="28"/>
          <w:lang w:val="en-US"/>
        </w:rPr>
        <w:t xml:space="preserve"> Calculation methods of sensitive indices</w:t>
      </w:r>
    </w:p>
    <w:p w:rsidR="009F2E31" w:rsidRDefault="009F2E31">
      <w:pPr>
        <w:rPr>
          <w:lang w:val="en-US"/>
        </w:rPr>
      </w:pPr>
    </w:p>
    <w:p w:rsidR="009F2E31" w:rsidRDefault="009F2E31" w:rsidP="00583B77">
      <w:pPr>
        <w:autoSpaceDE w:val="0"/>
        <w:autoSpaceDN w:val="0"/>
        <w:adjustRightInd w:val="0"/>
        <w:spacing w:after="0" w:line="240" w:lineRule="auto"/>
        <w:ind w:firstLine="708"/>
        <w:jc w:val="both"/>
        <w:rPr>
          <w:rFonts w:ascii="Arial" w:hAnsi="Arial" w:cs="Arial"/>
          <w:lang w:val="en-US"/>
        </w:rPr>
      </w:pPr>
      <w:r w:rsidRPr="00E31E76">
        <w:rPr>
          <w:rFonts w:ascii="Arial" w:hAnsi="Arial" w:cs="Arial"/>
          <w:lang w:val="en-US"/>
        </w:rPr>
        <w:t xml:space="preserve">For calculating TDI, </w:t>
      </w:r>
      <w:proofErr w:type="spellStart"/>
      <w:r w:rsidRPr="00E31E76">
        <w:rPr>
          <w:rFonts w:ascii="Arial" w:hAnsi="Arial" w:cs="Arial"/>
          <w:lang w:val="en-US"/>
        </w:rPr>
        <w:t>mTDI</w:t>
      </w:r>
      <w:proofErr w:type="spellEnd"/>
      <w:r w:rsidRPr="00E31E76">
        <w:rPr>
          <w:rFonts w:ascii="Arial" w:hAnsi="Arial" w:cs="Arial"/>
          <w:lang w:val="en-US"/>
        </w:rPr>
        <w:t xml:space="preserve"> and </w:t>
      </w:r>
      <w:proofErr w:type="spellStart"/>
      <w:r w:rsidRPr="00E31E76">
        <w:rPr>
          <w:rFonts w:ascii="Arial" w:hAnsi="Arial" w:cs="Arial"/>
          <w:lang w:val="en-US"/>
        </w:rPr>
        <w:t>pTDI</w:t>
      </w:r>
      <w:proofErr w:type="spellEnd"/>
      <w:r w:rsidRPr="00E31E76">
        <w:rPr>
          <w:rFonts w:ascii="Arial" w:hAnsi="Arial" w:cs="Arial"/>
          <w:lang w:val="en-US"/>
        </w:rPr>
        <w:t xml:space="preserve">, scores of </w:t>
      </w:r>
      <w:r>
        <w:rPr>
          <w:rFonts w:ascii="Arial" w:hAnsi="Arial" w:cs="Arial"/>
          <w:lang w:val="en-US"/>
        </w:rPr>
        <w:t>the</w:t>
      </w:r>
      <w:r w:rsidRPr="00E31E76">
        <w:rPr>
          <w:rFonts w:ascii="Arial" w:hAnsi="Arial" w:cs="Arial"/>
          <w:lang w:val="en-US"/>
        </w:rPr>
        <w:t xml:space="preserve"> five categories</w:t>
      </w:r>
      <w:r>
        <w:rPr>
          <w:rFonts w:ascii="Arial" w:hAnsi="Arial" w:cs="Arial"/>
          <w:lang w:val="en-US"/>
        </w:rPr>
        <w:t xml:space="preserve"> of sensitivity traits (Table </w:t>
      </w:r>
      <w:r w:rsidR="00583B77">
        <w:rPr>
          <w:rFonts w:ascii="Arial" w:hAnsi="Arial" w:cs="Arial"/>
          <w:lang w:val="en-US"/>
        </w:rPr>
        <w:t>4</w:t>
      </w:r>
      <w:r>
        <w:rPr>
          <w:rFonts w:ascii="Arial" w:hAnsi="Arial" w:cs="Arial"/>
          <w:lang w:val="en-US"/>
        </w:rPr>
        <w:t>)</w:t>
      </w:r>
      <w:r w:rsidRPr="00E31E76">
        <w:rPr>
          <w:rFonts w:ascii="Arial" w:hAnsi="Arial" w:cs="Arial"/>
          <w:lang w:val="en-US"/>
        </w:rPr>
        <w:t xml:space="preserve"> were summed for each species and this value is considered as the </w:t>
      </w:r>
      <w:r>
        <w:rPr>
          <w:rFonts w:ascii="Arial" w:hAnsi="Arial" w:cs="Arial"/>
          <w:lang w:val="en-US"/>
        </w:rPr>
        <w:t xml:space="preserve">species </w:t>
      </w:r>
      <w:r w:rsidRPr="00E31E76">
        <w:rPr>
          <w:rFonts w:ascii="Arial" w:hAnsi="Arial" w:cs="Arial"/>
          <w:lang w:val="en-US"/>
        </w:rPr>
        <w:t>sensitivity index (SI) to trawling disturbance. Thus, highly vulnerable species could have a maximum score of 15.</w:t>
      </w:r>
    </w:p>
    <w:p w:rsidR="009F2E31" w:rsidRDefault="009F2E31" w:rsidP="009F2E31">
      <w:pPr>
        <w:autoSpaceDE w:val="0"/>
        <w:autoSpaceDN w:val="0"/>
        <w:adjustRightInd w:val="0"/>
        <w:spacing w:after="0" w:line="240" w:lineRule="auto"/>
        <w:jc w:val="both"/>
        <w:rPr>
          <w:rFonts w:ascii="Arial" w:hAnsi="Arial" w:cs="Arial"/>
          <w:lang w:val="en-US"/>
        </w:rPr>
      </w:pPr>
    </w:p>
    <w:p w:rsidR="009F2E31" w:rsidRDefault="009F2E31" w:rsidP="009F2E31">
      <w:pPr>
        <w:autoSpaceDE w:val="0"/>
        <w:autoSpaceDN w:val="0"/>
        <w:adjustRightInd w:val="0"/>
        <w:spacing w:after="0" w:line="240" w:lineRule="auto"/>
        <w:jc w:val="both"/>
        <w:rPr>
          <w:rFonts w:ascii="Arial" w:hAnsi="Arial" w:cs="Arial"/>
          <w:lang w:val="en-US"/>
        </w:rPr>
      </w:pPr>
      <w:r>
        <w:rPr>
          <w:rFonts w:ascii="Arial" w:hAnsi="Arial" w:cs="Arial"/>
          <w:lang w:val="en-US"/>
        </w:rPr>
        <w:t>For all calculation with trawling data, abundance was replaced by biomass.</w:t>
      </w:r>
    </w:p>
    <w:p w:rsidR="009F2E31" w:rsidRPr="00E31E76" w:rsidRDefault="009F2E31" w:rsidP="009F2E31">
      <w:pPr>
        <w:autoSpaceDE w:val="0"/>
        <w:autoSpaceDN w:val="0"/>
        <w:adjustRightInd w:val="0"/>
        <w:spacing w:after="0" w:line="240" w:lineRule="auto"/>
        <w:ind w:firstLine="708"/>
        <w:jc w:val="both"/>
        <w:rPr>
          <w:rFonts w:ascii="Arial" w:hAnsi="Arial" w:cs="Arial"/>
          <w:lang w:val="en-US"/>
        </w:rPr>
      </w:pPr>
    </w:p>
    <w:p w:rsidR="009F2E31" w:rsidRDefault="009F2E31" w:rsidP="009F2E31">
      <w:pPr>
        <w:autoSpaceDE w:val="0"/>
        <w:autoSpaceDN w:val="0"/>
        <w:adjustRightInd w:val="0"/>
        <w:spacing w:after="0" w:line="240" w:lineRule="auto"/>
        <w:jc w:val="both"/>
        <w:rPr>
          <w:rFonts w:ascii="Arial" w:hAnsi="Arial" w:cs="Arial"/>
          <w:lang w:val="en-US"/>
        </w:rPr>
      </w:pPr>
      <w:r>
        <w:rPr>
          <w:rFonts w:ascii="Arial" w:hAnsi="Arial" w:cs="Arial"/>
          <w:color w:val="212121"/>
          <w:shd w:val="clear" w:color="auto" w:fill="FFFFFF"/>
          <w:lang w:val="en-US"/>
        </w:rPr>
        <w:t>For</w:t>
      </w:r>
      <w:r w:rsidRPr="00E31E76">
        <w:rPr>
          <w:rFonts w:ascii="Arial" w:hAnsi="Arial" w:cs="Arial"/>
          <w:lang w:val="en-US"/>
        </w:rPr>
        <w:t xml:space="preserve"> the TDI</w:t>
      </w:r>
      <w:r>
        <w:rPr>
          <w:rFonts w:ascii="Arial" w:hAnsi="Arial" w:cs="Arial"/>
          <w:lang w:val="en-US"/>
        </w:rPr>
        <w:t xml:space="preserve"> (Eq. 1)</w:t>
      </w:r>
      <w:r w:rsidRPr="00E31E76">
        <w:rPr>
          <w:rFonts w:ascii="Arial" w:hAnsi="Arial" w:cs="Arial"/>
          <w:lang w:val="en-US"/>
        </w:rPr>
        <w:t>, species are distributed into five groups according to SI: group 1, SI ranged from 0 to 4; group 2, SI = 5-7; group 3, SI = 8-10, group 4, SI = 11-13</w:t>
      </w:r>
      <w:r>
        <w:rPr>
          <w:rFonts w:ascii="Arial" w:hAnsi="Arial" w:cs="Arial"/>
          <w:lang w:val="en-US"/>
        </w:rPr>
        <w:t xml:space="preserve"> and</w:t>
      </w:r>
      <w:r w:rsidRPr="00E31E76">
        <w:rPr>
          <w:rFonts w:ascii="Arial" w:hAnsi="Arial" w:cs="Arial"/>
          <w:lang w:val="en-US"/>
        </w:rPr>
        <w:t xml:space="preserve"> group 5, SI = 14-15</w:t>
      </w:r>
      <w:r>
        <w:rPr>
          <w:rFonts w:ascii="Arial" w:hAnsi="Arial" w:cs="Arial"/>
          <w:lang w:val="en-US"/>
        </w:rPr>
        <w:t xml:space="preserve"> </w:t>
      </w:r>
      <w:r w:rsidRPr="00031F3F">
        <w:rPr>
          <w:rFonts w:ascii="Arial" w:hAnsi="Arial" w:cs="Arial"/>
          <w:sz w:val="21"/>
          <w:szCs w:val="21"/>
          <w:lang w:val="en-US"/>
        </w:rPr>
        <w:t>[55]</w:t>
      </w:r>
      <w:r w:rsidRPr="00E31E76">
        <w:rPr>
          <w:rFonts w:ascii="Arial" w:hAnsi="Arial" w:cs="Arial"/>
          <w:lang w:val="en-US"/>
        </w:rPr>
        <w:t xml:space="preserve">. The </w:t>
      </w:r>
      <w:r>
        <w:rPr>
          <w:rFonts w:ascii="Arial" w:hAnsi="Arial" w:cs="Arial"/>
          <w:lang w:val="en-US"/>
        </w:rPr>
        <w:t xml:space="preserve">abundance </w:t>
      </w:r>
      <w:r w:rsidRPr="00E31E76">
        <w:rPr>
          <w:rFonts w:ascii="Arial" w:hAnsi="Arial" w:cs="Arial"/>
          <w:lang w:val="en-US"/>
        </w:rPr>
        <w:t xml:space="preserve">of each group was calculated as the sum of </w:t>
      </w:r>
      <w:r>
        <w:rPr>
          <w:rFonts w:ascii="Arial" w:hAnsi="Arial" w:cs="Arial"/>
          <w:lang w:val="en-US"/>
        </w:rPr>
        <w:t>abundance</w:t>
      </w:r>
      <w:r w:rsidRPr="00E31E76">
        <w:rPr>
          <w:rFonts w:ascii="Arial" w:hAnsi="Arial" w:cs="Arial"/>
          <w:lang w:val="en-US"/>
        </w:rPr>
        <w:t xml:space="preserve"> of all taxa within each group. </w:t>
      </w:r>
    </w:p>
    <w:p w:rsidR="009F2E31" w:rsidRPr="00E31E76" w:rsidRDefault="009F2E31" w:rsidP="009F2E31">
      <w:pPr>
        <w:autoSpaceDE w:val="0"/>
        <w:autoSpaceDN w:val="0"/>
        <w:adjustRightInd w:val="0"/>
        <w:spacing w:after="0" w:line="240" w:lineRule="auto"/>
        <w:ind w:firstLine="708"/>
        <w:jc w:val="both"/>
        <w:rPr>
          <w:rFonts w:ascii="Arial" w:hAnsi="Arial" w:cs="Arial"/>
          <w:lang w:val="en-US"/>
        </w:rPr>
      </w:pPr>
    </w:p>
    <w:p w:rsidR="009F2E31" w:rsidRPr="00D76A8C" w:rsidRDefault="009F2E31" w:rsidP="009F2E31">
      <w:pPr>
        <w:jc w:val="center"/>
        <w:rPr>
          <w:rFonts w:ascii="Arial" w:eastAsiaTheme="minorEastAsia" w:hAnsi="Arial" w:cs="Arial"/>
          <w:i/>
          <w:sz w:val="24"/>
          <w:szCs w:val="24"/>
          <w:lang w:val="en-US"/>
        </w:rPr>
      </w:pPr>
      <w:r>
        <w:rPr>
          <w:rFonts w:ascii="Cambria Math" w:eastAsiaTheme="minorEastAsia" w:hAnsi="Cambria Math" w:cs="Arial"/>
          <w:lang w:val="en-US"/>
        </w:rPr>
        <w:t>(1</w:t>
      </w:r>
      <w:r w:rsidRPr="00D76A8C">
        <w:rPr>
          <w:rFonts w:ascii="Cambria Math" w:eastAsiaTheme="minorEastAsia" w:hAnsi="Cambria Math" w:cs="Arial"/>
          <w:lang w:val="en-US"/>
        </w:rPr>
        <w:t>)</w:t>
      </w:r>
      <w:r w:rsidRPr="00D76A8C">
        <w:rPr>
          <w:rFonts w:ascii="Cambria Math" w:eastAsiaTheme="minorEastAsia" w:hAnsi="Cambria Math" w:cs="Arial"/>
          <w:sz w:val="16"/>
          <w:szCs w:val="16"/>
          <w:lang w:val="en-US"/>
        </w:rPr>
        <w:t xml:space="preserve"> </w:t>
      </w:r>
      <m:oMath>
        <m:r>
          <w:rPr>
            <w:rFonts w:ascii="Cambria Math" w:hAnsi="Cambria Math" w:cs="Arial"/>
            <w:sz w:val="24"/>
            <w:szCs w:val="24"/>
            <w:lang w:val="en-US"/>
          </w:rPr>
          <m:t xml:space="preserve">   </m:t>
        </m:r>
        <m:r>
          <w:rPr>
            <w:rFonts w:ascii="Cambria Math" w:hAnsi="Cambria Math" w:cs="Arial"/>
            <w:sz w:val="24"/>
            <w:szCs w:val="24"/>
          </w:rPr>
          <m:t>TD</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x</m:t>
            </m:r>
          </m:sub>
        </m:sSub>
        <m:r>
          <w:rPr>
            <w:rFonts w:ascii="Cambria Math" w:hAnsi="Cambria Math" w:cs="Arial"/>
            <w:sz w:val="24"/>
            <w:szCs w:val="24"/>
            <w:lang w:val="en-US"/>
          </w:rPr>
          <m:t xml:space="preserve">= </m:t>
        </m:r>
        <m:f>
          <m:fPr>
            <m:ctrlPr>
              <w:rPr>
                <w:rFonts w:ascii="Cambria Math" w:hAnsi="Cambria Math" w:cs="Arial"/>
                <w:i/>
                <w:sz w:val="24"/>
                <w:szCs w:val="24"/>
              </w:rPr>
            </m:ctrlPr>
          </m:fPr>
          <m:num>
            <m:r>
              <w:rPr>
                <w:rFonts w:ascii="Cambria Math" w:hAnsi="Cambria Math" w:cs="Arial"/>
                <w:sz w:val="24"/>
                <w:szCs w:val="24"/>
              </w:rPr>
              <m:t>Log</m:t>
            </m:r>
            <m:r>
              <w:rPr>
                <w:rFonts w:ascii="Cambria Math" w:hAnsi="Cambria Math" w:cs="Arial"/>
                <w:sz w:val="24"/>
                <w:szCs w:val="24"/>
                <w:lang w:val="en-US"/>
              </w:rPr>
              <m:t>1×</m:t>
            </m:r>
            <m:r>
              <w:rPr>
                <w:rFonts w:ascii="Cambria Math" w:hAnsi="Cambria Math" w:cs="Arial"/>
                <w:sz w:val="24"/>
                <w:szCs w:val="24"/>
              </w:rPr>
              <m:t>Log</m:t>
            </m:r>
            <m:d>
              <m:dPr>
                <m:ctrlPr>
                  <w:rPr>
                    <w:rFonts w:ascii="Cambria Math" w:hAnsi="Cambria Math" w:cs="Arial"/>
                    <w:i/>
                    <w:sz w:val="24"/>
                    <w:szCs w:val="24"/>
                  </w:rPr>
                </m:ctrlPr>
              </m:dPr>
              <m:e>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lang w:val="en-US"/>
                      </w:rPr>
                      <m:t>1</m:t>
                    </m:r>
                  </m:e>
                  <m:sub>
                    <m:r>
                      <w:rPr>
                        <w:rFonts w:ascii="Cambria Math" w:hAnsi="Cambria Math" w:cs="Arial"/>
                        <w:sz w:val="24"/>
                        <w:szCs w:val="24"/>
                      </w:rPr>
                      <m:t>x</m:t>
                    </m:r>
                  </m:sub>
                </m:sSub>
                <m:r>
                  <w:rPr>
                    <w:rFonts w:ascii="Cambria Math" w:hAnsi="Cambria Math" w:cs="Arial"/>
                    <w:sz w:val="24"/>
                    <w:szCs w:val="24"/>
                    <w:lang w:val="en-US"/>
                  </w:rPr>
                  <m:t>+1</m:t>
                </m:r>
              </m:e>
            </m:d>
            <m:r>
              <w:rPr>
                <w:rFonts w:ascii="Cambria Math" w:hAnsi="Cambria Math" w:cs="Arial"/>
                <w:sz w:val="24"/>
                <w:szCs w:val="24"/>
                <w:lang w:val="en-US"/>
              </w:rPr>
              <m:t>+</m:t>
            </m:r>
            <m:r>
              <w:rPr>
                <w:rFonts w:ascii="Cambria Math" w:hAnsi="Cambria Math" w:cs="Arial"/>
                <w:sz w:val="24"/>
                <w:szCs w:val="24"/>
              </w:rPr>
              <m:t>Log</m:t>
            </m:r>
            <m:r>
              <w:rPr>
                <w:rFonts w:ascii="Cambria Math" w:hAnsi="Cambria Math" w:cs="Arial"/>
                <w:sz w:val="24"/>
                <w:szCs w:val="24"/>
                <w:lang w:val="en-US"/>
              </w:rPr>
              <m:t>(</m:t>
            </m:r>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lang w:val="en-US"/>
                  </w:rPr>
                  <m:t>2</m:t>
                </m:r>
              </m:e>
              <m:sub>
                <m:r>
                  <w:rPr>
                    <w:rFonts w:ascii="Cambria Math" w:hAnsi="Cambria Math" w:cs="Arial"/>
                    <w:sz w:val="24"/>
                    <w:szCs w:val="24"/>
                  </w:rPr>
                  <m:t>x</m:t>
                </m:r>
              </m:sub>
            </m:sSub>
            <m:r>
              <w:rPr>
                <w:rFonts w:ascii="Cambria Math" w:hAnsi="Cambria Math" w:cs="Arial"/>
                <w:sz w:val="24"/>
                <w:szCs w:val="24"/>
                <w:lang w:val="en-US"/>
              </w:rPr>
              <m:t>+1)+</m:t>
            </m:r>
            <m:r>
              <w:rPr>
                <w:rFonts w:ascii="Cambria Math" w:hAnsi="Cambria Math" w:cs="Arial"/>
                <w:sz w:val="24"/>
                <w:szCs w:val="24"/>
              </w:rPr>
              <m:t>Log</m:t>
            </m:r>
            <m:r>
              <w:rPr>
                <w:rFonts w:ascii="Cambria Math" w:hAnsi="Cambria Math" w:cs="Arial"/>
                <w:sz w:val="24"/>
                <w:szCs w:val="24"/>
                <w:lang w:val="en-US"/>
              </w:rPr>
              <m:t>4×</m:t>
            </m:r>
            <m:r>
              <w:rPr>
                <w:rFonts w:ascii="Cambria Math" w:hAnsi="Cambria Math" w:cs="Arial"/>
                <w:sz w:val="24"/>
                <w:szCs w:val="24"/>
              </w:rPr>
              <m:t>Log</m:t>
            </m:r>
            <m:d>
              <m:dPr>
                <m:ctrlPr>
                  <w:rPr>
                    <w:rFonts w:ascii="Cambria Math" w:hAnsi="Cambria Math" w:cs="Arial"/>
                    <w:i/>
                    <w:sz w:val="24"/>
                    <w:szCs w:val="24"/>
                  </w:rPr>
                </m:ctrlPr>
              </m:dPr>
              <m:e>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lang w:val="en-US"/>
                      </w:rPr>
                      <m:t>3</m:t>
                    </m:r>
                  </m:e>
                  <m:sub>
                    <m:r>
                      <w:rPr>
                        <w:rFonts w:ascii="Cambria Math" w:hAnsi="Cambria Math" w:cs="Arial"/>
                        <w:sz w:val="24"/>
                        <w:szCs w:val="24"/>
                      </w:rPr>
                      <m:t>x</m:t>
                    </m:r>
                  </m:sub>
                </m:sSub>
                <m:r>
                  <w:rPr>
                    <w:rFonts w:ascii="Cambria Math" w:hAnsi="Cambria Math" w:cs="Arial"/>
                    <w:sz w:val="24"/>
                    <w:szCs w:val="24"/>
                    <w:lang w:val="en-US"/>
                  </w:rPr>
                  <m:t>+1</m:t>
                </m:r>
              </m:e>
            </m:d>
            <m:r>
              <w:rPr>
                <w:rFonts w:ascii="Cambria Math" w:hAnsi="Cambria Math" w:cs="Arial"/>
                <w:sz w:val="24"/>
                <w:szCs w:val="24"/>
                <w:lang w:val="en-US"/>
              </w:rPr>
              <m:t>+</m:t>
            </m:r>
            <m:r>
              <w:rPr>
                <w:rFonts w:ascii="Cambria Math" w:hAnsi="Cambria Math" w:cs="Arial"/>
                <w:sz w:val="24"/>
                <w:szCs w:val="24"/>
              </w:rPr>
              <m:t>Log</m:t>
            </m:r>
            <m:r>
              <w:rPr>
                <w:rFonts w:ascii="Cambria Math" w:hAnsi="Cambria Math" w:cs="Arial"/>
                <w:sz w:val="24"/>
                <w:szCs w:val="24"/>
                <w:lang w:val="en-US"/>
              </w:rPr>
              <m:t>8×</m:t>
            </m:r>
            <m:r>
              <w:rPr>
                <w:rFonts w:ascii="Cambria Math" w:hAnsi="Cambria Math" w:cs="Arial"/>
                <w:sz w:val="24"/>
                <w:szCs w:val="24"/>
              </w:rPr>
              <m:t>Log</m:t>
            </m:r>
            <m:d>
              <m:dPr>
                <m:ctrlPr>
                  <w:rPr>
                    <w:rFonts w:ascii="Cambria Math" w:hAnsi="Cambria Math" w:cs="Arial"/>
                    <w:i/>
                    <w:sz w:val="24"/>
                    <w:szCs w:val="24"/>
                  </w:rPr>
                </m:ctrlPr>
              </m:dPr>
              <m:e>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lang w:val="en-US"/>
                      </w:rPr>
                      <m:t>4</m:t>
                    </m:r>
                  </m:e>
                  <m:sub>
                    <m:r>
                      <w:rPr>
                        <w:rFonts w:ascii="Cambria Math" w:hAnsi="Cambria Math" w:cs="Arial"/>
                        <w:sz w:val="24"/>
                        <w:szCs w:val="24"/>
                      </w:rPr>
                      <m:t>x</m:t>
                    </m:r>
                  </m:sub>
                </m:sSub>
                <m:r>
                  <w:rPr>
                    <w:rFonts w:ascii="Cambria Math" w:hAnsi="Cambria Math" w:cs="Arial"/>
                    <w:sz w:val="24"/>
                    <w:szCs w:val="24"/>
                    <w:lang w:val="en-US"/>
                  </w:rPr>
                  <m:t>+1</m:t>
                </m:r>
              </m:e>
            </m:d>
            <m:r>
              <w:rPr>
                <w:rFonts w:ascii="Cambria Math" w:hAnsi="Cambria Math" w:cs="Arial"/>
                <w:sz w:val="24"/>
                <w:szCs w:val="24"/>
                <w:lang w:val="en-US"/>
              </w:rPr>
              <m:t>+</m:t>
            </m:r>
            <m:r>
              <w:rPr>
                <w:rFonts w:ascii="Cambria Math" w:hAnsi="Cambria Math" w:cs="Arial"/>
                <w:sz w:val="24"/>
                <w:szCs w:val="24"/>
              </w:rPr>
              <m:t>Log</m:t>
            </m:r>
            <m:r>
              <w:rPr>
                <w:rFonts w:ascii="Cambria Math" w:hAnsi="Cambria Math" w:cs="Arial"/>
                <w:sz w:val="24"/>
                <w:szCs w:val="24"/>
                <w:lang w:val="en-US"/>
              </w:rPr>
              <m:t>16×</m:t>
            </m:r>
            <m:r>
              <w:rPr>
                <w:rFonts w:ascii="Cambria Math" w:hAnsi="Cambria Math" w:cs="Arial"/>
                <w:sz w:val="24"/>
                <w:szCs w:val="24"/>
              </w:rPr>
              <m:t>Log</m:t>
            </m:r>
            <m:r>
              <w:rPr>
                <w:rFonts w:ascii="Cambria Math" w:hAnsi="Cambria Math" w:cs="Arial"/>
                <w:sz w:val="24"/>
                <w:szCs w:val="24"/>
                <w:lang w:val="en-US"/>
              </w:rPr>
              <m:t>(</m:t>
            </m:r>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lang w:val="en-US"/>
                  </w:rPr>
                  <m:t>5</m:t>
                </m:r>
              </m:e>
              <m:sub>
                <m:r>
                  <w:rPr>
                    <w:rFonts w:ascii="Cambria Math" w:hAnsi="Cambria Math" w:cs="Arial"/>
                    <w:sz w:val="24"/>
                    <w:szCs w:val="24"/>
                  </w:rPr>
                  <m:t>x</m:t>
                </m:r>
              </m:sub>
            </m:sSub>
            <m:r>
              <w:rPr>
                <w:rFonts w:ascii="Cambria Math" w:hAnsi="Cambria Math" w:cs="Arial"/>
                <w:sz w:val="24"/>
                <w:szCs w:val="24"/>
                <w:lang w:val="en-US"/>
              </w:rPr>
              <m:t>+1)</m:t>
            </m:r>
          </m:num>
          <m:den>
            <m:r>
              <w:rPr>
                <w:rFonts w:ascii="Cambria Math" w:hAnsi="Cambria Math" w:cs="Arial"/>
                <w:sz w:val="24"/>
                <w:szCs w:val="24"/>
              </w:rPr>
              <m:t>Log</m:t>
            </m:r>
            <m:r>
              <w:rPr>
                <w:rFonts w:ascii="Cambria Math" w:hAnsi="Cambria Math"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x</m:t>
                </m:r>
              </m:sub>
            </m:sSub>
            <m:r>
              <w:rPr>
                <w:rFonts w:ascii="Cambria Math" w:hAnsi="Cambria Math" w:cs="Arial"/>
                <w:sz w:val="24"/>
                <w:szCs w:val="24"/>
                <w:lang w:val="en-US"/>
              </w:rPr>
              <m:t>+1)</m:t>
            </m:r>
          </m:den>
        </m:f>
      </m:oMath>
    </w:p>
    <w:p w:rsidR="009F2E31" w:rsidRPr="00E31E76" w:rsidRDefault="009F2E31" w:rsidP="009F2E31">
      <w:pPr>
        <w:autoSpaceDE w:val="0"/>
        <w:autoSpaceDN w:val="0"/>
        <w:adjustRightInd w:val="0"/>
        <w:spacing w:after="0" w:line="240" w:lineRule="auto"/>
        <w:jc w:val="both"/>
        <w:rPr>
          <w:rFonts w:ascii="Arial" w:hAnsi="Arial" w:cs="Arial"/>
          <w:lang w:val="en-US"/>
        </w:rPr>
      </w:pPr>
      <w:proofErr w:type="gramStart"/>
      <w:r w:rsidRPr="00E31E76">
        <w:rPr>
          <w:rFonts w:ascii="Arial" w:hAnsi="Arial" w:cs="Arial"/>
          <w:lang w:val="en-US"/>
        </w:rPr>
        <w:t>where</w:t>
      </w:r>
      <w:proofErr w:type="gramEnd"/>
      <w:r w:rsidRPr="00E31E76">
        <w:rPr>
          <w:rFonts w:ascii="Arial" w:hAnsi="Arial" w:cs="Arial"/>
          <w:lang w:val="en-US"/>
        </w:rPr>
        <w:t xml:space="preserve"> G1</w:t>
      </w:r>
      <w:r w:rsidRPr="00E31E76">
        <w:rPr>
          <w:rFonts w:ascii="Arial" w:hAnsi="Arial" w:cs="Arial"/>
          <w:vertAlign w:val="subscript"/>
          <w:lang w:val="en-US"/>
        </w:rPr>
        <w:t>x</w:t>
      </w:r>
      <w:r w:rsidRPr="00E31E76">
        <w:rPr>
          <w:rFonts w:ascii="Arial" w:hAnsi="Arial" w:cs="Arial"/>
          <w:lang w:val="en-US"/>
        </w:rPr>
        <w:t>-G5</w:t>
      </w:r>
      <w:r w:rsidRPr="00E31E76">
        <w:rPr>
          <w:rFonts w:ascii="Arial" w:hAnsi="Arial" w:cs="Arial"/>
          <w:vertAlign w:val="subscript"/>
          <w:lang w:val="en-US"/>
        </w:rPr>
        <w:t>x</w:t>
      </w:r>
      <w:r w:rsidRPr="00E31E76">
        <w:rPr>
          <w:rFonts w:ascii="Arial" w:hAnsi="Arial" w:cs="Arial"/>
          <w:lang w:val="en-US"/>
        </w:rPr>
        <w:t xml:space="preserve"> were the </w:t>
      </w:r>
      <w:r>
        <w:rPr>
          <w:rFonts w:ascii="Arial" w:hAnsi="Arial" w:cs="Arial"/>
          <w:lang w:val="en-US"/>
        </w:rPr>
        <w:t>total</w:t>
      </w:r>
      <w:r w:rsidRPr="00E31E76">
        <w:rPr>
          <w:rFonts w:ascii="Arial" w:hAnsi="Arial" w:cs="Arial"/>
          <w:lang w:val="en-US"/>
        </w:rPr>
        <w:t xml:space="preserve"> </w:t>
      </w:r>
      <w:r>
        <w:rPr>
          <w:rFonts w:ascii="Arial" w:hAnsi="Arial" w:cs="Arial"/>
          <w:lang w:val="en-US"/>
        </w:rPr>
        <w:t xml:space="preserve">abundances </w:t>
      </w:r>
      <w:r w:rsidRPr="00E31E76">
        <w:rPr>
          <w:rFonts w:ascii="Arial" w:hAnsi="Arial" w:cs="Arial"/>
          <w:lang w:val="en-US"/>
        </w:rPr>
        <w:t xml:space="preserve">of each group in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lang w:val="en-US"/>
        </w:rPr>
        <w:t xml:space="preserve"> observation and </w:t>
      </w:r>
      <w:proofErr w:type="spellStart"/>
      <w:r w:rsidRPr="00E31E76">
        <w:rPr>
          <w:rFonts w:ascii="Arial" w:hAnsi="Arial" w:cs="Arial"/>
          <w:lang w:val="en-US"/>
        </w:rPr>
        <w:t>N</w:t>
      </w:r>
      <w:r w:rsidRPr="00E31E76">
        <w:rPr>
          <w:rFonts w:ascii="Arial" w:hAnsi="Arial" w:cs="Arial"/>
          <w:vertAlign w:val="subscript"/>
          <w:lang w:val="en-US"/>
        </w:rPr>
        <w:t>x</w:t>
      </w:r>
      <w:proofErr w:type="spellEnd"/>
      <w:r w:rsidRPr="00E31E76">
        <w:rPr>
          <w:rFonts w:ascii="Arial" w:hAnsi="Arial" w:cs="Arial"/>
          <w:lang w:val="en-US"/>
        </w:rPr>
        <w:t xml:space="preserve"> the total </w:t>
      </w:r>
      <w:r>
        <w:rPr>
          <w:rFonts w:ascii="Arial" w:hAnsi="Arial" w:cs="Arial"/>
          <w:lang w:val="en-US"/>
        </w:rPr>
        <w:t xml:space="preserve">abundance </w:t>
      </w:r>
      <w:r w:rsidRPr="00E31E76">
        <w:rPr>
          <w:rFonts w:ascii="Arial" w:hAnsi="Arial" w:cs="Arial"/>
          <w:lang w:val="en-US"/>
        </w:rPr>
        <w:t xml:space="preserve">of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lang w:val="en-US"/>
        </w:rPr>
        <w:t xml:space="preserve"> observation</w:t>
      </w:r>
    </w:p>
    <w:p w:rsidR="009F2E31" w:rsidRPr="003F4B64" w:rsidRDefault="009F2E31" w:rsidP="009F2E31">
      <w:pPr>
        <w:autoSpaceDE w:val="0"/>
        <w:autoSpaceDN w:val="0"/>
        <w:adjustRightInd w:val="0"/>
        <w:spacing w:after="0" w:line="240" w:lineRule="auto"/>
        <w:ind w:firstLine="708"/>
        <w:jc w:val="both"/>
        <w:rPr>
          <w:rFonts w:ascii="Arial" w:hAnsi="Arial" w:cs="Arial"/>
        </w:rPr>
      </w:pPr>
      <w:r>
        <w:rPr>
          <w:rFonts w:ascii="Arial" w:hAnsi="Arial" w:cs="Arial"/>
          <w:lang w:val="en-US"/>
        </w:rPr>
        <w:t xml:space="preserve">Another </w:t>
      </w:r>
      <w:proofErr w:type="spellStart"/>
      <w:r>
        <w:rPr>
          <w:rFonts w:ascii="Arial" w:hAnsi="Arial" w:cs="Arial"/>
          <w:lang w:val="en-US"/>
        </w:rPr>
        <w:t>indice</w:t>
      </w:r>
      <w:proofErr w:type="spellEnd"/>
      <w:r>
        <w:rPr>
          <w:rFonts w:ascii="Arial" w:hAnsi="Arial" w:cs="Arial"/>
          <w:lang w:val="en-US"/>
        </w:rPr>
        <w:t xml:space="preserve"> based on the species sensitivity was proposed by </w:t>
      </w:r>
      <w:r w:rsidR="00752613">
        <w:rPr>
          <w:rFonts w:ascii="Arial" w:hAnsi="Arial" w:cs="Arial"/>
          <w:lang w:val="en-US"/>
        </w:rPr>
        <w:fldChar w:fldCharType="begin" w:fldLock="1"/>
      </w:r>
      <w:r w:rsidR="00752613">
        <w:rPr>
          <w:rFonts w:ascii="Arial" w:hAnsi="Arial" w:cs="Arial"/>
          <w:lang w:val="en-US"/>
        </w:rPr>
        <w:instrText>ADDIN CSL_CITATION {"citationItems":[{"id":"ITEM-1","itemData":{"DOI":"10.1371/journal.pone.0184486","ISBN":"1111111111","ISSN":"19326203","abstract":"© 2017 Foveau et al. This is an open access article distributed under the terms of the Creative Commons Attribution License, which permits unrestricted use, distribution, and reproduction in any medium, provided the original author and source are credited. The increase of anthropogenic pressures on the marine environment together with the necessity of a sustainable management of marine living resources have underlined the need to map and model coastal environments, particularly for the purposes of spatial planning and for the implementation of integrated ecosystem-based management approach. The present study compares outputs of a process-driven benthic habitat sensitivity (PDS) model to the structure, composition and distribution of benthic invertebrates in the Eastern English Channel and southern part of the North Sea. Trawl disturbance indicators (TDI) computed from species biological traits and benthic community composition were produced from samples collected with a bottom trawl. The TDI was found to be highly correlated to the PDS further validating the latter’s purpose to identify natural process-driven pattern of sensitivity. PDS was found to reflect an environmental potential that may no longer be fully observable in the field and difference with in situ biological observations could</w:instrText>
      </w:r>
      <w:r w:rsidR="00752613" w:rsidRPr="003F4B64">
        <w:rPr>
          <w:rFonts w:ascii="Arial" w:hAnsi="Arial" w:cs="Arial"/>
        </w:rPr>
        <w:instrText xml:space="preserve"> be partially explained by the spatial distribution of fishery pressure on the seafloor. The management implication of these findings are discussed and we suggest that, used in conjunction with TDI approaches, PDS may help monitor management effort by evaluating the difference between the current state and the presumed optimal environmental status of marine benthic habitats.","author":[{"dropping-particle":"","family":"Foveau","given":"Aurélie","non-dropping-particle":"","parse-names":false,"suffix":""},{"dropping-particle":"","family":"Vaz","given":"Sandrine","non-dropping-particle":"","parse-names":false,"suffix":""},{"dropping-particle":"","family":"Desroy","given":"Nicolas","non-dropping-particle":"","parse-names":false,"suffix":""},{"dropping-particle":"","family":"Kostylev","given":"Vladimir E.","non-dropping-particle":"","parse-names":false,"suffix":""}],"container-title":"PLoS ONE","id":"ITEM-1","issue":"10","issued":{"date-parts":[["2017"]]},"page":"1-30","title":"Process-driven and biological characterisation and mapping of seabed habitats sensitive to trawling","type":"article-journal","volume":"12"},"uris":["http://www.mendeley.com/documents/?uuid=0e9b119a-2c64-4b2f-b207-0b336111cfac"]}],"mendeley":{"formattedCitation":"(Foveau et al. 2017)","plainTextFormattedCitation":"(Foveau et al. 2017)","previouslyFormattedCitation":"(Foveau et al. 2017)"},"properties":{"noteIndex":0},"schema":"https://github.com/citation-style-language/schema/raw/master/csl-citation.json"}</w:instrText>
      </w:r>
      <w:r w:rsidR="00752613">
        <w:rPr>
          <w:rFonts w:ascii="Arial" w:hAnsi="Arial" w:cs="Arial"/>
          <w:lang w:val="en-US"/>
        </w:rPr>
        <w:fldChar w:fldCharType="separate"/>
      </w:r>
      <w:r w:rsidR="00752613" w:rsidRPr="003F4B64">
        <w:rPr>
          <w:rFonts w:ascii="Arial" w:hAnsi="Arial" w:cs="Arial"/>
          <w:noProof/>
        </w:rPr>
        <w:t>(Foveau et al. 2017)</w:t>
      </w:r>
      <w:r w:rsidR="00752613">
        <w:rPr>
          <w:rFonts w:ascii="Arial" w:hAnsi="Arial" w:cs="Arial"/>
          <w:lang w:val="en-US"/>
        </w:rPr>
        <w:fldChar w:fldCharType="end"/>
      </w:r>
      <w:r w:rsidR="00031F3F" w:rsidRPr="003F4B64">
        <w:rPr>
          <w:rFonts w:ascii="Arial" w:hAnsi="Arial" w:cs="Arial"/>
        </w:rPr>
        <w:t xml:space="preserve"> </w:t>
      </w:r>
      <w:r w:rsidRPr="003F4B64">
        <w:rPr>
          <w:rFonts w:ascii="Arial" w:hAnsi="Arial" w:cs="Arial"/>
        </w:rPr>
        <w:t xml:space="preserve">the </w:t>
      </w:r>
      <w:proofErr w:type="spellStart"/>
      <w:r w:rsidRPr="003F4B64">
        <w:rPr>
          <w:rFonts w:ascii="Arial" w:hAnsi="Arial" w:cs="Arial"/>
        </w:rPr>
        <w:t>mTDI</w:t>
      </w:r>
      <w:proofErr w:type="spellEnd"/>
      <w:r w:rsidRPr="003F4B64">
        <w:rPr>
          <w:rFonts w:ascii="Arial" w:hAnsi="Arial" w:cs="Arial"/>
        </w:rPr>
        <w:t xml:space="preserve"> (Eq.2).</w:t>
      </w:r>
    </w:p>
    <w:p w:rsidR="009F2E31" w:rsidRPr="003F4B64" w:rsidRDefault="009F2E31" w:rsidP="009F2E31">
      <w:pPr>
        <w:autoSpaceDE w:val="0"/>
        <w:autoSpaceDN w:val="0"/>
        <w:adjustRightInd w:val="0"/>
        <w:spacing w:after="0" w:line="240" w:lineRule="auto"/>
        <w:jc w:val="both"/>
        <w:rPr>
          <w:rFonts w:ascii="Arial" w:hAnsi="Arial" w:cs="Arial"/>
        </w:rPr>
      </w:pPr>
    </w:p>
    <w:p w:rsidR="009F2E31" w:rsidRPr="003F4B64" w:rsidRDefault="009F2E31" w:rsidP="00752613">
      <w:pPr>
        <w:spacing w:after="280"/>
        <w:jc w:val="center"/>
        <w:rPr>
          <w:rFonts w:ascii="Arial" w:eastAsiaTheme="minorEastAsia" w:hAnsi="Arial" w:cs="Arial"/>
          <w:sz w:val="24"/>
          <w:szCs w:val="24"/>
        </w:rPr>
      </w:pPr>
      <w:r w:rsidRPr="003F4B64">
        <w:rPr>
          <w:rFonts w:ascii="Arial" w:eastAsiaTheme="minorEastAsia" w:hAnsi="Arial" w:cs="Arial"/>
        </w:rPr>
        <w:t xml:space="preserve">(2) </w:t>
      </w:r>
      <w:r w:rsidRPr="003F4B64">
        <w:rPr>
          <w:rFonts w:ascii="Arial" w:eastAsiaTheme="minorEastAsia" w:hAnsi="Arial" w:cs="Arial"/>
          <w:sz w:val="24"/>
          <w:szCs w:val="24"/>
        </w:rPr>
        <w:t xml:space="preserve"> </w:t>
      </w:r>
      <m:oMath>
        <m:r>
          <w:rPr>
            <w:rFonts w:ascii="Cambria Math" w:eastAsiaTheme="minorEastAsia" w:hAnsi="Cambria Math" w:cs="Arial"/>
            <w:sz w:val="26"/>
            <w:szCs w:val="26"/>
          </w:rPr>
          <m:t>mTD</m:t>
        </m:r>
        <m:sSub>
          <m:sSubPr>
            <m:ctrlPr>
              <w:rPr>
                <w:rFonts w:ascii="Cambria Math" w:eastAsiaTheme="minorEastAsia" w:hAnsi="Cambria Math" w:cs="Arial"/>
                <w:i/>
                <w:sz w:val="26"/>
                <w:szCs w:val="26"/>
              </w:rPr>
            </m:ctrlPr>
          </m:sSubPr>
          <m:e>
            <m:r>
              <w:rPr>
                <w:rFonts w:ascii="Cambria Math" w:eastAsiaTheme="minorEastAsia" w:hAnsi="Cambria Math" w:cs="Arial"/>
                <w:sz w:val="26"/>
                <w:szCs w:val="26"/>
              </w:rPr>
              <m:t>I</m:t>
            </m:r>
          </m:e>
          <m:sub>
            <m:r>
              <w:rPr>
                <w:rFonts w:ascii="Cambria Math" w:eastAsiaTheme="minorEastAsia" w:hAnsi="Cambria Math" w:cs="Arial"/>
                <w:sz w:val="26"/>
                <w:szCs w:val="26"/>
              </w:rPr>
              <m:t>x</m:t>
            </m:r>
          </m:sub>
        </m:sSub>
        <m:r>
          <w:rPr>
            <w:rFonts w:ascii="Cambria Math" w:eastAsiaTheme="minorEastAsia" w:hAnsi="Cambria Math" w:cs="Arial"/>
            <w:sz w:val="26"/>
            <w:szCs w:val="26"/>
          </w:rPr>
          <m:t xml:space="preserve">= </m:t>
        </m:r>
        <m:nary>
          <m:naryPr>
            <m:chr m:val="∑"/>
            <m:limLoc m:val="undOvr"/>
            <m:ctrlPr>
              <w:rPr>
                <w:rFonts w:ascii="Cambria Math" w:eastAsiaTheme="minorEastAsia" w:hAnsi="Cambria Math" w:cs="Arial"/>
                <w:i/>
                <w:sz w:val="26"/>
                <w:szCs w:val="26"/>
              </w:rPr>
            </m:ctrlPr>
          </m:naryPr>
          <m:sub>
            <m:r>
              <w:rPr>
                <w:rFonts w:ascii="Cambria Math" w:eastAsiaTheme="minorEastAsia" w:hAnsi="Cambria Math" w:cs="Arial"/>
                <w:sz w:val="26"/>
                <w:szCs w:val="26"/>
              </w:rPr>
              <m:t>1</m:t>
            </m:r>
          </m:sub>
          <m:sup>
            <m:sSub>
              <m:sSubPr>
                <m:ctrlPr>
                  <w:rPr>
                    <w:rFonts w:ascii="Cambria Math" w:eastAsiaTheme="minorEastAsia" w:hAnsi="Cambria Math" w:cs="Arial"/>
                    <w:i/>
                    <w:sz w:val="26"/>
                    <w:szCs w:val="26"/>
                  </w:rPr>
                </m:ctrlPr>
              </m:sSubPr>
              <m:e>
                <m:r>
                  <w:rPr>
                    <w:rFonts w:ascii="Cambria Math" w:eastAsiaTheme="minorEastAsia" w:hAnsi="Cambria Math" w:cs="Arial"/>
                    <w:sz w:val="26"/>
                    <w:szCs w:val="26"/>
                  </w:rPr>
                  <m:t>N</m:t>
                </m:r>
              </m:e>
              <m:sub>
                <m:r>
                  <w:rPr>
                    <w:rFonts w:ascii="Cambria Math" w:eastAsiaTheme="minorEastAsia" w:hAnsi="Cambria Math" w:cs="Arial"/>
                    <w:sz w:val="26"/>
                    <w:szCs w:val="26"/>
                  </w:rPr>
                  <m:t>x</m:t>
                </m:r>
              </m:sub>
            </m:sSub>
          </m:sup>
          <m:e>
            <m:f>
              <m:fPr>
                <m:ctrlPr>
                  <w:rPr>
                    <w:rFonts w:ascii="Cambria Math" w:eastAsiaTheme="minorEastAsia" w:hAnsi="Cambria Math" w:cs="Arial"/>
                    <w:i/>
                    <w:sz w:val="26"/>
                    <w:szCs w:val="26"/>
                  </w:rPr>
                </m:ctrlPr>
              </m:fPr>
              <m:num>
                <m:sSub>
                  <m:sSubPr>
                    <m:ctrlPr>
                      <w:rPr>
                        <w:rFonts w:ascii="Cambria Math" w:eastAsiaTheme="minorEastAsia" w:hAnsi="Cambria Math" w:cs="Arial"/>
                        <w:i/>
                        <w:sz w:val="26"/>
                        <w:szCs w:val="26"/>
                      </w:rPr>
                    </m:ctrlPr>
                  </m:sSubPr>
                  <m:e>
                    <m:r>
                      <w:rPr>
                        <w:rFonts w:ascii="Cambria Math" w:eastAsiaTheme="minorEastAsia" w:hAnsi="Cambria Math" w:cs="Arial"/>
                        <w:sz w:val="26"/>
                        <w:szCs w:val="26"/>
                      </w:rPr>
                      <m:t>Bi</m:t>
                    </m:r>
                  </m:e>
                  <m:sub>
                    <m:r>
                      <w:rPr>
                        <w:rFonts w:ascii="Cambria Math" w:eastAsiaTheme="minorEastAsia" w:hAnsi="Cambria Math" w:cs="Arial"/>
                        <w:sz w:val="26"/>
                        <w:szCs w:val="26"/>
                      </w:rPr>
                      <m:t>x</m:t>
                    </m:r>
                  </m:sub>
                </m:sSub>
              </m:num>
              <m:den>
                <m:sSub>
                  <m:sSubPr>
                    <m:ctrlPr>
                      <w:rPr>
                        <w:rFonts w:ascii="Cambria Math" w:eastAsiaTheme="minorEastAsia" w:hAnsi="Cambria Math" w:cs="Arial"/>
                        <w:i/>
                        <w:sz w:val="26"/>
                        <w:szCs w:val="26"/>
                      </w:rPr>
                    </m:ctrlPr>
                  </m:sSubPr>
                  <m:e>
                    <m:r>
                      <w:rPr>
                        <w:rFonts w:ascii="Cambria Math" w:eastAsiaTheme="minorEastAsia" w:hAnsi="Cambria Math" w:cs="Arial"/>
                        <w:sz w:val="26"/>
                        <w:szCs w:val="26"/>
                      </w:rPr>
                      <m:t>Bn</m:t>
                    </m:r>
                  </m:e>
                  <m:sub>
                    <m:r>
                      <w:rPr>
                        <w:rFonts w:ascii="Cambria Math" w:eastAsiaTheme="minorEastAsia" w:hAnsi="Cambria Math" w:cs="Arial"/>
                        <w:sz w:val="26"/>
                        <w:szCs w:val="26"/>
                      </w:rPr>
                      <m:t>x</m:t>
                    </m:r>
                  </m:sub>
                </m:sSub>
              </m:den>
            </m:f>
            <m:r>
              <w:rPr>
                <w:rFonts w:ascii="Cambria Math" w:eastAsiaTheme="minorEastAsia" w:hAnsi="Cambria Math" w:cs="Arial"/>
                <w:sz w:val="26"/>
                <w:szCs w:val="26"/>
              </w:rPr>
              <m:t xml:space="preserve"> ×</m:t>
            </m:r>
            <m:r>
              <w:rPr>
                <w:rFonts w:ascii="Cambria Math" w:eastAsiaTheme="minorEastAsia" w:hAnsi="Cambria Math" w:cs="Arial"/>
                <w:sz w:val="26"/>
                <w:szCs w:val="26"/>
              </w:rPr>
              <m:t>S</m:t>
            </m:r>
            <m:sSub>
              <m:sSubPr>
                <m:ctrlPr>
                  <w:rPr>
                    <w:rFonts w:ascii="Cambria Math" w:eastAsiaTheme="minorEastAsia" w:hAnsi="Cambria Math" w:cs="Arial"/>
                    <w:i/>
                    <w:sz w:val="26"/>
                    <w:szCs w:val="26"/>
                  </w:rPr>
                </m:ctrlPr>
              </m:sSubPr>
              <m:e>
                <m:r>
                  <w:rPr>
                    <w:rFonts w:ascii="Cambria Math" w:eastAsiaTheme="minorEastAsia" w:hAnsi="Cambria Math" w:cs="Arial"/>
                    <w:sz w:val="26"/>
                    <w:szCs w:val="26"/>
                  </w:rPr>
                  <m:t>I</m:t>
                </m:r>
              </m:e>
              <m:sub>
                <m:r>
                  <w:rPr>
                    <w:rFonts w:ascii="Cambria Math" w:eastAsiaTheme="minorEastAsia" w:hAnsi="Cambria Math" w:cs="Arial"/>
                    <w:sz w:val="26"/>
                    <w:szCs w:val="26"/>
                  </w:rPr>
                  <m:t>i</m:t>
                </m:r>
              </m:sub>
            </m:sSub>
          </m:e>
        </m:nary>
      </m:oMath>
    </w:p>
    <w:p w:rsidR="009F2E31" w:rsidRPr="00E31E76" w:rsidRDefault="009F2E31" w:rsidP="009F2E31">
      <w:pPr>
        <w:autoSpaceDE w:val="0"/>
        <w:autoSpaceDN w:val="0"/>
        <w:adjustRightInd w:val="0"/>
        <w:spacing w:after="0" w:line="240" w:lineRule="auto"/>
        <w:jc w:val="both"/>
        <w:rPr>
          <w:rFonts w:ascii="Arial" w:hAnsi="Arial" w:cs="Arial"/>
          <w:lang w:val="en-US"/>
        </w:rPr>
      </w:pPr>
      <w:proofErr w:type="gramStart"/>
      <w:r w:rsidRPr="00E31E76">
        <w:rPr>
          <w:rFonts w:ascii="Arial" w:hAnsi="Arial" w:cs="Arial"/>
          <w:lang w:val="en-US"/>
        </w:rPr>
        <w:t>with</w:t>
      </w:r>
      <w:proofErr w:type="gramEnd"/>
      <w:r w:rsidRPr="00E31E76">
        <w:rPr>
          <w:rFonts w:ascii="Arial" w:hAnsi="Arial" w:cs="Arial"/>
          <w:lang w:val="en-US"/>
        </w:rPr>
        <w:t xml:space="preserve"> </w:t>
      </w:r>
      <w:proofErr w:type="spellStart"/>
      <w:r>
        <w:rPr>
          <w:rFonts w:ascii="Arial" w:hAnsi="Arial" w:cs="Arial"/>
          <w:lang w:val="en-US"/>
        </w:rPr>
        <w:t>N</w:t>
      </w:r>
      <w:r w:rsidRPr="00E31E76">
        <w:rPr>
          <w:rFonts w:ascii="Arial" w:hAnsi="Arial" w:cs="Arial"/>
          <w:vertAlign w:val="subscript"/>
          <w:lang w:val="en-US"/>
        </w:rPr>
        <w:t>x</w:t>
      </w:r>
      <w:proofErr w:type="spellEnd"/>
      <w:r w:rsidRPr="00E31E76">
        <w:rPr>
          <w:rFonts w:ascii="Arial" w:hAnsi="Arial" w:cs="Arial"/>
          <w:lang w:val="en-US"/>
        </w:rPr>
        <w:t xml:space="preserve">, the number of </w:t>
      </w:r>
      <w:proofErr w:type="spellStart"/>
      <w:r w:rsidRPr="00E31E76">
        <w:rPr>
          <w:rFonts w:ascii="Arial" w:hAnsi="Arial" w:cs="Arial"/>
          <w:lang w:val="en-US"/>
        </w:rPr>
        <w:t>taxons</w:t>
      </w:r>
      <w:proofErr w:type="spellEnd"/>
      <w:r w:rsidRPr="00E31E76">
        <w:rPr>
          <w:rFonts w:ascii="Arial" w:hAnsi="Arial" w:cs="Arial"/>
          <w:lang w:val="en-US"/>
        </w:rPr>
        <w:t xml:space="preserve"> in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lang w:val="en-US"/>
        </w:rPr>
        <w:t xml:space="preserve"> observation; Bi</w:t>
      </w:r>
      <w:r w:rsidRPr="00E31E76">
        <w:rPr>
          <w:rFonts w:ascii="Arial" w:hAnsi="Arial" w:cs="Arial"/>
          <w:vertAlign w:val="subscript"/>
          <w:lang w:val="en-US"/>
        </w:rPr>
        <w:t>x</w:t>
      </w:r>
      <w:r>
        <w:rPr>
          <w:rFonts w:ascii="Arial" w:hAnsi="Arial" w:cs="Arial"/>
          <w:lang w:val="en-US"/>
        </w:rPr>
        <w:t xml:space="preserve">, abundance </w:t>
      </w:r>
      <w:r w:rsidRPr="00E31E76">
        <w:rPr>
          <w:rFonts w:ascii="Arial" w:hAnsi="Arial" w:cs="Arial"/>
          <w:lang w:val="en-US"/>
        </w:rPr>
        <w:t xml:space="preserve">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 in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lang w:val="en-US"/>
        </w:rPr>
        <w:t xml:space="preserve"> observation; </w:t>
      </w:r>
      <w:proofErr w:type="spellStart"/>
      <w:r w:rsidRPr="00E31E76">
        <w:rPr>
          <w:rFonts w:ascii="Arial" w:hAnsi="Arial" w:cs="Arial"/>
          <w:lang w:val="en-US"/>
        </w:rPr>
        <w:t>Bn</w:t>
      </w:r>
      <w:r w:rsidRPr="00E31E76">
        <w:rPr>
          <w:rFonts w:ascii="Arial" w:hAnsi="Arial" w:cs="Arial"/>
          <w:vertAlign w:val="subscript"/>
          <w:lang w:val="en-US"/>
        </w:rPr>
        <w:t>x</w:t>
      </w:r>
      <w:proofErr w:type="spellEnd"/>
      <w:r w:rsidRPr="00E31E76">
        <w:rPr>
          <w:rFonts w:ascii="Arial" w:hAnsi="Arial" w:cs="Arial"/>
          <w:lang w:val="en-US"/>
        </w:rPr>
        <w:t xml:space="preserve">, </w:t>
      </w:r>
      <w:r>
        <w:rPr>
          <w:rFonts w:ascii="Arial" w:hAnsi="Arial" w:cs="Arial"/>
          <w:lang w:val="en-US"/>
        </w:rPr>
        <w:t>summed</w:t>
      </w:r>
      <w:r w:rsidRPr="00E31E76">
        <w:rPr>
          <w:rFonts w:ascii="Arial" w:hAnsi="Arial" w:cs="Arial"/>
          <w:lang w:val="en-US"/>
        </w:rPr>
        <w:t xml:space="preserve"> </w:t>
      </w:r>
      <w:r>
        <w:rPr>
          <w:rFonts w:ascii="Arial" w:hAnsi="Arial" w:cs="Arial"/>
          <w:lang w:val="en-US"/>
        </w:rPr>
        <w:t>abundances</w:t>
      </w:r>
      <w:r w:rsidRPr="00E31E76">
        <w:rPr>
          <w:rFonts w:ascii="Arial" w:hAnsi="Arial" w:cs="Arial"/>
          <w:lang w:val="en-US"/>
        </w:rPr>
        <w:t xml:space="preserve"> of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vertAlign w:val="superscript"/>
          <w:lang w:val="en-US"/>
        </w:rPr>
        <w:t xml:space="preserve"> </w:t>
      </w:r>
      <w:r w:rsidRPr="00E31E76">
        <w:rPr>
          <w:rFonts w:ascii="Arial" w:hAnsi="Arial" w:cs="Arial"/>
          <w:lang w:val="en-US"/>
        </w:rPr>
        <w:t xml:space="preserve">observation and </w:t>
      </w:r>
      <w:proofErr w:type="spellStart"/>
      <w:r w:rsidRPr="00E31E76">
        <w:rPr>
          <w:rFonts w:ascii="Arial" w:hAnsi="Arial" w:cs="Arial"/>
          <w:lang w:val="en-US"/>
        </w:rPr>
        <w:t>SI</w:t>
      </w:r>
      <w:r w:rsidRPr="00E31E76">
        <w:rPr>
          <w:rFonts w:ascii="Arial" w:hAnsi="Arial" w:cs="Arial"/>
          <w:vertAlign w:val="subscript"/>
          <w:lang w:val="en-US"/>
        </w:rPr>
        <w:t>i</w:t>
      </w:r>
      <w:proofErr w:type="spellEnd"/>
      <w:r w:rsidRPr="00E31E76">
        <w:rPr>
          <w:rFonts w:ascii="Arial" w:hAnsi="Arial" w:cs="Arial"/>
          <w:lang w:val="en-US"/>
        </w:rPr>
        <w:t xml:space="preserve">, </w:t>
      </w:r>
      <w:r>
        <w:rPr>
          <w:rFonts w:ascii="Arial" w:hAnsi="Arial" w:cs="Arial"/>
          <w:lang w:val="en-US"/>
        </w:rPr>
        <w:t>the sensitivity index (</w:t>
      </w:r>
      <w:r w:rsidRPr="00E31E76">
        <w:rPr>
          <w:rFonts w:ascii="Arial" w:hAnsi="Arial" w:cs="Arial"/>
          <w:lang w:val="en-US"/>
        </w:rPr>
        <w:t>SI</w:t>
      </w:r>
      <w:r>
        <w:rPr>
          <w:rFonts w:ascii="Arial" w:hAnsi="Arial" w:cs="Arial"/>
          <w:lang w:val="en-US"/>
        </w:rPr>
        <w:t>)</w:t>
      </w:r>
      <w:r w:rsidRPr="00E31E76">
        <w:rPr>
          <w:rFonts w:ascii="Arial" w:hAnsi="Arial" w:cs="Arial"/>
          <w:lang w:val="en-US"/>
        </w:rPr>
        <w:t xml:space="preserve"> 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w:t>
      </w:r>
    </w:p>
    <w:p w:rsidR="009F2E31" w:rsidRPr="00E31E76" w:rsidRDefault="009F2E31" w:rsidP="009F2E31">
      <w:pPr>
        <w:autoSpaceDE w:val="0"/>
        <w:autoSpaceDN w:val="0"/>
        <w:adjustRightInd w:val="0"/>
        <w:spacing w:after="0" w:line="240" w:lineRule="auto"/>
        <w:jc w:val="both"/>
        <w:rPr>
          <w:rFonts w:ascii="Arial" w:hAnsi="Arial" w:cs="Arial"/>
          <w:lang w:val="en-US"/>
        </w:rPr>
      </w:pPr>
    </w:p>
    <w:p w:rsidR="009F2E31" w:rsidRPr="00E31E76" w:rsidRDefault="009F2E31" w:rsidP="00752613">
      <w:pPr>
        <w:autoSpaceDE w:val="0"/>
        <w:autoSpaceDN w:val="0"/>
        <w:adjustRightInd w:val="0"/>
        <w:spacing w:after="320" w:line="240" w:lineRule="auto"/>
        <w:ind w:firstLine="708"/>
        <w:jc w:val="both"/>
        <w:rPr>
          <w:rFonts w:ascii="Arial" w:hAnsi="Arial" w:cs="Arial"/>
          <w:lang w:val="en-US"/>
        </w:rPr>
      </w:pPr>
      <w:r>
        <w:rPr>
          <w:rFonts w:ascii="Arial" w:hAnsi="Arial" w:cs="Arial"/>
          <w:lang w:val="en-US"/>
        </w:rPr>
        <w:t xml:space="preserve">The </w:t>
      </w:r>
      <w:proofErr w:type="spellStart"/>
      <w:r>
        <w:rPr>
          <w:rFonts w:ascii="Arial" w:hAnsi="Arial" w:cs="Arial"/>
          <w:lang w:val="en-US"/>
        </w:rPr>
        <w:t>pTDI</w:t>
      </w:r>
      <w:proofErr w:type="spellEnd"/>
      <w:r>
        <w:rPr>
          <w:rFonts w:ascii="Arial" w:hAnsi="Arial" w:cs="Arial"/>
          <w:lang w:val="en-US"/>
        </w:rPr>
        <w:t xml:space="preserve"> </w:t>
      </w:r>
      <w:r w:rsidR="00031F3F" w:rsidRPr="00031F3F">
        <w:rPr>
          <w:rFonts w:ascii="Arial" w:hAnsi="Arial" w:cs="Arial"/>
          <w:sz w:val="21"/>
          <w:szCs w:val="21"/>
          <w:lang w:val="en-US"/>
        </w:rPr>
        <w:t>[11]</w:t>
      </w:r>
      <w:r>
        <w:rPr>
          <w:rFonts w:ascii="Arial" w:hAnsi="Arial" w:cs="Arial"/>
          <w:lang w:val="en-US"/>
        </w:rPr>
        <w:t xml:space="preserve"> is a modification of </w:t>
      </w:r>
      <w:proofErr w:type="spellStart"/>
      <w:r>
        <w:rPr>
          <w:rFonts w:ascii="Arial" w:hAnsi="Arial" w:cs="Arial"/>
          <w:lang w:val="en-US"/>
        </w:rPr>
        <w:t>mTDI</w:t>
      </w:r>
      <w:proofErr w:type="spellEnd"/>
      <w:r>
        <w:rPr>
          <w:rFonts w:ascii="Arial" w:hAnsi="Arial" w:cs="Arial"/>
          <w:lang w:val="en-US"/>
        </w:rPr>
        <w:t xml:space="preserve"> to focused only on sensitive</w:t>
      </w:r>
      <w:r w:rsidRPr="00C9031D">
        <w:rPr>
          <w:rFonts w:ascii="Arial" w:hAnsi="Arial" w:cs="Arial"/>
          <w:lang w:val="en-US"/>
        </w:rPr>
        <w:t xml:space="preserve"> </w:t>
      </w:r>
      <w:r w:rsidRPr="00E31E76">
        <w:rPr>
          <w:rFonts w:ascii="Arial" w:hAnsi="Arial" w:cs="Arial"/>
          <w:lang w:val="en-US"/>
        </w:rPr>
        <w:t>species (SI &gt;7)</w:t>
      </w:r>
      <w:r>
        <w:rPr>
          <w:rFonts w:ascii="Arial" w:hAnsi="Arial" w:cs="Arial"/>
          <w:lang w:val="en-US"/>
        </w:rPr>
        <w:t xml:space="preserve"> </w:t>
      </w:r>
      <w:r w:rsidRPr="00C9031D">
        <w:rPr>
          <w:rFonts w:ascii="Arial" w:hAnsi="Arial" w:cs="Arial"/>
          <w:lang w:val="en-US"/>
        </w:rPr>
        <w:t>and thus try to better detect the effect of trawling</w:t>
      </w:r>
      <w:r>
        <w:rPr>
          <w:rFonts w:ascii="Arial" w:hAnsi="Arial" w:cs="Arial"/>
          <w:lang w:val="en-US"/>
        </w:rPr>
        <w:t xml:space="preserve"> (Eq. 3). </w:t>
      </w:r>
    </w:p>
    <w:p w:rsidR="009F2E31" w:rsidRPr="0014192F" w:rsidRDefault="003F4B64" w:rsidP="00752613">
      <w:pPr>
        <w:spacing w:after="280"/>
        <w:jc w:val="both"/>
        <w:rPr>
          <w:rFonts w:ascii="Arial" w:eastAsiaTheme="minorEastAsia" w:hAnsi="Arial" w:cs="Arial"/>
          <w:sz w:val="24"/>
          <w:szCs w:val="24"/>
          <w:lang w:val="en-US"/>
        </w:rPr>
      </w:pPr>
      <m:oMathPara>
        <m:oMath>
          <m:d>
            <m:dPr>
              <m:ctrlPr>
                <w:rPr>
                  <w:rFonts w:ascii="Cambria Math" w:eastAsiaTheme="minorEastAsia" w:hAnsi="Cambria Math" w:cs="Arial"/>
                </w:rPr>
              </m:ctrlPr>
            </m:dPr>
            <m:e>
              <m:r>
                <m:rPr>
                  <m:sty m:val="p"/>
                </m:rPr>
                <w:rPr>
                  <w:rFonts w:ascii="Cambria Math" w:eastAsiaTheme="minorEastAsia" w:hAnsi="Cambria Math" w:cs="Arial"/>
                </w:rPr>
                <m:t>3</m:t>
              </m:r>
            </m:e>
          </m:d>
          <m:r>
            <w:rPr>
              <w:rFonts w:ascii="Cambria Math" w:eastAsiaTheme="minorEastAsia" w:hAnsi="Cambria Math" w:cs="Arial"/>
            </w:rPr>
            <m:t xml:space="preserve">     pTD</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x</m:t>
              </m:r>
            </m:sub>
          </m:sSub>
          <m:r>
            <w:rPr>
              <w:rFonts w:ascii="Cambria Math" w:eastAsiaTheme="minorEastAsia" w:hAnsi="Cambria Math" w:cs="Arial"/>
              <w:lang w:val="en-US"/>
            </w:rPr>
            <m:t xml:space="preserve">= </m:t>
          </m:r>
          <m:nary>
            <m:naryPr>
              <m:chr m:val="∑"/>
              <m:limLoc m:val="undOvr"/>
              <m:ctrlPr>
                <w:rPr>
                  <w:rFonts w:ascii="Cambria Math" w:eastAsiaTheme="minorEastAsia" w:hAnsi="Cambria Math" w:cs="Arial"/>
                  <w:i/>
                </w:rPr>
              </m:ctrlPr>
            </m:naryPr>
            <m:sub>
              <m:r>
                <w:rPr>
                  <w:rFonts w:ascii="Cambria Math" w:eastAsiaTheme="minorEastAsia" w:hAnsi="Cambria Math" w:cs="Arial"/>
                  <w:lang w:val="en-US"/>
                </w:rPr>
                <m:t>1</m:t>
              </m:r>
            </m:sub>
            <m:sup>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x</m:t>
                  </m:r>
                </m:sub>
              </m:sSub>
            </m:sup>
            <m:e>
              <m:f>
                <m:fPr>
                  <m:ctrlPr>
                    <w:rPr>
                      <w:rFonts w:ascii="Cambria Math" w:eastAsiaTheme="minorEastAsia" w:hAnsi="Cambria Math" w:cs="Arial"/>
                      <w:i/>
                    </w:rPr>
                  </m:ctrlPr>
                </m:fPr>
                <m:num>
                  <m:r>
                    <w:rPr>
                      <w:rFonts w:ascii="Cambria Math" w:eastAsiaTheme="minorEastAsia" w:hAnsi="Cambria Math" w:cs="Arial"/>
                    </w:rPr>
                    <m:t>B</m:t>
                  </m:r>
                  <m:sSub>
                    <m:sSubPr>
                      <m:ctrlPr>
                        <w:rPr>
                          <w:rFonts w:ascii="Cambria Math" w:eastAsiaTheme="minorEastAsia" w:hAnsi="Cambria Math" w:cs="Arial"/>
                          <w:i/>
                        </w:rPr>
                      </m:ctrlPr>
                    </m:sSubPr>
                    <m:e>
                      <m:r>
                        <w:rPr>
                          <w:rFonts w:ascii="Cambria Math" w:eastAsiaTheme="minorEastAsia" w:hAnsi="Cambria Math" w:cs="Arial"/>
                        </w:rPr>
                        <m:t>ij</m:t>
                      </m:r>
                    </m:e>
                    <m:sub>
                      <m:r>
                        <w:rPr>
                          <w:rFonts w:ascii="Cambria Math" w:eastAsiaTheme="minorEastAsia" w:hAnsi="Cambria Math" w:cs="Arial"/>
                        </w:rPr>
                        <m:t>x</m:t>
                      </m:r>
                    </m:sub>
                  </m:sSub>
                </m:num>
                <m:den>
                  <m:sSub>
                    <m:sSubPr>
                      <m:ctrlPr>
                        <w:rPr>
                          <w:rFonts w:ascii="Cambria Math" w:eastAsiaTheme="minorEastAsia" w:hAnsi="Cambria Math" w:cs="Arial"/>
                          <w:i/>
                        </w:rPr>
                      </m:ctrlPr>
                    </m:sSubPr>
                    <m:e>
                      <m:r>
                        <w:rPr>
                          <w:rFonts w:ascii="Cambria Math" w:eastAsiaTheme="minorEastAsia" w:hAnsi="Cambria Math" w:cs="Arial"/>
                        </w:rPr>
                        <m:t>Bn</m:t>
                      </m:r>
                    </m:e>
                    <m:sub>
                      <m:r>
                        <w:rPr>
                          <w:rFonts w:ascii="Cambria Math" w:eastAsiaTheme="minorEastAsia" w:hAnsi="Cambria Math" w:cs="Arial"/>
                        </w:rPr>
                        <m:t>x</m:t>
                      </m:r>
                    </m:sub>
                  </m:sSub>
                </m:den>
              </m:f>
              <m:r>
                <w:rPr>
                  <w:rFonts w:ascii="Cambria Math" w:eastAsiaTheme="minorEastAsia" w:hAnsi="Cambria Math" w:cs="Arial"/>
                  <w:lang w:val="en-US"/>
                </w:rPr>
                <m:t xml:space="preserve"> ×</m:t>
              </m:r>
              <m:r>
                <w:rPr>
                  <w:rFonts w:ascii="Cambria Math" w:eastAsiaTheme="minorEastAsia" w:hAnsi="Cambria Math" w:cs="Arial"/>
                </w:rPr>
                <m:t>S</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ij</m:t>
                  </m:r>
                </m:sub>
              </m:sSub>
            </m:e>
          </m:nary>
        </m:oMath>
      </m:oMathPara>
    </w:p>
    <w:p w:rsidR="009F2E31" w:rsidRDefault="009F2E31" w:rsidP="009F2E31">
      <w:pPr>
        <w:autoSpaceDE w:val="0"/>
        <w:autoSpaceDN w:val="0"/>
        <w:adjustRightInd w:val="0"/>
        <w:spacing w:after="0" w:line="240" w:lineRule="auto"/>
        <w:jc w:val="both"/>
        <w:rPr>
          <w:rFonts w:ascii="Arial" w:hAnsi="Arial" w:cs="Arial"/>
          <w:lang w:val="en-US"/>
        </w:rPr>
      </w:pPr>
      <w:proofErr w:type="gramStart"/>
      <w:r w:rsidRPr="00E31E76">
        <w:rPr>
          <w:rFonts w:ascii="Arial" w:hAnsi="Arial" w:cs="Arial"/>
          <w:lang w:val="en-US"/>
        </w:rPr>
        <w:t>with</w:t>
      </w:r>
      <w:proofErr w:type="gramEnd"/>
      <w:r w:rsidRPr="00E31E76">
        <w:rPr>
          <w:rFonts w:ascii="Arial" w:hAnsi="Arial" w:cs="Arial"/>
          <w:lang w:val="en-US"/>
        </w:rPr>
        <w:t xml:space="preserve"> </w:t>
      </w:r>
      <w:proofErr w:type="spellStart"/>
      <w:r w:rsidRPr="00E31E76">
        <w:rPr>
          <w:rFonts w:ascii="Arial" w:hAnsi="Arial" w:cs="Arial"/>
          <w:lang w:val="en-US"/>
        </w:rPr>
        <w:t>B</w:t>
      </w:r>
      <w:r>
        <w:rPr>
          <w:rFonts w:ascii="Arial" w:hAnsi="Arial" w:cs="Arial"/>
          <w:lang w:val="en-US"/>
        </w:rPr>
        <w:t>i</w:t>
      </w:r>
      <w:r w:rsidRPr="00E31E76">
        <w:rPr>
          <w:rFonts w:ascii="Arial" w:hAnsi="Arial" w:cs="Arial"/>
          <w:lang w:val="en-US"/>
        </w:rPr>
        <w:t>j</w:t>
      </w:r>
      <w:r w:rsidRPr="00E31E76">
        <w:rPr>
          <w:rFonts w:ascii="Arial" w:hAnsi="Arial" w:cs="Arial"/>
          <w:vertAlign w:val="subscript"/>
          <w:lang w:val="en-US"/>
        </w:rPr>
        <w:t>x</w:t>
      </w:r>
      <w:proofErr w:type="spellEnd"/>
      <w:r w:rsidRPr="00E31E76">
        <w:rPr>
          <w:rFonts w:ascii="Arial" w:hAnsi="Arial" w:cs="Arial"/>
          <w:lang w:val="en-US"/>
        </w:rPr>
        <w:t xml:space="preserve">, </w:t>
      </w:r>
      <w:r w:rsidR="00031F3F">
        <w:rPr>
          <w:rFonts w:ascii="Arial" w:hAnsi="Arial" w:cs="Arial"/>
          <w:lang w:val="en-US"/>
        </w:rPr>
        <w:t>abundance</w:t>
      </w:r>
      <w:r w:rsidRPr="00E31E76">
        <w:rPr>
          <w:rFonts w:ascii="Arial" w:hAnsi="Arial" w:cs="Arial"/>
          <w:lang w:val="en-US"/>
        </w:rPr>
        <w:t xml:space="preserve"> 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 of the list j of sensitive taxon (SI&gt;7) in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lang w:val="en-US"/>
        </w:rPr>
        <w:t xml:space="preserve"> observation; and </w:t>
      </w:r>
      <w:proofErr w:type="spellStart"/>
      <w:r w:rsidRPr="00E31E76">
        <w:rPr>
          <w:rFonts w:ascii="Arial" w:hAnsi="Arial" w:cs="Arial"/>
          <w:lang w:val="en-US"/>
        </w:rPr>
        <w:t>SI</w:t>
      </w:r>
      <w:r w:rsidRPr="00E31E76">
        <w:rPr>
          <w:rFonts w:ascii="Arial" w:hAnsi="Arial" w:cs="Arial"/>
          <w:vertAlign w:val="subscript"/>
          <w:lang w:val="en-US"/>
        </w:rPr>
        <w:t>ij</w:t>
      </w:r>
      <w:proofErr w:type="spellEnd"/>
      <w:r w:rsidRPr="00E31E76">
        <w:rPr>
          <w:rFonts w:ascii="Arial" w:hAnsi="Arial" w:cs="Arial"/>
          <w:lang w:val="en-US"/>
        </w:rPr>
        <w:t xml:space="preserve">, SI 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 of the list j of vulnerable taxon, ; </w:t>
      </w:r>
      <w:proofErr w:type="spellStart"/>
      <w:r w:rsidRPr="00E31E76">
        <w:rPr>
          <w:rFonts w:ascii="Arial" w:hAnsi="Arial" w:cs="Arial"/>
          <w:lang w:val="en-US"/>
        </w:rPr>
        <w:t>Bn</w:t>
      </w:r>
      <w:r w:rsidRPr="00E31E76">
        <w:rPr>
          <w:rFonts w:ascii="Arial" w:hAnsi="Arial" w:cs="Arial"/>
          <w:vertAlign w:val="subscript"/>
          <w:lang w:val="en-US"/>
        </w:rPr>
        <w:t>x</w:t>
      </w:r>
      <w:proofErr w:type="spellEnd"/>
      <w:r w:rsidRPr="00E31E76">
        <w:rPr>
          <w:rFonts w:ascii="Arial" w:hAnsi="Arial" w:cs="Arial"/>
          <w:lang w:val="en-US"/>
        </w:rPr>
        <w:t xml:space="preserve">, </w:t>
      </w:r>
      <w:r>
        <w:rPr>
          <w:rFonts w:ascii="Arial" w:hAnsi="Arial" w:cs="Arial"/>
          <w:lang w:val="en-US"/>
        </w:rPr>
        <w:t>summed</w:t>
      </w:r>
      <w:r w:rsidR="00031F3F">
        <w:rPr>
          <w:rFonts w:ascii="Arial" w:hAnsi="Arial" w:cs="Arial"/>
          <w:lang w:val="en-US"/>
        </w:rPr>
        <w:t xml:space="preserve"> abundance</w:t>
      </w:r>
      <w:r w:rsidRPr="00E31E76">
        <w:rPr>
          <w:rFonts w:ascii="Arial" w:hAnsi="Arial" w:cs="Arial"/>
          <w:lang w:val="en-US"/>
        </w:rPr>
        <w:t xml:space="preserve"> of the </w:t>
      </w:r>
      <w:proofErr w:type="spellStart"/>
      <w:r w:rsidRPr="00E31E76">
        <w:rPr>
          <w:rFonts w:ascii="Arial" w:hAnsi="Arial" w:cs="Arial"/>
          <w:lang w:val="en-US"/>
        </w:rPr>
        <w:t>x</w:t>
      </w:r>
      <w:r w:rsidRPr="00E31E76">
        <w:rPr>
          <w:rFonts w:ascii="Arial" w:hAnsi="Arial" w:cs="Arial"/>
          <w:vertAlign w:val="superscript"/>
          <w:lang w:val="en-US"/>
        </w:rPr>
        <w:t>th</w:t>
      </w:r>
      <w:proofErr w:type="spellEnd"/>
      <w:r w:rsidRPr="00E31E76">
        <w:rPr>
          <w:rFonts w:ascii="Arial" w:hAnsi="Arial" w:cs="Arial"/>
          <w:vertAlign w:val="superscript"/>
          <w:lang w:val="en-US"/>
        </w:rPr>
        <w:t xml:space="preserve"> </w:t>
      </w:r>
      <w:r w:rsidRPr="00E31E76">
        <w:rPr>
          <w:rFonts w:ascii="Arial" w:hAnsi="Arial" w:cs="Arial"/>
          <w:lang w:val="en-US"/>
        </w:rPr>
        <w:t>observation (including all observed taxa)</w:t>
      </w:r>
    </w:p>
    <w:p w:rsidR="009F2E31" w:rsidRPr="002212E0" w:rsidRDefault="009F2E31" w:rsidP="009F2E31">
      <w:pPr>
        <w:autoSpaceDE w:val="0"/>
        <w:autoSpaceDN w:val="0"/>
        <w:adjustRightInd w:val="0"/>
        <w:spacing w:after="0" w:line="240" w:lineRule="auto"/>
        <w:jc w:val="both"/>
        <w:rPr>
          <w:rFonts w:ascii="Arial" w:hAnsi="Arial" w:cs="Arial"/>
          <w:lang w:val="en-US"/>
        </w:rPr>
      </w:pPr>
    </w:p>
    <w:p w:rsidR="00031F3F" w:rsidRDefault="009F2E31" w:rsidP="009F2E31">
      <w:pPr>
        <w:tabs>
          <w:tab w:val="left" w:pos="3504"/>
        </w:tabs>
        <w:spacing w:after="0"/>
        <w:ind w:firstLine="851"/>
        <w:jc w:val="both"/>
        <w:rPr>
          <w:rFonts w:ascii="Arial" w:hAnsi="Arial" w:cs="Arial"/>
          <w:lang w:val="en-US"/>
        </w:rPr>
      </w:pPr>
      <w:r>
        <w:rPr>
          <w:rFonts w:ascii="Arial" w:hAnsi="Arial" w:cs="Arial"/>
          <w:lang w:val="en-US"/>
        </w:rPr>
        <w:t>Values of these</w:t>
      </w:r>
      <w:r w:rsidRPr="00E31E76">
        <w:rPr>
          <w:rFonts w:ascii="Arial" w:hAnsi="Arial" w:cs="Arial"/>
          <w:lang w:val="en-US"/>
        </w:rPr>
        <w:t xml:space="preserve"> three indices are high when the biomass is dominated </w:t>
      </w:r>
      <w:r>
        <w:rPr>
          <w:rFonts w:ascii="Arial" w:hAnsi="Arial" w:cs="Arial"/>
          <w:lang w:val="en-US"/>
        </w:rPr>
        <w:t xml:space="preserve">by </w:t>
      </w:r>
      <w:r w:rsidRPr="00E31E76">
        <w:rPr>
          <w:rFonts w:ascii="Arial" w:hAnsi="Arial" w:cs="Arial"/>
          <w:lang w:val="en-US"/>
        </w:rPr>
        <w:t>sensitive species and decrease as they are replaced by less sensitive species in the assemblage.</w:t>
      </w:r>
    </w:p>
    <w:p w:rsidR="009F2E31" w:rsidRDefault="009F2E31" w:rsidP="009F2E31">
      <w:pPr>
        <w:tabs>
          <w:tab w:val="left" w:pos="3504"/>
        </w:tabs>
        <w:spacing w:after="0"/>
        <w:ind w:firstLine="851"/>
        <w:jc w:val="both"/>
        <w:rPr>
          <w:rFonts w:ascii="Arial" w:hAnsi="Arial" w:cs="Arial"/>
          <w:lang w:val="en-US"/>
        </w:rPr>
      </w:pPr>
      <w:r>
        <w:rPr>
          <w:rFonts w:ascii="Arial" w:hAnsi="Arial" w:cs="Arial"/>
          <w:lang w:val="en-US"/>
        </w:rPr>
        <w:t xml:space="preserve"> </w:t>
      </w:r>
    </w:p>
    <w:p w:rsidR="009F2E31" w:rsidRPr="00E31E76" w:rsidRDefault="009F2E31" w:rsidP="009F2E31">
      <w:pPr>
        <w:tabs>
          <w:tab w:val="left" w:pos="3504"/>
        </w:tabs>
        <w:spacing w:after="0"/>
        <w:ind w:firstLine="851"/>
        <w:jc w:val="both"/>
        <w:rPr>
          <w:rFonts w:ascii="Arial" w:hAnsi="Arial" w:cs="Arial"/>
          <w:lang w:val="en-US"/>
        </w:rPr>
      </w:pPr>
      <w:r w:rsidRPr="00E31E76">
        <w:rPr>
          <w:rFonts w:ascii="Arial" w:hAnsi="Arial" w:cs="Arial"/>
          <w:lang w:val="en-US"/>
        </w:rPr>
        <w:t xml:space="preserve">For the calculation of the </w:t>
      </w:r>
      <w:r w:rsidRPr="00E31E76">
        <w:rPr>
          <w:rFonts w:ascii="Arial" w:hAnsi="Arial" w:cs="Arial"/>
          <w:color w:val="212121"/>
          <w:shd w:val="clear" w:color="auto" w:fill="FFFFFF"/>
          <w:lang w:val="en-US"/>
        </w:rPr>
        <w:t xml:space="preserve">modified </w:t>
      </w:r>
      <w:r w:rsidRPr="00E31E76">
        <w:rPr>
          <w:rFonts w:ascii="Arial" w:hAnsi="Arial" w:cs="Arial"/>
          <w:lang w:val="en-US"/>
        </w:rPr>
        <w:t xml:space="preserve">vulnerability </w:t>
      </w:r>
      <w:r w:rsidRPr="00E31E76">
        <w:rPr>
          <w:rFonts w:ascii="Arial" w:hAnsi="Arial" w:cs="Arial"/>
          <w:color w:val="212121"/>
          <w:shd w:val="clear" w:color="auto" w:fill="FFFFFF"/>
          <w:lang w:val="en-US"/>
        </w:rPr>
        <w:t xml:space="preserve">Index </w:t>
      </w:r>
      <w:r w:rsidRPr="00E31E76">
        <w:rPr>
          <w:rFonts w:ascii="Arial" w:hAnsi="Arial" w:cs="Arial"/>
          <w:lang w:val="en-US"/>
        </w:rPr>
        <w:t>(</w:t>
      </w:r>
      <w:proofErr w:type="spellStart"/>
      <w:r>
        <w:rPr>
          <w:rFonts w:ascii="Arial" w:hAnsi="Arial" w:cs="Arial"/>
          <w:lang w:val="en-US"/>
        </w:rPr>
        <w:t>m</w:t>
      </w:r>
      <w:r w:rsidRPr="00E31E76">
        <w:rPr>
          <w:rFonts w:ascii="Arial" w:hAnsi="Arial" w:cs="Arial"/>
          <w:lang w:val="en-US"/>
        </w:rPr>
        <w:t>T</w:t>
      </w:r>
      <w:proofErr w:type="spellEnd"/>
      <w:r w:rsidRPr="00E31E76">
        <w:rPr>
          <w:rFonts w:ascii="Arial" w:hAnsi="Arial" w:cs="Arial"/>
          <w:lang w:val="en-US"/>
        </w:rPr>
        <w:t>), the scores of all modalities were rescaled between 0.25 (low sensitivity) and 1 (high sensitivity)</w:t>
      </w:r>
      <w:r w:rsidR="00031F3F">
        <w:rPr>
          <w:rFonts w:ascii="Arial" w:hAnsi="Arial" w:cs="Arial"/>
          <w:lang w:val="en-US"/>
        </w:rPr>
        <w:t xml:space="preserve"> </w:t>
      </w:r>
      <w:r w:rsidR="00752613" w:rsidRPr="00752613">
        <w:rPr>
          <w:rFonts w:ascii="Arial" w:hAnsi="Arial" w:cs="Arial"/>
          <w:sz w:val="21"/>
          <w:szCs w:val="21"/>
          <w:lang w:val="en-US"/>
        </w:rPr>
        <w:fldChar w:fldCharType="begin" w:fldLock="1"/>
      </w:r>
      <w:r w:rsidR="00752613">
        <w:rPr>
          <w:rFonts w:ascii="Arial" w:hAnsi="Arial" w:cs="Arial"/>
          <w:sz w:val="21"/>
          <w:szCs w:val="21"/>
          <w:lang w:val="en-US"/>
        </w:rPr>
        <w:instrText>ADDIN CSL_CITATION {"citationItems":[{"id":"ITEM-1","itemData":{"DOI":"10.1093/icesjms/fsv003","abstract":"Certain, G., Jørgensen, L. L., Christel, I., Planque, B., and Bretagnolle, V. Mapping the vulnerability of animal community to pressure in marine systems: disentangling pressure types and integrating their impact from the individual to the community level. Assessing the vulnerability of biological communities to anthropic pressures in marine systems may be challenging because of the difficulty to prop-erly model each species' response to the pressure due to lack of information. One solution is to apply factor-mediated vulnerability assessment which combines (i) information on species ecological traits and conservation status organized in a matrix of so-called \" vulnerability factors \" , (ii) a conceptual model of how these factors affect species vulnerability, and (iii) data on the spatial distribution and abundance of each species issued from at-sea surveys. Such factor-mediated vulnerability assessment was originally introduced in the seabird–wind farm context by Garthe and Hüppop (2004. Scaling possible adverse effects of marine wind farms on seabirds: developing and applying a vulnerability index. Journal of Applied Ecology, 41: 724– 734) and has since then been expanded to many case studies. However, the mathematical formulations that were proposed at that time are overly simplistic and may overlook critical components of the impact assessment. Our study briefly reviews the original approach and highlights its hidden assumptions and associated interpretation problems, for example, the overestimation of disturbance pressure to the detriment of collision, or the very high contribution of log abundances in vulnerability maps. Then, we propose a revised framework that solves these issues and permits easy transposition to other community-pressure case studies. To illustrate the usefulness and generality of the revised framework, we apply it to two case studies, one concerning the vulnerability assessment of a seabird community to offshore wind farms in the Bay of Biscay, and another focusing on the vulnerability assessment of the benthic megafauna community to trawling pressure in the Barents Sea.","author":[{"dropping-particle":"","family":"Certain","given":"G","non-dropping-particle":"","parse-names":false,"suffix":""},{"dropping-particle":"","family":"Jorgensen","given":"L. L.","non-dropping-particle":"","parse-names":false,"suffix":""},{"dropping-particle":"","family":"Christel","given":"I.","non-dropping-particle":"","parse-names":false,"suffix":""},{"dropping-particle":"","family":"Planque","given":"B.","non-dropping-particle":"","parse-names":false,"suffix":""},{"dropping-particle":"","family":"Bretagnolle","given":"V.","non-dropping-particle":"","parse-names":false,"suffix":""}],"container-title":"ICES Journal of Marine Science","id":"ITEM-1","issue":"April","issued":{"date-parts":[["2015"]]},"page":"1470-1482","title":"Mapping the vulnerability of animal community to pressure in marine systems: disentangling pressure types and integrating their impact from the individual to the community level","type":"article-journal","volume":"72"},"uris":["http://www.mendeley.com/documents/?uuid=48e54841-49b2-4018-ad64-19a0f3b1ff2a"]}],"mendeley":{"formattedCitation":"(Certain et al. 2015)","plainTextFormattedCitation":"(Certain et al. 2015)","previouslyFormattedCitation":"(Certain et al. 2015)"},"properties":{"noteIndex":0},"schema":"https://github.com/citation-style-language/schema/raw/master/csl-citation.json"}</w:instrText>
      </w:r>
      <w:r w:rsidR="00752613" w:rsidRPr="00752613">
        <w:rPr>
          <w:rFonts w:ascii="Arial" w:hAnsi="Arial" w:cs="Arial"/>
          <w:sz w:val="21"/>
          <w:szCs w:val="21"/>
          <w:lang w:val="en-US"/>
        </w:rPr>
        <w:fldChar w:fldCharType="separate"/>
      </w:r>
      <w:r w:rsidR="00752613" w:rsidRPr="00752613">
        <w:rPr>
          <w:rFonts w:ascii="Arial" w:hAnsi="Arial" w:cs="Arial"/>
          <w:noProof/>
          <w:sz w:val="21"/>
          <w:szCs w:val="21"/>
          <w:lang w:val="en-US"/>
        </w:rPr>
        <w:t>(Certain et al. 2015)</w:t>
      </w:r>
      <w:r w:rsidR="00752613" w:rsidRPr="00752613">
        <w:rPr>
          <w:rFonts w:ascii="Arial" w:hAnsi="Arial" w:cs="Arial"/>
          <w:sz w:val="21"/>
          <w:szCs w:val="21"/>
          <w:lang w:val="en-US"/>
        </w:rPr>
        <w:fldChar w:fldCharType="end"/>
      </w:r>
      <w:r w:rsidR="00752613">
        <w:rPr>
          <w:rFonts w:ascii="Arial" w:hAnsi="Arial" w:cs="Arial"/>
          <w:sz w:val="21"/>
          <w:szCs w:val="21"/>
          <w:lang w:val="en-US"/>
        </w:rPr>
        <w:t xml:space="preserve">. </w:t>
      </w:r>
      <w:r w:rsidRPr="00E31E76">
        <w:rPr>
          <w:rFonts w:ascii="Arial" w:hAnsi="Arial" w:cs="Arial"/>
          <w:lang w:val="en-US"/>
        </w:rPr>
        <w:t xml:space="preserve">A sixth trait was used for the calculation of </w:t>
      </w:r>
      <w:proofErr w:type="spellStart"/>
      <w:r>
        <w:rPr>
          <w:rFonts w:ascii="Arial" w:hAnsi="Arial" w:cs="Arial"/>
          <w:lang w:val="en-US"/>
        </w:rPr>
        <w:t>m</w:t>
      </w:r>
      <w:r w:rsidRPr="00E31E76">
        <w:rPr>
          <w:rFonts w:ascii="Arial" w:hAnsi="Arial" w:cs="Arial"/>
          <w:lang w:val="en-US"/>
        </w:rPr>
        <w:t>T</w:t>
      </w:r>
      <w:proofErr w:type="spellEnd"/>
      <w:r w:rsidRPr="00E31E76">
        <w:rPr>
          <w:rFonts w:ascii="Arial" w:hAnsi="Arial" w:cs="Arial"/>
          <w:lang w:val="en-US"/>
        </w:rPr>
        <w:t xml:space="preserve">: the </w:t>
      </w:r>
      <w:r w:rsidRPr="00752613">
        <w:rPr>
          <w:rFonts w:ascii="Arial" w:hAnsi="Arial" w:cs="Arial"/>
          <w:lang w:val="en-US"/>
        </w:rPr>
        <w:t>protection status of each species</w:t>
      </w:r>
      <w:r w:rsidR="00031F3F" w:rsidRPr="00752613">
        <w:rPr>
          <w:rFonts w:ascii="Arial" w:hAnsi="Arial" w:cs="Arial"/>
          <w:lang w:val="en-US"/>
        </w:rPr>
        <w:t xml:space="preserve"> </w:t>
      </w:r>
      <w:r w:rsidR="00752613" w:rsidRPr="00752613">
        <w:rPr>
          <w:rFonts w:ascii="Arial" w:hAnsi="Arial" w:cs="Arial"/>
          <w:sz w:val="21"/>
          <w:szCs w:val="21"/>
          <w:lang w:val="en-US"/>
        </w:rPr>
        <w:fldChar w:fldCharType="begin" w:fldLock="1"/>
      </w:r>
      <w:r w:rsidR="00752613" w:rsidRPr="00752613">
        <w:rPr>
          <w:rFonts w:ascii="Arial" w:hAnsi="Arial" w:cs="Arial"/>
          <w:sz w:val="21"/>
          <w:szCs w:val="21"/>
          <w:lang w:val="en-US"/>
        </w:rPr>
        <w:instrText>ADDIN CSL_CITATION {"citationItems":[{"id":"ITEM-1","itemData":{"author":[{"dropping-particle":"","family":"OCEANA","given":"","non-dropping-particle":"","parse-names":false,"suffix":""}],"container-title":"40th Session of the general fisheries commission for the Mediterranean","id":"ITEM-1","issued":{"date-parts":[["2016"]]},"page":"4","publisher-place":"St Julian","title":"Developing a list of Vulnerable Marine Ecosystems","type":"paper-conference"},"uris":["http://www.mendeley.com/documents/?uuid=947e2753-6781-40c0-a670-09ce3e2aa0c3"]},{"id":"ITEM-2","itemData":{"author":[{"dropping-particle":"","family":"OSPAR","given":"","non-dropping-particle":"","parse-names":false,"suffix":""}],"id":"ITEM-2","issued":{"date-parts":[["2008"]]},"number-of-pages":"1-5","title":"List of threatened and/or declining species and habitats","type":"report"},"uris":["http://www.mendeley.com/documents/?uuid=1b7aa852-9557-4fb7-a215-ce6242dc3b3a"]}],"mendeley":{"formattedCitation":"(OSPAR 2008; OCEANA 2016)","plainTextFormattedCitation":"(OSPAR 2008; OCEANA 2016)"},"properties":{"noteIndex":0},"schema":"https://github.com/citation-style-language/schema/raw/master/csl-citation.json"}</w:instrText>
      </w:r>
      <w:r w:rsidR="00752613" w:rsidRPr="00752613">
        <w:rPr>
          <w:rFonts w:ascii="Arial" w:hAnsi="Arial" w:cs="Arial"/>
          <w:sz w:val="21"/>
          <w:szCs w:val="21"/>
          <w:lang w:val="en-US"/>
        </w:rPr>
        <w:fldChar w:fldCharType="separate"/>
      </w:r>
      <w:r w:rsidR="00752613" w:rsidRPr="00752613">
        <w:rPr>
          <w:rFonts w:ascii="Arial" w:hAnsi="Arial" w:cs="Arial"/>
          <w:noProof/>
          <w:sz w:val="21"/>
          <w:szCs w:val="21"/>
          <w:lang w:val="en-US"/>
        </w:rPr>
        <w:t>(OSPAR 2008; OCEANA 2016)</w:t>
      </w:r>
      <w:r w:rsidR="00752613" w:rsidRPr="00752613">
        <w:rPr>
          <w:rFonts w:ascii="Arial" w:hAnsi="Arial" w:cs="Arial"/>
          <w:sz w:val="21"/>
          <w:szCs w:val="21"/>
          <w:lang w:val="en-US"/>
        </w:rPr>
        <w:fldChar w:fldCharType="end"/>
      </w:r>
      <w:r w:rsidR="00752613" w:rsidRPr="00752613">
        <w:rPr>
          <w:rFonts w:ascii="Arial" w:hAnsi="Arial" w:cs="Arial"/>
          <w:sz w:val="21"/>
          <w:szCs w:val="21"/>
          <w:lang w:val="en-US"/>
        </w:rPr>
        <w:t xml:space="preserve">. </w:t>
      </w:r>
      <w:r w:rsidRPr="00752613">
        <w:rPr>
          <w:rFonts w:ascii="Arial" w:hAnsi="Arial" w:cs="Arial"/>
          <w:lang w:val="en-US"/>
        </w:rPr>
        <w:t>The six traits were separated between direct and indirect factors. Direct factors are relative measures of elements controlling the</w:t>
      </w:r>
      <w:r w:rsidRPr="00E31E76">
        <w:rPr>
          <w:rFonts w:ascii="Arial" w:hAnsi="Arial" w:cs="Arial"/>
          <w:lang w:val="en-US"/>
        </w:rPr>
        <w:t xml:space="preserve"> probability of being impacted by a given pressure type, trawling in our case</w:t>
      </w:r>
      <w:r w:rsidRPr="00534E32">
        <w:rPr>
          <w:rFonts w:ascii="Arial" w:hAnsi="Arial" w:cs="Arial"/>
          <w:color w:val="FF0000"/>
          <w:lang w:val="en-US"/>
        </w:rPr>
        <w:t xml:space="preserve">. </w:t>
      </w:r>
      <w:r w:rsidRPr="00534E32">
        <w:rPr>
          <w:rFonts w:ascii="Arial" w:hAnsi="Arial" w:cs="Arial"/>
          <w:lang w:val="en-US"/>
        </w:rPr>
        <w:t>Indirect factors are relative measures of elements describing the conservation status of species and their indirect sensitivity to disturbance</w:t>
      </w:r>
      <w:r>
        <w:rPr>
          <w:rFonts w:ascii="Arial" w:hAnsi="Arial" w:cs="Arial"/>
          <w:lang w:val="en-US"/>
        </w:rPr>
        <w:t xml:space="preserve"> </w:t>
      </w:r>
      <w:r w:rsidRPr="00534E32">
        <w:rPr>
          <w:rFonts w:ascii="Arial" w:hAnsi="Arial" w:cs="Arial"/>
          <w:lang w:val="en-US"/>
        </w:rPr>
        <w:t xml:space="preserve">(e.g. filter feeders can be disturbed by the resuspension of </w:t>
      </w:r>
      <w:r w:rsidRPr="00534E32">
        <w:rPr>
          <w:rFonts w:ascii="Arial" w:hAnsi="Arial" w:cs="Arial"/>
          <w:lang w:val="en-US"/>
        </w:rPr>
        <w:lastRenderedPageBreak/>
        <w:t>sediments due to trawling).</w:t>
      </w:r>
      <w:r w:rsidRPr="008559DE">
        <w:rPr>
          <w:rFonts w:ascii="Arial" w:hAnsi="Arial" w:cs="Arial"/>
          <w:lang w:val="en-US"/>
        </w:rPr>
        <w:t xml:space="preserve">Then, for both type of factors, a hierarchy was </w:t>
      </w:r>
      <w:r w:rsidRPr="00E31E76">
        <w:rPr>
          <w:rFonts w:ascii="Arial" w:hAnsi="Arial" w:cs="Arial"/>
          <w:lang w:val="en-US"/>
        </w:rPr>
        <w:t xml:space="preserve">established between primary factors that directly control the sensitivity and aggravation factors that may not be important on their own, but may worsen pre-existing sensitivity. The factor classification used in our study is detailed in Table </w:t>
      </w:r>
      <w:r w:rsidR="005F6919">
        <w:rPr>
          <w:rFonts w:ascii="Arial" w:hAnsi="Arial" w:cs="Arial"/>
          <w:lang w:val="en-US"/>
        </w:rPr>
        <w:t>A.</w:t>
      </w:r>
      <w:r w:rsidR="00031F3F">
        <w:rPr>
          <w:rFonts w:ascii="Arial" w:hAnsi="Arial" w:cs="Arial"/>
          <w:lang w:val="en-US"/>
        </w:rPr>
        <w:t>2</w:t>
      </w:r>
      <w:r w:rsidRPr="00E31E76">
        <w:rPr>
          <w:rFonts w:ascii="Arial" w:hAnsi="Arial" w:cs="Arial"/>
          <w:lang w:val="en-US"/>
        </w:rPr>
        <w:t>.</w:t>
      </w:r>
    </w:p>
    <w:p w:rsidR="009F2E31" w:rsidRPr="00E31E76" w:rsidRDefault="009F2E31" w:rsidP="009F2E31">
      <w:pPr>
        <w:tabs>
          <w:tab w:val="left" w:pos="3504"/>
        </w:tabs>
        <w:spacing w:after="0"/>
        <w:jc w:val="both"/>
        <w:rPr>
          <w:rFonts w:ascii="Arial" w:hAnsi="Arial" w:cs="Arial"/>
          <w:lang w:val="en-US"/>
        </w:rPr>
      </w:pPr>
    </w:p>
    <w:p w:rsidR="009F2E31" w:rsidRPr="00DB1FB1" w:rsidRDefault="009F2E31" w:rsidP="009F2E31">
      <w:pPr>
        <w:pStyle w:val="Lgende"/>
        <w:keepNext/>
        <w:rPr>
          <w:rFonts w:ascii="Arial" w:hAnsi="Arial" w:cs="Arial"/>
          <w:color w:val="auto"/>
          <w:lang w:val="en-US"/>
        </w:rPr>
      </w:pPr>
      <w:r w:rsidRPr="00DB1FB1">
        <w:rPr>
          <w:rFonts w:ascii="Arial" w:hAnsi="Arial" w:cs="Arial"/>
          <w:color w:val="auto"/>
          <w:lang w:val="en-US"/>
        </w:rPr>
        <w:t xml:space="preserve">Table </w:t>
      </w:r>
      <w:r w:rsidR="008D7411" w:rsidRPr="00DB1FB1">
        <w:rPr>
          <w:rFonts w:ascii="Arial" w:hAnsi="Arial" w:cs="Arial"/>
          <w:color w:val="auto"/>
          <w:lang w:val="en-US"/>
        </w:rPr>
        <w:t>A.</w:t>
      </w:r>
      <w:r w:rsidR="00031F3F" w:rsidRPr="00DB1FB1">
        <w:rPr>
          <w:rFonts w:ascii="Arial" w:hAnsi="Arial" w:cs="Arial"/>
          <w:color w:val="auto"/>
          <w:lang w:val="en-US"/>
        </w:rPr>
        <w:t>2</w:t>
      </w:r>
      <w:r w:rsidRPr="00DB1FB1">
        <w:rPr>
          <w:rFonts w:ascii="Arial" w:hAnsi="Arial" w:cs="Arial"/>
          <w:color w:val="auto"/>
          <w:lang w:val="en-US"/>
        </w:rPr>
        <w:t>: Direct and indirect factors and their hierarchical classification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625"/>
        <w:gridCol w:w="1981"/>
        <w:gridCol w:w="2303"/>
      </w:tblGrid>
      <w:tr w:rsidR="009F2E31" w:rsidRPr="00E31E76" w:rsidTr="00667FB2">
        <w:tc>
          <w:tcPr>
            <w:tcW w:w="2303" w:type="dxa"/>
            <w:tcBorders>
              <w:top w:val="single" w:sz="4" w:space="0" w:color="auto"/>
              <w:bottom w:val="single" w:sz="4" w:space="0" w:color="auto"/>
            </w:tcBorders>
          </w:tcPr>
          <w:p w:rsidR="009F2E31" w:rsidRPr="00E31E76" w:rsidRDefault="009F2E31" w:rsidP="00667FB2">
            <w:pPr>
              <w:tabs>
                <w:tab w:val="left" w:pos="3504"/>
              </w:tabs>
              <w:jc w:val="both"/>
              <w:rPr>
                <w:rFonts w:ascii="Arial" w:hAnsi="Arial" w:cs="Arial"/>
                <w:lang w:val="en-US"/>
              </w:rPr>
            </w:pPr>
          </w:p>
        </w:tc>
        <w:tc>
          <w:tcPr>
            <w:tcW w:w="2625" w:type="dxa"/>
            <w:tcBorders>
              <w:top w:val="single" w:sz="4" w:space="0" w:color="auto"/>
              <w:bottom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Short description</w:t>
            </w:r>
          </w:p>
        </w:tc>
        <w:tc>
          <w:tcPr>
            <w:tcW w:w="1981" w:type="dxa"/>
            <w:tcBorders>
              <w:top w:val="single" w:sz="4" w:space="0" w:color="auto"/>
              <w:bottom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Factor type</w:t>
            </w:r>
          </w:p>
        </w:tc>
        <w:tc>
          <w:tcPr>
            <w:tcW w:w="2303" w:type="dxa"/>
            <w:tcBorders>
              <w:top w:val="single" w:sz="4" w:space="0" w:color="auto"/>
              <w:bottom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Factor hierarchy</w:t>
            </w:r>
          </w:p>
        </w:tc>
      </w:tr>
      <w:tr w:rsidR="009F2E31" w:rsidRPr="00E31E76" w:rsidTr="00667FB2">
        <w:tc>
          <w:tcPr>
            <w:tcW w:w="2303" w:type="dxa"/>
            <w:tcBorders>
              <w:top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1</w:t>
            </w:r>
          </w:p>
        </w:tc>
        <w:tc>
          <w:tcPr>
            <w:tcW w:w="2625" w:type="dxa"/>
            <w:tcBorders>
              <w:top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Position in the sediment</w:t>
            </w:r>
          </w:p>
        </w:tc>
        <w:tc>
          <w:tcPr>
            <w:tcW w:w="1981" w:type="dxa"/>
            <w:tcBorders>
              <w:top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Direct</w:t>
            </w:r>
          </w:p>
        </w:tc>
        <w:tc>
          <w:tcPr>
            <w:tcW w:w="2303" w:type="dxa"/>
            <w:tcBorders>
              <w:top w:val="single" w:sz="4" w:space="0" w:color="auto"/>
            </w:tcBorders>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Primary</w:t>
            </w:r>
          </w:p>
        </w:tc>
      </w:tr>
      <w:tr w:rsidR="009F2E31" w:rsidRPr="00E31E76" w:rsidTr="00667FB2">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2</w:t>
            </w:r>
          </w:p>
        </w:tc>
        <w:tc>
          <w:tcPr>
            <w:tcW w:w="2625"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Mobility</w:t>
            </w:r>
          </w:p>
        </w:tc>
        <w:tc>
          <w:tcPr>
            <w:tcW w:w="1981"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Direct</w:t>
            </w:r>
          </w:p>
        </w:tc>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Primary</w:t>
            </w:r>
          </w:p>
        </w:tc>
      </w:tr>
      <w:tr w:rsidR="009F2E31" w:rsidRPr="00E31E76" w:rsidTr="00667FB2">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3</w:t>
            </w:r>
          </w:p>
        </w:tc>
        <w:tc>
          <w:tcPr>
            <w:tcW w:w="2625"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Adult size</w:t>
            </w:r>
          </w:p>
        </w:tc>
        <w:tc>
          <w:tcPr>
            <w:tcW w:w="1981"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Direct</w:t>
            </w:r>
          </w:p>
        </w:tc>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Primary</w:t>
            </w:r>
          </w:p>
        </w:tc>
      </w:tr>
      <w:tr w:rsidR="009F2E31" w:rsidRPr="00E31E76" w:rsidTr="00667FB2">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4</w:t>
            </w:r>
          </w:p>
        </w:tc>
        <w:tc>
          <w:tcPr>
            <w:tcW w:w="2625"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Fragility</w:t>
            </w:r>
          </w:p>
        </w:tc>
        <w:tc>
          <w:tcPr>
            <w:tcW w:w="1981"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Direct</w:t>
            </w:r>
          </w:p>
        </w:tc>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Aggravation</w:t>
            </w:r>
          </w:p>
        </w:tc>
      </w:tr>
      <w:tr w:rsidR="009F2E31" w:rsidRPr="00E31E76" w:rsidTr="00667FB2">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5</w:t>
            </w:r>
          </w:p>
        </w:tc>
        <w:tc>
          <w:tcPr>
            <w:tcW w:w="2625"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Feeding mode</w:t>
            </w:r>
          </w:p>
        </w:tc>
        <w:tc>
          <w:tcPr>
            <w:tcW w:w="1981"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Indirect</w:t>
            </w:r>
          </w:p>
        </w:tc>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Primary</w:t>
            </w:r>
          </w:p>
        </w:tc>
      </w:tr>
      <w:tr w:rsidR="009F2E31" w:rsidRPr="00E31E76" w:rsidTr="00667FB2">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F</w:t>
            </w:r>
            <w:r w:rsidRPr="00E31E76">
              <w:rPr>
                <w:rFonts w:ascii="Arial" w:hAnsi="Arial" w:cs="Arial"/>
                <w:vertAlign w:val="subscript"/>
                <w:lang w:val="en-US"/>
              </w:rPr>
              <w:t>6</w:t>
            </w:r>
          </w:p>
        </w:tc>
        <w:tc>
          <w:tcPr>
            <w:tcW w:w="2625"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Protection status</w:t>
            </w:r>
          </w:p>
        </w:tc>
        <w:tc>
          <w:tcPr>
            <w:tcW w:w="1981"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Indirect</w:t>
            </w:r>
          </w:p>
        </w:tc>
        <w:tc>
          <w:tcPr>
            <w:tcW w:w="2303" w:type="dxa"/>
          </w:tcPr>
          <w:p w:rsidR="009F2E31" w:rsidRPr="00E31E76" w:rsidRDefault="009F2E31" w:rsidP="00667FB2">
            <w:pPr>
              <w:tabs>
                <w:tab w:val="left" w:pos="3504"/>
              </w:tabs>
              <w:jc w:val="both"/>
              <w:rPr>
                <w:rFonts w:ascii="Arial" w:hAnsi="Arial" w:cs="Arial"/>
                <w:lang w:val="en-US"/>
              </w:rPr>
            </w:pPr>
            <w:r w:rsidRPr="00E31E76">
              <w:rPr>
                <w:rFonts w:ascii="Arial" w:hAnsi="Arial" w:cs="Arial"/>
                <w:lang w:val="en-US"/>
              </w:rPr>
              <w:t>Primary</w:t>
            </w:r>
          </w:p>
        </w:tc>
      </w:tr>
    </w:tbl>
    <w:p w:rsidR="009F2E31" w:rsidRDefault="009F2E31" w:rsidP="009F2E31">
      <w:pPr>
        <w:tabs>
          <w:tab w:val="left" w:pos="3504"/>
        </w:tabs>
        <w:spacing w:after="0"/>
        <w:ind w:firstLine="709"/>
        <w:jc w:val="both"/>
        <w:rPr>
          <w:rFonts w:ascii="Arial" w:hAnsi="Arial" w:cs="Arial"/>
          <w:lang w:val="en-US"/>
        </w:rPr>
      </w:pPr>
    </w:p>
    <w:p w:rsidR="009F2E31" w:rsidRDefault="009F2E31" w:rsidP="009F2E31">
      <w:pPr>
        <w:tabs>
          <w:tab w:val="left" w:pos="3504"/>
        </w:tabs>
        <w:spacing w:after="0"/>
        <w:ind w:firstLine="709"/>
        <w:jc w:val="both"/>
        <w:rPr>
          <w:rFonts w:ascii="Arial" w:hAnsi="Arial" w:cs="Arial"/>
          <w:lang w:val="en-US"/>
        </w:rPr>
      </w:pPr>
      <w:r w:rsidRPr="00E31E76">
        <w:rPr>
          <w:rFonts w:ascii="Arial" w:hAnsi="Arial" w:cs="Arial"/>
          <w:lang w:val="en-US"/>
        </w:rPr>
        <w:t xml:space="preserve">The direct component of the index, </w:t>
      </w:r>
      <w:proofErr w:type="spellStart"/>
      <w:r w:rsidRPr="00E31E76">
        <w:rPr>
          <w:rFonts w:ascii="Arial" w:hAnsi="Arial" w:cs="Arial"/>
          <w:lang w:val="en-US"/>
        </w:rPr>
        <w:t>t</w:t>
      </w:r>
      <w:r w:rsidRPr="00E31E76">
        <w:rPr>
          <w:rFonts w:ascii="Arial" w:hAnsi="Arial" w:cs="Arial"/>
          <w:vertAlign w:val="subscript"/>
          <w:lang w:val="en-US"/>
        </w:rPr>
        <w:t>i</w:t>
      </w:r>
      <w:proofErr w:type="spellEnd"/>
      <w:r w:rsidRPr="00E31E76">
        <w:rPr>
          <w:rFonts w:ascii="Arial" w:hAnsi="Arial" w:cs="Arial"/>
          <w:lang w:val="en-US"/>
        </w:rPr>
        <w:t xml:space="preserve">, of each individual </w:t>
      </w:r>
      <w:proofErr w:type="spellStart"/>
      <w:r w:rsidRPr="00E31E76">
        <w:rPr>
          <w:rFonts w:ascii="Arial" w:hAnsi="Arial" w:cs="Arial"/>
          <w:lang w:val="en-US"/>
        </w:rPr>
        <w:t>taxon</w:t>
      </w:r>
      <w:proofErr w:type="spellEnd"/>
      <w:r>
        <w:rPr>
          <w:rFonts w:ascii="Arial" w:hAnsi="Arial" w:cs="Arial"/>
          <w:lang w:val="en-US"/>
        </w:rPr>
        <w:t xml:space="preserve"> </w:t>
      </w:r>
      <w:proofErr w:type="spellStart"/>
      <w:r>
        <w:rPr>
          <w:rFonts w:ascii="Arial" w:hAnsi="Arial" w:cs="Arial"/>
          <w:lang w:val="en-US"/>
        </w:rPr>
        <w:t>i</w:t>
      </w:r>
      <w:proofErr w:type="spellEnd"/>
      <w:r w:rsidRPr="00E31E76">
        <w:rPr>
          <w:rFonts w:ascii="Arial" w:hAnsi="Arial" w:cs="Arial"/>
          <w:lang w:val="en-US"/>
        </w:rPr>
        <w:t xml:space="preserve">, is obtained by applying equation </w:t>
      </w:r>
      <w:r w:rsidR="00031F3F">
        <w:rPr>
          <w:rFonts w:ascii="Arial" w:hAnsi="Arial" w:cs="Arial"/>
          <w:lang w:val="en-US"/>
        </w:rPr>
        <w:t>(4</w:t>
      </w:r>
      <w:r w:rsidRPr="00E31E76">
        <w:rPr>
          <w:rFonts w:ascii="Arial" w:hAnsi="Arial" w:cs="Arial"/>
          <w:lang w:val="en-US"/>
        </w:rPr>
        <w:t xml:space="preserve">) with </w:t>
      </w:r>
      <w:proofErr w:type="spellStart"/>
      <w:r w:rsidRPr="00E31E76">
        <w:rPr>
          <w:rFonts w:ascii="Arial" w:hAnsi="Arial" w:cs="Arial"/>
          <w:lang w:val="en-US"/>
        </w:rPr>
        <w:t>a</w:t>
      </w:r>
      <w:r w:rsidRPr="00E31E76">
        <w:rPr>
          <w:rFonts w:ascii="Arial" w:hAnsi="Arial" w:cs="Arial"/>
          <w:vertAlign w:val="subscript"/>
          <w:lang w:val="en-US"/>
        </w:rPr>
        <w:t>i</w:t>
      </w:r>
      <w:proofErr w:type="spellEnd"/>
      <w:r w:rsidRPr="00E31E76">
        <w:rPr>
          <w:rFonts w:ascii="Arial" w:hAnsi="Arial" w:cs="Arial"/>
          <w:lang w:val="en-US"/>
        </w:rPr>
        <w:t xml:space="preserve"> = F</w:t>
      </w:r>
      <w:r w:rsidRPr="00E31E76">
        <w:rPr>
          <w:rFonts w:ascii="Arial" w:hAnsi="Arial" w:cs="Arial"/>
          <w:vertAlign w:val="subscript"/>
          <w:lang w:val="en-US"/>
        </w:rPr>
        <w:t>i1</w:t>
      </w:r>
      <w:r w:rsidRPr="00E31E76">
        <w:rPr>
          <w:rFonts w:ascii="Arial" w:hAnsi="Arial" w:cs="Arial"/>
          <w:lang w:val="en-US"/>
        </w:rPr>
        <w:t xml:space="preserve"> x F</w:t>
      </w:r>
      <w:r w:rsidRPr="00E31E76">
        <w:rPr>
          <w:rFonts w:ascii="Arial" w:hAnsi="Arial" w:cs="Arial"/>
          <w:vertAlign w:val="subscript"/>
          <w:lang w:val="en-US"/>
        </w:rPr>
        <w:t>i2</w:t>
      </w:r>
      <w:r w:rsidRPr="00E31E76">
        <w:rPr>
          <w:rFonts w:ascii="Arial" w:hAnsi="Arial" w:cs="Arial"/>
          <w:lang w:val="en-US"/>
        </w:rPr>
        <w:t xml:space="preserve"> x </w:t>
      </w:r>
      <w:proofErr w:type="gramStart"/>
      <w:r w:rsidRPr="00E31E76">
        <w:rPr>
          <w:rFonts w:ascii="Arial" w:hAnsi="Arial" w:cs="Arial"/>
          <w:lang w:val="en-US"/>
        </w:rPr>
        <w:t>F</w:t>
      </w:r>
      <w:r w:rsidRPr="00E31E76">
        <w:rPr>
          <w:rFonts w:ascii="Arial" w:hAnsi="Arial" w:cs="Arial"/>
          <w:vertAlign w:val="subscript"/>
          <w:lang w:val="en-US"/>
        </w:rPr>
        <w:t xml:space="preserve">i3 </w:t>
      </w:r>
      <w:r w:rsidRPr="00E31E76">
        <w:rPr>
          <w:rFonts w:ascii="Arial" w:hAnsi="Arial" w:cs="Arial"/>
          <w:lang w:val="en-US"/>
        </w:rPr>
        <w:t>,</w:t>
      </w:r>
      <w:proofErr w:type="gramEnd"/>
      <w:r w:rsidRPr="00E31E76">
        <w:rPr>
          <w:rFonts w:ascii="Arial" w:hAnsi="Arial" w:cs="Arial"/>
          <w:lang w:val="en-US"/>
        </w:rPr>
        <w:t xml:space="preserve"> </w:t>
      </w:r>
      <w:proofErr w:type="spellStart"/>
      <w:r w:rsidRPr="00E31E76">
        <w:rPr>
          <w:rFonts w:ascii="Arial" w:hAnsi="Arial" w:cs="Arial"/>
          <w:lang w:val="en-US"/>
        </w:rPr>
        <w:t>g</w:t>
      </w:r>
      <w:r w:rsidRPr="00E31E76">
        <w:rPr>
          <w:rFonts w:ascii="Arial" w:hAnsi="Arial" w:cs="Arial"/>
          <w:vertAlign w:val="subscript"/>
          <w:lang w:val="en-US"/>
        </w:rPr>
        <w:t>i</w:t>
      </w:r>
      <w:proofErr w:type="spellEnd"/>
      <w:r w:rsidRPr="00E31E76">
        <w:rPr>
          <w:rFonts w:ascii="Arial" w:hAnsi="Arial" w:cs="Arial"/>
          <w:lang w:val="en-US"/>
        </w:rPr>
        <w:t xml:space="preserve"> = F</w:t>
      </w:r>
      <w:r w:rsidRPr="00E31E76">
        <w:rPr>
          <w:rFonts w:ascii="Arial" w:hAnsi="Arial" w:cs="Arial"/>
          <w:vertAlign w:val="subscript"/>
          <w:lang w:val="en-US"/>
        </w:rPr>
        <w:t xml:space="preserve">i4 </w:t>
      </w:r>
      <w:r w:rsidRPr="00E31E76">
        <w:rPr>
          <w:rFonts w:ascii="Arial" w:hAnsi="Arial" w:cs="Arial"/>
          <w:lang w:val="en-US"/>
        </w:rPr>
        <w:t xml:space="preserve">and γ = 0.5. The indirect component of the index, </w:t>
      </w:r>
      <w:proofErr w:type="spellStart"/>
      <w:r w:rsidRPr="00E31E76">
        <w:rPr>
          <w:rFonts w:ascii="Arial" w:hAnsi="Arial" w:cs="Arial"/>
          <w:lang w:val="en-US"/>
        </w:rPr>
        <w:t>s</w:t>
      </w:r>
      <w:r w:rsidRPr="00E31E76">
        <w:rPr>
          <w:rFonts w:ascii="Arial" w:hAnsi="Arial" w:cs="Arial"/>
          <w:vertAlign w:val="subscript"/>
          <w:lang w:val="en-US"/>
        </w:rPr>
        <w:t>i</w:t>
      </w:r>
      <w:proofErr w:type="spellEnd"/>
      <w:r w:rsidRPr="00E31E76">
        <w:rPr>
          <w:rFonts w:ascii="Arial" w:hAnsi="Arial" w:cs="Arial"/>
          <w:lang w:val="en-US"/>
        </w:rPr>
        <w:t xml:space="preserve">, 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 is obtained by applying equation </w:t>
      </w:r>
      <w:r>
        <w:rPr>
          <w:rFonts w:ascii="Arial" w:hAnsi="Arial" w:cs="Arial"/>
          <w:lang w:val="en-US"/>
        </w:rPr>
        <w:t>(5</w:t>
      </w:r>
      <w:r w:rsidRPr="00E31E76">
        <w:rPr>
          <w:rFonts w:ascii="Arial" w:hAnsi="Arial" w:cs="Arial"/>
          <w:lang w:val="en-US"/>
        </w:rPr>
        <w:t xml:space="preserve">) with </w:t>
      </w:r>
      <w:proofErr w:type="spellStart"/>
      <w:r w:rsidRPr="00E31E76">
        <w:rPr>
          <w:rFonts w:ascii="Arial" w:hAnsi="Arial" w:cs="Arial"/>
          <w:lang w:val="en-US"/>
        </w:rPr>
        <w:t>a</w:t>
      </w:r>
      <w:r w:rsidRPr="00E31E76">
        <w:rPr>
          <w:rFonts w:ascii="Arial" w:hAnsi="Arial" w:cs="Arial"/>
          <w:vertAlign w:val="subscript"/>
          <w:lang w:val="en-US"/>
        </w:rPr>
        <w:t>i</w:t>
      </w:r>
      <w:proofErr w:type="spellEnd"/>
      <w:r w:rsidRPr="00E31E76">
        <w:rPr>
          <w:rFonts w:ascii="Arial" w:hAnsi="Arial" w:cs="Arial"/>
          <w:lang w:val="en-US"/>
        </w:rPr>
        <w:t xml:space="preserve"> = (F</w:t>
      </w:r>
      <w:r w:rsidRPr="00E31E76">
        <w:rPr>
          <w:rFonts w:ascii="Arial" w:hAnsi="Arial" w:cs="Arial"/>
          <w:vertAlign w:val="subscript"/>
          <w:lang w:val="en-US"/>
        </w:rPr>
        <w:t>i5</w:t>
      </w:r>
      <w:r w:rsidRPr="00E31E76">
        <w:rPr>
          <w:rFonts w:ascii="Arial" w:hAnsi="Arial" w:cs="Arial"/>
          <w:lang w:val="en-US"/>
        </w:rPr>
        <w:t xml:space="preserve"> + F</w:t>
      </w:r>
      <w:r w:rsidRPr="00E31E76">
        <w:rPr>
          <w:rFonts w:ascii="Arial" w:hAnsi="Arial" w:cs="Arial"/>
          <w:vertAlign w:val="subscript"/>
          <w:lang w:val="en-US"/>
        </w:rPr>
        <w:t>i6</w:t>
      </w:r>
      <w:r w:rsidRPr="00E31E76">
        <w:rPr>
          <w:rFonts w:ascii="Arial" w:hAnsi="Arial" w:cs="Arial"/>
          <w:lang w:val="en-US"/>
        </w:rPr>
        <w:t xml:space="preserve">)/2 and </w:t>
      </w:r>
      <w:proofErr w:type="spellStart"/>
      <w:r w:rsidRPr="00E31E76">
        <w:rPr>
          <w:rFonts w:ascii="Arial" w:hAnsi="Arial" w:cs="Arial"/>
          <w:lang w:val="en-US"/>
        </w:rPr>
        <w:t>g</w:t>
      </w:r>
      <w:r w:rsidRPr="00E31E76">
        <w:rPr>
          <w:rFonts w:ascii="Arial" w:hAnsi="Arial" w:cs="Arial"/>
          <w:vertAlign w:val="subscript"/>
          <w:lang w:val="en-US"/>
        </w:rPr>
        <w:t>i</w:t>
      </w:r>
      <w:proofErr w:type="spellEnd"/>
      <w:r w:rsidRPr="00E31E76">
        <w:rPr>
          <w:rFonts w:ascii="Arial" w:hAnsi="Arial" w:cs="Arial"/>
          <w:lang w:val="en-US"/>
        </w:rPr>
        <w:t xml:space="preserve"> = 0. </w:t>
      </w:r>
    </w:p>
    <w:p w:rsidR="009F2E31" w:rsidRPr="007B28C6" w:rsidRDefault="009F2E31" w:rsidP="009F2E31">
      <w:pPr>
        <w:tabs>
          <w:tab w:val="left" w:pos="3504"/>
        </w:tabs>
        <w:spacing w:after="0"/>
        <w:jc w:val="both"/>
        <w:rPr>
          <w:rFonts w:ascii="Arial" w:hAnsi="Arial" w:cs="Arial"/>
          <w:lang w:val="en-US"/>
        </w:rPr>
      </w:pPr>
    </w:p>
    <w:p w:rsidR="009F2E31" w:rsidRPr="00E31E76" w:rsidRDefault="003F4B64" w:rsidP="009F2E31">
      <w:pPr>
        <w:tabs>
          <w:tab w:val="left" w:pos="3504"/>
        </w:tabs>
        <w:spacing w:after="0"/>
        <w:jc w:val="both"/>
        <w:rPr>
          <w:rFonts w:ascii="Arial" w:hAnsi="Arial" w:cs="Arial"/>
          <w:lang w:val="en-US"/>
        </w:rPr>
      </w:pPr>
      <m:oMathPara>
        <m:oMathParaPr>
          <m:jc m:val="centerGroup"/>
        </m:oMathParaPr>
        <m:oMath>
          <m:d>
            <m:dPr>
              <m:ctrlPr>
                <w:rPr>
                  <w:rFonts w:ascii="Cambria Math" w:hAnsi="Cambria Math" w:cs="Arial"/>
                  <w:i/>
                  <w:iCs/>
                </w:rPr>
              </m:ctrlPr>
            </m:dPr>
            <m:e>
              <m:r>
                <w:rPr>
                  <w:rFonts w:ascii="Cambria Math" w:hAnsi="Cambria Math" w:cs="Arial"/>
                </w:rPr>
                <m:t>4</m:t>
              </m:r>
            </m:e>
          </m:d>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 xml:space="preserve">    t</m:t>
              </m:r>
            </m:e>
            <m:sub>
              <m:r>
                <w:rPr>
                  <w:rFonts w:ascii="Cambria Math" w:hAnsi="Cambria Math" w:cs="Arial"/>
                  <w:lang w:val="en-US"/>
                </w:rPr>
                <m:t>i</m:t>
              </m:r>
            </m:sub>
          </m:sSub>
          <m:r>
            <w:rPr>
              <w:rFonts w:ascii="Cambria Math" w:hAnsi="Cambria Math" w:cs="Arial"/>
              <w:lang w:val="en-US"/>
            </w:rPr>
            <m:t>=</m:t>
          </m:r>
          <m:sSup>
            <m:sSupPr>
              <m:ctrlPr>
                <w:rPr>
                  <w:rFonts w:ascii="Cambria Math" w:hAnsi="Cambria Math" w:cs="Arial"/>
                  <w:i/>
                  <w:iCs/>
                </w:rPr>
              </m:ctrlPr>
            </m:sSupPr>
            <m:e>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e>
            <m:sup>
              <m:r>
                <w:rPr>
                  <w:rFonts w:ascii="Cambria Math" w:hAnsi="Cambria Math" w:cs="Arial"/>
                  <w:lang w:val="en-US"/>
                </w:rPr>
                <m:t> 1-</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lang w:val="en-US"/>
                </w:rPr>
                <m:t>+</m:t>
              </m:r>
              <m:r>
                <w:rPr>
                  <w:rFonts w:ascii="Cambria Math" w:hAnsi="Cambria Math" w:cs="Arial"/>
                </w:rPr>
                <m:t>γ</m:t>
              </m:r>
              <m:r>
                <w:rPr>
                  <w:rFonts w:ascii="Cambria Math" w:hAnsi="Cambria Math" w:cs="Arial"/>
                  <w:lang w:val="en-US"/>
                </w:rPr>
                <m:t>)</m:t>
              </m:r>
            </m:sup>
          </m:sSup>
        </m:oMath>
      </m:oMathPara>
    </w:p>
    <w:p w:rsidR="009F2E31" w:rsidRPr="00E31E76" w:rsidRDefault="009F2E31" w:rsidP="009F2E31">
      <w:pPr>
        <w:tabs>
          <w:tab w:val="left" w:pos="3504"/>
        </w:tabs>
        <w:spacing w:after="0"/>
        <w:jc w:val="both"/>
        <w:rPr>
          <w:rFonts w:ascii="Arial" w:hAnsi="Arial" w:cs="Arial"/>
          <w:lang w:val="en-US"/>
        </w:rPr>
      </w:pPr>
    </w:p>
    <w:p w:rsidR="009F2E31" w:rsidRPr="00E31E76" w:rsidRDefault="009F2E31" w:rsidP="009F2E31">
      <w:pPr>
        <w:tabs>
          <w:tab w:val="left" w:pos="3504"/>
        </w:tabs>
        <w:spacing w:after="0"/>
        <w:ind w:firstLine="851"/>
        <w:jc w:val="both"/>
        <w:rPr>
          <w:rFonts w:ascii="Arial" w:hAnsi="Arial" w:cs="Arial"/>
          <w:color w:val="212121"/>
          <w:shd w:val="clear" w:color="auto" w:fill="FFFFFF"/>
          <w:lang w:val="en-US"/>
        </w:rPr>
      </w:pPr>
      <w:r w:rsidRPr="00E31E76">
        <w:rPr>
          <w:rFonts w:ascii="Arial" w:hAnsi="Arial" w:cs="Arial"/>
          <w:lang w:val="en-US"/>
        </w:rPr>
        <w:t xml:space="preserve">The </w:t>
      </w:r>
      <w:r>
        <w:rPr>
          <w:rFonts w:ascii="Arial" w:hAnsi="Arial" w:cs="Arial"/>
          <w:lang w:val="en-US"/>
        </w:rPr>
        <w:t xml:space="preserve">modified </w:t>
      </w:r>
      <w:r w:rsidRPr="00E31E76">
        <w:rPr>
          <w:rFonts w:ascii="Arial" w:hAnsi="Arial" w:cs="Arial"/>
          <w:lang w:val="en-US"/>
        </w:rPr>
        <w:t xml:space="preserve">vulnerability </w:t>
      </w:r>
      <w:r w:rsidRPr="00E31E76">
        <w:rPr>
          <w:rFonts w:ascii="Arial" w:hAnsi="Arial" w:cs="Arial"/>
          <w:color w:val="212121"/>
          <w:shd w:val="clear" w:color="auto" w:fill="FFFFFF"/>
          <w:lang w:val="en-US"/>
        </w:rPr>
        <w:t>Index (</w:t>
      </w:r>
      <w:proofErr w:type="spellStart"/>
      <w:r>
        <w:rPr>
          <w:rFonts w:ascii="Arial" w:hAnsi="Arial" w:cs="Arial"/>
          <w:color w:val="212121"/>
          <w:shd w:val="clear" w:color="auto" w:fill="FFFFFF"/>
          <w:lang w:val="en-US"/>
        </w:rPr>
        <w:t>m</w:t>
      </w:r>
      <w:r w:rsidRPr="00E31E76">
        <w:rPr>
          <w:rFonts w:ascii="Arial" w:hAnsi="Arial" w:cs="Arial"/>
          <w:color w:val="212121"/>
          <w:shd w:val="clear" w:color="auto" w:fill="FFFFFF"/>
          <w:lang w:val="en-US"/>
        </w:rPr>
        <w:t>T</w:t>
      </w:r>
      <w:r w:rsidRPr="00E31E76">
        <w:rPr>
          <w:rFonts w:ascii="Arial" w:hAnsi="Arial" w:cs="Arial"/>
          <w:color w:val="212121"/>
          <w:shd w:val="clear" w:color="auto" w:fill="FFFFFF"/>
          <w:vertAlign w:val="subscript"/>
          <w:lang w:val="en-US"/>
        </w:rPr>
        <w:t>x</w:t>
      </w:r>
      <w:proofErr w:type="spellEnd"/>
      <w:r w:rsidRPr="00E31E76">
        <w:rPr>
          <w:rFonts w:ascii="Arial" w:hAnsi="Arial" w:cs="Arial"/>
          <w:color w:val="212121"/>
          <w:shd w:val="clear" w:color="auto" w:fill="FFFFFF"/>
          <w:lang w:val="en-US"/>
        </w:rPr>
        <w:t>) in then calculated</w:t>
      </w:r>
      <w:r>
        <w:rPr>
          <w:rFonts w:ascii="Arial" w:hAnsi="Arial" w:cs="Arial"/>
          <w:color w:val="212121"/>
          <w:shd w:val="clear" w:color="auto" w:fill="FFFFFF"/>
          <w:lang w:val="en-US"/>
        </w:rPr>
        <w:t xml:space="preserve"> as in </w:t>
      </w:r>
      <w:r w:rsidRPr="00E31E76">
        <w:rPr>
          <w:rFonts w:ascii="Arial" w:hAnsi="Arial" w:cs="Arial"/>
          <w:lang w:val="en-US"/>
        </w:rPr>
        <w:t>equation</w:t>
      </w:r>
      <w:r w:rsidRPr="00E31E76">
        <w:rPr>
          <w:rFonts w:ascii="Arial" w:hAnsi="Arial" w:cs="Arial"/>
          <w:color w:val="212121"/>
          <w:shd w:val="clear" w:color="auto" w:fill="FFFFFF"/>
          <w:lang w:val="en-US"/>
        </w:rPr>
        <w:t xml:space="preserve"> </w:t>
      </w:r>
      <w:r>
        <w:rPr>
          <w:rFonts w:ascii="Arial" w:hAnsi="Arial" w:cs="Arial"/>
          <w:color w:val="212121"/>
          <w:shd w:val="clear" w:color="auto" w:fill="FFFFFF"/>
          <w:lang w:val="en-US"/>
        </w:rPr>
        <w:t>(</w:t>
      </w:r>
      <w:r w:rsidR="00031F3F">
        <w:rPr>
          <w:rFonts w:ascii="Arial" w:hAnsi="Arial" w:cs="Arial"/>
          <w:color w:val="212121"/>
          <w:shd w:val="clear" w:color="auto" w:fill="FFFFFF"/>
          <w:lang w:val="en-US"/>
        </w:rPr>
        <w:t>5</w:t>
      </w:r>
      <w:r>
        <w:rPr>
          <w:rFonts w:ascii="Arial" w:hAnsi="Arial" w:cs="Arial"/>
          <w:color w:val="212121"/>
          <w:shd w:val="clear" w:color="auto" w:fill="FFFFFF"/>
          <w:lang w:val="en-US"/>
        </w:rPr>
        <w:t>).</w:t>
      </w:r>
    </w:p>
    <w:p w:rsidR="009F2E31" w:rsidRPr="00E31E76" w:rsidRDefault="009F2E31" w:rsidP="009F2E31">
      <w:pPr>
        <w:tabs>
          <w:tab w:val="left" w:pos="3504"/>
        </w:tabs>
        <w:spacing w:after="0"/>
        <w:jc w:val="both"/>
        <w:rPr>
          <w:rFonts w:ascii="Arial" w:hAnsi="Arial" w:cs="Arial"/>
          <w:color w:val="212121"/>
          <w:shd w:val="clear" w:color="auto" w:fill="FFFFFF"/>
          <w:lang w:val="en-US"/>
        </w:rPr>
      </w:pPr>
    </w:p>
    <w:p w:rsidR="009F2E31" w:rsidRPr="00E31E76" w:rsidRDefault="003F4B64" w:rsidP="009F2E31">
      <w:pPr>
        <w:tabs>
          <w:tab w:val="left" w:pos="3504"/>
        </w:tabs>
        <w:spacing w:after="0"/>
        <w:jc w:val="both"/>
        <w:rPr>
          <w:rFonts w:ascii="Arial" w:hAnsi="Arial" w:cs="Arial"/>
          <w:lang w:val="en-US"/>
        </w:rPr>
      </w:pPr>
      <m:oMathPara>
        <m:oMath>
          <m:sSub>
            <m:sSubPr>
              <m:ctrlPr>
                <w:rPr>
                  <w:rFonts w:ascii="Cambria Math" w:hAnsi="Cambria Math" w:cs="Arial"/>
                  <w:i/>
                  <w:iCs/>
                </w:rPr>
              </m:ctrlPr>
            </m:sSubPr>
            <m:e>
              <m:r>
                <w:rPr>
                  <w:rFonts w:ascii="Cambria Math" w:hAnsi="Cambria Math" w:cs="Arial"/>
                </w:rPr>
                <m:t xml:space="preserve"> </m:t>
              </m:r>
              <m:d>
                <m:dPr>
                  <m:ctrlPr>
                    <w:rPr>
                      <w:rFonts w:ascii="Cambria Math" w:hAnsi="Cambria Math" w:cs="Arial"/>
                      <w:i/>
                    </w:rPr>
                  </m:ctrlPr>
                </m:dPr>
                <m:e>
                  <m:r>
                    <w:rPr>
                      <w:rFonts w:ascii="Cambria Math" w:hAnsi="Cambria Math" w:cs="Arial"/>
                    </w:rPr>
                    <m:t>5</m:t>
                  </m:r>
                </m:e>
              </m:d>
              <m:r>
                <w:rPr>
                  <w:rFonts w:ascii="Cambria Math" w:hAnsi="Cambria Math" w:cs="Arial"/>
                </w:rPr>
                <m:t xml:space="preserve">    mT</m:t>
              </m:r>
            </m:e>
            <m:sub>
              <m:r>
                <w:rPr>
                  <w:rFonts w:ascii="Cambria Math" w:hAnsi="Cambria Math" w:cs="Arial"/>
                </w:rPr>
                <m:t>x</m:t>
              </m:r>
            </m:sub>
          </m:sSub>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i=1</m:t>
              </m:r>
            </m:sub>
            <m: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x</m:t>
                  </m:r>
                </m:sub>
              </m:sSub>
            </m:sup>
            <m:e>
              <m:f>
                <m:fPr>
                  <m:ctrlPr>
                    <w:rPr>
                      <w:rFonts w:ascii="Cambria Math" w:hAnsi="Cambria Math" w:cs="Arial"/>
                      <w:i/>
                      <w:iCs/>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Bri</m:t>
                      </m:r>
                    </m:e>
                    <m:sub>
                      <m:r>
                        <w:rPr>
                          <w:rFonts w:ascii="Cambria Math" w:eastAsiaTheme="minorEastAsia" w:hAnsi="Cambria Math" w:cs="Arial"/>
                          <w:sz w:val="24"/>
                          <w:szCs w:val="24"/>
                        </w:rPr>
                        <m:t>x</m:t>
                      </m:r>
                    </m:sub>
                  </m:sSub>
                </m:num>
                <m:den>
                  <m:sSub>
                    <m:sSubPr>
                      <m:ctrlPr>
                        <w:rPr>
                          <w:rFonts w:ascii="Cambria Math" w:hAnsi="Cambria Math" w:cs="Arial"/>
                          <w:i/>
                          <w:iCs/>
                        </w:rPr>
                      </m:ctrlPr>
                    </m:sSubPr>
                    <m:e>
                      <m:r>
                        <w:rPr>
                          <w:rFonts w:ascii="Cambria Math" w:hAnsi="Cambria Math" w:cs="Arial"/>
                        </w:rPr>
                        <m:t>t</m:t>
                      </m:r>
                    </m:e>
                    <m:sub>
                      <m:r>
                        <w:rPr>
                          <w:rFonts w:ascii="Cambria Math" w:hAnsi="Cambria Math" w:cs="Arial"/>
                        </w:rPr>
                        <m:t>i</m:t>
                      </m:r>
                    </m:sub>
                  </m:sSub>
                  <m:r>
                    <w:rPr>
                      <w:rFonts w:ascii="Cambria Math" w:hAnsi="Cambria Math" w:cs="Arial"/>
                    </w:rPr>
                    <m:t xml:space="preserve"> × </m:t>
                  </m:r>
                  <m:sSub>
                    <m:sSubPr>
                      <m:ctrlPr>
                        <w:rPr>
                          <w:rFonts w:ascii="Cambria Math" w:hAnsi="Cambria Math" w:cs="Arial"/>
                          <w:i/>
                          <w:iCs/>
                        </w:rPr>
                      </m:ctrlPr>
                    </m:sSubPr>
                    <m:e>
                      <m:r>
                        <w:rPr>
                          <w:rFonts w:ascii="Cambria Math" w:hAnsi="Cambria Math" w:cs="Arial"/>
                        </w:rPr>
                        <m:t>s</m:t>
                      </m:r>
                    </m:e>
                    <m:sub>
                      <m:r>
                        <w:rPr>
                          <w:rFonts w:ascii="Cambria Math" w:hAnsi="Cambria Math" w:cs="Arial"/>
                        </w:rPr>
                        <m:t>i</m:t>
                      </m:r>
                    </m:sub>
                  </m:sSub>
                </m:den>
              </m:f>
            </m:e>
          </m:nary>
        </m:oMath>
      </m:oMathPara>
    </w:p>
    <w:p w:rsidR="009F2E31" w:rsidRPr="00E31E76" w:rsidRDefault="009F2E31" w:rsidP="009F2E31">
      <w:pPr>
        <w:tabs>
          <w:tab w:val="left" w:pos="3504"/>
        </w:tabs>
        <w:spacing w:after="0"/>
        <w:jc w:val="both"/>
        <w:rPr>
          <w:rFonts w:ascii="Arial" w:hAnsi="Arial" w:cs="Arial"/>
          <w:lang w:val="en-US"/>
        </w:rPr>
      </w:pPr>
    </w:p>
    <w:p w:rsidR="009F2E31" w:rsidRPr="00E31E76" w:rsidRDefault="009F2E31" w:rsidP="009F2E31">
      <w:pPr>
        <w:tabs>
          <w:tab w:val="left" w:pos="3504"/>
        </w:tabs>
        <w:spacing w:after="0"/>
        <w:jc w:val="both"/>
        <w:rPr>
          <w:rFonts w:ascii="Arial" w:hAnsi="Arial" w:cs="Arial"/>
          <w:lang w:val="en-US"/>
        </w:rPr>
      </w:pPr>
      <w:proofErr w:type="gramStart"/>
      <w:r>
        <w:rPr>
          <w:rFonts w:ascii="Arial" w:hAnsi="Arial" w:cs="Arial"/>
          <w:lang w:val="en-US"/>
        </w:rPr>
        <w:t>with</w:t>
      </w:r>
      <w:proofErr w:type="gramEnd"/>
      <w:r>
        <w:rPr>
          <w:rFonts w:ascii="Arial" w:hAnsi="Arial" w:cs="Arial"/>
          <w:lang w:val="en-US"/>
        </w:rPr>
        <w:t xml:space="preserve"> Br</w:t>
      </w:r>
      <w:r w:rsidRPr="00E31E76">
        <w:rPr>
          <w:rFonts w:ascii="Arial" w:hAnsi="Arial" w:cs="Arial"/>
          <w:lang w:val="en-US"/>
        </w:rPr>
        <w:t>i</w:t>
      </w:r>
      <w:r w:rsidRPr="00E31E76">
        <w:rPr>
          <w:rFonts w:ascii="Arial" w:hAnsi="Arial" w:cs="Arial"/>
          <w:vertAlign w:val="subscript"/>
          <w:lang w:val="en-US"/>
        </w:rPr>
        <w:t>x</w:t>
      </w:r>
      <w:r w:rsidRPr="00E31E76">
        <w:rPr>
          <w:rFonts w:ascii="Arial" w:hAnsi="Arial" w:cs="Arial"/>
          <w:lang w:val="en-US"/>
        </w:rPr>
        <w:t>,</w:t>
      </w:r>
      <w:r w:rsidRPr="00E31E76">
        <w:rPr>
          <w:rFonts w:ascii="Arial" w:hAnsi="Arial" w:cs="Arial"/>
          <w:vertAlign w:val="subscript"/>
          <w:lang w:val="en-US"/>
        </w:rPr>
        <w:t xml:space="preserve"> </w:t>
      </w:r>
      <w:r w:rsidRPr="00E31E76">
        <w:rPr>
          <w:rFonts w:ascii="Arial" w:hAnsi="Arial" w:cs="Arial"/>
          <w:lang w:val="en-US"/>
        </w:rPr>
        <w:t xml:space="preserve"> relative </w:t>
      </w:r>
      <w:r w:rsidR="00031F3F">
        <w:rPr>
          <w:rFonts w:ascii="Arial" w:hAnsi="Arial" w:cs="Arial"/>
          <w:lang w:val="en-US"/>
        </w:rPr>
        <w:t>abundance</w:t>
      </w:r>
      <w:r w:rsidRPr="00E31E76">
        <w:rPr>
          <w:rFonts w:ascii="Arial" w:hAnsi="Arial" w:cs="Arial"/>
          <w:lang w:val="en-US"/>
        </w:rPr>
        <w:t xml:space="preserve"> of the </w:t>
      </w:r>
      <w:proofErr w:type="spellStart"/>
      <w:r w:rsidRPr="00E31E76">
        <w:rPr>
          <w:rFonts w:ascii="Arial" w:hAnsi="Arial" w:cs="Arial"/>
          <w:lang w:val="en-US"/>
        </w:rPr>
        <w:t>i</w:t>
      </w:r>
      <w:r w:rsidRPr="00E31E76">
        <w:rPr>
          <w:rFonts w:ascii="Arial" w:hAnsi="Arial" w:cs="Arial"/>
          <w:vertAlign w:val="superscript"/>
          <w:lang w:val="en-US"/>
        </w:rPr>
        <w:t>th</w:t>
      </w:r>
      <w:proofErr w:type="spellEnd"/>
      <w:r w:rsidRPr="00E31E76">
        <w:rPr>
          <w:rFonts w:ascii="Arial" w:hAnsi="Arial" w:cs="Arial"/>
          <w:lang w:val="en-US"/>
        </w:rPr>
        <w:t xml:space="preserve"> taxon of the station x and </w:t>
      </w:r>
      <w:proofErr w:type="spellStart"/>
      <w:r w:rsidRPr="00E31E76">
        <w:rPr>
          <w:rFonts w:ascii="Arial" w:hAnsi="Arial" w:cs="Arial"/>
          <w:lang w:val="en-US"/>
        </w:rPr>
        <w:t>Nx</w:t>
      </w:r>
      <w:proofErr w:type="spellEnd"/>
      <w:r w:rsidRPr="00E31E76">
        <w:rPr>
          <w:rFonts w:ascii="Arial" w:hAnsi="Arial" w:cs="Arial"/>
          <w:lang w:val="en-US"/>
        </w:rPr>
        <w:t xml:space="preserve"> the total number of taxon of the station x.</w:t>
      </w:r>
      <w:r>
        <w:rPr>
          <w:rFonts w:ascii="Arial" w:hAnsi="Arial" w:cs="Arial"/>
          <w:lang w:val="en-US"/>
        </w:rPr>
        <w:t xml:space="preserve"> </w:t>
      </w:r>
      <w:r w:rsidRPr="00E31E76">
        <w:rPr>
          <w:rFonts w:ascii="Arial" w:hAnsi="Arial" w:cs="Arial"/>
          <w:lang w:val="en-US"/>
        </w:rPr>
        <w:t>This index tends to increase as the assemblage sensitivity increases.</w:t>
      </w:r>
    </w:p>
    <w:p w:rsidR="009F2E31" w:rsidRDefault="009F2E31"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583B77" w:rsidRDefault="00583B77" w:rsidP="009F2E31">
      <w:pPr>
        <w:tabs>
          <w:tab w:val="left" w:pos="3504"/>
        </w:tabs>
        <w:spacing w:after="0"/>
        <w:ind w:firstLine="851"/>
        <w:jc w:val="both"/>
        <w:rPr>
          <w:rFonts w:ascii="Arial" w:hAnsi="Arial" w:cs="Arial"/>
          <w:lang w:val="en-US"/>
        </w:rPr>
      </w:pPr>
    </w:p>
    <w:p w:rsidR="008D7411" w:rsidRDefault="008D7411" w:rsidP="003F4B64">
      <w:pPr>
        <w:tabs>
          <w:tab w:val="left" w:pos="3504"/>
        </w:tabs>
        <w:spacing w:after="0"/>
        <w:jc w:val="both"/>
        <w:rPr>
          <w:rFonts w:ascii="Arial" w:hAnsi="Arial" w:cs="Arial"/>
          <w:lang w:val="en-US"/>
        </w:rPr>
      </w:pPr>
      <w:bookmarkStart w:id="0" w:name="_GoBack"/>
      <w:bookmarkEnd w:id="0"/>
    </w:p>
    <w:p w:rsidR="00D11E0D" w:rsidRDefault="008D7411" w:rsidP="008D7411">
      <w:pPr>
        <w:tabs>
          <w:tab w:val="left" w:pos="3504"/>
        </w:tabs>
        <w:spacing w:after="0"/>
        <w:ind w:firstLine="851"/>
        <w:jc w:val="center"/>
        <w:rPr>
          <w:rFonts w:ascii="Arial" w:hAnsi="Arial" w:cs="Arial"/>
          <w:b/>
          <w:sz w:val="28"/>
          <w:szCs w:val="28"/>
          <w:lang w:val="en-US"/>
        </w:rPr>
      </w:pPr>
      <w:r w:rsidRPr="008D7411">
        <w:rPr>
          <w:rFonts w:ascii="Arial" w:hAnsi="Arial" w:cs="Arial"/>
          <w:b/>
          <w:sz w:val="28"/>
          <w:szCs w:val="28"/>
          <w:lang w:val="en-US"/>
        </w:rPr>
        <w:lastRenderedPageBreak/>
        <w:t>Appendix B.</w:t>
      </w:r>
      <w:r>
        <w:rPr>
          <w:rFonts w:ascii="Arial" w:hAnsi="Arial" w:cs="Arial"/>
          <w:b/>
          <w:sz w:val="28"/>
          <w:szCs w:val="28"/>
          <w:lang w:val="en-US"/>
        </w:rPr>
        <w:t xml:space="preserve"> </w:t>
      </w:r>
      <w:r w:rsidR="00D11E0D">
        <w:rPr>
          <w:rFonts w:ascii="Arial" w:hAnsi="Arial" w:cs="Arial"/>
          <w:b/>
          <w:sz w:val="28"/>
          <w:szCs w:val="28"/>
          <w:lang w:val="en-US"/>
        </w:rPr>
        <w:t xml:space="preserve">Surface sampled </w:t>
      </w:r>
    </w:p>
    <w:p w:rsidR="00D11E0D" w:rsidRDefault="00D11E0D" w:rsidP="008D7411">
      <w:pPr>
        <w:tabs>
          <w:tab w:val="left" w:pos="3504"/>
        </w:tabs>
        <w:spacing w:after="0"/>
        <w:ind w:firstLine="851"/>
        <w:jc w:val="center"/>
        <w:rPr>
          <w:rFonts w:ascii="Arial" w:hAnsi="Arial" w:cs="Arial"/>
          <w:b/>
          <w:sz w:val="28"/>
          <w:szCs w:val="28"/>
          <w:lang w:val="en-US"/>
        </w:rPr>
      </w:pPr>
    </w:p>
    <w:p w:rsidR="00D11E0D" w:rsidRDefault="00D11E0D" w:rsidP="008D7411">
      <w:pPr>
        <w:tabs>
          <w:tab w:val="left" w:pos="3504"/>
        </w:tabs>
        <w:spacing w:after="0"/>
        <w:ind w:firstLine="851"/>
        <w:jc w:val="center"/>
        <w:rPr>
          <w:rFonts w:ascii="Arial" w:hAnsi="Arial" w:cs="Arial"/>
          <w:b/>
          <w:sz w:val="28"/>
          <w:szCs w:val="28"/>
          <w:lang w:val="en-US"/>
        </w:rPr>
      </w:pPr>
    </w:p>
    <w:p w:rsidR="00D11E0D" w:rsidRPr="00D11E0D" w:rsidRDefault="00D11E0D" w:rsidP="00D11E0D">
      <w:pPr>
        <w:pStyle w:val="Lgende"/>
        <w:keepNext/>
        <w:spacing w:after="40"/>
        <w:rPr>
          <w:color w:val="auto"/>
          <w:lang w:val="en-US"/>
        </w:rPr>
      </w:pPr>
      <w:bookmarkStart w:id="1" w:name="_Ref52979420"/>
      <w:r w:rsidRPr="00D11E0D">
        <w:rPr>
          <w:color w:val="auto"/>
          <w:lang w:val="en-US"/>
        </w:rPr>
        <w:t xml:space="preserve">Table </w:t>
      </w:r>
      <w:bookmarkEnd w:id="1"/>
      <w:r w:rsidRPr="00D11E0D">
        <w:rPr>
          <w:color w:val="auto"/>
          <w:lang w:val="en-US"/>
        </w:rPr>
        <w:t xml:space="preserve">B.1: Sampled surface by the two observations methods in the Gulf of Lion and the English Channel. </w:t>
      </w:r>
    </w:p>
    <w:p w:rsidR="00D11E0D" w:rsidRPr="00D11E0D" w:rsidRDefault="00D11E0D" w:rsidP="00D11E0D">
      <w:pPr>
        <w:spacing w:after="120"/>
        <w:rPr>
          <w:rFonts w:cs="Arial"/>
          <w:sz w:val="18"/>
          <w:szCs w:val="18"/>
          <w:lang w:val="en-US"/>
        </w:rPr>
      </w:pPr>
      <w:r w:rsidRPr="00D11E0D">
        <w:rPr>
          <w:rFonts w:cs="Arial"/>
          <w:sz w:val="18"/>
          <w:szCs w:val="18"/>
          <w:lang w:val="en-US"/>
        </w:rPr>
        <w:t>The three abrasion values represent the minimum value, the mean and the maximum value.</w:t>
      </w:r>
    </w:p>
    <w:p w:rsidR="00DB1FB1" w:rsidRPr="00EC7679" w:rsidRDefault="00DB1FB1" w:rsidP="00D11E0D">
      <w:pPr>
        <w:tabs>
          <w:tab w:val="left" w:pos="3504"/>
        </w:tabs>
        <w:spacing w:after="0"/>
        <w:ind w:firstLine="851"/>
        <w:jc w:val="center"/>
        <w:rPr>
          <w:rFonts w:ascii="Arial" w:hAnsi="Arial" w:cs="Arial"/>
          <w:lang w:val="en-US"/>
        </w:rPr>
      </w:pPr>
    </w:p>
    <w:tbl>
      <w:tblPr>
        <w:tblW w:w="9677" w:type="dxa"/>
        <w:jc w:val="center"/>
        <w:tblLook w:val="04A0" w:firstRow="1" w:lastRow="0" w:firstColumn="1" w:lastColumn="0" w:noHBand="0" w:noVBand="1"/>
      </w:tblPr>
      <w:tblGrid>
        <w:gridCol w:w="1743"/>
        <w:gridCol w:w="1928"/>
        <w:gridCol w:w="1928"/>
        <w:gridCol w:w="222"/>
        <w:gridCol w:w="1928"/>
        <w:gridCol w:w="1928"/>
      </w:tblGrid>
      <w:tr w:rsidR="00D11E0D" w:rsidRPr="00EC7679" w:rsidTr="00EC7679">
        <w:trPr>
          <w:trHeight w:val="510"/>
          <w:jc w:val="center"/>
        </w:trPr>
        <w:tc>
          <w:tcPr>
            <w:tcW w:w="1743" w:type="dxa"/>
            <w:vAlign w:val="center"/>
          </w:tcPr>
          <w:p w:rsidR="00D11E0D" w:rsidRPr="003F4B64" w:rsidRDefault="00D11E0D" w:rsidP="00B36E28">
            <w:pPr>
              <w:spacing w:after="0"/>
              <w:jc w:val="center"/>
              <w:rPr>
                <w:rFonts w:ascii="Arial" w:hAnsi="Arial" w:cs="Arial"/>
                <w:sz w:val="24"/>
                <w:szCs w:val="24"/>
                <w:lang w:val="en-US"/>
              </w:rPr>
            </w:pPr>
          </w:p>
        </w:tc>
        <w:tc>
          <w:tcPr>
            <w:tcW w:w="3856" w:type="dxa"/>
            <w:gridSpan w:val="2"/>
            <w:tcBorders>
              <w:bottom w:val="single" w:sz="4" w:space="0" w:color="auto"/>
            </w:tcBorders>
            <w:vAlign w:val="center"/>
          </w:tcPr>
          <w:p w:rsidR="00D11E0D" w:rsidRPr="00EC7679" w:rsidRDefault="00D11E0D" w:rsidP="00B36E28">
            <w:pPr>
              <w:spacing w:after="0"/>
              <w:jc w:val="center"/>
              <w:rPr>
                <w:rFonts w:ascii="Arial" w:hAnsi="Arial" w:cs="Arial"/>
                <w:sz w:val="24"/>
                <w:szCs w:val="24"/>
              </w:rPr>
            </w:pPr>
            <w:proofErr w:type="spellStart"/>
            <w:r w:rsidRPr="00EC7679">
              <w:rPr>
                <w:rFonts w:ascii="Arial" w:hAnsi="Arial" w:cs="Arial"/>
                <w:b/>
                <w:sz w:val="24"/>
                <w:szCs w:val="24"/>
              </w:rPr>
              <w:t>Video</w:t>
            </w:r>
            <w:proofErr w:type="spellEnd"/>
          </w:p>
        </w:tc>
        <w:tc>
          <w:tcPr>
            <w:tcW w:w="222" w:type="dxa"/>
            <w:vAlign w:val="center"/>
          </w:tcPr>
          <w:p w:rsidR="00D11E0D" w:rsidRPr="00EC7679" w:rsidRDefault="00D11E0D" w:rsidP="00B36E28">
            <w:pPr>
              <w:spacing w:after="0"/>
              <w:jc w:val="center"/>
              <w:rPr>
                <w:rFonts w:ascii="Arial" w:hAnsi="Arial" w:cs="Arial"/>
                <w:sz w:val="24"/>
                <w:szCs w:val="24"/>
              </w:rPr>
            </w:pPr>
          </w:p>
        </w:tc>
        <w:tc>
          <w:tcPr>
            <w:tcW w:w="3856" w:type="dxa"/>
            <w:gridSpan w:val="2"/>
            <w:tcBorders>
              <w:bottom w:val="single" w:sz="4" w:space="0" w:color="auto"/>
            </w:tcBorders>
            <w:vAlign w:val="center"/>
          </w:tcPr>
          <w:p w:rsidR="00D11E0D" w:rsidRPr="00EC7679" w:rsidRDefault="00D11E0D" w:rsidP="00B36E28">
            <w:pPr>
              <w:spacing w:after="0"/>
              <w:jc w:val="center"/>
              <w:rPr>
                <w:rFonts w:ascii="Arial" w:hAnsi="Arial" w:cs="Arial"/>
                <w:sz w:val="24"/>
                <w:szCs w:val="24"/>
              </w:rPr>
            </w:pPr>
            <w:proofErr w:type="spellStart"/>
            <w:r w:rsidRPr="00EC7679">
              <w:rPr>
                <w:rFonts w:ascii="Arial" w:hAnsi="Arial" w:cs="Arial"/>
                <w:b/>
                <w:sz w:val="24"/>
                <w:szCs w:val="24"/>
              </w:rPr>
              <w:t>Trawl</w:t>
            </w:r>
            <w:proofErr w:type="spellEnd"/>
          </w:p>
        </w:tc>
      </w:tr>
      <w:tr w:rsidR="00D11E0D" w:rsidRPr="00EC7679" w:rsidTr="00B36E28">
        <w:trPr>
          <w:trHeight w:val="454"/>
          <w:jc w:val="center"/>
        </w:trPr>
        <w:tc>
          <w:tcPr>
            <w:tcW w:w="1743" w:type="dxa"/>
            <w:tcBorders>
              <w:bottom w:val="single" w:sz="4" w:space="0" w:color="auto"/>
            </w:tcBorders>
            <w:vAlign w:val="center"/>
          </w:tcPr>
          <w:p w:rsidR="00D11E0D" w:rsidRPr="00EC7679" w:rsidRDefault="00D11E0D" w:rsidP="00B36E28">
            <w:pPr>
              <w:spacing w:after="0"/>
              <w:jc w:val="center"/>
              <w:rPr>
                <w:rFonts w:ascii="Arial" w:hAnsi="Arial" w:cs="Arial"/>
                <w:sz w:val="24"/>
                <w:szCs w:val="24"/>
              </w:rPr>
            </w:pP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24"/>
                <w:szCs w:val="24"/>
              </w:rPr>
            </w:pPr>
            <w:r w:rsidRPr="00EC7679">
              <w:rPr>
                <w:rFonts w:ascii="Arial" w:hAnsi="Arial" w:cs="Arial"/>
                <w:sz w:val="24"/>
                <w:szCs w:val="24"/>
              </w:rPr>
              <w:t>Gulf of Lion</w:t>
            </w: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24"/>
                <w:szCs w:val="24"/>
              </w:rPr>
            </w:pPr>
            <w:r w:rsidRPr="00EC7679">
              <w:rPr>
                <w:rFonts w:ascii="Arial" w:hAnsi="Arial" w:cs="Arial"/>
                <w:sz w:val="24"/>
                <w:szCs w:val="24"/>
              </w:rPr>
              <w:t>English Channel</w:t>
            </w:r>
          </w:p>
        </w:tc>
        <w:tc>
          <w:tcPr>
            <w:tcW w:w="222" w:type="dxa"/>
            <w:vAlign w:val="center"/>
          </w:tcPr>
          <w:p w:rsidR="00D11E0D" w:rsidRPr="00EC7679" w:rsidRDefault="00D11E0D" w:rsidP="00B36E28">
            <w:pPr>
              <w:spacing w:after="0"/>
              <w:jc w:val="center"/>
              <w:rPr>
                <w:rFonts w:ascii="Arial" w:hAnsi="Arial" w:cs="Arial"/>
                <w:sz w:val="24"/>
                <w:szCs w:val="24"/>
              </w:rPr>
            </w:pP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24"/>
                <w:szCs w:val="24"/>
              </w:rPr>
            </w:pPr>
            <w:r w:rsidRPr="00EC7679">
              <w:rPr>
                <w:rFonts w:ascii="Arial" w:hAnsi="Arial" w:cs="Arial"/>
                <w:sz w:val="24"/>
                <w:szCs w:val="24"/>
              </w:rPr>
              <w:t>Gulf of Lion</w:t>
            </w: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24"/>
                <w:szCs w:val="24"/>
              </w:rPr>
            </w:pPr>
            <w:r w:rsidRPr="00EC7679">
              <w:rPr>
                <w:rFonts w:ascii="Arial" w:hAnsi="Arial" w:cs="Arial"/>
                <w:sz w:val="24"/>
                <w:szCs w:val="24"/>
              </w:rPr>
              <w:t>English Channel</w:t>
            </w:r>
          </w:p>
        </w:tc>
      </w:tr>
      <w:tr w:rsidR="00D11E0D" w:rsidRPr="00EC7679" w:rsidTr="00B36E28">
        <w:trPr>
          <w:trHeight w:val="680"/>
          <w:jc w:val="center"/>
        </w:trPr>
        <w:tc>
          <w:tcPr>
            <w:tcW w:w="1743"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b/>
              </w:rPr>
            </w:pPr>
            <w:proofErr w:type="spellStart"/>
            <w:r w:rsidRPr="00EC7679">
              <w:rPr>
                <w:rFonts w:ascii="Arial" w:hAnsi="Arial" w:cs="Arial"/>
                <w:b/>
              </w:rPr>
              <w:t>Sampled</w:t>
            </w:r>
            <w:proofErr w:type="spellEnd"/>
            <w:r w:rsidRPr="00EC7679">
              <w:rPr>
                <w:rFonts w:ascii="Arial" w:hAnsi="Arial" w:cs="Arial"/>
                <w:b/>
              </w:rPr>
              <w:t xml:space="preserve"> surface </w:t>
            </w:r>
          </w:p>
          <w:p w:rsidR="00D11E0D" w:rsidRPr="00EC7679" w:rsidRDefault="00D11E0D" w:rsidP="00B36E28">
            <w:pPr>
              <w:spacing w:after="0"/>
              <w:jc w:val="center"/>
              <w:rPr>
                <w:rFonts w:ascii="Arial" w:hAnsi="Arial" w:cs="Arial"/>
              </w:rPr>
            </w:pPr>
            <w:r w:rsidRPr="00EC7679">
              <w:rPr>
                <w:rFonts w:ascii="Arial" w:hAnsi="Arial" w:cs="Arial"/>
                <w:b/>
              </w:rPr>
              <w:t>(in km²)</w:t>
            </w: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18"/>
                <w:szCs w:val="18"/>
              </w:rPr>
            </w:pPr>
            <w:r w:rsidRPr="00EC7679">
              <w:rPr>
                <w:rFonts w:ascii="Arial" w:hAnsi="Arial" w:cs="Arial"/>
                <w:sz w:val="18"/>
                <w:szCs w:val="18"/>
              </w:rPr>
              <w:t>0.004 - 0.012 - 0.018</w:t>
            </w:r>
          </w:p>
        </w:tc>
        <w:tc>
          <w:tcPr>
            <w:tcW w:w="1928" w:type="dxa"/>
            <w:tcBorders>
              <w:bottom w:val="single" w:sz="4" w:space="0" w:color="auto"/>
            </w:tcBorders>
            <w:vAlign w:val="center"/>
          </w:tcPr>
          <w:p w:rsidR="00D11E0D" w:rsidRPr="00EC7679" w:rsidRDefault="00D11E0D" w:rsidP="00B36E28">
            <w:pPr>
              <w:spacing w:after="0"/>
              <w:jc w:val="center"/>
              <w:rPr>
                <w:rFonts w:ascii="Arial" w:hAnsi="Arial" w:cs="Arial"/>
                <w:sz w:val="18"/>
                <w:szCs w:val="18"/>
              </w:rPr>
            </w:pPr>
            <w:r w:rsidRPr="00EC7679">
              <w:rPr>
                <w:rFonts w:ascii="Arial" w:hAnsi="Arial" w:cs="Arial"/>
                <w:sz w:val="18"/>
                <w:szCs w:val="18"/>
              </w:rPr>
              <w:t>0.005 - 0.012 - 0.020</w:t>
            </w:r>
          </w:p>
        </w:tc>
        <w:tc>
          <w:tcPr>
            <w:tcW w:w="222" w:type="dxa"/>
            <w:vAlign w:val="center"/>
          </w:tcPr>
          <w:p w:rsidR="00D11E0D" w:rsidRPr="00EC7679" w:rsidRDefault="00D11E0D" w:rsidP="00B36E28">
            <w:pPr>
              <w:spacing w:after="0"/>
              <w:jc w:val="center"/>
              <w:rPr>
                <w:rFonts w:ascii="Arial" w:hAnsi="Arial" w:cs="Arial"/>
                <w:sz w:val="18"/>
                <w:szCs w:val="18"/>
              </w:rPr>
            </w:pP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18"/>
                <w:szCs w:val="18"/>
              </w:rPr>
            </w:pPr>
            <w:r w:rsidRPr="00EC7679">
              <w:rPr>
                <w:rFonts w:ascii="Arial" w:hAnsi="Arial" w:cs="Arial"/>
                <w:sz w:val="18"/>
                <w:szCs w:val="18"/>
              </w:rPr>
              <w:t>0.204 - 0.239 - 0.265</w:t>
            </w:r>
          </w:p>
        </w:tc>
        <w:tc>
          <w:tcPr>
            <w:tcW w:w="1928" w:type="dxa"/>
            <w:tcBorders>
              <w:top w:val="single" w:sz="4" w:space="0" w:color="auto"/>
              <w:bottom w:val="single" w:sz="4" w:space="0" w:color="auto"/>
            </w:tcBorders>
            <w:vAlign w:val="center"/>
          </w:tcPr>
          <w:p w:rsidR="00D11E0D" w:rsidRPr="00EC7679" w:rsidRDefault="00D11E0D" w:rsidP="00B36E28">
            <w:pPr>
              <w:spacing w:after="0"/>
              <w:jc w:val="center"/>
              <w:rPr>
                <w:rFonts w:ascii="Arial" w:hAnsi="Arial" w:cs="Arial"/>
                <w:sz w:val="18"/>
                <w:szCs w:val="18"/>
              </w:rPr>
            </w:pPr>
            <w:r w:rsidRPr="00EC7679">
              <w:rPr>
                <w:rFonts w:ascii="Arial" w:hAnsi="Arial" w:cs="Arial"/>
                <w:sz w:val="18"/>
                <w:szCs w:val="18"/>
              </w:rPr>
              <w:t>0.162 - 0.226 - 0.254</w:t>
            </w:r>
          </w:p>
        </w:tc>
      </w:tr>
    </w:tbl>
    <w:p w:rsidR="009F2E31" w:rsidRPr="00D11E0D" w:rsidRDefault="009F2E31">
      <w:pPr>
        <w:rPr>
          <w:lang w:val="en-US"/>
        </w:rPr>
      </w:pPr>
    </w:p>
    <w:sectPr w:rsidR="009F2E31" w:rsidRPr="00D11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31"/>
    <w:rsid w:val="00031F3F"/>
    <w:rsid w:val="001328B1"/>
    <w:rsid w:val="003F4B64"/>
    <w:rsid w:val="005679BB"/>
    <w:rsid w:val="00583B77"/>
    <w:rsid w:val="005B4BB6"/>
    <w:rsid w:val="005F6919"/>
    <w:rsid w:val="006E7ECA"/>
    <w:rsid w:val="00752613"/>
    <w:rsid w:val="008D7411"/>
    <w:rsid w:val="00965681"/>
    <w:rsid w:val="009A5BD8"/>
    <w:rsid w:val="009F2E31"/>
    <w:rsid w:val="00AF6F38"/>
    <w:rsid w:val="00BA0983"/>
    <w:rsid w:val="00D11E0D"/>
    <w:rsid w:val="00DB1FB1"/>
    <w:rsid w:val="00EC7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9F2E31"/>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rsid w:val="009F2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2E31"/>
    <w:rPr>
      <w:rFonts w:ascii="Tahoma" w:hAnsi="Tahoma" w:cs="Tahoma"/>
      <w:sz w:val="16"/>
      <w:szCs w:val="16"/>
    </w:rPr>
  </w:style>
  <w:style w:type="character" w:styleId="Marquedecommentaire">
    <w:name w:val="annotation reference"/>
    <w:basedOn w:val="Policepardfaut"/>
    <w:uiPriority w:val="99"/>
    <w:semiHidden/>
    <w:unhideWhenUsed/>
    <w:rsid w:val="006E7ECA"/>
    <w:rPr>
      <w:sz w:val="16"/>
      <w:szCs w:val="16"/>
    </w:rPr>
  </w:style>
  <w:style w:type="paragraph" w:styleId="Commentaire">
    <w:name w:val="annotation text"/>
    <w:basedOn w:val="Normal"/>
    <w:link w:val="CommentaireCar"/>
    <w:uiPriority w:val="99"/>
    <w:semiHidden/>
    <w:unhideWhenUsed/>
    <w:rsid w:val="006E7ECA"/>
    <w:pPr>
      <w:spacing w:line="240" w:lineRule="auto"/>
    </w:pPr>
    <w:rPr>
      <w:sz w:val="20"/>
      <w:szCs w:val="20"/>
    </w:rPr>
  </w:style>
  <w:style w:type="character" w:customStyle="1" w:styleId="CommentaireCar">
    <w:name w:val="Commentaire Car"/>
    <w:basedOn w:val="Policepardfaut"/>
    <w:link w:val="Commentaire"/>
    <w:uiPriority w:val="99"/>
    <w:semiHidden/>
    <w:rsid w:val="006E7ECA"/>
    <w:rPr>
      <w:sz w:val="20"/>
      <w:szCs w:val="20"/>
    </w:rPr>
  </w:style>
  <w:style w:type="paragraph" w:styleId="Objetducommentaire">
    <w:name w:val="annotation subject"/>
    <w:basedOn w:val="Commentaire"/>
    <w:next w:val="Commentaire"/>
    <w:link w:val="ObjetducommentaireCar"/>
    <w:uiPriority w:val="99"/>
    <w:semiHidden/>
    <w:unhideWhenUsed/>
    <w:rsid w:val="006E7ECA"/>
    <w:rPr>
      <w:b/>
      <w:bCs/>
    </w:rPr>
  </w:style>
  <w:style w:type="character" w:customStyle="1" w:styleId="ObjetducommentaireCar">
    <w:name w:val="Objet du commentaire Car"/>
    <w:basedOn w:val="CommentaireCar"/>
    <w:link w:val="Objetducommentaire"/>
    <w:uiPriority w:val="99"/>
    <w:semiHidden/>
    <w:rsid w:val="006E7E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9F2E31"/>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rsid w:val="009F2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2E31"/>
    <w:rPr>
      <w:rFonts w:ascii="Tahoma" w:hAnsi="Tahoma" w:cs="Tahoma"/>
      <w:sz w:val="16"/>
      <w:szCs w:val="16"/>
    </w:rPr>
  </w:style>
  <w:style w:type="character" w:styleId="Marquedecommentaire">
    <w:name w:val="annotation reference"/>
    <w:basedOn w:val="Policepardfaut"/>
    <w:uiPriority w:val="99"/>
    <w:semiHidden/>
    <w:unhideWhenUsed/>
    <w:rsid w:val="006E7ECA"/>
    <w:rPr>
      <w:sz w:val="16"/>
      <w:szCs w:val="16"/>
    </w:rPr>
  </w:style>
  <w:style w:type="paragraph" w:styleId="Commentaire">
    <w:name w:val="annotation text"/>
    <w:basedOn w:val="Normal"/>
    <w:link w:val="CommentaireCar"/>
    <w:uiPriority w:val="99"/>
    <w:semiHidden/>
    <w:unhideWhenUsed/>
    <w:rsid w:val="006E7ECA"/>
    <w:pPr>
      <w:spacing w:line="240" w:lineRule="auto"/>
    </w:pPr>
    <w:rPr>
      <w:sz w:val="20"/>
      <w:szCs w:val="20"/>
    </w:rPr>
  </w:style>
  <w:style w:type="character" w:customStyle="1" w:styleId="CommentaireCar">
    <w:name w:val="Commentaire Car"/>
    <w:basedOn w:val="Policepardfaut"/>
    <w:link w:val="Commentaire"/>
    <w:uiPriority w:val="99"/>
    <w:semiHidden/>
    <w:rsid w:val="006E7ECA"/>
    <w:rPr>
      <w:sz w:val="20"/>
      <w:szCs w:val="20"/>
    </w:rPr>
  </w:style>
  <w:style w:type="paragraph" w:styleId="Objetducommentaire">
    <w:name w:val="annotation subject"/>
    <w:basedOn w:val="Commentaire"/>
    <w:next w:val="Commentaire"/>
    <w:link w:val="ObjetducommentaireCar"/>
    <w:uiPriority w:val="99"/>
    <w:semiHidden/>
    <w:unhideWhenUsed/>
    <w:rsid w:val="006E7ECA"/>
    <w:rPr>
      <w:b/>
      <w:bCs/>
    </w:rPr>
  </w:style>
  <w:style w:type="character" w:customStyle="1" w:styleId="ObjetducommentaireCar">
    <w:name w:val="Objet du commentaire Car"/>
    <w:basedOn w:val="CommentaireCar"/>
    <w:link w:val="Objetducommentaire"/>
    <w:uiPriority w:val="99"/>
    <w:semiHidden/>
    <w:rsid w:val="006E7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0017-C72D-472B-BFD7-98E071A4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1882</Words>
  <Characters>10354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cjac</dc:creator>
  <cp:lastModifiedBy>cjac</cp:lastModifiedBy>
  <cp:revision>7</cp:revision>
  <dcterms:created xsi:type="dcterms:W3CDTF">2020-08-11T14:07:00Z</dcterms:created>
  <dcterms:modified xsi:type="dcterms:W3CDTF">2020-12-20T11:18:00Z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http://www.zotero.org/styles/coral-reefs</vt:lpwstr>
  </property>
  <property fmtid="{D5CDD505-2E9C-101B-9397-08002B2CF9AE}" pid="13" name="Mendeley Recent Style Name 5_1">
    <vt:lpwstr>Coral Reefs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http://www.zotero.org/styles/journal-of-the-american-chemical-society</vt:lpwstr>
  </property>
  <property fmtid="{D5CDD505-2E9C-101B-9397-08002B2CF9AE}" pid="17" name="Mendeley Recent Style Name 7_1">
    <vt:lpwstr>Journal of the American Chemical Society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c4b1cc79-38f4-3542-b786-ab7346aa7b65</vt:lpwstr>
  </property>
  <property fmtid="{D5CDD505-2E9C-101B-9397-08002B2CF9AE}" pid="24" name="Mendeley Citation Style_1">
    <vt:lpwstr>http://www.zotero.org/styles/coral-reefs</vt:lpwstr>
  </property>
</Properties>
</file>