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71EC8" w14:textId="5D69B3D9" w:rsidR="00BC3CA7" w:rsidRDefault="00BC3CA7" w:rsidP="00A2067E">
      <w:bookmarkStart w:id="0" w:name="_GoBack"/>
      <w:bookmarkEnd w:id="0"/>
      <w:r>
        <w:rPr>
          <w:noProof/>
          <w:lang w:val="fr-FR" w:eastAsia="fr-FR"/>
        </w:rPr>
        <w:drawing>
          <wp:inline distT="0" distB="0" distL="0" distR="0" wp14:anchorId="60F7B91F" wp14:editId="36B90494">
            <wp:extent cx="5840095" cy="67056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7140" cy="6713689"/>
                    </a:xfrm>
                    <a:prstGeom prst="rect">
                      <a:avLst/>
                    </a:prstGeom>
                  </pic:spPr>
                </pic:pic>
              </a:graphicData>
            </a:graphic>
          </wp:inline>
        </w:drawing>
      </w:r>
    </w:p>
    <w:p w14:paraId="1B69400D" w14:textId="06AA2E19" w:rsidR="00AE5167" w:rsidRDefault="00231B68" w:rsidP="00A2067E">
      <w:r>
        <w:t>Figure S1.</w:t>
      </w:r>
      <w:r w:rsidR="009D11DA">
        <w:t xml:space="preserve"> Bayesian age-depth models developed in Bacon in R of</w:t>
      </w:r>
      <w:r>
        <w:t xml:space="preserve"> </w:t>
      </w:r>
      <w:r w:rsidR="009D11DA">
        <w:t>r</w:t>
      </w:r>
      <w:r>
        <w:t>ecords excluded from further analysis during the age modelling process due to sedimentary hiatuses (Redhead Lagoon</w:t>
      </w:r>
      <w:r w:rsidR="00D97153">
        <w:t>,</w:t>
      </w:r>
      <w:r>
        <w:t xml:space="preserve"> Wyelangta</w:t>
      </w:r>
      <w:r w:rsidR="00D97153">
        <w:t xml:space="preserve"> and Lake Allom</w:t>
      </w:r>
      <w:r>
        <w:t>) or not extending to 25 ka</w:t>
      </w:r>
      <w:r w:rsidR="00AE5167">
        <w:t xml:space="preserve"> (Mountain Lagoon and Lake Frome)</w:t>
      </w:r>
      <w:r>
        <w:t>.</w:t>
      </w:r>
      <w:r w:rsidR="009D11DA">
        <w:t xml:space="preserve"> Previously published age-depth relationships</w:t>
      </w:r>
      <w:r w:rsidR="00D54274">
        <w:t xml:space="preserve"> (retrieved from original publications listed in Table 1) are shown in orange line. </w:t>
      </w:r>
    </w:p>
    <w:p w14:paraId="2E41FA0F" w14:textId="49AA3949" w:rsidR="002C1376" w:rsidRDefault="00BB0BE9" w:rsidP="00D26716">
      <w:pPr>
        <w:jc w:val="center"/>
      </w:pPr>
      <w:r>
        <w:rPr>
          <w:noProof/>
          <w:lang w:val="fr-FR" w:eastAsia="fr-FR"/>
        </w:rPr>
        <w:lastRenderedPageBreak/>
        <w:drawing>
          <wp:inline distT="0" distB="0" distL="0" distR="0" wp14:anchorId="359C2D95" wp14:editId="6588FFF6">
            <wp:extent cx="4987824" cy="3456000"/>
            <wp:effectExtent l="0" t="0" r="381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7824" cy="3456000"/>
                    </a:xfrm>
                    <a:prstGeom prst="rect">
                      <a:avLst/>
                    </a:prstGeom>
                  </pic:spPr>
                </pic:pic>
              </a:graphicData>
            </a:graphic>
          </wp:inline>
        </w:drawing>
      </w:r>
    </w:p>
    <w:p w14:paraId="041DA21B" w14:textId="7620DD54" w:rsidR="007D59F1" w:rsidRDefault="007D59F1" w:rsidP="007D59F1">
      <w:r>
        <w:t xml:space="preserve">Figure S2a. Bayesian age-depth models developed in Bacon in R for Lake Carpentaria MD972128. Previously published age-depth relationships (retrieved from original publication) are shown in orange line. </w:t>
      </w:r>
    </w:p>
    <w:p w14:paraId="08A21286" w14:textId="41A906BA" w:rsidR="00BB0BE9" w:rsidRDefault="00BB0BE9" w:rsidP="00D26716">
      <w:pPr>
        <w:jc w:val="center"/>
      </w:pPr>
      <w:r>
        <w:rPr>
          <w:noProof/>
          <w:lang w:val="fr-FR" w:eastAsia="fr-FR"/>
        </w:rPr>
        <w:drawing>
          <wp:inline distT="0" distB="0" distL="0" distR="0" wp14:anchorId="28575004" wp14:editId="7DC9E1B3">
            <wp:extent cx="4912418" cy="3456000"/>
            <wp:effectExtent l="0" t="0" r="254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2418" cy="3456000"/>
                    </a:xfrm>
                    <a:prstGeom prst="rect">
                      <a:avLst/>
                    </a:prstGeom>
                  </pic:spPr>
                </pic:pic>
              </a:graphicData>
            </a:graphic>
          </wp:inline>
        </w:drawing>
      </w:r>
    </w:p>
    <w:p w14:paraId="0C73E8D6" w14:textId="5A046844" w:rsidR="007D59F1" w:rsidRDefault="007D59F1" w:rsidP="007D59F1">
      <w:r>
        <w:t xml:space="preserve">Figure S2a. Bayesian age-depth models developed in Bacon in R for Lake Carpentaria MD972133. Previously published age-depth relationships (retrieved from original publication) are shown in orange line. </w:t>
      </w:r>
    </w:p>
    <w:p w14:paraId="25AC34D4" w14:textId="5CC6A1FF" w:rsidR="00BB0BE9" w:rsidRDefault="00BB0BE9" w:rsidP="00D26716">
      <w:pPr>
        <w:jc w:val="center"/>
      </w:pPr>
      <w:r>
        <w:rPr>
          <w:noProof/>
          <w:lang w:val="fr-FR" w:eastAsia="fr-FR"/>
        </w:rPr>
        <w:lastRenderedPageBreak/>
        <w:drawing>
          <wp:inline distT="0" distB="0" distL="0" distR="0" wp14:anchorId="6B42E8FC" wp14:editId="7E5D4FAD">
            <wp:extent cx="4897764" cy="3456000"/>
            <wp:effectExtent l="0" t="0" r="0" b="0"/>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7764" cy="3456000"/>
                    </a:xfrm>
                    <a:prstGeom prst="rect">
                      <a:avLst/>
                    </a:prstGeom>
                  </pic:spPr>
                </pic:pic>
              </a:graphicData>
            </a:graphic>
          </wp:inline>
        </w:drawing>
      </w:r>
    </w:p>
    <w:p w14:paraId="2FCE711C" w14:textId="706972E4" w:rsidR="007D59F1" w:rsidRDefault="007D59F1" w:rsidP="007D59F1">
      <w:r>
        <w:t xml:space="preserve">Figure S2c. Bayesian age-depth models developed in Bacon in R for Lake Carpentaria GC2. Previously published age-depth relationships (retrieved from original publication) are shown in orange line. </w:t>
      </w:r>
    </w:p>
    <w:p w14:paraId="59B5659C" w14:textId="79F5369E" w:rsidR="00BB0BE9" w:rsidRDefault="00BB0BE9" w:rsidP="00D26716">
      <w:pPr>
        <w:jc w:val="center"/>
      </w:pPr>
      <w:r>
        <w:rPr>
          <w:noProof/>
          <w:lang w:val="fr-FR" w:eastAsia="fr-FR"/>
        </w:rPr>
        <w:drawing>
          <wp:inline distT="0" distB="0" distL="0" distR="0" wp14:anchorId="60483CFB" wp14:editId="7BBC1817">
            <wp:extent cx="4962433" cy="3456000"/>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2433" cy="3456000"/>
                    </a:xfrm>
                    <a:prstGeom prst="rect">
                      <a:avLst/>
                    </a:prstGeom>
                  </pic:spPr>
                </pic:pic>
              </a:graphicData>
            </a:graphic>
          </wp:inline>
        </w:drawing>
      </w:r>
    </w:p>
    <w:p w14:paraId="7DB8229F" w14:textId="2E16DA38" w:rsidR="007D59F1" w:rsidRDefault="007D59F1" w:rsidP="007D59F1">
      <w:r>
        <w:t xml:space="preserve">Figure S2d. Bayesian age-depth models developed in Bacon in R for ODP820. Previously published age-depth relationships (retrieved from original publication) are shown in orange line. </w:t>
      </w:r>
    </w:p>
    <w:p w14:paraId="4F3D4CCD" w14:textId="77777777" w:rsidR="007D59F1" w:rsidRDefault="007D59F1" w:rsidP="007D59F1"/>
    <w:p w14:paraId="237243C7" w14:textId="7EC6F576" w:rsidR="00BB0BE9" w:rsidRDefault="00BB0BE9" w:rsidP="00D26716">
      <w:pPr>
        <w:jc w:val="center"/>
      </w:pPr>
      <w:r>
        <w:rPr>
          <w:noProof/>
          <w:lang w:val="fr-FR" w:eastAsia="fr-FR"/>
        </w:rPr>
        <w:lastRenderedPageBreak/>
        <w:drawing>
          <wp:inline distT="0" distB="0" distL="0" distR="0" wp14:anchorId="0F923A48" wp14:editId="4A56359D">
            <wp:extent cx="4919391" cy="3456000"/>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9391" cy="3456000"/>
                    </a:xfrm>
                    <a:prstGeom prst="rect">
                      <a:avLst/>
                    </a:prstGeom>
                  </pic:spPr>
                </pic:pic>
              </a:graphicData>
            </a:graphic>
          </wp:inline>
        </w:drawing>
      </w:r>
    </w:p>
    <w:p w14:paraId="31C3BE28" w14:textId="4F936009" w:rsidR="007D59F1" w:rsidRDefault="007D59F1" w:rsidP="007D59F1">
      <w:r>
        <w:t xml:space="preserve">Figure S2e. Bayesian age-depth models developed in Bacon in R for Lynchs Crater. Previously published age-depth relationships (retrieved from original publication) are shown in orange line. </w:t>
      </w:r>
    </w:p>
    <w:p w14:paraId="36817D3E" w14:textId="01AF63C3" w:rsidR="00BB0BE9" w:rsidRDefault="00BB0BE9" w:rsidP="00D26716">
      <w:pPr>
        <w:jc w:val="center"/>
      </w:pPr>
      <w:r>
        <w:rPr>
          <w:noProof/>
          <w:lang w:val="fr-FR" w:eastAsia="fr-FR"/>
        </w:rPr>
        <w:drawing>
          <wp:inline distT="0" distB="0" distL="0" distR="0" wp14:anchorId="052BA6DA" wp14:editId="6B142471">
            <wp:extent cx="4953765" cy="345600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765" cy="3456000"/>
                    </a:xfrm>
                    <a:prstGeom prst="rect">
                      <a:avLst/>
                    </a:prstGeom>
                  </pic:spPr>
                </pic:pic>
              </a:graphicData>
            </a:graphic>
          </wp:inline>
        </w:drawing>
      </w:r>
    </w:p>
    <w:p w14:paraId="4092D7ED" w14:textId="0705059B" w:rsidR="007D59F1" w:rsidRDefault="007D59F1" w:rsidP="007D59F1">
      <w:r>
        <w:t xml:space="preserve">Figure S2f. Bayesian age-depth models developed in Bacon in R for Bromfield Swamp. Previously published age-depth relationships (retrieved from original publication) are shown in orange line. </w:t>
      </w:r>
    </w:p>
    <w:p w14:paraId="65205DA3" w14:textId="5119E788" w:rsidR="00BB0BE9" w:rsidRDefault="00BB0BE9" w:rsidP="00D26716">
      <w:pPr>
        <w:jc w:val="center"/>
      </w:pPr>
      <w:r>
        <w:rPr>
          <w:noProof/>
          <w:lang w:val="fr-FR" w:eastAsia="fr-FR"/>
        </w:rPr>
        <w:lastRenderedPageBreak/>
        <w:drawing>
          <wp:inline distT="0" distB="0" distL="0" distR="0" wp14:anchorId="26DD99ED" wp14:editId="50F38DF8">
            <wp:extent cx="4859613" cy="3456000"/>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9613" cy="3456000"/>
                    </a:xfrm>
                    <a:prstGeom prst="rect">
                      <a:avLst/>
                    </a:prstGeom>
                  </pic:spPr>
                </pic:pic>
              </a:graphicData>
            </a:graphic>
          </wp:inline>
        </w:drawing>
      </w:r>
    </w:p>
    <w:p w14:paraId="69D422DF" w14:textId="2E7C0324" w:rsidR="007D59F1" w:rsidRDefault="007D59F1" w:rsidP="007D59F1">
      <w:r>
        <w:t xml:space="preserve">Figure S2g. Bayesian age-depth models developed in Bacon in R for FR019712. Previously published age-depth relationships (retrieved from original publication) are shown in orange line. </w:t>
      </w:r>
    </w:p>
    <w:p w14:paraId="031AF93F" w14:textId="66913B17" w:rsidR="00BB0BE9" w:rsidRDefault="00BB0BE9" w:rsidP="00D26716">
      <w:pPr>
        <w:jc w:val="center"/>
      </w:pPr>
      <w:r>
        <w:rPr>
          <w:noProof/>
          <w:lang w:val="fr-FR" w:eastAsia="fr-FR"/>
        </w:rPr>
        <w:drawing>
          <wp:inline distT="0" distB="0" distL="0" distR="0" wp14:anchorId="75BFCAE7" wp14:editId="355D2324">
            <wp:extent cx="4913192" cy="3456000"/>
            <wp:effectExtent l="0" t="0" r="1905"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3192" cy="3456000"/>
                    </a:xfrm>
                    <a:prstGeom prst="rect">
                      <a:avLst/>
                    </a:prstGeom>
                  </pic:spPr>
                </pic:pic>
              </a:graphicData>
            </a:graphic>
          </wp:inline>
        </w:drawing>
      </w:r>
    </w:p>
    <w:p w14:paraId="6C94D857" w14:textId="29F9A741" w:rsidR="007D59F1" w:rsidRDefault="007D59F1" w:rsidP="007D59F1">
      <w:r>
        <w:t xml:space="preserve">Figure S2h. Bayesian age-depth models developed in Bacon in R for Moon Point. Previously published age-depth relationships (retrieved from original publication) are shown in orange line. </w:t>
      </w:r>
    </w:p>
    <w:p w14:paraId="63E84119" w14:textId="19293EAE" w:rsidR="00BB0BE9" w:rsidRDefault="00BB0BE9" w:rsidP="00D26716">
      <w:pPr>
        <w:jc w:val="center"/>
      </w:pPr>
      <w:r>
        <w:rPr>
          <w:noProof/>
          <w:lang w:val="fr-FR" w:eastAsia="fr-FR"/>
        </w:rPr>
        <w:lastRenderedPageBreak/>
        <w:drawing>
          <wp:inline distT="0" distB="0" distL="0" distR="0" wp14:anchorId="7952EF7F" wp14:editId="55068223">
            <wp:extent cx="4942776" cy="3456000"/>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2776" cy="3456000"/>
                    </a:xfrm>
                    <a:prstGeom prst="rect">
                      <a:avLst/>
                    </a:prstGeom>
                  </pic:spPr>
                </pic:pic>
              </a:graphicData>
            </a:graphic>
          </wp:inline>
        </w:drawing>
      </w:r>
    </w:p>
    <w:p w14:paraId="5E566137" w14:textId="51A8D7A3" w:rsidR="007D59F1" w:rsidRDefault="007D59F1" w:rsidP="007D59F1">
      <w:r>
        <w:t xml:space="preserve">Figure S2i. Bayesian age-depth models developed in Bacon in R for Lake Coomboo. Previously published age-depth relationships (retrieved from original publication) are shown in orange line. </w:t>
      </w:r>
    </w:p>
    <w:p w14:paraId="4473AC4C" w14:textId="54C4D157" w:rsidR="00BB0BE9" w:rsidRDefault="00BB0BE9" w:rsidP="00D26716">
      <w:pPr>
        <w:jc w:val="center"/>
      </w:pPr>
      <w:r>
        <w:rPr>
          <w:noProof/>
          <w:lang w:val="fr-FR" w:eastAsia="fr-FR"/>
        </w:rPr>
        <w:drawing>
          <wp:inline distT="0" distB="0" distL="0" distR="0" wp14:anchorId="166DA0AB" wp14:editId="3986F1CA">
            <wp:extent cx="4873278" cy="3456000"/>
            <wp:effectExtent l="0" t="0" r="3810" b="0"/>
            <wp:docPr id="21" name="Picture 21" descr="A picture containing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3278" cy="3456000"/>
                    </a:xfrm>
                    <a:prstGeom prst="rect">
                      <a:avLst/>
                    </a:prstGeom>
                  </pic:spPr>
                </pic:pic>
              </a:graphicData>
            </a:graphic>
          </wp:inline>
        </w:drawing>
      </w:r>
    </w:p>
    <w:p w14:paraId="1D9FDBC3" w14:textId="129607E2" w:rsidR="007D59F1" w:rsidRDefault="007D59F1" w:rsidP="007D59F1">
      <w:r>
        <w:t>Figure S2</w:t>
      </w:r>
      <w:r w:rsidR="00D97153">
        <w:t>j</w:t>
      </w:r>
      <w:r>
        <w:t xml:space="preserve">. Bayesian age-depth models developed in Bacon in R for Lake McKenzie. Previously published age-depth relationships (retrieved from original publication) are shown in orange line. </w:t>
      </w:r>
    </w:p>
    <w:p w14:paraId="24433309" w14:textId="38BE9DD6" w:rsidR="00BB0BE9" w:rsidRDefault="00BB0BE9" w:rsidP="00D26716">
      <w:pPr>
        <w:jc w:val="center"/>
      </w:pPr>
      <w:r>
        <w:rPr>
          <w:noProof/>
          <w:lang w:val="fr-FR" w:eastAsia="fr-FR"/>
        </w:rPr>
        <w:lastRenderedPageBreak/>
        <w:drawing>
          <wp:inline distT="0" distB="0" distL="0" distR="0" wp14:anchorId="2F7A6579" wp14:editId="4BD21036">
            <wp:extent cx="4929497" cy="3456000"/>
            <wp:effectExtent l="0" t="0" r="508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9497" cy="3456000"/>
                    </a:xfrm>
                    <a:prstGeom prst="rect">
                      <a:avLst/>
                    </a:prstGeom>
                  </pic:spPr>
                </pic:pic>
              </a:graphicData>
            </a:graphic>
          </wp:inline>
        </w:drawing>
      </w:r>
    </w:p>
    <w:p w14:paraId="117577F5" w14:textId="79B51DFC" w:rsidR="007D59F1" w:rsidRDefault="007D59F1" w:rsidP="007D59F1">
      <w:r>
        <w:t>Figure S2</w:t>
      </w:r>
      <w:r w:rsidR="00D97153">
        <w:t>k</w:t>
      </w:r>
      <w:r>
        <w:t xml:space="preserve">. Bayesian age-depth models developed in Bacon in R for Welsby Lagoon. Previously published age-depth relationships (retrieved from original publication) are shown in orange line. </w:t>
      </w:r>
    </w:p>
    <w:p w14:paraId="0C821A25" w14:textId="3BAE9FF3" w:rsidR="002B2642" w:rsidRDefault="002B2642" w:rsidP="00D26716">
      <w:pPr>
        <w:jc w:val="center"/>
      </w:pPr>
      <w:r>
        <w:rPr>
          <w:noProof/>
          <w:lang w:val="fr-FR" w:eastAsia="fr-FR"/>
        </w:rPr>
        <w:drawing>
          <wp:inline distT="0" distB="0" distL="0" distR="0" wp14:anchorId="2140C9BD" wp14:editId="687808AB">
            <wp:extent cx="4869475" cy="3456000"/>
            <wp:effectExtent l="0" t="0" r="7620"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9475" cy="3456000"/>
                    </a:xfrm>
                    <a:prstGeom prst="rect">
                      <a:avLst/>
                    </a:prstGeom>
                  </pic:spPr>
                </pic:pic>
              </a:graphicData>
            </a:graphic>
          </wp:inline>
        </w:drawing>
      </w:r>
    </w:p>
    <w:p w14:paraId="353B01B9" w14:textId="6D1AFFA7" w:rsidR="007D59F1" w:rsidRDefault="007D59F1" w:rsidP="007D59F1">
      <w:r>
        <w:t>Figure S2</w:t>
      </w:r>
      <w:r w:rsidR="00D97153">
        <w:t>l</w:t>
      </w:r>
      <w:r>
        <w:t xml:space="preserve">. Bayesian age-depth models developed in Bacon in R for Tortoise Lagoon. Previously published age-depth relationships (retrieved from original publication) are shown in orange line. </w:t>
      </w:r>
    </w:p>
    <w:p w14:paraId="44FFCB43" w14:textId="05AA7793" w:rsidR="00BB0BE9" w:rsidRDefault="00BB0BE9" w:rsidP="00D26716">
      <w:pPr>
        <w:jc w:val="center"/>
      </w:pPr>
      <w:r>
        <w:rPr>
          <w:noProof/>
          <w:lang w:val="fr-FR" w:eastAsia="fr-FR"/>
        </w:rPr>
        <w:lastRenderedPageBreak/>
        <w:drawing>
          <wp:inline distT="0" distB="0" distL="0" distR="0" wp14:anchorId="342F2070" wp14:editId="2A849757">
            <wp:extent cx="4892387" cy="3456000"/>
            <wp:effectExtent l="0" t="0" r="381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387" cy="3456000"/>
                    </a:xfrm>
                    <a:prstGeom prst="rect">
                      <a:avLst/>
                    </a:prstGeom>
                  </pic:spPr>
                </pic:pic>
              </a:graphicData>
            </a:graphic>
          </wp:inline>
        </w:drawing>
      </w:r>
    </w:p>
    <w:p w14:paraId="77B9E757" w14:textId="7221B22E" w:rsidR="007D59F1" w:rsidRDefault="007D59F1" w:rsidP="00F02A93">
      <w:r>
        <w:t>Figure S2</w:t>
      </w:r>
      <w:r w:rsidR="00D97153">
        <w:t>m</w:t>
      </w:r>
      <w:r>
        <w:t xml:space="preserve">. Bayesian age-depth models developed in Bacon in R for Native Companion Lagoon. Previously published age-depth relationships (retrieved from original publication) are shown in orange line. </w:t>
      </w:r>
    </w:p>
    <w:p w14:paraId="2A142F3D" w14:textId="726BA34E" w:rsidR="00BB0BE9" w:rsidRDefault="00BB0BE9" w:rsidP="00D26716">
      <w:pPr>
        <w:jc w:val="center"/>
      </w:pPr>
      <w:r>
        <w:rPr>
          <w:noProof/>
          <w:lang w:val="fr-FR" w:eastAsia="fr-FR"/>
        </w:rPr>
        <w:drawing>
          <wp:inline distT="0" distB="0" distL="0" distR="0" wp14:anchorId="4498C667" wp14:editId="35756D93">
            <wp:extent cx="4815353" cy="3456000"/>
            <wp:effectExtent l="0" t="0" r="4445"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5353" cy="3456000"/>
                    </a:xfrm>
                    <a:prstGeom prst="rect">
                      <a:avLst/>
                    </a:prstGeom>
                  </pic:spPr>
                </pic:pic>
              </a:graphicData>
            </a:graphic>
          </wp:inline>
        </w:drawing>
      </w:r>
    </w:p>
    <w:p w14:paraId="2664E465" w14:textId="2BF04912" w:rsidR="007D59F1" w:rsidRDefault="007D59F1" w:rsidP="007D59F1">
      <w:r>
        <w:t>Figure S2</w:t>
      </w:r>
      <w:r w:rsidR="00D97153">
        <w:t>n</w:t>
      </w:r>
      <w:r>
        <w:t xml:space="preserve">. Bayesian age-depth models developed in Bacon in R for Cuddie Springs. Previously published age-depth relationships (retrieved from original publication) are shown in orange line. </w:t>
      </w:r>
    </w:p>
    <w:p w14:paraId="3F7F210B" w14:textId="12758510" w:rsidR="00BB0BE9" w:rsidRDefault="00BB0BE9" w:rsidP="00D26716">
      <w:pPr>
        <w:jc w:val="center"/>
      </w:pPr>
      <w:r>
        <w:rPr>
          <w:noProof/>
          <w:lang w:val="fr-FR" w:eastAsia="fr-FR"/>
        </w:rPr>
        <w:lastRenderedPageBreak/>
        <w:drawing>
          <wp:inline distT="0" distB="0" distL="0" distR="0" wp14:anchorId="586F4107" wp14:editId="20157664">
            <wp:extent cx="4890853" cy="3456000"/>
            <wp:effectExtent l="0" t="0" r="508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0853" cy="3456000"/>
                    </a:xfrm>
                    <a:prstGeom prst="rect">
                      <a:avLst/>
                    </a:prstGeom>
                  </pic:spPr>
                </pic:pic>
              </a:graphicData>
            </a:graphic>
          </wp:inline>
        </w:drawing>
      </w:r>
    </w:p>
    <w:p w14:paraId="417E8124" w14:textId="17C1CE53" w:rsidR="007D59F1" w:rsidRDefault="007D59F1" w:rsidP="007D59F1">
      <w:r>
        <w:t>Figure S2</w:t>
      </w:r>
      <w:r w:rsidR="00D97153">
        <w:t>o</w:t>
      </w:r>
      <w:r>
        <w:t xml:space="preserve">. Bayesian age-depth models developed in Bacon in R for Ulingra Springs. Previously published age-depth relationships (retrieved from original publication) are shown in orange line. </w:t>
      </w:r>
    </w:p>
    <w:p w14:paraId="1DA8DE3C" w14:textId="676CB7DA" w:rsidR="00BB0BE9" w:rsidRDefault="00BB0BE9" w:rsidP="00D26716">
      <w:pPr>
        <w:jc w:val="center"/>
      </w:pPr>
      <w:r>
        <w:rPr>
          <w:noProof/>
          <w:lang w:val="fr-FR" w:eastAsia="fr-FR"/>
        </w:rPr>
        <w:drawing>
          <wp:inline distT="0" distB="0" distL="0" distR="0" wp14:anchorId="1402184E" wp14:editId="672FDFB3">
            <wp:extent cx="4921719" cy="3456000"/>
            <wp:effectExtent l="0" t="0" r="0" b="0"/>
            <wp:docPr id="26" name="Picture 2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1719" cy="3456000"/>
                    </a:xfrm>
                    <a:prstGeom prst="rect">
                      <a:avLst/>
                    </a:prstGeom>
                  </pic:spPr>
                </pic:pic>
              </a:graphicData>
            </a:graphic>
          </wp:inline>
        </w:drawing>
      </w:r>
    </w:p>
    <w:p w14:paraId="50D6257F" w14:textId="1C1B4E47" w:rsidR="007D59F1" w:rsidRDefault="007D59F1" w:rsidP="007D59F1">
      <w:r>
        <w:t>Figure S2</w:t>
      </w:r>
      <w:r w:rsidR="00D97153">
        <w:t>p</w:t>
      </w:r>
      <w:r>
        <w:t xml:space="preserve">. Bayesian age-depth models developed in Bacon in R for Penrith Lakes. Previously published age-depth relationships (retrieved from original publication) are shown in orange line. </w:t>
      </w:r>
    </w:p>
    <w:p w14:paraId="4E904783" w14:textId="7ED9E928" w:rsidR="00BB0BE9" w:rsidRDefault="00BB0BE9" w:rsidP="00D26716">
      <w:pPr>
        <w:jc w:val="center"/>
      </w:pPr>
      <w:r>
        <w:rPr>
          <w:noProof/>
          <w:lang w:val="fr-FR" w:eastAsia="fr-FR"/>
        </w:rPr>
        <w:lastRenderedPageBreak/>
        <w:drawing>
          <wp:inline distT="0" distB="0" distL="0" distR="0" wp14:anchorId="111D8E3C" wp14:editId="1AD13862">
            <wp:extent cx="4877088" cy="3456000"/>
            <wp:effectExtent l="0" t="0" r="0" b="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7088" cy="3456000"/>
                    </a:xfrm>
                    <a:prstGeom prst="rect">
                      <a:avLst/>
                    </a:prstGeom>
                  </pic:spPr>
                </pic:pic>
              </a:graphicData>
            </a:graphic>
          </wp:inline>
        </w:drawing>
      </w:r>
    </w:p>
    <w:p w14:paraId="08D2998C" w14:textId="54E9B418" w:rsidR="007D59F1" w:rsidRDefault="007D59F1" w:rsidP="007D59F1">
      <w:r>
        <w:t>Figure S2</w:t>
      </w:r>
      <w:r w:rsidR="00D97153">
        <w:t>q</w:t>
      </w:r>
      <w:r>
        <w:t xml:space="preserve">. Bayesian age-depth models developed in Bacon in R for Core 112VC046. Previously published age-depth relationships (retrieved from original publication) are shown in orange line. </w:t>
      </w:r>
    </w:p>
    <w:p w14:paraId="1BBC74A3" w14:textId="2E2EF77A" w:rsidR="00836BE1" w:rsidRDefault="00836BE1" w:rsidP="00D26716">
      <w:pPr>
        <w:jc w:val="center"/>
      </w:pPr>
      <w:r>
        <w:rPr>
          <w:noProof/>
          <w:lang w:val="fr-FR" w:eastAsia="fr-FR"/>
        </w:rPr>
        <w:drawing>
          <wp:inline distT="0" distB="0" distL="0" distR="0" wp14:anchorId="70208BA8" wp14:editId="5F9922DB">
            <wp:extent cx="4870995" cy="3456000"/>
            <wp:effectExtent l="0" t="0" r="6350" b="0"/>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0995" cy="3456000"/>
                    </a:xfrm>
                    <a:prstGeom prst="rect">
                      <a:avLst/>
                    </a:prstGeom>
                  </pic:spPr>
                </pic:pic>
              </a:graphicData>
            </a:graphic>
          </wp:inline>
        </w:drawing>
      </w:r>
    </w:p>
    <w:p w14:paraId="5AD8C9D4" w14:textId="62C8D95A" w:rsidR="007D59F1" w:rsidRDefault="007D59F1" w:rsidP="007D59F1">
      <w:r>
        <w:t>Figure S2</w:t>
      </w:r>
      <w:r w:rsidR="00D97153">
        <w:t>r</w:t>
      </w:r>
      <w:r>
        <w:t xml:space="preserve">. Bayesian age-depth models developed in Bacon in R for Mammoth Cave. Previously published age-depth relationships (retrieved from original publication) are shown in orange line. </w:t>
      </w:r>
    </w:p>
    <w:p w14:paraId="655020C3" w14:textId="7E5F21EA" w:rsidR="00BB0BE9" w:rsidRDefault="00BB0BE9" w:rsidP="00D26716">
      <w:pPr>
        <w:jc w:val="center"/>
      </w:pPr>
      <w:r>
        <w:rPr>
          <w:noProof/>
          <w:lang w:val="fr-FR" w:eastAsia="fr-FR"/>
        </w:rPr>
        <w:lastRenderedPageBreak/>
        <w:drawing>
          <wp:inline distT="0" distB="0" distL="0" distR="0" wp14:anchorId="56B12413" wp14:editId="02FBBF87">
            <wp:extent cx="4890085" cy="3456000"/>
            <wp:effectExtent l="0" t="0" r="635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0085" cy="3456000"/>
                    </a:xfrm>
                    <a:prstGeom prst="rect">
                      <a:avLst/>
                    </a:prstGeom>
                  </pic:spPr>
                </pic:pic>
              </a:graphicData>
            </a:graphic>
          </wp:inline>
        </w:drawing>
      </w:r>
    </w:p>
    <w:p w14:paraId="22A4FD21" w14:textId="1DEA7B16" w:rsidR="007D59F1" w:rsidRDefault="007D59F1" w:rsidP="007D59F1">
      <w:r>
        <w:t>Figure S2</w:t>
      </w:r>
      <w:r w:rsidR="00D97153">
        <w:t>s</w:t>
      </w:r>
      <w:r>
        <w:t xml:space="preserve">. Bayesian age-depth models developed in Bacon in R for Lake Baraba. Previously published age-depth relationships (retrieved from original publication) are shown in orange line. </w:t>
      </w:r>
    </w:p>
    <w:p w14:paraId="61CC6651" w14:textId="1E925B53" w:rsidR="00BB0BE9" w:rsidRDefault="00BB0BE9" w:rsidP="00D26716">
      <w:pPr>
        <w:jc w:val="center"/>
      </w:pPr>
      <w:r>
        <w:rPr>
          <w:noProof/>
          <w:lang w:val="fr-FR" w:eastAsia="fr-FR"/>
        </w:rPr>
        <w:drawing>
          <wp:inline distT="0" distB="0" distL="0" distR="0" wp14:anchorId="50890945" wp14:editId="7D09A8C8">
            <wp:extent cx="4903152" cy="3456000"/>
            <wp:effectExtent l="0" t="0" r="0"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3152" cy="3456000"/>
                    </a:xfrm>
                    <a:prstGeom prst="rect">
                      <a:avLst/>
                    </a:prstGeom>
                  </pic:spPr>
                </pic:pic>
              </a:graphicData>
            </a:graphic>
          </wp:inline>
        </w:drawing>
      </w:r>
    </w:p>
    <w:p w14:paraId="6FC64043" w14:textId="322A3B4E" w:rsidR="007D59F1" w:rsidRDefault="007D59F1" w:rsidP="007D59F1">
      <w:r>
        <w:t>Figure S2</w:t>
      </w:r>
      <w:r w:rsidR="00D97153">
        <w:t>t</w:t>
      </w:r>
      <w:r>
        <w:t xml:space="preserve">. Bayesian age-depth models developed in Bacon in R for Pine Camp Playa. Previously published age-depth relationships (retrieved from original publication) are shown in orange line. </w:t>
      </w:r>
    </w:p>
    <w:p w14:paraId="1E6E0A27" w14:textId="2828A11B" w:rsidR="00BB0BE9" w:rsidRDefault="00BB0BE9" w:rsidP="00D26716">
      <w:pPr>
        <w:jc w:val="center"/>
      </w:pPr>
      <w:r>
        <w:rPr>
          <w:noProof/>
          <w:lang w:val="fr-FR" w:eastAsia="fr-FR"/>
        </w:rPr>
        <w:lastRenderedPageBreak/>
        <w:drawing>
          <wp:inline distT="0" distB="0" distL="0" distR="0" wp14:anchorId="4E324E06" wp14:editId="4653F95E">
            <wp:extent cx="4907009" cy="3456000"/>
            <wp:effectExtent l="0" t="0" r="825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7009" cy="3456000"/>
                    </a:xfrm>
                    <a:prstGeom prst="rect">
                      <a:avLst/>
                    </a:prstGeom>
                  </pic:spPr>
                </pic:pic>
              </a:graphicData>
            </a:graphic>
          </wp:inline>
        </w:drawing>
      </w:r>
    </w:p>
    <w:p w14:paraId="39B945F3" w14:textId="2C03329A" w:rsidR="007D59F1" w:rsidRDefault="007D59F1" w:rsidP="007D59F1">
      <w:r>
        <w:t>Figure S2</w:t>
      </w:r>
      <w:r w:rsidR="00D97153">
        <w:t>u</w:t>
      </w:r>
      <w:r>
        <w:t xml:space="preserve">. Bayesian age-depth models developed in Bacon in R for Lake </w:t>
      </w:r>
      <w:r w:rsidR="00B66B1C">
        <w:t>George</w:t>
      </w:r>
      <w:r>
        <w:t xml:space="preserve">. Previously published age-depth relationships (retrieved from original publication) are shown in orange line. </w:t>
      </w:r>
    </w:p>
    <w:p w14:paraId="47ABB091" w14:textId="248583C9" w:rsidR="00BB0BE9" w:rsidRDefault="00BB0BE9" w:rsidP="00D26716">
      <w:pPr>
        <w:jc w:val="center"/>
      </w:pPr>
      <w:r>
        <w:rPr>
          <w:noProof/>
          <w:lang w:val="fr-FR" w:eastAsia="fr-FR"/>
        </w:rPr>
        <w:drawing>
          <wp:inline distT="0" distB="0" distL="0" distR="0" wp14:anchorId="0FC0FBBF" wp14:editId="73AE95D0">
            <wp:extent cx="4825782" cy="345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5782" cy="3456000"/>
                    </a:xfrm>
                    <a:prstGeom prst="rect">
                      <a:avLst/>
                    </a:prstGeom>
                  </pic:spPr>
                </pic:pic>
              </a:graphicData>
            </a:graphic>
          </wp:inline>
        </w:drawing>
      </w:r>
    </w:p>
    <w:p w14:paraId="311D8AC4" w14:textId="009C5C31" w:rsidR="00B66B1C" w:rsidRDefault="00B66B1C" w:rsidP="00B66B1C">
      <w:r>
        <w:t>Figure S2</w:t>
      </w:r>
      <w:r w:rsidR="00D97153">
        <w:t>v</w:t>
      </w:r>
      <w:r>
        <w:t xml:space="preserve">. Bayesian age-depth models developed in Bacon in R for MD03 2607. Previously published age-depth relationships (retrieved from original publication) are shown in orange line. </w:t>
      </w:r>
    </w:p>
    <w:p w14:paraId="37F43097" w14:textId="73BDEE09" w:rsidR="00BB0BE9" w:rsidRDefault="00BB0BE9" w:rsidP="00D26716">
      <w:pPr>
        <w:jc w:val="center"/>
      </w:pPr>
      <w:r>
        <w:rPr>
          <w:noProof/>
          <w:lang w:val="fr-FR" w:eastAsia="fr-FR"/>
        </w:rPr>
        <w:lastRenderedPageBreak/>
        <w:drawing>
          <wp:inline distT="0" distB="0" distL="0" distR="0" wp14:anchorId="58375CE4" wp14:editId="6B07F465">
            <wp:extent cx="4883196" cy="3456000"/>
            <wp:effectExtent l="0" t="0" r="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83196" cy="3456000"/>
                    </a:xfrm>
                    <a:prstGeom prst="rect">
                      <a:avLst/>
                    </a:prstGeom>
                  </pic:spPr>
                </pic:pic>
              </a:graphicData>
            </a:graphic>
          </wp:inline>
        </w:drawing>
      </w:r>
    </w:p>
    <w:p w14:paraId="5861CA3A" w14:textId="7B413E7D" w:rsidR="00B66B1C" w:rsidRDefault="00B66B1C" w:rsidP="00B66B1C">
      <w:r>
        <w:t>Figure S2</w:t>
      </w:r>
      <w:r w:rsidR="00D97153">
        <w:t>w</w:t>
      </w:r>
      <w:r>
        <w:t xml:space="preserve">. Bayesian age-depth models developed in Bacon in R for Caledonia Fen. Previously published age-depth relationships (retrieved from original publication) are shown in orange line. </w:t>
      </w:r>
    </w:p>
    <w:p w14:paraId="2D136CBF" w14:textId="7C314FCF" w:rsidR="00BB0BE9" w:rsidRDefault="00BB0BE9" w:rsidP="00D26716">
      <w:pPr>
        <w:jc w:val="center"/>
      </w:pPr>
      <w:r>
        <w:rPr>
          <w:noProof/>
          <w:lang w:val="fr-FR" w:eastAsia="fr-FR"/>
        </w:rPr>
        <w:drawing>
          <wp:inline distT="0" distB="0" distL="0" distR="0" wp14:anchorId="04297225" wp14:editId="705A42D3">
            <wp:extent cx="4835507" cy="3456000"/>
            <wp:effectExtent l="0" t="0" r="381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35507" cy="3456000"/>
                    </a:xfrm>
                    <a:prstGeom prst="rect">
                      <a:avLst/>
                    </a:prstGeom>
                  </pic:spPr>
                </pic:pic>
              </a:graphicData>
            </a:graphic>
          </wp:inline>
        </w:drawing>
      </w:r>
    </w:p>
    <w:p w14:paraId="0ACFBD0D" w14:textId="5AB9D05B" w:rsidR="00B66B1C" w:rsidRDefault="00B66B1C" w:rsidP="00B66B1C">
      <w:r>
        <w:t>Figure S2</w:t>
      </w:r>
      <w:r w:rsidR="00D97153">
        <w:t>x</w:t>
      </w:r>
      <w:r>
        <w:t>. Bayesian age-depth models developed in Bacon in R for Tom Burns. No previous age model has been published for Tom Burns.</w:t>
      </w:r>
    </w:p>
    <w:p w14:paraId="4FDC2FBA" w14:textId="777F3BCC" w:rsidR="00BB0BE9" w:rsidRDefault="00BB0BE9" w:rsidP="00D26716">
      <w:pPr>
        <w:jc w:val="center"/>
      </w:pPr>
      <w:r>
        <w:rPr>
          <w:noProof/>
          <w:lang w:val="fr-FR" w:eastAsia="fr-FR"/>
        </w:rPr>
        <w:lastRenderedPageBreak/>
        <w:drawing>
          <wp:inline distT="0" distB="0" distL="0" distR="0" wp14:anchorId="688081B6" wp14:editId="309A24E0">
            <wp:extent cx="4938081" cy="3456000"/>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8081" cy="3456000"/>
                    </a:xfrm>
                    <a:prstGeom prst="rect">
                      <a:avLst/>
                    </a:prstGeom>
                  </pic:spPr>
                </pic:pic>
              </a:graphicData>
            </a:graphic>
          </wp:inline>
        </w:drawing>
      </w:r>
    </w:p>
    <w:p w14:paraId="6725F0AD" w14:textId="7F6525CC" w:rsidR="00B66B1C" w:rsidRDefault="00B66B1C" w:rsidP="00B66B1C">
      <w:r>
        <w:t>Figure S2</w:t>
      </w:r>
      <w:r w:rsidR="00D97153">
        <w:t>y</w:t>
      </w:r>
      <w:r>
        <w:t>. Bayesian age-depth models developed in Bacon in R for Strom Creek. No previous age model has been published for Storm Creek.</w:t>
      </w:r>
    </w:p>
    <w:p w14:paraId="713D14B2" w14:textId="54FBCF42" w:rsidR="00836BE1" w:rsidRDefault="00836BE1" w:rsidP="00D26716">
      <w:pPr>
        <w:jc w:val="center"/>
      </w:pPr>
      <w:r>
        <w:rPr>
          <w:noProof/>
          <w:lang w:val="fr-FR" w:eastAsia="fr-FR"/>
        </w:rPr>
        <w:drawing>
          <wp:inline distT="0" distB="0" distL="0" distR="0" wp14:anchorId="3C5466F9" wp14:editId="029A68E6">
            <wp:extent cx="4940427" cy="3456000"/>
            <wp:effectExtent l="0" t="0" r="0" b="0"/>
            <wp:docPr id="46" name="Picture 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40427" cy="3456000"/>
                    </a:xfrm>
                    <a:prstGeom prst="rect">
                      <a:avLst/>
                    </a:prstGeom>
                  </pic:spPr>
                </pic:pic>
              </a:graphicData>
            </a:graphic>
          </wp:inline>
        </w:drawing>
      </w:r>
    </w:p>
    <w:p w14:paraId="5B4AF995" w14:textId="2666CF24" w:rsidR="00B66B1C" w:rsidRDefault="00B66B1C" w:rsidP="00B66B1C">
      <w:r>
        <w:t>Figure S2</w:t>
      </w:r>
      <w:r w:rsidR="00D97153">
        <w:t>z</w:t>
      </w:r>
      <w:r>
        <w:t xml:space="preserve">. Bayesian age-depth models developed in Bacon in R for Boulder Flat. Previously published age-depth relationships (retrieved from original publication) are shown in orange line. </w:t>
      </w:r>
    </w:p>
    <w:p w14:paraId="6B6FA881" w14:textId="06039B8F" w:rsidR="00BB0BE9" w:rsidRDefault="00BB0BE9" w:rsidP="00D26716">
      <w:pPr>
        <w:jc w:val="center"/>
      </w:pPr>
      <w:r>
        <w:rPr>
          <w:noProof/>
          <w:lang w:val="fr-FR" w:eastAsia="fr-FR"/>
        </w:rPr>
        <w:lastRenderedPageBreak/>
        <w:drawing>
          <wp:inline distT="0" distB="0" distL="0" distR="0" wp14:anchorId="255EE949" wp14:editId="207B05F3">
            <wp:extent cx="4875564" cy="3456000"/>
            <wp:effectExtent l="0" t="0" r="127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5564" cy="3456000"/>
                    </a:xfrm>
                    <a:prstGeom prst="rect">
                      <a:avLst/>
                    </a:prstGeom>
                  </pic:spPr>
                </pic:pic>
              </a:graphicData>
            </a:graphic>
          </wp:inline>
        </w:drawing>
      </w:r>
    </w:p>
    <w:p w14:paraId="53736F3A" w14:textId="1F82903E" w:rsidR="00B66B1C" w:rsidRDefault="00B66B1C" w:rsidP="00B66B1C">
      <w:r>
        <w:t>Figure S2a</w:t>
      </w:r>
      <w:r w:rsidR="00D97153">
        <w:t>a</w:t>
      </w:r>
      <w:r>
        <w:t xml:space="preserve">. Bayesian age-depth models developed in Bacon in R for Wyrie Swamp. Previously published age-depth relationships (retrieved from original publication) are shown in orange line. </w:t>
      </w:r>
    </w:p>
    <w:p w14:paraId="4A6D1DC9" w14:textId="7EFF328A" w:rsidR="00BB0BE9" w:rsidRDefault="00BB0BE9" w:rsidP="00D26716">
      <w:pPr>
        <w:jc w:val="center"/>
      </w:pPr>
      <w:r>
        <w:rPr>
          <w:noProof/>
          <w:lang w:val="fr-FR" w:eastAsia="fr-FR"/>
        </w:rPr>
        <w:drawing>
          <wp:inline distT="0" distB="0" distL="0" distR="0" wp14:anchorId="19EFB757" wp14:editId="05060EFA">
            <wp:extent cx="4912418" cy="3456000"/>
            <wp:effectExtent l="0" t="0" r="254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12418" cy="3456000"/>
                    </a:xfrm>
                    <a:prstGeom prst="rect">
                      <a:avLst/>
                    </a:prstGeom>
                  </pic:spPr>
                </pic:pic>
              </a:graphicData>
            </a:graphic>
          </wp:inline>
        </w:drawing>
      </w:r>
    </w:p>
    <w:p w14:paraId="1F42C322" w14:textId="497411F2" w:rsidR="00B66B1C" w:rsidRDefault="00B66B1C" w:rsidP="00B66B1C">
      <w:r>
        <w:t>Figure S2a</w:t>
      </w:r>
      <w:r w:rsidR="00D97153">
        <w:t>b</w:t>
      </w:r>
      <w:r>
        <w:t xml:space="preserve">. Bayesian age-depth models developed in Bacon in R for Lake Leake. Previously published age-depth relationships (retrieved from original publication) are shown in orange line. </w:t>
      </w:r>
    </w:p>
    <w:p w14:paraId="7BEB9B96" w14:textId="0EF8279C" w:rsidR="00BB0BE9" w:rsidRDefault="00BB0BE9" w:rsidP="00D26716">
      <w:pPr>
        <w:jc w:val="center"/>
      </w:pPr>
      <w:r>
        <w:rPr>
          <w:noProof/>
          <w:lang w:val="fr-FR" w:eastAsia="fr-FR"/>
        </w:rPr>
        <w:lastRenderedPageBreak/>
        <w:drawing>
          <wp:inline distT="0" distB="0" distL="0" distR="0" wp14:anchorId="07A13B07" wp14:editId="493485D6">
            <wp:extent cx="4877088" cy="3456000"/>
            <wp:effectExtent l="0" t="0" r="0" b="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77088" cy="3456000"/>
                    </a:xfrm>
                    <a:prstGeom prst="rect">
                      <a:avLst/>
                    </a:prstGeom>
                  </pic:spPr>
                </pic:pic>
              </a:graphicData>
            </a:graphic>
          </wp:inline>
        </w:drawing>
      </w:r>
    </w:p>
    <w:p w14:paraId="61143601" w14:textId="51AD2368" w:rsidR="00B66B1C" w:rsidRDefault="00B66B1C" w:rsidP="00B66B1C">
      <w:r>
        <w:t>Figure S2a</w:t>
      </w:r>
      <w:r w:rsidR="00D97153">
        <w:t>c</w:t>
      </w:r>
      <w:r>
        <w:t xml:space="preserve">. Bayesian age-depth models developed in Bacon in R for Lake Surprise. Previously published age-depth relationships (retrieved from original publication) are shown in orange line. </w:t>
      </w:r>
    </w:p>
    <w:p w14:paraId="459D6E47" w14:textId="654E86CF" w:rsidR="00BB0BE9" w:rsidRDefault="00BB0BE9" w:rsidP="00D26716">
      <w:pPr>
        <w:jc w:val="center"/>
      </w:pPr>
      <w:r>
        <w:rPr>
          <w:noProof/>
          <w:lang w:val="fr-FR" w:eastAsia="fr-FR"/>
        </w:rPr>
        <w:drawing>
          <wp:inline distT="0" distB="0" distL="0" distR="0" wp14:anchorId="0F4D90A7" wp14:editId="54D335DE">
            <wp:extent cx="4931056" cy="3456000"/>
            <wp:effectExtent l="0" t="0" r="3175"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31056" cy="3456000"/>
                    </a:xfrm>
                    <a:prstGeom prst="rect">
                      <a:avLst/>
                    </a:prstGeom>
                  </pic:spPr>
                </pic:pic>
              </a:graphicData>
            </a:graphic>
          </wp:inline>
        </w:drawing>
      </w:r>
    </w:p>
    <w:p w14:paraId="1096955C" w14:textId="3DB4B3B1" w:rsidR="00B66B1C" w:rsidRDefault="00B66B1C" w:rsidP="00B66B1C">
      <w:r>
        <w:t>Figure S2</w:t>
      </w:r>
      <w:r w:rsidR="009A733C">
        <w:t>a</w:t>
      </w:r>
      <w:r w:rsidR="00D97153">
        <w:t>d</w:t>
      </w:r>
      <w:r>
        <w:t xml:space="preserve">. Bayesian age-depth models developed in Bacon in R for </w:t>
      </w:r>
      <w:r w:rsidR="009A733C">
        <w:t>Tyrendarra Swamp</w:t>
      </w:r>
      <w:r>
        <w:t xml:space="preserve">. Previously published age-depth relationships (retrieved from original publication) are shown in orange line. </w:t>
      </w:r>
    </w:p>
    <w:p w14:paraId="5FCB3B21" w14:textId="6827ECD5" w:rsidR="00BB0BE9" w:rsidRDefault="00BB0BE9" w:rsidP="00D26716">
      <w:pPr>
        <w:jc w:val="center"/>
      </w:pPr>
      <w:r>
        <w:rPr>
          <w:noProof/>
          <w:lang w:val="fr-FR" w:eastAsia="fr-FR"/>
        </w:rPr>
        <w:lastRenderedPageBreak/>
        <w:drawing>
          <wp:inline distT="0" distB="0" distL="0" distR="0" wp14:anchorId="47142080" wp14:editId="692FAEB7">
            <wp:extent cx="4883196" cy="3456000"/>
            <wp:effectExtent l="0" t="0" r="0"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83196" cy="3456000"/>
                    </a:xfrm>
                    <a:prstGeom prst="rect">
                      <a:avLst/>
                    </a:prstGeom>
                  </pic:spPr>
                </pic:pic>
              </a:graphicData>
            </a:graphic>
          </wp:inline>
        </w:drawing>
      </w:r>
    </w:p>
    <w:p w14:paraId="5EB58CE8" w14:textId="39D2944D" w:rsidR="009A733C" w:rsidRDefault="009A733C" w:rsidP="009A733C">
      <w:r>
        <w:t>Figure S2</w:t>
      </w:r>
      <w:r w:rsidR="00F02A93">
        <w:t>a</w:t>
      </w:r>
      <w:r w:rsidR="00D97153">
        <w:t>e</w:t>
      </w:r>
      <w:r>
        <w:t xml:space="preserve">. Bayesian age-depth models developed in Bacon in R for </w:t>
      </w:r>
      <w:r w:rsidR="00F02A93">
        <w:t>Tower Hill</w:t>
      </w:r>
      <w:r>
        <w:t xml:space="preserve">. Previously published age-depth relationships (retrieved from original publication) are shown in orange line. </w:t>
      </w:r>
    </w:p>
    <w:p w14:paraId="6407F09E" w14:textId="15FF13A3" w:rsidR="00BB0BE9" w:rsidRDefault="00BB0BE9" w:rsidP="00D26716">
      <w:pPr>
        <w:jc w:val="center"/>
      </w:pPr>
      <w:r>
        <w:rPr>
          <w:noProof/>
          <w:lang w:val="fr-FR" w:eastAsia="fr-FR"/>
        </w:rPr>
        <w:drawing>
          <wp:inline distT="0" distB="0" distL="0" distR="0" wp14:anchorId="498B40BE" wp14:editId="5AEA57E9">
            <wp:extent cx="4929497" cy="3456000"/>
            <wp:effectExtent l="0" t="0" r="5080" b="0"/>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9497" cy="3456000"/>
                    </a:xfrm>
                    <a:prstGeom prst="rect">
                      <a:avLst/>
                    </a:prstGeom>
                  </pic:spPr>
                </pic:pic>
              </a:graphicData>
            </a:graphic>
          </wp:inline>
        </w:drawing>
      </w:r>
    </w:p>
    <w:p w14:paraId="75A10703" w14:textId="5A45F464" w:rsidR="00F02A93" w:rsidRDefault="00F02A93" w:rsidP="00F02A93">
      <w:r>
        <w:t>Figure S2a</w:t>
      </w:r>
      <w:r w:rsidR="00D97153">
        <w:t>f</w:t>
      </w:r>
      <w:r>
        <w:t xml:space="preserve">. Bayesian age-depth models developed in Bacon in R for </w:t>
      </w:r>
      <w:r w:rsidR="00294540">
        <w:t>Welsby Lagoon</w:t>
      </w:r>
      <w:r>
        <w:t xml:space="preserve">. Previously published age-depth relationships (retrieved from original publication) are shown in orange line. </w:t>
      </w:r>
    </w:p>
    <w:p w14:paraId="735533BF" w14:textId="7F45CEEA" w:rsidR="00BB0BE9" w:rsidRDefault="00BB0BE9" w:rsidP="00D26716">
      <w:pPr>
        <w:jc w:val="center"/>
      </w:pPr>
      <w:r>
        <w:rPr>
          <w:noProof/>
          <w:lang w:val="fr-FR" w:eastAsia="fr-FR"/>
        </w:rPr>
        <w:lastRenderedPageBreak/>
        <w:drawing>
          <wp:inline distT="0" distB="0" distL="0" distR="0" wp14:anchorId="13060DA1" wp14:editId="01EC9A78">
            <wp:extent cx="4840009" cy="3456000"/>
            <wp:effectExtent l="0" t="0" r="0" b="0"/>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40009" cy="3456000"/>
                    </a:xfrm>
                    <a:prstGeom prst="rect">
                      <a:avLst/>
                    </a:prstGeom>
                  </pic:spPr>
                </pic:pic>
              </a:graphicData>
            </a:graphic>
          </wp:inline>
        </w:drawing>
      </w:r>
    </w:p>
    <w:p w14:paraId="4893C1BE" w14:textId="28830F9B" w:rsidR="00294540" w:rsidRDefault="00294540" w:rsidP="00294540">
      <w:r>
        <w:t>Figure S2a</w:t>
      </w:r>
      <w:r w:rsidR="00D97153">
        <w:t>g</w:t>
      </w:r>
      <w:r>
        <w:t xml:space="preserve">. Bayesian age-depth models developed in Bacon in R for Cave Bay Cave. Previously published age-depth relationships (retrieved from original publication) are shown in orange line. </w:t>
      </w:r>
    </w:p>
    <w:p w14:paraId="341FF200" w14:textId="77777777" w:rsidR="00294540" w:rsidRDefault="00294540" w:rsidP="00D26716">
      <w:pPr>
        <w:jc w:val="center"/>
      </w:pPr>
    </w:p>
    <w:p w14:paraId="2B03825E" w14:textId="4BE197A2" w:rsidR="00BB0BE9" w:rsidRDefault="00BB0BE9" w:rsidP="00D26716">
      <w:pPr>
        <w:jc w:val="center"/>
      </w:pPr>
      <w:r>
        <w:rPr>
          <w:noProof/>
          <w:lang w:val="fr-FR" w:eastAsia="fr-FR"/>
        </w:rPr>
        <w:drawing>
          <wp:inline distT="0" distB="0" distL="0" distR="0" wp14:anchorId="625151ED" wp14:editId="2141521D">
            <wp:extent cx="4917840" cy="3456000"/>
            <wp:effectExtent l="0" t="0" r="0" b="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17840" cy="3456000"/>
                    </a:xfrm>
                    <a:prstGeom prst="rect">
                      <a:avLst/>
                    </a:prstGeom>
                  </pic:spPr>
                </pic:pic>
              </a:graphicData>
            </a:graphic>
          </wp:inline>
        </w:drawing>
      </w:r>
    </w:p>
    <w:p w14:paraId="2882F7F2" w14:textId="0FE0FF5D" w:rsidR="00294540" w:rsidRDefault="00294540" w:rsidP="00294540">
      <w:r>
        <w:t>Figure S2a</w:t>
      </w:r>
      <w:r w:rsidR="00D97153">
        <w:t>h</w:t>
      </w:r>
      <w:r>
        <w:t xml:space="preserve">. Bayesian age-depth models developed in Bacon in R for Tullabardine Dam. Previously published age-depth relationships (retrieved from original publication) are shown in orange line. </w:t>
      </w:r>
    </w:p>
    <w:p w14:paraId="7B861ECB" w14:textId="328E98A8" w:rsidR="00BB0BE9" w:rsidRDefault="00BB0BE9" w:rsidP="00D26716">
      <w:pPr>
        <w:jc w:val="center"/>
      </w:pPr>
      <w:r>
        <w:rPr>
          <w:noProof/>
          <w:lang w:val="fr-FR" w:eastAsia="fr-FR"/>
        </w:rPr>
        <w:lastRenderedPageBreak/>
        <w:drawing>
          <wp:inline distT="0" distB="0" distL="0" distR="0" wp14:anchorId="5AA6B94F" wp14:editId="7B5D786B">
            <wp:extent cx="4924827" cy="3456000"/>
            <wp:effectExtent l="0" t="0" r="0" b="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24827" cy="3456000"/>
                    </a:xfrm>
                    <a:prstGeom prst="rect">
                      <a:avLst/>
                    </a:prstGeom>
                  </pic:spPr>
                </pic:pic>
              </a:graphicData>
            </a:graphic>
          </wp:inline>
        </w:drawing>
      </w:r>
    </w:p>
    <w:p w14:paraId="2383282B" w14:textId="404B22B2" w:rsidR="00294540" w:rsidRDefault="00294540" w:rsidP="00294540">
      <w:r>
        <w:t>Figure S2a</w:t>
      </w:r>
      <w:r w:rsidR="00D97153">
        <w:t>i</w:t>
      </w:r>
      <w:r>
        <w:t xml:space="preserve">. Bayesian age-depth models developed in Bacon in R for Lake Selina. Previously published age-depth relationships (retrieved from original publication) are shown in orange line. </w:t>
      </w:r>
    </w:p>
    <w:p w14:paraId="1A96B968" w14:textId="11832FCE" w:rsidR="00BB0BE9" w:rsidRDefault="00BB0BE9" w:rsidP="00D26716">
      <w:pPr>
        <w:jc w:val="center"/>
      </w:pPr>
      <w:r>
        <w:rPr>
          <w:noProof/>
          <w:lang w:val="fr-FR" w:eastAsia="fr-FR"/>
        </w:rPr>
        <w:drawing>
          <wp:inline distT="0" distB="0" distL="0" distR="0" wp14:anchorId="63136981" wp14:editId="26C27D56">
            <wp:extent cx="4935737" cy="3456000"/>
            <wp:effectExtent l="0" t="0" r="0" b="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35737" cy="3456000"/>
                    </a:xfrm>
                    <a:prstGeom prst="rect">
                      <a:avLst/>
                    </a:prstGeom>
                  </pic:spPr>
                </pic:pic>
              </a:graphicData>
            </a:graphic>
          </wp:inline>
        </w:drawing>
      </w:r>
    </w:p>
    <w:p w14:paraId="70CDA529" w14:textId="2960308D" w:rsidR="00294540" w:rsidRDefault="00294540" w:rsidP="00294540">
      <w:r>
        <w:t>Figure S2a</w:t>
      </w:r>
      <w:r w:rsidR="00D97153">
        <w:t>j</w:t>
      </w:r>
      <w:r>
        <w:t xml:space="preserve">. Bayesian age-depth models developed in Bacon in R for Lake St Clair. Previously published age-depth relationships (retrieved from original publication) are shown in orange line. </w:t>
      </w:r>
    </w:p>
    <w:p w14:paraId="6A9F2BEE" w14:textId="77777777" w:rsidR="00BB0BE9" w:rsidRDefault="00BB0BE9" w:rsidP="00A2067E"/>
    <w:p w14:paraId="135C053A" w14:textId="64720AAB" w:rsidR="002C1376" w:rsidRDefault="00836BE1" w:rsidP="00294540">
      <w:pPr>
        <w:jc w:val="center"/>
      </w:pPr>
      <w:r>
        <w:rPr>
          <w:noProof/>
          <w:lang w:val="fr-FR" w:eastAsia="fr-FR"/>
        </w:rPr>
        <w:lastRenderedPageBreak/>
        <w:drawing>
          <wp:inline distT="0" distB="0" distL="0" distR="0" wp14:anchorId="06103571" wp14:editId="09335652">
            <wp:extent cx="4861885" cy="3456000"/>
            <wp:effectExtent l="0" t="0" r="0" b="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61885" cy="3456000"/>
                    </a:xfrm>
                    <a:prstGeom prst="rect">
                      <a:avLst/>
                    </a:prstGeom>
                  </pic:spPr>
                </pic:pic>
              </a:graphicData>
            </a:graphic>
          </wp:inline>
        </w:drawing>
      </w:r>
    </w:p>
    <w:p w14:paraId="10C3E58A" w14:textId="500CA897" w:rsidR="002C1376" w:rsidRDefault="00294540" w:rsidP="00A2067E">
      <w:r>
        <w:t>Figure S2a</w:t>
      </w:r>
      <w:r w:rsidR="00D97153">
        <w:t>k</w:t>
      </w:r>
      <w:r>
        <w:t>. Bayesian age-depth models developed in Bacon in R for Hazards Lagoon. Previously published age-depth relationships (retrieved from original publication) are shown in orange line.</w:t>
      </w:r>
    </w:p>
    <w:p w14:paraId="322CCEC9" w14:textId="7C05B0A9" w:rsidR="00D97153" w:rsidRDefault="00D97153" w:rsidP="00A2067E"/>
    <w:p w14:paraId="015733B7" w14:textId="0967B1C0" w:rsidR="00D97153" w:rsidRDefault="00D97153" w:rsidP="00A2067E"/>
    <w:p w14:paraId="6A1AC40D" w14:textId="1FE01FFF" w:rsidR="00D97153" w:rsidRDefault="00D97153" w:rsidP="00A2067E"/>
    <w:p w14:paraId="74383FC4" w14:textId="2CF34302" w:rsidR="00D97153" w:rsidRDefault="00D97153" w:rsidP="00A2067E"/>
    <w:p w14:paraId="0B5E607F" w14:textId="77777777" w:rsidR="00D97153" w:rsidRDefault="00D97153" w:rsidP="00A2067E"/>
    <w:p w14:paraId="1F4CAFDA" w14:textId="23752FF5" w:rsidR="002C1376" w:rsidRDefault="00704E7D" w:rsidP="00A2067E">
      <w:r>
        <w:object w:dxaOrig="3601" w:dyaOrig="2161" w14:anchorId="72832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31.6pt" o:ole="">
            <v:imagedata r:id="rId43" o:title="" cropbottom="11009f"/>
          </v:shape>
          <o:OLEObject Type="Embed" ProgID="Acrobat.Document.2017" ShapeID="_x0000_i1025" DrawAspect="Icon" ObjectID="_1682751534" r:id="rId44"/>
        </w:object>
      </w:r>
    </w:p>
    <w:p w14:paraId="2E84D879" w14:textId="6AE3F815" w:rsidR="00BC3CEB" w:rsidRPr="00BC3CEB" w:rsidRDefault="00BC3CEB" w:rsidP="00A2067E">
      <w:r>
        <w:t xml:space="preserve">Figure </w:t>
      </w:r>
      <w:r w:rsidR="007357E9">
        <w:t>S3</w:t>
      </w:r>
      <w:r>
        <w:t>a. Lake Carpentaria MD972128</w:t>
      </w:r>
      <w:r w:rsidR="00255A19">
        <w:t xml:space="preserve"> pollen</w:t>
      </w:r>
      <w:r>
        <w:t xml:space="preserve"> Principal Curve (PrC) and probability density functions. Low PrC values are driven by increased values of </w:t>
      </w:r>
      <w:r>
        <w:rPr>
          <w:i/>
        </w:rPr>
        <w:t>Eucalyptus</w:t>
      </w:r>
      <w:r>
        <w:t xml:space="preserve"> and Casuarinaceae. High PrC values are driven by increased values of Poaceae</w:t>
      </w:r>
      <w:r w:rsidR="00B84C4D">
        <w:t xml:space="preserve"> </w:t>
      </w:r>
      <w:r w:rsidR="00B84C4D">
        <w:fldChar w:fldCharType="begin" w:fldLock="1"/>
      </w:r>
      <w:r w:rsidR="00B84C4D">
        <w:instrText>ADDIN CSL_CITATION {"citationItems":[{"id":"ITEM-1","itemData":{"DOI":"10.1016/S1040-6182(01)00029-5","ISSN":"10406182","abstract":"The Gulf of Carpentaria is an epicontinental sea (maximum depth 70 m) between Australia and New Guinea, bordered to the east by Torres Strait (currently 12 m deep) and to the west by the Arafura Sill (53 m below present sea level). Throughout the Quaternary, during times of low sea-level, the Gulf was separated from the open waters of the Indian and Pacific Oceans, forming Lake Carpentaria, an isolation basin, perched above contemporaneous sea-level with outlet channels to the Arafura Sea. A preliminary interpretation is presented of the palaeoenvironments recorded in six sediment cores collected by the IMAGES program in the Gulf of Carpentaria. The longest core (approx. 15 m) spans the past 130 ka and includes a record of sea-level/lake-level changes, with particular complexity between 80 and 40 ka when sea-level repeatedly breached and withdrew from Gulf/Lake Carpentaria. Evidence from biotic remains (foraminifers, ostracods, pollen), sedimentology and geochemistry clearly identifies a final marine transgression at about 9.7 ka (radiocarbon years). Before this transgression, Lake Carpentaria was surrounded by grassland, was near full, and may have had a surface area approaching 600 km × 300 km and a depth of about 15 m. The earlier rise in sea-level which accompanied the Marine Isotopic Stage 6/5 transgression at about 130ka is constrained by sedimentological and biotic evidence and dated by optical- and thermoluminescence and amino acid racemisation methods. © 2001 Elsevier Science Ltd and INQUA. All rights reserved.","author":[{"dropping-particle":"","family":"Chivas","given":"Allan R.","non-dropping-particle":"","parse-names":false,"suffix":""},{"dropping-particle":"","family":"Garcı́a","given":"Adriana","non-dropping-particle":"","parse-names":false,"suffix":""},{"dropping-particle":"","family":"Kaars","given":"Sander","non-dropping-particle":"van der","parse-names":false,"suffix":""},{"dropping-particle":"","family":"Couapel","given":"Martine J.J.","non-dropping-particle":"","parse-names":false,"suffix":""},{"dropping-particle":"","family":"Holt","given":"Sabine","non-dropping-particle":"","parse-names":false,"suffix":""},{"dropping-particle":"","family":"Reeves","given":"Jessica M.","non-dropping-particle":"","parse-names":false,"suffix":""},{"dropping-particle":"","family":"Wheeler","given":"David J.","non-dropping-particle":"","parse-names":false,"suffix":""},{"dropping-particle":"","family":"Switzer","given":"Adam D.","non-dropping-particle":"","parse-names":false,"suffix":""},{"dropping-particle":"V.","family":"Murray-Wallace","given":"Colin","non-dropping-particle":"","parse-names":false,"suffix":""},{"dropping-particle":"","family":"Banerjee","given":"Debabrata","non-dropping-particle":"","parse-names":false,"suffix":""},{"dropping-particle":"","family":"Price","given":"David M.","non-dropping-particle":"","parse-names":false,"suffix":""},{"dropping-particle":"","family":"Wang","given":"Sue X.","non-dropping-particle":"","parse-names":false,"suffix":""},{"dropping-particle":"","family":"Pearson","given":"Grant","non-dropping-particle":"","parse-names":false,"suffix":""},{"dropping-particle":"","family":"Edgar","given":"N. Terry","non-dropping-particle":"","parse-names":false,"suffix":""},{"dropping-particle":"","family":"Beaufort","given":"Luc","non-dropping-particle":"","parse-names":false,"suffix":""},{"dropping-particle":"","family":"Deckker","given":"Patrick","non-dropping-particle":"De","parse-names":false,"suffix":""},{"dropping-particle":"","family":"Lawson","given":"Ewan","non-dropping-particle":"","parse-names":false,"suffix":""},{"dropping-particle":"","family":"Cecil","given":"C. Blaine","non-dropping-particle":"","parse-names":false,"suffix":""}],"container-title":"Quaternary International","id":"ITEM-1","issue":"85","issued":{"date-parts":[["2001"]]},"page":"19-46","title":"Sea-level and environmental changes since the last interglacial in the Gulf of Carpentaria, Australia: An overview","type":"article-journal","volume":"82"},"uris":["http://www.mendeley.com/documents/?uuid=870215e5-0fc8-40ed-81dc-c4992fc54ef7"]}],"mendeley":{"formattedCitation":"(Chivas et al., 2001)","plainTextFormattedCitation":"(Chivas et al., 2001)","previouslyFormattedCitation":"(Chivas et al., 2001)"},"properties":{"noteIndex":0},"schema":"https://github.com/citation-style-language/schema/raw/master/csl-citation.json"}</w:instrText>
      </w:r>
      <w:r w:rsidR="00B84C4D">
        <w:fldChar w:fldCharType="separate"/>
      </w:r>
      <w:r w:rsidR="00B84C4D" w:rsidRPr="00B84C4D">
        <w:rPr>
          <w:noProof/>
        </w:rPr>
        <w:t>(Chivas et al., 2001)</w:t>
      </w:r>
      <w:r w:rsidR="00B84C4D">
        <w:fldChar w:fldCharType="end"/>
      </w:r>
      <w:r>
        <w:t>.</w:t>
      </w:r>
      <w:r w:rsidR="00417184">
        <w:t xml:space="preserve"> (Note inverse</w:t>
      </w:r>
      <w:r w:rsidR="00C447B6">
        <w:t xml:space="preserve"> PrC</w:t>
      </w:r>
      <w:r w:rsidR="00417184">
        <w:t xml:space="preserve"> y-axis)</w:t>
      </w:r>
      <w:r w:rsidR="00B84C4D">
        <w:t>.</w:t>
      </w:r>
    </w:p>
    <w:p w14:paraId="39715C7E" w14:textId="4F72F98B" w:rsidR="00BC3CEB" w:rsidRPr="00BC3CEB" w:rsidRDefault="00704E7D" w:rsidP="00BC3CEB">
      <w:r>
        <w:object w:dxaOrig="3601" w:dyaOrig="2161" w14:anchorId="2F7C9CAA">
          <v:shape id="_x0000_i1026" type="#_x0000_t75" style="width:465pt;height:231.6pt" o:ole="">
            <v:imagedata r:id="rId45" o:title="" cropbottom="11009f"/>
          </v:shape>
          <o:OLEObject Type="Embed" ProgID="Acrobat.Document.2017" ShapeID="_x0000_i1026" DrawAspect="Icon" ObjectID="_1682751535" r:id="rId46"/>
        </w:object>
      </w:r>
      <w:r w:rsidR="00BC3CEB">
        <w:t xml:space="preserve">Figure </w:t>
      </w:r>
      <w:r w:rsidR="007357E9">
        <w:t>S3</w:t>
      </w:r>
      <w:r w:rsidR="00BC3CEB">
        <w:t>b. Lake Carpentaria MD972133</w:t>
      </w:r>
      <w:r w:rsidR="00255A19">
        <w:t xml:space="preserve"> pollen</w:t>
      </w:r>
      <w:r w:rsidR="00BC3CEB">
        <w:t xml:space="preserve"> Principal Curve (PrC) and probability density functions. Low PrC values are driven by increased values</w:t>
      </w:r>
      <w:r w:rsidR="00C447B6">
        <w:t xml:space="preserve"> of </w:t>
      </w:r>
      <w:r w:rsidR="00C447B6" w:rsidRPr="008E45DB">
        <w:rPr>
          <w:i/>
          <w:iCs/>
        </w:rPr>
        <w:t>Calitris</w:t>
      </w:r>
      <w:r w:rsidR="00C447B6">
        <w:t xml:space="preserve"> and Poaceae</w:t>
      </w:r>
      <w:r w:rsidR="00BC3CEB">
        <w:t xml:space="preserve">. High PrC values are driven by increased values of </w:t>
      </w:r>
      <w:r w:rsidR="00C447B6">
        <w:t>Casuarinaceae</w:t>
      </w:r>
      <w:r w:rsidR="00B84C4D">
        <w:t xml:space="preserve"> </w:t>
      </w:r>
      <w:r w:rsidR="00B84C4D">
        <w:fldChar w:fldCharType="begin" w:fldLock="1"/>
      </w:r>
      <w:r w:rsidR="00B84C4D">
        <w:instrText>ADDIN CSL_CITATION {"citationItems":[{"id":"ITEM-1","itemData":{"DOI":"10.1016/S1040-6182(01)00029-5","ISSN":"10406182","abstract":"The Gulf of Carpentaria is an epicontinental sea (maximum depth 70 m) between Australia and New Guinea, bordered to the east by Torres Strait (currently 12 m deep) and to the west by the Arafura Sill (53 m below present sea level). Throughout the Quaternary, during times of low sea-level, the Gulf was separated from the open waters of the Indian and Pacific Oceans, forming Lake Carpentaria, an isolation basin, perched above contemporaneous sea-level with outlet channels to the Arafura Sea. A preliminary interpretation is presented of the palaeoenvironments recorded in six sediment cores collected by the IMAGES program in the Gulf of Carpentaria. The longest core (approx. 15 m) spans the past 130 ka and includes a record of sea-level/lake-level changes, with particular complexity between 80 and 40 ka when sea-level repeatedly breached and withdrew from Gulf/Lake Carpentaria. Evidence from biotic remains (foraminifers, ostracods, pollen), sedimentology and geochemistry clearly identifies a final marine transgression at about 9.7 ka (radiocarbon years). Before this transgression, Lake Carpentaria was surrounded by grassland, was near full, and may have had a surface area approaching 600 km × 300 km and a depth of about 15 m. The earlier rise in sea-level which accompanied the Marine Isotopic Stage 6/5 transgression at about 130ka is constrained by sedimentological and biotic evidence and dated by optical- and thermoluminescence and amino acid racemisation methods. © 2001 Elsevier Science Ltd and INQUA. All rights reserved.","author":[{"dropping-particle":"","family":"Chivas","given":"Allan R.","non-dropping-particle":"","parse-names":false,"suffix":""},{"dropping-particle":"","family":"Garcı́a","given":"Adriana","non-dropping-particle":"","parse-names":false,"suffix":""},{"dropping-particle":"","family":"Kaars","given":"Sander","non-dropping-particle":"van der","parse-names":false,"suffix":""},{"dropping-particle":"","family":"Couapel","given":"Martine J.J.","non-dropping-particle":"","parse-names":false,"suffix":""},{"dropping-particle":"","family":"Holt","given":"Sabine","non-dropping-particle":"","parse-names":false,"suffix":""},{"dropping-particle":"","family":"Reeves","given":"Jessica M.","non-dropping-particle":"","parse-names":false,"suffix":""},{"dropping-particle":"","family":"Wheeler","given":"David J.","non-dropping-particle":"","parse-names":false,"suffix":""},{"dropping-particle":"","family":"Switzer","given":"Adam D.","non-dropping-particle":"","parse-names":false,"suffix":""},{"dropping-particle":"V.","family":"Murray-Wallace","given":"Colin","non-dropping-particle":"","parse-names":false,"suffix":""},{"dropping-particle":"","family":"Banerjee","given":"Debabrata","non-dropping-particle":"","parse-names":false,"suffix":""},{"dropping-particle":"","family":"Price","given":"David M.","non-dropping-particle":"","parse-names":false,"suffix":""},{"dropping-particle":"","family":"Wang","given":"Sue X.","non-dropping-particle":"","parse-names":false,"suffix":""},{"dropping-particle":"","family":"Pearson","given":"Grant","non-dropping-particle":"","parse-names":false,"suffix":""},{"dropping-particle":"","family":"Edgar","given":"N. Terry","non-dropping-particle":"","parse-names":false,"suffix":""},{"dropping-particle":"","family":"Beaufort","given":"Luc","non-dropping-particle":"","parse-names":false,"suffix":""},{"dropping-particle":"","family":"Deckker","given":"Patrick","non-dropping-particle":"De","parse-names":false,"suffix":""},{"dropping-particle":"","family":"Lawson","given":"Ewan","non-dropping-particle":"","parse-names":false,"suffix":""},{"dropping-particle":"","family":"Cecil","given":"C. Blaine","non-dropping-particle":"","parse-names":false,"suffix":""}],"container-title":"Quaternary International","id":"ITEM-1","issue":"85","issued":{"date-parts":[["2001"]]},"page":"19-46","title":"Sea-level and environmental changes since the last interglacial in the Gulf of Carpentaria, Australia: An overview","type":"article-journal","volume":"82"},"uris":["http://www.mendeley.com/documents/?uuid=870215e5-0fc8-40ed-81dc-c4992fc54ef7"]}],"mendeley":{"formattedCitation":"(Chivas et al., 2001)","plainTextFormattedCitation":"(Chivas et al., 2001)","previouslyFormattedCitation":"(Chivas et al., 2001)"},"properties":{"noteIndex":0},"schema":"https://github.com/citation-style-language/schema/raw/master/csl-citation.json"}</w:instrText>
      </w:r>
      <w:r w:rsidR="00B84C4D">
        <w:fldChar w:fldCharType="separate"/>
      </w:r>
      <w:r w:rsidR="00B84C4D" w:rsidRPr="00B84C4D">
        <w:rPr>
          <w:noProof/>
        </w:rPr>
        <w:t>(Chivas et al., 2001)</w:t>
      </w:r>
      <w:r w:rsidR="00B84C4D">
        <w:fldChar w:fldCharType="end"/>
      </w:r>
      <w:r w:rsidR="00BC3CEB">
        <w:t>.</w:t>
      </w:r>
      <w:r w:rsidR="00417184">
        <w:t xml:space="preserve"> </w:t>
      </w:r>
      <w:r w:rsidR="00C447B6">
        <w:t>(Note inverse PrC y-axis)</w:t>
      </w:r>
      <w:r w:rsidR="00B84C4D">
        <w:t>.</w:t>
      </w:r>
    </w:p>
    <w:p w14:paraId="4CF63300" w14:textId="092F4D85" w:rsidR="00A2067E" w:rsidRDefault="00A2067E" w:rsidP="00A2067E"/>
    <w:p w14:paraId="1C0F700D" w14:textId="7EC48ED2" w:rsidR="00727DDE" w:rsidRPr="00BC3CEB" w:rsidRDefault="00704E7D" w:rsidP="00727DDE">
      <w:r>
        <w:object w:dxaOrig="3601" w:dyaOrig="2161" w14:anchorId="417AA6F5">
          <v:shape id="_x0000_i1027" type="#_x0000_t75" style="width:465pt;height:231.6pt" o:ole="">
            <v:imagedata r:id="rId47" o:title="" cropbottom="11009f"/>
          </v:shape>
          <o:OLEObject Type="Embed" ProgID="Acrobat.Document.2017" ShapeID="_x0000_i1027" DrawAspect="Icon" ObjectID="_1682751536" r:id="rId48"/>
        </w:object>
      </w:r>
      <w:r w:rsidR="00727DDE">
        <w:t xml:space="preserve">Figure </w:t>
      </w:r>
      <w:r w:rsidR="007357E9">
        <w:t>S3</w:t>
      </w:r>
      <w:r w:rsidR="00727DDE">
        <w:t xml:space="preserve">c. Lake Carpentaria </w:t>
      </w:r>
      <w:r w:rsidR="00255A19">
        <w:t xml:space="preserve">pollen </w:t>
      </w:r>
      <w:r w:rsidR="00727DDE">
        <w:t xml:space="preserve">GC2 Principal Curve (PrC) and probability density functions. Low PrC values are driven by increased values of Myrtaceae and </w:t>
      </w:r>
      <w:r w:rsidR="00727DDE" w:rsidRPr="008E45DB">
        <w:rPr>
          <w:i/>
          <w:iCs/>
        </w:rPr>
        <w:t>Calitris</w:t>
      </w:r>
      <w:r w:rsidR="00727DDE">
        <w:t>. High PrC values are driven by increased values of Poaceae</w:t>
      </w:r>
      <w:r w:rsidR="00B84C4D">
        <w:t xml:space="preserve"> </w:t>
      </w:r>
      <w:r w:rsidR="00B84C4D">
        <w:fldChar w:fldCharType="begin" w:fldLock="1"/>
      </w:r>
      <w:r w:rsidR="00B84C4D">
        <w:instrText>ADDIN CSL_CITATION {"citationItems":[{"id":"ITEM-1","itemData":{"DOI":"10.1016/0031-0182(88)90155-1","ISSN":"00310182","abstract":"Quaternary variations in the level of the sea have exposed the shallow (&lt;70 m) Gulf of Carpentaria (Australia) a number of times during the last glacial. Sedimentary, chemical and palynological analyses of cores from the Gulf are presented and interpreted to describe the palaeoenvironmental sequence of the Carpentaria Basin over the last &lt;40 kyr. The results show an early desiccation followed by the continuous presence of a large (&gt;29,000 km2) but shallow (maximum depth &lt;10 m) fresh-to-brackish Lake Carpentaria from {35 kyr to 12 kyr. Runoff/evaporation ratios were held at about half the present ratio. The environments of the Basin are shown to have been influenced by the level of the sea, Quaternary climatic/monsoonal variations and the tectonic diversion of the Fly River. Palynological analyses indicate a continued savannah-like environment in the Basin with few floristic introductions during the last s4 ̌0 kyr. The pollen assemblages closely resemble the black soil plains presently found along the southern Gulf. Thus, the biogeographic and climatic barrier across the Australia Papua New Guinea land bridge has remained largely intact in spite of the range of environmental conditions that have occured during the last &lt;40 kyr. © 1988.","author":[{"dropping-particle":"","family":"Torgersen","given":"T.","non-dropping-particle":"","parse-names":false,"suffix":""},{"dropping-particle":"","family":"Luly","given":"J.","non-dropping-particle":"","parse-names":false,"suffix":""},{"dropping-particle":"","family":"Deckker","given":"P.","non-dropping-particle":"De","parse-names":false,"suffix":""},{"dropping-particle":"","family":"Jones","given":"M. R.","non-dropping-particle":"","parse-names":false,"suffix":""},{"dropping-particle":"","family":"Searle","given":"D. E.","non-dropping-particle":"","parse-names":false,"suffix":""},{"dropping-particle":"","family":"Chivas","given":"A. R.","non-dropping-particle":"","parse-names":false,"suffix":""},{"dropping-particle":"","family":"Ullman","given":"W. J.","non-dropping-particle":"","parse-names":false,"suffix":""}],"container-title":"Palaeogeography, Palaeoclimatology, Palaeoecology","id":"ITEM-1","issue":"3-4","issued":{"date-parts":[["1988"]]},"page":"245-261","title":"Late quaternary environments of the Carpentaria Basin, Australia","type":"article-journal","volume":"67"},"uris":["http://www.mendeley.com/documents/?uuid=9ce079b3-356f-4f5d-a74f-f9e66ffc3efe"]}],"mendeley":{"formattedCitation":"(Torgersen et al., 1988)","plainTextFormattedCitation":"(Torgersen et al., 1988)","previouslyFormattedCitation":"(Torgersen et al., 1988)"},"properties":{"noteIndex":0},"schema":"https://github.com/citation-style-language/schema/raw/master/csl-citation.json"}</w:instrText>
      </w:r>
      <w:r w:rsidR="00B84C4D">
        <w:fldChar w:fldCharType="separate"/>
      </w:r>
      <w:r w:rsidR="00B84C4D" w:rsidRPr="00B84C4D">
        <w:rPr>
          <w:noProof/>
        </w:rPr>
        <w:t>(Torgersen et al., 1988)</w:t>
      </w:r>
      <w:r w:rsidR="00B84C4D">
        <w:fldChar w:fldCharType="end"/>
      </w:r>
      <w:r w:rsidR="00727DDE">
        <w:t>.</w:t>
      </w:r>
      <w:r w:rsidR="00417184">
        <w:t xml:space="preserve"> </w:t>
      </w:r>
      <w:r w:rsidR="00C447B6">
        <w:t>(Note inverse PrC y-axis)</w:t>
      </w:r>
      <w:r w:rsidR="00B84C4D">
        <w:t>.</w:t>
      </w:r>
    </w:p>
    <w:p w14:paraId="174A6F87" w14:textId="43687406" w:rsidR="00BD7EF9" w:rsidRPr="00BC3CEB" w:rsidRDefault="00704E7D" w:rsidP="00BD7EF9">
      <w:r>
        <w:object w:dxaOrig="3601" w:dyaOrig="2161" w14:anchorId="03F8697E">
          <v:shape id="_x0000_i1028" type="#_x0000_t75" style="width:465pt;height:231.6pt" o:ole="">
            <v:imagedata r:id="rId49" o:title="" cropbottom="11009f"/>
          </v:shape>
          <o:OLEObject Type="Embed" ProgID="Acrobat.Document.2017" ShapeID="_x0000_i1028" DrawAspect="Icon" ObjectID="_1682751537" r:id="rId50"/>
        </w:object>
      </w:r>
      <w:r w:rsidR="00BD7EF9">
        <w:t xml:space="preserve">Figure </w:t>
      </w:r>
      <w:r w:rsidR="007357E9">
        <w:t>S3</w:t>
      </w:r>
      <w:r w:rsidR="00BD7EF9">
        <w:t xml:space="preserve">d. ODP820 </w:t>
      </w:r>
      <w:r w:rsidR="00255A19">
        <w:t xml:space="preserve">pollen </w:t>
      </w:r>
      <w:r w:rsidR="00BD7EF9">
        <w:t xml:space="preserve">Principal Curve (PrC) and probability density functions. High PrC values are driven by increased values of </w:t>
      </w:r>
      <w:r w:rsidR="00BD7EF9" w:rsidRPr="008E45DB">
        <w:rPr>
          <w:i/>
          <w:iCs/>
        </w:rPr>
        <w:t>Agathis</w:t>
      </w:r>
      <w:r w:rsidR="00BD7EF9">
        <w:t xml:space="preserve">, </w:t>
      </w:r>
      <w:r w:rsidR="00BD7EF9" w:rsidRPr="008E45DB">
        <w:rPr>
          <w:i/>
          <w:iCs/>
        </w:rPr>
        <w:t>Araucaria</w:t>
      </w:r>
      <w:r w:rsidR="00BD7EF9">
        <w:t xml:space="preserve"> and </w:t>
      </w:r>
      <w:r w:rsidR="00BD7EF9" w:rsidRPr="008E45DB">
        <w:rPr>
          <w:i/>
          <w:iCs/>
        </w:rPr>
        <w:t>Bruguiera</w:t>
      </w:r>
      <w:r w:rsidR="00BD7EF9" w:rsidRPr="00BD7EF9">
        <w:t>/</w:t>
      </w:r>
      <w:r w:rsidR="00BD7EF9" w:rsidRPr="008E45DB">
        <w:rPr>
          <w:i/>
          <w:iCs/>
        </w:rPr>
        <w:t>Ceriops</w:t>
      </w:r>
      <w:r w:rsidR="00BD7EF9">
        <w:t>. Low PrC values are driven by increased values of Poaceae and Cunoniaceae</w:t>
      </w:r>
      <w:r w:rsidR="00B84C4D">
        <w:t xml:space="preserve"> </w:t>
      </w:r>
      <w:r w:rsidR="00B84C4D">
        <w:fldChar w:fldCharType="begin" w:fldLock="1"/>
      </w:r>
      <w:r w:rsidR="00B84C4D">
        <w:instrText>ADDIN CSL_CITATION {"citationItems":[{"id":"ITEM-1","itemData":{"DOI":"10.1016/S0031-0182(99)00099-1","ISBN":"0031-0182","ISSN":"00310182","abstract":"A detailed pollen record from the Ocean Drilling Program Site 820 core, located on the upper part of the continental slope off the coast of northeast Queensland, was constructed to compare with the existing pollen record from Lynch's Crater on the adjacent Atherton Tableland and allow the production of a regional picture of vegetation and environmental change through the last glacial cycle. Some broad similarities in patterns of vegetation change are revealed, despite the differences between sites and their pollen catchments, which can be related largely to global climate and sea-level changes. The original estimated time scale of the Lynch's Crater record is largely confirmed from comparison with the more thoroughly dated ODP record. Conversely, the Lynch's Crater pollen record has assisted in dating problematic parts of the ODP record. In contrast to Lynch's Crater, which reveals a sharp and sustained reduction in drier araucarian forest around 38,000 yrs BP, considered to have been the result of burning by Aboriginal people, the ODP record indicates, most likely, a stepwise reduction, dating from 140,000 yrs BP or beyond. The earliest reduction shows lack of a clear connection between Araucaria decline and increased burning and suggests that people may not have been involved at this stage. However, a further decline in araucarian forest, possibly around 45,000 yrs BP, which has a more substantial environmental impact and is not related to a time of major climate change, is likely, at least partially, the result of human burning. The suggestion, from the ODP core oxygen isotope record, of a regional sea-surface temperature increase of around 4°C between about 400,000 and 250,000 yrs BP, may have had some influence on the overall decline in Araucaria and its replacement by sclerophyll vegetation.","author":[{"dropping-particle":"","family":"Moss","given":"Patrick T.","non-dropping-particle":"","parse-names":false,"suffix":""},{"dropping-particle":"","family":"Kershaw","given":"A. Peter","non-dropping-particle":"","parse-names":false,"suffix":""}],"container-title":"Palaeogeography, Palaeoclimatology, Palaeoecology","id":"ITEM-1","issue":"1-2","issued":{"date-parts":[["2000"]]},"page":"155-176","publisher":"Elsevier","title":"The last glacial cycle from the humid tropics of northeastern Australia: Comparison of a terrestrial and a marine record","type":"article-journal","volume":"155"},"uris":["http://www.mendeley.com/documents/?uuid=72b1e7b9-d349-44a6-beca-75d5f36b7d4b"]},{"id":"ITEM-2","itemData":{"DOI":"10.1002/jqs.2977","ISSN":"10991417","abstract":"Copyright © 2017 John Wiley  &amp;  Sons, Ltd. Palynomorphs from the ODP Site 820 marine core have provided a detailed record of terrestrial environmental responses to glacial–interglacial forcing over the last 250 000 years in the Australian Wet Tropics. The development of an accurate geochronological framework for this key sequence has proved challenging. Consequently, different dominant forcing mechanism(s) have been proposed to drive environmental change in the low latitudes. A new chronology for the last 60 000 years, based on accelerator mass spectrometry radiocarbon (14C) dates of pollen concentrate material and the existing Marine Isotope Stage boundaries (MIS 4 to 1) has been produced. This new chronology provides a robust geochronological framework for interpreting environmental records across the region. In particular, our age model helps to resolve several debates concerning the timing of climatic changes and their impacts on both the marine and the terrestrial systems, as well as possible human arrival and associated impacts on the region's ecosystems. Our findings suggest14C dating of terrestrial pollen concentrate in marine sediments is a valuable tool for resolving major chronological uncertainties in potentially diagenetically altered marine CaCO3sediments and should play a role in future multi-dating strategies. Copyright © 2017 John Wiley &amp; Sons, Ltd.","author":[{"dropping-particle":"","family":"Moss","given":"Patrick T.","non-dropping-particle":"","parse-names":false,"suffix":""},{"dropping-particle":"","family":"Dunbar","given":"Gavin B.","non-dropping-particle":"","parse-names":false,"suffix":""},{"dropping-particle":"","family":"Thomas","given":"Zoe","non-dropping-particle":"","parse-names":false,"suffix":""},{"dropping-particle":"","family":"Turney","given":"Chris","non-dropping-particle":"","parse-names":false,"suffix":""},{"dropping-particle":"","family":"Kershaw","given":"A. Peter","non-dropping-particle":"","parse-names":false,"suffix":""},{"dropping-particle":"","family":"Jacobsen","given":"Geraldine E.","non-dropping-particle":"","parse-names":false,"suffix":""}],"container-title":"Journal of Quaternary Science","id":"ITEM-2","issue":"6","issued":{"date-parts":[["2017"]]},"page":"704-716","title":"A 60 000-year record of environmental change for the Wet Tropics of north-eastern Australia based on the ODP 820 marine core","type":"article-journal","volume":"32"},"uris":["http://www.mendeley.com/documents/?uuid=8a44a9f5-2dcc-4a14-99e8-16f32cc3a141"]}],"mendeley":{"formattedCitation":"(Moss et al., 2017; Moss and Kershaw, 2000)","plainTextFormattedCitation":"(Moss et al., 2017; Moss and Kershaw, 2000)","previouslyFormattedCitation":"(Moss et al., 2017; Moss and Kershaw, 2000)"},"properties":{"noteIndex":0},"schema":"https://github.com/citation-style-language/schema/raw/master/csl-citation.json"}</w:instrText>
      </w:r>
      <w:r w:rsidR="00B84C4D">
        <w:fldChar w:fldCharType="separate"/>
      </w:r>
      <w:r w:rsidR="00B84C4D" w:rsidRPr="00B84C4D">
        <w:rPr>
          <w:noProof/>
        </w:rPr>
        <w:t>(Moss et al., 2017; Moss and Kershaw, 2000)</w:t>
      </w:r>
      <w:r w:rsidR="00B84C4D">
        <w:fldChar w:fldCharType="end"/>
      </w:r>
      <w:r w:rsidR="00BD7EF9">
        <w:t>.</w:t>
      </w:r>
    </w:p>
    <w:p w14:paraId="1DA5487D" w14:textId="6C43CBAD" w:rsidR="00A2067E" w:rsidRDefault="00704E7D" w:rsidP="00A2067E">
      <w:r>
        <w:object w:dxaOrig="3601" w:dyaOrig="2161" w14:anchorId="1FA5BA1E">
          <v:shape id="_x0000_i1029" type="#_x0000_t75" style="width:465pt;height:231.6pt" o:ole="">
            <v:imagedata r:id="rId51" o:title="" cropbottom="11009f"/>
          </v:shape>
          <o:OLEObject Type="Embed" ProgID="Acrobat.Document.2017" ShapeID="_x0000_i1029" DrawAspect="Icon" ObjectID="_1682751538" r:id="rId52"/>
        </w:object>
      </w:r>
      <w:r w:rsidR="00BD7EF9">
        <w:t xml:space="preserve">Figure </w:t>
      </w:r>
      <w:r w:rsidR="007357E9">
        <w:t>S3</w:t>
      </w:r>
      <w:r w:rsidR="00BD7EF9">
        <w:t>e. Lynch</w:t>
      </w:r>
      <w:r w:rsidR="008E45DB">
        <w:t>’</w:t>
      </w:r>
      <w:r w:rsidR="00BD7EF9">
        <w:t xml:space="preserve">s Crater </w:t>
      </w:r>
      <w:r w:rsidR="00255A19">
        <w:t xml:space="preserve">pollen </w:t>
      </w:r>
      <w:r w:rsidR="00BD7EF9">
        <w:t xml:space="preserve">Principal Curve (PrC) and probability density functions. High PrC values are driven by increased values of </w:t>
      </w:r>
      <w:r w:rsidR="00BD7EF9" w:rsidRPr="008E45DB">
        <w:rPr>
          <w:i/>
          <w:iCs/>
        </w:rPr>
        <w:t>Podocarpus</w:t>
      </w:r>
      <w:r w:rsidR="00BD7EF9">
        <w:t xml:space="preserve"> and </w:t>
      </w:r>
      <w:r w:rsidR="00BD7EF9">
        <w:rPr>
          <w:i/>
        </w:rPr>
        <w:t>Eucalyptus</w:t>
      </w:r>
      <w:r w:rsidR="00BD7EF9">
        <w:t>. Low PrC values are driven by increased values of Casuarinaceae</w:t>
      </w:r>
      <w:r w:rsidR="00B84C4D">
        <w:t xml:space="preserve"> </w:t>
      </w:r>
      <w:r w:rsidR="00B84C4D">
        <w:fldChar w:fldCharType="begin" w:fldLock="1"/>
      </w:r>
      <w:r w:rsidR="0081107F">
        <w:instrText>ADDIN CSL_CITATION {"citationItems":[{"id":"ITEM-1","itemData":{"DOI":"10.1016/j.palaeo.2007.02.015","ISBN":"0031-0182","ISSN":"00310182","abstract":"Recent drilling eventually reached to the base of the sediments of Lynch's Crater on the Atherton Tableland within the humid tropics of north-eastern Australia. This paper incorporates results from the sequence extension into a complete record from the site, much of which has only been presented previously in summary form. A more certain chronology for the record is provided by recent radiocarbon dating on the topmost sediments and the application of time series analysis to the whole sequence. This suggests that the vegetation and climate are forced essentially by northern hemisphere insolation and ice volume, probably operating through sea level and sea surface temperature changes. The extended record is considered to cover the last 230,000??years and the pattern of complex rainforest expansion during wetter interglacial periods and its replacement by drier rainforest and sclerophyll vegetation during drier glacials is maintained. Superimposed on this cyclicity are trends resulting from both the evolution of the lake basin as well as external influences that include climate and, within the last 45,000??years, people. ?? 2007 Elsevier B.V. All rights reserved.","author":[{"dropping-particle":"","family":"Kershaw","given":"A. P.","non-dropping-particle":"","parse-names":false,"suffix":""},{"dropping-particle":"","family":"Bretherton","given":"Sophie C.","non-dropping-particle":"","parse-names":false,"suffix":""},{"dropping-particle":"","family":"Kaars","given":"Sander","non-dropping-particle":"van der","parse-names":false,"suffix":""}],"container-title":"Palaeogeography, Palaeoclimatology, Palaeoecology","id":"ITEM-1","issue":"1","issued":{"date-parts":[["2007","7"]]},"note":"Concurrent to the decline in rainforest angiosperms is a increase in Casuarina, Eucs and concomitant change in sediment lithology, with the most organic sediments within the record. In line with the shift to peat sediments is an increase in aquatic pollen abundacne and diversity, indicating that the likelihood that floating vegetation became fixed to the swamp surface. \nIt is hard to determine the degree to which the changes in dryland pollen represent a reflection of outside climate or internal successional influences. The replacement of a lake by a swamp depositional environment is likely o have reduced representation of rainforest angionsperms and advantaged obligate anemophilous taka such as podocarpus and Casuarina.","page":"23-45","title":"A complete pollen record of the last 230 ka from Lynch's Crater, north-eastern Australia","type":"article-journal","volume":"251"},"uris":["http://www.mendeley.com/documents/?uuid=25198bf1-b41e-427e-85e8-d446e9b166d5"]}],"mendeley":{"formattedCitation":"(Kershaw et al., 2007a)","plainTextFormattedCitation":"(Kershaw et al., 2007a)","previouslyFormattedCitation":"(Kershaw et al., 2007a)"},"properties":{"noteIndex":0},"schema":"https://github.com/citation-style-language/schema/raw/master/csl-citation.json"}</w:instrText>
      </w:r>
      <w:r w:rsidR="00B84C4D">
        <w:fldChar w:fldCharType="separate"/>
      </w:r>
      <w:r w:rsidR="0081107F" w:rsidRPr="0081107F">
        <w:rPr>
          <w:noProof/>
        </w:rPr>
        <w:t>(Kershaw et al., 2007a)</w:t>
      </w:r>
      <w:r w:rsidR="00B84C4D">
        <w:fldChar w:fldCharType="end"/>
      </w:r>
      <w:r w:rsidR="00BD7EF9">
        <w:t>.</w:t>
      </w:r>
      <w:r w:rsidR="00417184">
        <w:t xml:space="preserve"> </w:t>
      </w:r>
    </w:p>
    <w:p w14:paraId="68DAB0F5" w14:textId="23170557" w:rsidR="00A2067E" w:rsidRDefault="00704E7D" w:rsidP="00A2067E">
      <w:r>
        <w:object w:dxaOrig="3601" w:dyaOrig="2161" w14:anchorId="11A24D15">
          <v:shape id="_x0000_i1030" type="#_x0000_t75" style="width:465pt;height:231pt" o:ole="">
            <v:imagedata r:id="rId53" o:title="" cropbottom="11353f"/>
          </v:shape>
          <o:OLEObject Type="Embed" ProgID="Acrobat.Document.2017" ShapeID="_x0000_i1030" DrawAspect="Icon" ObjectID="_1682751539" r:id="rId54"/>
        </w:object>
      </w:r>
    </w:p>
    <w:p w14:paraId="28C3A722" w14:textId="4901ED72" w:rsidR="00A2067E" w:rsidRDefault="00AD780A" w:rsidP="00A2067E">
      <w:r>
        <w:t xml:space="preserve">Figure </w:t>
      </w:r>
      <w:r w:rsidR="007357E9">
        <w:t>S3</w:t>
      </w:r>
      <w:r>
        <w:t>f. Bromfield Swamp</w:t>
      </w:r>
      <w:r w:rsidR="00255A19">
        <w:t xml:space="preserve"> pollen</w:t>
      </w:r>
      <w:r>
        <w:t xml:space="preserve"> Principal Curve (PrC) and probability density functions. Low PrC values are driven by increased values of </w:t>
      </w:r>
      <w:r w:rsidRPr="008E45DB">
        <w:rPr>
          <w:i/>
          <w:iCs/>
        </w:rPr>
        <w:t>Podocarpus</w:t>
      </w:r>
      <w:r>
        <w:t xml:space="preserve"> and </w:t>
      </w:r>
      <w:r>
        <w:rPr>
          <w:i/>
        </w:rPr>
        <w:t>Eucalyptus</w:t>
      </w:r>
      <w:r>
        <w:t xml:space="preserve">. </w:t>
      </w:r>
      <w:r w:rsidR="00FC544C">
        <w:t>High</w:t>
      </w:r>
      <w:r>
        <w:t xml:space="preserve"> PrC values are driven by increased values of Casuarinaceae</w:t>
      </w:r>
      <w:r w:rsidR="00B84C4D">
        <w:t xml:space="preserve"> </w:t>
      </w:r>
      <w:r w:rsidR="00B84C4D">
        <w:fldChar w:fldCharType="begin" w:fldLock="1"/>
      </w:r>
      <w:r w:rsidR="00B84C4D">
        <w:instrText>ADDIN CSL_CITATION {"citationItems":[{"id":"ITEM-1","itemData":{"DOI":"10.1111/j.1469-8137.1975.tb01385.x","ISSN":"0028-646X","abstract":"The sequence of vegetation changes evidenced in the Bromfield Swamp pollen diagram is similar to those derived from previous studies at Lake Euramoo and Quincan Crater. It is established that the initial presence of sclerophyll vegetation around the sites was a regional feature of the Atherton Tableland, determined by low precipitation. Throughout the succeeding rain forest phase, precipitation was higher at Bromfield Swamp than at the other sites suggesting that the rainfall gradient across the Tableland has remained constant. The contrast between the relatively simple stratigraphic sequence of deposits in the swamp and the present complex mosaic of vegetation types and depositional environments implies that there has been a great deal of recent interference with the swamp and the surrounding crater slopes.","author":[{"dropping-particle":"","family":"Kershaw","given":"A.P.","non-dropping-particle":"","parse-names":false,"suffix":""}],"container-title":"New Phytologist","id":"ITEM-1","issue":"1","issued":{"date-parts":[["1975","7"]]},"page":"173-191","title":"Stratigraphy and pollen analysis of Bromfield Swamp, North eastern Queensland, Australia","type":"article-journal","volume":"75"},"uris":["http://www.mendeley.com/documents/?uuid=5898b228-10da-45c2-86c1-e5d0439a6b9f"]},{"id":"ITEM-2","itemData":{"DOI":"10.1016/j.palaeo.2016.03.003","ISSN":"00310182","abstract":"High resolution X-ray fluorescence (XRF) is presented as a robust palaeoclimatic proxy, suitable for use on Late Pleistocene to Holocene sediments located in a volcanic crater on the Atherton Tableland in northeastern Queensland, Australia. The proxy allows identification of wet and dry shifts in a complex sedimentary sequence comprised of peat, gyttja, laminated organic rich muds and fine clastic silt-rich sediments. Significant correlation is found between the XRF record and other proxies including magnetic susceptibility, humification, grain size, macrocharcoal, ??13C and C/N and pollen.Sixteen wetter periods are identified in the 37 ka sedimentary record for Bromfield Swamp. Three wetter periods commence in late Marine Isotope Stage 3, nine in the early glacial, one in the late de-glacial and four in Holocene. Nineteen drier periods are identified, four in late MIS 3, seven in the early glacial, one during the LGM, one in the late de-glacial period and six in the Holocene.The XRF record for Bromfield Swamp is specifically used to identify periods of abrupt climate change. Marked changes in effective precipitation are detected at 32,690, 30,080, 24,660, 21,870, 11,880, 10,020, 9170 and 5120 cal. yr BP. The detection of these abrupt climate events may allow correlation with records from terrestrial sites across the Southern Hemisphere and potentially, the Northern Hemisphere.","author":[{"dropping-particle":"","family":"Burrows","given":"M. A.","non-dropping-particle":"","parse-names":false,"suffix":""},{"dropping-particle":"","family":"Heijnis","given":"H.","non-dropping-particle":"","parse-names":false,"suffix":""},{"dropping-particle":"","family":"Gadd","given":"P.","non-dropping-particle":"","parse-names":false,"suffix":""},{"dropping-particle":"","family":"Haberle","given":"S. G.","non-dropping-particle":"","parse-names":false,"suffix":""}],"container-title":"Palaeogeography, Palaeoclimatology, Palaeoecology","id":"ITEM-2","issued":{"date-parts":[["2016"]]},"page":"164-182","publisher":"Elsevier B.V.","title":"A new late Quaternary palaeohydrological record from the humid tropics of northeastern Australia","type":"article-journal","volume":"451"},"uris":["http://www.mendeley.com/documents/?uuid=61608c7f-a67e-4943-925b-816d2ce0d66d"]}],"mendeley":{"formattedCitation":"(Burrows et al., 2016; Kershaw, 1975)","plainTextFormattedCitation":"(Burrows et al., 2016; Kershaw, 1975)","previouslyFormattedCitation":"(Burrows et al., 2016; Kershaw, 1975)"},"properties":{"noteIndex":0},"schema":"https://github.com/citation-style-language/schema/raw/master/csl-citation.json"}</w:instrText>
      </w:r>
      <w:r w:rsidR="00B84C4D">
        <w:fldChar w:fldCharType="separate"/>
      </w:r>
      <w:r w:rsidR="00B84C4D" w:rsidRPr="00B84C4D">
        <w:rPr>
          <w:noProof/>
        </w:rPr>
        <w:t>(Burrows et al., 2016; Kershaw, 1975)</w:t>
      </w:r>
      <w:r w:rsidR="00B84C4D">
        <w:fldChar w:fldCharType="end"/>
      </w:r>
      <w:r>
        <w:t>.</w:t>
      </w:r>
      <w:r w:rsidR="00417184">
        <w:t xml:space="preserve"> (</w:t>
      </w:r>
      <w:r w:rsidR="00C447B6">
        <w:t>Note inverse PrC y-axis</w:t>
      </w:r>
      <w:r w:rsidR="00417184">
        <w:t>)</w:t>
      </w:r>
      <w:r w:rsidR="00B84C4D">
        <w:t>.</w:t>
      </w:r>
    </w:p>
    <w:p w14:paraId="74EF8E0D" w14:textId="4103F667" w:rsidR="00A2067E" w:rsidRDefault="00704E7D" w:rsidP="00A2067E">
      <w:r>
        <w:object w:dxaOrig="3601" w:dyaOrig="2161" w14:anchorId="6B5BD303">
          <v:shape id="_x0000_i1031" type="#_x0000_t75" style="width:465pt;height:231.6pt" o:ole="">
            <v:imagedata r:id="rId55" o:title="" cropbottom="11009f"/>
          </v:shape>
          <o:OLEObject Type="Embed" ProgID="Acrobat.Document.2017" ShapeID="_x0000_i1031" DrawAspect="Icon" ObjectID="_1682751540" r:id="rId56"/>
        </w:object>
      </w:r>
      <w:r w:rsidR="00FC544C">
        <w:t xml:space="preserve">Figure </w:t>
      </w:r>
      <w:r w:rsidR="007357E9">
        <w:t>S3</w:t>
      </w:r>
      <w:r w:rsidR="00FC544C">
        <w:t xml:space="preserve">g. FR0197 </w:t>
      </w:r>
      <w:r w:rsidR="00FC544C" w:rsidRPr="00FC544C">
        <w:rPr>
          <w:i/>
        </w:rPr>
        <w:t>Globigerinoides ruber</w:t>
      </w:r>
      <w:r w:rsidR="00FC544C">
        <w:t xml:space="preserve"> </w:t>
      </w:r>
      <w:r w:rsidR="00FC544C">
        <w:rPr>
          <w:rFonts w:cstheme="minorHAnsi"/>
        </w:rPr>
        <w:t>δ</w:t>
      </w:r>
      <w:r w:rsidR="00FC544C">
        <w:rPr>
          <w:vertAlign w:val="superscript"/>
        </w:rPr>
        <w:t>18</w:t>
      </w:r>
      <w:r w:rsidR="00FC544C">
        <w:t xml:space="preserve">O and probability density functions. Low </w:t>
      </w:r>
      <w:r w:rsidR="00FC544C">
        <w:rPr>
          <w:rFonts w:cstheme="minorHAnsi"/>
        </w:rPr>
        <w:t>δ</w:t>
      </w:r>
      <w:r w:rsidR="00FC544C">
        <w:rPr>
          <w:vertAlign w:val="superscript"/>
        </w:rPr>
        <w:t>18</w:t>
      </w:r>
      <w:r w:rsidR="00FC544C">
        <w:t>O values indicate</w:t>
      </w:r>
      <w:r w:rsidR="008E45DB">
        <w:t xml:space="preserve"> higher sea level and</w:t>
      </w:r>
      <w:r w:rsidR="00FC544C">
        <w:t xml:space="preserve"> warmer sea surface temperatures. High </w:t>
      </w:r>
      <w:r w:rsidR="00FC544C">
        <w:rPr>
          <w:rFonts w:cstheme="minorHAnsi"/>
        </w:rPr>
        <w:t>δ</w:t>
      </w:r>
      <w:r w:rsidR="00FC544C">
        <w:rPr>
          <w:vertAlign w:val="superscript"/>
        </w:rPr>
        <w:t>18</w:t>
      </w:r>
      <w:r w:rsidR="00FC544C">
        <w:t xml:space="preserve">O values indicate </w:t>
      </w:r>
      <w:r w:rsidR="008E45DB">
        <w:t xml:space="preserve">lower seal level and </w:t>
      </w:r>
      <w:r w:rsidR="00FC544C">
        <w:t>cooler sea surface temperatures</w:t>
      </w:r>
      <w:r w:rsidR="00B84C4D">
        <w:t xml:space="preserve"> </w:t>
      </w:r>
      <w:r w:rsidR="00B84C4D">
        <w:fldChar w:fldCharType="begin" w:fldLock="1"/>
      </w:r>
      <w:r w:rsidR="00B84C4D">
        <w:instrText>ADDIN CSL_CITATION {"citationItems":[{"id":"ITEM-1","itemData":{"DOI":"10.1007/s00382-005-0103-7","ISBN":"0930-7575","ISSN":"0930-7575","author":[{"dropping-particle":"","family":"Bostock","given":"H. C.","non-dropping-particle":"","parse-names":false,"suffix":""},{"dropping-particle":"","family":"Opdyke","given":"B. N.","non-dropping-particle":"","parse-names":false,"suffix":""},{"dropping-particle":"","family":"Gagan","given":"M. K.","non-dropping-particle":"","parse-names":false,"suffix":""},{"dropping-particle":"","family":"Kiss","given":"A. E.","non-dropping-particle":"","parse-names":false,"suffix":""},{"dropping-particle":"","family":"Fifield","given":"L. K.","non-dropping-particle":"","parse-names":false,"suffix":""}],"container-title":"Climate Dynamics","id":"ITEM-1","issue":"6","issued":{"date-parts":[["2006","5","6"]]},"page":"645-659","title":"Glacial/interglacial changes in the East Australian current","type":"article-journal","volume":"26"},"uris":["http://www.mendeley.com/documents/?uuid=49379347-bd2a-4eed-82b5-fce716939ad2"]}],"mendeley":{"formattedCitation":"(Bostock et al., 2006)","plainTextFormattedCitation":"(Bostock et al., 2006)","previouslyFormattedCitation":"(Bostock et al., 2006)"},"properties":{"noteIndex":0},"schema":"https://github.com/citation-style-language/schema/raw/master/csl-citation.json"}</w:instrText>
      </w:r>
      <w:r w:rsidR="00B84C4D">
        <w:fldChar w:fldCharType="separate"/>
      </w:r>
      <w:r w:rsidR="00B84C4D" w:rsidRPr="00B84C4D">
        <w:rPr>
          <w:noProof/>
        </w:rPr>
        <w:t>(Bostock et al., 2006)</w:t>
      </w:r>
      <w:r w:rsidR="00B84C4D">
        <w:fldChar w:fldCharType="end"/>
      </w:r>
      <w:r w:rsidR="00C447B6">
        <w:t xml:space="preserve">. (Note inverse </w:t>
      </w:r>
      <w:r w:rsidR="00C447B6">
        <w:rPr>
          <w:rFonts w:cstheme="minorHAnsi"/>
        </w:rPr>
        <w:t>δ</w:t>
      </w:r>
      <w:r w:rsidR="00C447B6">
        <w:rPr>
          <w:vertAlign w:val="superscript"/>
        </w:rPr>
        <w:t>18</w:t>
      </w:r>
      <w:r w:rsidR="00C447B6">
        <w:t>O y-axis)</w:t>
      </w:r>
      <w:r w:rsidR="00B84C4D">
        <w:t>.</w:t>
      </w:r>
    </w:p>
    <w:p w14:paraId="25298C99" w14:textId="083EF9EB" w:rsidR="00A2067E" w:rsidRDefault="00704E7D" w:rsidP="00A2067E">
      <w:r>
        <w:object w:dxaOrig="3601" w:dyaOrig="2161" w14:anchorId="0B443DE7">
          <v:shape id="_x0000_i1032" type="#_x0000_t75" style="width:465pt;height:234.6pt" o:ole="">
            <v:imagedata r:id="rId57" o:title="" cropbottom="10493f"/>
          </v:shape>
          <o:OLEObject Type="Embed" ProgID="Acrobat.Document.2017" ShapeID="_x0000_i1032" DrawAspect="Icon" ObjectID="_1682751541" r:id="rId58"/>
        </w:object>
      </w:r>
    </w:p>
    <w:p w14:paraId="0856CB80" w14:textId="0C779E44" w:rsidR="00547BC0" w:rsidRDefault="00255A19" w:rsidP="00A2067E">
      <w:r>
        <w:t>Figure S3h. Moon Point pollen Principal Curve (PrC) and probability density functions. Low PrC values are driven by higher values of rainforest and arboreal taxa. High PrC values are driven by increased values of Casuarinaceae and Poaceae</w:t>
      </w:r>
      <w:r w:rsidR="00B84C4D">
        <w:t xml:space="preserve"> </w:t>
      </w:r>
      <w:r w:rsidR="00B84C4D">
        <w:fldChar w:fldCharType="begin" w:fldLock="1"/>
      </w:r>
      <w:r w:rsidR="0081107F">
        <w:instrText>ADDIN CSL_CITATION {"citationItems":[{"id":"ITEM-1","itemData":{"DOI":"10.1071/MF14359","ISSN":"13231650","abstract":"The Great Sandy Region (incorporating Fraser Island and the Cooloola\nsand-mass), south-east Queensland, contains a significant area of\nRamsar-listed coastal wetlands, including the globally important\npatterned fen complexes. These mires form an elaborate network of pools\nsurrounded by vegetated peat ridges and are the only known subtropical,\nSouthern Hemisphere examples, with wetlands of this type typically\nlocated in high northern latitudes. Sedimentological, palynological and\ncharcoal analysis from the Wathumba and Moon Point complexes on Fraser\nIsland indicate two periods of swamp formation (that may contain\npatterned fens), one commencing at 12 000 years ago (Moon Point) and the\nother similar to 4300 years ago (Wathumba). Wetland formation and\ndevelopment is thought to be related to a combination of biological and\nhydrological processes with the dominant peat-forming rush, Empodisma\nminus, being an important component of both patterned and non-patterned\nmires within the region. In contrast to Northern Hemisphere paludifying\nsystems, the patterning appears to initiate at the start of wetland\ndevelopment or as part of an infilling process. The wetlands dominated\nby E. minus are highly resilient to disturbance, particularly burning\nand sea level alterations, and appear to form important refuge areas for\namphibians, fish and birds (both non-migratory and migratory) over\nthousands of years.","author":[{"dropping-particle":"","family":"Moss","given":"Patrick","non-dropping-particle":"","parse-names":false,"suffix":""},{"dropping-particle":"","family":"Tibby","given":"John","non-dropping-particle":"","parse-names":false,"suffix":""},{"dropping-particle":"","family":"Shapland","given":"Felicity","non-dropping-particle":"","parse-names":false,"suffix":""},{"dropping-particle":"","family":"Fairfax","given":"Russell","non-dropping-particle":"","parse-names":false,"suffix":""},{"dropping-particle":"","family":"Stewart","given":"Philip","non-dropping-particle":"","parse-names":false,"suffix":""},{"dropping-particle":"","family":"Barr","given":"Cameron","non-dropping-particle":"","parse-names":false,"suffix":""},{"dropping-particle":"","family":"Petherick","given":"Lynda","non-dropping-particle":"","parse-names":false,"suffix":""},{"dropping-particle":"","family":"Gontz","given":"Allen","non-dropping-particle":"","parse-names":false,"suffix":""},{"dropping-particle":"","family":"Sloss","given":"Craig","non-dropping-particle":"","parse-names":false,"suffix":""}],"container-title":"Marine and Freshwater Research","id":"ITEM-1","issue":"6","issued":{"date-parts":[["2016"]]},"page":"816-827","title":"Patterned fen formation and development from the Great Sandy Region, south-east Queensland, Australia","type":"article-journal","volume":"67"},"uris":["http://www.mendeley.com/documents/?uuid=cc37cd34-30d2-4102-b86c-f17f420f8b0c"]}],"mendeley":{"formattedCitation":"(Moss et al., 2016)","plainTextFormattedCitation":"(Moss et al., 2016)","previouslyFormattedCitation":"(Moss et al., 2016)"},"properties":{"noteIndex":0},"schema":"https://github.com/citation-style-language/schema/raw/master/csl-citation.json"}</w:instrText>
      </w:r>
      <w:r w:rsidR="00B84C4D">
        <w:fldChar w:fldCharType="separate"/>
      </w:r>
      <w:r w:rsidR="00B84C4D" w:rsidRPr="00B84C4D">
        <w:rPr>
          <w:noProof/>
        </w:rPr>
        <w:t>(Moss et al., 2016)</w:t>
      </w:r>
      <w:r w:rsidR="00B84C4D">
        <w:fldChar w:fldCharType="end"/>
      </w:r>
      <w:r>
        <w:t>.</w:t>
      </w:r>
      <w:r w:rsidR="00417184">
        <w:t xml:space="preserve"> (</w:t>
      </w:r>
      <w:r w:rsidR="00C447B6">
        <w:t>Note inverse PrC y-axis</w:t>
      </w:r>
      <w:r w:rsidR="00417184">
        <w:t>)</w:t>
      </w:r>
      <w:r w:rsidR="00B84C4D">
        <w:t>.</w:t>
      </w:r>
    </w:p>
    <w:p w14:paraId="4603976F" w14:textId="7306562E" w:rsidR="00A2067E" w:rsidRDefault="00A2067E" w:rsidP="00A2067E"/>
    <w:p w14:paraId="12D54C9A" w14:textId="718BF5F0" w:rsidR="00A2067E" w:rsidRDefault="00704E7D" w:rsidP="00A2067E">
      <w:r>
        <w:object w:dxaOrig="3601" w:dyaOrig="2161" w14:anchorId="366A5113">
          <v:shape id="_x0000_i1033" type="#_x0000_t75" style="width:465pt;height:234.6pt" o:ole="">
            <v:imagedata r:id="rId59" o:title="" cropbottom="10493f"/>
          </v:shape>
          <o:OLEObject Type="Embed" ProgID="Acrobat.Document.2017" ShapeID="_x0000_i1033" DrawAspect="Icon" ObjectID="_1682751542" r:id="rId60"/>
        </w:object>
      </w:r>
      <w:r w:rsidR="00255A19">
        <w:t xml:space="preserve">Figure S3i. Lake Coomboo pollen Principal Curve and probability density function. Low </w:t>
      </w:r>
      <w:r w:rsidR="00417184">
        <w:t xml:space="preserve">PrC </w:t>
      </w:r>
      <w:r w:rsidR="00255A19">
        <w:t xml:space="preserve">values are driven by increased values of Araucariaceae and </w:t>
      </w:r>
      <w:r w:rsidR="00255A19" w:rsidRPr="008E45DB">
        <w:rPr>
          <w:i/>
          <w:iCs/>
        </w:rPr>
        <w:t>Calitris</w:t>
      </w:r>
      <w:r w:rsidR="00255A19">
        <w:t xml:space="preserve">. </w:t>
      </w:r>
      <w:r w:rsidR="00417184">
        <w:t xml:space="preserve">High PrC values are driven by increased values of Casuarinaceae, Poaceae and </w:t>
      </w:r>
      <w:r w:rsidR="00417184" w:rsidRPr="00417184">
        <w:rPr>
          <w:i/>
          <w:iCs/>
        </w:rPr>
        <w:t>Eucalyptus</w:t>
      </w:r>
      <w:r w:rsidR="00417184">
        <w:t xml:space="preserve"> taxa</w:t>
      </w:r>
      <w:r w:rsidR="00B84C4D">
        <w:t xml:space="preserve"> </w:t>
      </w:r>
      <w:r w:rsidR="0081107F">
        <w:fldChar w:fldCharType="begin" w:fldLock="1"/>
      </w:r>
      <w:r w:rsidR="0081107F">
        <w:instrText>ADDIN CSL_CITATION {"citationItems":[{"id":"ITEM-1","itemData":{"DOI":"10.1071/BT96109","ISBN":"0067-1924","ISSN":"00671924","abstract":"Pollen, carbonised particle and chemical analysis of a 6 m core from the Old Lake Coomboo Depression, a perched lake basin situated in one of the oldest dune systems on Fraser Island, demonstrates vegetation and hydrological change through a series of glacial cycles. The pollen assemblage shifts from predominantly rainforest with Araucaria sp. (Juss.) surrounding a deep water lake at c. 600 ka, to a dryer rainforest with Podocarpus sp. (L'Herit) and an intermediate lake after c. 350 ka, to a more sclerophyllous forest until before the Last Glacial Maximum (LGM). During the Last Interglacial (c. 120 ka) and before (c. 22 ka) the LGM, Araucaria sp. pollen frequencies increase before falling dramatically, open forest appears to shift to the robust association of myrtaceous shrubs characteristic of the older dune systems to the west of the island, and lake levels fall probably below the lake floor. After the LGM, open forest returns, but Araucaria sp. pollen frequencies never recover and the lake becomes an ephemeral system with a fluctuating water-table in the Holocene. The record is interpreted as reflecting retrogressive vegetation succession driven primarily by an overall decrease in effective precipitation over, at least, the last 350 ka. The inferred long-term changes in climate have major implications for the survival of relict rainforest.","author":[{"dropping-particle":"","family":"Longmore","given":"Maureen E.","non-dropping-particle":"","parse-names":false,"suffix":""}],"container-title":"Australian Journal of Botany","id":"ITEM-1","issue":"3","issued":{"date-parts":[["1997"]]},"page":"507-526","title":"Quaternary palynological records from perched lake sediments, Fraser Island, Queensland, Australia: Rainforest, forest history and climatic control","type":"article-journal","volume":"45"},"uris":["http://www.mendeley.com/documents/?uuid=1b6066a9-6707-42a1-9cac-0d45e84ff547"]}],"mendeley":{"formattedCitation":"(Longmore, 1997)","plainTextFormattedCitation":"(Longmore, 1997)","previouslyFormattedCitation":"(Longmore, 1997)"},"properties":{"noteIndex":0},"schema":"https://github.com/citation-style-language/schema/raw/master/csl-citation.json"}</w:instrText>
      </w:r>
      <w:r w:rsidR="0081107F">
        <w:fldChar w:fldCharType="separate"/>
      </w:r>
      <w:r w:rsidR="0081107F" w:rsidRPr="0081107F">
        <w:rPr>
          <w:noProof/>
        </w:rPr>
        <w:t>(Longmore, 1997)</w:t>
      </w:r>
      <w:r w:rsidR="0081107F">
        <w:fldChar w:fldCharType="end"/>
      </w:r>
      <w:r w:rsidR="00417184">
        <w:t>. (</w:t>
      </w:r>
      <w:r w:rsidR="00C447B6">
        <w:t>Note inverse PrC y-axis</w:t>
      </w:r>
      <w:r w:rsidR="00417184">
        <w:t>).</w:t>
      </w:r>
    </w:p>
    <w:p w14:paraId="3E3DAC44" w14:textId="50F1104D" w:rsidR="00A2067E" w:rsidRDefault="00704E7D" w:rsidP="00A2067E">
      <w:r>
        <w:object w:dxaOrig="3601" w:dyaOrig="2161" w14:anchorId="0FCA0DAC">
          <v:shape id="_x0000_i1034" type="#_x0000_t75" style="width:465pt;height:235.8pt" o:ole="">
            <v:imagedata r:id="rId61" o:title="" cropbottom="9977f"/>
          </v:shape>
          <o:OLEObject Type="Embed" ProgID="Acrobat.Document.2017" ShapeID="_x0000_i1034" DrawAspect="Icon" ObjectID="_1682751543" r:id="rId62"/>
        </w:object>
      </w:r>
    </w:p>
    <w:p w14:paraId="0FB6068F" w14:textId="0F5B3926" w:rsidR="00417184" w:rsidRDefault="00417184" w:rsidP="00417184">
      <w:r>
        <w:t xml:space="preserve">Figure S3j. Lake McKenzie Branched glycerol dialkyl glycerol tetraether (GDGT) and probability density function. Low values </w:t>
      </w:r>
      <w:r w:rsidR="00C447B6">
        <w:t>indicate lower MAAT estimates. High values indicate higher MAAT estimates</w:t>
      </w:r>
      <w:r w:rsidR="0081107F">
        <w:t xml:space="preserve"> </w:t>
      </w:r>
      <w:r w:rsidR="0081107F">
        <w:fldChar w:fldCharType="begin" w:fldLock="1"/>
      </w:r>
      <w:r w:rsidR="0081107F">
        <w:instrText>ADDIN CSL_CITATION {"citationItems":[{"id":"ITEM-1","itemData":{"DOI":"10.1016/j.yqres.2014.02.005","ISSN":"0033-5894","abstract":"Branched glycerol dialkyl glycerol tetraether (GDGT) distributions observed in a sediment core from Lake McKenzie were utilized to quantitatively reconstruct the pattern of mean annual air temperature (MAAT) from coastal subtropical eastern Australia between 37 and 18.3 cal ka BP and 14.0 cal ka BP to present. Both the reconstructed trend and amplitude of MAAT changes from the top of the sediment core were nearly identical to a local instrumental MAAT record from Fraser Island, providing confidence that in this sediment core branched GDGTs could be used to produce a quantitative record of past MAAT. The reconstructed trend of MAAT during 37 to 18.3 cal ka BP and timing of the Last Glacial Maximum (LGM) in the Lake McKenzie record were in agreement with previously published nearby marine climate records. The amplitude of lower-than-present MAAT during the LGM potentially provides information on the latitude of separation of the Tasman Front from the East Australian current in the subtropical western Pacific. The Lake McKenzie record shows an earlier onset of near modern day warm temperatures in the early Holocene compared to marine records and the presence of a warmer than present day period during the mid-Holocene.","author":[{"dropping-particle":"","family":"Woltering","given":"Martijn","non-dropping-particle":"","parse-names":false,"suffix":""},{"dropping-particle":"","family":"Atahan","given":"Pia","non-dropping-particle":"","parse-names":false,"suffix":""},{"dropping-particle":"","family":"Grice","given":"Kliti","non-dropping-particle":"","parse-names":false,"suffix":""},{"dropping-particle":"","family":"Heijnis","given":"Henk","non-dropping-particle":"","parse-names":false,"suffix":""},{"dropping-particle":"","family":"Taffs","given":"Kathryn","non-dropping-particle":"","parse-names":false,"suffix":""},{"dropping-particle":"","family":"Dodson","given":"John","non-dropping-particle":"","parse-names":false,"suffix":""}],"container-title":"Quaternary Research","id":"ITEM-1","issue":"1","issued":{"date-parts":[["2014","7","20"]]},"page":"132-145","publisher":"University of Washington","title":"Glacial and Holocene terrestrial temperature variability in subtropical east Australia as inferred from branched GDGT distributions in a sediment core from Lake McKenzie","type":"article-journal","volume":"82"},"uris":["http://www.mendeley.com/documents/?uuid=a2d22b23-c488-4c53-b128-7db48487d56a"]}],"mendeley":{"formattedCitation":"(Woltering et al., 2014)","plainTextFormattedCitation":"(Woltering et al., 2014)","previouslyFormattedCitation":"(Woltering et al., 2014)"},"properties":{"noteIndex":0},"schema":"https://github.com/citation-style-language/schema/raw/master/csl-citation.json"}</w:instrText>
      </w:r>
      <w:r w:rsidR="0081107F">
        <w:fldChar w:fldCharType="separate"/>
      </w:r>
      <w:r w:rsidR="0081107F" w:rsidRPr="0081107F">
        <w:rPr>
          <w:noProof/>
        </w:rPr>
        <w:t>(Woltering et al., 2014)</w:t>
      </w:r>
      <w:r w:rsidR="0081107F">
        <w:fldChar w:fldCharType="end"/>
      </w:r>
      <w:r w:rsidR="00C447B6">
        <w:t xml:space="preserve">. </w:t>
      </w:r>
    </w:p>
    <w:p w14:paraId="5F0692D4" w14:textId="77777777" w:rsidR="00A2067E" w:rsidRDefault="00A2067E" w:rsidP="00A2067E"/>
    <w:p w14:paraId="1A3BBEF6" w14:textId="4B0B34EF" w:rsidR="00A2067E" w:rsidRDefault="00A2067E" w:rsidP="00A2067E"/>
    <w:p w14:paraId="7090A772" w14:textId="3A79F6A8" w:rsidR="00417184" w:rsidRDefault="00704E7D" w:rsidP="00A2067E">
      <w:r>
        <w:object w:dxaOrig="3601" w:dyaOrig="2161" w14:anchorId="549C9473">
          <v:shape id="_x0000_i1035" type="#_x0000_t75" style="width:465pt;height:231pt" o:ole="">
            <v:imagedata r:id="rId63" o:title="" cropbottom="11353f"/>
          </v:shape>
          <o:OLEObject Type="Embed" ProgID="Acrobat.Document.2017" ShapeID="_x0000_i1035" DrawAspect="Icon" ObjectID="_1682751544" r:id="rId64"/>
        </w:object>
      </w:r>
      <w:r w:rsidR="00417184">
        <w:t>Figure S3k. Welsby Lagoon pollen Principal Curve (PrC) and probability density function</w:t>
      </w:r>
      <w:r w:rsidR="00AF018F">
        <w:t xml:space="preserve">. High PrC values are driven by increased values of </w:t>
      </w:r>
      <w:r w:rsidR="00AF018F" w:rsidRPr="00AF018F">
        <w:rPr>
          <w:i/>
          <w:iCs/>
        </w:rPr>
        <w:t>Eucalyptus</w:t>
      </w:r>
      <w:r w:rsidR="00AF018F">
        <w:rPr>
          <w:i/>
          <w:iCs/>
        </w:rPr>
        <w:t xml:space="preserve"> </w:t>
      </w:r>
      <w:r w:rsidR="00AF018F">
        <w:t>and Asteraceae. Low PrC values are driven by increased values of Casuarinaceae and Poaceae</w:t>
      </w:r>
      <w:r w:rsidR="0081107F">
        <w:t xml:space="preserve"> </w:t>
      </w:r>
      <w:r w:rsidR="0081107F">
        <w:fldChar w:fldCharType="begin" w:fldLock="1"/>
      </w:r>
      <w:r w:rsidR="0081107F">
        <w:instrText>ADDIN CSL_CITATION {"citationItems":[{"id":"ITEM-1","itemData":{"DOI":"10.1016/j.quaint.2017.04.011","ISSN":"10406182","abstract":"There are few continuous Australian palaeoclimate records that extend beyond the Last Glacial Maximum (LGM), meaning that knowledge of regional climates before, during and after this period is limited. Understanding late-Pleistocene climates of the subtropics is important because of the fundamental role the region plays in the large-scale, global transfer of energy from low latitudes. Palaeoclimate studies of subtropical regions can help define the extent of warming/cooling during the large global climatic events which characterise the late-Pleistocene. Here we report the results from a multi-proxy analysis of a sediment record from Welsby Lagoon on North Stradbroke Island, in the eastern Australian subtropics, spanning the past ca. 25,000 years. Stable C and N isotope analysis and high resolution contiguous records of macrocharcoal deposition and sediment organic content are interpreted in conjunction with a previously published pollen record. Sediment organic content displayed a very strong correlation with total organic carbon (TOC) content as determined through elemental analysis and, given the peaty nature of the sediment, is interpreted as indicative of moisture balance. The proxies reflect wet subtropical climates in the lead up to the LGM which led to an expansion of the wetland. This was followed by a cool, dry and windy LGM (ca. 22.3-19.7'000 years before present; kyr BP), which was punctuated by a brief wet phase ca. 21.7-20.4 kyr BP. A salient feature of the deglacial period is a rapid increase in TOC around 15 kyr BP, coincident with the Antarctic Cold Reversal and Bølling-Allerød warm phase. Increased fire frequency is evident in the Holocene, which is characterised by otherwise stable climate and vegetation. This study supports the notion of variable climates during the LGM and finds an onset of deglacial warming in the Australian subtropics that predates the Holocene.","author":[{"dropping-particle":"","family":"Barr","given":"Cameron","non-dropping-particle":"","parse-names":false,"suffix":""},{"dropping-particle":"","family":"Tibby","given":"John","non-dropping-particle":"","parse-names":false,"suffix":""},{"dropping-particle":"","family":"Moss","given":"Patrick T.","non-dropping-particle":"","parse-names":false,"suffix":""},{"dropping-particle":"","family":"Halverson","given":"Galen P.","non-dropping-particle":"","parse-names":false,"suffix":""},{"dropping-particle":"","family":"Marshall","given":"Jonathan C.","non-dropping-particle":"","parse-names":false,"suffix":""},{"dropping-particle":"","family":"McGregor","given":"Glenn B.","non-dropping-particle":"","parse-names":false,"suffix":""},{"dropping-particle":"","family":"Stirling","given":"Erinne","non-dropping-particle":"","parse-names":false,"suffix":""}],"container-title":"Quaternary International","id":"ITEM-1","issued":{"date-parts":[["2017"]]},"page":"106-118","publisher":"Elsevier Ltd","title":"A 25,000-year record of environmental change from Welsby Lagoon, North Stradbroke Island, in the Australian subtropics","type":"article-journal","volume":"449"},"uris":["http://www.mendeley.com/documents/?uuid=170de638-c968-4b1c-b490-6e5555d70bbb"]}],"mendeley":{"formattedCitation":"(Barr et al., 2017)","plainTextFormattedCitation":"(Barr et al., 2017)","previouslyFormattedCitation":"(Barr et al., 2017)"},"properties":{"noteIndex":0},"schema":"https://github.com/citation-style-language/schema/raw/master/csl-citation.json"}</w:instrText>
      </w:r>
      <w:r w:rsidR="0081107F">
        <w:fldChar w:fldCharType="separate"/>
      </w:r>
      <w:r w:rsidR="0081107F" w:rsidRPr="0081107F">
        <w:rPr>
          <w:noProof/>
        </w:rPr>
        <w:t>(Barr et al., 2017)</w:t>
      </w:r>
      <w:r w:rsidR="0081107F">
        <w:fldChar w:fldCharType="end"/>
      </w:r>
      <w:r w:rsidR="00C447B6">
        <w:t>. (Note inverse PrC y-axis)</w:t>
      </w:r>
    </w:p>
    <w:p w14:paraId="0119A515" w14:textId="32375FA0" w:rsidR="00A2067E" w:rsidRDefault="00704E7D" w:rsidP="00A2067E">
      <w:r>
        <w:object w:dxaOrig="3601" w:dyaOrig="2161" w14:anchorId="07B516E8">
          <v:shape id="_x0000_i1036" type="#_x0000_t75" style="width:465pt;height:230.4pt" o:ole="">
            <v:imagedata r:id="rId65" o:title="" cropbottom="11397f"/>
          </v:shape>
          <o:OLEObject Type="Embed" ProgID="Acrobat.Document.2017" ShapeID="_x0000_i1036" DrawAspect="Icon" ObjectID="_1682751545" r:id="rId66"/>
        </w:object>
      </w:r>
    </w:p>
    <w:p w14:paraId="358655F7" w14:textId="0A3F2D7A" w:rsidR="001175A1" w:rsidRDefault="001175A1" w:rsidP="00A2067E">
      <w:r>
        <w:t xml:space="preserve">Figure S3l. Tortoise Lagoon pollen Principal Curve (PrC) and probability density function. Low PrC values are driven by increased values of </w:t>
      </w:r>
      <w:r w:rsidRPr="008E45DB">
        <w:rPr>
          <w:i/>
          <w:iCs/>
        </w:rPr>
        <w:t>Melaleuca</w:t>
      </w:r>
      <w:r>
        <w:t xml:space="preserve"> and </w:t>
      </w:r>
      <w:r w:rsidRPr="008E45DB">
        <w:rPr>
          <w:i/>
          <w:iCs/>
        </w:rPr>
        <w:t>Eucalyptus</w:t>
      </w:r>
      <w:r>
        <w:t>. High PrC values are driven by increased values of Casuarinaceae and Poaceae</w:t>
      </w:r>
      <w:r w:rsidR="0081107F">
        <w:t xml:space="preserve"> </w:t>
      </w:r>
      <w:r w:rsidR="0081107F">
        <w:fldChar w:fldCharType="begin" w:fldLock="1"/>
      </w:r>
      <w:r w:rsidR="00E70109">
        <w:instrText>ADDIN CSL_CITATION {"citationItems":[{"id":"ITEM-1","itemData":{"DOI":"10.1016/j.quaint.2015.11.015","ISBN":"10406182 (ISSN)","ISSN":"10406182","abstract":"A continuous, record encompassing the termination of the Last Glacial cycle (defined here as ca. 30???18??cal.??kyr??BP) has been developed using multiple proxies (viz. clastic sediment flux, grain size, moisture content, pollen and charcoal) archived in lake sediments from Tortoise Lagoon, North Stradbroke Island, Australia. The record indicates an extended Last Glacial Maximum, with an onset at ca. 30??kyr??BP. The presence of rainforest and arboreal taxa for the 30???18??kyr??BP period indicate a positive moisture balance, while the presence of the now regionally extinct Asteraceae (Tubuliflorae) and Tubulifloridites pleistocenicus indicate relatively cool temperatures. Total clastic sediment flux and the vegetation assemblage suggest that, at least in subtropical Australia, the Last Glacial Maximum was characterized by two peaks in aridity at ca. 29???26??kyr BP and 24.5???20??kyr BP.","author":[{"dropping-particle":"","family":"Petherick","given":"L. M.","non-dropping-particle":"","parse-names":false,"suffix":""},{"dropping-particle":"","family":"Moss","given":"P. T.","non-dropping-particle":"","parse-names":false,"suffix":""},{"dropping-particle":"","family":"McGowan","given":"H. A.","non-dropping-particle":"","parse-names":false,"suffix":""}],"container-title":"Quaternary International","id":"ITEM-1","issued":{"date-parts":[["2017"]]},"page":"1-12","publisher":"Elsevier Ltd and INQUA","title":"An extended Last Glacial Maximum in subtropical Australia","type":"article-journal","volume":"432"},"uris":["http://www.mendeley.com/documents/?uuid=263f189d-3884-4246-ba49-e28205c7282c"]},{"id":"ITEM-2","itemData":{"DOI":"10.1016/j.quascirev.2013.02.019","ISBN":"0277-3791","ISSN":"02773791","abstract":"Currently there is a paucity of records of late Quaternary palaeoenvironmental variability available from the subtropics of Australia. The three continuous palaeoecological records presented here, from North Stradbroke Island, subtropical Queensland, assist in bridging this large spatial gap in the current state of knowledge. The dominance of arboreal taxa in the pollen records throughout the past &gt;40,000 years is in contrast with the majority of records from temperate Australia, and indicates a positive moisture balance for North Stradbroke Island. The charcoal records show considerable inter-site variability indicating the importance of local-scale events on individual records, and highlighting the caution that needs to be applied when interpreting a single site as a regional record. The variability in the burning regimes is interpreted as being influenced by both climatic and human factors. Despite this inter-site variability, broad environmental trends are identifiable, with changes in the three records comparable with the OZ-INTIMATE climate synthesis for the last 35,000 years. ?? 2013 Elsevier Ltd.","author":[{"dropping-particle":"","family":"Moss","given":"Patrick T.","non-dropping-particle":"","parse-names":false,"suffix":""},{"dropping-particle":"","family":"Tibby","given":"John","non-dropping-particle":"","parse-names":false,"suffix":""},{"dropping-particle":"","family":"Petherick","given":"Lynda","non-dropping-particle":"","parse-names":false,"suffix":""},{"dropping-particle":"","family":"McGowan","given":"Hamish","non-dropping-particle":"","parse-names":false,"suffix":""},{"dropping-particle":"","family":"Barr","given":"Cameron","non-dropping-particle":"","parse-names":false,"suffix":""}],"container-title":"Quaternary Science Reviews","id":"ITEM-2","issued":{"date-parts":[["2013"]]},"note":"The key impact of El Nino is a weakening of the southeast trade winds resulting in lower than average rainfall in eastern Australia. \nSedges have a much lower abundance that aquatic taxa of Meleluca, Restionaceae and Myriophyllum in Welsby core.","page":"257-272","publisher":"Elsevier Ltd","title":"Late Quaternary vegetation history of North Stradbroke Island, Queensland, eastern Australia","type":"article-journal","volume":"74"},"uris":["http://www.mendeley.com/documents/?uuid=821533d1-b68d-47be-8945-1d1467251b0c"]}],"mendeley":{"formattedCitation":"(Moss et al., 2013; Petherick et al., 2017)","plainTextFormattedCitation":"(Moss et al., 2013; Petherick et al., 2017)","previouslyFormattedCitation":"(Moss et al., 2013; Petherick et al., 2017)"},"properties":{"noteIndex":0},"schema":"https://github.com/citation-style-language/schema/raw/master/csl-citation.json"}</w:instrText>
      </w:r>
      <w:r w:rsidR="0081107F">
        <w:fldChar w:fldCharType="separate"/>
      </w:r>
      <w:r w:rsidR="0081107F" w:rsidRPr="0081107F">
        <w:rPr>
          <w:noProof/>
        </w:rPr>
        <w:t>(Moss et al., 2013; Petherick et al., 2017)</w:t>
      </w:r>
      <w:r w:rsidR="0081107F">
        <w:fldChar w:fldCharType="end"/>
      </w:r>
      <w:r>
        <w:t>.</w:t>
      </w:r>
      <w:r w:rsidR="00C447B6">
        <w:t xml:space="preserve"> (Note inverse PrC y-axis)</w:t>
      </w:r>
    </w:p>
    <w:p w14:paraId="4FDED591" w14:textId="302FB840" w:rsidR="00A2067E" w:rsidRDefault="00A2067E" w:rsidP="00A2067E"/>
    <w:p w14:paraId="51C62D1A" w14:textId="4DCBB515" w:rsidR="001175A1" w:rsidRDefault="00A0336E" w:rsidP="00A2067E">
      <w:r>
        <w:object w:dxaOrig="3601" w:dyaOrig="2161" w14:anchorId="74C6FF6B">
          <v:shape id="_x0000_i1037" type="#_x0000_t75" style="width:465pt;height:231.6pt" o:ole="">
            <v:imagedata r:id="rId67" o:title="" cropbottom="11009f"/>
          </v:shape>
          <o:OLEObject Type="Embed" ProgID="Acrobat.Document.2017" ShapeID="_x0000_i1037" DrawAspect="Icon" ObjectID="_1682751546" r:id="rId68"/>
        </w:object>
      </w:r>
      <w:r w:rsidR="001175A1">
        <w:t>Figure S3m. Native Companion Lagoon pollen Principal Curve (PrC) and probability density function. Low PrC values are driven by increased values of</w:t>
      </w:r>
      <w:r w:rsidR="00832939">
        <w:t xml:space="preserve"> Araucariaceae and </w:t>
      </w:r>
      <w:r w:rsidR="00832939" w:rsidRPr="00832939">
        <w:rPr>
          <w:i/>
          <w:iCs/>
        </w:rPr>
        <w:t>Eucalyptus</w:t>
      </w:r>
      <w:r w:rsidR="00832939">
        <w:t xml:space="preserve">. </w:t>
      </w:r>
      <w:r w:rsidR="001175A1">
        <w:t>High PrC values are driven by increased values of Casuarinaceae and Poaceae</w:t>
      </w:r>
      <w:r w:rsidR="0081107F">
        <w:t xml:space="preserve"> </w:t>
      </w:r>
      <w:r w:rsidR="0081107F">
        <w:fldChar w:fldCharType="begin" w:fldLock="1"/>
      </w:r>
      <w:r w:rsidR="0081107F">
        <w:instrText>ADDIN CSL_CITATION {"citationItems":[{"id":"ITEM-1","itemData":{"DOI":"10.1002/jqs.1186","ISBN":"1099-1417","ISSN":"02678179","abstract":"A high-resolution, multiproxy record encompassing the last glacial-interglacial transition is presented for Native Companion Lagoon, a coastal site in subtropical eastern Australia. Rates of aeolian sedimentation in the lake were established by trace element analyses of lacustrine sediments and used as a proxy for aridity. In conjunction with sediment moisture content, charcoal and pollen these provide a multi-decadal record of palaeoenvironmental variability for the period 33-18 k cal. yr BP. Results indicate that the Last Glacial Maximum in eastern Australia spanned almost 10 k cal. yr, and was characterised by two distinct cold dry events at approximately 30.8 k cal. yr BP and 21.7 k cal. yr BP. Provenance of selected sediment samples by trace element geochemical fingerprinting shows that continental sourced aeolian sediments originated primarily from South Australia during these cold events and from sites in central Australia during the intervening time. Used in combination with a pollen record, the provenance of long-travelled dust to mainland sites shows that the two cold events were characterised by frequent meridional dry southwesterly winds rather than zonal westerly airflow as previously believed. The intervening period was cool and humid, which we infer as being associated with more frequent southeasterly winds of maritime origin. These results lend support to previous research that indicates the Southern Hemisphere experienced a period of widespread climatic amelioration at the height of the last glacial known as the Antarctic Isotopic Maximum. Copyright © 2008 John Wiley &amp; Sons, Ltd.","author":[{"dropping-particle":"","family":"Petherick","given":"Lynda","non-dropping-particle":"","parse-names":false,"suffix":""},{"dropping-particle":"","family":"McGowan","given":"Hamish","non-dropping-particle":"","parse-names":false,"suffix":""},{"dropping-particle":"","family":"Moss","given":"Patrick","non-dropping-particle":"","parse-names":false,"suffix":""}],"container-title":"Journal of Quaternary Science","id":"ITEM-1","issue":"8","issued":{"date-parts":[["2008"]]},"page":"787-802","title":"Climate variability during the Last Glacial Maximum in eastern Australia: Evidence of two stadials?","type":"article-journal","volume":"23"},"uris":["http://www.mendeley.com/documents/?uuid=441f9d0e-6907-4b2c-bbd9-6cf52ab2181f"]}],"mendeley":{"formattedCitation":"(Petherick et al., 2008)","plainTextFormattedCitation":"(Petherick et al., 2008)","previouslyFormattedCitation":"(Petherick et al., 2008)"},"properties":{"noteIndex":0},"schema":"https://github.com/citation-style-language/schema/raw/master/csl-citation.json"}</w:instrText>
      </w:r>
      <w:r w:rsidR="0081107F">
        <w:fldChar w:fldCharType="separate"/>
      </w:r>
      <w:r w:rsidR="0081107F" w:rsidRPr="0081107F">
        <w:rPr>
          <w:noProof/>
        </w:rPr>
        <w:t>(Petherick et al., 2008)</w:t>
      </w:r>
      <w:r w:rsidR="0081107F">
        <w:fldChar w:fldCharType="end"/>
      </w:r>
      <w:r w:rsidR="00832939">
        <w:t>.</w:t>
      </w:r>
      <w:r w:rsidR="00C447B6">
        <w:t xml:space="preserve"> (Note inverse PrC y-axis)</w:t>
      </w:r>
    </w:p>
    <w:p w14:paraId="32B40BB2" w14:textId="206A32DE" w:rsidR="00A2067E" w:rsidRDefault="00A0336E" w:rsidP="00A2067E">
      <w:r>
        <w:object w:dxaOrig="3601" w:dyaOrig="2161" w14:anchorId="3DEBEA6C">
          <v:shape id="_x0000_i1038" type="#_x0000_t75" style="width:465pt;height:231pt" o:ole="">
            <v:imagedata r:id="rId69" o:title="" cropbottom="11353f"/>
          </v:shape>
          <o:OLEObject Type="Embed" ProgID="Acrobat.Document.2017" ShapeID="_x0000_i1038" DrawAspect="Icon" ObjectID="_1682751547" r:id="rId70"/>
        </w:object>
      </w:r>
    </w:p>
    <w:p w14:paraId="6B8CAE68" w14:textId="52BC96D3" w:rsidR="00832939" w:rsidRDefault="00832939" w:rsidP="00A2067E">
      <w:r>
        <w:t xml:space="preserve">Figure S3n. Cuddie Springs pollen Principal Curve (PrC) and probability density function. High PrC values are driven by increased values of Casuarinaceae and Asteraceae. Low PrC values are driven by increased values of Chenopodiaceae and </w:t>
      </w:r>
      <w:r w:rsidRPr="008E45DB">
        <w:rPr>
          <w:i/>
          <w:iCs/>
        </w:rPr>
        <w:t>Acacia</w:t>
      </w:r>
      <w:r w:rsidR="0081107F">
        <w:t xml:space="preserve"> </w:t>
      </w:r>
      <w:r w:rsidR="0081107F">
        <w:fldChar w:fldCharType="begin" w:fldLock="1"/>
      </w:r>
      <w:r w:rsidR="0081107F">
        <w:instrText>ADDIN CSL_CITATION {"citationItems":[{"id":"ITEM-1","itemData":{"DOI":"10.1016/S0277-3791(01)00057-9","ISSN":"02773791","author":[{"dropping-particle":"","family":"Field","given":"Judith H","non-dropping-particle":"","parse-names":false,"suffix":""},{"dropping-particle":"","family":"Dodson","given":"John R","non-dropping-particle":"","parse-names":false,"suffix":""},{"dropping-particle":"","family":"Prosser","given":"Ian P","non-dropping-particle":"","parse-names":false,"suffix":""}],"container-title":"Quaternary Science Reviews","id":"ITEM-1","issue":"8-9","issued":{"date-parts":[["2002","4"]]},"page":"1023-1037","title":"A Late Pleistocene vegetation history from the Australian semi-arid zone","type":"article-journal","volume":"21"},"uris":["http://www.mendeley.com/documents/?uuid=fc8a7dee-861b-43c7-8f2f-b3d8f271d01d"]}],"mendeley":{"formattedCitation":"(Field et al., 2002)","plainTextFormattedCitation":"(Field et al., 2002)","previouslyFormattedCitation":"(Field et al., 2002)"},"properties":{"noteIndex":0},"schema":"https://github.com/citation-style-language/schema/raw/master/csl-citation.json"}</w:instrText>
      </w:r>
      <w:r w:rsidR="0081107F">
        <w:fldChar w:fldCharType="separate"/>
      </w:r>
      <w:r w:rsidR="0081107F" w:rsidRPr="0081107F">
        <w:rPr>
          <w:noProof/>
        </w:rPr>
        <w:t>(Field et al., 2002)</w:t>
      </w:r>
      <w:r w:rsidR="0081107F">
        <w:fldChar w:fldCharType="end"/>
      </w:r>
      <w:r>
        <w:t xml:space="preserve">. </w:t>
      </w:r>
    </w:p>
    <w:p w14:paraId="40317FCF" w14:textId="252E3B9A" w:rsidR="00A2067E" w:rsidRDefault="00A2067E" w:rsidP="00A2067E"/>
    <w:p w14:paraId="51F86F6A" w14:textId="4470ED63" w:rsidR="00832939" w:rsidRDefault="00A0336E" w:rsidP="00832939">
      <w:r>
        <w:object w:dxaOrig="3601" w:dyaOrig="2161" w14:anchorId="55BA57D9">
          <v:shape id="_x0000_i1039" type="#_x0000_t75" style="width:465pt;height:226.8pt" o:ole="">
            <v:imagedata r:id="rId71" o:title="" cropbottom="12213f"/>
          </v:shape>
          <o:OLEObject Type="Embed" ProgID="Acrobat.Document.2017" ShapeID="_x0000_i1039" DrawAspect="Icon" ObjectID="_1682751548" r:id="rId72"/>
        </w:object>
      </w:r>
      <w:r w:rsidR="00832939">
        <w:t xml:space="preserve">Figure S3o. Ulungra Springs pollen Principal Curve (PrC) and probability density function. Low PrC values are driven by increased values of Chenopodiaceae and Asteraceae. High PrC values are driven by increased values of </w:t>
      </w:r>
      <w:r w:rsidR="00DC0C58" w:rsidRPr="008E45DB">
        <w:rPr>
          <w:i/>
          <w:iCs/>
        </w:rPr>
        <w:t>Eucalyptus</w:t>
      </w:r>
      <w:r w:rsidR="00DC0C58">
        <w:t xml:space="preserve">, </w:t>
      </w:r>
      <w:r w:rsidR="00DC0C58" w:rsidRPr="008E45DB">
        <w:rPr>
          <w:i/>
          <w:iCs/>
        </w:rPr>
        <w:t>Lomandra</w:t>
      </w:r>
      <w:r w:rsidR="00DC0C58">
        <w:t xml:space="preserve"> and </w:t>
      </w:r>
      <w:r w:rsidR="00DC0C58" w:rsidRPr="008E45DB">
        <w:rPr>
          <w:i/>
          <w:iCs/>
        </w:rPr>
        <w:t>Plantago</w:t>
      </w:r>
      <w:r w:rsidR="0081107F">
        <w:t xml:space="preserve"> </w:t>
      </w:r>
      <w:r w:rsidR="0081107F">
        <w:fldChar w:fldCharType="begin" w:fldLock="1"/>
      </w:r>
      <w:r w:rsidR="0081107F">
        <w:instrText>ADDIN CSL_CITATION {"citationItems":[{"id":"ITEM-1","itemData":{"DOI":"10.1016/0033-5894(89)90074-4","ISBN":"0033-5894","ISSN":"10960287","abstract":"The Pilliga Sandstone region of the northwest slope of New South Wales has a natural vegetation cover of sclerophyllous relatively closed to open forests with a largely heathy understorey, and a warm, subhumid and continental climate. Pollen analysis of spring-fed deposits gives a vegetation history extending from at least 30,000 yr B.P. to the late Holocene. Tree pollen became scarce after about 25,000 yr B.P. and an assemblage dominated by Chenopodiaceae, Liguliflorae, Tubuliflorae, and probably Poaceae developed. No similar assemblage is known from present pollen rain studies carried out in Australia. However, it clearly represents a treeless open shrub-steppe formation and therefore an arid or semiarid environment. The site thus provides evidence of an eastward late Pleistocene extension of the arid zone in Australia, and is the first full-glacial vegetation record between 20° and 35° latitude in Australia. The present vegetation cover did not become reestablished until the beginning of the Holocene, which raises questions about the form in which Pilliga Sandstone vegetation survived full-glacial conditions. © 1989.","author":[{"dropping-particle":"","family":"Dodson","given":"J. R.","non-dropping-particle":"","parse-names":false,"suffix":""},{"dropping-particle":"","family":"Wright","given":"R. V.S.","non-dropping-particle":"","parse-names":false,"suffix":""}],"container-title":"Quaternary Research","id":"ITEM-1","issue":"2","issued":{"date-parts":[["1989"]]},"page":"182-192","title":"Humid to arid to subhumid vegetation shift on Pilliga Sandstone, Ulungra Springs, New South Wales","type":"article-journal","volume":"32"},"uris":["http://www.mendeley.com/documents/?uuid=06d48204-52f2-403b-85dd-e971cecaf65c"]}],"mendeley":{"formattedCitation":"(Dodson and Wright, 1989)","plainTextFormattedCitation":"(Dodson and Wright, 1989)","previouslyFormattedCitation":"(Dodson and Wright, 1989)"},"properties":{"noteIndex":0},"schema":"https://github.com/citation-style-language/schema/raw/master/csl-citation.json"}</w:instrText>
      </w:r>
      <w:r w:rsidR="0081107F">
        <w:fldChar w:fldCharType="separate"/>
      </w:r>
      <w:r w:rsidR="0081107F" w:rsidRPr="0081107F">
        <w:rPr>
          <w:noProof/>
        </w:rPr>
        <w:t>(Dodson and Wright, 1989)</w:t>
      </w:r>
      <w:r w:rsidR="0081107F">
        <w:fldChar w:fldCharType="end"/>
      </w:r>
      <w:r w:rsidR="00DC0C58">
        <w:t>.</w:t>
      </w:r>
      <w:r w:rsidR="00832939">
        <w:t xml:space="preserve"> </w:t>
      </w:r>
    </w:p>
    <w:p w14:paraId="689622DB" w14:textId="03F13E30" w:rsidR="00DC0C58" w:rsidRDefault="00A0336E" w:rsidP="00DC0C58">
      <w:r>
        <w:object w:dxaOrig="3601" w:dyaOrig="2161" w14:anchorId="26465910">
          <v:shape id="_x0000_i1040" type="#_x0000_t75" style="width:465pt;height:231.6pt" o:ole="">
            <v:imagedata r:id="rId73" o:title="" cropbottom="11009f"/>
          </v:shape>
          <o:OLEObject Type="Embed" ProgID="Acrobat.Document.2017" ShapeID="_x0000_i1040" DrawAspect="Icon" ObjectID="_1682751549" r:id="rId74"/>
        </w:object>
      </w:r>
      <w:r w:rsidR="00DC0C58">
        <w:t xml:space="preserve">Figure S3p. Penrith Lakes pollen Principal Curve (PrC) and probability density function. Low PrC values are driven by increased values of </w:t>
      </w:r>
      <w:r w:rsidR="00DC0C58" w:rsidRPr="008E45DB">
        <w:rPr>
          <w:i/>
          <w:iCs/>
        </w:rPr>
        <w:t>Eucalyptus</w:t>
      </w:r>
      <w:r w:rsidR="00DC0C58">
        <w:t>. High PrC values are driven by increased values of Asteraceae</w:t>
      </w:r>
      <w:r w:rsidR="0081107F">
        <w:t xml:space="preserve"> </w:t>
      </w:r>
      <w:r w:rsidR="0081107F">
        <w:fldChar w:fldCharType="begin" w:fldLock="1"/>
      </w:r>
      <w:r w:rsidR="0081107F">
        <w:instrText>ADDIN CSL_CITATION {"citationItems":[{"id":"ITEM-1","itemData":{"DOI":"10.1063/1.2825835","ISSN":"0370047X","abstract":"Sediments in an abandoned river channel on the flood plain of the Nepean River at Penrith record about 38,000 calibrated years (38 k cal. yr BP) of deposition. Sections of sediments of a 860 cm core proved barren of pollen, but sufficient pollen was recovered from three sections aged about (1) 38-36 k cal. yr BP, middle glacial period, (2) 27-16 k cal. yr BP, middle-late glacial period, including the last glacial maximum and (3) 6 k cal. yr BP to present, late Holocene.   During the 38-36 k cal. yr BP period, the vegetation was an open sclerophyll forest with Eucalyptus viminalis and Leptospermum polygalifolium prominent. A 'spineless Asteraceae', thought to be Cassinia arcuata was prominent in the understorey. E. viminalis was the most common eucalypt and it is the most cold-tolerant of the suite of possible eucalypts. During the 27-16 k cal. yr BP period, a shrubland of Cassinia arcuata with some grasses was present. The lack of eucalypts during the height of the last glacial period suggests a cold, arid climate and agrees with estimates that the rainfall was about half that of today. In the period 6 k cal. yr BP to present, a Eucalyptus tereticornis and Leptospermum juniperinum woodland with a grassey understorey occupied the site.   When compared with other records in the Sydney Basin, the vegetation through the last glacial maximum at Penrith Lakes is the only one with a shrubland/grassland community.","author":[{"dropping-particle":"","family":"Chalson","given":"Jane M.","non-dropping-particle":"","parse-names":false,"suffix":""},{"dropping-particle":"","family":"Martin","given":"Helene A.","non-dropping-particle":"","parse-names":false,"suffix":""}],"container-title":"Proceedings of the Linnean Society of New South Wales","id":"ITEM-1","issue":"3","issued":{"date-parts":[["2008"]]},"page":"97-111","title":"A 38,000 year history of the vegetation at Penrith lakes, New South Wales","type":"article-journal","volume":"129"},"uris":["http://www.mendeley.com/documents/?uuid=b17e9353-749c-49ab-9e97-37a07139afca"]}],"mendeley":{"formattedCitation":"(Chalson and Martin, 2008)","plainTextFormattedCitation":"(Chalson and Martin, 2008)","previouslyFormattedCitation":"(Chalson and Martin, 2008)"},"properties":{"noteIndex":0},"schema":"https://github.com/citation-style-language/schema/raw/master/csl-citation.json"}</w:instrText>
      </w:r>
      <w:r w:rsidR="0081107F">
        <w:fldChar w:fldCharType="separate"/>
      </w:r>
      <w:r w:rsidR="0081107F" w:rsidRPr="0081107F">
        <w:rPr>
          <w:noProof/>
        </w:rPr>
        <w:t>(Chalson and Martin, 2008)</w:t>
      </w:r>
      <w:r w:rsidR="0081107F">
        <w:fldChar w:fldCharType="end"/>
      </w:r>
      <w:r w:rsidR="00DC0C58">
        <w:t xml:space="preserve">. </w:t>
      </w:r>
      <w:r w:rsidR="00C447B6">
        <w:t>(Note inverse PrC y-axis)</w:t>
      </w:r>
    </w:p>
    <w:p w14:paraId="407D36A2" w14:textId="77777777" w:rsidR="00832939" w:rsidRDefault="00832939" w:rsidP="00A2067E"/>
    <w:p w14:paraId="2F9E2C78" w14:textId="58EB7ADF" w:rsidR="00A2067E" w:rsidRDefault="00A2067E" w:rsidP="00A2067E"/>
    <w:p w14:paraId="0616EA1F" w14:textId="4EF9DB51" w:rsidR="00DC0C58" w:rsidRDefault="00A0336E" w:rsidP="00DC0C58">
      <w:r>
        <w:object w:dxaOrig="3601" w:dyaOrig="2161" w14:anchorId="3B04C6D6">
          <v:shape id="_x0000_i1041" type="#_x0000_t75" style="width:465pt;height:231.6pt" o:ole="">
            <v:imagedata r:id="rId75" o:title="" cropbottom="11009f"/>
          </v:shape>
          <o:OLEObject Type="Embed" ProgID="Acrobat.Document.2017" ShapeID="_x0000_i1041" DrawAspect="Icon" ObjectID="_1682751550" r:id="rId76"/>
        </w:object>
      </w:r>
      <w:r w:rsidR="00DC0C58">
        <w:t xml:space="preserve">Figure S3q. Core 112/VC/046 pollen Principal Curve (PrC) and probability density function. High PrC values are driven by increased values of Asteraceae, </w:t>
      </w:r>
      <w:r w:rsidR="0066605E">
        <w:t>Casuarinaceae and Chenopodiaceae</w:t>
      </w:r>
      <w:r w:rsidR="00DC0C58">
        <w:t xml:space="preserve">. </w:t>
      </w:r>
      <w:r w:rsidR="0066605E">
        <w:t>Low</w:t>
      </w:r>
      <w:r w:rsidR="00DC0C58">
        <w:t xml:space="preserve"> PrC values are driven by increased values of </w:t>
      </w:r>
      <w:r w:rsidR="0066605E" w:rsidRPr="008E45DB">
        <w:rPr>
          <w:i/>
          <w:iCs/>
        </w:rPr>
        <w:t>Eucalyptus</w:t>
      </w:r>
      <w:r w:rsidR="0066605E">
        <w:t xml:space="preserve"> and Myrtaceae</w:t>
      </w:r>
      <w:r w:rsidR="0081107F">
        <w:t xml:space="preserve"> </w:t>
      </w:r>
      <w:r w:rsidR="0081107F">
        <w:fldChar w:fldCharType="begin" w:fldLock="1"/>
      </w:r>
      <w:r w:rsidR="0081107F">
        <w:instrText>ADDIN CSL_CITATION {"citationItems":[{"id":"ITEM-1","itemData":{"author":[{"dropping-particle":"","family":"Ferland","given":"M.A.","non-dropping-particle":"","parse-names":false,"suffix":""},{"dropping-particle":"","family":"Roy","given":"P.S.","non-dropping-particle":"","parse-names":false,"suffix":""}],"container-title":"Cool water carbonates","editor":[{"dropping-particle":"","family":"James","given":"N.P.","non-dropping-particle":"","parse-names":false,"suffix":""},{"dropping-particle":"","family":"Clarke","given":"J.D.A","non-dropping-particle":"","parse-names":false,"suffix":""}],"id":"ITEM-1","issued":{"date-parts":[["1997"]]},"page":"37-52","publisher":"SEPM special publication No. 56","title":"South-eastern Australia: a sea-level dependent, cool-water carbonate margin","type":"chapter"},"uris":["http://www.mendeley.com/documents/?uuid=d7217dd7-7770-476e-9a34-f3f6093529ed"]}],"mendeley":{"formattedCitation":"(Ferland and Roy, 1997)","plainTextFormattedCitation":"(Ferland and Roy, 1997)","previouslyFormattedCitation":"(Ferland and Roy, 1997)"},"properties":{"noteIndex":0},"schema":"https://github.com/citation-style-language/schema/raw/master/csl-citation.json"}</w:instrText>
      </w:r>
      <w:r w:rsidR="0081107F">
        <w:fldChar w:fldCharType="separate"/>
      </w:r>
      <w:r w:rsidR="0081107F" w:rsidRPr="0081107F">
        <w:rPr>
          <w:noProof/>
        </w:rPr>
        <w:t>(Ferland and Roy, 1997)</w:t>
      </w:r>
      <w:r w:rsidR="0081107F">
        <w:fldChar w:fldCharType="end"/>
      </w:r>
      <w:r w:rsidR="00DC0C58">
        <w:t xml:space="preserve">. </w:t>
      </w:r>
      <w:r w:rsidR="00C447B6">
        <w:t>(Note inverse PrC y-axis)</w:t>
      </w:r>
      <w:r w:rsidR="0081107F">
        <w:t>.</w:t>
      </w:r>
    </w:p>
    <w:p w14:paraId="621CCFB5" w14:textId="2FCE8ECB" w:rsidR="00A2067E" w:rsidRDefault="00A0336E" w:rsidP="00A2067E">
      <w:r>
        <w:object w:dxaOrig="3601" w:dyaOrig="2161" w14:anchorId="01C09FEA">
          <v:shape id="_x0000_i1042" type="#_x0000_t75" style="width:465pt;height:228.6pt" o:ole="">
            <v:imagedata r:id="rId77" o:title="" cropbottom="11869f"/>
          </v:shape>
          <o:OLEObject Type="Embed" ProgID="Acrobat.Document.2017" ShapeID="_x0000_i1042" DrawAspect="Icon" ObjectID="_1682751551" r:id="rId78"/>
        </w:object>
      </w:r>
    </w:p>
    <w:p w14:paraId="49F4333E" w14:textId="7E7B3EAE" w:rsidR="0066605E" w:rsidRDefault="0066605E" w:rsidP="0066605E">
      <w:r>
        <w:t xml:space="preserve">Figure S3r. Mammoth Cave pollen Principal Curve (PrC) and probability density function. High PrC values are driven by increased values of </w:t>
      </w:r>
      <w:r w:rsidRPr="008E45DB">
        <w:rPr>
          <w:i/>
          <w:iCs/>
        </w:rPr>
        <w:t>Eucalyptus</w:t>
      </w:r>
      <w:r>
        <w:t xml:space="preserve">, Myrtaceae and </w:t>
      </w:r>
      <w:r w:rsidRPr="008E45DB">
        <w:rPr>
          <w:i/>
          <w:iCs/>
        </w:rPr>
        <w:t>Banksia</w:t>
      </w:r>
      <w:r>
        <w:t>. Low PrC values are driven by increased values of Asteraceae, Casuarinaceae and Poaceae</w:t>
      </w:r>
      <w:r w:rsidR="0081107F">
        <w:t xml:space="preserve"> </w:t>
      </w:r>
      <w:r w:rsidR="0081107F">
        <w:fldChar w:fldCharType="begin" w:fldLock="1"/>
      </w:r>
      <w:r w:rsidR="0081107F">
        <w:instrText>ADDIN CSL_CITATION {"citationItems":[{"id":"ITEM-1","itemData":{"DOI":"10.1029/2018GL080832","ISSN":"0094-8276","abstract":"The nature and duration of the Last Glacial Maximum (LGM) in Australia are poorly understood, with little regional agreement on the timing and direction of LGM climate changes. One reason for this is that Australian Late Pleistocene terrestrial sediments typically are both sparse and inorganic, inhibiting the development of detailed radiocarbon chronologies. To address this problem, we extracted fossil pollen from radiometrically dated stalagmites collected in southwest Western Australia. Our pollen record, supported by 30 U-Th dates, reveals the vegetation response to Late Pleistocene climates between ~34 and 14 ka, through the body of the LGM. Before ~28 ka, sclerophyll forests were more open than today, but at ~28 ka forest cover was essentially eliminated, and treeless conditions were maintained until progressive reforestation at ~17.5 ka. This ~10-ka-long full glacial episode correlates with other mid-high latitude Southern Hemisphere records, suggesting that LGM environmental changes were closely coordinated across the hemisphere.","author":[{"dropping-particle":"","family":"Sniderman","given":"J. M. K.","non-dropping-particle":"","parse-names":false,"suffix":""},{"dropping-particle":"","family":"Hellstrom","given":"J.","non-dropping-particle":"","parse-names":false,"suffix":""},{"dropping-particle":"","family":"Woodhead","given":"J. D.","non-dropping-particle":"","parse-names":false,"suffix":""},{"dropping-particle":"","family":"Drysdale","given":"R. N.","non-dropping-particle":"","parse-names":false,"suffix":""},{"dropping-particle":"","family":"Bajo","given":"P.","non-dropping-particle":"","parse-names":false,"suffix":""},{"dropping-particle":"","family":"Archer","given":"M.","non-dropping-particle":"","parse-names":false,"suffix":""},{"dropping-particle":"","family":"Hatcher","given":"L.","non-dropping-particle":"","parse-names":false,"suffix":""}],"container-title":"Geophysical Research Letters","id":"ITEM-1","issue":"3","issued":{"date-parts":[["2019","2","16"]]},"page":"1709-1720","title":"Vegetation and Climate Change in Southwestern Australia During the Last Glacial Maximum","type":"article-journal","volume":"46"},"uris":["http://www.mendeley.com/documents/?uuid=e4e98f97-3158-45ee-9894-2134fa2321fd"]}],"mendeley":{"formattedCitation":"(Sniderman et al., 2019)","plainTextFormattedCitation":"(Sniderman et al., 2019)","previouslyFormattedCitation":"(Sniderman et al., 2019)"},"properties":{"noteIndex":0},"schema":"https://github.com/citation-style-language/schema/raw/master/csl-citation.json"}</w:instrText>
      </w:r>
      <w:r w:rsidR="0081107F">
        <w:fldChar w:fldCharType="separate"/>
      </w:r>
      <w:r w:rsidR="0081107F" w:rsidRPr="0081107F">
        <w:rPr>
          <w:noProof/>
        </w:rPr>
        <w:t>(Sniderman et al., 2019)</w:t>
      </w:r>
      <w:r w:rsidR="0081107F">
        <w:fldChar w:fldCharType="end"/>
      </w:r>
      <w:r>
        <w:t xml:space="preserve">. </w:t>
      </w:r>
    </w:p>
    <w:p w14:paraId="465F1D4F" w14:textId="77777777" w:rsidR="0066605E" w:rsidRDefault="0066605E" w:rsidP="00A2067E"/>
    <w:p w14:paraId="065943F9" w14:textId="2248DCA3" w:rsidR="00A2067E" w:rsidRDefault="00A2067E" w:rsidP="00A2067E"/>
    <w:p w14:paraId="675C6EA9" w14:textId="770E89EA" w:rsidR="00A0336E" w:rsidRDefault="00A0336E" w:rsidP="00A2067E">
      <w:r>
        <w:object w:dxaOrig="3601" w:dyaOrig="2161" w14:anchorId="54FF4479">
          <v:shape id="_x0000_i1043" type="#_x0000_t75" style="width:465pt;height:231pt" o:ole="">
            <v:imagedata r:id="rId79" o:title="" cropbottom="11353f"/>
          </v:shape>
          <o:OLEObject Type="Embed" ProgID="Acrobat.Document.2017" ShapeID="_x0000_i1043" DrawAspect="Icon" ObjectID="_1682751552" r:id="rId80"/>
        </w:object>
      </w:r>
      <w:r w:rsidR="0066605E">
        <w:t xml:space="preserve">Figure S3s. Lake Baraba pollen Principal Curve (PrC). </w:t>
      </w:r>
      <w:r>
        <w:t xml:space="preserve">No Change points were identified. </w:t>
      </w:r>
      <w:r w:rsidR="0066605E">
        <w:t>High PrC values are driven by increased values of Casuarinaceae. Low PrC values are driven by increased values of Myrtaceae</w:t>
      </w:r>
      <w:r w:rsidR="0081107F">
        <w:t xml:space="preserve"> </w:t>
      </w:r>
      <w:r w:rsidR="0081107F">
        <w:fldChar w:fldCharType="begin" w:fldLock="1"/>
      </w:r>
      <w:r w:rsidR="0081107F">
        <w:instrText>ADDIN CSL_CITATION {"citationItems":[{"id":"ITEM-1","itemData":{"DOI":"10.1016/j.quascirev.2006.04.006","ISBN":"0277-3791","ISSN":"02773791","abstract":"Palaeoenvironmental sequences that describe the vegetation of the last glacial maximum (LGM) and of the subsequent climatic amelioration are relatively rare in the Australian, Southeast Asian and Pacific region (SEAPAC region). Here, we present the results of a palynological investigation from Lake Baraba, located in eastern Australia, which extends beyond 43 ka. Bands of oxidised sediment prior to the LGM suggest lake level fluctuations, however, lacustrine clays continued to be deposited throughout the LGM and into the early Holocene when the deposition of peat was initiated. The vegetation, a Casuarina woodland/shrubland with a mixed understorey, remained relatively stable from &gt;43 kyr to the early Holocene, suggesting that this sclerophyllous vegetation was resilient to changes in climate. The vegetation of the LGM at Lake Baraba does not conform to previous descriptions of a treeless south-eastern Australia, and it is possible that it was a refugium for woodland. Myrtaceae expanded at the expense of Casuarinaceae from the early Holocene, with charcoal analyses suggesting that fire was an unlikely explanation. There was no apparent relationship between Aboriginal site usage and fire activity and hence how Aboriginal people used fire at Lake Baraba remains speculative. © 2006 Elsevier Ltd. All rights reserved.","author":[{"dropping-particle":"","family":"Black","given":"M.P.","non-dropping-particle":"","parse-names":false,"suffix":""},{"dropping-particle":"","family":"Mooney","given":"S.D.","non-dropping-particle":"","parse-names":false,"suffix":""},{"dropping-particle":"","family":"Martin","given":"H.A.","non-dropping-particle":"","parse-names":false,"suffix":""}],"container-title":"Quaternary Science Reviews","id":"ITEM-1","issue":"21-22","issued":{"date-parts":[["2006","11"]]},"note":"Change in Stratigraphy at ~410 cm. Last date before change is 7550 at ~350 cm, first date afterwards is 23060 at 470 cm. \nThe site was origionally a Lake accumulating clays which transitioned to a a swamp accumulating peat after the LGM. \nDry and wet conditions alternated in the period leading up to the LGM. \nThe pollen profile suggests relativley stable vegetation with only one marked changes, the decrease in Casuarina and increase in Myrtaceae from the early Holocene. From &amp;gt;43 ka to the early Holocene the site was dominated by Casuarina woodland/shrubland. Halagoraceae is present in moderate frequencies in the dark grey &amp;quot;lake&amp;quot; clay bands. \nLake Baraba is located on a relatively infertile substrate. \nThe reasons for the rise in Eucs over Casuarina has been debated with competative exclusion, increased moisture and altered fire regimes most commonly suggested. Fire was a more significant feature of the Holocene.","page":"3003-3016","title":"A 43,000-year vegetation and fire history from Lake Baraba, New South Wales, Australia","type":"article-journal","volume":"25"},"uris":["http://www.mendeley.com/documents/?uuid=1709faed-a31b-42d7-b61e-28c46b7e0a6f"]}],"mendeley":{"formattedCitation":"(Black et al., 2006)","plainTextFormattedCitation":"(Black et al., 2006)","previouslyFormattedCitation":"(Black et al., 2006)"},"properties":{"noteIndex":0},"schema":"https://github.com/citation-style-language/schema/raw/master/csl-citation.json"}</w:instrText>
      </w:r>
      <w:r w:rsidR="0081107F">
        <w:fldChar w:fldCharType="separate"/>
      </w:r>
      <w:r w:rsidR="0081107F" w:rsidRPr="0081107F">
        <w:rPr>
          <w:noProof/>
        </w:rPr>
        <w:t>(Black et al., 2006)</w:t>
      </w:r>
      <w:r w:rsidR="0081107F">
        <w:fldChar w:fldCharType="end"/>
      </w:r>
      <w:r w:rsidR="0066605E">
        <w:t xml:space="preserve">. </w:t>
      </w:r>
      <w:r w:rsidR="00C447B6">
        <w:t>(Note inverse PrC y-axis)</w:t>
      </w:r>
      <w:r w:rsidR="0081107F">
        <w:t>.</w:t>
      </w:r>
      <w:r>
        <w:t xml:space="preserve">                                                                                                                   </w:t>
      </w:r>
    </w:p>
    <w:p w14:paraId="29916C8B" w14:textId="368F6D01" w:rsidR="00A2067E" w:rsidRDefault="00A0336E" w:rsidP="00A2067E">
      <w:r>
        <w:object w:dxaOrig="3601" w:dyaOrig="2161" w14:anchorId="3E26153A">
          <v:shape id="_x0000_i1044" type="#_x0000_t75" style="width:465pt;height:228.6pt" o:ole="">
            <v:imagedata r:id="rId81" o:title="" cropbottom="11869f"/>
          </v:shape>
          <o:OLEObject Type="Embed" ProgID="Acrobat.Document.2017" ShapeID="_x0000_i1044" DrawAspect="Icon" ObjectID="_1682751553" r:id="rId82"/>
        </w:object>
      </w:r>
    </w:p>
    <w:p w14:paraId="5393679F" w14:textId="6ECD9FA7" w:rsidR="006E4263" w:rsidRDefault="00B310E2" w:rsidP="00A2067E">
      <w:r>
        <w:t xml:space="preserve">Figure S3t. Pine Camp Playa pollen Principal Curve (PrC) and probability density function (PDF). High PrC values are driven by increased values of Chenopodiaceae, Sapindaceae and </w:t>
      </w:r>
      <w:r w:rsidRPr="008E45DB">
        <w:rPr>
          <w:i/>
          <w:iCs/>
        </w:rPr>
        <w:t>Eucalyptus</w:t>
      </w:r>
      <w:r>
        <w:t>. Low PrC values are driven by increased values of Casuarinaceae and Asteraceae</w:t>
      </w:r>
      <w:r w:rsidR="0081107F">
        <w:t xml:space="preserve"> </w:t>
      </w:r>
      <w:r w:rsidR="0081107F">
        <w:fldChar w:fldCharType="begin" w:fldLock="1"/>
      </w:r>
      <w:r w:rsidR="0081107F">
        <w:instrText>ADDIN CSL_CITATION {"citationItems":[{"id":"ITEM-1","itemData":{"DOI":"10.1191/0959683605hl829rp","ISBN":"0959-6836","ISSN":"09596836","abstract":"Pollen sequences from playa lakes in the Darling Anabranch dunefields of southwestern New South Wales record vegetation changes over the last glacial period and into the Holocene. This interval was one of marked taxonomic and structural reorganization, with the plant communities that became established after the last glacial maximum (LGM; - 24-18 ka) distinct from those that had prevailed over the build-up to full glacial conditions (-. 70-24 ka). The glacial period was characterized by a gradual reduction of woodland and tall shrubland cover. Recolonization of the dunefields involved a similar, gradual succession from herbfields and low shrublands to tall shrublands and, finally, woodlands. These changes are likely to have been driven by climatic change, particularly fluctuations in temperature, precipitation and atmospheric CO2, as global climate systems entered and emerged from the last glaciation.","author":[{"dropping-particle":"","family":"Cupper","given":"Matthew L.","non-dropping-particle":"","parse-names":false,"suffix":""}],"container-title":"Holocene","id":"ITEM-1","issue":"4","issued":{"date-parts":[["2005"]]},"page":"541-553","title":"Last glacial to Holocene evolution of semi-arid rangelands in southeastern Australia","type":"article-journal","volume":"15"},"uris":["http://www.mendeley.com/documents/?uuid=79ebecec-3c40-4a7f-81b8-9cb98adec641"]},{"id":"ITEM-2","itemData":{"DOI":"10.1016/j.quascirev.2005.09.011","ISBN":"0277-3791","ISSN":"02773791","abstract":"Playa lakes are important palaeoenvironmental repositories in arid landscapes. As geochemically open and organically poor systems, however, accurate dating of playa sequences is often hampered. This study paired accelerator mass spectrometry radiocarbon (AMS14C) and optically stimulated luminescence (OSL) ages from four Murray Basin playa lakes to assess the accuracy of the chronometric techniques in these environments. The OSL dating directed the sampling strategy, which targeted sandier sections of the playa lacustrine sequences. These appear to comprise aeolian-derived fine quartzose sand, ensuring the effective resetting of the luminescence signals prior to deposition. In contrast, the14C ages were on bulk organic carbon and not targeted. Ages are generally in stratigraphic order and span the middle-late last glacial and Holocene. This accords with models of past groundwater hydrology for the playa basins. Only half of the paired samples are in agreement at 2σ precision, however, with five of the14C ages older than their corresponding OSL ages. Low organic contents of playa sediments increases the susceptibility of14C ages to contamination, with the incorporation of small amounts of dead carbon into the dated samples possibly accounting for the apparent discrepancies. Obtaining valid chronologies from arid settings requires close targeting of dated fractions. The application of independent techniques is essential for scrutinizing the dating results. © 2006 Elsevier Ltd. All rights reserved.","author":[{"dropping-particle":"","family":"Cupper","given":"Matthew L.","non-dropping-particle":"","parse-names":false,"suffix":""}],"container-title":"Quaternary Science Reviews","id":"ITEM-2","issue":"19-20","issued":{"date-parts":[["2006","10"]]},"page":"2594-2607","title":"Luminescence and radiocarbon chronologies of playa sedimentation in the Murray Basin, southeastern Australia","type":"article-journal","volume":"25"},"uris":["http://www.mendeley.com/documents/?uuid=baad76de-9568-4436-ad60-c6b646f466c8"]}],"mendeley":{"formattedCitation":"(Cupper, 2006, 2005)","plainTextFormattedCitation":"(Cupper, 2006, 2005)","previouslyFormattedCitation":"(Cupper, 2006, 2005)"},"properties":{"noteIndex":0},"schema":"https://github.com/citation-style-language/schema/raw/master/csl-citation.json"}</w:instrText>
      </w:r>
      <w:r w:rsidR="0081107F">
        <w:fldChar w:fldCharType="separate"/>
      </w:r>
      <w:r w:rsidR="0081107F" w:rsidRPr="0081107F">
        <w:rPr>
          <w:noProof/>
        </w:rPr>
        <w:t>(Cupper, 2006, 2005)</w:t>
      </w:r>
      <w:r w:rsidR="0081107F">
        <w:fldChar w:fldCharType="end"/>
      </w:r>
      <w:r>
        <w:t>.</w:t>
      </w:r>
    </w:p>
    <w:p w14:paraId="4AFDD61B" w14:textId="16F922EC" w:rsidR="00A2067E" w:rsidRDefault="00A0336E" w:rsidP="00A2067E">
      <w:r>
        <w:object w:dxaOrig="3601" w:dyaOrig="2161" w14:anchorId="20E7E08F">
          <v:shape id="_x0000_i1045" type="#_x0000_t75" style="width:465pt;height:228.6pt" o:ole="">
            <v:imagedata r:id="rId83" o:title="" cropbottom="11869f"/>
          </v:shape>
          <o:OLEObject Type="Embed" ProgID="Acrobat.Document.2017" ShapeID="_x0000_i1045" DrawAspect="Icon" ObjectID="_1682751554" r:id="rId84"/>
        </w:object>
      </w:r>
    </w:p>
    <w:p w14:paraId="572C71ED" w14:textId="77777777" w:rsidR="00A0336E" w:rsidRDefault="00B310E2" w:rsidP="0080446D">
      <w:pPr>
        <w:widowControl w:val="0"/>
      </w:pPr>
      <w:r>
        <w:t xml:space="preserve">Figure S3u. Lake George pollen Principal Curve (PrC) and probability density function (PDF). High PrC values are driven by increased values of Liliaceae and </w:t>
      </w:r>
      <w:r w:rsidRPr="008E45DB">
        <w:rPr>
          <w:i/>
          <w:iCs/>
        </w:rPr>
        <w:t>Huperzia selago</w:t>
      </w:r>
      <w:r>
        <w:t xml:space="preserve">. Low PrC values are driven by increased values of Asteraceae, Poaceae and </w:t>
      </w:r>
      <w:r w:rsidRPr="008E45DB">
        <w:rPr>
          <w:i/>
          <w:iCs/>
        </w:rPr>
        <w:t>Eucalyptus</w:t>
      </w:r>
      <w:r w:rsidR="0081107F">
        <w:t xml:space="preserve"> </w:t>
      </w:r>
      <w:r w:rsidR="0081107F">
        <w:fldChar w:fldCharType="begin" w:fldLock="1"/>
      </w:r>
      <w:r w:rsidR="0081107F">
        <w:instrText>ADDIN CSL_CITATION {"citationItems":[{"id":"ITEM-1","itemData":{"DOI":"10.1080/00167618108729180","ISBN":"0016-7614","ISSN":"00167614","abstract":"Abstract The sedimentary record from Lake George provides the longest relatively continuous Quaternary continental sequence yet available from Australia, and may record one of the longest Upper Cainozoic lacustrine records in the world. Palaeomagnetic analysis of a 36 m core from the lake floor identifies a sequence of deposition extending through the Brunhes and Matuyama, to the Gauss magnetic Chron. A longer core from the same site, but with incomplete recovery, extends to 72 m in lacustrine sediment; the age of the base of this core estimated by extrapolation is between 4.2 and 7 Ma. As there are still older and deeper sediments in the basin, extending to an estimated depth of 134 m, the age of the tectonic formation of the Lake George basin must be reckoned as Middle Miocene or older. The pattern of facies organisation through time demonstrates a phase of deep water deposition extending from the base of the cored sequence (72 m) up to 51.5 m, at which time a major change took place. A disconformity developed at this level, associated with a period of deep weathering and a prolonged phase of slope mantle deposition (from 51.5 to 30.8 m). A gradual return to lacustrine environments, with diminishing proportion of slope wash detritus, resulted in increased rates of deposition coincident with the Jaramillo Subchron at 21.5 m. Thereafter, throughout the Brunhes magnetic Chron, lacustrine conditions dominated, varying from deep to lake dry conditions in a rhythmic fashion, and reflecting the major climatic oscillations of the past 700 000 years, becoming more regular in the past 400 000 years. The pollen analytical record of the upper 8.6 m, covering the last 350 000 years, provides the main framework for the reconstruction of climatic history. The pollen and algal records indicate a sequence of vegetation and lake level changes, in which four major glacial/interglacial cycles are correlated with stages 1 to 10 of the 180 marine record. This provides by far the longest continuous biostratigraphic framework for the Quaternary period in Australia. Comparison between the palaeoclimatic record and the lake level evidence shows that there is no simple correlation between the lake level fluctuations and the glacial/ interglacial oscillations. In fact, major falls in the lake level occured both at the peak of cold glacials and during the warm interglacials. Though the falls in the lake levels during a warm period (interglacial) can be explained by high rates of …","author":[{"dropping-particle":"","family":"Singh","given":"G.","non-dropping-particle":"","parse-names":false,"suffix":""},{"dropping-particle":"","family":"Opdyke","given":"N. D.","non-dropping-particle":"","parse-names":false,"suffix":""},{"dropping-particle":"","family":"Bowler","given":"J. M.","non-dropping-particle":"","parse-names":false,"suffix":""}],"container-title":"Journal of the Geological Society of Australia","id":"ITEM-1","issue":"3-4","issued":{"date-parts":[["1981"]]},"page":"435-452","title":"Late Cainozoic stratigraphy, palaeomagnetic chronology and vegetational history from Lake George, N.S.W","type":"article-journal","volume":"28"},"uris":["http://www.mendeley.com/documents/?uuid=7bb1a5df-7b4a-4f26-942c-8ceadb4a6c22"]},{"id":"ITEM-2","itemData":{"author":[{"dropping-particle":"","family":"Singh","given":"G.","non-dropping-particle":"","parse-names":false,"suffix":""},{"dropping-particle":"","family":"Geissler","given":"E.","non-dropping-particle":"","parse-names":false,"suffix":""}],"container-title":"Philosophical Transactions of the Royal Society B","id":"ITEM-2","issued":{"date-parts":[["1985"]]},"page":"379-447","title":"Late Cainozoic history of vegetation, fire, lake levels and climate at Lake George, New South Wales, Australia","type":"article-journal","volume":"379"},"uris":["http://www.mendeley.com/documents/?uuid=2a0f03ae-dfdc-4cb4-a11b-4896cd2c70a0"]}],"mendeley":{"formattedCitation":"(Singh et al., 1981; Singh and Geissler, 1985)","plainTextFormattedCitation":"(Singh et al., 1981; Singh and Geissler, 1985)","previouslyFormattedCitation":"(Singh et al., 1981; Singh and Geissler, 1985)"},"properties":{"noteIndex":0},"schema":"https://github.com/citation-style-language/schema/raw/master/csl-citation.json"}</w:instrText>
      </w:r>
      <w:r w:rsidR="0081107F">
        <w:fldChar w:fldCharType="separate"/>
      </w:r>
      <w:r w:rsidR="0081107F" w:rsidRPr="0081107F">
        <w:rPr>
          <w:noProof/>
        </w:rPr>
        <w:t>(Singh et al., 1981; Singh and Geissler, 1985)</w:t>
      </w:r>
      <w:r w:rsidR="0081107F">
        <w:fldChar w:fldCharType="end"/>
      </w:r>
      <w:r>
        <w:t xml:space="preserve">. </w:t>
      </w:r>
    </w:p>
    <w:p w14:paraId="631959EB" w14:textId="70F9A38B" w:rsidR="00A2067E" w:rsidRDefault="00A0336E" w:rsidP="0080446D">
      <w:pPr>
        <w:widowControl w:val="0"/>
      </w:pPr>
      <w:r>
        <w:object w:dxaOrig="3601" w:dyaOrig="2161" w14:anchorId="10E09D6B">
          <v:shape id="_x0000_i1046" type="#_x0000_t75" style="width:465pt;height:231pt" o:ole="">
            <v:imagedata r:id="rId85" o:title="" cropbottom="11353f"/>
          </v:shape>
          <o:OLEObject Type="Embed" ProgID="Acrobat.Document.2017" ShapeID="_x0000_i1046" DrawAspect="Icon" ObjectID="_1682751555" r:id="rId86"/>
        </w:object>
      </w:r>
      <w:r w:rsidR="0080446D">
        <w:t xml:space="preserve">Figure S3v. Murray Canyons core MD03-2607 </w:t>
      </w:r>
      <w:r w:rsidR="0080446D" w:rsidRPr="0080446D">
        <w:t xml:space="preserve">weighted average stable carbon isotopic </w:t>
      </w:r>
      <w:r w:rsidR="0080446D">
        <w:t>c</w:t>
      </w:r>
      <w:r w:rsidR="0080446D" w:rsidRPr="0080446D">
        <w:t>omposition of C</w:t>
      </w:r>
      <w:r w:rsidR="0080446D" w:rsidRPr="0080446D">
        <w:rPr>
          <w:vertAlign w:val="subscript"/>
        </w:rPr>
        <w:t>27</w:t>
      </w:r>
      <w:r w:rsidR="0080446D" w:rsidRPr="0080446D">
        <w:t>–C</w:t>
      </w:r>
      <w:r w:rsidR="0080446D" w:rsidRPr="0080446D">
        <w:rPr>
          <w:vertAlign w:val="subscript"/>
        </w:rPr>
        <w:t>33</w:t>
      </w:r>
      <w:r w:rsidR="0080446D" w:rsidRPr="0080446D">
        <w:t xml:space="preserve"> </w:t>
      </w:r>
      <w:r w:rsidR="0080446D" w:rsidRPr="0080446D">
        <w:rPr>
          <w:i/>
          <w:iCs/>
        </w:rPr>
        <w:t>n</w:t>
      </w:r>
      <w:r w:rsidR="0080446D" w:rsidRPr="0080446D">
        <w:t>-alkanes</w:t>
      </w:r>
      <w:r w:rsidR="0080446D">
        <w:t xml:space="preserve"> (</w:t>
      </w:r>
      <w:r w:rsidR="0080446D">
        <w:rPr>
          <w:rFonts w:cstheme="minorHAnsi"/>
        </w:rPr>
        <w:t>δ</w:t>
      </w:r>
      <w:r w:rsidR="0080446D" w:rsidRPr="0080446D">
        <w:rPr>
          <w:vertAlign w:val="superscript"/>
        </w:rPr>
        <w:t>13</w:t>
      </w:r>
      <w:r w:rsidR="0080446D">
        <w:t xml:space="preserve">C). High (less negative) </w:t>
      </w:r>
      <w:r w:rsidR="0080446D">
        <w:rPr>
          <w:rFonts w:cstheme="minorHAnsi"/>
        </w:rPr>
        <w:t>δ</w:t>
      </w:r>
      <w:r w:rsidR="0080446D" w:rsidRPr="0080446D">
        <w:rPr>
          <w:vertAlign w:val="superscript"/>
        </w:rPr>
        <w:t>13</w:t>
      </w:r>
      <w:r w:rsidR="0080446D">
        <w:t xml:space="preserve">C values </w:t>
      </w:r>
      <w:r w:rsidR="004B6AA2">
        <w:t>indicate a greater contribution of C</w:t>
      </w:r>
      <w:r w:rsidR="004B6AA2" w:rsidRPr="004B6AA2">
        <w:rPr>
          <w:vertAlign w:val="subscript"/>
        </w:rPr>
        <w:t>4</w:t>
      </w:r>
      <w:r w:rsidR="004B6AA2">
        <w:t xml:space="preserve"> plants to the </w:t>
      </w:r>
      <w:r w:rsidR="004B6AA2">
        <w:rPr>
          <w:i/>
          <w:iCs/>
        </w:rPr>
        <w:t>n</w:t>
      </w:r>
      <w:r w:rsidR="004B6AA2">
        <w:t xml:space="preserve">-alkane pool, interpreted as an increase in temperature and summer rainfall. Low (more negative) </w:t>
      </w:r>
      <w:r w:rsidR="004B6AA2">
        <w:rPr>
          <w:rFonts w:cstheme="minorHAnsi"/>
        </w:rPr>
        <w:t>δ</w:t>
      </w:r>
      <w:r w:rsidR="004B6AA2" w:rsidRPr="0080446D">
        <w:rPr>
          <w:vertAlign w:val="superscript"/>
        </w:rPr>
        <w:t>13</w:t>
      </w:r>
      <w:r w:rsidR="004B6AA2">
        <w:t>C  values indicate a greater contribution of C</w:t>
      </w:r>
      <w:r w:rsidR="004B6AA2" w:rsidRPr="004B6AA2">
        <w:rPr>
          <w:vertAlign w:val="subscript"/>
        </w:rPr>
        <w:t>3</w:t>
      </w:r>
      <w:r w:rsidR="004B6AA2">
        <w:rPr>
          <w:vertAlign w:val="subscript"/>
        </w:rPr>
        <w:t xml:space="preserve"> </w:t>
      </w:r>
      <w:r w:rsidR="004B6AA2">
        <w:t xml:space="preserve">plants, interpreted as a decrease in temperature and summer rainfall </w:t>
      </w:r>
      <w:r w:rsidR="004B6AA2">
        <w:fldChar w:fldCharType="begin" w:fldLock="1"/>
      </w:r>
      <w:r w:rsidR="00E70109">
        <w:instrText>ADDIN CSL_CITATION {"citationItems":[{"id":"ITEM-1","itemData":{"DOI":"10.1038/ngeo1856","ISBN":"1752-0894","ISSN":"1752-0894","abstract":"A substantial extinction of megafauna occurred in Australia between 50 and 45 kyr ago1,2, a period that coincides with human colonization of Australia3. Large shifts in vegetation also occurred around this time, but it is unclear whether the vegetation changes were driven by the human use of fire4—and thus contributed to the extinction event—or were a consequence of the loss of megafaunal grazers5,6. Here we reconstruct past vegetation changes in southeastern Australia using the stable carbon isotopic composition of higher plant wax n-alkanes and levels of biomass burning from the accumulation rates of the biomarker levoglucosan from a well-dated sediment core offshore from the Murray– Darling Basin. We find that from 58 to 44kyr ago, the abundance of plants with the C4 carbon fixation pathway was generally high—between 60 and 70%. By 43kyr ago, the abundance of C4 plants dropped to 30% and biomass burning increased. This transient shift lasted for about 3,000years and came after the period of human arrival and directly followed megafauna extinction at 48.9–43.6kyr ago1.We conclude that the vegetation shift was not the cause of the megafaunal extinction in this region. Instead, our data are consistent with the hypothesis that vegetation change was the consequence of the extinction of large browsers and led to the build-up of fire-prone vegetation in theAustralian landscape","author":[{"dropping-particle":"","family":"Lopes dos Santos","given":"Raquel A.","non-dropping-particle":"","parse-names":false,"suffix":""},{"dropping-particle":"","family":"Deckker","given":"Patrick","non-dropping-particle":"De","parse-names":false,"suffix":""},{"dropping-particle":"","family":"Hopmans","given":"Ellen C.","non-dropping-particle":"","parse-names":false,"suffix":""},{"dropping-particle":"","family":"Magee","given":"John W.","non-dropping-particle":"","parse-names":false,"suffix":""},{"dropping-particle":"","family":"Mets","given":"Anchelique","non-dropping-particle":"","parse-names":false,"suffix":""},{"dropping-particle":"","family":"Sinninghe Damsté","given":"Jaap S.","non-dropping-particle":"","parse-names":false,"suffix":""},{"dropping-particle":"","family":"Schouten","given":"Stefan","non-dropping-particle":"","parse-names":false,"suffix":""}],"container-title":"Nature Geoscience","id":"ITEM-1","issue":"8","issued":{"date-parts":[["2013"]]},"page":"627-631","publisher":"Nature Publishing Group","title":"Abrupt vegetation change after the Late Quaternary megafaunal extinction in southeastern Australia","type":"article-journal","volume":"6"},"uris":["http://www.mendeley.com/documents/?uuid=1db1a0a7-28c0-4fc6-a7be-e3b17ff3f313"]}],"mendeley":{"formattedCitation":"(Lopes dos Santos et al., 2013)","plainTextFormattedCitation":"(Lopes dos Santos et al., 2013)","previouslyFormattedCitation":"(Lopes dos Santos et al., 2013)"},"properties":{"noteIndex":0},"schema":"https://github.com/citation-style-language/schema/raw/master/csl-citation.json"}</w:instrText>
      </w:r>
      <w:r w:rsidR="004B6AA2">
        <w:fldChar w:fldCharType="separate"/>
      </w:r>
      <w:r w:rsidR="004B6AA2" w:rsidRPr="004B6AA2">
        <w:rPr>
          <w:noProof/>
        </w:rPr>
        <w:t>(Lopes dos Santos et al., 2013)</w:t>
      </w:r>
      <w:r w:rsidR="004B6AA2">
        <w:fldChar w:fldCharType="end"/>
      </w:r>
      <w:r w:rsidR="004B6AA2">
        <w:t>.</w:t>
      </w:r>
      <w:r>
        <w:t xml:space="preserve"> </w:t>
      </w:r>
    </w:p>
    <w:p w14:paraId="567ADD01" w14:textId="7A41EA20" w:rsidR="004B6AA2" w:rsidRDefault="00A0336E" w:rsidP="0080446D">
      <w:pPr>
        <w:widowControl w:val="0"/>
      </w:pPr>
      <w:r>
        <w:object w:dxaOrig="3601" w:dyaOrig="2161" w14:anchorId="269ACCAA">
          <v:shape id="_x0000_i1047" type="#_x0000_t75" style="width:465pt;height:231pt" o:ole="">
            <v:imagedata r:id="rId87" o:title="" cropbottom="11353f"/>
          </v:shape>
          <o:OLEObject Type="Embed" ProgID="Acrobat.Document.2017" ShapeID="_x0000_i1047" DrawAspect="Icon" ObjectID="_1682751556" r:id="rId88"/>
        </w:object>
      </w:r>
      <w:r w:rsidR="00D749CF">
        <w:t>Figure S3w. Caledonia Fen pollen Principal Curve (PrC) and probability density function (PDF). High PrC values are driven by increased values of Asteraceae and Poaceae. Low PrC values are driven by increased values of Casuarinaceae</w:t>
      </w:r>
      <w:r w:rsidR="0081107F">
        <w:t xml:space="preserve"> </w:t>
      </w:r>
      <w:r w:rsidR="0081107F">
        <w:fldChar w:fldCharType="begin" w:fldLock="1"/>
      </w:r>
      <w:r w:rsidR="0081107F">
        <w:instrText>ADDIN CSL_CITATION {"citationItems":[{"id":"ITEM-1","itemData":{"DOI":"10.1002/jqs","ISBN":"1099-1417","ISSN":"02678179","PMID":"166","abstract":"A 1250 km2 3D seismic volume is used to provide a detailed spatial and geometrical analysis of fifteen Pleistocene tunnel valleys in the Danish North Sea. All the valleys are buried; they are up to 39 km long, 3-4 km wide and up to 350 m deep. The valleys are part of a vast tunnel valley province covering an area of some 0.5 million km2 of the formerly glaciated lowland areas of North West Europe. The valleys consist of non-branching, non-anastomosing troughs; they exhibit strongly undulating bottom profiles with numerous sub-basins and thresholds, and are characterised by adverse end slopes. Cross-cutting relationships and theoretical considerations suggest the occurrence of seven major episodes of valley incision attributed to ice marginal oscillations within a few glacials. Calculations considering the valley end gradients and theoretical ice-surface profiles suggest that the valleys were formed by pressurised subglacial meltwater erosion. Given a range of theoretical ice-surface profiles, the adverse end slopes are well beyond the supercooling threshold, which suggests that the water was not in thermal equilibrium with the basal ice and that flow was concentrated in substantial conduits with sufficient mass and flux to maintain water temperature well above the freezing point. Copyright © 2007 John Wiley &amp; Sons, Ltd.","author":[{"dropping-particle":"","family":"Kershaw","given":"A. P.","non-dropping-particle":"","parse-names":false,"suffix":""},{"dropping-particle":"","family":"McKenzie","given":"G. Merna","non-dropping-particle":"","parse-names":false,"suffix":""},{"dropping-particle":"","family":"Porch","given":"Nicholas","non-dropping-particle":"","parse-names":false,"suffix":""},{"dropping-particle":"","family":"Roberts","given":"R. G.","non-dropping-particle":"","parse-names":false,"suffix":""},{"dropping-particle":"","family":"Brown","given":"J.","non-dropping-particle":"","parse-names":false,"suffix":""},{"dropping-particle":"","family":"Heijnis","given":"Henk","non-dropping-particle":"","parse-names":false,"suffix":""},{"dropping-particle":"","family":"Orr","given":"M.L","non-dropping-particle":"","parse-names":false,"suffix":""}],"container-title":"Journal of Quaternary Science","id":"ITEM-1","issue":"8","issued":{"date-parts":[["2007"]]},"note":"Suggests that the LGM (or at least the driest period) may have begun at ca. 31ka.\nThe establishment of detailed records with robust chronologies is critical for the understanding of regional influences on global climate change at orbital and sub-orbital scales. There is evidence in the broader Australasian region that regional insolation has directly or indirectly, through influences on ENSO and the monsoon, modified or overwhelmed any Northern Hemisphere signal.","page":"801-815","title":"A high-resolution record of vegetation and climate through the last glacial cycle from Caledonia Fen, southeastern highlands of Australia","type":"article-journal","volume":"22"},"uris":["http://www.mendeley.com/documents/?uuid=e36a5103-75cb-44a5-b0f8-4caf75dd5a2b"]}],"mendeley":{"formattedCitation":"(Kershaw et al., 2007b)","plainTextFormattedCitation":"(Kershaw et al., 2007b)","previouslyFormattedCitation":"(Kershaw et al., 2007b)"},"properties":{"noteIndex":0},"schema":"https://github.com/citation-style-language/schema/raw/master/csl-citation.json"}</w:instrText>
      </w:r>
      <w:r w:rsidR="0081107F">
        <w:fldChar w:fldCharType="separate"/>
      </w:r>
      <w:r w:rsidR="0081107F" w:rsidRPr="0081107F">
        <w:rPr>
          <w:noProof/>
        </w:rPr>
        <w:t>(Kershaw et al., 2007b)</w:t>
      </w:r>
      <w:r w:rsidR="0081107F">
        <w:fldChar w:fldCharType="end"/>
      </w:r>
      <w:r w:rsidR="00D749CF">
        <w:t>.</w:t>
      </w:r>
    </w:p>
    <w:p w14:paraId="5E9B6888" w14:textId="55C29308" w:rsidR="00A2067E" w:rsidRDefault="00A0336E" w:rsidP="00A2067E">
      <w:r>
        <w:object w:dxaOrig="3601" w:dyaOrig="2161" w14:anchorId="68EAED80">
          <v:shape id="_x0000_i1048" type="#_x0000_t75" style="width:465pt;height:228.6pt" o:ole="">
            <v:imagedata r:id="rId89" o:title="" cropbottom="11869f"/>
          </v:shape>
          <o:OLEObject Type="Embed" ProgID="Acrobat.Document.2017" ShapeID="_x0000_i1048" DrawAspect="Icon" ObjectID="_1682751557" r:id="rId90"/>
        </w:object>
      </w:r>
    </w:p>
    <w:p w14:paraId="5856B9F8" w14:textId="47818D86" w:rsidR="00D749CF" w:rsidRDefault="00D749CF" w:rsidP="00D749CF">
      <w:pPr>
        <w:widowControl w:val="0"/>
      </w:pPr>
      <w:r>
        <w:t xml:space="preserve">Figure S3x. Tom Burns pollen Principal Curve (PrC) and probability density function (PDF). High PrC values are driven by increased values of Asteraceae, Chenopodiaceae and </w:t>
      </w:r>
      <w:r w:rsidRPr="008E45DB">
        <w:rPr>
          <w:i/>
          <w:iCs/>
        </w:rPr>
        <w:t>Eucalyptus</w:t>
      </w:r>
      <w:r>
        <w:t xml:space="preserve">. Low PrC values are driven by increased values of </w:t>
      </w:r>
      <w:r w:rsidRPr="008E45DB">
        <w:rPr>
          <w:i/>
          <w:iCs/>
        </w:rPr>
        <w:t>Astelia</w:t>
      </w:r>
      <w:r>
        <w:t>, Epacridaceae and Ranunculaceae</w:t>
      </w:r>
      <w:r w:rsidR="00566342">
        <w:t xml:space="preserve"> </w:t>
      </w:r>
      <w:r w:rsidR="00566342">
        <w:fldChar w:fldCharType="begin" w:fldLock="1"/>
      </w:r>
      <w:r w:rsidR="00193D26">
        <w:instrText>ADDIN CSL_CITATION {"citationItems":[{"id":"ITEM-1","itemData":{"DOI":"10.1046/j.1442-9993.2002.01155.x","ISSN":"14429985","abstract":"The late Quaternary vegetation communities of the south-central highlands of Victoria are reconstructed from analyses of pollen and charcoal, and associated environmental conditions derived from the record of Nothofagus cunninghamii and alpine and sclerophyll taxa preserved in four subalpine Sphagnum bogs. The highest site occurs amid Eucalyptus pauciflora woodland, the two intermediate sites are surrounded by Eucalyptus delegatensis forest and the lowest by a mixed forest off. delegatensis/Eucalyptus regnans. Small pockets of N. cunninghamii occur within the eucalypt forests, and in close proximity to all four sites. Around 32 000 BP the vegetation consisted of a mosaic of alpine feldmark and herbfield, with small scattered groves of Nothofagus and Eucalyptus well below 1100 m. Summer temperatures were probably 5 degrees C lower than present with lowest values, probably 7 degrees to 8 degrees C below present, possibly between 17 000 and 13 500 BP, at which time alpine communities reached their greatest extent and much of the Central Highlands was treeless. After ca 13 500 BP herbaceous alpine taxa disappeared and there was an associated movement upslope of Nothofagus and tall open forest taxa to their maximum post-glacial extent, as temperatures and effective precipitation increased, ca 6000 BP The retraction of cool temperate rainforest and wet sclerophyll or tall open forest towards present day values indicates lower effective precipitation, generally rising temperatures and increased fire hazard. More recently, European activities have increased the stress on the remaining forests. The study of four sites has demonstrated the importance of analysing a number of sites within a given area in order to overcome the limitations imposed by sites which were sub-optimal due to one or more factors including poor preservation, problems of dating, variable sedimentation rates, and the influence of streams which flow close to all sites. While the local environment varies between sites, and some vegetation changes are successional, this study shows that the local records complement one another, to some extent reinforcing the regional picture of vegetation and environmental change.","author":[{"dropping-particle":"","family":"McKenzie","given":"G. Merna","non-dropping-particle":"","parse-names":false,"suffix":""}],"container-title":"Austral Ecology","id":"ITEM-1","issue":"1","issued":{"date-parts":[["2002"]]},"page":"32-54","title":"The late Quaternary vegetation history of the south-central highlands of Victoria, Australia. II. Sites below 900 m","type":"article-journal","volume":"27"},"uris":["http://www.mendeley.com/documents/?uuid=4c976199-ffb5-4b12-a1f5-8aae2274d998"]}],"mendeley":{"formattedCitation":"(McKenzie, 2002)","plainTextFormattedCitation":"(McKenzie, 2002)","previouslyFormattedCitation":"(McKenzie, 2002)"},"properties":{"noteIndex":0},"schema":"https://github.com/citation-style-language/schema/raw/master/csl-citation.json"}</w:instrText>
      </w:r>
      <w:r w:rsidR="00566342">
        <w:fldChar w:fldCharType="separate"/>
      </w:r>
      <w:r w:rsidR="00566342" w:rsidRPr="00566342">
        <w:rPr>
          <w:noProof/>
        </w:rPr>
        <w:t>(McKenzie, 2002)</w:t>
      </w:r>
      <w:r w:rsidR="00566342">
        <w:fldChar w:fldCharType="end"/>
      </w:r>
      <w:r>
        <w:t>.</w:t>
      </w:r>
    </w:p>
    <w:p w14:paraId="0B061349" w14:textId="01816B9C" w:rsidR="00A2067E" w:rsidRDefault="00A0336E" w:rsidP="00A2067E">
      <w:r>
        <w:object w:dxaOrig="3601" w:dyaOrig="2161" w14:anchorId="291E3442">
          <v:shape id="_x0000_i1049" type="#_x0000_t75" style="width:465pt;height:226.8pt" o:ole="">
            <v:imagedata r:id="rId91" o:title="" cropbottom="12213f"/>
          </v:shape>
          <o:OLEObject Type="Embed" ProgID="Acrobat.Document.2017" ShapeID="_x0000_i1049" DrawAspect="Icon" ObjectID="_1682751558" r:id="rId92"/>
        </w:object>
      </w:r>
    </w:p>
    <w:p w14:paraId="031E7DE3" w14:textId="62518402" w:rsidR="00A2067E" w:rsidRDefault="00566342" w:rsidP="00A0336E">
      <w:pPr>
        <w:widowControl w:val="0"/>
      </w:pPr>
      <w:r>
        <w:t>Figure S3</w:t>
      </w:r>
      <w:r w:rsidR="00810C3D">
        <w:t>y</w:t>
      </w:r>
      <w:r>
        <w:t xml:space="preserve">. </w:t>
      </w:r>
      <w:r w:rsidR="00810C3D">
        <w:t>Storm Creek</w:t>
      </w:r>
      <w:r>
        <w:t xml:space="preserve"> pollen Principal Curve (PrC) and probability density function (PDF). High PrC values are driven by increased values of Asteraceae</w:t>
      </w:r>
      <w:r w:rsidR="00810C3D">
        <w:t xml:space="preserve"> and Poaceae</w:t>
      </w:r>
      <w:r>
        <w:t xml:space="preserve">. Low PrC values are driven by increased values of </w:t>
      </w:r>
      <w:r w:rsidR="00810C3D" w:rsidRPr="008E45DB">
        <w:rPr>
          <w:i/>
          <w:iCs/>
        </w:rPr>
        <w:t>Eucalyptus</w:t>
      </w:r>
      <w:r w:rsidR="00810C3D">
        <w:t xml:space="preserve"> and </w:t>
      </w:r>
      <w:r w:rsidR="00810C3D" w:rsidRPr="008E45DB">
        <w:rPr>
          <w:i/>
          <w:iCs/>
        </w:rPr>
        <w:t>Astelia</w:t>
      </w:r>
      <w:r>
        <w:t xml:space="preserve"> </w:t>
      </w:r>
      <w:r>
        <w:fldChar w:fldCharType="begin" w:fldLock="1"/>
      </w:r>
      <w:r w:rsidR="00193D26">
        <w:instrText>ADDIN CSL_CITATION {"citationItems":[{"id":"ITEM-1","itemData":{"DOI":"10.1046/j.1442-9993.2002.01155.x","ISSN":"14429985","abstract":"The late Quaternary vegetation communities of the south-central highlands of Victoria are reconstructed from analyses of pollen and charcoal, and associated environmental conditions derived from the record of Nothofagus cunninghamii and alpine and sclerophyll taxa preserved in four subalpine Sphagnum bogs. The highest site occurs amid Eucalyptus pauciflora woodland, the two intermediate sites are surrounded by Eucalyptus delegatensis forest and the lowest by a mixed forest off. delegatensis/Eucalyptus regnans. Small pockets of N. cunninghamii occur within the eucalypt forests, and in close proximity to all four sites. Around 32 000 BP the vegetation consisted of a mosaic of alpine feldmark and herbfield, with small scattered groves of Nothofagus and Eucalyptus well below 1100 m. Summer temperatures were probably 5 degrees C lower than present with lowest values, probably 7 degrees to 8 degrees C below present, possibly between 17 000 and 13 500 BP, at which time alpine communities reached their greatest extent and much of the Central Highlands was treeless. After ca 13 500 BP herbaceous alpine taxa disappeared and there was an associated movement upslope of Nothofagus and tall open forest taxa to their maximum post-glacial extent, as temperatures and effective precipitation increased, ca 6000 BP The retraction of cool temperate rainforest and wet sclerophyll or tall open forest towards present day values indicates lower effective precipitation, generally rising temperatures and increased fire hazard. More recently, European activities have increased the stress on the remaining forests. The study of four sites has demonstrated the importance of analysing a number of sites within a given area in order to overcome the limitations imposed by sites which were sub-optimal due to one or more factors including poor preservation, problems of dating, variable sedimentation rates, and the influence of streams which flow close to all sites. While the local environment varies between sites, and some vegetation changes are successional, this study shows that the local records complement one another, to some extent reinforcing the regional picture of vegetation and environmental change.","author":[{"dropping-particle":"","family":"McKenzie","given":"G. Merna","non-dropping-particle":"","parse-names":false,"suffix":""}],"container-title":"Austral Ecology","id":"ITEM-1","issue":"1","issued":{"date-parts":[["2002"]]},"page":"32-54","title":"The late Quaternary vegetation history of the south-central highlands of Victoria, Australia. II. Sites below 900 m","type":"article-journal","volume":"27"},"uris":["http://www.mendeley.com/documents/?uuid=4c976199-ffb5-4b12-a1f5-8aae2274d998"]}],"mendeley":{"formattedCitation":"(McKenzie, 2002)","plainTextFormattedCitation":"(McKenzie, 2002)","previouslyFormattedCitation":"(McKenzie, 2002)"},"properties":{"noteIndex":0},"schema":"https://github.com/citation-style-language/schema/raw/master/csl-citation.json"}</w:instrText>
      </w:r>
      <w:r>
        <w:fldChar w:fldCharType="separate"/>
      </w:r>
      <w:r w:rsidRPr="00566342">
        <w:rPr>
          <w:noProof/>
        </w:rPr>
        <w:t>(McKenzie, 2002)</w:t>
      </w:r>
      <w:r>
        <w:fldChar w:fldCharType="end"/>
      </w:r>
      <w:r>
        <w:t>.</w:t>
      </w:r>
      <w:r w:rsidR="00810C3D">
        <w:t xml:space="preserve"> (Note inverse PrC y-axis)</w:t>
      </w:r>
    </w:p>
    <w:p w14:paraId="6B56C63E" w14:textId="5075A650" w:rsidR="00704E7D" w:rsidRDefault="009857B5" w:rsidP="00A2067E">
      <w:r>
        <w:object w:dxaOrig="3601" w:dyaOrig="2161" w14:anchorId="053DD34E">
          <v:shape id="_x0000_i1050" type="#_x0000_t75" style="width:465pt;height:231.6pt" o:ole="">
            <v:imagedata r:id="rId93" o:title="" cropbottom="11009f"/>
          </v:shape>
          <o:OLEObject Type="Embed" ProgID="Acrobat.Document.2017" ShapeID="_x0000_i1050" DrawAspect="Icon" ObjectID="_1682751559" r:id="rId94"/>
        </w:object>
      </w:r>
    </w:p>
    <w:p w14:paraId="42749343" w14:textId="5FAAE369" w:rsidR="00193D26" w:rsidRDefault="00810C3D" w:rsidP="00193D26">
      <w:pPr>
        <w:widowControl w:val="0"/>
      </w:pPr>
      <w:r>
        <w:t>Figure S3z. Boulder Flat pollen Principal Curve (PrC) and probability density function (PDF). High PrC values are driven by increased values of Asteraceae</w:t>
      </w:r>
      <w:r w:rsidR="00193D26">
        <w:t xml:space="preserve"> and Chenopodiaceae</w:t>
      </w:r>
      <w:r>
        <w:t>. Low PrC values are driven by increased values of</w:t>
      </w:r>
      <w:r w:rsidR="00193D26">
        <w:t xml:space="preserve"> </w:t>
      </w:r>
      <w:r w:rsidR="00193D26" w:rsidRPr="008E45DB">
        <w:rPr>
          <w:i/>
          <w:iCs/>
        </w:rPr>
        <w:t>Dicksonia</w:t>
      </w:r>
      <w:r w:rsidR="00193D26">
        <w:t xml:space="preserve"> and </w:t>
      </w:r>
      <w:r w:rsidR="00193D26" w:rsidRPr="008E45DB">
        <w:rPr>
          <w:i/>
          <w:iCs/>
        </w:rPr>
        <w:t>Eucalyptus</w:t>
      </w:r>
      <w:r w:rsidR="00193D26">
        <w:t xml:space="preserve">. </w:t>
      </w:r>
      <w:r w:rsidR="00193D26">
        <w:fldChar w:fldCharType="begin" w:fldLock="1"/>
      </w:r>
      <w:r w:rsidR="00445225">
        <w:instrText>ADDIN CSL_CITATION {"citationItems":[{"id":"ITEM-1","itemData":{"author":[{"dropping-particle":"","family":"Kenyon","given":"Christine","non-dropping-particle":"","parse-names":false,"suffix":""}],"id":"ITEM-1","issued":{"date-parts":[["1989"]]},"publisher":"Monash University","title":"A late Pleistocene and Holocene pollen diagram from Boulder Flat, east Gippsland","type":"thesis"},"uris":["http://www.mendeley.com/documents/?uuid=114dcbdc-6f09-43d8-8098-7f54e0f3d62d"]}],"mendeley":{"formattedCitation":"(Kenyon, 1989)","plainTextFormattedCitation":"(Kenyon, 1989)","previouslyFormattedCitation":"(Kenyon, 1989)"},"properties":{"noteIndex":0},"schema":"https://github.com/citation-style-language/schema/raw/master/csl-citation.json"}</w:instrText>
      </w:r>
      <w:r w:rsidR="00193D26">
        <w:fldChar w:fldCharType="separate"/>
      </w:r>
      <w:r w:rsidR="00193D26" w:rsidRPr="00193D26">
        <w:rPr>
          <w:noProof/>
        </w:rPr>
        <w:t>(Kenyon, 1989)</w:t>
      </w:r>
      <w:r w:rsidR="00193D26">
        <w:fldChar w:fldCharType="end"/>
      </w:r>
      <w:r w:rsidR="00193D26">
        <w:t xml:space="preserve"> (Note inverse PrC y-axis).</w:t>
      </w:r>
    </w:p>
    <w:p w14:paraId="00E6FB36" w14:textId="0D4239F3" w:rsidR="00810C3D" w:rsidRDefault="00810C3D" w:rsidP="00810C3D">
      <w:pPr>
        <w:widowControl w:val="0"/>
      </w:pPr>
    </w:p>
    <w:p w14:paraId="43D020F1" w14:textId="617F298F" w:rsidR="00A2067E" w:rsidRDefault="00A0336E" w:rsidP="00A2067E">
      <w:r>
        <w:object w:dxaOrig="3601" w:dyaOrig="2161" w14:anchorId="5E37CD79">
          <v:shape id="_x0000_i1051" type="#_x0000_t75" style="width:465pt;height:231.6pt" o:ole="">
            <v:imagedata r:id="rId95" o:title="" cropbottom="11009f"/>
          </v:shape>
          <o:OLEObject Type="Embed" ProgID="Acrobat.Document.2017" ShapeID="_x0000_i1051" DrawAspect="Icon" ObjectID="_1682751560" r:id="rId96"/>
        </w:object>
      </w:r>
    </w:p>
    <w:p w14:paraId="1C442302" w14:textId="164DE45C" w:rsidR="00A11B55" w:rsidRDefault="00A11B55" w:rsidP="00A11B55">
      <w:pPr>
        <w:widowControl w:val="0"/>
      </w:pPr>
      <w:r>
        <w:t>Figure S3</w:t>
      </w:r>
      <w:r w:rsidR="00616AE1">
        <w:t>aa</w:t>
      </w:r>
      <w:r>
        <w:t xml:space="preserve">. </w:t>
      </w:r>
      <w:r w:rsidR="00616AE1">
        <w:t>Wyrie Swamp</w:t>
      </w:r>
      <w:r>
        <w:t xml:space="preserve"> pollen Principal Curve (PrC) and probability density function (PDF). High PrC values are driven by increased values of Asteraceae</w:t>
      </w:r>
      <w:r w:rsidR="00EC5FBB">
        <w:t>.</w:t>
      </w:r>
      <w:r>
        <w:t xml:space="preserve"> Low PrC values are driven by increased values of </w:t>
      </w:r>
      <w:r w:rsidR="00EC5FBB">
        <w:t>Casuarinaceae</w:t>
      </w:r>
      <w:r w:rsidR="0081107F">
        <w:t xml:space="preserve"> </w:t>
      </w:r>
      <w:r w:rsidR="0081107F">
        <w:fldChar w:fldCharType="begin" w:fldLock="1"/>
      </w:r>
      <w:r w:rsidR="0081107F">
        <w:instrText>ADDIN CSL_CITATION {"citationItems":[{"id":"ITEM-1","itemData":{"DOI":"10.1016/0033-5894(77)90058-8","ISSN":"10960287","abstract":"Pollen analysis of two radiocarbon-dated cores provides a history of Wyrie Swamp and the surrounding vegetation, and the result compares with other palynological data from southeastern South Australia. Eucalypt (Eucalyptus) forest or woodland with a scrub understory was the major element before about 50,000 years BP, between ca. 40,000 and 30,000 BP, and after ca. 11,000 BP. More open woodland prevailed between ca. 50,000 and 40,000 BP, and between ca. 26,000 and 11,000 BP. Casuarina stricta, common on sand dunes, migrated to the area about 10,500 years ago and remained as a dominant species until the time of European settlement at about 1840 ad. Postglacial expansion of this species implies that the climate since 10,500 years ago has been warmer than in the preceding period. It probably was drier during the period from 50,000 to 10,500 BP than in the Holocene. The driest period was from 26,000 to 11,000 BP, perhaps corresponding to the time of the last glaciation in Australia. The site is archaeologically important, as a number of wood and stone artifacts that date between 10,200 and 8000 BP have been recovered from the swamp sediments. © 1977.","author":[{"dropping-particle":"","family":"Dodson","given":"John","non-dropping-particle":"","parse-names":false,"suffix":""}],"container-title":"Quaternary Research","id":"ITEM-1","issue":"1","issued":{"date-parts":[["1977"]]},"page":"97-114","title":"Late Quaternary palaeoecology of Wyrie Swamp, southeastern South Australia","type":"article-journal","volume":"8"},"uris":["http://www.mendeley.com/documents/?uuid=e45ef4a5-47c6-4f6d-9f27-680820337af5"]}],"mendeley":{"formattedCitation":"(Dodson, 1977)","plainTextFormattedCitation":"(Dodson, 1977)","previouslyFormattedCitation":"(Dodson, 1977)"},"properties":{"noteIndex":0},"schema":"https://github.com/citation-style-language/schema/raw/master/csl-citation.json"}</w:instrText>
      </w:r>
      <w:r w:rsidR="0081107F">
        <w:fldChar w:fldCharType="separate"/>
      </w:r>
      <w:r w:rsidR="0081107F" w:rsidRPr="0081107F">
        <w:rPr>
          <w:noProof/>
        </w:rPr>
        <w:t>(Dodson, 1977)</w:t>
      </w:r>
      <w:r w:rsidR="0081107F">
        <w:fldChar w:fldCharType="end"/>
      </w:r>
      <w:r>
        <w:t>. (Note inverse PrC y-axis).</w:t>
      </w:r>
    </w:p>
    <w:p w14:paraId="228C8F3A" w14:textId="7D100007" w:rsidR="00A2067E" w:rsidRDefault="00A0336E" w:rsidP="00A2067E">
      <w:r>
        <w:object w:dxaOrig="3601" w:dyaOrig="2161" w14:anchorId="0ADA2F69">
          <v:shape id="_x0000_i1052" type="#_x0000_t75" style="width:465pt;height:226.8pt" o:ole="">
            <v:imagedata r:id="rId97" o:title="" cropbottom="12213f"/>
          </v:shape>
          <o:OLEObject Type="Embed" ProgID="Acrobat.Document.2017" ShapeID="_x0000_i1052" DrawAspect="Icon" ObjectID="_1682751561" r:id="rId98"/>
        </w:object>
      </w:r>
    </w:p>
    <w:p w14:paraId="531447B3" w14:textId="78BD9DC6" w:rsidR="00A11B55" w:rsidRDefault="00A11B55" w:rsidP="00A11B55">
      <w:pPr>
        <w:widowControl w:val="0"/>
      </w:pPr>
      <w:r>
        <w:t>Figure S3a</w:t>
      </w:r>
      <w:r w:rsidR="00616AE1">
        <w:t>b</w:t>
      </w:r>
      <w:r>
        <w:t xml:space="preserve">. Lake Leake pollen Principal Curve (PrC) and probability density function (PDF). High PrC values are driven by increased values of Casuarinaceae and Chenopodiaceae. Low PrC values are driven by increased values of Asteraceae and Poaceae. </w:t>
      </w:r>
      <w:r>
        <w:fldChar w:fldCharType="begin" w:fldLock="1"/>
      </w:r>
      <w:r w:rsidR="0081107F">
        <w:instrText>ADDIN CSL_CITATION {"citationItems":[{"id":"ITEM-1","itemData":{"DOI":"10.1071/BT9750815","ISSN":"14449862","abstract":"A drill core from Lake Leake contains a sedimentary sequence extending from about 50, 000 B.P. until the present. This paper discusses the results of the pollen analyses and six radiocarbon dates which span the period from about 50, 000 until about 10, 000 B.P. There are core sections which yielded low numbers of pollen and thus there are gaps in the vegetation record. It is suggested that open eucalypt woodland was replaced by eucalypt woodland with heath at about 50, 000 B.P. and remained until about 39, 000 B.P. Open woodland then returned but was replaced by eucalypt woodland with heath by 38, 000 B.P. Some time after 35, 000 B.P., open eucalypt woodland conditions returned and persisted until near 10, 000 B.P. when Casuarina stricta migrated into the area. Through-out the period in question the climate was drier than it has been in the last 10, 000 radiocarbon years. There were wet periods about 50, 000 and 39, 000 B.P. and from 38, 000 to 35, 000 B.P. The character of the sediments and the relative amounts of pollen preserved suggest that conditions were relatively dry from 50, 000 to 39, 000 B.P. and from after 35, 000 until near 10, 000 B.P. The lake was driest during the period of the last glaciation but the presence of eucalypt pollen is interpreted as indicating that the average annual minimum temperature was above 10°C and the average annual rainfall was above 20-25 cm. © 1975 CSIRO. All Rights Reserved.","author":[{"dropping-particle":"","family":"Dodson","given":"J. R.","non-dropping-particle":"","parse-names":false,"suffix":""}],"container-title":"Australian Journal of Botany","id":"ITEM-1","issue":"5","issued":{"date-parts":[["1975"]]},"page":"815-831","title":"Vegetation history and water fluctuations at lake leake, South-Eastern South Australia. II.* 50 000 B.P. To 10 000 B.P","type":"article-journal","volume":"23"},"uris":["http://www.mendeley.com/documents/?uuid=81a44318-9a52-41d6-bf5f-4ef0302ba2ca"]}],"mendeley":{"formattedCitation":"(Dodson, 1975)","plainTextFormattedCitation":"(Dodson, 1975)","previouslyFormattedCitation":"(Dodson, 1975)"},"properties":{"noteIndex":0},"schema":"https://github.com/citation-style-language/schema/raw/master/csl-citation.json"}</w:instrText>
      </w:r>
      <w:r>
        <w:fldChar w:fldCharType="separate"/>
      </w:r>
      <w:r w:rsidR="0081107F" w:rsidRPr="0081107F">
        <w:rPr>
          <w:noProof/>
        </w:rPr>
        <w:t>(Dodson, 1975)</w:t>
      </w:r>
      <w:r>
        <w:fldChar w:fldCharType="end"/>
      </w:r>
      <w:r>
        <w:t>(Note inverse PrC y-axis).</w:t>
      </w:r>
    </w:p>
    <w:p w14:paraId="2A672C1E" w14:textId="77777777" w:rsidR="00A11B55" w:rsidRDefault="00A11B55" w:rsidP="00A2067E"/>
    <w:p w14:paraId="055F6E1A" w14:textId="69DDF7C3" w:rsidR="00A2067E" w:rsidRDefault="00A2067E" w:rsidP="00A2067E"/>
    <w:p w14:paraId="167A5229" w14:textId="6803955A" w:rsidR="00616AE1" w:rsidRDefault="00A0336E" w:rsidP="00A2067E">
      <w:r>
        <w:object w:dxaOrig="3601" w:dyaOrig="2161" w14:anchorId="7FA4FEDD">
          <v:shape id="_x0000_i1053" type="#_x0000_t75" style="width:465pt;height:228.6pt" o:ole="">
            <v:imagedata r:id="rId99" o:title="" cropbottom="11869f"/>
          </v:shape>
          <o:OLEObject Type="Embed" ProgID="Acrobat.Document.2017" ShapeID="_x0000_i1053" DrawAspect="Icon" ObjectID="_1682751562" r:id="rId100"/>
        </w:object>
      </w:r>
      <w:r w:rsidR="00616AE1">
        <w:t>Figure Sac</w:t>
      </w:r>
      <w:r w:rsidR="00EC5FBB">
        <w:t xml:space="preserve">. Lake Surprise </w:t>
      </w:r>
      <w:r w:rsidR="00EC5FBB">
        <w:rPr>
          <w:rFonts w:cstheme="minorHAnsi"/>
        </w:rPr>
        <w:t>δ</w:t>
      </w:r>
      <w:r w:rsidR="00EC5FBB" w:rsidRPr="0080446D">
        <w:rPr>
          <w:vertAlign w:val="superscript"/>
        </w:rPr>
        <w:t>13</w:t>
      </w:r>
      <w:r w:rsidR="00EC5FBB">
        <w:t xml:space="preserve">C of bulk organic material. Less negative </w:t>
      </w:r>
      <w:r w:rsidR="00EC5FBB">
        <w:rPr>
          <w:rFonts w:cstheme="minorHAnsi"/>
        </w:rPr>
        <w:t>δ</w:t>
      </w:r>
      <w:r w:rsidR="00EC5FBB" w:rsidRPr="0080446D">
        <w:rPr>
          <w:vertAlign w:val="superscript"/>
        </w:rPr>
        <w:t>13</w:t>
      </w:r>
      <w:r w:rsidR="00EC5FBB">
        <w:t xml:space="preserve">C values interpreted to reflect increased </w:t>
      </w:r>
      <w:r w:rsidR="00445225">
        <w:t>C</w:t>
      </w:r>
      <w:r w:rsidR="00445225" w:rsidRPr="00445225">
        <w:rPr>
          <w:vertAlign w:val="subscript"/>
        </w:rPr>
        <w:t>4</w:t>
      </w:r>
      <w:r w:rsidR="00445225">
        <w:t xml:space="preserve"> </w:t>
      </w:r>
      <w:r w:rsidR="00EC5FBB">
        <w:t>plant</w:t>
      </w:r>
      <w:r w:rsidR="00445225">
        <w:t xml:space="preserve"> types and plant </w:t>
      </w:r>
      <w:r w:rsidR="00EC5FBB">
        <w:t xml:space="preserve">moisture stress. More negative </w:t>
      </w:r>
      <w:r w:rsidR="00EC5FBB">
        <w:rPr>
          <w:rFonts w:cstheme="minorHAnsi"/>
        </w:rPr>
        <w:t>δ</w:t>
      </w:r>
      <w:r w:rsidR="00EC5FBB" w:rsidRPr="0080446D">
        <w:rPr>
          <w:vertAlign w:val="superscript"/>
        </w:rPr>
        <w:t>13</w:t>
      </w:r>
      <w:r w:rsidR="00EC5FBB">
        <w:t xml:space="preserve">C values interpreted to reflect increased </w:t>
      </w:r>
      <w:r w:rsidR="00445225">
        <w:t>C</w:t>
      </w:r>
      <w:r w:rsidR="00445225" w:rsidRPr="00445225">
        <w:rPr>
          <w:vertAlign w:val="subscript"/>
        </w:rPr>
        <w:t>3</w:t>
      </w:r>
      <w:r w:rsidR="00445225">
        <w:t xml:space="preserve"> plant types and </w:t>
      </w:r>
      <w:r w:rsidR="00EC5FBB">
        <w:t>plant moisture stress</w:t>
      </w:r>
      <w:r w:rsidR="00445225">
        <w:t xml:space="preserve"> </w:t>
      </w:r>
      <w:r w:rsidR="00445225">
        <w:fldChar w:fldCharType="begin" w:fldLock="1"/>
      </w:r>
      <w:r w:rsidR="00B84C4D">
        <w:instrText>ADDIN CSL_CITATION {"citationItems":[{"id":"ITEM-1","itemData":{"DOI":"10.1016/j.quascirev.2018.05.031","ISSN":"02773791","abstract":"Global climate variability during the late Quaternary is commonly investigated within the framework of the ‘bipolar seesaw’ pattern of asynchronous temperature variations in the northern and southern polar latitudes. The terrestrial hydrological response to this pattern in south-eastern Australia is not fully understood, as continuous, high-resolution, well-dated proxy records for the hydrological cycle in the region are sparse. Here we present a well-dated, highly resolved record of moisture balance spanning 30000–10000 calendar years before present (30–10 ka BP), based on x-ray fluorescence and organic carbon isotope (δ13COM) measurements of a sedimentary sequence from Lake Surprise in south-eastern Australia. The data provide a locally coherent record of the hydrological cycle. Elevated Si (reflecting windblown quartz and clays), and relatively high δ13COM indicate an extended period of relative aridity between 28 and 18.5 ka BP, interrupted by millennial-scale episodes of decreased Si and δ13COM, suggesting increased moisture balance. This was followed by a rapid deglacial shift to low Si and δ13COM at 18.5 ka BP, indicative of wetter conditions. We find that these changes are coeval with other records from south-eastern Australia and New Zealand, and use a Monte Carlo Empirical Orthogonal Function approach to extract a common trend from three high-resolution records. Our analyses suggest that drivers of the regional hydrological cycle have varied on multi-millennial time scales, in response to major shifts in global atmosphere-ocean dynamics during the last glacial-interglacial transition. Southern Ocean processes were the dominant control on hydroclimate during glacial times, via a strong influence of cold sea surface temperatures on moisture uptake and delivery onshore. Following the last deglaciation (around 18 ka BP), the southward migration of cold Southern Ocean fronts likely resulted in the establishment of conditions more like those of the present day. Millennial-scale variability in records from the region is dominated by a persistent ca. 2300-year periodicity, consistent with other records across the Southern Hemisphere mid-latitudes; however, this pervasive periodicity is not obviously linked to the ‘bipolar seesaw’ and the mechanism remains equivocal.","author":[{"dropping-particle":"","family":"Falster","given":"Georgina","non-dropping-particle":"","parse-names":false,"suffix":""},{"dropping-particle":"","family":"Tyler","given":"Jonathan","non-dropping-particle":"","parse-names":false,"suffix":""},{"dropping-particle":"","family":"Grant","given":"Katharine","non-dropping-particle":"","parse-names":false,"suffix":""},{"dropping-particle":"","family":"Tibby","given":"John","non-dropping-particle":"","parse-names":false,"suffix":""},{"dropping-particle":"","family":"Turney","given":"Chris","non-dropping-particle":"","parse-names":false,"suffix":""},{"dropping-particle":"","family":"Löhr","given":"Stefan","non-dropping-particle":"","parse-names":false,"suffix":""},{"dropping-particle":"","family":"Jacobsen","given":"Geraldine","non-dropping-particle":"","parse-names":false,"suffix":""},{"dropping-particle":"","family":"Kershaw","given":"A. Peter","non-dropping-particle":"","parse-names":false,"suffix":""}],"container-title":"Quaternary Science Reviews","id":"ITEM-1","issued":{"date-parts":[["2018","7"]]},"note":"Strong dominant Southern Ocean influence during the last glacial. Conclusions corrobortated by Bayon et al. 2017 who postulate both Northern and Southern Hemisphere controls on Australian climate.\nUncertainty has resulted in ambiguity in the expression of the LGM in southern Australia and NZ.","page":"106-122","title":"Millennial-scale variability in south-east Australian hydroclimate between 30,000 and 10,000 years ago","type":"article-journal","volume":"192"},"uris":["http://www.mendeley.com/documents/?uuid=0cfed931-0437-4e66-8d9e-5ae0075ee250"]}],"mendeley":{"formattedCitation":"(Falster et al., 2018)","plainTextFormattedCitation":"(Falster et al., 2018)","previouslyFormattedCitation":"(Falster et al., 2018)"},"properties":{"noteIndex":0},"schema":"https://github.com/citation-style-language/schema/raw/master/csl-citation.json"}</w:instrText>
      </w:r>
      <w:r w:rsidR="00445225">
        <w:fldChar w:fldCharType="separate"/>
      </w:r>
      <w:r w:rsidR="00445225" w:rsidRPr="00445225">
        <w:rPr>
          <w:noProof/>
        </w:rPr>
        <w:t>(Falster et al., 2018)</w:t>
      </w:r>
      <w:r w:rsidR="00445225">
        <w:fldChar w:fldCharType="end"/>
      </w:r>
      <w:r w:rsidR="00EC5FBB">
        <w:t>. (Note the inverse y-axis).</w:t>
      </w:r>
    </w:p>
    <w:p w14:paraId="390FA09B" w14:textId="418A4A87" w:rsidR="00A2067E" w:rsidRDefault="00A0336E" w:rsidP="00A2067E">
      <w:r>
        <w:object w:dxaOrig="3601" w:dyaOrig="2161" w14:anchorId="6E9586DD">
          <v:shape id="_x0000_i1054" type="#_x0000_t75" style="width:465pt;height:226.8pt" o:ole="">
            <v:imagedata r:id="rId101" o:title="" cropbottom="12213f"/>
          </v:shape>
          <o:OLEObject Type="Embed" ProgID="Acrobat.Document.2017" ShapeID="_x0000_i1054" DrawAspect="Icon" ObjectID="_1682751563" r:id="rId102"/>
        </w:object>
      </w:r>
    </w:p>
    <w:p w14:paraId="1B87828B" w14:textId="360F0A1D" w:rsidR="00A11B55" w:rsidRDefault="00A11B55" w:rsidP="00A11B55">
      <w:pPr>
        <w:widowControl w:val="0"/>
      </w:pPr>
      <w:r>
        <w:t>Figure S3a</w:t>
      </w:r>
      <w:r w:rsidR="00616AE1">
        <w:t>d</w:t>
      </w:r>
      <w:r>
        <w:t>. Tyren</w:t>
      </w:r>
      <w:r w:rsidR="003970EC">
        <w:t>darra Swamp</w:t>
      </w:r>
      <w:r>
        <w:t xml:space="preserve"> pollen Principal Curve (PrC) and probability density function (PDF). High PrC values are driven by increased values of </w:t>
      </w:r>
      <w:r w:rsidR="003970EC">
        <w:t xml:space="preserve">Asteraceae and </w:t>
      </w:r>
      <w:r w:rsidR="003970EC" w:rsidRPr="008E45DB">
        <w:rPr>
          <w:i/>
          <w:iCs/>
        </w:rPr>
        <w:t>Acacia</w:t>
      </w:r>
      <w:r>
        <w:t xml:space="preserve">. Low PrC values are driven by increased values of </w:t>
      </w:r>
      <w:r w:rsidR="003970EC" w:rsidRPr="008E45DB">
        <w:rPr>
          <w:i/>
          <w:iCs/>
        </w:rPr>
        <w:t>Callitris</w:t>
      </w:r>
      <w:r w:rsidR="003970EC">
        <w:t xml:space="preserve"> and Poaceae</w:t>
      </w:r>
      <w:r>
        <w:t xml:space="preserve"> </w:t>
      </w:r>
      <w:r>
        <w:fldChar w:fldCharType="begin" w:fldLock="1"/>
      </w:r>
      <w:r w:rsidR="00E70109">
        <w:instrText>ADDIN CSL_CITATION {"citationItems":[{"id":"ITEM-1","itemData":{"DOI":"10.1177/0959683607087931","ISBN":"0959683607","ISSN":"09596836","abstract":"The Gunditjmara people developed a socio-economic system based on the modification of wetland ecosystems associated with the Mt Eccles lava flow primarily for sustainable production and management of the highly nutritious shortfin eel (Anguilla australis). This paper examines the environmental history of these landscapes since their inception about 30 000 years ago, through palaeoecological analysis of sediment cores from associated lakes and swamps, in order to contribute to an understanding of the causes and timing of cultural transformation. Two records cover the whole of the 30 000 year history of the landscape while two others provide evidence of change within the Holocene. A great deal of variation within the landscape is revealed, both temporally and spatially, with opportunities for human exploitation through the whole recorded period. Although most features of the records can be explained by natural landscape development and climate change, some human modification can be suggested from around the PleistoceneHolocene transition while more obvious indications of management relating to eel aquaculture are evident from about 4000 cal. yr BP that appear to include adaptations to the onset of a drier and more variable climate. The study has implications for the explanation of intensification of settlement in Australia more generally within the mid to late Holocene.","author":[{"dropping-particle":"","family":"Builth","given":"Heather","non-dropping-particle":"","parse-names":false,"suffix":""},{"dropping-particle":"","family":"Kershaw","given":"A. Peter","non-dropping-particle":"","parse-names":false,"suffix":""},{"dropping-particle":"","family":"White","given":"Chris","non-dropping-particle":"","parse-names":false,"suffix":""},{"dropping-particle":"","family":"Roach","given":"Anna","non-dropping-particle":"","parse-names":false,"suffix":""},{"dropping-particle":"","family":"Hartney","given":"Lee","non-dropping-particle":"","parse-names":false,"suffix":""},{"dropping-particle":"","family":"McKenzie","given":"Merna","non-dropping-particle":"","parse-names":false,"suffix":""},{"dropping-particle":"","family":"Lewis","given":"Tara","non-dropping-particle":"","parse-names":false,"suffix":""},{"dropping-particle":"","family":"Jacobsen","given":"Geraldine","non-dropping-particle":"","parse-names":false,"suffix":""}],"container-title":"Holocene","id":"ITEM-1","issue":"3","issued":{"date-parts":[["2008"]]},"page":"413-424","title":"Environmental and cultural change on the Mt Eccles lava-flow landscapes of southwest Victoria, Australia","type":"article-journal","volume":"18"},"uris":["http://www.mendeley.com/documents/?uuid=454a305f-2b00-4a30-9741-af9d38b36b87"]}],"mendeley":{"formattedCitation":"(Builth et al., 2008)","plainTextFormattedCitation":"(Builth et al., 2008)","previouslyFormattedCitation":"(Builth et al., 2008)"},"properties":{"noteIndex":0},"schema":"https://github.com/citation-style-language/schema/raw/master/csl-citation.json"}</w:instrText>
      </w:r>
      <w:r>
        <w:fldChar w:fldCharType="separate"/>
      </w:r>
      <w:r w:rsidR="0081107F" w:rsidRPr="0081107F">
        <w:rPr>
          <w:noProof/>
        </w:rPr>
        <w:t>(Builth et al., 2008)</w:t>
      </w:r>
      <w:r>
        <w:fldChar w:fldCharType="end"/>
      </w:r>
      <w:r w:rsidR="0081107F">
        <w:t xml:space="preserve">. </w:t>
      </w:r>
      <w:r>
        <w:t>(Note inverse PrC y-axis).</w:t>
      </w:r>
    </w:p>
    <w:p w14:paraId="279126E3" w14:textId="176CE388" w:rsidR="00A2067E" w:rsidRDefault="00A0336E" w:rsidP="00A2067E">
      <w:r>
        <w:object w:dxaOrig="3601" w:dyaOrig="2161" w14:anchorId="2D618A3E">
          <v:shape id="_x0000_i1055" type="#_x0000_t75" style="width:465pt;height:228.6pt" o:ole="">
            <v:imagedata r:id="rId103" o:title="" cropbottom="11869f"/>
          </v:shape>
          <o:OLEObject Type="Embed" ProgID="Acrobat.Document.2017" ShapeID="_x0000_i1055" DrawAspect="Icon" ObjectID="_1682751564" r:id="rId104"/>
        </w:object>
      </w:r>
    </w:p>
    <w:p w14:paraId="4AF310E0" w14:textId="21D4A435" w:rsidR="003970EC" w:rsidRDefault="003970EC" w:rsidP="003970EC">
      <w:pPr>
        <w:widowControl w:val="0"/>
      </w:pPr>
      <w:r>
        <w:t>Figure S3a</w:t>
      </w:r>
      <w:r w:rsidR="00616AE1">
        <w:t>e</w:t>
      </w:r>
      <w:r>
        <w:t xml:space="preserve">. Tower Hill pollen Principal Curve (PrC) and probability density function (PDF). High PrC values are driven by increased values of Asteraceae and Poaceae. Low PrC values are driven by increased values of Casuarinaceae and Chenopodiaceae. </w:t>
      </w:r>
      <w:r>
        <w:fldChar w:fldCharType="begin" w:fldLock="1"/>
      </w:r>
      <w:r w:rsidR="0081107F">
        <w:instrText>ADDIN CSL_CITATION {"citationItems":[{"id":"ITEM-1","itemData":{"DOI":"10.2307/2845109","ISSN":"03050270","abstract":"Analyses of microflora and microfauna from two sites within the Tower Hill volcanic complex of western Victoria have provided a detailed and consistent record of vegetation and environments through the last 11,000 years. One of these sites extends the record back to 20,000 years BP and is the first from this intensively studied part of Australia to cover the whole of this period. From about 20,000 to 15,000 years ago, shallow, slightly brackish water was present in Tower Hill lakes whilst surrounding vegetation was of a cool-steppe type, with no known modern analogue, existing under climatic conditions that were cooler, drier and probably windier than today. Maximum aridity, as indicated by higher salinity levels and lake drying, occurred between 15,000 and 11,500 BP largely as a result of increasing temperatures. Effective precipitation then increased gradually to maximum Holocene levels between about 8000 and 5000 years BP before a reduction to those of the present day. During the early Holocene, a Casuarina woodland dominated the area and was partially replaced, possibly as a result of higher moisture levels, by more sclerophyllous Eucalyptus dominated vegetation. Subsequently major changes to the vegetation and hydrology were brought about by the activities of European settlers. A statistical comparison of the performance of major taxa in the two diagrams provides a measure of spatial vegetation variation that can be used to assist with an ongoing revegetation of the Tower Hill complex. The establishment of an age for the original eruption, much older than previous estimates, has implications for regional geological stratigraphy and aboriginal occupation.","author":[{"dropping-particle":"","family":"D'Costa","given":"D. M.","non-dropping-particle":"","parse-names":false,"suffix":""},{"dropping-particle":"","family":"Edney","given":"P.","non-dropping-particle":"","parse-names":false,"suffix":""},{"dropping-particle":"","family":"Kershaw","given":"A. P.","non-dropping-particle":"","parse-names":false,"suffix":""},{"dropping-particle":"De","family":"Deckker","given":"P.","non-dropping-particle":"","parse-names":false,"suffix":""}],"container-title":"Journal of Biogeography","id":"ITEM-1","issue":"5","issued":{"date-parts":[["1989"]]},"page":"461","title":"Late Quaternary Palaeoecology of Tower Hill, Victoria, Australia","type":"article-journal","volume":"16"},"uris":["http://www.mendeley.com/documents/?uuid=83e6d3f0-56f0-4ec9-809d-33937a6ad37a"]}],"mendeley":{"formattedCitation":"(D’Costa et al., 1989)","plainTextFormattedCitation":"(D’Costa et al., 1989)","previouslyFormattedCitation":"(D’Costa et al., 1989)"},"properties":{"noteIndex":0},"schema":"https://github.com/citation-style-language/schema/raw/master/csl-citation.json"}</w:instrText>
      </w:r>
      <w:r>
        <w:fldChar w:fldCharType="separate"/>
      </w:r>
      <w:r w:rsidR="0081107F" w:rsidRPr="0081107F">
        <w:rPr>
          <w:noProof/>
        </w:rPr>
        <w:t>(D’Costa et al., 1989)</w:t>
      </w:r>
      <w:r>
        <w:fldChar w:fldCharType="end"/>
      </w:r>
    </w:p>
    <w:p w14:paraId="068D9E5F" w14:textId="3A86B7B9" w:rsidR="00A2067E" w:rsidRDefault="00E70109" w:rsidP="00A2067E">
      <w:r>
        <w:object w:dxaOrig="3601" w:dyaOrig="2161" w14:anchorId="7D56ED88">
          <v:shape id="_x0000_i1056" type="#_x0000_t75" style="width:465pt;height:231pt" o:ole="">
            <v:imagedata r:id="rId105" o:title="" cropbottom="11353f"/>
          </v:shape>
          <o:OLEObject Type="Embed" ProgID="Acrobat.Document.2017" ShapeID="_x0000_i1056" DrawAspect="Icon" ObjectID="_1682751565" r:id="rId106"/>
        </w:object>
      </w:r>
    </w:p>
    <w:p w14:paraId="1BF8905D" w14:textId="7A86ED4D" w:rsidR="00211CB6" w:rsidRDefault="00211CB6" w:rsidP="00211CB6">
      <w:pPr>
        <w:widowControl w:val="0"/>
      </w:pPr>
      <w:r>
        <w:t>Figure S3a</w:t>
      </w:r>
      <w:r w:rsidR="00616AE1">
        <w:t>f</w:t>
      </w:r>
      <w:r>
        <w:t xml:space="preserve">. Lake Wangoom pollen Principal Curve (PrC) and probability density function (PDF). High PrC values are driven by increased values of </w:t>
      </w:r>
      <w:r w:rsidR="00C20093" w:rsidRPr="008E45DB">
        <w:rPr>
          <w:i/>
          <w:iCs/>
        </w:rPr>
        <w:t>Eucalyptus</w:t>
      </w:r>
      <w:r w:rsidR="00C20093">
        <w:t xml:space="preserve"> and </w:t>
      </w:r>
      <w:r w:rsidR="00C20093" w:rsidRPr="008E45DB">
        <w:rPr>
          <w:i/>
          <w:iCs/>
        </w:rPr>
        <w:t>Plantago</w:t>
      </w:r>
      <w:r>
        <w:t xml:space="preserve">. Low PrC values are driven by increased values of </w:t>
      </w:r>
      <w:r w:rsidR="00C20093">
        <w:t>Asteraceae and Poaceae</w:t>
      </w:r>
      <w:r>
        <w:t xml:space="preserve">. </w:t>
      </w:r>
      <w:r w:rsidR="00C20093">
        <w:t>(Note inverse PrC y-axis)</w:t>
      </w:r>
      <w:r w:rsidR="0081107F">
        <w:t xml:space="preserve"> </w:t>
      </w:r>
      <w:r>
        <w:fldChar w:fldCharType="begin" w:fldLock="1"/>
      </w:r>
      <w:r w:rsidR="0081107F">
        <w:instrText>ADDIN CSL_CITATION {"citationItems":[{"id":"ITEM-1","itemData":{"DOI":"10.1002/jqs.684","ISBN":"1099-1417","ISSN":"02678179","abstract":"The chronology of a long pollen record from Lake Wangoom, one of the few long palaeoenvironmental records from southeastern Australia, is discussed in light of the acquisition of new uranium/thorium disequilibrium (UTD) dates. Of crucial importance has been the estimation of ages for two major pre-Holocene phases of forest expansion recorded in the sequence, with implications for the timing of periods of high effective precipitation in the region. The new UTD ages indicate that the oldest forest phase falls within the Penultimate Interglacial whereas the later phase corresponds with the Last Interglacial. This is older than indicated by previously reported UTD and radiocarbon dates, but confirms a chronology based on direct correlation with the pollen record from marine core E55-6. The new chronology of the Lake Wangoom sequence provides evidence that phases of sustained forest development in southeast Australia relate to interglacial periods. In comparison, interstadial periods appear to be characterised by only minor arboreal development. Marked differences in the pattern of vegetation development evident in each of the interglacials are thought to reflect varying climatic and anthropogenic influences. Copyright (C) 2002 John Wiley Sons, Ltd.","author":[{"dropping-particle":"","family":"Harle","given":"K. J.","non-dropping-particle":"","parse-names":false,"suffix":""},{"dropping-particle":"","family":"Heijnis","given":"H.","non-dropping-particle":"","parse-names":false,"suffix":""},{"dropping-particle":"","family":"Chisari","given":"R.","non-dropping-particle":"","parse-names":false,"suffix":""},{"dropping-particle":"","family":"Kershaw","given":"A. P.","non-dropping-particle":"","parse-names":false,"suffix":""},{"dropping-particle":"","family":"Zoppi","given":"U.","non-dropping-particle":"","parse-names":false,"suffix":""},{"dropping-particle":"","family":"Jacobsen","given":"G.","non-dropping-particle":"","parse-names":false,"suffix":""}],"container-title":"Journal of Quaternary Science","id":"ITEM-1","issue":"7","issued":{"date-parts":[["2002"]]},"page":"707-720","title":"A chronology for the long pollen record from Lake Wangoom, western Victoria (Australia) as derived from uranium/thorium disequilibrium dating","type":"article-journal","volume":"17"},"uris":["http://www.mendeley.com/documents/?uuid=39ca67d7-3eda-4f72-9295-22bf4bba9728"]}],"mendeley":{"formattedCitation":"(Harle et al., 2002)","plainTextFormattedCitation":"(Harle et al., 2002)","previouslyFormattedCitation":"(Harle et al., 2002)"},"properties":{"noteIndex":0},"schema":"https://github.com/citation-style-language/schema/raw/master/csl-citation.json"}</w:instrText>
      </w:r>
      <w:r>
        <w:fldChar w:fldCharType="separate"/>
      </w:r>
      <w:r w:rsidR="0081107F" w:rsidRPr="0081107F">
        <w:rPr>
          <w:noProof/>
        </w:rPr>
        <w:t>(Harle et al., 2002)</w:t>
      </w:r>
      <w:r>
        <w:fldChar w:fldCharType="end"/>
      </w:r>
      <w:r w:rsidR="0081107F">
        <w:t>.</w:t>
      </w:r>
    </w:p>
    <w:p w14:paraId="74848BEA" w14:textId="77777777" w:rsidR="00211CB6" w:rsidRDefault="00211CB6" w:rsidP="00A2067E"/>
    <w:p w14:paraId="02015611" w14:textId="5D4307AD" w:rsidR="00A2067E" w:rsidRDefault="00A2067E" w:rsidP="00A2067E"/>
    <w:p w14:paraId="00939D47" w14:textId="0BF79195" w:rsidR="00C20093" w:rsidRPr="00C20093" w:rsidRDefault="00E70109" w:rsidP="00E70109">
      <w:pPr>
        <w:rPr>
          <w:rFonts w:ascii="Calibri" w:eastAsia="Times New Roman" w:hAnsi="Calibri" w:cs="Calibri"/>
          <w:color w:val="000000"/>
          <w:lang w:eastAsia="en-AU"/>
        </w:rPr>
      </w:pPr>
      <w:r>
        <w:object w:dxaOrig="3601" w:dyaOrig="2161" w14:anchorId="3B1EF133">
          <v:shape id="_x0000_i1057" type="#_x0000_t75" style="width:465pt;height:226.8pt" o:ole="">
            <v:imagedata r:id="rId107" o:title="" cropbottom="12213f"/>
          </v:shape>
          <o:OLEObject Type="Embed" ProgID="Acrobat.Document.2017" ShapeID="_x0000_i1057" DrawAspect="Icon" ObjectID="_1682751566" r:id="rId108"/>
        </w:object>
      </w:r>
      <w:r w:rsidR="00C20093">
        <w:t>Figure S3a</w:t>
      </w:r>
      <w:r w:rsidR="00616AE1">
        <w:t>g</w:t>
      </w:r>
      <w:r w:rsidR="00C20093">
        <w:t xml:space="preserve">. Lake Wangoom pollen Principal Curve (PrC) and probability density function (PDF). High PrC values are driven by increased values of Asteraceae and Poaceae. Low PrC values are driven by increased values of </w:t>
      </w:r>
      <w:r w:rsidR="00C20093" w:rsidRPr="008E45DB">
        <w:rPr>
          <w:i/>
          <w:iCs/>
        </w:rPr>
        <w:t>Pteridophytes</w:t>
      </w:r>
      <w:r w:rsidR="00C20093">
        <w:t xml:space="preserve"> and </w:t>
      </w:r>
      <w:r w:rsidR="00C20093" w:rsidRPr="008E45DB">
        <w:rPr>
          <w:rFonts w:ascii="Calibri" w:eastAsia="Times New Roman" w:hAnsi="Calibri" w:cs="Calibri"/>
          <w:i/>
          <w:iCs/>
          <w:color w:val="000000"/>
          <w:lang w:eastAsia="en-AU"/>
        </w:rPr>
        <w:t>Microsorum</w:t>
      </w:r>
      <w:r w:rsidR="00C20093">
        <w:rPr>
          <w:rFonts w:ascii="Calibri" w:eastAsia="Times New Roman" w:hAnsi="Calibri" w:cs="Calibri"/>
          <w:color w:val="000000"/>
          <w:lang w:eastAsia="en-AU"/>
        </w:rPr>
        <w:t xml:space="preserve"> </w:t>
      </w:r>
      <w:r w:rsidR="00C20093">
        <w:t xml:space="preserve"> (Note inverse PrC y-axis)</w:t>
      </w:r>
      <w:r w:rsidR="0081107F">
        <w:t xml:space="preserve"> </w:t>
      </w:r>
      <w:r w:rsidR="00C20093">
        <w:fldChar w:fldCharType="begin" w:fldLock="1"/>
      </w:r>
      <w:r w:rsidR="0081107F">
        <w:instrText>ADDIN CSL_CITATION {"citationItems":[{"id":"ITEM-1","itemData":{"DOI":"10.1071/BT9780493","ISSN":"14449862","abstract":"Cave Bay Cave contains pollen-bearing sediments derived partly from weathering of the roof and partly from intermittent human occupation. These span the periods c. 28, 000-14, 700 B.P. and c. 8000 B.P. to the present. Pollen analysis of the Pleistocene sediments indicates that an initial open shrubland was followed by grassland which became increasingly open with abundant composites. Eucalypts occurred in the area but were probably very sparse. The Holocene section records a coastal shrubland like that at present in the area. Intervals of occupation appear to have had little effect on vegetation recorded at the cave, but fires occurred in the vegetation during unoccupied as well as occupied phases. Comparison of the Pleistocene spectra with those from sites in near-coastal Tasmania and south-eastern Australia suggest that an open grassland with scattered trees was extensive from the Adelaide region down to the Bassian Plain. Some components of this cold steppe formation may occur today in the treeline woodlands on the driest parts of the Tasmanian mountains, but there may also be floristic affinities with arid steppe. The grassland probably reflects conditions colder, drier and possibly windier than any represented in the area today. © 1978 CSIRO. All rights reserved.","author":[{"dropping-particle":"","family":"Hope","given":"G. S.","non-dropping-particle":"","parse-names":false,"suffix":""}],"container-title":"Australian Journal of Botany","id":"ITEM-1","issue":"4","issued":{"date-parts":[["1978"]]},"page":"493-514","title":"The late pleistocene and holocene vegetational history of hunter island, North-Western Tasmania","type":"article-journal","volume":"26"},"uris":["http://www.mendeley.com/documents/?uuid=31f2b1b5-725f-47ed-af2b-ec191c3a03b0"]}],"mendeley":{"formattedCitation":"(Hope, 1978)","plainTextFormattedCitation":"(Hope, 1978)","previouslyFormattedCitation":"(Hope, 1978)"},"properties":{"noteIndex":0},"schema":"https://github.com/citation-style-language/schema/raw/master/csl-citation.json"}</w:instrText>
      </w:r>
      <w:r w:rsidR="00C20093">
        <w:fldChar w:fldCharType="separate"/>
      </w:r>
      <w:r w:rsidR="0081107F" w:rsidRPr="0081107F">
        <w:rPr>
          <w:noProof/>
        </w:rPr>
        <w:t>(Hope, 1978)</w:t>
      </w:r>
      <w:r w:rsidR="00C20093">
        <w:fldChar w:fldCharType="end"/>
      </w:r>
      <w:r w:rsidR="0081107F">
        <w:t>.</w:t>
      </w:r>
    </w:p>
    <w:p w14:paraId="084F7C75" w14:textId="64CDC851" w:rsidR="00A2067E" w:rsidRDefault="00E70109" w:rsidP="00A2067E">
      <w:r>
        <w:object w:dxaOrig="3601" w:dyaOrig="2161" w14:anchorId="528BA2DF">
          <v:shape id="_x0000_i1058" type="#_x0000_t75" style="width:465pt;height:231pt" o:ole="">
            <v:imagedata r:id="rId109" o:title="" cropbottom="11353f"/>
          </v:shape>
          <o:OLEObject Type="Embed" ProgID="Acrobat.Document.2017" ShapeID="_x0000_i1058" DrawAspect="Icon" ObjectID="_1682751567" r:id="rId110"/>
        </w:object>
      </w:r>
    </w:p>
    <w:p w14:paraId="5509C4B7" w14:textId="407FE88F" w:rsidR="00C20093" w:rsidRPr="00C20093" w:rsidRDefault="00C20093" w:rsidP="00E70109">
      <w:pPr>
        <w:rPr>
          <w:rFonts w:ascii="Calibri" w:eastAsia="Times New Roman" w:hAnsi="Calibri" w:cs="Calibri"/>
          <w:color w:val="000000"/>
          <w:lang w:eastAsia="en-AU"/>
        </w:rPr>
      </w:pPr>
      <w:r>
        <w:t>Figure S3a</w:t>
      </w:r>
      <w:r w:rsidR="00616AE1">
        <w:t>h</w:t>
      </w:r>
      <w:r>
        <w:t>. Tullabardine Dam pollen Principal Curve (PrC) and probability density function (PDF). High PrC values are driven by increased values of Asteraceae</w:t>
      </w:r>
      <w:r w:rsidR="00927E6B">
        <w:t>,</w:t>
      </w:r>
      <w:r>
        <w:t xml:space="preserve"> Poaceae and </w:t>
      </w:r>
      <w:r w:rsidRPr="008E45DB">
        <w:rPr>
          <w:i/>
          <w:iCs/>
        </w:rPr>
        <w:t>Eucalyptus</w:t>
      </w:r>
      <w:r>
        <w:t xml:space="preserve">. Low PrC values are driven by increased values of </w:t>
      </w:r>
      <w:r w:rsidR="00927E6B" w:rsidRPr="00E70109">
        <w:rPr>
          <w:i/>
          <w:iCs/>
        </w:rPr>
        <w:t>Nothofagus cunninghamii</w:t>
      </w:r>
      <w:r w:rsidR="00927E6B">
        <w:t xml:space="preserve"> </w:t>
      </w:r>
      <w:r>
        <w:t xml:space="preserve">and </w:t>
      </w:r>
      <w:r w:rsidR="00927E6B" w:rsidRPr="00E70109">
        <w:rPr>
          <w:rFonts w:ascii="Calibri" w:eastAsia="Times New Roman" w:hAnsi="Calibri" w:cs="Calibri"/>
          <w:i/>
          <w:iCs/>
          <w:color w:val="000000"/>
          <w:lang w:eastAsia="en-AU"/>
        </w:rPr>
        <w:t>Lagarostrobos franklinii</w:t>
      </w:r>
      <w:r w:rsidR="0081107F" w:rsidRPr="00E70109">
        <w:rPr>
          <w:rFonts w:ascii="Calibri" w:eastAsia="Times New Roman" w:hAnsi="Calibri" w:cs="Calibri"/>
          <w:i/>
          <w:iCs/>
          <w:color w:val="000000"/>
          <w:lang w:eastAsia="en-AU"/>
        </w:rPr>
        <w:t xml:space="preserve"> </w:t>
      </w:r>
      <w:r>
        <w:fldChar w:fldCharType="begin" w:fldLock="1"/>
      </w:r>
      <w:r w:rsidR="0081107F">
        <w:instrText>ADDIN CSL_CITATION {"citationItems":[{"id":"ITEM-1","itemData":{"ISBN":"1400011000","author":[{"dropping-particle":"","family":"Colhoun","given":"Eric A.","non-dropping-particle":"","parse-names":false,"suffix":""},{"dropping-particle":"","family":"Geer","given":"G.","non-dropping-particle":"van de","parse-names":false,"suffix":""}],"container-title":"Proceedings of the Royal Society of London. Series B, Biological Sciences","id":"ITEM-1","issue":"1255","issued":{"date-parts":[["1986"]]},"page":"177-207","title":"Holocene to Middle Last Glaciation Vegetation History at Tullabardine Dam, Western Tasmania","type":"article-journal","volume":"229"},"uris":["http://www.mendeley.com/documents/?uuid=1b7e277d-5a45-4292-a3a1-83a026056af5"]}],"mendeley":{"formattedCitation":"(Colhoun and van de Geer, 1986)","plainTextFormattedCitation":"(Colhoun and van de Geer, 1986)","previouslyFormattedCitation":"(Colhoun and van de Geer, 1986)"},"properties":{"noteIndex":0},"schema":"https://github.com/citation-style-language/schema/raw/master/csl-citation.json"}</w:instrText>
      </w:r>
      <w:r>
        <w:fldChar w:fldCharType="separate"/>
      </w:r>
      <w:r w:rsidR="0081107F" w:rsidRPr="0081107F">
        <w:rPr>
          <w:noProof/>
        </w:rPr>
        <w:t>(Colhoun and van de Geer, 1986)</w:t>
      </w:r>
      <w:r>
        <w:fldChar w:fldCharType="end"/>
      </w:r>
      <w:r w:rsidR="0081107F">
        <w:t>. (Note inverse PrC y-axis).</w:t>
      </w:r>
    </w:p>
    <w:p w14:paraId="1ED88D60" w14:textId="77777777" w:rsidR="00D256E8" w:rsidRDefault="00D256E8" w:rsidP="00A2067E"/>
    <w:p w14:paraId="6C664369" w14:textId="458AA591" w:rsidR="00A2067E" w:rsidRDefault="00A2067E" w:rsidP="00A2067E"/>
    <w:p w14:paraId="26892AD4" w14:textId="67E782DE" w:rsidR="00E70109" w:rsidRDefault="00E70109" w:rsidP="00D256E8">
      <w:pPr>
        <w:spacing w:line="240" w:lineRule="auto"/>
      </w:pPr>
      <w:r>
        <w:object w:dxaOrig="3601" w:dyaOrig="2161" w14:anchorId="63427BC3">
          <v:shape id="_x0000_i1059" type="#_x0000_t75" style="width:465pt;height:228.6pt" o:ole="">
            <v:imagedata r:id="rId111" o:title="" cropbottom="11869f"/>
          </v:shape>
          <o:OLEObject Type="Embed" ProgID="Acrobat.Document.2017" ShapeID="_x0000_i1059" DrawAspect="Icon" ObjectID="_1682751568" r:id="rId112"/>
        </w:object>
      </w:r>
    </w:p>
    <w:p w14:paraId="132778A6" w14:textId="72FE72DB" w:rsidR="00D256E8" w:rsidRPr="00C20093" w:rsidRDefault="00D256E8" w:rsidP="00E70109">
      <w:pPr>
        <w:rPr>
          <w:rFonts w:ascii="Calibri" w:eastAsia="Times New Roman" w:hAnsi="Calibri" w:cs="Calibri"/>
          <w:color w:val="000000"/>
          <w:lang w:eastAsia="en-AU"/>
        </w:rPr>
      </w:pPr>
      <w:r>
        <w:t>Figure S3a</w:t>
      </w:r>
      <w:r w:rsidR="00616AE1">
        <w:t>i</w:t>
      </w:r>
      <w:r>
        <w:t xml:space="preserve">. Lake Selina pollen Principal Curve (PrC) and probability density function (PDF). High PrC values are driven by increased values of Poaceae. Low PrC values are driven by increased values of </w:t>
      </w:r>
      <w:r w:rsidRPr="008E45DB">
        <w:rPr>
          <w:i/>
          <w:iCs/>
        </w:rPr>
        <w:t>Leptospermum</w:t>
      </w:r>
      <w:r>
        <w:t xml:space="preserve"> and </w:t>
      </w:r>
      <w:r w:rsidRPr="00E70109">
        <w:rPr>
          <w:i/>
          <w:iCs/>
        </w:rPr>
        <w:t>Nothofagus cunninghamii</w:t>
      </w:r>
      <w:r w:rsidR="0081107F">
        <w:t xml:space="preserve"> </w:t>
      </w:r>
      <w:r w:rsidR="0081107F">
        <w:fldChar w:fldCharType="begin" w:fldLock="1"/>
      </w:r>
      <w:r w:rsidR="0081107F">
        <w:instrText>ADDIN CSL_CITATION {"citationItems":[{"id":"ITEM-1","itemData":{"DOI":"10.1016/S0031-0182(99)00101-7","ISBN":"0031-0182","ISSN":"00310182","abstract":"Cool temperate Phyllocladus aspleniifolius-Nothofagus cunninghamii rainforest occurred in western Tasmania during Isotope Substage 5e. During most of the Last Glacial Stage (Substage 5d to Stage 2) the vegetation was subalpine woodland and shrubland, or alpine grassland, herbland, and heathland. Montane and subalpine rainforest existed at mid-altitude (516 m) during Substages 5a and 5c. During Stage 2, the Late Wisconsin Glacial Maximum, most of western Tasmania had alpine grassland and herbland vegetation, with areas of sclerophyll woodland and rainforest taxa below 100 m on valley floors near the coast. Cool temperate rainforest developed again during late glacial times (after 14 k 14C yr BP), with maximum development of Nothofagus cunninghamii rainforest in the early Holocene. Estimates of temperature depression, based on depression of the altitudinally zoned vegetation communities, a lapse rate of 0.65°C/100 m, and comparison with marine core RC 11-120 from the southwestern sub-polar Indian Ocean, indicate that the early stadials (Substages 5b and 5d) were cold, and the early interstadials (Substages 5a and 5c) were cool. Stage 4 was cold and probably fully glacial. Temperature increased early in Stage 3 but then decreased, with some fluctuations, towards Stage 2, the late Wisconsin Glacial Maximum. An abrupt increase in temperature of ca. 6°C occurred after 14 k 14C yr BP.","author":[{"dropping-particle":"","family":"Colhoun","given":"Eric A.","non-dropping-particle":"","parse-names":false,"suffix":""}],"container-title":"Palaeogeography, Palaeoclimatology, Palaeoecology","id":"ITEM-1","issue":"1-2","issued":{"date-parts":[["2000"]]},"page":"195-209","publisher":"Elsevier","title":"Vegetation and climate change during the Last Interglacial-Glacial cycle in western Tasmania, Australia","type":"article-journal","volume":"155"},"uris":["http://www.mendeley.com/documents/?uuid=053bd170-a481-4974-bab0-f47443a8a3e4"]}],"mendeley":{"formattedCitation":"(Colhoun, 2000)","plainTextFormattedCitation":"(Colhoun, 2000)","previouslyFormattedCitation":"(Colhoun, 2000)"},"properties":{"noteIndex":0},"schema":"https://github.com/citation-style-language/schema/raw/master/csl-citation.json"}</w:instrText>
      </w:r>
      <w:r w:rsidR="0081107F">
        <w:fldChar w:fldCharType="separate"/>
      </w:r>
      <w:r w:rsidR="0081107F" w:rsidRPr="0081107F">
        <w:rPr>
          <w:noProof/>
        </w:rPr>
        <w:t>(Colhoun, 2000)</w:t>
      </w:r>
      <w:r w:rsidR="0081107F">
        <w:fldChar w:fldCharType="end"/>
      </w:r>
      <w:r>
        <w:rPr>
          <w:rFonts w:ascii="Calibri" w:eastAsia="Times New Roman" w:hAnsi="Calibri" w:cs="Calibri"/>
          <w:color w:val="000000"/>
          <w:lang w:eastAsia="en-AU"/>
        </w:rPr>
        <w:t>.</w:t>
      </w:r>
      <w:r>
        <w:t xml:space="preserve"> (Note inverse PrC y-axis)</w:t>
      </w:r>
      <w:r w:rsidR="0081107F">
        <w:t>.</w:t>
      </w:r>
      <w:r w:rsidR="0081107F" w:rsidRPr="00C20093">
        <w:rPr>
          <w:rFonts w:ascii="Calibri" w:eastAsia="Times New Roman" w:hAnsi="Calibri" w:cs="Calibri"/>
          <w:color w:val="000000"/>
          <w:lang w:eastAsia="en-AU"/>
        </w:rPr>
        <w:t xml:space="preserve"> </w:t>
      </w:r>
    </w:p>
    <w:p w14:paraId="2A34F8BD" w14:textId="2E340571" w:rsidR="00A2067E" w:rsidRDefault="00E70109" w:rsidP="00A2067E">
      <w:r>
        <w:object w:dxaOrig="3601" w:dyaOrig="2161" w14:anchorId="25FD3AD1">
          <v:shape id="_x0000_i1060" type="#_x0000_t75" style="width:465pt;height:231pt" o:ole="">
            <v:imagedata r:id="rId113" o:title="" cropbottom="11353f"/>
          </v:shape>
          <o:OLEObject Type="Embed" ProgID="Acrobat.Document.2017" ShapeID="_x0000_i1060" DrawAspect="Icon" ObjectID="_1682751569" r:id="rId114"/>
        </w:object>
      </w:r>
    </w:p>
    <w:p w14:paraId="7A20F538" w14:textId="1F315FD9" w:rsidR="00661349" w:rsidRPr="00661349" w:rsidRDefault="00661349" w:rsidP="00E70109">
      <w:pPr>
        <w:rPr>
          <w:rFonts w:ascii="Calibri" w:eastAsia="Times New Roman" w:hAnsi="Calibri" w:cs="Calibri"/>
          <w:color w:val="000000"/>
          <w:lang w:eastAsia="en-AU"/>
        </w:rPr>
      </w:pPr>
      <w:r>
        <w:t>Figure S3a</w:t>
      </w:r>
      <w:r w:rsidR="00616AE1">
        <w:t>j</w:t>
      </w:r>
      <w:r>
        <w:t>. Lake S</w:t>
      </w:r>
      <w:r w:rsidR="006852A5">
        <w:t>t Clair</w:t>
      </w:r>
      <w:r>
        <w:t xml:space="preserve"> pollen Principal Curve (PrC) and probability density function (PDF). High PrC values are driven by increased values of</w:t>
      </w:r>
      <w:r w:rsidR="006852A5">
        <w:t xml:space="preserve"> Asteraceae and</w:t>
      </w:r>
      <w:r>
        <w:t xml:space="preserve"> Poaceae. Low PrC values are driven by increased values of </w:t>
      </w:r>
      <w:r w:rsidR="006852A5" w:rsidRPr="008E45DB">
        <w:rPr>
          <w:i/>
          <w:iCs/>
        </w:rPr>
        <w:t>Eucalyptus</w:t>
      </w:r>
      <w:r>
        <w:t xml:space="preserve"> and </w:t>
      </w:r>
      <w:r w:rsidRPr="00E70109">
        <w:rPr>
          <w:i/>
          <w:iCs/>
        </w:rPr>
        <w:t>Nothofagus cunninghamii</w:t>
      </w:r>
      <w:r w:rsidR="0081107F">
        <w:t xml:space="preserve"> </w:t>
      </w:r>
      <w:r w:rsidR="0081107F">
        <w:fldChar w:fldCharType="begin" w:fldLock="1"/>
      </w:r>
      <w:r w:rsidR="0081107F">
        <w:instrText>ADDIN CSL_CITATION {"citationItems":[{"id":"ITEM-1","itemData":{"DOI":"10.1002/1099-1417(200010)15:7&lt;725::AID-JQS563&gt;3.0.CO;2-8","ISSN":"02678179","abstract":"A Late-glacial-Holocene pollen record was obtained from a 3.96 m sediment core taken from Lake St Clair, central Tasmania. Modern vegetation and pollen analyses formed the basis for interpretation of the vegetation and climate history. Following deglaciation and before ca. 18 450 yr BP Podocarpus lawrencei coniferous heath and Astelia-Plantago wet alpine herb-field became established at Lake St Clair. A distinct Poaceae-Plantago peak occurs between 18450 and 11210 yr BP and a mean annual temperature depression from ca. 6.2 degreesC to 3 degreesC below present is inferred for this period. The marked reduction in Podocarpus and strong increase of Poaceae suggests reduced precipitation levels during the period of widespread deglaciation (ca. 18.5-11 kyr BP). The local Late Pleistocene-Holocene non-forest to forest biostratigraphical boundary is dated at 11.2 kyr BP. It is characterised by expansion of the subalpine taxa Athrotaxis/Diselma with Nothofagus gunnii, and by the establishment of Nothofagus cunninghamii with Eucalyptus spp. A 'Phyllocladus bulge' prior to the expansion of Nothofagus cunninghamii, reported at other Tasmanian sites, is not present at Lake St Clair. Nothofagus cunninghamii cool temperate rainforest peaked at 7800 yr BP, probably under wetter climatic conditions than present. The maximum development of rainforest in the early-middle Holocene may indicate that the temperature was slightly warmer than present, but the evidence is not definitive. The expansion of Eucalyptus spp. and Poaceae after 6000 yr BP may be partly a disclimax effect as a result of Aboriginal burning, but appears also to reflect reduced precipitation. The changes in vegetation and inferred climate can be explained by major changes in synoptic patterns of southern Australia and the adjacent southwest Pacific. Copyright (C) 2000 John Wiley &amp; Sons, Ltd.","author":[{"dropping-particle":"","family":"Hopf","given":"F. V.L.","non-dropping-particle":"","parse-names":false,"suffix":""},{"dropping-particle":"","family":"Colhoun","given":"E. A.","non-dropping-particle":"","parse-names":false,"suffix":""},{"dropping-particle":"","family":"Barton","given":"C. E.","non-dropping-particle":"","parse-names":false,"suffix":""}],"container-title":"Journal of Quaternary Science","id":"ITEM-1","issue":"7","issued":{"date-parts":[["2000"]]},"page":"725-732","title":"Late-glacial and Holocene record of vegetation and climate from Cynthia Bay, Lake St Clair, Tasmania","type":"article-journal","volume":"15"},"uris":["http://www.mendeley.com/documents/?uuid=af86dee4-f006-4147-bcb4-921e10c51405"]}],"mendeley":{"formattedCitation":"(Hopf et al., 2000)","plainTextFormattedCitation":"(Hopf et al., 2000)","previouslyFormattedCitation":"(Hopf et al., 2000)"},"properties":{"noteIndex":0},"schema":"https://github.com/citation-style-language/schema/raw/master/csl-citation.json"}</w:instrText>
      </w:r>
      <w:r w:rsidR="0081107F">
        <w:fldChar w:fldCharType="separate"/>
      </w:r>
      <w:r w:rsidR="0081107F" w:rsidRPr="0081107F">
        <w:rPr>
          <w:noProof/>
        </w:rPr>
        <w:t>(Hopf et al., 2000)</w:t>
      </w:r>
      <w:r w:rsidR="0081107F">
        <w:fldChar w:fldCharType="end"/>
      </w:r>
      <w:r>
        <w:rPr>
          <w:rFonts w:ascii="Calibri" w:eastAsia="Times New Roman" w:hAnsi="Calibri" w:cs="Calibri"/>
          <w:color w:val="000000"/>
          <w:lang w:eastAsia="en-AU"/>
        </w:rPr>
        <w:t>.</w:t>
      </w:r>
      <w:r>
        <w:t xml:space="preserve"> (Note inverse PrC y-axis).</w:t>
      </w:r>
      <w:r w:rsidR="0081107F" w:rsidRPr="00661349">
        <w:rPr>
          <w:rFonts w:ascii="Calibri" w:eastAsia="Times New Roman" w:hAnsi="Calibri" w:cs="Calibri"/>
          <w:color w:val="000000"/>
          <w:lang w:eastAsia="en-AU"/>
        </w:rPr>
        <w:t xml:space="preserve"> </w:t>
      </w:r>
    </w:p>
    <w:p w14:paraId="4D37410D" w14:textId="5B4068C5" w:rsidR="00A2067E" w:rsidRDefault="00A2067E" w:rsidP="00A2067E"/>
    <w:p w14:paraId="2A0DCDA6" w14:textId="322ACB58" w:rsidR="006852A5" w:rsidRPr="00661349" w:rsidRDefault="00E70109" w:rsidP="00E70109">
      <w:pPr>
        <w:rPr>
          <w:rFonts w:ascii="Calibri" w:eastAsia="Times New Roman" w:hAnsi="Calibri" w:cs="Calibri"/>
          <w:color w:val="000000"/>
          <w:lang w:eastAsia="en-AU"/>
        </w:rPr>
      </w:pPr>
      <w:r>
        <w:object w:dxaOrig="3601" w:dyaOrig="2161" w14:anchorId="429089A6">
          <v:shape id="_x0000_i1061" type="#_x0000_t75" style="width:465pt;height:225pt" o:ole="">
            <v:imagedata r:id="rId115" o:title="" cropbottom="12729f"/>
          </v:shape>
          <o:OLEObject Type="Embed" ProgID="Acrobat.Document.2017" ShapeID="_x0000_i1061" DrawAspect="Icon" ObjectID="_1682751570" r:id="rId116"/>
        </w:object>
      </w:r>
      <w:r w:rsidR="006852A5">
        <w:t>Figure S3a</w:t>
      </w:r>
      <w:r w:rsidR="00616AE1">
        <w:t>k</w:t>
      </w:r>
      <w:r w:rsidR="006852A5">
        <w:t xml:space="preserve">. Hazards Lagoon pollen Principal Curve (PrC) and probability density function (PDF). High PrC values are driven by increased values of </w:t>
      </w:r>
      <w:r w:rsidR="006852A5" w:rsidRPr="008E45DB">
        <w:rPr>
          <w:i/>
          <w:iCs/>
        </w:rPr>
        <w:t>Eucalyptus</w:t>
      </w:r>
      <w:r w:rsidR="006852A5">
        <w:t xml:space="preserve"> and Casuarinaceae. Low PrC values are driven by increased values of Poaceae, Asteraceae and Epacridaceae</w:t>
      </w:r>
      <w:r w:rsidR="0081107F">
        <w:t xml:space="preserve"> </w:t>
      </w:r>
      <w:r w:rsidR="0081107F">
        <w:fldChar w:fldCharType="begin" w:fldLock="1"/>
      </w:r>
      <w:r>
        <w:instrText xml:space="preserve">ADDIN CSL_CITATION {"citationItems":[{"id":"ITEM-1","itemData":{"DOI":"10.1016/j.quaint.2014.11.051","ISSN":"10406182","abstract":"A late Quaternary pollen and charcoal record from Hazards Lagoon on the east coast of Tasmania provides a continuous record of vegetation and climate change. The pollen record shows an Epacridaceae and Poaceae dominated grassland community replaced dry sclerophyll forest during the Last Glacial Maximum (LGM </w:instrText>
      </w:r>
      <w:r>
        <w:rPr>
          <w:rFonts w:ascii="Cambria Math" w:hAnsi="Cambria Math" w:cs="Cambria Math"/>
        </w:rPr>
        <w:instrText>∼</w:instrText>
      </w:r>
      <w:r>
        <w:instrText>22</w:instrText>
      </w:r>
      <w:r>
        <w:rPr>
          <w:rFonts w:ascii="Calibri" w:hAnsi="Calibri" w:cs="Calibri"/>
        </w:rPr>
        <w:instrText>–</w:instrText>
      </w:r>
      <w:r>
        <w:instrText>18</w:instrText>
      </w:r>
      <w:r>
        <w:rPr>
          <w:rFonts w:ascii="Calibri" w:hAnsi="Calibri" w:cs="Calibri"/>
        </w:rPr>
        <w:instrText> </w:instrText>
      </w:r>
      <w:r>
        <w:instrText>cal</w:instrText>
      </w:r>
      <w:r>
        <w:rPr>
          <w:rFonts w:ascii="Calibri" w:hAnsi="Calibri" w:cs="Calibri"/>
        </w:rPr>
        <w:instrText> </w:instrText>
      </w:r>
      <w:r>
        <w:instrText>ka</w:instrText>
      </w:r>
      <w:r>
        <w:rPr>
          <w:rFonts w:ascii="Calibri" w:hAnsi="Calibri" w:cs="Calibri"/>
        </w:rPr>
        <w:instrText> </w:instrText>
      </w:r>
      <w:r>
        <w:instrText>BP). Eucalyptus and Casuarinaceae increased from the beginning of the deglacial period (</w:instrText>
      </w:r>
      <w:r>
        <w:rPr>
          <w:rFonts w:ascii="Cambria Math" w:hAnsi="Cambria Math" w:cs="Cambria Math"/>
        </w:rPr>
        <w:instrText>∼</w:instrText>
      </w:r>
      <w:r>
        <w:instrText>18</w:instrText>
      </w:r>
      <w:r>
        <w:rPr>
          <w:rFonts w:ascii="Calibri" w:hAnsi="Calibri" w:cs="Calibri"/>
        </w:rPr>
        <w:instrText>–</w:instrText>
      </w:r>
      <w:r>
        <w:instrText>12</w:instrText>
      </w:r>
      <w:r>
        <w:rPr>
          <w:rFonts w:ascii="Calibri" w:hAnsi="Calibri" w:cs="Calibri"/>
        </w:rPr>
        <w:instrText> </w:instrText>
      </w:r>
      <w:r>
        <w:instrText>cal</w:instrText>
      </w:r>
      <w:r>
        <w:rPr>
          <w:rFonts w:ascii="Calibri" w:hAnsi="Calibri" w:cs="Calibri"/>
        </w:rPr>
        <w:instrText> </w:instrText>
      </w:r>
      <w:r>
        <w:instrText>ka</w:instrText>
      </w:r>
      <w:r>
        <w:rPr>
          <w:rFonts w:ascii="Calibri" w:hAnsi="Calibri" w:cs="Calibri"/>
        </w:rPr>
        <w:instrText> </w:instrText>
      </w:r>
      <w:r>
        <w:instrText>BP) indicating early warming on the east coast of Tasmania. Abundant Myriophyllum and sedimentary characteristics indicate Hazards Lagoon was a permanent source of water throughout the LGM and until 16</w:instrText>
      </w:r>
      <w:r>
        <w:rPr>
          <w:rFonts w:ascii="Calibri" w:hAnsi="Calibri" w:cs="Calibri"/>
        </w:rPr>
        <w:instrText> </w:instrText>
      </w:r>
      <w:r>
        <w:instrText>cal ka BP suggesting either increased precipitation and/or decreased evaporation rates. A positive moisture balance throughout the LGM contrasts with records from the west coast of Tasmania and parts of mainland Australia. Fire was suppressed at the site until 14 cal ka BP, corresponding with reduced woody vegetation and a positive moisture balance. Dry sclerophyll forest established during the deglacial period, remaining stable throughout the Holocene. A coastal vegetation community developed in response to sea-level rise, characterised by abundant Eucalyptus pollen and increasing values of Casuarinaceae. By the mid-Holocene, the Hazards Lagoon pollen record is typical of a Tasmanian coastal site dominated by Casuarinaceae. This research highlights the need for spatially diverse studies throughout the Southern Hemisphere to identify drivers of environmental change during the late Quaternary.","author":[{"dropping-particle":"","family":"Mackenzie","given":"Lydia","non-dropping-particle":"","parse-names":false,"suffix":""},{"dropping-particle":"","family":"Moss","given":"Patrick","non-dropping-particle":"","parse-names":false,"suffix":""}],"container-title":"Quaternary International","id":"ITEM-1","issued":{"date-parts":[["2017"]]},"page":"58-65","publisher":"Elsevier Ltd","title":"A late Quaternary record of vegetation and climate change from Hazards Lagoon, eastern Tasmania","type":"article-journal","volume":"432"},"uris":["http://www.mendeley.com/documents/?uuid=34340909-00fc-45ce-982b-ad819e30dbac"]}],"mendeley":{"formattedCitation":"(Mackenzie and Moss, 2017)","plainTextFormattedCitation":"(Mackenzie and Moss, 2017)","previouslyFormattedCitation":"(Mackenzie and Moss, 2017)"},"properties":{"noteIndex":0},"schema":"https://github.com/citation-style-language/schema/raw/master/csl-citation.json"}</w:instrText>
      </w:r>
      <w:r w:rsidR="0081107F">
        <w:fldChar w:fldCharType="separate"/>
      </w:r>
      <w:r w:rsidR="0081107F" w:rsidRPr="0081107F">
        <w:rPr>
          <w:noProof/>
        </w:rPr>
        <w:t>(Mackenzie and Moss, 2017)</w:t>
      </w:r>
      <w:r w:rsidR="0081107F">
        <w:fldChar w:fldCharType="end"/>
      </w:r>
      <w:r w:rsidR="006852A5">
        <w:rPr>
          <w:rFonts w:ascii="Calibri" w:eastAsia="Times New Roman" w:hAnsi="Calibri" w:cs="Calibri"/>
          <w:color w:val="000000"/>
          <w:lang w:eastAsia="en-AU"/>
        </w:rPr>
        <w:t>.</w:t>
      </w:r>
      <w:r w:rsidR="006852A5">
        <w:t xml:space="preserve"> </w:t>
      </w:r>
    </w:p>
    <w:p w14:paraId="1BA52875" w14:textId="77777777" w:rsidR="006852A5" w:rsidRDefault="006852A5" w:rsidP="00A2067E"/>
    <w:sectPr w:rsidR="006852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82430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F920E63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7A4B45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838C3A0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7D98BA14"/>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1AFFE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EC0E5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2E8F5C"/>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E83F3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CA859B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E22371E"/>
    <w:multiLevelType w:val="multilevel"/>
    <w:tmpl w:val="4F0E3C26"/>
    <w:lvl w:ilvl="0">
      <w:start w:val="1"/>
      <w:numFmt w:val="decimal"/>
      <w:pStyle w:val="TM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C1D085C"/>
    <w:multiLevelType w:val="hybridMultilevel"/>
    <w:tmpl w:val="0C3233B2"/>
    <w:lvl w:ilvl="0" w:tplc="0FC65EBE">
      <w:start w:val="1"/>
      <w:numFmt w:val="lowerRoman"/>
      <w:lvlText w:val="%1."/>
      <w:lvlJc w:val="right"/>
      <w:pPr>
        <w:ind w:left="94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lining"/>
        <w14:numSpacing w14:val="default"/>
        <w14:stylisticSets/>
        <w14:cntxtAlts w14:val="0"/>
      </w:r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67E"/>
    <w:rsid w:val="00065C21"/>
    <w:rsid w:val="001175A1"/>
    <w:rsid w:val="0014753E"/>
    <w:rsid w:val="00175BF6"/>
    <w:rsid w:val="00193D26"/>
    <w:rsid w:val="00211CB6"/>
    <w:rsid w:val="00223B42"/>
    <w:rsid w:val="00231B68"/>
    <w:rsid w:val="00253F59"/>
    <w:rsid w:val="00255A19"/>
    <w:rsid w:val="00294540"/>
    <w:rsid w:val="002A7974"/>
    <w:rsid w:val="002B2642"/>
    <w:rsid w:val="002C1376"/>
    <w:rsid w:val="003970EC"/>
    <w:rsid w:val="0040261D"/>
    <w:rsid w:val="00417184"/>
    <w:rsid w:val="00445225"/>
    <w:rsid w:val="004A3C4B"/>
    <w:rsid w:val="004B6AA2"/>
    <w:rsid w:val="00547BC0"/>
    <w:rsid w:val="0055376E"/>
    <w:rsid w:val="00566342"/>
    <w:rsid w:val="005F6866"/>
    <w:rsid w:val="00616AE1"/>
    <w:rsid w:val="00661349"/>
    <w:rsid w:val="0066605E"/>
    <w:rsid w:val="006852A5"/>
    <w:rsid w:val="006A2ACE"/>
    <w:rsid w:val="006B7508"/>
    <w:rsid w:val="006C1461"/>
    <w:rsid w:val="006E4263"/>
    <w:rsid w:val="00704E7D"/>
    <w:rsid w:val="00727DDE"/>
    <w:rsid w:val="007357E9"/>
    <w:rsid w:val="007D548D"/>
    <w:rsid w:val="007D59F1"/>
    <w:rsid w:val="0080446D"/>
    <w:rsid w:val="00810C3D"/>
    <w:rsid w:val="0081107F"/>
    <w:rsid w:val="00832939"/>
    <w:rsid w:val="00836BE1"/>
    <w:rsid w:val="008D7E9A"/>
    <w:rsid w:val="008E45DB"/>
    <w:rsid w:val="00927E6B"/>
    <w:rsid w:val="009857B5"/>
    <w:rsid w:val="009A733C"/>
    <w:rsid w:val="009D11DA"/>
    <w:rsid w:val="009E2114"/>
    <w:rsid w:val="00A0336E"/>
    <w:rsid w:val="00A11B55"/>
    <w:rsid w:val="00A2067E"/>
    <w:rsid w:val="00AA4A5C"/>
    <w:rsid w:val="00AD780A"/>
    <w:rsid w:val="00AE5167"/>
    <w:rsid w:val="00AF018F"/>
    <w:rsid w:val="00B310E2"/>
    <w:rsid w:val="00B66B1C"/>
    <w:rsid w:val="00B84C4D"/>
    <w:rsid w:val="00BB0BE9"/>
    <w:rsid w:val="00BC3CA7"/>
    <w:rsid w:val="00BC3CEB"/>
    <w:rsid w:val="00BD7EF9"/>
    <w:rsid w:val="00C20093"/>
    <w:rsid w:val="00C447B6"/>
    <w:rsid w:val="00CC343A"/>
    <w:rsid w:val="00D256E8"/>
    <w:rsid w:val="00D26716"/>
    <w:rsid w:val="00D54274"/>
    <w:rsid w:val="00D749CF"/>
    <w:rsid w:val="00D97153"/>
    <w:rsid w:val="00DC0C58"/>
    <w:rsid w:val="00E70109"/>
    <w:rsid w:val="00EC5FBB"/>
    <w:rsid w:val="00F02A93"/>
    <w:rsid w:val="00F0653E"/>
    <w:rsid w:val="00FA4AC0"/>
    <w:rsid w:val="00FC54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9259F"/>
  <w15:chartTrackingRefBased/>
  <w15:docId w15:val="{F114513D-03E4-4427-AC0D-1BEFB19C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53E"/>
    <w:pPr>
      <w:spacing w:line="360" w:lineRule="auto"/>
    </w:pPr>
  </w:style>
  <w:style w:type="paragraph" w:styleId="Titre1">
    <w:name w:val="heading 1"/>
    <w:basedOn w:val="Normal"/>
    <w:next w:val="Normal"/>
    <w:link w:val="Titre1Car"/>
    <w:uiPriority w:val="9"/>
    <w:qFormat/>
    <w:rsid w:val="006A2ACE"/>
    <w:pPr>
      <w:keepNext/>
      <w:keepLines/>
      <w:spacing w:before="240" w:after="0"/>
      <w:outlineLvl w:val="0"/>
    </w:pPr>
    <w:rPr>
      <w:rFonts w:asciiTheme="majorHAnsi" w:eastAsiaTheme="majorEastAsia" w:hAnsiTheme="majorHAnsi" w:cstheme="majorBidi"/>
      <w:b/>
      <w:sz w:val="24"/>
      <w:szCs w:val="32"/>
    </w:rPr>
  </w:style>
  <w:style w:type="paragraph" w:styleId="Titre2">
    <w:name w:val="heading 2"/>
    <w:basedOn w:val="Normal"/>
    <w:next w:val="Normal"/>
    <w:link w:val="Titre2Car"/>
    <w:uiPriority w:val="9"/>
    <w:semiHidden/>
    <w:unhideWhenUsed/>
    <w:qFormat/>
    <w:rsid w:val="004A3C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2945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29454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294540"/>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294540"/>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9454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9454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9454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A2ACE"/>
    <w:pPr>
      <w:spacing w:after="0" w:line="240" w:lineRule="auto"/>
      <w:contextualSpacing/>
    </w:pPr>
    <w:rPr>
      <w:rFonts w:asciiTheme="majorHAnsi" w:eastAsiaTheme="majorEastAsia" w:hAnsiTheme="majorHAnsi" w:cstheme="majorBidi"/>
      <w:b/>
      <w:spacing w:val="-10"/>
      <w:kern w:val="28"/>
      <w:sz w:val="24"/>
      <w:szCs w:val="56"/>
    </w:rPr>
  </w:style>
  <w:style w:type="character" w:customStyle="1" w:styleId="TitreCar">
    <w:name w:val="Titre Car"/>
    <w:basedOn w:val="Policepardfaut"/>
    <w:link w:val="Titre"/>
    <w:uiPriority w:val="10"/>
    <w:rsid w:val="006A2ACE"/>
    <w:rPr>
      <w:rFonts w:asciiTheme="majorHAnsi" w:eastAsiaTheme="majorEastAsia" w:hAnsiTheme="majorHAnsi" w:cstheme="majorBidi"/>
      <w:b/>
      <w:spacing w:val="-10"/>
      <w:kern w:val="28"/>
      <w:sz w:val="24"/>
      <w:szCs w:val="56"/>
    </w:rPr>
  </w:style>
  <w:style w:type="character" w:customStyle="1" w:styleId="Titre1Car">
    <w:name w:val="Titre 1 Car"/>
    <w:basedOn w:val="Policepardfaut"/>
    <w:link w:val="Titre1"/>
    <w:uiPriority w:val="9"/>
    <w:rsid w:val="006A2ACE"/>
    <w:rPr>
      <w:rFonts w:asciiTheme="majorHAnsi" w:eastAsiaTheme="majorEastAsia" w:hAnsiTheme="majorHAnsi" w:cstheme="majorBidi"/>
      <w:b/>
      <w:sz w:val="24"/>
      <w:szCs w:val="32"/>
    </w:rPr>
  </w:style>
  <w:style w:type="paragraph" w:styleId="TM2">
    <w:name w:val="toc 2"/>
    <w:aliases w:val="Suppliments"/>
    <w:basedOn w:val="Titre2"/>
    <w:next w:val="Normal"/>
    <w:link w:val="TM2Car"/>
    <w:autoRedefine/>
    <w:uiPriority w:val="39"/>
    <w:unhideWhenUsed/>
    <w:qFormat/>
    <w:rsid w:val="004A3C4B"/>
    <w:pPr>
      <w:widowControl w:val="0"/>
      <w:numPr>
        <w:numId w:val="2"/>
      </w:numPr>
      <w:spacing w:before="550" w:line="240" w:lineRule="auto"/>
      <w:ind w:left="360" w:hanging="360"/>
    </w:pPr>
    <w:rPr>
      <w:rFonts w:ascii="Constantia" w:eastAsia="Times New Roman" w:hAnsi="Constantia" w:cs="Times New Roman"/>
      <w:bCs/>
      <w:color w:val="5B9BD5" w:themeColor="accent1"/>
      <w:kern w:val="20"/>
      <w:sz w:val="30"/>
      <w:szCs w:val="20"/>
      <w:lang w:eastAsia="en-AU"/>
      <w14:numForm w14:val="lining"/>
      <w14:numSpacing w14:val="tabular"/>
    </w:rPr>
  </w:style>
  <w:style w:type="character" w:customStyle="1" w:styleId="TM2Car">
    <w:name w:val="TM 2 Car"/>
    <w:aliases w:val="Suppliments Car"/>
    <w:basedOn w:val="Titre2Car"/>
    <w:link w:val="TM2"/>
    <w:uiPriority w:val="39"/>
    <w:rsid w:val="004A3C4B"/>
    <w:rPr>
      <w:rFonts w:ascii="Constantia" w:eastAsia="Times New Roman" w:hAnsi="Constantia" w:cs="Times New Roman"/>
      <w:bCs/>
      <w:color w:val="5B9BD5" w:themeColor="accent1"/>
      <w:kern w:val="20"/>
      <w:sz w:val="30"/>
      <w:szCs w:val="20"/>
      <w:lang w:eastAsia="en-AU"/>
      <w14:numForm w14:val="lining"/>
      <w14:numSpacing w14:val="tabular"/>
    </w:rPr>
  </w:style>
  <w:style w:type="character" w:customStyle="1" w:styleId="Titre2Car">
    <w:name w:val="Titre 2 Car"/>
    <w:basedOn w:val="Policepardfaut"/>
    <w:link w:val="Titre2"/>
    <w:uiPriority w:val="9"/>
    <w:semiHidden/>
    <w:rsid w:val="004A3C4B"/>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BC3CA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3CA7"/>
    <w:rPr>
      <w:rFonts w:ascii="Segoe UI" w:hAnsi="Segoe UI" w:cs="Segoe UI"/>
      <w:sz w:val="18"/>
      <w:szCs w:val="18"/>
    </w:rPr>
  </w:style>
  <w:style w:type="paragraph" w:styleId="Bibliographie">
    <w:name w:val="Bibliography"/>
    <w:basedOn w:val="Normal"/>
    <w:next w:val="Normal"/>
    <w:uiPriority w:val="37"/>
    <w:semiHidden/>
    <w:unhideWhenUsed/>
    <w:rsid w:val="00294540"/>
  </w:style>
  <w:style w:type="paragraph" w:styleId="Normalcentr">
    <w:name w:val="Block Text"/>
    <w:basedOn w:val="Normal"/>
    <w:uiPriority w:val="99"/>
    <w:semiHidden/>
    <w:unhideWhenUsed/>
    <w:rsid w:val="0029454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Corpsdetexte">
    <w:name w:val="Body Text"/>
    <w:basedOn w:val="Normal"/>
    <w:link w:val="CorpsdetexteCar"/>
    <w:uiPriority w:val="99"/>
    <w:semiHidden/>
    <w:unhideWhenUsed/>
    <w:rsid w:val="00294540"/>
    <w:pPr>
      <w:spacing w:after="120"/>
    </w:pPr>
  </w:style>
  <w:style w:type="character" w:customStyle="1" w:styleId="CorpsdetexteCar">
    <w:name w:val="Corps de texte Car"/>
    <w:basedOn w:val="Policepardfaut"/>
    <w:link w:val="Corpsdetexte"/>
    <w:uiPriority w:val="99"/>
    <w:semiHidden/>
    <w:rsid w:val="00294540"/>
  </w:style>
  <w:style w:type="paragraph" w:styleId="Corpsdetexte2">
    <w:name w:val="Body Text 2"/>
    <w:basedOn w:val="Normal"/>
    <w:link w:val="Corpsdetexte2Car"/>
    <w:uiPriority w:val="99"/>
    <w:semiHidden/>
    <w:unhideWhenUsed/>
    <w:rsid w:val="00294540"/>
    <w:pPr>
      <w:spacing w:after="120" w:line="480" w:lineRule="auto"/>
    </w:pPr>
  </w:style>
  <w:style w:type="character" w:customStyle="1" w:styleId="Corpsdetexte2Car">
    <w:name w:val="Corps de texte 2 Car"/>
    <w:basedOn w:val="Policepardfaut"/>
    <w:link w:val="Corpsdetexte2"/>
    <w:uiPriority w:val="99"/>
    <w:semiHidden/>
    <w:rsid w:val="00294540"/>
  </w:style>
  <w:style w:type="paragraph" w:styleId="Corpsdetexte3">
    <w:name w:val="Body Text 3"/>
    <w:basedOn w:val="Normal"/>
    <w:link w:val="Corpsdetexte3Car"/>
    <w:uiPriority w:val="99"/>
    <w:semiHidden/>
    <w:unhideWhenUsed/>
    <w:rsid w:val="00294540"/>
    <w:pPr>
      <w:spacing w:after="120"/>
    </w:pPr>
    <w:rPr>
      <w:sz w:val="16"/>
      <w:szCs w:val="16"/>
    </w:rPr>
  </w:style>
  <w:style w:type="character" w:customStyle="1" w:styleId="Corpsdetexte3Car">
    <w:name w:val="Corps de texte 3 Car"/>
    <w:basedOn w:val="Policepardfaut"/>
    <w:link w:val="Corpsdetexte3"/>
    <w:uiPriority w:val="99"/>
    <w:semiHidden/>
    <w:rsid w:val="00294540"/>
    <w:rPr>
      <w:sz w:val="16"/>
      <w:szCs w:val="16"/>
    </w:rPr>
  </w:style>
  <w:style w:type="paragraph" w:styleId="Retrait1religne">
    <w:name w:val="Body Text First Indent"/>
    <w:basedOn w:val="Corpsdetexte"/>
    <w:link w:val="Retrait1religneCar"/>
    <w:uiPriority w:val="99"/>
    <w:semiHidden/>
    <w:unhideWhenUsed/>
    <w:rsid w:val="00294540"/>
    <w:pPr>
      <w:spacing w:after="160"/>
      <w:ind w:firstLine="360"/>
    </w:pPr>
  </w:style>
  <w:style w:type="character" w:customStyle="1" w:styleId="Retrait1religneCar">
    <w:name w:val="Retrait 1re ligne Car"/>
    <w:basedOn w:val="CorpsdetexteCar"/>
    <w:link w:val="Retrait1religne"/>
    <w:uiPriority w:val="99"/>
    <w:semiHidden/>
    <w:rsid w:val="00294540"/>
  </w:style>
  <w:style w:type="paragraph" w:styleId="Retraitcorpsdetexte">
    <w:name w:val="Body Text Indent"/>
    <w:basedOn w:val="Normal"/>
    <w:link w:val="RetraitcorpsdetexteCar"/>
    <w:uiPriority w:val="99"/>
    <w:semiHidden/>
    <w:unhideWhenUsed/>
    <w:rsid w:val="00294540"/>
    <w:pPr>
      <w:spacing w:after="120"/>
      <w:ind w:left="283"/>
    </w:pPr>
  </w:style>
  <w:style w:type="character" w:customStyle="1" w:styleId="RetraitcorpsdetexteCar">
    <w:name w:val="Retrait corps de texte Car"/>
    <w:basedOn w:val="Policepardfaut"/>
    <w:link w:val="Retraitcorpsdetexte"/>
    <w:uiPriority w:val="99"/>
    <w:semiHidden/>
    <w:rsid w:val="00294540"/>
  </w:style>
  <w:style w:type="paragraph" w:styleId="Retraitcorpset1relig">
    <w:name w:val="Body Text First Indent 2"/>
    <w:basedOn w:val="Retraitcorpsdetexte"/>
    <w:link w:val="Retraitcorpset1religCar"/>
    <w:uiPriority w:val="99"/>
    <w:semiHidden/>
    <w:unhideWhenUsed/>
    <w:rsid w:val="00294540"/>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294540"/>
  </w:style>
  <w:style w:type="paragraph" w:styleId="Retraitcorpsdetexte2">
    <w:name w:val="Body Text Indent 2"/>
    <w:basedOn w:val="Normal"/>
    <w:link w:val="Retraitcorpsdetexte2Car"/>
    <w:uiPriority w:val="99"/>
    <w:semiHidden/>
    <w:unhideWhenUsed/>
    <w:rsid w:val="00294540"/>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94540"/>
  </w:style>
  <w:style w:type="paragraph" w:styleId="Retraitcorpsdetexte3">
    <w:name w:val="Body Text Indent 3"/>
    <w:basedOn w:val="Normal"/>
    <w:link w:val="Retraitcorpsdetexte3Car"/>
    <w:uiPriority w:val="99"/>
    <w:semiHidden/>
    <w:unhideWhenUsed/>
    <w:rsid w:val="00294540"/>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294540"/>
    <w:rPr>
      <w:sz w:val="16"/>
      <w:szCs w:val="16"/>
    </w:rPr>
  </w:style>
  <w:style w:type="paragraph" w:styleId="Lgende">
    <w:name w:val="caption"/>
    <w:basedOn w:val="Normal"/>
    <w:next w:val="Normal"/>
    <w:uiPriority w:val="35"/>
    <w:semiHidden/>
    <w:unhideWhenUsed/>
    <w:qFormat/>
    <w:rsid w:val="00294540"/>
    <w:pPr>
      <w:spacing w:after="200" w:line="240" w:lineRule="auto"/>
    </w:pPr>
    <w:rPr>
      <w:i/>
      <w:iCs/>
      <w:color w:val="44546A" w:themeColor="text2"/>
      <w:sz w:val="18"/>
      <w:szCs w:val="18"/>
    </w:rPr>
  </w:style>
  <w:style w:type="paragraph" w:styleId="Formuledepolitesse">
    <w:name w:val="Closing"/>
    <w:basedOn w:val="Normal"/>
    <w:link w:val="FormuledepolitesseCar"/>
    <w:uiPriority w:val="99"/>
    <w:semiHidden/>
    <w:unhideWhenUsed/>
    <w:rsid w:val="00294540"/>
    <w:pPr>
      <w:spacing w:after="0" w:line="240" w:lineRule="auto"/>
      <w:ind w:left="4252"/>
    </w:pPr>
  </w:style>
  <w:style w:type="character" w:customStyle="1" w:styleId="FormuledepolitesseCar">
    <w:name w:val="Formule de politesse Car"/>
    <w:basedOn w:val="Policepardfaut"/>
    <w:link w:val="Formuledepolitesse"/>
    <w:uiPriority w:val="99"/>
    <w:semiHidden/>
    <w:rsid w:val="00294540"/>
  </w:style>
  <w:style w:type="paragraph" w:styleId="Commentaire">
    <w:name w:val="annotation text"/>
    <w:basedOn w:val="Normal"/>
    <w:link w:val="CommentaireCar"/>
    <w:uiPriority w:val="99"/>
    <w:semiHidden/>
    <w:unhideWhenUsed/>
    <w:rsid w:val="00294540"/>
    <w:pPr>
      <w:spacing w:line="240" w:lineRule="auto"/>
    </w:pPr>
    <w:rPr>
      <w:sz w:val="20"/>
      <w:szCs w:val="20"/>
    </w:rPr>
  </w:style>
  <w:style w:type="character" w:customStyle="1" w:styleId="CommentaireCar">
    <w:name w:val="Commentaire Car"/>
    <w:basedOn w:val="Policepardfaut"/>
    <w:link w:val="Commentaire"/>
    <w:uiPriority w:val="99"/>
    <w:semiHidden/>
    <w:rsid w:val="00294540"/>
    <w:rPr>
      <w:sz w:val="20"/>
      <w:szCs w:val="20"/>
    </w:rPr>
  </w:style>
  <w:style w:type="paragraph" w:styleId="Objetducommentaire">
    <w:name w:val="annotation subject"/>
    <w:basedOn w:val="Commentaire"/>
    <w:next w:val="Commentaire"/>
    <w:link w:val="ObjetducommentaireCar"/>
    <w:uiPriority w:val="99"/>
    <w:semiHidden/>
    <w:unhideWhenUsed/>
    <w:rsid w:val="00294540"/>
    <w:rPr>
      <w:b/>
      <w:bCs/>
    </w:rPr>
  </w:style>
  <w:style w:type="character" w:customStyle="1" w:styleId="ObjetducommentaireCar">
    <w:name w:val="Objet du commentaire Car"/>
    <w:basedOn w:val="CommentaireCar"/>
    <w:link w:val="Objetducommentaire"/>
    <w:uiPriority w:val="99"/>
    <w:semiHidden/>
    <w:rsid w:val="00294540"/>
    <w:rPr>
      <w:b/>
      <w:bCs/>
      <w:sz w:val="20"/>
      <w:szCs w:val="20"/>
    </w:rPr>
  </w:style>
  <w:style w:type="paragraph" w:styleId="Date">
    <w:name w:val="Date"/>
    <w:basedOn w:val="Normal"/>
    <w:next w:val="Normal"/>
    <w:link w:val="DateCar"/>
    <w:uiPriority w:val="99"/>
    <w:semiHidden/>
    <w:unhideWhenUsed/>
    <w:rsid w:val="00294540"/>
  </w:style>
  <w:style w:type="character" w:customStyle="1" w:styleId="DateCar">
    <w:name w:val="Date Car"/>
    <w:basedOn w:val="Policepardfaut"/>
    <w:link w:val="Date"/>
    <w:uiPriority w:val="99"/>
    <w:semiHidden/>
    <w:rsid w:val="00294540"/>
  </w:style>
  <w:style w:type="paragraph" w:styleId="Explorateurdedocuments">
    <w:name w:val="Document Map"/>
    <w:basedOn w:val="Normal"/>
    <w:link w:val="ExplorateurdedocumentsCar"/>
    <w:uiPriority w:val="99"/>
    <w:semiHidden/>
    <w:unhideWhenUsed/>
    <w:rsid w:val="00294540"/>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294540"/>
    <w:rPr>
      <w:rFonts w:ascii="Segoe UI" w:hAnsi="Segoe UI" w:cs="Segoe UI"/>
      <w:sz w:val="16"/>
      <w:szCs w:val="16"/>
    </w:rPr>
  </w:style>
  <w:style w:type="paragraph" w:styleId="Signaturelectronique">
    <w:name w:val="E-mail Signature"/>
    <w:basedOn w:val="Normal"/>
    <w:link w:val="SignaturelectroniqueCar"/>
    <w:uiPriority w:val="99"/>
    <w:semiHidden/>
    <w:unhideWhenUsed/>
    <w:rsid w:val="00294540"/>
    <w:pPr>
      <w:spacing w:after="0" w:line="240" w:lineRule="auto"/>
    </w:pPr>
  </w:style>
  <w:style w:type="character" w:customStyle="1" w:styleId="SignaturelectroniqueCar">
    <w:name w:val="Signature électronique Car"/>
    <w:basedOn w:val="Policepardfaut"/>
    <w:link w:val="Signaturelectronique"/>
    <w:uiPriority w:val="99"/>
    <w:semiHidden/>
    <w:rsid w:val="00294540"/>
  </w:style>
  <w:style w:type="paragraph" w:styleId="Notedefin">
    <w:name w:val="endnote text"/>
    <w:basedOn w:val="Normal"/>
    <w:link w:val="NotedefinCar"/>
    <w:uiPriority w:val="99"/>
    <w:semiHidden/>
    <w:unhideWhenUsed/>
    <w:rsid w:val="00294540"/>
    <w:pPr>
      <w:spacing w:after="0" w:line="240" w:lineRule="auto"/>
    </w:pPr>
    <w:rPr>
      <w:sz w:val="20"/>
      <w:szCs w:val="20"/>
    </w:rPr>
  </w:style>
  <w:style w:type="character" w:customStyle="1" w:styleId="NotedefinCar">
    <w:name w:val="Note de fin Car"/>
    <w:basedOn w:val="Policepardfaut"/>
    <w:link w:val="Notedefin"/>
    <w:uiPriority w:val="99"/>
    <w:semiHidden/>
    <w:rsid w:val="00294540"/>
    <w:rPr>
      <w:sz w:val="20"/>
      <w:szCs w:val="20"/>
    </w:rPr>
  </w:style>
  <w:style w:type="paragraph" w:styleId="Adressedestinataire">
    <w:name w:val="envelope address"/>
    <w:basedOn w:val="Normal"/>
    <w:uiPriority w:val="99"/>
    <w:semiHidden/>
    <w:unhideWhenUsed/>
    <w:rsid w:val="0029454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294540"/>
    <w:pPr>
      <w:spacing w:after="0" w:line="240" w:lineRule="auto"/>
    </w:pPr>
    <w:rPr>
      <w:rFonts w:asciiTheme="majorHAnsi" w:eastAsiaTheme="majorEastAsia" w:hAnsiTheme="majorHAnsi" w:cstheme="majorBidi"/>
      <w:sz w:val="20"/>
      <w:szCs w:val="20"/>
    </w:rPr>
  </w:style>
  <w:style w:type="paragraph" w:styleId="Pieddepage">
    <w:name w:val="footer"/>
    <w:basedOn w:val="Normal"/>
    <w:link w:val="PieddepageCar"/>
    <w:uiPriority w:val="99"/>
    <w:semiHidden/>
    <w:unhideWhenUsed/>
    <w:rsid w:val="00294540"/>
    <w:pPr>
      <w:tabs>
        <w:tab w:val="center" w:pos="4513"/>
        <w:tab w:val="right" w:pos="9026"/>
      </w:tabs>
      <w:spacing w:after="0" w:line="240" w:lineRule="auto"/>
    </w:pPr>
  </w:style>
  <w:style w:type="character" w:customStyle="1" w:styleId="PieddepageCar">
    <w:name w:val="Pied de page Car"/>
    <w:basedOn w:val="Policepardfaut"/>
    <w:link w:val="Pieddepage"/>
    <w:uiPriority w:val="99"/>
    <w:semiHidden/>
    <w:rsid w:val="00294540"/>
  </w:style>
  <w:style w:type="paragraph" w:styleId="Notedebasdepage">
    <w:name w:val="footnote text"/>
    <w:basedOn w:val="Normal"/>
    <w:link w:val="NotedebasdepageCar"/>
    <w:uiPriority w:val="99"/>
    <w:semiHidden/>
    <w:unhideWhenUsed/>
    <w:rsid w:val="0029454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94540"/>
    <w:rPr>
      <w:sz w:val="20"/>
      <w:szCs w:val="20"/>
    </w:rPr>
  </w:style>
  <w:style w:type="paragraph" w:styleId="En-tte">
    <w:name w:val="header"/>
    <w:basedOn w:val="Normal"/>
    <w:link w:val="En-tteCar"/>
    <w:uiPriority w:val="99"/>
    <w:semiHidden/>
    <w:unhideWhenUsed/>
    <w:rsid w:val="00294540"/>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294540"/>
  </w:style>
  <w:style w:type="character" w:customStyle="1" w:styleId="Titre3Car">
    <w:name w:val="Titre 3 Car"/>
    <w:basedOn w:val="Policepardfaut"/>
    <w:link w:val="Titre3"/>
    <w:uiPriority w:val="9"/>
    <w:semiHidden/>
    <w:rsid w:val="00294540"/>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294540"/>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294540"/>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294540"/>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294540"/>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29454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94540"/>
    <w:rPr>
      <w:rFonts w:asciiTheme="majorHAnsi" w:eastAsiaTheme="majorEastAsia" w:hAnsiTheme="majorHAnsi" w:cstheme="majorBidi"/>
      <w:i/>
      <w:iCs/>
      <w:color w:val="272727" w:themeColor="text1" w:themeTint="D8"/>
      <w:sz w:val="21"/>
      <w:szCs w:val="21"/>
    </w:rPr>
  </w:style>
  <w:style w:type="paragraph" w:styleId="AdresseHTML">
    <w:name w:val="HTML Address"/>
    <w:basedOn w:val="Normal"/>
    <w:link w:val="AdresseHTMLCar"/>
    <w:uiPriority w:val="99"/>
    <w:semiHidden/>
    <w:unhideWhenUsed/>
    <w:rsid w:val="00294540"/>
    <w:pPr>
      <w:spacing w:after="0" w:line="240" w:lineRule="auto"/>
    </w:pPr>
    <w:rPr>
      <w:i/>
      <w:iCs/>
    </w:rPr>
  </w:style>
  <w:style w:type="character" w:customStyle="1" w:styleId="AdresseHTMLCar">
    <w:name w:val="Adresse HTML Car"/>
    <w:basedOn w:val="Policepardfaut"/>
    <w:link w:val="AdresseHTML"/>
    <w:uiPriority w:val="99"/>
    <w:semiHidden/>
    <w:rsid w:val="00294540"/>
    <w:rPr>
      <w:i/>
      <w:iCs/>
    </w:rPr>
  </w:style>
  <w:style w:type="paragraph" w:styleId="PrformatHTML">
    <w:name w:val="HTML Preformatted"/>
    <w:basedOn w:val="Normal"/>
    <w:link w:val="PrformatHTMLCar"/>
    <w:uiPriority w:val="99"/>
    <w:semiHidden/>
    <w:unhideWhenUsed/>
    <w:rsid w:val="00294540"/>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294540"/>
    <w:rPr>
      <w:rFonts w:ascii="Consolas" w:hAnsi="Consolas"/>
      <w:sz w:val="20"/>
      <w:szCs w:val="20"/>
    </w:rPr>
  </w:style>
  <w:style w:type="paragraph" w:styleId="Index1">
    <w:name w:val="index 1"/>
    <w:basedOn w:val="Normal"/>
    <w:next w:val="Normal"/>
    <w:autoRedefine/>
    <w:uiPriority w:val="99"/>
    <w:semiHidden/>
    <w:unhideWhenUsed/>
    <w:rsid w:val="00294540"/>
    <w:pPr>
      <w:spacing w:after="0" w:line="240" w:lineRule="auto"/>
      <w:ind w:left="220" w:hanging="220"/>
    </w:pPr>
  </w:style>
  <w:style w:type="paragraph" w:styleId="Index2">
    <w:name w:val="index 2"/>
    <w:basedOn w:val="Normal"/>
    <w:next w:val="Normal"/>
    <w:autoRedefine/>
    <w:uiPriority w:val="99"/>
    <w:semiHidden/>
    <w:unhideWhenUsed/>
    <w:rsid w:val="00294540"/>
    <w:pPr>
      <w:spacing w:after="0" w:line="240" w:lineRule="auto"/>
      <w:ind w:left="440" w:hanging="220"/>
    </w:pPr>
  </w:style>
  <w:style w:type="paragraph" w:styleId="Index3">
    <w:name w:val="index 3"/>
    <w:basedOn w:val="Normal"/>
    <w:next w:val="Normal"/>
    <w:autoRedefine/>
    <w:uiPriority w:val="99"/>
    <w:semiHidden/>
    <w:unhideWhenUsed/>
    <w:rsid w:val="00294540"/>
    <w:pPr>
      <w:spacing w:after="0" w:line="240" w:lineRule="auto"/>
      <w:ind w:left="660" w:hanging="220"/>
    </w:pPr>
  </w:style>
  <w:style w:type="paragraph" w:styleId="Index4">
    <w:name w:val="index 4"/>
    <w:basedOn w:val="Normal"/>
    <w:next w:val="Normal"/>
    <w:autoRedefine/>
    <w:uiPriority w:val="99"/>
    <w:semiHidden/>
    <w:unhideWhenUsed/>
    <w:rsid w:val="00294540"/>
    <w:pPr>
      <w:spacing w:after="0" w:line="240" w:lineRule="auto"/>
      <w:ind w:left="880" w:hanging="220"/>
    </w:pPr>
  </w:style>
  <w:style w:type="paragraph" w:styleId="Index5">
    <w:name w:val="index 5"/>
    <w:basedOn w:val="Normal"/>
    <w:next w:val="Normal"/>
    <w:autoRedefine/>
    <w:uiPriority w:val="99"/>
    <w:semiHidden/>
    <w:unhideWhenUsed/>
    <w:rsid w:val="00294540"/>
    <w:pPr>
      <w:spacing w:after="0" w:line="240" w:lineRule="auto"/>
      <w:ind w:left="1100" w:hanging="220"/>
    </w:pPr>
  </w:style>
  <w:style w:type="paragraph" w:styleId="Index6">
    <w:name w:val="index 6"/>
    <w:basedOn w:val="Normal"/>
    <w:next w:val="Normal"/>
    <w:autoRedefine/>
    <w:uiPriority w:val="99"/>
    <w:semiHidden/>
    <w:unhideWhenUsed/>
    <w:rsid w:val="00294540"/>
    <w:pPr>
      <w:spacing w:after="0" w:line="240" w:lineRule="auto"/>
      <w:ind w:left="1320" w:hanging="220"/>
    </w:pPr>
  </w:style>
  <w:style w:type="paragraph" w:styleId="Index7">
    <w:name w:val="index 7"/>
    <w:basedOn w:val="Normal"/>
    <w:next w:val="Normal"/>
    <w:autoRedefine/>
    <w:uiPriority w:val="99"/>
    <w:semiHidden/>
    <w:unhideWhenUsed/>
    <w:rsid w:val="00294540"/>
    <w:pPr>
      <w:spacing w:after="0" w:line="240" w:lineRule="auto"/>
      <w:ind w:left="1540" w:hanging="220"/>
    </w:pPr>
  </w:style>
  <w:style w:type="paragraph" w:styleId="Index8">
    <w:name w:val="index 8"/>
    <w:basedOn w:val="Normal"/>
    <w:next w:val="Normal"/>
    <w:autoRedefine/>
    <w:uiPriority w:val="99"/>
    <w:semiHidden/>
    <w:unhideWhenUsed/>
    <w:rsid w:val="00294540"/>
    <w:pPr>
      <w:spacing w:after="0" w:line="240" w:lineRule="auto"/>
      <w:ind w:left="1760" w:hanging="220"/>
    </w:pPr>
  </w:style>
  <w:style w:type="paragraph" w:styleId="Index9">
    <w:name w:val="index 9"/>
    <w:basedOn w:val="Normal"/>
    <w:next w:val="Normal"/>
    <w:autoRedefine/>
    <w:uiPriority w:val="99"/>
    <w:semiHidden/>
    <w:unhideWhenUsed/>
    <w:rsid w:val="00294540"/>
    <w:pPr>
      <w:spacing w:after="0" w:line="240" w:lineRule="auto"/>
      <w:ind w:left="1980" w:hanging="220"/>
    </w:pPr>
  </w:style>
  <w:style w:type="paragraph" w:styleId="Titreindex">
    <w:name w:val="index heading"/>
    <w:basedOn w:val="Normal"/>
    <w:next w:val="Index1"/>
    <w:uiPriority w:val="99"/>
    <w:semiHidden/>
    <w:unhideWhenUsed/>
    <w:rsid w:val="00294540"/>
    <w:rPr>
      <w:rFonts w:asciiTheme="majorHAnsi" w:eastAsiaTheme="majorEastAsia" w:hAnsiTheme="majorHAnsi" w:cstheme="majorBidi"/>
      <w:b/>
      <w:bCs/>
    </w:rPr>
  </w:style>
  <w:style w:type="paragraph" w:styleId="Citationintense">
    <w:name w:val="Intense Quote"/>
    <w:basedOn w:val="Normal"/>
    <w:next w:val="Normal"/>
    <w:link w:val="CitationintenseCar"/>
    <w:uiPriority w:val="30"/>
    <w:qFormat/>
    <w:rsid w:val="0029454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294540"/>
    <w:rPr>
      <w:i/>
      <w:iCs/>
      <w:color w:val="5B9BD5" w:themeColor="accent1"/>
    </w:rPr>
  </w:style>
  <w:style w:type="paragraph" w:styleId="Liste">
    <w:name w:val="List"/>
    <w:basedOn w:val="Normal"/>
    <w:uiPriority w:val="99"/>
    <w:semiHidden/>
    <w:unhideWhenUsed/>
    <w:rsid w:val="00294540"/>
    <w:pPr>
      <w:ind w:left="283" w:hanging="283"/>
      <w:contextualSpacing/>
    </w:pPr>
  </w:style>
  <w:style w:type="paragraph" w:styleId="Liste2">
    <w:name w:val="List 2"/>
    <w:basedOn w:val="Normal"/>
    <w:uiPriority w:val="99"/>
    <w:semiHidden/>
    <w:unhideWhenUsed/>
    <w:rsid w:val="00294540"/>
    <w:pPr>
      <w:ind w:left="566" w:hanging="283"/>
      <w:contextualSpacing/>
    </w:pPr>
  </w:style>
  <w:style w:type="paragraph" w:styleId="Liste3">
    <w:name w:val="List 3"/>
    <w:basedOn w:val="Normal"/>
    <w:uiPriority w:val="99"/>
    <w:semiHidden/>
    <w:unhideWhenUsed/>
    <w:rsid w:val="00294540"/>
    <w:pPr>
      <w:ind w:left="849" w:hanging="283"/>
      <w:contextualSpacing/>
    </w:pPr>
  </w:style>
  <w:style w:type="paragraph" w:styleId="Liste4">
    <w:name w:val="List 4"/>
    <w:basedOn w:val="Normal"/>
    <w:uiPriority w:val="99"/>
    <w:semiHidden/>
    <w:unhideWhenUsed/>
    <w:rsid w:val="00294540"/>
    <w:pPr>
      <w:ind w:left="1132" w:hanging="283"/>
      <w:contextualSpacing/>
    </w:pPr>
  </w:style>
  <w:style w:type="paragraph" w:styleId="Liste5">
    <w:name w:val="List 5"/>
    <w:basedOn w:val="Normal"/>
    <w:uiPriority w:val="99"/>
    <w:semiHidden/>
    <w:unhideWhenUsed/>
    <w:rsid w:val="00294540"/>
    <w:pPr>
      <w:ind w:left="1415" w:hanging="283"/>
      <w:contextualSpacing/>
    </w:pPr>
  </w:style>
  <w:style w:type="paragraph" w:styleId="Listepuces">
    <w:name w:val="List Bullet"/>
    <w:basedOn w:val="Normal"/>
    <w:uiPriority w:val="99"/>
    <w:semiHidden/>
    <w:unhideWhenUsed/>
    <w:rsid w:val="00294540"/>
    <w:pPr>
      <w:numPr>
        <w:numId w:val="3"/>
      </w:numPr>
      <w:contextualSpacing/>
    </w:pPr>
  </w:style>
  <w:style w:type="paragraph" w:styleId="Listepuces2">
    <w:name w:val="List Bullet 2"/>
    <w:basedOn w:val="Normal"/>
    <w:uiPriority w:val="99"/>
    <w:semiHidden/>
    <w:unhideWhenUsed/>
    <w:rsid w:val="00294540"/>
    <w:pPr>
      <w:numPr>
        <w:numId w:val="4"/>
      </w:numPr>
      <w:contextualSpacing/>
    </w:pPr>
  </w:style>
  <w:style w:type="paragraph" w:styleId="Listepuces3">
    <w:name w:val="List Bullet 3"/>
    <w:basedOn w:val="Normal"/>
    <w:uiPriority w:val="99"/>
    <w:semiHidden/>
    <w:unhideWhenUsed/>
    <w:rsid w:val="00294540"/>
    <w:pPr>
      <w:numPr>
        <w:numId w:val="5"/>
      </w:numPr>
      <w:contextualSpacing/>
    </w:pPr>
  </w:style>
  <w:style w:type="paragraph" w:styleId="Listepuces4">
    <w:name w:val="List Bullet 4"/>
    <w:basedOn w:val="Normal"/>
    <w:uiPriority w:val="99"/>
    <w:semiHidden/>
    <w:unhideWhenUsed/>
    <w:rsid w:val="00294540"/>
    <w:pPr>
      <w:numPr>
        <w:numId w:val="6"/>
      </w:numPr>
      <w:contextualSpacing/>
    </w:pPr>
  </w:style>
  <w:style w:type="paragraph" w:styleId="Listepuces5">
    <w:name w:val="List Bullet 5"/>
    <w:basedOn w:val="Normal"/>
    <w:uiPriority w:val="99"/>
    <w:semiHidden/>
    <w:unhideWhenUsed/>
    <w:rsid w:val="00294540"/>
    <w:pPr>
      <w:numPr>
        <w:numId w:val="7"/>
      </w:numPr>
      <w:contextualSpacing/>
    </w:pPr>
  </w:style>
  <w:style w:type="paragraph" w:styleId="Listecontinue">
    <w:name w:val="List Continue"/>
    <w:basedOn w:val="Normal"/>
    <w:uiPriority w:val="99"/>
    <w:semiHidden/>
    <w:unhideWhenUsed/>
    <w:rsid w:val="00294540"/>
    <w:pPr>
      <w:spacing w:after="120"/>
      <w:ind w:left="283"/>
      <w:contextualSpacing/>
    </w:pPr>
  </w:style>
  <w:style w:type="paragraph" w:styleId="Listecontinue2">
    <w:name w:val="List Continue 2"/>
    <w:basedOn w:val="Normal"/>
    <w:uiPriority w:val="99"/>
    <w:semiHidden/>
    <w:unhideWhenUsed/>
    <w:rsid w:val="00294540"/>
    <w:pPr>
      <w:spacing w:after="120"/>
      <w:ind w:left="566"/>
      <w:contextualSpacing/>
    </w:pPr>
  </w:style>
  <w:style w:type="paragraph" w:styleId="Listecontinue3">
    <w:name w:val="List Continue 3"/>
    <w:basedOn w:val="Normal"/>
    <w:uiPriority w:val="99"/>
    <w:semiHidden/>
    <w:unhideWhenUsed/>
    <w:rsid w:val="00294540"/>
    <w:pPr>
      <w:spacing w:after="120"/>
      <w:ind w:left="849"/>
      <w:contextualSpacing/>
    </w:pPr>
  </w:style>
  <w:style w:type="paragraph" w:styleId="Listecontinue4">
    <w:name w:val="List Continue 4"/>
    <w:basedOn w:val="Normal"/>
    <w:uiPriority w:val="99"/>
    <w:semiHidden/>
    <w:unhideWhenUsed/>
    <w:rsid w:val="00294540"/>
    <w:pPr>
      <w:spacing w:after="120"/>
      <w:ind w:left="1132"/>
      <w:contextualSpacing/>
    </w:pPr>
  </w:style>
  <w:style w:type="paragraph" w:styleId="Listecontinue5">
    <w:name w:val="List Continue 5"/>
    <w:basedOn w:val="Normal"/>
    <w:uiPriority w:val="99"/>
    <w:semiHidden/>
    <w:unhideWhenUsed/>
    <w:rsid w:val="00294540"/>
    <w:pPr>
      <w:spacing w:after="120"/>
      <w:ind w:left="1415"/>
      <w:contextualSpacing/>
    </w:pPr>
  </w:style>
  <w:style w:type="paragraph" w:styleId="Listenumros">
    <w:name w:val="List Number"/>
    <w:basedOn w:val="Normal"/>
    <w:uiPriority w:val="99"/>
    <w:semiHidden/>
    <w:unhideWhenUsed/>
    <w:rsid w:val="00294540"/>
    <w:pPr>
      <w:numPr>
        <w:numId w:val="8"/>
      </w:numPr>
      <w:contextualSpacing/>
    </w:pPr>
  </w:style>
  <w:style w:type="paragraph" w:styleId="Listenumros2">
    <w:name w:val="List Number 2"/>
    <w:basedOn w:val="Normal"/>
    <w:uiPriority w:val="99"/>
    <w:semiHidden/>
    <w:unhideWhenUsed/>
    <w:rsid w:val="00294540"/>
    <w:pPr>
      <w:numPr>
        <w:numId w:val="9"/>
      </w:numPr>
      <w:contextualSpacing/>
    </w:pPr>
  </w:style>
  <w:style w:type="paragraph" w:styleId="Listenumros3">
    <w:name w:val="List Number 3"/>
    <w:basedOn w:val="Normal"/>
    <w:uiPriority w:val="99"/>
    <w:semiHidden/>
    <w:unhideWhenUsed/>
    <w:rsid w:val="00294540"/>
    <w:pPr>
      <w:numPr>
        <w:numId w:val="10"/>
      </w:numPr>
      <w:contextualSpacing/>
    </w:pPr>
  </w:style>
  <w:style w:type="paragraph" w:styleId="Listenumros4">
    <w:name w:val="List Number 4"/>
    <w:basedOn w:val="Normal"/>
    <w:uiPriority w:val="99"/>
    <w:semiHidden/>
    <w:unhideWhenUsed/>
    <w:rsid w:val="00294540"/>
    <w:pPr>
      <w:numPr>
        <w:numId w:val="11"/>
      </w:numPr>
      <w:contextualSpacing/>
    </w:pPr>
  </w:style>
  <w:style w:type="paragraph" w:styleId="Listenumros5">
    <w:name w:val="List Number 5"/>
    <w:basedOn w:val="Normal"/>
    <w:uiPriority w:val="99"/>
    <w:semiHidden/>
    <w:unhideWhenUsed/>
    <w:rsid w:val="00294540"/>
    <w:pPr>
      <w:numPr>
        <w:numId w:val="12"/>
      </w:numPr>
      <w:contextualSpacing/>
    </w:pPr>
  </w:style>
  <w:style w:type="paragraph" w:styleId="Paragraphedeliste">
    <w:name w:val="List Paragraph"/>
    <w:basedOn w:val="Normal"/>
    <w:uiPriority w:val="34"/>
    <w:qFormat/>
    <w:rsid w:val="00294540"/>
    <w:pPr>
      <w:ind w:left="720"/>
      <w:contextualSpacing/>
    </w:pPr>
  </w:style>
  <w:style w:type="paragraph" w:styleId="Textedemacro">
    <w:name w:val="macro"/>
    <w:link w:val="TextedemacroCar"/>
    <w:uiPriority w:val="99"/>
    <w:semiHidden/>
    <w:unhideWhenUsed/>
    <w:rsid w:val="00294540"/>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hAnsi="Consolas"/>
      <w:sz w:val="20"/>
      <w:szCs w:val="20"/>
    </w:rPr>
  </w:style>
  <w:style w:type="character" w:customStyle="1" w:styleId="TextedemacroCar">
    <w:name w:val="Texte de macro Car"/>
    <w:basedOn w:val="Policepardfaut"/>
    <w:link w:val="Textedemacro"/>
    <w:uiPriority w:val="99"/>
    <w:semiHidden/>
    <w:rsid w:val="00294540"/>
    <w:rPr>
      <w:rFonts w:ascii="Consolas" w:hAnsi="Consolas"/>
      <w:sz w:val="20"/>
      <w:szCs w:val="20"/>
    </w:rPr>
  </w:style>
  <w:style w:type="paragraph" w:styleId="En-ttedemessage">
    <w:name w:val="Message Header"/>
    <w:basedOn w:val="Normal"/>
    <w:link w:val="En-ttedemessageCar"/>
    <w:uiPriority w:val="99"/>
    <w:semiHidden/>
    <w:unhideWhenUsed/>
    <w:rsid w:val="002945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294540"/>
    <w:rPr>
      <w:rFonts w:asciiTheme="majorHAnsi" w:eastAsiaTheme="majorEastAsia" w:hAnsiTheme="majorHAnsi" w:cstheme="majorBidi"/>
      <w:sz w:val="24"/>
      <w:szCs w:val="24"/>
      <w:shd w:val="pct20" w:color="auto" w:fill="auto"/>
    </w:rPr>
  </w:style>
  <w:style w:type="paragraph" w:styleId="Sansinterligne">
    <w:name w:val="No Spacing"/>
    <w:uiPriority w:val="1"/>
    <w:qFormat/>
    <w:rsid w:val="00294540"/>
    <w:pPr>
      <w:spacing w:after="0" w:line="240" w:lineRule="auto"/>
    </w:pPr>
  </w:style>
  <w:style w:type="paragraph" w:styleId="NormalWeb">
    <w:name w:val="Normal (Web)"/>
    <w:basedOn w:val="Normal"/>
    <w:uiPriority w:val="99"/>
    <w:semiHidden/>
    <w:unhideWhenUsed/>
    <w:rsid w:val="00294540"/>
    <w:rPr>
      <w:rFonts w:ascii="Times New Roman" w:hAnsi="Times New Roman" w:cs="Times New Roman"/>
      <w:sz w:val="24"/>
      <w:szCs w:val="24"/>
    </w:rPr>
  </w:style>
  <w:style w:type="paragraph" w:styleId="Retraitnormal">
    <w:name w:val="Normal Indent"/>
    <w:basedOn w:val="Normal"/>
    <w:uiPriority w:val="99"/>
    <w:semiHidden/>
    <w:unhideWhenUsed/>
    <w:rsid w:val="00294540"/>
    <w:pPr>
      <w:ind w:left="720"/>
    </w:pPr>
  </w:style>
  <w:style w:type="paragraph" w:styleId="Titredenote">
    <w:name w:val="Note Heading"/>
    <w:basedOn w:val="Normal"/>
    <w:next w:val="Normal"/>
    <w:link w:val="TitredenoteCar"/>
    <w:uiPriority w:val="99"/>
    <w:semiHidden/>
    <w:unhideWhenUsed/>
    <w:rsid w:val="00294540"/>
    <w:pPr>
      <w:spacing w:after="0" w:line="240" w:lineRule="auto"/>
    </w:pPr>
  </w:style>
  <w:style w:type="character" w:customStyle="1" w:styleId="TitredenoteCar">
    <w:name w:val="Titre de note Car"/>
    <w:basedOn w:val="Policepardfaut"/>
    <w:link w:val="Titredenote"/>
    <w:uiPriority w:val="99"/>
    <w:semiHidden/>
    <w:rsid w:val="00294540"/>
  </w:style>
  <w:style w:type="paragraph" w:styleId="Textebrut">
    <w:name w:val="Plain Text"/>
    <w:basedOn w:val="Normal"/>
    <w:link w:val="TextebrutCar"/>
    <w:uiPriority w:val="99"/>
    <w:semiHidden/>
    <w:unhideWhenUsed/>
    <w:rsid w:val="00294540"/>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294540"/>
    <w:rPr>
      <w:rFonts w:ascii="Consolas" w:hAnsi="Consolas"/>
      <w:sz w:val="21"/>
      <w:szCs w:val="21"/>
    </w:rPr>
  </w:style>
  <w:style w:type="paragraph" w:styleId="Citation">
    <w:name w:val="Quote"/>
    <w:basedOn w:val="Normal"/>
    <w:next w:val="Normal"/>
    <w:link w:val="CitationCar"/>
    <w:uiPriority w:val="29"/>
    <w:qFormat/>
    <w:rsid w:val="00294540"/>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294540"/>
    <w:rPr>
      <w:i/>
      <w:iCs/>
      <w:color w:val="404040" w:themeColor="text1" w:themeTint="BF"/>
    </w:rPr>
  </w:style>
  <w:style w:type="paragraph" w:styleId="Salutations">
    <w:name w:val="Salutation"/>
    <w:basedOn w:val="Normal"/>
    <w:next w:val="Normal"/>
    <w:link w:val="SalutationsCar"/>
    <w:uiPriority w:val="99"/>
    <w:semiHidden/>
    <w:unhideWhenUsed/>
    <w:rsid w:val="00294540"/>
  </w:style>
  <w:style w:type="character" w:customStyle="1" w:styleId="SalutationsCar">
    <w:name w:val="Salutations Car"/>
    <w:basedOn w:val="Policepardfaut"/>
    <w:link w:val="Salutations"/>
    <w:uiPriority w:val="99"/>
    <w:semiHidden/>
    <w:rsid w:val="00294540"/>
  </w:style>
  <w:style w:type="paragraph" w:styleId="Signature">
    <w:name w:val="Signature"/>
    <w:basedOn w:val="Normal"/>
    <w:link w:val="SignatureCar"/>
    <w:uiPriority w:val="99"/>
    <w:semiHidden/>
    <w:unhideWhenUsed/>
    <w:rsid w:val="00294540"/>
    <w:pPr>
      <w:spacing w:after="0" w:line="240" w:lineRule="auto"/>
      <w:ind w:left="4252"/>
    </w:pPr>
  </w:style>
  <w:style w:type="character" w:customStyle="1" w:styleId="SignatureCar">
    <w:name w:val="Signature Car"/>
    <w:basedOn w:val="Policepardfaut"/>
    <w:link w:val="Signature"/>
    <w:uiPriority w:val="99"/>
    <w:semiHidden/>
    <w:rsid w:val="00294540"/>
  </w:style>
  <w:style w:type="paragraph" w:styleId="Sous-titre">
    <w:name w:val="Subtitle"/>
    <w:basedOn w:val="Normal"/>
    <w:next w:val="Normal"/>
    <w:link w:val="Sous-titreCar"/>
    <w:uiPriority w:val="11"/>
    <w:qFormat/>
    <w:rsid w:val="0029454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94540"/>
    <w:rPr>
      <w:rFonts w:eastAsiaTheme="minorEastAsia"/>
      <w:color w:val="5A5A5A" w:themeColor="text1" w:themeTint="A5"/>
      <w:spacing w:val="15"/>
    </w:rPr>
  </w:style>
  <w:style w:type="paragraph" w:styleId="Tabledesrfrencesjuridiques">
    <w:name w:val="table of authorities"/>
    <w:basedOn w:val="Normal"/>
    <w:next w:val="Normal"/>
    <w:uiPriority w:val="99"/>
    <w:semiHidden/>
    <w:unhideWhenUsed/>
    <w:rsid w:val="00294540"/>
    <w:pPr>
      <w:spacing w:after="0"/>
      <w:ind w:left="220" w:hanging="220"/>
    </w:pPr>
  </w:style>
  <w:style w:type="paragraph" w:styleId="Tabledesillustrations">
    <w:name w:val="table of figures"/>
    <w:basedOn w:val="Normal"/>
    <w:next w:val="Normal"/>
    <w:uiPriority w:val="99"/>
    <w:semiHidden/>
    <w:unhideWhenUsed/>
    <w:rsid w:val="00294540"/>
    <w:pPr>
      <w:spacing w:after="0"/>
    </w:pPr>
  </w:style>
  <w:style w:type="paragraph" w:styleId="TitreTR">
    <w:name w:val="toa heading"/>
    <w:basedOn w:val="Normal"/>
    <w:next w:val="Normal"/>
    <w:uiPriority w:val="99"/>
    <w:semiHidden/>
    <w:unhideWhenUsed/>
    <w:rsid w:val="00294540"/>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294540"/>
    <w:pPr>
      <w:spacing w:after="100"/>
    </w:pPr>
  </w:style>
  <w:style w:type="paragraph" w:styleId="TM3">
    <w:name w:val="toc 3"/>
    <w:basedOn w:val="Normal"/>
    <w:next w:val="Normal"/>
    <w:autoRedefine/>
    <w:uiPriority w:val="39"/>
    <w:semiHidden/>
    <w:unhideWhenUsed/>
    <w:rsid w:val="00294540"/>
    <w:pPr>
      <w:spacing w:after="100"/>
      <w:ind w:left="440"/>
    </w:pPr>
  </w:style>
  <w:style w:type="paragraph" w:styleId="TM4">
    <w:name w:val="toc 4"/>
    <w:basedOn w:val="Normal"/>
    <w:next w:val="Normal"/>
    <w:autoRedefine/>
    <w:uiPriority w:val="39"/>
    <w:semiHidden/>
    <w:unhideWhenUsed/>
    <w:rsid w:val="00294540"/>
    <w:pPr>
      <w:spacing w:after="100"/>
      <w:ind w:left="660"/>
    </w:pPr>
  </w:style>
  <w:style w:type="paragraph" w:styleId="TM5">
    <w:name w:val="toc 5"/>
    <w:basedOn w:val="Normal"/>
    <w:next w:val="Normal"/>
    <w:autoRedefine/>
    <w:uiPriority w:val="39"/>
    <w:semiHidden/>
    <w:unhideWhenUsed/>
    <w:rsid w:val="00294540"/>
    <w:pPr>
      <w:spacing w:after="100"/>
      <w:ind w:left="880"/>
    </w:pPr>
  </w:style>
  <w:style w:type="paragraph" w:styleId="TM6">
    <w:name w:val="toc 6"/>
    <w:basedOn w:val="Normal"/>
    <w:next w:val="Normal"/>
    <w:autoRedefine/>
    <w:uiPriority w:val="39"/>
    <w:semiHidden/>
    <w:unhideWhenUsed/>
    <w:rsid w:val="00294540"/>
    <w:pPr>
      <w:spacing w:after="100"/>
      <w:ind w:left="1100"/>
    </w:pPr>
  </w:style>
  <w:style w:type="paragraph" w:styleId="TM7">
    <w:name w:val="toc 7"/>
    <w:basedOn w:val="Normal"/>
    <w:next w:val="Normal"/>
    <w:autoRedefine/>
    <w:uiPriority w:val="39"/>
    <w:semiHidden/>
    <w:unhideWhenUsed/>
    <w:rsid w:val="00294540"/>
    <w:pPr>
      <w:spacing w:after="100"/>
      <w:ind w:left="1320"/>
    </w:pPr>
  </w:style>
  <w:style w:type="paragraph" w:styleId="TM8">
    <w:name w:val="toc 8"/>
    <w:basedOn w:val="Normal"/>
    <w:next w:val="Normal"/>
    <w:autoRedefine/>
    <w:uiPriority w:val="39"/>
    <w:semiHidden/>
    <w:unhideWhenUsed/>
    <w:rsid w:val="00294540"/>
    <w:pPr>
      <w:spacing w:after="100"/>
      <w:ind w:left="1540"/>
    </w:pPr>
  </w:style>
  <w:style w:type="paragraph" w:styleId="TM9">
    <w:name w:val="toc 9"/>
    <w:basedOn w:val="Normal"/>
    <w:next w:val="Normal"/>
    <w:autoRedefine/>
    <w:uiPriority w:val="39"/>
    <w:semiHidden/>
    <w:unhideWhenUsed/>
    <w:rsid w:val="00294540"/>
    <w:pPr>
      <w:spacing w:after="100"/>
      <w:ind w:left="1760"/>
    </w:pPr>
  </w:style>
  <w:style w:type="paragraph" w:styleId="En-ttedetabledesmatires">
    <w:name w:val="TOC Heading"/>
    <w:basedOn w:val="Titre1"/>
    <w:next w:val="Normal"/>
    <w:uiPriority w:val="39"/>
    <w:semiHidden/>
    <w:unhideWhenUsed/>
    <w:qFormat/>
    <w:rsid w:val="00294540"/>
    <w:pPr>
      <w:outlineLvl w:val="9"/>
    </w:pPr>
    <w:rPr>
      <w:b w:val="0"/>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212941">
      <w:bodyDiv w:val="1"/>
      <w:marLeft w:val="0"/>
      <w:marRight w:val="0"/>
      <w:marTop w:val="0"/>
      <w:marBottom w:val="0"/>
      <w:divBdr>
        <w:top w:val="none" w:sz="0" w:space="0" w:color="auto"/>
        <w:left w:val="none" w:sz="0" w:space="0" w:color="auto"/>
        <w:bottom w:val="none" w:sz="0" w:space="0" w:color="auto"/>
        <w:right w:val="none" w:sz="0" w:space="0" w:color="auto"/>
      </w:divBdr>
    </w:div>
    <w:div w:id="93802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fontTable" Target="fontTable.xml"/><Relationship Id="rId21" Type="http://schemas.openxmlformats.org/officeDocument/2006/relationships/image" Target="media/image16.jpg"/><Relationship Id="rId42" Type="http://schemas.openxmlformats.org/officeDocument/2006/relationships/image" Target="media/image37.jpg"/><Relationship Id="rId47"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oleObject" Target="embeddings/oleObject13.bin"/><Relationship Id="rId84" Type="http://schemas.openxmlformats.org/officeDocument/2006/relationships/oleObject" Target="embeddings/oleObject21.bin"/><Relationship Id="rId89" Type="http://schemas.openxmlformats.org/officeDocument/2006/relationships/image" Target="media/image61.emf"/><Relationship Id="rId112" Type="http://schemas.openxmlformats.org/officeDocument/2006/relationships/oleObject" Target="embeddings/oleObject35.bin"/><Relationship Id="rId16" Type="http://schemas.openxmlformats.org/officeDocument/2006/relationships/image" Target="media/image11.jpg"/><Relationship Id="rId107" Type="http://schemas.openxmlformats.org/officeDocument/2006/relationships/image" Target="media/image70.emf"/><Relationship Id="rId11" Type="http://schemas.openxmlformats.org/officeDocument/2006/relationships/image" Target="media/image6.jp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image" Target="media/image43.emf"/><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56.emf"/><Relationship Id="rId102" Type="http://schemas.openxmlformats.org/officeDocument/2006/relationships/oleObject" Target="embeddings/oleObject30.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64.emf"/><Relationship Id="rId22" Type="http://schemas.openxmlformats.org/officeDocument/2006/relationships/image" Target="media/image17.jpg"/><Relationship Id="rId27" Type="http://schemas.openxmlformats.org/officeDocument/2006/relationships/image" Target="media/image22.jpg"/><Relationship Id="rId43" Type="http://schemas.openxmlformats.org/officeDocument/2006/relationships/image" Target="media/image38.emf"/><Relationship Id="rId48" Type="http://schemas.openxmlformats.org/officeDocument/2006/relationships/oleObject" Target="embeddings/oleObject3.bin"/><Relationship Id="rId64" Type="http://schemas.openxmlformats.org/officeDocument/2006/relationships/oleObject" Target="embeddings/oleObject11.bin"/><Relationship Id="rId69" Type="http://schemas.openxmlformats.org/officeDocument/2006/relationships/image" Target="media/image51.emf"/><Relationship Id="rId113" Type="http://schemas.openxmlformats.org/officeDocument/2006/relationships/image" Target="media/image73.emf"/><Relationship Id="rId118" Type="http://schemas.openxmlformats.org/officeDocument/2006/relationships/theme" Target="theme/theme1.xml"/><Relationship Id="rId80" Type="http://schemas.openxmlformats.org/officeDocument/2006/relationships/oleObject" Target="embeddings/oleObject19.bin"/><Relationship Id="rId85" Type="http://schemas.openxmlformats.org/officeDocument/2006/relationships/image" Target="media/image59.emf"/><Relationship Id="rId12" Type="http://schemas.openxmlformats.org/officeDocument/2006/relationships/image" Target="media/image7.jpg"/><Relationship Id="rId17" Type="http://schemas.openxmlformats.org/officeDocument/2006/relationships/image" Target="media/image12.jpg"/><Relationship Id="rId33" Type="http://schemas.openxmlformats.org/officeDocument/2006/relationships/image" Target="media/image28.jpg"/><Relationship Id="rId38" Type="http://schemas.openxmlformats.org/officeDocument/2006/relationships/image" Target="media/image33.jpg"/><Relationship Id="rId59" Type="http://schemas.openxmlformats.org/officeDocument/2006/relationships/image" Target="media/image46.emf"/><Relationship Id="rId103" Type="http://schemas.openxmlformats.org/officeDocument/2006/relationships/image" Target="media/image68.emf"/><Relationship Id="rId108" Type="http://schemas.openxmlformats.org/officeDocument/2006/relationships/oleObject" Target="embeddings/oleObject33.bin"/><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54.emf"/><Relationship Id="rId91" Type="http://schemas.openxmlformats.org/officeDocument/2006/relationships/image" Target="media/image62.e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g"/><Relationship Id="rId28" Type="http://schemas.openxmlformats.org/officeDocument/2006/relationships/image" Target="media/image23.jpg"/><Relationship Id="rId49" Type="http://schemas.openxmlformats.org/officeDocument/2006/relationships/image" Target="media/image41.emf"/><Relationship Id="rId114" Type="http://schemas.openxmlformats.org/officeDocument/2006/relationships/oleObject" Target="embeddings/oleObject36.bin"/><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49.emf"/><Relationship Id="rId73" Type="http://schemas.openxmlformats.org/officeDocument/2006/relationships/image" Target="media/image53.emf"/><Relationship Id="rId78" Type="http://schemas.openxmlformats.org/officeDocument/2006/relationships/oleObject" Target="embeddings/oleObject18.bin"/><Relationship Id="rId81" Type="http://schemas.openxmlformats.org/officeDocument/2006/relationships/image" Target="media/image57.emf"/><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image" Target="media/image66.emf"/><Relationship Id="rId101" Type="http://schemas.openxmlformats.org/officeDocument/2006/relationships/image" Target="media/image67.emf"/><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71.emf"/><Relationship Id="rId34" Type="http://schemas.openxmlformats.org/officeDocument/2006/relationships/image" Target="media/image29.jpg"/><Relationship Id="rId50" Type="http://schemas.openxmlformats.org/officeDocument/2006/relationships/oleObject" Target="embeddings/oleObject4.bin"/><Relationship Id="rId55" Type="http://schemas.openxmlformats.org/officeDocument/2006/relationships/image" Target="media/image44.emf"/><Relationship Id="rId76" Type="http://schemas.openxmlformats.org/officeDocument/2006/relationships/oleObject" Target="embeddings/oleObject17.bin"/><Relationship Id="rId97" Type="http://schemas.openxmlformats.org/officeDocument/2006/relationships/image" Target="media/image65.emf"/><Relationship Id="rId104" Type="http://schemas.openxmlformats.org/officeDocument/2006/relationships/oleObject" Target="embeddings/oleObject31.bin"/><Relationship Id="rId7" Type="http://schemas.openxmlformats.org/officeDocument/2006/relationships/image" Target="media/image2.jpg"/><Relationship Id="rId71" Type="http://schemas.openxmlformats.org/officeDocument/2006/relationships/image" Target="media/image52.emf"/><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g"/><Relationship Id="rId45" Type="http://schemas.openxmlformats.org/officeDocument/2006/relationships/image" Target="media/image39.emf"/><Relationship Id="rId66" Type="http://schemas.openxmlformats.org/officeDocument/2006/relationships/oleObject" Target="embeddings/oleObject12.bin"/><Relationship Id="rId87" Type="http://schemas.openxmlformats.org/officeDocument/2006/relationships/image" Target="media/image60.emf"/><Relationship Id="rId110" Type="http://schemas.openxmlformats.org/officeDocument/2006/relationships/oleObject" Target="embeddings/oleObject34.bin"/><Relationship Id="rId115" Type="http://schemas.openxmlformats.org/officeDocument/2006/relationships/image" Target="media/image74.emf"/><Relationship Id="rId61" Type="http://schemas.openxmlformats.org/officeDocument/2006/relationships/image" Target="media/image47.emf"/><Relationship Id="rId82" Type="http://schemas.openxmlformats.org/officeDocument/2006/relationships/oleObject" Target="embeddings/oleObject20.bin"/><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oleObject" Target="embeddings/oleObject7.bin"/><Relationship Id="rId77" Type="http://schemas.openxmlformats.org/officeDocument/2006/relationships/image" Target="media/image55.emf"/><Relationship Id="rId100" Type="http://schemas.openxmlformats.org/officeDocument/2006/relationships/oleObject" Target="embeddings/oleObject29.bin"/><Relationship Id="rId105" Type="http://schemas.openxmlformats.org/officeDocument/2006/relationships/image" Target="media/image69.emf"/><Relationship Id="rId8" Type="http://schemas.openxmlformats.org/officeDocument/2006/relationships/image" Target="media/image3.jpg"/><Relationship Id="rId51" Type="http://schemas.openxmlformats.org/officeDocument/2006/relationships/image" Target="media/image42.emf"/><Relationship Id="rId72" Type="http://schemas.openxmlformats.org/officeDocument/2006/relationships/oleObject" Target="embeddings/oleObject15.bin"/><Relationship Id="rId93" Type="http://schemas.openxmlformats.org/officeDocument/2006/relationships/image" Target="media/image63.emf"/><Relationship Id="rId98" Type="http://schemas.openxmlformats.org/officeDocument/2006/relationships/oleObject" Target="embeddings/oleObject28.bin"/><Relationship Id="rId3" Type="http://schemas.openxmlformats.org/officeDocument/2006/relationships/styles" Target="styles.xml"/><Relationship Id="rId25" Type="http://schemas.openxmlformats.org/officeDocument/2006/relationships/image" Target="media/image20.jpg"/><Relationship Id="rId46" Type="http://schemas.openxmlformats.org/officeDocument/2006/relationships/oleObject" Target="embeddings/oleObject2.bin"/><Relationship Id="rId67" Type="http://schemas.openxmlformats.org/officeDocument/2006/relationships/image" Target="media/image50.emf"/><Relationship Id="rId116" Type="http://schemas.openxmlformats.org/officeDocument/2006/relationships/oleObject" Target="embeddings/oleObject37.bin"/><Relationship Id="rId20" Type="http://schemas.openxmlformats.org/officeDocument/2006/relationships/image" Target="media/image15.jpg"/><Relationship Id="rId41" Type="http://schemas.openxmlformats.org/officeDocument/2006/relationships/image" Target="media/image36.jpg"/><Relationship Id="rId62" Type="http://schemas.openxmlformats.org/officeDocument/2006/relationships/oleObject" Target="embeddings/oleObject10.bin"/><Relationship Id="rId83" Type="http://schemas.openxmlformats.org/officeDocument/2006/relationships/image" Target="media/image58.emf"/><Relationship Id="rId88" Type="http://schemas.openxmlformats.org/officeDocument/2006/relationships/oleObject" Target="embeddings/oleObject23.bin"/><Relationship Id="rId111" Type="http://schemas.openxmlformats.org/officeDocument/2006/relationships/image" Target="media/image72.emf"/><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45.emf"/><Relationship Id="rId106"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6EA56-865C-4F48-8C82-0F431EB9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19860</Words>
  <Characters>109231</Characters>
  <Application>Microsoft Office Word</Application>
  <DocSecurity>0</DocSecurity>
  <Lines>910</Lines>
  <Paragraphs>257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The University of Adelaide</Company>
  <LinksUpToDate>false</LinksUpToDate>
  <CharactersWithSpaces>128834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Haidee Cadd</dc:creator>
  <cp:keywords/>
  <dc:description/>
  <cp:lastModifiedBy>Marielle BOUILDE, Ifremer Nantes PDG-DS-ISTBLP, </cp:lastModifiedBy>
  <cp:revision>2</cp:revision>
  <dcterms:created xsi:type="dcterms:W3CDTF">2021-05-17T08:12:00Z</dcterms:created>
  <dcterms:modified xsi:type="dcterms:W3CDTF">2021-05-17T08:12:00Z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http://www.zotero.org/styles/quaternary-research</vt:lpwstr>
  </property>
  <property fmtid="{D5CDD505-2E9C-101B-9397-08002B2CF9AE}" pid="21" name="Mendeley Recent Style Name 9_1">
    <vt:lpwstr>Quaternary Research</vt:lpwstr>
  </property>
  <property fmtid="{D5CDD505-2E9C-101B-9397-08002B2CF9AE}" pid="22" name="Mendeley Document_1">
    <vt:lpwstr>True</vt:lpwstr>
  </property>
  <property fmtid="{D5CDD505-2E9C-101B-9397-08002B2CF9AE}" pid="23" name="Mendeley Unique User Id_1">
    <vt:lpwstr>df31501c-49e3-3108-bb96-59f95469b72e</vt:lpwstr>
  </property>
  <property fmtid="{D5CDD505-2E9C-101B-9397-08002B2CF9AE}" pid="24" name="Mendeley Citation Style_1">
    <vt:lpwstr>http://www.zotero.org/styles/quaternary-research</vt:lpwstr>
  </property>
</Properties>
</file>