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E0E" w:rsidRPr="000D0C8D" w:rsidRDefault="00AA7E0E" w:rsidP="00AA7E0E">
      <w:pPr>
        <w:rPr>
          <w:rFonts w:ascii="Times New Roman" w:eastAsia="Times New Roman" w:hAnsi="Times New Roman" w:cs="Times New Roman"/>
          <w:b/>
          <w:color w:val="000000" w:themeColor="text1"/>
        </w:rPr>
      </w:pPr>
      <w:r w:rsidRPr="000D0C8D">
        <w:rPr>
          <w:rFonts w:ascii="Times New Roman" w:hAnsi="Times New Roman" w:cs="Times New Roman"/>
          <w:b/>
          <w:color w:val="000000" w:themeColor="text1"/>
        </w:rPr>
        <w:t>Supplementary materials</w:t>
      </w:r>
    </w:p>
    <w:p w:rsidR="00AA7E0E" w:rsidRPr="000D0C8D" w:rsidRDefault="00AA7E0E" w:rsidP="00AA7E0E">
      <w:pPr>
        <w:spacing w:before="240" w:line="360" w:lineRule="auto"/>
        <w:rPr>
          <w:rFonts w:ascii="Times New Roman" w:eastAsia="Times New Roman" w:hAnsi="Times New Roman" w:cs="Times New Roman"/>
          <w:color w:val="000000" w:themeColor="text1"/>
        </w:rPr>
      </w:pPr>
      <w:r w:rsidRPr="000D0C8D">
        <w:rPr>
          <w:noProof/>
          <w:color w:val="000000" w:themeColor="text1"/>
        </w:rPr>
        <w:drawing>
          <wp:inline distT="0" distB="0" distL="0" distR="0" wp14:anchorId="7858CE14" wp14:editId="01E6D9D1">
            <wp:extent cx="5733415" cy="687959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687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E0E" w:rsidRPr="000D0C8D" w:rsidRDefault="00AA7E0E" w:rsidP="00AA7E0E">
      <w:pPr>
        <w:spacing w:before="240" w:line="360" w:lineRule="auto"/>
        <w:rPr>
          <w:rFonts w:ascii="Times New Roman" w:eastAsia="Times New Roman" w:hAnsi="Times New Roman" w:cs="Times New Roman"/>
          <w:color w:val="000000" w:themeColor="text1"/>
        </w:rPr>
      </w:pPr>
      <w:r w:rsidRPr="000D0C8D">
        <w:rPr>
          <w:rFonts w:ascii="Times New Roman" w:eastAsia="Times New Roman" w:hAnsi="Times New Roman" w:cs="Times New Roman"/>
          <w:i/>
          <w:color w:val="000000" w:themeColor="text1"/>
        </w:rPr>
        <w:t xml:space="preserve">Figure </w:t>
      </w:r>
      <w:proofErr w:type="gramStart"/>
      <w:r w:rsidRPr="000D0C8D">
        <w:rPr>
          <w:rFonts w:ascii="Times New Roman" w:eastAsia="Times New Roman" w:hAnsi="Times New Roman" w:cs="Times New Roman"/>
          <w:i/>
          <w:color w:val="000000" w:themeColor="text1"/>
        </w:rPr>
        <w:t>S1</w:t>
      </w:r>
      <w:r w:rsidRPr="000D0C8D">
        <w:rPr>
          <w:rFonts w:ascii="Times New Roman" w:eastAsia="Times New Roman" w:hAnsi="Times New Roman" w:cs="Times New Roman"/>
          <w:color w:val="000000" w:themeColor="text1"/>
        </w:rPr>
        <w:t xml:space="preserve"> :</w:t>
      </w:r>
      <w:proofErr w:type="gramEnd"/>
      <w:r w:rsidRPr="000D0C8D">
        <w:rPr>
          <w:rFonts w:ascii="Times New Roman" w:eastAsia="Times New Roman" w:hAnsi="Times New Roman" w:cs="Times New Roman"/>
          <w:color w:val="000000" w:themeColor="text1"/>
        </w:rPr>
        <w:t xml:space="preserve">  Number of family and genus uniquely amplified by </w:t>
      </w:r>
      <w:proofErr w:type="spellStart"/>
      <w:r w:rsidRPr="000D0C8D">
        <w:rPr>
          <w:rFonts w:ascii="Times New Roman" w:eastAsia="Times New Roman" w:hAnsi="Times New Roman" w:cs="Times New Roman"/>
          <w:color w:val="000000" w:themeColor="text1"/>
        </w:rPr>
        <w:t>teleo</w:t>
      </w:r>
      <w:proofErr w:type="spellEnd"/>
      <w:r w:rsidRPr="000D0C8D">
        <w:rPr>
          <w:rFonts w:ascii="Times New Roman" w:eastAsia="Times New Roman" w:hAnsi="Times New Roman" w:cs="Times New Roman"/>
          <w:color w:val="000000" w:themeColor="text1"/>
        </w:rPr>
        <w:t xml:space="preserve"> and </w:t>
      </w:r>
      <w:proofErr w:type="spellStart"/>
      <w:r w:rsidRPr="000D0C8D">
        <w:rPr>
          <w:rFonts w:ascii="Times New Roman" w:eastAsia="Times New Roman" w:hAnsi="Times New Roman" w:cs="Times New Roman"/>
          <w:color w:val="000000" w:themeColor="text1"/>
        </w:rPr>
        <w:t>MiFish</w:t>
      </w:r>
      <w:proofErr w:type="spellEnd"/>
      <w:r w:rsidRPr="000D0C8D">
        <w:rPr>
          <w:rFonts w:ascii="Times New Roman" w:eastAsia="Times New Roman" w:hAnsi="Times New Roman" w:cs="Times New Roman"/>
          <w:color w:val="000000" w:themeColor="text1"/>
        </w:rPr>
        <w:t xml:space="preserve">-U primers respectively considering one (A), two (B) and three (C) mismatches for the Midori and </w:t>
      </w:r>
      <w:proofErr w:type="spellStart"/>
      <w:r w:rsidRPr="000D0C8D">
        <w:rPr>
          <w:rFonts w:ascii="Times New Roman" w:eastAsia="Times New Roman" w:hAnsi="Times New Roman" w:cs="Times New Roman"/>
          <w:color w:val="000000" w:themeColor="text1"/>
        </w:rPr>
        <w:t>Mitofish</w:t>
      </w:r>
      <w:proofErr w:type="spellEnd"/>
      <w:r w:rsidRPr="000D0C8D">
        <w:rPr>
          <w:rFonts w:ascii="Times New Roman" w:eastAsia="Times New Roman" w:hAnsi="Times New Roman" w:cs="Times New Roman"/>
          <w:color w:val="000000" w:themeColor="text1"/>
        </w:rPr>
        <w:t xml:space="preserve"> database.</w:t>
      </w:r>
    </w:p>
    <w:p w:rsidR="00AA7E0E" w:rsidRPr="000D0C8D" w:rsidRDefault="00AA7E0E" w:rsidP="00AA7E0E">
      <w:pPr>
        <w:spacing w:before="240" w:line="360" w:lineRule="auto"/>
        <w:rPr>
          <w:rFonts w:ascii="Times New Roman" w:eastAsia="Times New Roman" w:hAnsi="Times New Roman" w:cs="Times New Roman"/>
          <w:color w:val="000000" w:themeColor="text1"/>
        </w:rPr>
      </w:pPr>
    </w:p>
    <w:p w:rsidR="00AA7E0E" w:rsidRPr="000D0C8D" w:rsidRDefault="00AA7E0E" w:rsidP="00AA7E0E">
      <w:pPr>
        <w:spacing w:before="240" w:line="360" w:lineRule="auto"/>
        <w:rPr>
          <w:rFonts w:ascii="Times New Roman" w:eastAsia="Times New Roman" w:hAnsi="Times New Roman" w:cs="Times New Roman"/>
          <w:color w:val="000000" w:themeColor="text1"/>
        </w:rPr>
      </w:pPr>
    </w:p>
    <w:p w:rsidR="00AA7E0E" w:rsidRPr="000D0C8D" w:rsidRDefault="00AA7E0E" w:rsidP="00AA7E0E">
      <w:pPr>
        <w:spacing w:before="240" w:line="360" w:lineRule="auto"/>
        <w:rPr>
          <w:rFonts w:ascii="Times New Roman" w:eastAsia="Times New Roman" w:hAnsi="Times New Roman" w:cs="Times New Roman"/>
          <w:color w:val="000000" w:themeColor="text1"/>
        </w:rPr>
      </w:pPr>
    </w:p>
    <w:p w:rsidR="00AA7E0E" w:rsidRPr="000D0C8D" w:rsidRDefault="00AA7E0E" w:rsidP="00AA7E0E">
      <w:pPr>
        <w:spacing w:before="240" w:line="360" w:lineRule="auto"/>
        <w:rPr>
          <w:rFonts w:ascii="Times New Roman" w:eastAsia="Times New Roman" w:hAnsi="Times New Roman" w:cs="Times New Roman"/>
          <w:color w:val="000000" w:themeColor="text1"/>
        </w:rPr>
      </w:pPr>
      <w:r w:rsidRPr="000D0C8D">
        <w:rPr>
          <w:rFonts w:ascii="Times New Roman" w:eastAsia="Times New Roman" w:hAnsi="Times New Roman" w:cs="Times New Roman"/>
          <w:noProof/>
          <w:color w:val="000000" w:themeColor="text1"/>
        </w:rPr>
        <w:drawing>
          <wp:inline distT="114300" distB="114300" distL="114300" distR="114300" wp14:anchorId="103EE6D8" wp14:editId="582A9D9F">
            <wp:extent cx="3700463" cy="6829259"/>
            <wp:effectExtent l="0" t="0" r="0" b="0"/>
            <wp:docPr id="1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0463" cy="68292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7E0E" w:rsidRPr="000D0C8D" w:rsidRDefault="00AA7E0E" w:rsidP="00AA7E0E">
      <w:pPr>
        <w:spacing w:before="240" w:line="360" w:lineRule="auto"/>
        <w:rPr>
          <w:rFonts w:ascii="Times New Roman" w:eastAsia="Times New Roman" w:hAnsi="Times New Roman" w:cs="Times New Roman"/>
          <w:color w:val="000000" w:themeColor="text1"/>
        </w:rPr>
      </w:pPr>
      <w:r w:rsidRPr="000D0C8D">
        <w:rPr>
          <w:rFonts w:ascii="Times New Roman" w:eastAsia="Times New Roman" w:hAnsi="Times New Roman" w:cs="Times New Roman"/>
          <w:i/>
          <w:color w:val="000000" w:themeColor="text1"/>
        </w:rPr>
        <w:t>Figure S2</w:t>
      </w:r>
      <w:r w:rsidRPr="000D0C8D">
        <w:rPr>
          <w:rFonts w:ascii="Times New Roman" w:eastAsia="Times New Roman" w:hAnsi="Times New Roman" w:cs="Times New Roman"/>
          <w:color w:val="000000" w:themeColor="text1"/>
        </w:rPr>
        <w:t xml:space="preserve">. Phylogenetic distribution of the genera for </w:t>
      </w:r>
      <w:proofErr w:type="spellStart"/>
      <w:r w:rsidRPr="000D0C8D">
        <w:rPr>
          <w:rFonts w:ascii="Times New Roman" w:eastAsia="Times New Roman" w:hAnsi="Times New Roman" w:cs="Times New Roman"/>
          <w:color w:val="000000" w:themeColor="text1"/>
        </w:rPr>
        <w:t>Actinopterygii</w:t>
      </w:r>
      <w:proofErr w:type="spellEnd"/>
      <w:r w:rsidRPr="000D0C8D">
        <w:rPr>
          <w:rFonts w:ascii="Times New Roman" w:eastAsia="Times New Roman" w:hAnsi="Times New Roman" w:cs="Times New Roman"/>
          <w:color w:val="000000" w:themeColor="text1"/>
        </w:rPr>
        <w:t xml:space="preserve">, (A) and </w:t>
      </w:r>
      <w:proofErr w:type="spellStart"/>
      <w:r w:rsidRPr="000D0C8D">
        <w:rPr>
          <w:rFonts w:ascii="Times New Roman" w:eastAsia="Times New Roman" w:hAnsi="Times New Roman" w:cs="Times New Roman"/>
          <w:color w:val="000000" w:themeColor="text1"/>
        </w:rPr>
        <w:t>Chondrichthyes</w:t>
      </w:r>
      <w:proofErr w:type="spellEnd"/>
      <w:r w:rsidRPr="000D0C8D">
        <w:rPr>
          <w:rFonts w:ascii="Times New Roman" w:eastAsia="Times New Roman" w:hAnsi="Times New Roman" w:cs="Times New Roman"/>
          <w:color w:val="000000" w:themeColor="text1"/>
        </w:rPr>
        <w:t xml:space="preserve"> (B), recovered uniquely by </w:t>
      </w:r>
      <w:proofErr w:type="spellStart"/>
      <w:r w:rsidRPr="000D0C8D">
        <w:rPr>
          <w:rFonts w:ascii="Times New Roman" w:eastAsia="Times New Roman" w:hAnsi="Times New Roman" w:cs="Times New Roman"/>
          <w:color w:val="000000" w:themeColor="text1"/>
        </w:rPr>
        <w:t>MiFish</w:t>
      </w:r>
      <w:proofErr w:type="spellEnd"/>
      <w:r w:rsidRPr="000D0C8D">
        <w:rPr>
          <w:rFonts w:ascii="Times New Roman" w:eastAsia="Times New Roman" w:hAnsi="Times New Roman" w:cs="Times New Roman"/>
          <w:color w:val="000000" w:themeColor="text1"/>
        </w:rPr>
        <w:t xml:space="preserve">-U (in orange), uniquely by </w:t>
      </w:r>
      <w:proofErr w:type="spellStart"/>
      <w:r w:rsidRPr="000D0C8D">
        <w:rPr>
          <w:rFonts w:ascii="Times New Roman" w:eastAsia="Times New Roman" w:hAnsi="Times New Roman" w:cs="Times New Roman"/>
          <w:color w:val="000000" w:themeColor="text1"/>
        </w:rPr>
        <w:t>Teleo</w:t>
      </w:r>
      <w:proofErr w:type="spellEnd"/>
      <w:r w:rsidRPr="000D0C8D">
        <w:rPr>
          <w:rFonts w:ascii="Times New Roman" w:eastAsia="Times New Roman" w:hAnsi="Times New Roman" w:cs="Times New Roman"/>
          <w:color w:val="000000" w:themeColor="text1"/>
        </w:rPr>
        <w:t xml:space="preserve"> (in red) and by both primer pairs (in blue) considering the </w:t>
      </w:r>
      <w:proofErr w:type="spellStart"/>
      <w:r w:rsidRPr="000D0C8D">
        <w:rPr>
          <w:rFonts w:ascii="Times New Roman" w:eastAsia="Times New Roman" w:hAnsi="Times New Roman" w:cs="Times New Roman"/>
          <w:color w:val="000000" w:themeColor="text1"/>
        </w:rPr>
        <w:t>Mitofish</w:t>
      </w:r>
      <w:proofErr w:type="spellEnd"/>
      <w:r w:rsidRPr="000D0C8D">
        <w:rPr>
          <w:rFonts w:ascii="Times New Roman" w:eastAsia="Times New Roman" w:hAnsi="Times New Roman" w:cs="Times New Roman"/>
          <w:color w:val="000000" w:themeColor="text1"/>
        </w:rPr>
        <w:t xml:space="preserve"> database and allowing two mismatches. Families and genera not detected by either </w:t>
      </w:r>
      <w:r>
        <w:rPr>
          <w:rFonts w:ascii="Times New Roman" w:eastAsia="Times New Roman" w:hAnsi="Times New Roman" w:cs="Times New Roman"/>
          <w:color w:val="000000" w:themeColor="text1"/>
        </w:rPr>
        <w:t>primer pairs</w:t>
      </w:r>
      <w:r w:rsidRPr="000D0C8D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gramStart"/>
      <w:r w:rsidRPr="000D0C8D">
        <w:rPr>
          <w:rFonts w:ascii="Times New Roman" w:eastAsia="Times New Roman" w:hAnsi="Times New Roman" w:cs="Times New Roman"/>
          <w:color w:val="000000" w:themeColor="text1"/>
        </w:rPr>
        <w:t>are represented</w:t>
      </w:r>
      <w:proofErr w:type="gramEnd"/>
      <w:r w:rsidRPr="000D0C8D">
        <w:rPr>
          <w:rFonts w:ascii="Times New Roman" w:eastAsia="Times New Roman" w:hAnsi="Times New Roman" w:cs="Times New Roman"/>
          <w:color w:val="000000" w:themeColor="text1"/>
        </w:rPr>
        <w:t xml:space="preserve"> in black.</w:t>
      </w:r>
    </w:p>
    <w:p w:rsidR="00AA7E0E" w:rsidRPr="000D0C8D" w:rsidRDefault="00AA7E0E" w:rsidP="00AA7E0E">
      <w:pPr>
        <w:spacing w:before="240" w:line="360" w:lineRule="auto"/>
        <w:rPr>
          <w:rFonts w:ascii="Times New Roman" w:eastAsia="Times New Roman" w:hAnsi="Times New Roman" w:cs="Times New Roman"/>
          <w:color w:val="000000" w:themeColor="text1"/>
        </w:rPr>
      </w:pPr>
    </w:p>
    <w:p w:rsidR="00AA7E0E" w:rsidRPr="000D0C8D" w:rsidRDefault="00AA7E0E" w:rsidP="00AA7E0E">
      <w:pPr>
        <w:spacing w:before="240" w:line="360" w:lineRule="auto"/>
        <w:rPr>
          <w:rFonts w:ascii="Times New Roman" w:eastAsia="Times New Roman" w:hAnsi="Times New Roman" w:cs="Times New Roman"/>
          <w:color w:val="000000" w:themeColor="text1"/>
        </w:rPr>
      </w:pPr>
      <w:r w:rsidRPr="000D0C8D">
        <w:rPr>
          <w:rFonts w:ascii="Times New Roman" w:eastAsia="Times New Roman" w:hAnsi="Times New Roman" w:cs="Times New Roman"/>
          <w:noProof/>
          <w:color w:val="000000" w:themeColor="text1"/>
        </w:rPr>
        <w:drawing>
          <wp:inline distT="114300" distB="114300" distL="114300" distR="114300" wp14:anchorId="75EDD398" wp14:editId="3FDB7192">
            <wp:extent cx="5731200" cy="2870200"/>
            <wp:effectExtent l="0" t="0" r="0" b="0"/>
            <wp:docPr id="9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7E0E" w:rsidRPr="000D0C8D" w:rsidRDefault="00AA7E0E" w:rsidP="00AA7E0E">
      <w:pPr>
        <w:spacing w:before="240" w:line="360" w:lineRule="auto"/>
        <w:rPr>
          <w:rFonts w:ascii="Times New Roman" w:eastAsia="Times New Roman" w:hAnsi="Times New Roman" w:cs="Times New Roman"/>
          <w:color w:val="000000" w:themeColor="text1"/>
        </w:rPr>
      </w:pPr>
      <w:r w:rsidRPr="000D0C8D">
        <w:rPr>
          <w:rFonts w:ascii="Times New Roman" w:eastAsia="Times New Roman" w:hAnsi="Times New Roman" w:cs="Times New Roman"/>
          <w:i/>
          <w:color w:val="000000" w:themeColor="text1"/>
        </w:rPr>
        <w:t>Figure S3.</w:t>
      </w:r>
      <w:r w:rsidRPr="000D0C8D">
        <w:rPr>
          <w:rFonts w:ascii="Times New Roman" w:eastAsia="Times New Roman" w:hAnsi="Times New Roman" w:cs="Times New Roman"/>
          <w:color w:val="000000" w:themeColor="text1"/>
        </w:rPr>
        <w:t xml:space="preserve"> Lollipop plots of species-specificity of (A) </w:t>
      </w:r>
      <w:proofErr w:type="spellStart"/>
      <w:r w:rsidRPr="000D0C8D">
        <w:rPr>
          <w:rFonts w:ascii="Times New Roman" w:eastAsia="Times New Roman" w:hAnsi="Times New Roman" w:cs="Times New Roman"/>
          <w:color w:val="000000" w:themeColor="text1"/>
        </w:rPr>
        <w:t>teleo</w:t>
      </w:r>
      <w:proofErr w:type="spellEnd"/>
      <w:r w:rsidRPr="000D0C8D">
        <w:rPr>
          <w:rFonts w:ascii="Times New Roman" w:eastAsia="Times New Roman" w:hAnsi="Times New Roman" w:cs="Times New Roman"/>
          <w:color w:val="000000" w:themeColor="text1"/>
        </w:rPr>
        <w:t xml:space="preserve"> and (B) </w:t>
      </w:r>
      <w:proofErr w:type="spellStart"/>
      <w:r w:rsidRPr="000D0C8D">
        <w:rPr>
          <w:rFonts w:ascii="Times New Roman" w:eastAsia="Times New Roman" w:hAnsi="Times New Roman" w:cs="Times New Roman"/>
          <w:color w:val="000000" w:themeColor="text1"/>
        </w:rPr>
        <w:t>MiFish</w:t>
      </w:r>
      <w:proofErr w:type="spellEnd"/>
      <w:r w:rsidRPr="000D0C8D">
        <w:rPr>
          <w:rFonts w:ascii="Times New Roman" w:eastAsia="Times New Roman" w:hAnsi="Times New Roman" w:cs="Times New Roman"/>
          <w:color w:val="000000" w:themeColor="text1"/>
        </w:rPr>
        <w:t xml:space="preserve">-U across the different families for the </w:t>
      </w:r>
      <w:proofErr w:type="spellStart"/>
      <w:r w:rsidRPr="000D0C8D">
        <w:rPr>
          <w:rFonts w:ascii="Times New Roman" w:eastAsia="Times New Roman" w:hAnsi="Times New Roman" w:cs="Times New Roman"/>
          <w:color w:val="000000" w:themeColor="text1"/>
        </w:rPr>
        <w:t>Mitofish</w:t>
      </w:r>
      <w:proofErr w:type="spellEnd"/>
      <w:r w:rsidRPr="000D0C8D">
        <w:rPr>
          <w:rFonts w:ascii="Times New Roman" w:eastAsia="Times New Roman" w:hAnsi="Times New Roman" w:cs="Times New Roman"/>
          <w:color w:val="000000" w:themeColor="text1"/>
        </w:rPr>
        <w:t xml:space="preserve"> database. (C) Boxplot showing the performance of the neural network to predict the taxonomic assignment at the genus and at the family level for both </w:t>
      </w:r>
      <w:proofErr w:type="spellStart"/>
      <w:r w:rsidRPr="000D0C8D">
        <w:rPr>
          <w:rFonts w:ascii="Times New Roman" w:eastAsia="Times New Roman" w:hAnsi="Times New Roman" w:cs="Times New Roman"/>
          <w:color w:val="000000" w:themeColor="text1"/>
        </w:rPr>
        <w:t>MiFish</w:t>
      </w:r>
      <w:proofErr w:type="spellEnd"/>
      <w:r w:rsidRPr="000D0C8D">
        <w:rPr>
          <w:rFonts w:ascii="Times New Roman" w:eastAsia="Times New Roman" w:hAnsi="Times New Roman" w:cs="Times New Roman"/>
          <w:color w:val="000000" w:themeColor="text1"/>
        </w:rPr>
        <w:t xml:space="preserve">-U and </w:t>
      </w:r>
      <w:proofErr w:type="spellStart"/>
      <w:r w:rsidRPr="000D0C8D">
        <w:rPr>
          <w:rFonts w:ascii="Times New Roman" w:eastAsia="Times New Roman" w:hAnsi="Times New Roman" w:cs="Times New Roman"/>
          <w:color w:val="000000" w:themeColor="text1"/>
        </w:rPr>
        <w:t>teleo</w:t>
      </w:r>
      <w:proofErr w:type="spellEnd"/>
      <w:r w:rsidRPr="000D0C8D">
        <w:rPr>
          <w:rFonts w:ascii="Times New Roman" w:eastAsia="Times New Roman" w:hAnsi="Times New Roman" w:cs="Times New Roman"/>
          <w:color w:val="000000" w:themeColor="text1"/>
        </w:rPr>
        <w:t xml:space="preserve"> considering the </w:t>
      </w:r>
      <w:proofErr w:type="spellStart"/>
      <w:r w:rsidRPr="000D0C8D">
        <w:rPr>
          <w:rFonts w:ascii="Times New Roman" w:eastAsia="Times New Roman" w:hAnsi="Times New Roman" w:cs="Times New Roman"/>
          <w:color w:val="000000" w:themeColor="text1"/>
        </w:rPr>
        <w:t>Mitofish</w:t>
      </w:r>
      <w:proofErr w:type="spellEnd"/>
      <w:r w:rsidRPr="000D0C8D">
        <w:rPr>
          <w:rFonts w:ascii="Times New Roman" w:eastAsia="Times New Roman" w:hAnsi="Times New Roman" w:cs="Times New Roman"/>
          <w:color w:val="000000" w:themeColor="text1"/>
        </w:rPr>
        <w:t xml:space="preserve"> database.</w:t>
      </w:r>
      <w:r w:rsidRPr="000D0C8D">
        <w:rPr>
          <w:color w:val="000000" w:themeColor="text1"/>
        </w:rPr>
        <w:br w:type="page"/>
      </w:r>
    </w:p>
    <w:p w:rsidR="00AA7E0E" w:rsidRPr="000D0C8D" w:rsidRDefault="00AA7E0E" w:rsidP="00AA7E0E">
      <w:pPr>
        <w:spacing w:before="240" w:line="360" w:lineRule="auto"/>
        <w:rPr>
          <w:rFonts w:ascii="Times New Roman" w:eastAsia="Times New Roman" w:hAnsi="Times New Roman" w:cs="Times New Roman"/>
          <w:color w:val="000000" w:themeColor="text1"/>
        </w:rPr>
      </w:pPr>
      <w:r w:rsidRPr="000D0C8D">
        <w:rPr>
          <w:noProof/>
          <w:color w:val="000000" w:themeColor="text1"/>
        </w:rPr>
        <w:lastRenderedPageBreak/>
        <w:drawing>
          <wp:inline distT="0" distB="0" distL="0" distR="0" wp14:anchorId="60A0B18C" wp14:editId="0FC83AF4">
            <wp:extent cx="5733415" cy="17907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E0E" w:rsidRPr="000D0C8D" w:rsidRDefault="00AA7E0E" w:rsidP="00AA7E0E">
      <w:pPr>
        <w:spacing w:before="240" w:line="360" w:lineRule="auto"/>
        <w:rPr>
          <w:rFonts w:ascii="Times New Roman" w:eastAsia="Times New Roman" w:hAnsi="Times New Roman" w:cs="Times New Roman"/>
          <w:color w:val="000000" w:themeColor="text1"/>
        </w:rPr>
      </w:pPr>
      <w:r w:rsidRPr="000D0C8D">
        <w:rPr>
          <w:rFonts w:ascii="Times New Roman" w:eastAsia="Times New Roman" w:hAnsi="Times New Roman" w:cs="Times New Roman"/>
          <w:i/>
          <w:color w:val="000000" w:themeColor="text1"/>
        </w:rPr>
        <w:t>Figure S4</w:t>
      </w:r>
      <w:r w:rsidRPr="000D0C8D">
        <w:rPr>
          <w:rFonts w:ascii="Times New Roman" w:eastAsia="Times New Roman" w:hAnsi="Times New Roman" w:cs="Times New Roman"/>
          <w:color w:val="000000" w:themeColor="text1"/>
        </w:rPr>
        <w:t xml:space="preserve">. Number of orders, families and species identified by </w:t>
      </w:r>
      <w:proofErr w:type="spellStart"/>
      <w:r w:rsidRPr="000D0C8D">
        <w:rPr>
          <w:rFonts w:ascii="Times New Roman" w:eastAsia="Times New Roman" w:hAnsi="Times New Roman" w:cs="Times New Roman"/>
          <w:color w:val="000000" w:themeColor="text1"/>
        </w:rPr>
        <w:t>Mifish</w:t>
      </w:r>
      <w:proofErr w:type="spellEnd"/>
      <w:r w:rsidRPr="000D0C8D">
        <w:rPr>
          <w:rFonts w:ascii="Times New Roman" w:eastAsia="Times New Roman" w:hAnsi="Times New Roman" w:cs="Times New Roman"/>
          <w:color w:val="000000" w:themeColor="text1"/>
        </w:rPr>
        <w:t xml:space="preserve"> and </w:t>
      </w:r>
      <w:proofErr w:type="spellStart"/>
      <w:r w:rsidRPr="000D0C8D">
        <w:rPr>
          <w:rFonts w:ascii="Times New Roman" w:eastAsia="Times New Roman" w:hAnsi="Times New Roman" w:cs="Times New Roman"/>
          <w:color w:val="000000" w:themeColor="text1"/>
        </w:rPr>
        <w:t>teleo</w:t>
      </w:r>
      <w:proofErr w:type="spellEnd"/>
      <w:r w:rsidRPr="000D0C8D">
        <w:rPr>
          <w:rFonts w:ascii="Times New Roman" w:eastAsia="Times New Roman" w:hAnsi="Times New Roman" w:cs="Times New Roman"/>
          <w:color w:val="000000" w:themeColor="text1"/>
        </w:rPr>
        <w:t xml:space="preserve"> primers within the Rhone River (France; A), the Maroni River (French Guiana; B) and the Mediterranean Sea (France; C). </w:t>
      </w:r>
    </w:p>
    <w:p w:rsidR="00AA7E0E" w:rsidRPr="000D0C8D" w:rsidRDefault="00AA7E0E" w:rsidP="00AA7E0E">
      <w:pPr>
        <w:spacing w:before="240" w:line="360" w:lineRule="auto"/>
        <w:rPr>
          <w:rFonts w:ascii="Times New Roman" w:eastAsia="Times New Roman" w:hAnsi="Times New Roman" w:cs="Times New Roman"/>
          <w:color w:val="000000" w:themeColor="text1"/>
        </w:rPr>
      </w:pPr>
    </w:p>
    <w:tbl>
      <w:tblPr>
        <w:tblW w:w="8340" w:type="dxa"/>
        <w:tblLook w:val="04A0" w:firstRow="1" w:lastRow="0" w:firstColumn="1" w:lastColumn="0" w:noHBand="0" w:noVBand="1"/>
      </w:tblPr>
      <w:tblGrid>
        <w:gridCol w:w="1260"/>
        <w:gridCol w:w="970"/>
        <w:gridCol w:w="970"/>
        <w:gridCol w:w="890"/>
        <w:gridCol w:w="890"/>
        <w:gridCol w:w="850"/>
        <w:gridCol w:w="850"/>
        <w:gridCol w:w="792"/>
        <w:gridCol w:w="868"/>
      </w:tblGrid>
      <w:tr w:rsidR="00AA7E0E" w:rsidRPr="000D0C8D" w:rsidTr="00B4205A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  <w:t>Maroni River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  <w:t>Mediterranean sea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  <w:t>Rhone River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  <w:t>CPCR</w:t>
            </w:r>
          </w:p>
        </w:tc>
      </w:tr>
      <w:tr w:rsidR="00AA7E0E" w:rsidRPr="000D0C8D" w:rsidTr="00B4205A">
        <w:trPr>
          <w:trHeight w:val="285"/>
        </w:trPr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  <w:t>Step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0D0C8D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  <w:t>MiFish</w:t>
            </w:r>
            <w:proofErr w:type="spellEnd"/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0D0C8D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  <w:t>teleo</w:t>
            </w:r>
            <w:proofErr w:type="spellEnd"/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0D0C8D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  <w:t>MiFish</w:t>
            </w:r>
            <w:proofErr w:type="spellEnd"/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0D0C8D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  <w:t>teleo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0D0C8D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  <w:t>MiFish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0D0C8D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  <w:t>teleo</w:t>
            </w:r>
            <w:proofErr w:type="spellEnd"/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0D0C8D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  <w:t>MiFish</w:t>
            </w:r>
            <w:proofErr w:type="spellEnd"/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0D0C8D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  <w:t>teleo</w:t>
            </w:r>
            <w:proofErr w:type="spellEnd"/>
          </w:p>
        </w:tc>
      </w:tr>
      <w:tr w:rsidR="00AA7E0E" w:rsidRPr="000D0C8D" w:rsidTr="00B4205A">
        <w:trPr>
          <w:trHeight w:val="285"/>
        </w:trPr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proofErr w:type="spellStart"/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Demultiplexing</w:t>
            </w:r>
            <w:proofErr w:type="spellEnd"/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2592557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1143841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3466624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1124727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1210879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1194177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50935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392367</w:t>
            </w:r>
          </w:p>
        </w:tc>
      </w:tr>
      <w:tr w:rsidR="00AA7E0E" w:rsidRPr="000D0C8D" w:rsidTr="00B4205A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Quality filter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1624184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962651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2108988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934021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650861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981794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29119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283331</w:t>
            </w:r>
          </w:p>
        </w:tc>
      </w:tr>
      <w:tr w:rsidR="00AA7E0E" w:rsidRPr="000D0C8D" w:rsidTr="00B4205A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proofErr w:type="spellStart"/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Metazoa</w:t>
            </w:r>
            <w:proofErr w:type="spellEnd"/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1460346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700809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816966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590340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305196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904341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29074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283253</w:t>
            </w:r>
          </w:p>
        </w:tc>
      </w:tr>
      <w:tr w:rsidR="00AA7E0E" w:rsidRPr="000D0C8D" w:rsidTr="00B4205A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Chordata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1460346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700809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816966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590340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305196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904341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29074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283253</w:t>
            </w:r>
          </w:p>
        </w:tc>
      </w:tr>
      <w:tr w:rsidR="00AA7E0E" w:rsidRPr="000D0C8D" w:rsidTr="00B4205A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Aves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2110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AA7E0E" w:rsidRPr="000D0C8D" w:rsidTr="00B4205A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Mammalia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590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10044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4611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796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12870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29074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283253</w:t>
            </w:r>
          </w:p>
        </w:tc>
      </w:tr>
      <w:tr w:rsidR="00AA7E0E" w:rsidRPr="000D0C8D" w:rsidTr="00B4205A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proofErr w:type="spellStart"/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Actinopteri</w:t>
            </w:r>
            <w:proofErr w:type="spellEnd"/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1460346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700207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806922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585194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304400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887974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AA7E0E" w:rsidRPr="000D0C8D" w:rsidTr="00B4205A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proofErr w:type="spellStart"/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Chondrichthyes</w:t>
            </w:r>
            <w:proofErr w:type="spellEnd"/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535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AA7E0E" w:rsidRPr="000D0C8D" w:rsidTr="00B4205A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proofErr w:type="spellStart"/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Hyperoartia</w:t>
            </w:r>
            <w:proofErr w:type="spellEnd"/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1387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7E0E" w:rsidRPr="000D0C8D" w:rsidRDefault="00AA7E0E" w:rsidP="00B4205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0D0C8D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 </w:t>
            </w:r>
          </w:p>
        </w:tc>
      </w:tr>
    </w:tbl>
    <w:p w:rsidR="00AA7E0E" w:rsidRPr="000D0C8D" w:rsidRDefault="00AA7E0E" w:rsidP="00AA7E0E">
      <w:pPr>
        <w:spacing w:before="240" w:line="360" w:lineRule="auto"/>
        <w:rPr>
          <w:rFonts w:ascii="Times New Roman" w:eastAsia="Times New Roman" w:hAnsi="Times New Roman" w:cs="Times New Roman"/>
          <w:color w:val="000000" w:themeColor="text1"/>
        </w:rPr>
      </w:pPr>
      <w:r w:rsidRPr="000D0C8D">
        <w:rPr>
          <w:rFonts w:ascii="Times New Roman" w:eastAsia="Times New Roman" w:hAnsi="Times New Roman" w:cs="Times New Roman"/>
          <w:i/>
          <w:color w:val="000000" w:themeColor="text1"/>
        </w:rPr>
        <w:t>Table S1</w:t>
      </w:r>
      <w:r w:rsidRPr="000D0C8D">
        <w:rPr>
          <w:rFonts w:ascii="Times New Roman" w:eastAsia="Times New Roman" w:hAnsi="Times New Roman" w:cs="Times New Roman"/>
          <w:color w:val="000000" w:themeColor="text1"/>
        </w:rPr>
        <w:t xml:space="preserve">. Number of reads during the filtration process. After </w:t>
      </w:r>
      <w:proofErr w:type="spellStart"/>
      <w:r w:rsidRPr="000D0C8D">
        <w:rPr>
          <w:rFonts w:ascii="Times New Roman" w:eastAsia="Times New Roman" w:hAnsi="Times New Roman" w:cs="Times New Roman"/>
          <w:color w:val="000000" w:themeColor="text1"/>
        </w:rPr>
        <w:t>demultiplexing</w:t>
      </w:r>
      <w:proofErr w:type="spellEnd"/>
      <w:r w:rsidRPr="000D0C8D">
        <w:rPr>
          <w:rFonts w:ascii="Times New Roman" w:eastAsia="Times New Roman" w:hAnsi="Times New Roman" w:cs="Times New Roman"/>
          <w:color w:val="000000" w:themeColor="text1"/>
        </w:rPr>
        <w:t xml:space="preserve"> and quality filtering (i.e. sequences longer than 20 </w:t>
      </w:r>
      <w:proofErr w:type="spellStart"/>
      <w:r w:rsidRPr="000D0C8D">
        <w:rPr>
          <w:rFonts w:ascii="Times New Roman" w:eastAsia="Times New Roman" w:hAnsi="Times New Roman" w:cs="Times New Roman"/>
          <w:color w:val="000000" w:themeColor="text1"/>
        </w:rPr>
        <w:t>bp</w:t>
      </w:r>
      <w:proofErr w:type="spellEnd"/>
      <w:r w:rsidRPr="000D0C8D">
        <w:rPr>
          <w:rFonts w:ascii="Times New Roman" w:eastAsia="Times New Roman" w:hAnsi="Times New Roman" w:cs="Times New Roman"/>
          <w:color w:val="000000" w:themeColor="text1"/>
        </w:rPr>
        <w:t xml:space="preserve">, MOTU represented by more than 10 reads and MOTU), remaining reads are classified successively to </w:t>
      </w:r>
      <w:proofErr w:type="spellStart"/>
      <w:r w:rsidRPr="000D0C8D">
        <w:rPr>
          <w:rFonts w:ascii="Times New Roman" w:eastAsia="Times New Roman" w:hAnsi="Times New Roman" w:cs="Times New Roman"/>
          <w:color w:val="000000" w:themeColor="text1"/>
        </w:rPr>
        <w:t>Metazoa</w:t>
      </w:r>
      <w:proofErr w:type="spellEnd"/>
      <w:r w:rsidRPr="000D0C8D">
        <w:rPr>
          <w:rFonts w:ascii="Times New Roman" w:eastAsia="Times New Roman" w:hAnsi="Times New Roman" w:cs="Times New Roman"/>
          <w:color w:val="000000" w:themeColor="text1"/>
        </w:rPr>
        <w:t xml:space="preserve">, Chordata, Aves, Mammalia, </w:t>
      </w:r>
      <w:proofErr w:type="spellStart"/>
      <w:r w:rsidRPr="000D0C8D">
        <w:rPr>
          <w:rFonts w:ascii="Times New Roman" w:eastAsia="Times New Roman" w:hAnsi="Times New Roman" w:cs="Times New Roman"/>
          <w:color w:val="000000" w:themeColor="text1"/>
        </w:rPr>
        <w:t>Actinopteri</w:t>
      </w:r>
      <w:proofErr w:type="spellEnd"/>
      <w:r w:rsidRPr="000D0C8D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0D0C8D">
        <w:rPr>
          <w:rFonts w:ascii="Times New Roman" w:eastAsia="Times New Roman" w:hAnsi="Times New Roman" w:cs="Times New Roman"/>
          <w:color w:val="000000" w:themeColor="text1"/>
        </w:rPr>
        <w:t>Chondrichthyes</w:t>
      </w:r>
      <w:proofErr w:type="spellEnd"/>
      <w:r w:rsidRPr="000D0C8D">
        <w:rPr>
          <w:rFonts w:ascii="Times New Roman" w:eastAsia="Times New Roman" w:hAnsi="Times New Roman" w:cs="Times New Roman"/>
          <w:color w:val="000000" w:themeColor="text1"/>
        </w:rPr>
        <w:t xml:space="preserve"> and  </w:t>
      </w:r>
      <w:proofErr w:type="spellStart"/>
      <w:r w:rsidRPr="000D0C8D">
        <w:rPr>
          <w:rFonts w:ascii="Times New Roman" w:eastAsia="Times New Roman" w:hAnsi="Times New Roman" w:cs="Times New Roman"/>
          <w:color w:val="000000" w:themeColor="text1"/>
        </w:rPr>
        <w:t>Hyperoartia</w:t>
      </w:r>
      <w:proofErr w:type="spellEnd"/>
      <w:r w:rsidRPr="000D0C8D">
        <w:rPr>
          <w:rFonts w:ascii="Times New Roman" w:eastAsia="Times New Roman" w:hAnsi="Times New Roman" w:cs="Times New Roman"/>
          <w:color w:val="000000" w:themeColor="text1"/>
        </w:rPr>
        <w:t xml:space="preserve"> using a conservative 98% identity threshold with the reference bases (EMBL for non-fish, and local databases for </w:t>
      </w:r>
      <w:proofErr w:type="spellStart"/>
      <w:r w:rsidRPr="000D0C8D">
        <w:rPr>
          <w:rFonts w:ascii="Times New Roman" w:eastAsia="Times New Roman" w:hAnsi="Times New Roman" w:cs="Times New Roman"/>
          <w:color w:val="000000" w:themeColor="text1"/>
        </w:rPr>
        <w:t>Actinopteri</w:t>
      </w:r>
      <w:proofErr w:type="spellEnd"/>
      <w:r w:rsidRPr="000D0C8D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0D0C8D">
        <w:rPr>
          <w:rFonts w:ascii="Times New Roman" w:eastAsia="Times New Roman" w:hAnsi="Times New Roman" w:cs="Times New Roman"/>
          <w:color w:val="000000" w:themeColor="text1"/>
        </w:rPr>
        <w:t>Chondrichthyes</w:t>
      </w:r>
      <w:proofErr w:type="spellEnd"/>
      <w:r w:rsidRPr="000D0C8D">
        <w:rPr>
          <w:rFonts w:ascii="Times New Roman" w:eastAsia="Times New Roman" w:hAnsi="Times New Roman" w:cs="Times New Roman"/>
          <w:color w:val="000000" w:themeColor="text1"/>
        </w:rPr>
        <w:t xml:space="preserve"> and  </w:t>
      </w:r>
      <w:proofErr w:type="spellStart"/>
      <w:r w:rsidRPr="000D0C8D">
        <w:rPr>
          <w:rFonts w:ascii="Times New Roman" w:eastAsia="Times New Roman" w:hAnsi="Times New Roman" w:cs="Times New Roman"/>
          <w:color w:val="000000" w:themeColor="text1"/>
        </w:rPr>
        <w:t>Hyperoartia</w:t>
      </w:r>
      <w:proofErr w:type="spellEnd"/>
      <w:r w:rsidRPr="000D0C8D">
        <w:rPr>
          <w:rFonts w:ascii="Times New Roman" w:eastAsia="Times New Roman" w:hAnsi="Times New Roman" w:cs="Times New Roman"/>
          <w:color w:val="000000" w:themeColor="text1"/>
        </w:rPr>
        <w:t>). The CPCR corresponds to the control PCR and the reads of Mammalia correspond with human contamination.</w:t>
      </w:r>
    </w:p>
    <w:p w:rsidR="00C657BF" w:rsidRDefault="00C657BF">
      <w:bookmarkStart w:id="0" w:name="_GoBack"/>
      <w:bookmarkEnd w:id="0"/>
    </w:p>
    <w:sectPr w:rsidR="00C657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9E2"/>
    <w:rsid w:val="006819E2"/>
    <w:rsid w:val="00AA7E0E"/>
    <w:rsid w:val="00C65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CD7CAD-9349-4F8B-A963-7F7C18C5E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A7E0E"/>
    <w:pPr>
      <w:spacing w:after="0" w:line="276" w:lineRule="auto"/>
    </w:pPr>
    <w:rPr>
      <w:rFonts w:ascii="Arial" w:eastAsia="Arial" w:hAnsi="Arial" w:cs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337</Words>
  <Characters>1927</Characters>
  <Application>Microsoft Office Word</Application>
  <DocSecurity>0</DocSecurity>
  <Lines>16</Lines>
  <Paragraphs>4</Paragraphs>
  <ScaleCrop>false</ScaleCrop>
  <Company/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ploic</dc:creator>
  <cp:keywords/>
  <dc:description/>
  <cp:lastModifiedBy>ploic</cp:lastModifiedBy>
  <cp:revision>2</cp:revision>
  <dcterms:created xsi:type="dcterms:W3CDTF">2021-06-18T09:23:00Z</dcterms:created>
  <dcterms:modified xsi:type="dcterms:W3CDTF">2021-06-18T09:23:00Z</dcterms:modified>
</cp:coreProperties>
</file>