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526A" w:rsidRDefault="002E526A" w:rsidP="00973775">
      <w:pPr>
        <w:spacing w:line="480" w:lineRule="auto"/>
        <w:rPr>
          <w:sz w:val="36"/>
          <w:szCs w:val="36"/>
        </w:rPr>
      </w:pPr>
    </w:p>
    <w:p w:rsidR="002E526A" w:rsidRDefault="003D2FC2" w:rsidP="00973775">
      <w:pPr>
        <w:spacing w:line="480" w:lineRule="auto"/>
        <w:rPr>
          <w:sz w:val="36"/>
          <w:szCs w:val="36"/>
        </w:rPr>
      </w:pPr>
      <w:r>
        <w:rPr>
          <w:sz w:val="36"/>
          <w:szCs w:val="36"/>
        </w:rPr>
        <w:t>Supplementary Materials for</w:t>
      </w:r>
    </w:p>
    <w:p w:rsidR="002E526A" w:rsidRDefault="002E526A" w:rsidP="00973775">
      <w:pPr>
        <w:spacing w:line="480" w:lineRule="auto"/>
      </w:pPr>
    </w:p>
    <w:p w:rsidR="002E526A" w:rsidRDefault="003D2FC2" w:rsidP="00973775">
      <w:pPr>
        <w:pBdr>
          <w:top w:val="nil"/>
          <w:left w:val="nil"/>
          <w:bottom w:val="nil"/>
          <w:right w:val="nil"/>
          <w:between w:val="nil"/>
        </w:pBdr>
        <w:spacing w:before="120" w:after="120" w:line="480" w:lineRule="auto"/>
        <w:rPr>
          <w:color w:val="000000"/>
        </w:rPr>
      </w:pPr>
      <w:r>
        <w:rPr>
          <w:b/>
          <w:color w:val="000000"/>
          <w:sz w:val="28"/>
          <w:szCs w:val="28"/>
        </w:rPr>
        <w:t>An</w:t>
      </w:r>
      <w:r>
        <w:rPr>
          <w:b/>
          <w:sz w:val="28"/>
          <w:szCs w:val="28"/>
        </w:rPr>
        <w:t xml:space="preserve"> </w:t>
      </w:r>
      <w:r>
        <w:rPr>
          <w:b/>
          <w:color w:val="000000"/>
          <w:sz w:val="28"/>
          <w:szCs w:val="28"/>
        </w:rPr>
        <w:t xml:space="preserve">Indo-Pacific see-saw wobbles the Earth at </w:t>
      </w:r>
      <w:proofErr w:type="spellStart"/>
      <w:r>
        <w:rPr>
          <w:b/>
          <w:color w:val="000000"/>
          <w:sz w:val="28"/>
          <w:szCs w:val="28"/>
        </w:rPr>
        <w:t>intraseasonal</w:t>
      </w:r>
      <w:proofErr w:type="spellEnd"/>
      <w:r>
        <w:rPr>
          <w:b/>
          <w:color w:val="000000"/>
          <w:sz w:val="28"/>
          <w:szCs w:val="28"/>
        </w:rPr>
        <w:t xml:space="preserve"> timescales</w:t>
      </w:r>
    </w:p>
    <w:p w:rsidR="002E526A" w:rsidRDefault="003D2FC2" w:rsidP="00973775">
      <w:pPr>
        <w:spacing w:before="120" w:after="360" w:line="480" w:lineRule="auto"/>
        <w:rPr>
          <w:color w:val="000000"/>
        </w:rPr>
      </w:pPr>
      <w:r>
        <w:t>M. Afroosa</w:t>
      </w:r>
      <w:r>
        <w:rPr>
          <w:vertAlign w:val="superscript"/>
        </w:rPr>
        <w:t>1,6†</w:t>
      </w:r>
      <w:r>
        <w:t>,B. Rohith</w:t>
      </w:r>
      <w:r>
        <w:rPr>
          <w:vertAlign w:val="superscript"/>
        </w:rPr>
        <w:t>1†</w:t>
      </w:r>
      <w:r>
        <w:t>,Arya Paul</w:t>
      </w:r>
      <w:r>
        <w:rPr>
          <w:vertAlign w:val="superscript"/>
        </w:rPr>
        <w:t>1*</w:t>
      </w:r>
      <w:r>
        <w:t>, Fabien Durand</w:t>
      </w:r>
      <w:r>
        <w:rPr>
          <w:vertAlign w:val="superscript"/>
        </w:rPr>
        <w:t>2,5</w:t>
      </w:r>
      <w:r>
        <w:t>, Romain Bourdallé-Badie</w:t>
      </w:r>
      <w:r>
        <w:rPr>
          <w:vertAlign w:val="superscript"/>
        </w:rPr>
        <w:t>3</w:t>
      </w:r>
      <w:r>
        <w:t>, P.V. Sreedevi</w:t>
      </w:r>
      <w:r>
        <w:rPr>
          <w:vertAlign w:val="superscript"/>
        </w:rPr>
        <w:t>1,7</w:t>
      </w:r>
      <w:r>
        <w:t>, Olivier de Viron</w:t>
      </w:r>
      <w:r>
        <w:rPr>
          <w:vertAlign w:val="superscript"/>
        </w:rPr>
        <w:t>4</w:t>
      </w:r>
      <w:r>
        <w:t>, Valérie Ballu</w:t>
      </w:r>
      <w:r>
        <w:rPr>
          <w:vertAlign w:val="superscript"/>
        </w:rPr>
        <w:t>4</w:t>
      </w:r>
      <w:r>
        <w:t>, S.S.C. Shenoi</w:t>
      </w:r>
      <w:r>
        <w:rPr>
          <w:vertAlign w:val="superscript"/>
        </w:rPr>
        <w:t>1</w:t>
      </w:r>
    </w:p>
    <w:p w:rsidR="002E526A" w:rsidRDefault="002E526A" w:rsidP="00973775">
      <w:pPr>
        <w:spacing w:line="480" w:lineRule="auto"/>
      </w:pPr>
    </w:p>
    <w:p w:rsidR="002E526A" w:rsidRDefault="003D2FC2" w:rsidP="00973775">
      <w:pPr>
        <w:pBdr>
          <w:top w:val="nil"/>
          <w:left w:val="nil"/>
          <w:bottom w:val="nil"/>
          <w:right w:val="nil"/>
          <w:between w:val="nil"/>
        </w:pBdr>
        <w:spacing w:before="120" w:after="360" w:line="480" w:lineRule="auto"/>
        <w:rPr>
          <w:color w:val="000000"/>
          <w:vertAlign w:val="superscript"/>
        </w:rPr>
      </w:pPr>
      <w:r>
        <w:rPr>
          <w:color w:val="000000"/>
        </w:rPr>
        <w:t>Correspondence to: aryapaul@incois.gov.in.</w:t>
      </w:r>
    </w:p>
    <w:p w:rsidR="002E526A" w:rsidRDefault="002E526A" w:rsidP="00973775">
      <w:pPr>
        <w:spacing w:line="480" w:lineRule="auto"/>
        <w:rPr>
          <w:b/>
        </w:rPr>
      </w:pPr>
    </w:p>
    <w:p w:rsidR="002E526A" w:rsidRDefault="003D2FC2" w:rsidP="00973775">
      <w:pPr>
        <w:spacing w:line="480" w:lineRule="auto"/>
        <w:rPr>
          <w:b/>
        </w:rPr>
      </w:pPr>
      <w:r>
        <w:rPr>
          <w:b/>
        </w:rPr>
        <w:t>This PDF file includes:</w:t>
      </w:r>
    </w:p>
    <w:p w:rsidR="002E526A" w:rsidRDefault="002E526A" w:rsidP="00973775">
      <w:pPr>
        <w:spacing w:line="480" w:lineRule="auto"/>
      </w:pPr>
      <w:bookmarkStart w:id="0" w:name="_GoBack"/>
      <w:bookmarkEnd w:id="0"/>
    </w:p>
    <w:p w:rsidR="002E526A" w:rsidRDefault="003D2FC2" w:rsidP="00973775">
      <w:pPr>
        <w:spacing w:line="480" w:lineRule="auto"/>
        <w:ind w:left="720"/>
      </w:pPr>
      <w:r>
        <w:t>Methods</w:t>
      </w:r>
    </w:p>
    <w:p w:rsidR="002E526A" w:rsidRDefault="003D2FC2" w:rsidP="00973775">
      <w:pPr>
        <w:spacing w:line="480" w:lineRule="auto"/>
        <w:ind w:left="720"/>
      </w:pPr>
      <w:r>
        <w:t xml:space="preserve">Figs. </w:t>
      </w:r>
      <w:r>
        <w:rPr>
          <w:b/>
        </w:rPr>
        <w:t>S1 to S4</w:t>
      </w:r>
    </w:p>
    <w:p w:rsidR="002E526A" w:rsidRDefault="003D2FC2" w:rsidP="00973775">
      <w:pPr>
        <w:spacing w:line="480" w:lineRule="auto"/>
        <w:rPr>
          <w:sz w:val="36"/>
          <w:szCs w:val="36"/>
        </w:rPr>
      </w:pPr>
      <w:r>
        <w:br w:type="page"/>
      </w:r>
      <w:r>
        <w:rPr>
          <w:sz w:val="36"/>
          <w:szCs w:val="36"/>
        </w:rPr>
        <w:lastRenderedPageBreak/>
        <w:t>Methods</w:t>
      </w:r>
    </w:p>
    <w:p w:rsidR="002E526A" w:rsidRDefault="002E526A" w:rsidP="00973775">
      <w:pPr>
        <w:keepNext/>
        <w:pBdr>
          <w:top w:val="nil"/>
          <w:left w:val="nil"/>
          <w:bottom w:val="nil"/>
          <w:right w:val="nil"/>
          <w:between w:val="nil"/>
        </w:pBdr>
        <w:spacing w:before="240" w:after="60" w:line="480" w:lineRule="auto"/>
        <w:rPr>
          <w:b/>
          <w:color w:val="000000"/>
        </w:rPr>
      </w:pPr>
    </w:p>
    <w:p w:rsidR="002E526A" w:rsidRDefault="003D2FC2" w:rsidP="00973775">
      <w:pPr>
        <w:pBdr>
          <w:top w:val="nil"/>
          <w:left w:val="nil"/>
          <w:bottom w:val="nil"/>
          <w:right w:val="nil"/>
          <w:between w:val="nil"/>
        </w:pBdr>
        <w:spacing w:line="480" w:lineRule="auto"/>
        <w:rPr>
          <w:b/>
          <w:color w:val="000000"/>
          <w:u w:val="single"/>
        </w:rPr>
      </w:pPr>
      <w:r>
        <w:rPr>
          <w:b/>
          <w:color w:val="000000"/>
          <w:u w:val="single"/>
        </w:rPr>
        <w:t>SM1. Model</w:t>
      </w:r>
    </w:p>
    <w:p w:rsidR="002E526A" w:rsidRDefault="002E526A" w:rsidP="00973775">
      <w:pPr>
        <w:pBdr>
          <w:top w:val="nil"/>
          <w:left w:val="nil"/>
          <w:bottom w:val="nil"/>
          <w:right w:val="nil"/>
          <w:between w:val="nil"/>
        </w:pBdr>
        <w:spacing w:line="480" w:lineRule="auto"/>
        <w:rPr>
          <w:color w:val="000000"/>
          <w:u w:val="single"/>
        </w:rPr>
      </w:pPr>
    </w:p>
    <w:p w:rsidR="002E526A" w:rsidRDefault="003D2FC2" w:rsidP="00973775">
      <w:pPr>
        <w:pBdr>
          <w:top w:val="nil"/>
          <w:left w:val="nil"/>
          <w:bottom w:val="nil"/>
          <w:right w:val="nil"/>
          <w:between w:val="nil"/>
        </w:pBdr>
        <w:spacing w:line="480" w:lineRule="auto"/>
        <w:ind w:firstLine="480"/>
        <w:rPr>
          <w:color w:val="000000"/>
        </w:rPr>
      </w:pPr>
      <w:r>
        <w:rPr>
          <w:color w:val="000000"/>
        </w:rPr>
        <w:t>The state-of-the-art Ocean/Sea-ice general circulation model (OGCM) - Nucleus for European Modeling of the Ocean (NEMO-version 3.6 stable)</w:t>
      </w:r>
      <w:r>
        <w:rPr>
          <w:color w:val="000000"/>
          <w:vertAlign w:val="superscript"/>
        </w:rPr>
        <w:t>11</w:t>
      </w:r>
      <w:r>
        <w:rPr>
          <w:color w:val="000000"/>
        </w:rPr>
        <w:t xml:space="preserve"> is used in this study. The ocean component of NEMO is based on version 9.1 of the OPA primitive equation z-level mo</w:t>
      </w:r>
      <w:r>
        <w:rPr>
          <w:color w:val="000000"/>
        </w:rPr>
        <w:t>del with hydrostatic and Boussinesq approximations</w:t>
      </w:r>
      <w:r>
        <w:rPr>
          <w:vertAlign w:val="superscript"/>
        </w:rPr>
        <w:t>26,27</w:t>
      </w:r>
      <w:r>
        <w:rPr>
          <w:color w:val="000000"/>
        </w:rPr>
        <w:t xml:space="preserve">. This OGCM is coupled to the Louvain la </w:t>
      </w:r>
      <w:proofErr w:type="spellStart"/>
      <w:r>
        <w:rPr>
          <w:color w:val="000000"/>
        </w:rPr>
        <w:t>Neuve</w:t>
      </w:r>
      <w:proofErr w:type="spellEnd"/>
      <w:r>
        <w:rPr>
          <w:color w:val="000000"/>
        </w:rPr>
        <w:t xml:space="preserve"> (LIM3) sea ice mode</w:t>
      </w:r>
      <w:r>
        <w:t>l</w:t>
      </w:r>
      <w:r>
        <w:rPr>
          <w:vertAlign w:val="superscript"/>
        </w:rPr>
        <w:t>28</w:t>
      </w:r>
      <w:r>
        <w:rPr>
          <w:color w:val="000000"/>
        </w:rPr>
        <w:t>. All simulations analyzed in this study are performed using the NEMO-based eddy resolving model configuration (ORCA12) developed un</w:t>
      </w:r>
      <w:r>
        <w:rPr>
          <w:color w:val="000000"/>
        </w:rPr>
        <w:t>der the Copernicus Marine Environment Monitoring Service (CMEMS) framework</w:t>
      </w:r>
      <w:r>
        <w:rPr>
          <w:vertAlign w:val="superscript"/>
        </w:rPr>
        <w:t>29</w:t>
      </w:r>
      <w:r>
        <w:rPr>
          <w:color w:val="000000"/>
        </w:rPr>
        <w:t>.</w:t>
      </w:r>
    </w:p>
    <w:p w:rsidR="002E526A" w:rsidRDefault="003D2FC2" w:rsidP="00973775">
      <w:pPr>
        <w:pBdr>
          <w:top w:val="nil"/>
          <w:left w:val="nil"/>
          <w:bottom w:val="nil"/>
          <w:right w:val="nil"/>
          <w:between w:val="nil"/>
        </w:pBdr>
        <w:spacing w:line="480" w:lineRule="auto"/>
        <w:ind w:firstLine="480"/>
        <w:rPr>
          <w:color w:val="000000"/>
        </w:rPr>
      </w:pPr>
      <w:r>
        <w:rPr>
          <w:color w:val="000000"/>
        </w:rPr>
        <w:t>The NEMO-ORCA12 is a global ocean configuration with an orthogonal, curvilinear, tripolar Arakawa C-type grid with a nominal resolution of 1/12°</w:t>
      </w:r>
      <w:r>
        <w:rPr>
          <w:vertAlign w:val="superscript"/>
        </w:rPr>
        <w:t>30</w:t>
      </w:r>
      <w:r>
        <w:rPr>
          <w:color w:val="000000"/>
        </w:rPr>
        <w:t xml:space="preserve">. </w:t>
      </w:r>
      <w:r>
        <w:t>In the tripolar</w:t>
      </w:r>
      <w:r>
        <w:rPr>
          <w:color w:val="000000"/>
        </w:rPr>
        <w:t xml:space="preserve"> ORCA12 grid, t</w:t>
      </w:r>
      <w:r>
        <w:rPr>
          <w:color w:val="000000"/>
        </w:rPr>
        <w:t>he horizontal resolution gets finer with increasing latitude, i.e., 9 km at the equator, 7 km at mid-latitudes and 2 km near the poles</w:t>
      </w:r>
      <w:r>
        <w:rPr>
          <w:vertAlign w:val="superscript"/>
        </w:rPr>
        <w:t>31</w:t>
      </w:r>
      <w:r>
        <w:rPr>
          <w:color w:val="000000"/>
        </w:rPr>
        <w:t>. Our model set-up consists of 75 vertical levels and a partial cell representation of bottom topography</w:t>
      </w:r>
      <w:r>
        <w:rPr>
          <w:vertAlign w:val="superscript"/>
        </w:rPr>
        <w:t>32,33</w:t>
      </w:r>
      <w:r>
        <w:rPr>
          <w:color w:val="000000"/>
        </w:rPr>
        <w:t>. The resol</w:t>
      </w:r>
      <w:r>
        <w:rPr>
          <w:color w:val="000000"/>
        </w:rPr>
        <w:t>ution of this vertical discretization decreases from 1 m at the surface to 200 m in the deep ocean. The NEMO-ORCA12 configuration uses a non-linear free surface with a split-explicit formulation to compute barotropic and baroclinic modes</w:t>
      </w:r>
      <w:r>
        <w:rPr>
          <w:vertAlign w:val="superscript"/>
        </w:rPr>
        <w:t>34</w:t>
      </w:r>
      <w:r>
        <w:rPr>
          <w:color w:val="000000"/>
        </w:rPr>
        <w:t>. A baroclinic ti</w:t>
      </w:r>
      <w:r>
        <w:rPr>
          <w:color w:val="000000"/>
        </w:rPr>
        <w:t>me step of 360 seconds and a barotropic time step of 12 seconds are used. Momentum advection scheme is a 3rd order Upstream Biased Scheme</w:t>
      </w:r>
      <w:r>
        <w:rPr>
          <w:vertAlign w:val="superscript"/>
        </w:rPr>
        <w:t>35</w:t>
      </w:r>
      <w:r>
        <w:t xml:space="preserve"> </w:t>
      </w:r>
      <w:r>
        <w:rPr>
          <w:color w:val="000000"/>
        </w:rPr>
        <w:t xml:space="preserve">that contains a biharmonic like dissipation term. A total variance diminishing </w:t>
      </w:r>
      <w:r>
        <w:rPr>
          <w:color w:val="000000"/>
        </w:rPr>
        <w:lastRenderedPageBreak/>
        <w:t>advection scheme is used for the trac</w:t>
      </w:r>
      <w:r>
        <w:rPr>
          <w:color w:val="000000"/>
        </w:rPr>
        <w:t>ers</w:t>
      </w:r>
      <w:r>
        <w:rPr>
          <w:vertAlign w:val="superscript"/>
        </w:rPr>
        <w:t>36,37</w:t>
      </w:r>
      <w:r>
        <w:rPr>
          <w:color w:val="000000"/>
        </w:rPr>
        <w:t>, and the mixing scheme is k-ε</w:t>
      </w:r>
      <w:r>
        <w:rPr>
          <w:vertAlign w:val="superscript"/>
        </w:rPr>
        <w:t>38</w:t>
      </w:r>
      <w:r>
        <w:rPr>
          <w:color w:val="000000"/>
        </w:rPr>
        <w:t xml:space="preserve"> based on Generic Length Scale (GLS) turbulent closure scheme</w:t>
      </w:r>
      <w:r>
        <w:rPr>
          <w:vertAlign w:val="superscript"/>
        </w:rPr>
        <w:t>39,40</w:t>
      </w:r>
      <w:r>
        <w:rPr>
          <w:color w:val="000000"/>
        </w:rPr>
        <w:t>.</w:t>
      </w:r>
    </w:p>
    <w:p w:rsidR="002E526A" w:rsidRDefault="003D2FC2" w:rsidP="00973775">
      <w:pPr>
        <w:pBdr>
          <w:top w:val="nil"/>
          <w:left w:val="nil"/>
          <w:bottom w:val="nil"/>
          <w:right w:val="nil"/>
          <w:between w:val="nil"/>
        </w:pBdr>
        <w:spacing w:line="480" w:lineRule="auto"/>
        <w:ind w:firstLine="480"/>
        <w:rPr>
          <w:color w:val="000000"/>
        </w:rPr>
      </w:pPr>
      <w:r>
        <w:rPr>
          <w:color w:val="000000"/>
        </w:rPr>
        <w:t>The model requires the following fluxes - wind, radiative fluxes, air temperature, rain and specific humidity. There is no atmospheric pressure grad</w:t>
      </w:r>
      <w:r>
        <w:rPr>
          <w:color w:val="000000"/>
        </w:rPr>
        <w:t>ient forcing in the model as the effect of atmospheric pressure on open ocean bottom pressure is negligible at time scales longer than ~ 3 days</w:t>
      </w:r>
      <w:r>
        <w:rPr>
          <w:vertAlign w:val="superscript"/>
        </w:rPr>
        <w:t>41</w:t>
      </w:r>
      <w:r>
        <w:rPr>
          <w:color w:val="000000"/>
        </w:rPr>
        <w:t xml:space="preserve">. Snow and river runoff fluxes are monthly climatological </w:t>
      </w:r>
      <w:proofErr w:type="spellStart"/>
      <w:r>
        <w:rPr>
          <w:color w:val="000000"/>
        </w:rPr>
        <w:t>forcings</w:t>
      </w:r>
      <w:proofErr w:type="spellEnd"/>
      <w:r>
        <w:rPr>
          <w:color w:val="000000"/>
        </w:rPr>
        <w:t xml:space="preserve"> obtained from climatology</w:t>
      </w:r>
      <w:r>
        <w:rPr>
          <w:vertAlign w:val="superscript"/>
        </w:rPr>
        <w:t>42</w:t>
      </w:r>
      <w:r>
        <w:rPr>
          <w:color w:val="000000"/>
        </w:rPr>
        <w:t>.   ETOPO1</w:t>
      </w:r>
      <w:r>
        <w:rPr>
          <w:vertAlign w:val="superscript"/>
        </w:rPr>
        <w:t>43</w:t>
      </w:r>
      <w:r>
        <w:rPr>
          <w:color w:val="000000"/>
        </w:rPr>
        <w:t xml:space="preserve"> and </w:t>
      </w:r>
      <w:r>
        <w:rPr>
          <w:color w:val="000000"/>
        </w:rPr>
        <w:t>GEBCO_08</w:t>
      </w:r>
      <w:r>
        <w:rPr>
          <w:vertAlign w:val="superscript"/>
        </w:rPr>
        <w:t>44</w:t>
      </w:r>
      <w:r>
        <w:rPr>
          <w:color w:val="000000"/>
        </w:rPr>
        <w:t xml:space="preserve"> have been combined to derive ORCA12 bathymetry </w:t>
      </w:r>
      <w:r>
        <w:rPr>
          <w:vertAlign w:val="superscript"/>
        </w:rPr>
        <w:t>32</w:t>
      </w:r>
      <w:r>
        <w:rPr>
          <w:color w:val="000000"/>
        </w:rPr>
        <w:t>. The minimum depth in the model is set to 12 m. Regions shallower than 12 m are deepened to the minimum depth. The above configuration is the same across the control run and the two sensitivity e</w:t>
      </w:r>
      <w:r>
        <w:rPr>
          <w:color w:val="000000"/>
        </w:rPr>
        <w:t xml:space="preserve">xperiments. Ocean bottom pressure (in decibars) is computed within the model. We obtain </w:t>
      </w:r>
      <w:proofErr w:type="spellStart"/>
      <w:r>
        <w:rPr>
          <w:color w:val="000000"/>
        </w:rPr>
        <w:t>intraseasonal</w:t>
      </w:r>
      <w:proofErr w:type="spellEnd"/>
      <w:r>
        <w:rPr>
          <w:color w:val="000000"/>
        </w:rPr>
        <w:t xml:space="preserve"> equivalent water depth (EWD) from the model-derived ocean bottom pressure by scaling it with density and applying a </w:t>
      </w:r>
      <w:proofErr w:type="spellStart"/>
      <w:r>
        <w:rPr>
          <w:color w:val="000000"/>
        </w:rPr>
        <w:t>lanczos</w:t>
      </w:r>
      <w:proofErr w:type="spellEnd"/>
      <w:r>
        <w:rPr>
          <w:color w:val="000000"/>
        </w:rPr>
        <w:t xml:space="preserve"> filter</w:t>
      </w:r>
      <w:r>
        <w:rPr>
          <w:vertAlign w:val="superscript"/>
        </w:rPr>
        <w:t>45</w:t>
      </w:r>
      <w:r>
        <w:rPr>
          <w:color w:val="000000"/>
        </w:rPr>
        <w:t xml:space="preserve"> .</w:t>
      </w: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rPr>
          <w:b/>
          <w:color w:val="000000"/>
          <w:u w:val="single"/>
        </w:rPr>
      </w:pPr>
      <w:r>
        <w:rPr>
          <w:b/>
          <w:color w:val="000000"/>
          <w:u w:val="single"/>
        </w:rPr>
        <w:t>SM1.1. Control Run</w:t>
      </w:r>
    </w:p>
    <w:p w:rsidR="002E526A" w:rsidRDefault="002E526A" w:rsidP="00973775">
      <w:pPr>
        <w:pBdr>
          <w:top w:val="nil"/>
          <w:left w:val="nil"/>
          <w:bottom w:val="nil"/>
          <w:right w:val="nil"/>
          <w:between w:val="nil"/>
        </w:pBdr>
        <w:spacing w:line="480" w:lineRule="auto"/>
        <w:ind w:firstLine="480"/>
        <w:rPr>
          <w:color w:val="000000"/>
        </w:rPr>
      </w:pPr>
    </w:p>
    <w:p w:rsidR="002E526A" w:rsidRDefault="003D2FC2" w:rsidP="00973775">
      <w:pPr>
        <w:pBdr>
          <w:top w:val="nil"/>
          <w:left w:val="nil"/>
          <w:bottom w:val="nil"/>
          <w:right w:val="nil"/>
          <w:between w:val="nil"/>
        </w:pBdr>
        <w:spacing w:line="480" w:lineRule="auto"/>
        <w:ind w:firstLine="480"/>
        <w:rPr>
          <w:color w:val="000000"/>
        </w:rPr>
      </w:pPr>
      <w:r>
        <w:rPr>
          <w:color w:val="000000"/>
        </w:rPr>
        <w:t>The global NEMO is run for the period 2009-2019 starting from an initial condition obtained from a 30 year spin-up of the model using ERA-Interim ECMWF reanalysis</w:t>
      </w:r>
      <w:r>
        <w:rPr>
          <w:vertAlign w:val="superscript"/>
        </w:rPr>
        <w:t>46</w:t>
      </w:r>
      <w:r>
        <w:rPr>
          <w:color w:val="000000"/>
        </w:rPr>
        <w:t xml:space="preserve">. Subsequently, the model is forced with six-hourly National Centre for </w:t>
      </w:r>
      <w:r>
        <w:rPr>
          <w:color w:val="000000"/>
        </w:rPr>
        <w:t>Medium Range Weather Forecasting (NCMRWF) fluxes</w:t>
      </w:r>
      <w:r>
        <w:rPr>
          <w:vertAlign w:val="superscript"/>
        </w:rPr>
        <w:t>47</w:t>
      </w:r>
      <w:r>
        <w:rPr>
          <w:color w:val="000000"/>
        </w:rPr>
        <w:t xml:space="preserve"> from January 2009 and is run till August 2019. Sea surface temperature (SST) and Sea surface salinity (SSS) were weakly restored to the monthly climatological values derived from World Ocean Atlas 2013 (WO</w:t>
      </w:r>
      <w:r>
        <w:rPr>
          <w:color w:val="000000"/>
        </w:rPr>
        <w:t>A13)</w:t>
      </w:r>
      <w:r>
        <w:rPr>
          <w:vertAlign w:val="superscript"/>
        </w:rPr>
        <w:t>48,49</w:t>
      </w:r>
      <w:r>
        <w:rPr>
          <w:color w:val="000000"/>
        </w:rPr>
        <w:t>. The restoration time scale is 2 months.</w:t>
      </w:r>
    </w:p>
    <w:p w:rsidR="002E526A" w:rsidRDefault="002E526A" w:rsidP="00973775">
      <w:pPr>
        <w:pBdr>
          <w:top w:val="nil"/>
          <w:left w:val="nil"/>
          <w:bottom w:val="nil"/>
          <w:right w:val="nil"/>
          <w:between w:val="nil"/>
        </w:pBdr>
        <w:spacing w:line="480" w:lineRule="auto"/>
        <w:rPr>
          <w:b/>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rPr>
          <w:b/>
          <w:color w:val="000000"/>
          <w:u w:val="single"/>
        </w:rPr>
      </w:pPr>
      <w:r>
        <w:rPr>
          <w:b/>
          <w:color w:val="000000"/>
          <w:u w:val="single"/>
        </w:rPr>
        <w:t>SM1.2. Sensitivity experiment: MC-EXP</w:t>
      </w:r>
    </w:p>
    <w:p w:rsidR="002E526A" w:rsidRDefault="002E526A" w:rsidP="00973775">
      <w:pPr>
        <w:pBdr>
          <w:top w:val="nil"/>
          <w:left w:val="nil"/>
          <w:bottom w:val="nil"/>
          <w:right w:val="nil"/>
          <w:between w:val="nil"/>
        </w:pBdr>
        <w:spacing w:line="480" w:lineRule="auto"/>
        <w:ind w:firstLine="480"/>
        <w:rPr>
          <w:color w:val="000000"/>
        </w:rPr>
      </w:pPr>
    </w:p>
    <w:p w:rsidR="002E526A" w:rsidRDefault="003D2FC2" w:rsidP="00973775">
      <w:pPr>
        <w:pBdr>
          <w:top w:val="nil"/>
          <w:left w:val="nil"/>
          <w:bottom w:val="nil"/>
          <w:right w:val="nil"/>
          <w:between w:val="nil"/>
        </w:pBdr>
        <w:spacing w:line="480" w:lineRule="auto"/>
        <w:ind w:firstLine="480"/>
        <w:rPr>
          <w:color w:val="000000"/>
        </w:rPr>
      </w:pPr>
      <w:r>
        <w:rPr>
          <w:color w:val="000000"/>
        </w:rPr>
        <w:t>To understand the importance of MJO winds over the Maritime Continent in establishing the seesaw in the Indo-Pacific oceanic mass, a sensitivity experiment (MC-EXP)</w:t>
      </w:r>
      <w:r>
        <w:rPr>
          <w:color w:val="000000"/>
        </w:rPr>
        <w:t xml:space="preserve"> is carried out by restricting the wind forcing to the boxed region (90</w:t>
      </w:r>
      <w:r>
        <w:rPr>
          <w:rFonts w:ascii="Symbol" w:eastAsia="Symbol" w:hAnsi="Symbol" w:cs="Symbol"/>
          <w:color w:val="000000"/>
        </w:rPr>
        <w:t></w:t>
      </w:r>
      <w:r>
        <w:rPr>
          <w:color w:val="000000"/>
        </w:rPr>
        <w:t>E-140</w:t>
      </w:r>
      <w:r>
        <w:rPr>
          <w:rFonts w:ascii="Symbol" w:eastAsia="Symbol" w:hAnsi="Symbol" w:cs="Symbol"/>
          <w:color w:val="000000"/>
        </w:rPr>
        <w:t></w:t>
      </w:r>
      <w:r>
        <w:rPr>
          <w:color w:val="000000"/>
        </w:rPr>
        <w:t>E, 32</w:t>
      </w:r>
      <w:r>
        <w:rPr>
          <w:rFonts w:ascii="Symbol" w:eastAsia="Symbol" w:hAnsi="Symbol" w:cs="Symbol"/>
          <w:color w:val="000000"/>
        </w:rPr>
        <w:t></w:t>
      </w:r>
      <w:r>
        <w:rPr>
          <w:color w:val="000000"/>
        </w:rPr>
        <w:t>S-2</w:t>
      </w:r>
      <w:r>
        <w:rPr>
          <w:rFonts w:ascii="Symbol" w:eastAsia="Symbol" w:hAnsi="Symbol" w:cs="Symbol"/>
          <w:color w:val="000000"/>
        </w:rPr>
        <w:t></w:t>
      </w:r>
      <w:r>
        <w:rPr>
          <w:color w:val="000000"/>
        </w:rPr>
        <w:t xml:space="preserve">N, </w:t>
      </w:r>
      <w:r>
        <w:t>black box</w:t>
      </w:r>
      <w:r>
        <w:rPr>
          <w:color w:val="000000"/>
        </w:rPr>
        <w:t xml:space="preserve"> in Fig.2</w:t>
      </w:r>
      <w:r>
        <w:t xml:space="preserve">b </w:t>
      </w:r>
      <w:r>
        <w:rPr>
          <w:color w:val="000000"/>
        </w:rPr>
        <w:t xml:space="preserve">and zero elsewhere. </w:t>
      </w:r>
      <w:r>
        <w:t>All</w:t>
      </w:r>
      <w:r>
        <w:rPr>
          <w:color w:val="000000"/>
        </w:rPr>
        <w:t xml:space="preserve"> other fluxes are prescribed across the globe. The wind mask was created using a hyperbolic tangent function. To avoid num</w:t>
      </w:r>
      <w:r>
        <w:rPr>
          <w:color w:val="000000"/>
        </w:rPr>
        <w:t xml:space="preserve">erical instabilities, the winds at the edges of the box are smoothly decayed to zero over a length scale of 300 km. </w:t>
      </w:r>
    </w:p>
    <w:p w:rsidR="002E526A" w:rsidRDefault="003D2FC2" w:rsidP="00973775">
      <w:pPr>
        <w:pBdr>
          <w:top w:val="nil"/>
          <w:left w:val="nil"/>
          <w:bottom w:val="nil"/>
          <w:right w:val="nil"/>
          <w:between w:val="nil"/>
        </w:pBdr>
        <w:spacing w:line="480" w:lineRule="auto"/>
        <w:ind w:firstLine="480"/>
      </w:pPr>
      <w:r>
        <w:t>The 6-hourly NCMRWF</w:t>
      </w:r>
      <w:r>
        <w:rPr>
          <w:vertAlign w:val="superscript"/>
        </w:rPr>
        <w:t>43</w:t>
      </w:r>
      <w:r>
        <w:t xml:space="preserve"> forcing is used for the wind while the rest of the fluxes are climatological and taken from CORE-II climatology fluxes</w:t>
      </w:r>
      <w:r>
        <w:rPr>
          <w:vertAlign w:val="superscript"/>
        </w:rPr>
        <w:t xml:space="preserve">50 </w:t>
      </w:r>
      <w:r>
        <w:t>. The simulation is performed for the period 2009-2019 starting from the same initial condition as the control run. In this experiment</w:t>
      </w:r>
      <w:r>
        <w:t>, SST and SSS were restored strongly (time scale of 12 hours) to the climatological values derived from World Ocean Atlas 2013 (WOA13)</w:t>
      </w:r>
      <w:r>
        <w:rPr>
          <w:vertAlign w:val="superscript"/>
        </w:rPr>
        <w:t>48,49</w:t>
      </w:r>
      <w:r>
        <w:t>. This is done to keep the baroclinic structure of the ocean close to reality in the absence of wind fluxes outside t</w:t>
      </w:r>
      <w:r>
        <w:t xml:space="preserve">he </w:t>
      </w:r>
      <w:r>
        <w:t>Maritime Continent</w:t>
      </w:r>
      <w:r>
        <w:t>.</w:t>
      </w:r>
    </w:p>
    <w:p w:rsidR="002E526A" w:rsidRDefault="002E526A" w:rsidP="00973775">
      <w:pPr>
        <w:pBdr>
          <w:top w:val="nil"/>
          <w:left w:val="nil"/>
          <w:bottom w:val="nil"/>
          <w:right w:val="nil"/>
          <w:between w:val="nil"/>
        </w:pBdr>
        <w:spacing w:line="480" w:lineRule="auto"/>
        <w:ind w:firstLine="480"/>
        <w:rPr>
          <w:u w:val="single"/>
        </w:rPr>
      </w:pPr>
    </w:p>
    <w:p w:rsidR="002E526A" w:rsidRDefault="003D2FC2" w:rsidP="00973775">
      <w:pPr>
        <w:pBdr>
          <w:top w:val="nil"/>
          <w:left w:val="nil"/>
          <w:bottom w:val="nil"/>
          <w:right w:val="nil"/>
          <w:between w:val="nil"/>
        </w:pBdr>
        <w:spacing w:line="480" w:lineRule="auto"/>
        <w:rPr>
          <w:b/>
          <w:u w:val="single"/>
        </w:rPr>
      </w:pPr>
      <w:r>
        <w:rPr>
          <w:b/>
          <w:u w:val="single"/>
        </w:rPr>
        <w:t>SM2. BPR data processing</w:t>
      </w:r>
    </w:p>
    <w:p w:rsidR="002E526A" w:rsidRDefault="002E526A" w:rsidP="00973775">
      <w:pPr>
        <w:pBdr>
          <w:top w:val="nil"/>
          <w:left w:val="nil"/>
          <w:bottom w:val="nil"/>
          <w:right w:val="nil"/>
          <w:between w:val="nil"/>
        </w:pBdr>
        <w:spacing w:line="480" w:lineRule="auto"/>
        <w:rPr>
          <w:b/>
          <w:u w:val="single"/>
        </w:rPr>
      </w:pPr>
    </w:p>
    <w:p w:rsidR="002E526A" w:rsidRDefault="003D2FC2" w:rsidP="00973775">
      <w:pPr>
        <w:pBdr>
          <w:top w:val="nil"/>
          <w:left w:val="nil"/>
          <w:bottom w:val="nil"/>
          <w:right w:val="nil"/>
          <w:between w:val="nil"/>
        </w:pBdr>
        <w:spacing w:line="480" w:lineRule="auto"/>
      </w:pPr>
      <w:r>
        <w:rPr>
          <w:highlight w:val="white"/>
        </w:rPr>
        <w:t xml:space="preserve">The Bottom Pressure Recorder (BPR) measures ocean bottom pressure </w:t>
      </w:r>
      <w:r>
        <w:t>in pounds per square inch absolute (PSIA)</w:t>
      </w:r>
      <w:r>
        <w:rPr>
          <w:highlight w:val="white"/>
        </w:rPr>
        <w:t>.</w:t>
      </w:r>
      <w:r>
        <w:t xml:space="preserve"> This information is disseminated as Equivalent Water Depth (EWD) after applying a constant 670.0 mm of water/PSIA conversion factor. The BPRs have a time resolution of 15 minutes when operating in the normal mode. However, we chose hourly data by sub-</w:t>
      </w:r>
      <w:r>
        <w:lastRenderedPageBreak/>
        <w:t>samp</w:t>
      </w:r>
      <w:r>
        <w:t>ling only the zero</w:t>
      </w:r>
      <w:r>
        <w:rPr>
          <w:vertAlign w:val="superscript"/>
        </w:rPr>
        <w:t>th</w:t>
      </w:r>
      <w:r>
        <w:t xml:space="preserve"> minute of every hour from the normal mode </w:t>
      </w:r>
      <w:proofErr w:type="spellStart"/>
      <w:r>
        <w:t>data.The</w:t>
      </w:r>
      <w:proofErr w:type="spellEnd"/>
      <w:r>
        <w:t xml:space="preserve"> hourly data are subjected to TASK2000</w:t>
      </w:r>
      <w:r>
        <w:rPr>
          <w:vertAlign w:val="superscript"/>
        </w:rPr>
        <w:t>51</w:t>
      </w:r>
      <w:r>
        <w:t xml:space="preserve"> software to remove tidal frequencies. For this study, a total of 82 BPRs were processed. All the BPRs were processed using the method described </w:t>
      </w:r>
      <w:r>
        <w:t>in ref.</w:t>
      </w:r>
      <w:r>
        <w:rPr>
          <w:vertAlign w:val="superscript"/>
        </w:rPr>
        <w:t xml:space="preserve">3 </w:t>
      </w:r>
      <w:r>
        <w:t xml:space="preserve">and a continuous de-tided daily time series was constructed. </w:t>
      </w:r>
      <w:proofErr w:type="spellStart"/>
      <w:r>
        <w:t>Intraseasonal</w:t>
      </w:r>
      <w:proofErr w:type="spellEnd"/>
      <w:r>
        <w:t xml:space="preserve"> EWDA were estimated from the daily time series using the </w:t>
      </w:r>
      <w:proofErr w:type="spellStart"/>
      <w:r>
        <w:t>lanczos</w:t>
      </w:r>
      <w:proofErr w:type="spellEnd"/>
      <w:r>
        <w:t xml:space="preserve"> filter</w:t>
      </w:r>
      <w:r>
        <w:rPr>
          <w:vertAlign w:val="superscript"/>
        </w:rPr>
        <w:t>45</w:t>
      </w:r>
      <w:r>
        <w:t xml:space="preserve">. </w:t>
      </w:r>
    </w:p>
    <w:p w:rsidR="002E526A" w:rsidRDefault="002E526A" w:rsidP="00973775">
      <w:pPr>
        <w:pBdr>
          <w:top w:val="nil"/>
          <w:left w:val="nil"/>
          <w:bottom w:val="nil"/>
          <w:right w:val="nil"/>
          <w:between w:val="nil"/>
        </w:pBdr>
        <w:spacing w:line="480" w:lineRule="auto"/>
      </w:pPr>
    </w:p>
    <w:p w:rsidR="002E526A" w:rsidRDefault="003D2FC2" w:rsidP="00973775">
      <w:pPr>
        <w:pBdr>
          <w:top w:val="nil"/>
          <w:left w:val="nil"/>
          <w:bottom w:val="nil"/>
          <w:right w:val="nil"/>
          <w:between w:val="nil"/>
        </w:pBdr>
        <w:spacing w:line="480" w:lineRule="auto"/>
        <w:rPr>
          <w:b/>
          <w:color w:val="000000"/>
          <w:u w:val="single"/>
        </w:rPr>
      </w:pPr>
      <w:r>
        <w:rPr>
          <w:b/>
          <w:color w:val="000000"/>
          <w:u w:val="single"/>
        </w:rPr>
        <w:t>SM</w:t>
      </w:r>
      <w:r>
        <w:rPr>
          <w:b/>
          <w:u w:val="single"/>
        </w:rPr>
        <w:t>3</w:t>
      </w:r>
      <w:r>
        <w:rPr>
          <w:b/>
          <w:color w:val="000000"/>
          <w:u w:val="single"/>
        </w:rPr>
        <w:t xml:space="preserve">. Estimation of ocean </w:t>
      </w:r>
      <w:r>
        <w:rPr>
          <w:b/>
          <w:u w:val="single"/>
        </w:rPr>
        <w:t>excitation functions from the model</w:t>
      </w:r>
    </w:p>
    <w:p w:rsidR="002E526A" w:rsidRDefault="002E526A" w:rsidP="00973775">
      <w:pPr>
        <w:pBdr>
          <w:top w:val="nil"/>
          <w:left w:val="nil"/>
          <w:bottom w:val="nil"/>
          <w:right w:val="nil"/>
          <w:between w:val="nil"/>
        </w:pBdr>
        <w:spacing w:line="480" w:lineRule="auto"/>
        <w:ind w:firstLine="480"/>
        <w:rPr>
          <w:color w:val="000000"/>
        </w:rPr>
      </w:pPr>
    </w:p>
    <w:p w:rsidR="002E526A" w:rsidRDefault="003D2FC2" w:rsidP="00973775">
      <w:pPr>
        <w:pBdr>
          <w:top w:val="nil"/>
          <w:left w:val="nil"/>
          <w:bottom w:val="nil"/>
          <w:right w:val="nil"/>
          <w:between w:val="nil"/>
        </w:pBdr>
        <w:spacing w:line="480" w:lineRule="auto"/>
        <w:ind w:firstLine="480"/>
        <w:rPr>
          <w:color w:val="000000"/>
        </w:rPr>
      </w:pPr>
      <w:r>
        <w:rPr>
          <w:color w:val="000000"/>
        </w:rPr>
        <w:t>Changes in polar motion of the so</w:t>
      </w:r>
      <w:r>
        <w:rPr>
          <w:color w:val="000000"/>
        </w:rPr>
        <w:t>lid earth due to the ocean can be attributed to the changes in ocean mass distribution and/or changes in ocean currents</w:t>
      </w:r>
      <w:r>
        <w:rPr>
          <w:vertAlign w:val="superscript"/>
        </w:rPr>
        <w:t>52</w:t>
      </w:r>
      <w:r>
        <w:rPr>
          <w:color w:val="000000"/>
        </w:rPr>
        <w:t xml:space="preserve">. </w:t>
      </w:r>
      <w:r>
        <w:t>Daily</w:t>
      </w:r>
      <w:r>
        <w:rPr>
          <w:color w:val="000000"/>
        </w:rPr>
        <w:t xml:space="preserve"> </w:t>
      </w:r>
      <w:r>
        <w:t>excitations</w:t>
      </w:r>
      <w:r>
        <w:rPr>
          <w:color w:val="000000"/>
        </w:rPr>
        <w:t xml:space="preserve"> in polar motion due to oceanic mass and currents are computed from our model using the algorithm adapted from </w:t>
      </w:r>
      <w:r>
        <w:t>ref.</w:t>
      </w:r>
      <w:r>
        <w:rPr>
          <w:vertAlign w:val="superscript"/>
        </w:rPr>
        <w:t>6</w:t>
      </w:r>
      <w:r>
        <w:t xml:space="preserve">. </w:t>
      </w:r>
      <w:r>
        <w:rPr>
          <w:color w:val="000000"/>
        </w:rPr>
        <w:t xml:space="preserve">The polar motion excitation functions </w:t>
      </w:r>
      <w:r>
        <w:t>χ</w:t>
      </w:r>
      <w:r>
        <w:rPr>
          <w:vertAlign w:val="subscript"/>
        </w:rPr>
        <w:t>1</w:t>
      </w:r>
      <w:r>
        <w:rPr>
          <w:color w:val="000000"/>
        </w:rPr>
        <w:t xml:space="preserve"> and </w:t>
      </w:r>
      <w:r>
        <w:t>χ</w:t>
      </w:r>
      <w:r>
        <w:rPr>
          <w:vertAlign w:val="subscript"/>
        </w:rPr>
        <w:t>2</w:t>
      </w:r>
      <w:r>
        <w:rPr>
          <w:color w:val="000000"/>
        </w:rPr>
        <w:t xml:space="preserve"> describe the effective changes in the angular momentum components about two equatorial axes conventionally taken to point towards the Greenwich (x axi</w:t>
      </w:r>
      <w:r>
        <w:t>s</w:t>
      </w:r>
      <w:r>
        <w:rPr>
          <w:color w:val="000000"/>
        </w:rPr>
        <w:t>) and 90°E meridians (y axis), respectively. These two excitation functions, χ</w:t>
      </w:r>
      <w:r>
        <w:rPr>
          <w:color w:val="000000"/>
          <w:vertAlign w:val="subscript"/>
        </w:rPr>
        <w:t>1</w:t>
      </w:r>
      <w:r>
        <w:rPr>
          <w:color w:val="000000"/>
        </w:rPr>
        <w:t xml:space="preserve"> and χ</w:t>
      </w:r>
      <w:r>
        <w:rPr>
          <w:color w:val="000000"/>
          <w:vertAlign w:val="subscript"/>
        </w:rPr>
        <w:t>2</w:t>
      </w:r>
      <w:r>
        <w:rPr>
          <w:color w:val="000000"/>
        </w:rPr>
        <w:t xml:space="preserve">, can be </w:t>
      </w:r>
      <w:r>
        <w:t>expressed</w:t>
      </w:r>
      <w:r>
        <w:rPr>
          <w:color w:val="000000"/>
        </w:rPr>
        <w:t xml:space="preserve"> as the sum of a mass term and a motion term (see equation (1)),</w:t>
      </w:r>
    </w:p>
    <w:p w:rsidR="002E526A" w:rsidRDefault="002E526A" w:rsidP="00973775">
      <w:pPr>
        <w:pBdr>
          <w:top w:val="nil"/>
          <w:left w:val="nil"/>
          <w:bottom w:val="nil"/>
          <w:right w:val="nil"/>
          <w:between w:val="nil"/>
        </w:pBdr>
        <w:spacing w:line="480" w:lineRule="auto"/>
        <w:ind w:firstLine="480"/>
        <w:rPr>
          <w:color w:val="000000"/>
        </w:rPr>
      </w:pPr>
    </w:p>
    <w:p w:rsidR="002E526A" w:rsidRDefault="002E526A" w:rsidP="00973775">
      <w:pPr>
        <w:pBdr>
          <w:top w:val="nil"/>
          <w:left w:val="nil"/>
          <w:bottom w:val="nil"/>
          <w:right w:val="nil"/>
          <w:between w:val="nil"/>
        </w:pBdr>
        <w:spacing w:line="480" w:lineRule="auto"/>
        <w:ind w:firstLine="480"/>
        <w:rPr>
          <w:color w:val="000000"/>
        </w:rPr>
      </w:pPr>
    </w:p>
    <w:p w:rsidR="002E526A" w:rsidRDefault="003D2FC2" w:rsidP="00973775">
      <w:pPr>
        <w:pBdr>
          <w:top w:val="nil"/>
          <w:left w:val="nil"/>
          <w:bottom w:val="nil"/>
          <w:right w:val="nil"/>
          <w:between w:val="nil"/>
        </w:pBdr>
        <w:spacing w:line="480" w:lineRule="auto"/>
        <w:ind w:firstLine="480"/>
        <w:rPr>
          <w:color w:val="000000"/>
        </w:rPr>
      </w:pPr>
      <w:r>
        <w:rPr>
          <w:noProof/>
        </w:rPr>
        <w:drawing>
          <wp:inline distT="114300" distB="114300" distL="114300" distR="114300">
            <wp:extent cx="5662613" cy="2259600"/>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5662613" cy="2259600"/>
                    </a:xfrm>
                    <a:prstGeom prst="rect">
                      <a:avLst/>
                    </a:prstGeom>
                    <a:ln/>
                  </pic:spPr>
                </pic:pic>
              </a:graphicData>
            </a:graphic>
          </wp:inline>
        </w:drawing>
      </w: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ind w:firstLine="480"/>
        <w:rPr>
          <w:color w:val="000000"/>
        </w:rPr>
      </w:pPr>
      <w:r>
        <w:rPr>
          <w:color w:val="000000"/>
        </w:rPr>
        <w:t>From the model, the changes in the excitation function due to the oceanic mass redistribution (eq</w:t>
      </w:r>
      <w:r>
        <w:t>uation</w:t>
      </w:r>
      <w:r>
        <w:rPr>
          <w:color w:val="000000"/>
        </w:rPr>
        <w:t xml:space="preserve"> (2)) were computed by integrating the density (</w:t>
      </w:r>
      <w:r>
        <w:rPr>
          <w:i/>
          <w:color w:val="000000"/>
        </w:rPr>
        <w:t>ρ</w:t>
      </w:r>
      <w:r>
        <w:rPr>
          <w:color w:val="000000"/>
        </w:rPr>
        <w:t xml:space="preserve">) </w:t>
      </w:r>
      <w:r>
        <w:t>over</w:t>
      </w:r>
      <w:r>
        <w:rPr>
          <w:color w:val="000000"/>
        </w:rPr>
        <w:t xml:space="preserve"> the ocean volume (</w:t>
      </w:r>
      <w:r>
        <w:rPr>
          <w:i/>
          <w:color w:val="000000"/>
        </w:rPr>
        <w:t>V</w:t>
      </w:r>
      <w:r>
        <w:rPr>
          <w:color w:val="000000"/>
        </w:rPr>
        <w:t>). Similarly, changes due to the currents (equation (3)) were computed by inte</w:t>
      </w:r>
      <w:r>
        <w:rPr>
          <w:color w:val="000000"/>
        </w:rPr>
        <w:t>grating density (</w:t>
      </w:r>
      <w:r>
        <w:rPr>
          <w:i/>
          <w:color w:val="000000"/>
        </w:rPr>
        <w:t>ρ</w:t>
      </w:r>
      <w:r>
        <w:rPr>
          <w:color w:val="000000"/>
        </w:rPr>
        <w:t>) multiplied by the zonal (</w:t>
      </w:r>
      <m:oMath>
        <m:r>
          <w:rPr>
            <w:rFonts w:ascii="Cambria Math" w:hAnsi="Cambria Math"/>
          </w:rPr>
          <m:t>u</m:t>
        </m:r>
      </m:oMath>
      <w:r>
        <w:rPr>
          <w:color w:val="000000"/>
        </w:rPr>
        <w:t>) and meridional (</w:t>
      </w:r>
      <m:oMath>
        <m:r>
          <w:rPr>
            <w:rFonts w:ascii="Cambria Math" w:hAnsi="Cambria Math"/>
          </w:rPr>
          <m:t>v</m:t>
        </m:r>
      </m:oMath>
      <w:r>
        <w:rPr>
          <w:color w:val="000000"/>
        </w:rPr>
        <w:t xml:space="preserve">) currents </w:t>
      </w:r>
      <w:r>
        <w:t>over</w:t>
      </w:r>
      <w:r>
        <w:rPr>
          <w:color w:val="000000"/>
        </w:rPr>
        <w:t xml:space="preserve"> the </w:t>
      </w:r>
      <w:r>
        <w:t xml:space="preserve">ocean </w:t>
      </w:r>
      <w:r>
        <w:rPr>
          <w:color w:val="000000"/>
        </w:rPr>
        <w:t>volume. Partial cell representation of bottom topography in the model was accounted for during the vertical integration along the depth of the ocean. In equation (</w:t>
      </w:r>
      <w:r>
        <w:rPr>
          <w:color w:val="000000"/>
        </w:rPr>
        <w:t xml:space="preserve">2) and (3), </w:t>
      </w:r>
      <w:r>
        <w:rPr>
          <w:i/>
          <w:color w:val="000000"/>
        </w:rPr>
        <w:t>R</w:t>
      </w:r>
      <w:r>
        <w:rPr>
          <w:color w:val="000000"/>
        </w:rPr>
        <w:t xml:space="preserve"> </w:t>
      </w:r>
      <w:r>
        <w:t xml:space="preserve">(6371 km) </w:t>
      </w:r>
      <w:r>
        <w:rPr>
          <w:color w:val="000000"/>
        </w:rPr>
        <w:t>and Ω (</w:t>
      </w:r>
      <w:r>
        <w:t>7.2921x10</w:t>
      </w:r>
      <w:r>
        <w:rPr>
          <w:vertAlign w:val="superscript"/>
        </w:rPr>
        <w:t xml:space="preserve">-5 </w:t>
      </w:r>
      <w:r>
        <w:t>s</w:t>
      </w:r>
      <w:r>
        <w:rPr>
          <w:vertAlign w:val="superscript"/>
        </w:rPr>
        <w:t>-1</w:t>
      </w:r>
      <w:r>
        <w:rPr>
          <w:color w:val="000000"/>
        </w:rPr>
        <w:t xml:space="preserve">) are the Earth’s mean radius and angular velocity respectively, </w:t>
      </w:r>
      <w:r>
        <w:rPr>
          <w:i/>
          <w:color w:val="000000"/>
        </w:rPr>
        <w:t>A</w:t>
      </w:r>
      <w:r>
        <w:rPr>
          <w:color w:val="000000"/>
        </w:rPr>
        <w:t xml:space="preserve"> (</w:t>
      </w:r>
      <w:r>
        <w:t>7.0161x10</w:t>
      </w:r>
      <w:r>
        <w:rPr>
          <w:vertAlign w:val="superscript"/>
        </w:rPr>
        <w:t xml:space="preserve">37 </w:t>
      </w:r>
      <w:r>
        <w:t>k</w:t>
      </w:r>
      <w:r>
        <w:rPr>
          <w:color w:val="000000"/>
        </w:rPr>
        <w:t>g m</w:t>
      </w:r>
      <w:r>
        <w:rPr>
          <w:vertAlign w:val="superscript"/>
        </w:rPr>
        <w:t>2</w:t>
      </w:r>
      <w:r>
        <w:rPr>
          <w:color w:val="000000"/>
        </w:rPr>
        <w:t xml:space="preserve">) and </w:t>
      </w:r>
      <w:r>
        <w:rPr>
          <w:i/>
          <w:color w:val="000000"/>
        </w:rPr>
        <w:t>C</w:t>
      </w:r>
      <w:r>
        <w:rPr>
          <w:color w:val="000000"/>
        </w:rPr>
        <w:t xml:space="preserve"> (</w:t>
      </w:r>
      <w:r>
        <w:t>7.041x10</w:t>
      </w:r>
      <w:r>
        <w:rPr>
          <w:vertAlign w:val="superscript"/>
        </w:rPr>
        <w:t xml:space="preserve">37 </w:t>
      </w:r>
      <w:r>
        <w:t>kg m</w:t>
      </w:r>
      <w:r>
        <w:rPr>
          <w:vertAlign w:val="superscript"/>
        </w:rPr>
        <w:t>2</w:t>
      </w:r>
      <w:r>
        <w:rPr>
          <w:color w:val="000000"/>
        </w:rPr>
        <w:t>) are the equatorial and polar moments of inertia of the solid Earth</w:t>
      </w:r>
      <w:r>
        <w:t xml:space="preserve">. </w:t>
      </w:r>
      <w:r>
        <w:rPr>
          <w:color w:val="000000"/>
        </w:rPr>
        <w:t>λ and θ represent the longitude and latitude. The factor of 1.44 accounts for the yielding of the solid Earth to imposed surface loads, and the factor of 1.61 includes the effect of core</w:t>
      </w:r>
      <w:r>
        <w:rPr>
          <w:color w:val="000000"/>
        </w:rPr>
        <w:t xml:space="preserve"> decoupling. </w:t>
      </w:r>
      <w:proofErr w:type="spellStart"/>
      <w:r>
        <w:rPr>
          <w:color w:val="000000"/>
        </w:rPr>
        <w:t>Intraseasonal</w:t>
      </w:r>
      <w:proofErr w:type="spellEnd"/>
      <w:r>
        <w:rPr>
          <w:color w:val="000000"/>
        </w:rPr>
        <w:t xml:space="preserve"> </w:t>
      </w:r>
      <w:r>
        <w:t>χ</w:t>
      </w:r>
      <w:r>
        <w:rPr>
          <w:vertAlign w:val="subscript"/>
        </w:rPr>
        <w:t>1</w:t>
      </w:r>
      <w:r>
        <w:t xml:space="preserve"> and χ</w:t>
      </w:r>
      <w:r>
        <w:rPr>
          <w:vertAlign w:val="subscript"/>
        </w:rPr>
        <w:t>2</w:t>
      </w:r>
      <w:r>
        <w:t xml:space="preserve"> were obtained from the daily χ</w:t>
      </w:r>
      <w:r>
        <w:rPr>
          <w:vertAlign w:val="subscript"/>
        </w:rPr>
        <w:t>1</w:t>
      </w:r>
      <w:r>
        <w:t xml:space="preserve"> and χ</w:t>
      </w:r>
      <w:r>
        <w:rPr>
          <w:vertAlign w:val="subscript"/>
        </w:rPr>
        <w:t>2</w:t>
      </w:r>
      <w:r>
        <w:t xml:space="preserve"> using </w:t>
      </w:r>
      <w:proofErr w:type="spellStart"/>
      <w:r>
        <w:t>lanczos</w:t>
      </w:r>
      <w:proofErr w:type="spellEnd"/>
      <w:r>
        <w:t xml:space="preserve"> filter</w:t>
      </w:r>
      <w:r>
        <w:rPr>
          <w:vertAlign w:val="superscript"/>
        </w:rPr>
        <w:t>45</w:t>
      </w:r>
      <w:r>
        <w:t>.</w:t>
      </w:r>
    </w:p>
    <w:p w:rsidR="002E526A" w:rsidRDefault="002E526A" w:rsidP="00973775">
      <w:pPr>
        <w:pBdr>
          <w:top w:val="nil"/>
          <w:left w:val="nil"/>
          <w:bottom w:val="nil"/>
          <w:right w:val="nil"/>
          <w:between w:val="nil"/>
        </w:pBdr>
        <w:spacing w:line="480" w:lineRule="auto"/>
        <w:ind w:firstLine="480"/>
        <w:rPr>
          <w:color w:val="000000"/>
        </w:rPr>
      </w:pPr>
    </w:p>
    <w:p w:rsidR="002E526A" w:rsidRDefault="002E526A" w:rsidP="00973775">
      <w:pPr>
        <w:pBdr>
          <w:top w:val="nil"/>
          <w:left w:val="nil"/>
          <w:bottom w:val="nil"/>
          <w:right w:val="nil"/>
          <w:between w:val="nil"/>
        </w:pBdr>
        <w:spacing w:line="480" w:lineRule="auto"/>
        <w:ind w:firstLine="480"/>
        <w:rPr>
          <w:color w:val="000000"/>
        </w:rPr>
      </w:pPr>
    </w:p>
    <w:p w:rsidR="002E526A" w:rsidRDefault="003D2FC2" w:rsidP="00973775">
      <w:pPr>
        <w:spacing w:line="480" w:lineRule="auto"/>
      </w:pPr>
      <w:r>
        <w:br w:type="page"/>
      </w:r>
    </w:p>
    <w:p w:rsidR="002E526A" w:rsidRDefault="003D2FC2" w:rsidP="00973775">
      <w:pPr>
        <w:pBdr>
          <w:top w:val="nil"/>
          <w:left w:val="nil"/>
          <w:bottom w:val="nil"/>
          <w:right w:val="nil"/>
          <w:between w:val="nil"/>
        </w:pBdr>
        <w:spacing w:line="480" w:lineRule="auto"/>
        <w:rPr>
          <w:b/>
          <w:color w:val="000000"/>
        </w:rPr>
      </w:pPr>
      <w:r>
        <w:rPr>
          <w:noProof/>
        </w:rPr>
        <w:lastRenderedPageBreak/>
        <w:drawing>
          <wp:inline distT="114300" distB="114300" distL="114300" distR="114300">
            <wp:extent cx="5943600" cy="1752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943600" cy="1752600"/>
                    </a:xfrm>
                    <a:prstGeom prst="rect">
                      <a:avLst/>
                    </a:prstGeom>
                    <a:ln/>
                  </pic:spPr>
                </pic:pic>
              </a:graphicData>
            </a:graphic>
          </wp:inline>
        </w:drawing>
      </w:r>
    </w:p>
    <w:p w:rsidR="002E526A" w:rsidRDefault="003D2FC2" w:rsidP="00973775">
      <w:pPr>
        <w:keepNext/>
        <w:pBdr>
          <w:top w:val="nil"/>
          <w:left w:val="nil"/>
          <w:bottom w:val="nil"/>
          <w:right w:val="nil"/>
          <w:between w:val="nil"/>
        </w:pBdr>
        <w:spacing w:before="240" w:after="60" w:line="480" w:lineRule="auto"/>
        <w:rPr>
          <w:b/>
          <w:color w:val="000000"/>
        </w:rPr>
      </w:pPr>
      <w:r>
        <w:rPr>
          <w:b/>
          <w:color w:val="000000"/>
        </w:rPr>
        <w:t>Fig. S1.</w:t>
      </w:r>
    </w:p>
    <w:p w:rsidR="002E526A" w:rsidRDefault="003D2FC2" w:rsidP="00973775">
      <w:pPr>
        <w:pBdr>
          <w:top w:val="nil"/>
          <w:left w:val="nil"/>
          <w:bottom w:val="nil"/>
          <w:right w:val="nil"/>
          <w:between w:val="nil"/>
        </w:pBdr>
        <w:spacing w:line="480" w:lineRule="auto"/>
        <w:rPr>
          <w:color w:val="000000"/>
        </w:rPr>
      </w:pPr>
      <w:r>
        <w:rPr>
          <w:b/>
          <w:color w:val="000000"/>
        </w:rPr>
        <w:t>Model validation of ITF speeds</w:t>
      </w:r>
      <w:r>
        <w:rPr>
          <w:color w:val="000000"/>
        </w:rPr>
        <w:t>. Plot of mean speed (solid lines) and its standard deviation (shaded) through (</w:t>
      </w:r>
      <w:r>
        <w:rPr>
          <w:b/>
        </w:rPr>
        <w:t>a</w:t>
      </w:r>
      <w:r>
        <w:rPr>
          <w:color w:val="000000"/>
        </w:rPr>
        <w:t>) Timor (122.95</w:t>
      </w:r>
      <w:r>
        <w:rPr>
          <w:rFonts w:ascii="Symbol" w:eastAsia="Symbol" w:hAnsi="Symbol" w:cs="Symbol"/>
          <w:color w:val="000000"/>
        </w:rPr>
        <w:t></w:t>
      </w:r>
      <w:r>
        <w:rPr>
          <w:color w:val="000000"/>
        </w:rPr>
        <w:t>E, 11.36</w:t>
      </w:r>
      <w:r>
        <w:rPr>
          <w:rFonts w:ascii="Symbol" w:eastAsia="Symbol" w:hAnsi="Symbol" w:cs="Symbol"/>
          <w:color w:val="000000"/>
        </w:rPr>
        <w:t></w:t>
      </w:r>
      <w:r>
        <w:rPr>
          <w:color w:val="000000"/>
        </w:rPr>
        <w:t>S) (</w:t>
      </w:r>
      <w:r>
        <w:rPr>
          <w:b/>
        </w:rPr>
        <w:t>b</w:t>
      </w:r>
      <w:r>
        <w:rPr>
          <w:color w:val="000000"/>
        </w:rPr>
        <w:t xml:space="preserve">) </w:t>
      </w:r>
      <w:proofErr w:type="spellStart"/>
      <w:r>
        <w:rPr>
          <w:color w:val="000000"/>
        </w:rPr>
        <w:t>Ombai</w:t>
      </w:r>
      <w:proofErr w:type="spellEnd"/>
      <w:r>
        <w:rPr>
          <w:color w:val="000000"/>
        </w:rPr>
        <w:t xml:space="preserve"> (125</w:t>
      </w:r>
      <w:r>
        <w:rPr>
          <w:rFonts w:ascii="Symbol" w:eastAsia="Symbol" w:hAnsi="Symbol" w:cs="Symbol"/>
          <w:color w:val="000000"/>
        </w:rPr>
        <w:t></w:t>
      </w:r>
      <w:r>
        <w:rPr>
          <w:color w:val="000000"/>
        </w:rPr>
        <w:t>E, 8.53</w:t>
      </w:r>
      <w:r>
        <w:rPr>
          <w:rFonts w:ascii="Symbol" w:eastAsia="Symbol" w:hAnsi="Symbol" w:cs="Symbol"/>
          <w:color w:val="000000"/>
        </w:rPr>
        <w:t></w:t>
      </w:r>
      <w:r>
        <w:rPr>
          <w:color w:val="000000"/>
        </w:rPr>
        <w:t>S) (</w:t>
      </w:r>
      <w:r>
        <w:rPr>
          <w:b/>
        </w:rPr>
        <w:t>c</w:t>
      </w:r>
      <w:r>
        <w:rPr>
          <w:color w:val="000000"/>
        </w:rPr>
        <w:t>) Lombok strait (115.89</w:t>
      </w:r>
      <w:r>
        <w:rPr>
          <w:rFonts w:ascii="Symbol" w:eastAsia="Symbol" w:hAnsi="Symbol" w:cs="Symbol"/>
          <w:color w:val="000000"/>
        </w:rPr>
        <w:t></w:t>
      </w:r>
      <w:r>
        <w:rPr>
          <w:color w:val="000000"/>
        </w:rPr>
        <w:t>E, 8.4</w:t>
      </w:r>
      <w:r>
        <w:rPr>
          <w:rFonts w:ascii="Symbol" w:eastAsia="Symbol" w:hAnsi="Symbol" w:cs="Symbol"/>
          <w:color w:val="000000"/>
        </w:rPr>
        <w:t></w:t>
      </w:r>
      <w:r>
        <w:rPr>
          <w:color w:val="000000"/>
        </w:rPr>
        <w:t>S) from the control run (red, 2009-19) and INSTANT mooring observations (black, 2004-2006).</w:t>
      </w: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spacing w:line="480" w:lineRule="auto"/>
      </w:pPr>
      <w:r>
        <w:br w:type="page"/>
      </w: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rPr>
          <w:color w:val="000000"/>
        </w:rPr>
      </w:pPr>
      <w:r>
        <w:rPr>
          <w:noProof/>
        </w:rPr>
        <w:drawing>
          <wp:inline distT="114300" distB="114300" distL="114300" distR="114300">
            <wp:extent cx="5943600" cy="18542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5943600" cy="1854200"/>
                    </a:xfrm>
                    <a:prstGeom prst="rect">
                      <a:avLst/>
                    </a:prstGeom>
                    <a:ln/>
                  </pic:spPr>
                </pic:pic>
              </a:graphicData>
            </a:graphic>
          </wp:inline>
        </w:drawing>
      </w:r>
    </w:p>
    <w:p w:rsidR="002E526A" w:rsidRDefault="003D2FC2" w:rsidP="00973775">
      <w:pPr>
        <w:keepNext/>
        <w:pBdr>
          <w:top w:val="nil"/>
          <w:left w:val="nil"/>
          <w:bottom w:val="nil"/>
          <w:right w:val="nil"/>
          <w:between w:val="nil"/>
        </w:pBdr>
        <w:spacing w:before="240" w:after="60" w:line="480" w:lineRule="auto"/>
        <w:rPr>
          <w:b/>
          <w:color w:val="000000"/>
        </w:rPr>
      </w:pPr>
      <w:r>
        <w:rPr>
          <w:b/>
          <w:color w:val="000000"/>
        </w:rPr>
        <w:t xml:space="preserve">Fig. S2. </w:t>
      </w:r>
    </w:p>
    <w:p w:rsidR="002E526A" w:rsidRDefault="003D2FC2" w:rsidP="00973775">
      <w:pPr>
        <w:pBdr>
          <w:top w:val="nil"/>
          <w:left w:val="nil"/>
          <w:bottom w:val="nil"/>
          <w:right w:val="nil"/>
          <w:between w:val="nil"/>
        </w:pBdr>
        <w:spacing w:line="480" w:lineRule="auto"/>
        <w:rPr>
          <w:color w:val="000000"/>
        </w:rPr>
      </w:pPr>
      <w:r>
        <w:rPr>
          <w:b/>
          <w:color w:val="000000"/>
        </w:rPr>
        <w:t>Model validation of EWDA.</w:t>
      </w:r>
      <w:r>
        <w:rPr>
          <w:color w:val="000000"/>
        </w:rPr>
        <w:t xml:space="preserve"> (</w:t>
      </w:r>
      <w:r>
        <w:rPr>
          <w:b/>
        </w:rPr>
        <w:t>a</w:t>
      </w:r>
      <w:r>
        <w:rPr>
          <w:color w:val="000000"/>
        </w:rPr>
        <w:t>) Correlation (&gt;90% significance) and (</w:t>
      </w:r>
      <w:r>
        <w:rPr>
          <w:b/>
        </w:rPr>
        <w:t>b</w:t>
      </w:r>
      <w:r>
        <w:rPr>
          <w:color w:val="000000"/>
        </w:rPr>
        <w:t xml:space="preserve">) Root Mean Squared Deviation (RMSD) between </w:t>
      </w:r>
      <w:proofErr w:type="spellStart"/>
      <w:r>
        <w:rPr>
          <w:color w:val="000000"/>
        </w:rPr>
        <w:t>intraseasonal</w:t>
      </w:r>
      <w:proofErr w:type="spellEnd"/>
      <w:r>
        <w:rPr>
          <w:color w:val="000000"/>
        </w:rPr>
        <w:t xml:space="preserve"> EWDA from BPRs (</w:t>
      </w:r>
      <w:r>
        <w:t xml:space="preserve">&gt;90% </w:t>
      </w:r>
      <w:r>
        <w:t>significance)</w:t>
      </w:r>
      <w:r>
        <w:rPr>
          <w:color w:val="000000"/>
        </w:rPr>
        <w:t xml:space="preserve"> and the control run at respective BPR locations during 2009-2019.</w:t>
      </w: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spacing w:line="480" w:lineRule="auto"/>
      </w:pPr>
      <w:r>
        <w:br w:type="page"/>
      </w: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rPr>
          <w:color w:val="000000"/>
        </w:rPr>
      </w:pPr>
      <w:r>
        <w:rPr>
          <w:noProof/>
        </w:rPr>
        <w:drawing>
          <wp:inline distT="114300" distB="114300" distL="114300" distR="114300">
            <wp:extent cx="5943600" cy="21336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2133600"/>
                    </a:xfrm>
                    <a:prstGeom prst="rect">
                      <a:avLst/>
                    </a:prstGeom>
                    <a:ln/>
                  </pic:spPr>
                </pic:pic>
              </a:graphicData>
            </a:graphic>
          </wp:inline>
        </w:drawing>
      </w:r>
    </w:p>
    <w:p w:rsidR="002E526A" w:rsidRDefault="002E526A" w:rsidP="00973775">
      <w:pPr>
        <w:spacing w:line="480" w:lineRule="auto"/>
      </w:pPr>
    </w:p>
    <w:p w:rsidR="002E526A" w:rsidRDefault="003D2FC2" w:rsidP="00973775">
      <w:pPr>
        <w:pBdr>
          <w:top w:val="nil"/>
          <w:left w:val="nil"/>
          <w:bottom w:val="nil"/>
          <w:right w:val="nil"/>
          <w:between w:val="nil"/>
        </w:pBdr>
        <w:spacing w:line="480" w:lineRule="auto"/>
        <w:rPr>
          <w:color w:val="000000"/>
        </w:rPr>
      </w:pPr>
      <w:r>
        <w:rPr>
          <w:b/>
          <w:color w:val="000000"/>
        </w:rPr>
        <w:t>Fig. S3.</w:t>
      </w:r>
    </w:p>
    <w:p w:rsidR="002E526A" w:rsidRDefault="003D2FC2" w:rsidP="00973775">
      <w:pPr>
        <w:pBdr>
          <w:top w:val="nil"/>
          <w:left w:val="nil"/>
          <w:bottom w:val="nil"/>
          <w:right w:val="nil"/>
          <w:between w:val="nil"/>
        </w:pBdr>
        <w:spacing w:line="480" w:lineRule="auto"/>
        <w:rPr>
          <w:color w:val="000000"/>
        </w:rPr>
      </w:pPr>
      <w:r>
        <w:rPr>
          <w:b/>
          <w:color w:val="000000"/>
        </w:rPr>
        <w:t>Basin-wide averaged EWDA.</w:t>
      </w:r>
      <w:r>
        <w:rPr>
          <w:color w:val="000000"/>
        </w:rPr>
        <w:t xml:space="preserve"> Plot of spatially averaged EWDA computed over (</w:t>
      </w:r>
      <w:r>
        <w:rPr>
          <w:b/>
        </w:rPr>
        <w:t>a</w:t>
      </w:r>
      <w:r>
        <w:rPr>
          <w:color w:val="000000"/>
        </w:rPr>
        <w:t>) the Indian basin (red shaded region in Fig.</w:t>
      </w:r>
      <w:r>
        <w:t>2d</w:t>
      </w:r>
      <w:r>
        <w:rPr>
          <w:color w:val="000000"/>
        </w:rPr>
        <w:t>) and (</w:t>
      </w:r>
      <w:r>
        <w:rPr>
          <w:b/>
        </w:rPr>
        <w:t>b</w:t>
      </w:r>
      <w:r>
        <w:rPr>
          <w:color w:val="000000"/>
        </w:rPr>
        <w:t>) the Pacific basin (blue shaded region in Fig.</w:t>
      </w:r>
      <w:r>
        <w:t>2d</w:t>
      </w:r>
      <w:r>
        <w:rPr>
          <w:color w:val="000000"/>
        </w:rPr>
        <w:t>) during December-April of 2009-2019 from the control run (black) and MC-EXP (red).</w:t>
      </w: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pBdr>
          <w:top w:val="nil"/>
          <w:left w:val="nil"/>
          <w:bottom w:val="nil"/>
          <w:right w:val="nil"/>
          <w:between w:val="nil"/>
        </w:pBdr>
        <w:spacing w:line="480" w:lineRule="auto"/>
        <w:rPr>
          <w:color w:val="000000"/>
        </w:rPr>
      </w:pPr>
    </w:p>
    <w:p w:rsidR="002E526A" w:rsidRDefault="003D2FC2" w:rsidP="00973775">
      <w:pPr>
        <w:pBdr>
          <w:top w:val="nil"/>
          <w:left w:val="nil"/>
          <w:bottom w:val="nil"/>
          <w:right w:val="nil"/>
          <w:between w:val="nil"/>
        </w:pBdr>
        <w:spacing w:line="480" w:lineRule="auto"/>
        <w:rPr>
          <w:color w:val="000000"/>
        </w:rPr>
      </w:pPr>
      <w:r>
        <w:rPr>
          <w:noProof/>
        </w:rPr>
        <w:lastRenderedPageBreak/>
        <w:drawing>
          <wp:inline distT="114300" distB="114300" distL="114300" distR="114300">
            <wp:extent cx="3957727" cy="4033838"/>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957727" cy="4033838"/>
                    </a:xfrm>
                    <a:prstGeom prst="rect">
                      <a:avLst/>
                    </a:prstGeom>
                    <a:ln/>
                  </pic:spPr>
                </pic:pic>
              </a:graphicData>
            </a:graphic>
          </wp:inline>
        </w:drawing>
      </w:r>
    </w:p>
    <w:p w:rsidR="002E526A" w:rsidRDefault="002E526A" w:rsidP="00973775">
      <w:pPr>
        <w:pBdr>
          <w:top w:val="nil"/>
          <w:left w:val="nil"/>
          <w:bottom w:val="nil"/>
          <w:right w:val="nil"/>
          <w:between w:val="nil"/>
        </w:pBdr>
        <w:spacing w:line="480" w:lineRule="auto"/>
        <w:rPr>
          <w:color w:val="000000"/>
        </w:rPr>
      </w:pPr>
    </w:p>
    <w:p w:rsidR="002E526A" w:rsidRDefault="002E526A" w:rsidP="00973775">
      <w:pPr>
        <w:spacing w:line="480" w:lineRule="auto"/>
      </w:pPr>
    </w:p>
    <w:p w:rsidR="002E526A" w:rsidRDefault="003D2FC2" w:rsidP="00973775">
      <w:pPr>
        <w:spacing w:line="480" w:lineRule="auto"/>
        <w:rPr>
          <w:b/>
        </w:rPr>
      </w:pPr>
      <w:r>
        <w:rPr>
          <w:b/>
        </w:rPr>
        <w:t xml:space="preserve">Fig. S4. </w:t>
      </w:r>
    </w:p>
    <w:p w:rsidR="002E526A" w:rsidRDefault="003D2FC2" w:rsidP="00973775">
      <w:pPr>
        <w:spacing w:line="480" w:lineRule="auto"/>
      </w:pPr>
      <w:bookmarkStart w:id="1" w:name="_1fob9te" w:colFirst="0" w:colLast="0"/>
      <w:bookmarkEnd w:id="1"/>
      <w:r>
        <w:rPr>
          <w:b/>
        </w:rPr>
        <w:t xml:space="preserve">Volume transport : (a) </w:t>
      </w:r>
      <w:r>
        <w:t xml:space="preserve">Time series of </w:t>
      </w:r>
      <w:proofErr w:type="spellStart"/>
      <w:r>
        <w:t>intraseasonal</w:t>
      </w:r>
      <w:proofErr w:type="spellEnd"/>
      <w:r>
        <w:t xml:space="preserve"> volume transport (in </w:t>
      </w:r>
      <w:proofErr w:type="spellStart"/>
      <w:r>
        <w:t>Sv</w:t>
      </w:r>
      <w:proofErr w:type="spellEnd"/>
      <w:r>
        <w:t>) across the control sections shown on Fig.2d, namely Eastern Indian Ocean (EIO, black curve), Southern Indian Ocean (SIO, red curve) and Southern Pacific Ocean (SPO, green curve, multiplied by -1 to illu</w:t>
      </w:r>
      <w:r>
        <w:t>strate the delay in phase) during December to April of 2012-13. (</w:t>
      </w:r>
      <w:r>
        <w:rPr>
          <w:b/>
        </w:rPr>
        <w:t>b</w:t>
      </w:r>
      <w:r>
        <w:t>)</w:t>
      </w:r>
      <w:r>
        <w:rPr>
          <w:color w:val="000000"/>
        </w:rPr>
        <w:t xml:space="preserve"> Inset of (a) for one peak event in February 2013.</w:t>
      </w:r>
    </w:p>
    <w:p w:rsidR="002E526A" w:rsidRDefault="002E526A" w:rsidP="00973775">
      <w:pPr>
        <w:pBdr>
          <w:top w:val="nil"/>
          <w:left w:val="nil"/>
          <w:bottom w:val="nil"/>
          <w:right w:val="nil"/>
          <w:between w:val="nil"/>
        </w:pBdr>
        <w:spacing w:line="480" w:lineRule="auto"/>
        <w:rPr>
          <w:color w:val="000000"/>
        </w:rPr>
      </w:pPr>
    </w:p>
    <w:sectPr w:rsidR="002E526A">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2FC2" w:rsidRDefault="003D2FC2">
      <w:r>
        <w:separator/>
      </w:r>
    </w:p>
  </w:endnote>
  <w:endnote w:type="continuationSeparator" w:id="0">
    <w:p w:rsidR="003D2FC2" w:rsidRDefault="003D2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00000003" w:usb1="00000000" w:usb2="00000000" w:usb3="00000000" w:csb0="00000001" w:csb1="00000000"/>
  </w:font>
  <w:font w:name="Times">
    <w:panose1 w:val="00000500000000020000"/>
    <w:charset w:val="00"/>
    <w:family w:val="auto"/>
    <w:pitch w:val="default"/>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26A" w:rsidRDefault="003D2FC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973775">
      <w:rPr>
        <w:color w:val="000000"/>
      </w:rPr>
      <w:fldChar w:fldCharType="separate"/>
    </w:r>
    <w:r w:rsidR="00973775">
      <w:rPr>
        <w:noProof/>
        <w:color w:val="000000"/>
      </w:rPr>
      <w:t>1</w:t>
    </w:r>
    <w:r>
      <w:rPr>
        <w:color w:val="000000"/>
      </w:rPr>
      <w:fldChar w:fldCharType="end"/>
    </w:r>
  </w:p>
  <w:p w:rsidR="002E526A" w:rsidRDefault="002E526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2FC2" w:rsidRDefault="003D2FC2">
      <w:r>
        <w:separator/>
      </w:r>
    </w:p>
  </w:footnote>
  <w:footnote w:type="continuationSeparator" w:id="0">
    <w:p w:rsidR="003D2FC2" w:rsidRDefault="003D2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26A" w:rsidRDefault="002E526A">
    <w:pPr>
      <w:rPr>
        <w:sz w:val="20"/>
        <w:szCs w:val="20"/>
      </w:rPr>
    </w:pPr>
  </w:p>
  <w:p w:rsidR="002E526A" w:rsidRDefault="002E52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26A"/>
    <w:rsid w:val="002E526A"/>
    <w:rsid w:val="003D2FC2"/>
    <w:rsid w:val="009737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docId w15:val="{AC8AAD59-9A02-F845-A8B2-268A6560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line="480" w:lineRule="auto"/>
      <w:outlineLvl w:val="2"/>
    </w:pPr>
    <w:rPr>
      <w:rFonts w:ascii="Times" w:eastAsia="Times" w:hAnsi="Times" w:cs="Times"/>
      <w:b/>
    </w:rPr>
  </w:style>
  <w:style w:type="paragraph" w:styleId="Heading4">
    <w:name w:val="heading 4"/>
    <w:basedOn w:val="Normal"/>
    <w:next w:val="Normal"/>
    <w:uiPriority w:val="9"/>
    <w:semiHidden/>
    <w:unhideWhenUsed/>
    <w:qFormat/>
    <w:pPr>
      <w:keepNext/>
      <w:spacing w:line="480" w:lineRule="auto"/>
      <w:outlineLvl w:val="3"/>
    </w:pPr>
    <w:rPr>
      <w:rFonts w:ascii="Times" w:eastAsia="Times" w:hAnsi="Times" w:cs="Times"/>
      <w:b/>
      <w:color w:val="0000FF"/>
      <w:sz w:val="44"/>
      <w:szCs w:val="44"/>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paragraph" w:styleId="Subtitle">
    <w:name w:val="Subtitle"/>
    <w:basedOn w:val="Normal"/>
    <w:next w:val="Normal"/>
    <w:uiPriority w:val="11"/>
    <w:qFormat/>
    <w:pPr>
      <w:spacing w:after="60"/>
      <w:jc w:val="center"/>
    </w:pPr>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1255</Words>
  <Characters>7154</Characters>
  <Application>Microsoft Office Word</Application>
  <DocSecurity>0</DocSecurity>
  <Lines>59</Lines>
  <Paragraphs>16</Paragraphs>
  <ScaleCrop>false</ScaleCrop>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2020-10-05T09:20:00Z</dcterms:created>
  <dcterms:modified xsi:type="dcterms:W3CDTF">2020-10-05T09:20:00Z</dcterms:modified>
</cp:coreProperties>
</file>