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DA7D9" w14:textId="0AC74549" w:rsidR="001528A9" w:rsidRDefault="001528A9" w:rsidP="0001436A">
      <w:pPr>
        <w:pStyle w:val="SupplementaryMaterial"/>
      </w:pPr>
      <w:bookmarkStart w:id="0" w:name="_GoBack"/>
      <w:bookmarkEnd w:id="0"/>
      <w:r>
        <w:t>Combes et al. (2019)</w:t>
      </w:r>
    </w:p>
    <w:p w14:paraId="4227EEE6" w14:textId="28C6A17B" w:rsidR="00654E8F" w:rsidRDefault="00654E8F" w:rsidP="0001436A">
      <w:pPr>
        <w:pStyle w:val="SupplementaryMaterial"/>
      </w:pPr>
      <w:r w:rsidRPr="001549D3">
        <w:t>Supplementary Material</w:t>
      </w:r>
    </w:p>
    <w:p w14:paraId="257F6582" w14:textId="23660265" w:rsidR="003229B1" w:rsidRDefault="003229B1">
      <w:pPr>
        <w:spacing w:before="0" w:after="200" w:line="276" w:lineRule="auto"/>
        <w:rPr>
          <w:rFonts w:cs="Times New Roman"/>
          <w:lang w:val="en-GB"/>
        </w:rPr>
      </w:pPr>
      <w:r>
        <w:rPr>
          <w:rFonts w:cs="Times New Roman"/>
          <w:lang w:val="en-GB"/>
        </w:rPr>
        <w:br w:type="page"/>
      </w:r>
    </w:p>
    <w:p w14:paraId="5BFD38C9" w14:textId="77777777" w:rsidR="00D125E6" w:rsidRPr="00526187" w:rsidRDefault="00D125E6" w:rsidP="00D125E6">
      <w:pPr>
        <w:pStyle w:val="Titre1"/>
        <w:rPr>
          <w:lang w:val="en-GB"/>
        </w:rPr>
      </w:pPr>
      <w:r w:rsidRPr="00526187">
        <w:rPr>
          <w:lang w:val="en-GB"/>
        </w:rPr>
        <w:lastRenderedPageBreak/>
        <w:t>Supple</w:t>
      </w:r>
      <w:r>
        <w:rPr>
          <w:lang w:val="en-GB"/>
        </w:rPr>
        <w:t>mentary T</w:t>
      </w:r>
      <w:r w:rsidRPr="00526187">
        <w:rPr>
          <w:lang w:val="en-GB"/>
        </w:rPr>
        <w:t xml:space="preserve">ext 1: list of the references used to identify the location of cold seeps in the North Atlantic and Mediterranean. </w:t>
      </w:r>
      <w:r w:rsidRPr="00C31345">
        <w:rPr>
          <w:lang w:val="en-GB"/>
        </w:rPr>
        <w:t>A total of 41 cold seeps and mud volcanoes were located in the planning region.</w:t>
      </w:r>
    </w:p>
    <w:p w14:paraId="1C785296" w14:textId="77777777" w:rsidR="00D125E6" w:rsidRPr="00526187" w:rsidRDefault="00D125E6" w:rsidP="00D125E6">
      <w:pPr>
        <w:spacing w:before="240"/>
        <w:jc w:val="both"/>
        <w:rPr>
          <w:sz w:val="22"/>
          <w:lang w:val="en-GB"/>
        </w:rPr>
      </w:pPr>
      <w:r w:rsidRPr="00526187">
        <w:rPr>
          <w:sz w:val="22"/>
          <w:lang w:val="en-GB"/>
        </w:rPr>
        <w:t>Amon, D.J., Gobin, J., Van Dover, C.L., Levin, L.A., Marsh, L., Raineault, N.A., 2017. Characterization of Methane-Seep Communities in a Deep-Sea Area Designated for Oil and Natural Gas Exploitation Off Trinidad and Tobago. Frontiers in Marine Science 4 (342), https://doi.org/10.3389/fmars.2017.00342.</w:t>
      </w:r>
    </w:p>
    <w:p w14:paraId="4F04F69E" w14:textId="77777777" w:rsidR="00D125E6" w:rsidRPr="00526187" w:rsidRDefault="00D125E6" w:rsidP="00D125E6">
      <w:pPr>
        <w:spacing w:before="240"/>
        <w:jc w:val="both"/>
        <w:rPr>
          <w:sz w:val="22"/>
          <w:lang w:val="en-GB"/>
        </w:rPr>
      </w:pPr>
      <w:r w:rsidRPr="00526187">
        <w:rPr>
          <w:sz w:val="22"/>
          <w:lang w:val="en-GB"/>
        </w:rPr>
        <w:t>Bourque, J.R., Robertson, C.M., Brooke, S., Demopoulos, A.W.J., 2017. Macrofaunal communities associated with chemosynthetic habitats from the U.S. Atlantic margin: A comparison among depth and habitat types. Deep Sea Research Part II: Topical Studies in Oceanography 137, 42-55, https://doi.org/10.1016/j.dsr2.2016.04.012.</w:t>
      </w:r>
    </w:p>
    <w:p w14:paraId="0C75F919" w14:textId="77777777" w:rsidR="00D125E6" w:rsidRPr="00526187" w:rsidRDefault="00D125E6" w:rsidP="00D125E6">
      <w:pPr>
        <w:spacing w:before="240"/>
        <w:jc w:val="both"/>
        <w:rPr>
          <w:sz w:val="22"/>
          <w:lang w:val="en-GB"/>
        </w:rPr>
      </w:pPr>
      <w:r w:rsidRPr="00526187">
        <w:rPr>
          <w:sz w:val="22"/>
          <w:lang w:val="en-GB"/>
        </w:rPr>
        <w:t>Neat, F.C., Jamieson, A.J., Stewart, H.A., Narayanaswamy, B.E., Collie, N., Stewart, M., Linley, T.D., 2018. Visual evidence of reduced seafloor conditions and indications of a cold-seep ecosystem from the Hatton–Rockall basin (NE Atlantic). Journal of the Marine Biological Association of the United Kingdom, 1-7, https://doi.org/10.1017/S0025315418000115.</w:t>
      </w:r>
    </w:p>
    <w:p w14:paraId="24E1E490" w14:textId="77777777" w:rsidR="00D125E6" w:rsidRPr="00526187" w:rsidRDefault="00D125E6" w:rsidP="00D125E6">
      <w:pPr>
        <w:spacing w:before="240"/>
        <w:jc w:val="both"/>
        <w:rPr>
          <w:sz w:val="22"/>
          <w:lang w:val="en-GB"/>
        </w:rPr>
      </w:pPr>
      <w:r w:rsidRPr="00526187">
        <w:rPr>
          <w:sz w:val="22"/>
          <w:lang w:val="en-GB"/>
        </w:rPr>
        <w:t>Rodrigues, C.F., Hilário, A., Cunha, M.R., 2013. Chemosymbiotic species from the Gulf of Cadiz (NE Atlantic): distribution, life styles and nutritional patterns. Biogeosciences 10 (4), 2569-2581, https://doi.org/10.5194/bg-10-2569-2013.</w:t>
      </w:r>
    </w:p>
    <w:p w14:paraId="090A2FCC" w14:textId="77777777" w:rsidR="00D125E6" w:rsidRPr="00526187" w:rsidRDefault="00D125E6" w:rsidP="00D125E6">
      <w:pPr>
        <w:spacing w:before="240"/>
        <w:jc w:val="both"/>
        <w:rPr>
          <w:sz w:val="22"/>
          <w:lang w:val="en-GB"/>
        </w:rPr>
      </w:pPr>
      <w:r w:rsidRPr="00526187">
        <w:rPr>
          <w:sz w:val="22"/>
          <w:lang w:val="en-GB"/>
        </w:rPr>
        <w:t>Åström, E.K.L., Carroll, M.L., Ambrose Jr., W.G., Sen, A., Silyakova, A., Carroll, J., 2018. Methane cold seeps as biological oases in the high-Arctic deep sea. Limnology and Oceanography 63 (S1), S209-S231, https://doi.org/10.1002/lno.10732.</w:t>
      </w:r>
    </w:p>
    <w:p w14:paraId="66D86386" w14:textId="77777777" w:rsidR="00D125E6" w:rsidRPr="00526187" w:rsidRDefault="00D125E6" w:rsidP="00D125E6">
      <w:pPr>
        <w:spacing w:before="240"/>
        <w:jc w:val="both"/>
        <w:rPr>
          <w:sz w:val="22"/>
          <w:lang w:val="en-GB"/>
        </w:rPr>
      </w:pPr>
      <w:r w:rsidRPr="00526187">
        <w:rPr>
          <w:sz w:val="22"/>
          <w:lang w:val="en-GB"/>
        </w:rPr>
        <w:t>Sen, A., Duperron, S., Hourdez, S., Piquet, B., Léger, N., Gebruk, A., Le Port, A.-S., Svenning, M.M., Andersen, A.C., 2018. Cryptic frenulates are the dominant chemosymbiotrophic fauna at Arctic and high latitude Atlantic cold seeps. PloS One 13 (12), e0209273, https://doi.org/10.1371/journal.pone.0209273.</w:t>
      </w:r>
    </w:p>
    <w:p w14:paraId="166EF149" w14:textId="77777777" w:rsidR="00D125E6" w:rsidRPr="00526187" w:rsidRDefault="00D125E6" w:rsidP="00D125E6">
      <w:pPr>
        <w:spacing w:before="240"/>
        <w:jc w:val="both"/>
        <w:rPr>
          <w:sz w:val="22"/>
          <w:lang w:val="en-GB"/>
        </w:rPr>
      </w:pPr>
      <w:r w:rsidRPr="00526187">
        <w:rPr>
          <w:sz w:val="22"/>
          <w:lang w:val="en-GB"/>
        </w:rPr>
        <w:t>Decker, C., Olu, K., 2012. Habitat heterogeneity influences cold-seep macrofaunal communities within and among seeps along the Norwegian margin – Part 2: contribution of chemosynthesis and nutritional patterns. Marine Ecology 33 (2), 231-245, https://doi.org/10.1111/j.1439-0485.2011.00486.x.</w:t>
      </w:r>
    </w:p>
    <w:p w14:paraId="392B3CAF" w14:textId="77777777" w:rsidR="00D125E6" w:rsidRPr="00526187" w:rsidRDefault="00D125E6" w:rsidP="00D125E6">
      <w:pPr>
        <w:spacing w:before="240"/>
        <w:jc w:val="both"/>
        <w:rPr>
          <w:sz w:val="22"/>
          <w:lang w:val="en-GB"/>
        </w:rPr>
      </w:pPr>
      <w:r w:rsidRPr="00526187">
        <w:rPr>
          <w:sz w:val="22"/>
          <w:lang w:val="en-GB"/>
        </w:rPr>
        <w:t>Van Dover, C.L., Aharon, P., Bernhard, J.M., Caylor, E., Doerries, M., Flickinger, W., Gilhooly, W., Goffredi, S.K., Knick, K.E., Macko, S.A., Rapoport, S., Raulfs, E.C., Ruppel, C., Salerno, J.L., Seitz, R.D., Sen Gupta, B.K., Shank, T., Turnipseed, M., Vrijenhoek, R., 2003. Blake Ridge methane seeps: characterization of a soft-sediment, chemosynthetically based ecosystem. Deep Sea Research Part I: Oceanographic Research Papers 50 (2), 281-300, https://doi.org/10.1016/S0967-0637(02)00162-0.</w:t>
      </w:r>
    </w:p>
    <w:p w14:paraId="4AC3E422" w14:textId="77777777" w:rsidR="00D125E6" w:rsidRPr="00526187" w:rsidRDefault="00D125E6" w:rsidP="00D125E6">
      <w:pPr>
        <w:spacing w:before="240"/>
        <w:jc w:val="both"/>
        <w:rPr>
          <w:sz w:val="22"/>
          <w:lang w:val="en-GB"/>
        </w:rPr>
      </w:pPr>
      <w:r w:rsidRPr="00526187">
        <w:rPr>
          <w:sz w:val="22"/>
          <w:lang w:val="en-GB"/>
        </w:rPr>
        <w:t>Ritt, B., Sarrazin, J., Caprais, J.-C., Noël, P., Gauthier, O., Pierre, C., Henry, P., Desbruyères, D., 2010. First insights into the structure and environmental setting of cold-seep communities in the Marmara Sea. Deep Sea Research Part I: Oceanographic Research Papers 57 (9), 1120-1136, https://doi.org/10.1016/j.dsr.2010.05.011.</w:t>
      </w:r>
    </w:p>
    <w:p w14:paraId="5813CF08" w14:textId="77777777" w:rsidR="00D125E6" w:rsidRPr="00526187" w:rsidRDefault="00D125E6" w:rsidP="00D125E6">
      <w:pPr>
        <w:spacing w:before="240"/>
        <w:jc w:val="both"/>
        <w:rPr>
          <w:sz w:val="22"/>
          <w:lang w:val="en-GB"/>
        </w:rPr>
      </w:pPr>
      <w:r w:rsidRPr="00526187">
        <w:rPr>
          <w:sz w:val="22"/>
          <w:lang w:val="fr-FR"/>
        </w:rPr>
        <w:t xml:space="preserve">Ritt, B., Desbruyères, D., Caprais, J.C., Gauthier, O., Ruffine, L., Buscail, R., Olu-Le Roy, K., Sarrazin, J., 2012. </w:t>
      </w:r>
      <w:r w:rsidRPr="00526187">
        <w:rPr>
          <w:sz w:val="22"/>
          <w:lang w:val="en-GB"/>
        </w:rPr>
        <w:t>Seep communities from two mud volcanoes in the deep eastern Mediterranean Sea: faunal composition, spatial patterns and environmental control. Marine Ecology Progress Series 466, 93-119, https://doi.org/10.3354/meps09896.</w:t>
      </w:r>
    </w:p>
    <w:p w14:paraId="0AFA4837" w14:textId="77777777" w:rsidR="00D125E6" w:rsidRDefault="00D125E6" w:rsidP="00D125E6">
      <w:pPr>
        <w:spacing w:before="240"/>
        <w:jc w:val="both"/>
        <w:rPr>
          <w:sz w:val="22"/>
          <w:lang w:val="en-GB"/>
        </w:rPr>
      </w:pPr>
      <w:r w:rsidRPr="00526187">
        <w:rPr>
          <w:sz w:val="22"/>
          <w:lang w:val="en-GB"/>
        </w:rPr>
        <w:t>Ritt, B., Pierre, C., Gauthier, O., Wenzhöfer, F., Boetius, A., Sarrazin, J., 2011. Diversity and distribution of cold-seep fauna associated with different geological and environmental settings at mud volcanoes and pockmarks of the Nile Deep-Sea Fan. Marine Biology 158 (6), 1187-1210, https://doi.org/10.1007/s00227-011-1679-6.</w:t>
      </w:r>
    </w:p>
    <w:p w14:paraId="5103D12C" w14:textId="3B7EB8B8" w:rsidR="00FF29F3" w:rsidRDefault="00FF29F3" w:rsidP="00FF29F3">
      <w:pPr>
        <w:pStyle w:val="Titre1"/>
        <w:rPr>
          <w:lang w:val="en-GB"/>
        </w:rPr>
      </w:pPr>
      <w:r>
        <w:rPr>
          <w:lang w:val="en-GB"/>
        </w:rPr>
        <w:lastRenderedPageBreak/>
        <w:t>Supplementary Figure 1: Known and probable VMEs used as conservation features.</w:t>
      </w:r>
    </w:p>
    <w:p w14:paraId="1A7C60C6" w14:textId="77777777" w:rsidR="00FF29F3" w:rsidRDefault="00FF29F3" w:rsidP="00FF29F3">
      <w:pPr>
        <w:pStyle w:val="Sansinterligne"/>
        <w:keepNext/>
      </w:pPr>
      <w:r>
        <w:rPr>
          <w:noProof/>
          <w:lang w:val="fr-FR" w:eastAsia="fr-FR"/>
        </w:rPr>
        <w:drawing>
          <wp:inline distT="0" distB="0" distL="0" distR="0" wp14:anchorId="051088B4" wp14:editId="665912FE">
            <wp:extent cx="6202680" cy="3514090"/>
            <wp:effectExtent l="0" t="0" r="7620" b="0"/>
            <wp:docPr id="3" name="Picture 3" descr="Figure_V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_V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680" cy="3514090"/>
                    </a:xfrm>
                    <a:prstGeom prst="rect">
                      <a:avLst/>
                    </a:prstGeom>
                    <a:noFill/>
                    <a:ln>
                      <a:noFill/>
                    </a:ln>
                  </pic:spPr>
                </pic:pic>
              </a:graphicData>
            </a:graphic>
          </wp:inline>
        </w:drawing>
      </w:r>
    </w:p>
    <w:p w14:paraId="309952F7" w14:textId="3567EEB2" w:rsidR="00FF29F3" w:rsidRDefault="00FF29F3" w:rsidP="00FF29F3">
      <w:pPr>
        <w:pStyle w:val="Lgende"/>
        <w:jc w:val="both"/>
        <w:rPr>
          <w:sz w:val="22"/>
          <w:lang w:val="en-GB"/>
        </w:rPr>
      </w:pPr>
      <w:r w:rsidRPr="00E35D3F">
        <w:rPr>
          <w:sz w:val="22"/>
        </w:rPr>
        <w:t xml:space="preserve">Figure </w:t>
      </w:r>
      <w:r w:rsidRPr="00E35D3F">
        <w:rPr>
          <w:sz w:val="22"/>
        </w:rPr>
        <w:fldChar w:fldCharType="begin"/>
      </w:r>
      <w:r w:rsidRPr="00E35D3F">
        <w:rPr>
          <w:sz w:val="22"/>
        </w:rPr>
        <w:instrText xml:space="preserve"> SEQ Figure \* ARABIC </w:instrText>
      </w:r>
      <w:r w:rsidRPr="00E35D3F">
        <w:rPr>
          <w:sz w:val="22"/>
        </w:rPr>
        <w:fldChar w:fldCharType="separate"/>
      </w:r>
      <w:r w:rsidR="00BE3B1D">
        <w:rPr>
          <w:noProof/>
          <w:sz w:val="22"/>
        </w:rPr>
        <w:t>1</w:t>
      </w:r>
      <w:r w:rsidRPr="00E35D3F">
        <w:rPr>
          <w:sz w:val="22"/>
        </w:rPr>
        <w:fldChar w:fldCharType="end"/>
      </w:r>
      <w:r w:rsidRPr="00E35D3F">
        <w:rPr>
          <w:sz w:val="22"/>
        </w:rPr>
        <w:t xml:space="preserve">. </w:t>
      </w:r>
      <w:r w:rsidRPr="00E35D3F">
        <w:rPr>
          <w:sz w:val="22"/>
          <w:lang w:val="en-GB"/>
        </w:rPr>
        <w:t>Known and probable VMEs used as conservation features. These areas were prioritized according to their VME likelihood: known VMEs</w:t>
      </w:r>
      <w:r w:rsidR="004B4EF4">
        <w:rPr>
          <w:sz w:val="22"/>
          <w:lang w:val="en-GB"/>
        </w:rPr>
        <w:t xml:space="preserve"> (including hydrothermal vents)</w:t>
      </w:r>
      <w:r w:rsidRPr="00E35D3F">
        <w:rPr>
          <w:sz w:val="22"/>
          <w:lang w:val="en-GB"/>
        </w:rPr>
        <w:t xml:space="preserve"> were highly prioritized (60% target), followed by probable VMEs with high </w:t>
      </w:r>
      <w:r>
        <w:rPr>
          <w:sz w:val="22"/>
          <w:lang w:val="en-GB"/>
        </w:rPr>
        <w:t>likelihood index value</w:t>
      </w:r>
      <w:r w:rsidRPr="00E35D3F">
        <w:rPr>
          <w:sz w:val="22"/>
          <w:lang w:val="en-GB"/>
        </w:rPr>
        <w:t xml:space="preserve"> (50% target), medium likelihood</w:t>
      </w:r>
      <w:r>
        <w:rPr>
          <w:sz w:val="22"/>
          <w:lang w:val="en-GB"/>
        </w:rPr>
        <w:t xml:space="preserve"> index value</w:t>
      </w:r>
      <w:r w:rsidRPr="00E35D3F">
        <w:rPr>
          <w:sz w:val="22"/>
          <w:lang w:val="en-GB"/>
        </w:rPr>
        <w:t xml:space="preserve"> (30% target) and low likelihood </w:t>
      </w:r>
      <w:r>
        <w:rPr>
          <w:sz w:val="22"/>
          <w:lang w:val="en-GB"/>
        </w:rPr>
        <w:t>index value</w:t>
      </w:r>
      <w:r w:rsidRPr="00E35D3F">
        <w:rPr>
          <w:sz w:val="22"/>
          <w:lang w:val="en-GB"/>
        </w:rPr>
        <w:t xml:space="preserve"> (15%).</w:t>
      </w:r>
      <w:r w:rsidR="007A1556">
        <w:rPr>
          <w:sz w:val="22"/>
          <w:lang w:val="en-GB"/>
        </w:rPr>
        <w:t xml:space="preserve"> Layers are available at: </w:t>
      </w:r>
      <w:hyperlink r:id="rId9" w:history="1">
        <w:r w:rsidR="007A1556" w:rsidRPr="0071053C">
          <w:rPr>
            <w:rStyle w:val="Lienhypertexte"/>
            <w:sz w:val="22"/>
            <w:lang w:val="en-GB"/>
          </w:rPr>
          <w:t>http://dx.doi.org/10.12770/3f14f4aa-ffaa-4152-865f-01be69048fce</w:t>
        </w:r>
      </w:hyperlink>
      <w:r w:rsidR="007A1556">
        <w:rPr>
          <w:sz w:val="22"/>
          <w:lang w:val="en-GB"/>
        </w:rPr>
        <w:t>.</w:t>
      </w:r>
    </w:p>
    <w:p w14:paraId="571748C3" w14:textId="77777777" w:rsidR="00FF29F3" w:rsidRDefault="00FF29F3">
      <w:pPr>
        <w:spacing w:before="0" w:after="200" w:line="276" w:lineRule="auto"/>
        <w:rPr>
          <w:sz w:val="22"/>
          <w:lang w:val="en-GB"/>
        </w:rPr>
      </w:pPr>
      <w:r>
        <w:rPr>
          <w:sz w:val="22"/>
          <w:lang w:val="en-GB"/>
        </w:rPr>
        <w:br w:type="page"/>
      </w:r>
    </w:p>
    <w:p w14:paraId="5FE87F2C" w14:textId="77777777" w:rsidR="003F2047" w:rsidRDefault="003F2047">
      <w:pPr>
        <w:spacing w:before="0" w:after="200" w:line="276" w:lineRule="auto"/>
        <w:rPr>
          <w:sz w:val="22"/>
          <w:lang w:val="en-GB"/>
        </w:rPr>
      </w:pPr>
    </w:p>
    <w:p w14:paraId="31848B82" w14:textId="44D33540" w:rsidR="00FF29F3" w:rsidRDefault="00FF29F3" w:rsidP="00FF29F3">
      <w:pPr>
        <w:pStyle w:val="Titre1"/>
        <w:rPr>
          <w:lang w:val="en-GB"/>
        </w:rPr>
      </w:pPr>
      <w:r>
        <w:rPr>
          <w:lang w:val="en-GB"/>
        </w:rPr>
        <w:t>Supplementary Figure 2: Species richness calculated using the present habitat suitability predictions for the 7 invertebrate VME indicator species.</w:t>
      </w:r>
    </w:p>
    <w:p w14:paraId="44E8B562" w14:textId="52022180" w:rsidR="00FF29F3" w:rsidRDefault="00FF29F3" w:rsidP="00FF29F3">
      <w:pPr>
        <w:pStyle w:val="Sansinterligne"/>
        <w:keepNext/>
      </w:pPr>
      <w:r>
        <w:rPr>
          <w:noProof/>
          <w:lang w:val="fr-FR" w:eastAsia="fr-FR"/>
        </w:rPr>
        <w:drawing>
          <wp:inline distT="0" distB="0" distL="0" distR="0" wp14:anchorId="302E7124" wp14:editId="50651C79">
            <wp:extent cx="6202680" cy="3514090"/>
            <wp:effectExtent l="0" t="0" r="7620" b="0"/>
            <wp:docPr id="6" name="Picture 6" descr="Figure_SUM_Inv_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_SUM_Inv_P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2680" cy="3514090"/>
                    </a:xfrm>
                    <a:prstGeom prst="rect">
                      <a:avLst/>
                    </a:prstGeom>
                    <a:noFill/>
                    <a:ln>
                      <a:noFill/>
                    </a:ln>
                  </pic:spPr>
                </pic:pic>
              </a:graphicData>
            </a:graphic>
          </wp:inline>
        </w:drawing>
      </w:r>
    </w:p>
    <w:p w14:paraId="2E8346CF" w14:textId="566C7264" w:rsidR="00FF29F3" w:rsidRPr="00E97904" w:rsidRDefault="00FF29F3" w:rsidP="00FF29F3">
      <w:pPr>
        <w:pStyle w:val="Lgende"/>
        <w:jc w:val="both"/>
        <w:rPr>
          <w:sz w:val="22"/>
          <w:lang w:val="en-GB"/>
        </w:rPr>
      </w:pPr>
      <w:r w:rsidRPr="00E97904">
        <w:rPr>
          <w:sz w:val="22"/>
        </w:rPr>
        <w:t xml:space="preserve">Figure </w:t>
      </w:r>
      <w:r w:rsidRPr="00E97904">
        <w:rPr>
          <w:sz w:val="22"/>
        </w:rPr>
        <w:fldChar w:fldCharType="begin"/>
      </w:r>
      <w:r w:rsidRPr="00E97904">
        <w:rPr>
          <w:sz w:val="22"/>
        </w:rPr>
        <w:instrText xml:space="preserve"> SEQ Figure \* ARABIC </w:instrText>
      </w:r>
      <w:r w:rsidRPr="00E97904">
        <w:rPr>
          <w:sz w:val="22"/>
        </w:rPr>
        <w:fldChar w:fldCharType="separate"/>
      </w:r>
      <w:r w:rsidR="00BE3B1D">
        <w:rPr>
          <w:noProof/>
          <w:sz w:val="22"/>
        </w:rPr>
        <w:t>2</w:t>
      </w:r>
      <w:r w:rsidRPr="00E97904">
        <w:rPr>
          <w:sz w:val="22"/>
        </w:rPr>
        <w:fldChar w:fldCharType="end"/>
      </w:r>
      <w:r w:rsidRPr="00E97904">
        <w:rPr>
          <w:sz w:val="22"/>
        </w:rPr>
        <w:t xml:space="preserve">. </w:t>
      </w:r>
      <w:r w:rsidRPr="00E97904">
        <w:rPr>
          <w:sz w:val="22"/>
          <w:lang w:val="en-GB"/>
        </w:rPr>
        <w:t>Species richness calculated using the present habitat suitability predictions for the 7 invertebrate VME indicator species</w:t>
      </w:r>
      <w:r w:rsidRPr="0052147A">
        <w:rPr>
          <w:sz w:val="22"/>
          <w:lang w:val="en-GB"/>
        </w:rPr>
        <w:t xml:space="preserve"> used as conservation features</w:t>
      </w:r>
      <w:r w:rsidRPr="00E97904">
        <w:rPr>
          <w:sz w:val="22"/>
          <w:lang w:val="en-GB"/>
        </w:rPr>
        <w:t xml:space="preserve">. The values illustrate the number of species for which presence of suitable habitat was predicted in the PUs under present day environmental conditions. Note: individual maps for each species are available for download on the IFREMER spatial data server </w:t>
      </w:r>
      <w:r w:rsidR="007A1556">
        <w:rPr>
          <w:sz w:val="22"/>
          <w:lang w:val="en-GB"/>
        </w:rPr>
        <w:t xml:space="preserve">at </w:t>
      </w:r>
      <w:hyperlink r:id="rId11" w:history="1">
        <w:r w:rsidR="007A1556" w:rsidRPr="0071053C">
          <w:rPr>
            <w:rStyle w:val="Lienhypertexte"/>
            <w:sz w:val="22"/>
            <w:lang w:val="en-GB"/>
          </w:rPr>
          <w:t>http://dx.doi.org/10.12770/786ae295-0922-4616-b5e0-db799f387fcc</w:t>
        </w:r>
      </w:hyperlink>
      <w:r w:rsidR="007A1556">
        <w:rPr>
          <w:sz w:val="22"/>
          <w:lang w:val="en-GB"/>
        </w:rPr>
        <w:t xml:space="preserve"> .</w:t>
      </w:r>
    </w:p>
    <w:p w14:paraId="7D403907" w14:textId="77777777" w:rsidR="00FF29F3" w:rsidRDefault="00FF29F3" w:rsidP="00FF29F3">
      <w:pPr>
        <w:spacing w:before="0" w:after="200" w:line="276" w:lineRule="auto"/>
        <w:rPr>
          <w:lang w:val="en-GB"/>
        </w:rPr>
      </w:pPr>
      <w:r>
        <w:rPr>
          <w:lang w:val="en-GB"/>
        </w:rPr>
        <w:br w:type="page"/>
      </w:r>
    </w:p>
    <w:p w14:paraId="23D8CCD6" w14:textId="488B9E31" w:rsidR="00FF29F3" w:rsidRDefault="00FF29F3" w:rsidP="00FF29F3">
      <w:pPr>
        <w:pStyle w:val="Titre1"/>
        <w:rPr>
          <w:lang w:val="en-GB"/>
        </w:rPr>
      </w:pPr>
      <w:r w:rsidRPr="0052147A">
        <w:rPr>
          <w:lang w:val="en-GB"/>
        </w:rPr>
        <w:lastRenderedPageBreak/>
        <w:t xml:space="preserve">Supplementary Figure </w:t>
      </w:r>
      <w:r>
        <w:rPr>
          <w:lang w:val="en-GB"/>
        </w:rPr>
        <w:t>3</w:t>
      </w:r>
      <w:r w:rsidRPr="0052147A">
        <w:rPr>
          <w:lang w:val="en-GB"/>
        </w:rPr>
        <w:t>: Species richness calculated using the future climate refugia predictions for the 7 invertebrate VME indicator species</w:t>
      </w:r>
      <w:r>
        <w:rPr>
          <w:lang w:val="en-GB"/>
        </w:rPr>
        <w:t xml:space="preserve"> used as conservation features</w:t>
      </w:r>
      <w:r w:rsidRPr="0052147A">
        <w:rPr>
          <w:lang w:val="en-GB"/>
        </w:rPr>
        <w:t>.</w:t>
      </w:r>
    </w:p>
    <w:p w14:paraId="4F36FAFE" w14:textId="10F39FA3" w:rsidR="00FF29F3" w:rsidRDefault="00FF29F3" w:rsidP="00FF29F3">
      <w:pPr>
        <w:pStyle w:val="Sansinterligne"/>
        <w:keepNext/>
      </w:pPr>
      <w:r>
        <w:rPr>
          <w:noProof/>
          <w:lang w:val="fr-FR" w:eastAsia="fr-FR"/>
        </w:rPr>
        <w:drawing>
          <wp:inline distT="0" distB="0" distL="0" distR="0" wp14:anchorId="00B73E22" wp14:editId="22F44B25">
            <wp:extent cx="6202680" cy="3514090"/>
            <wp:effectExtent l="0" t="0" r="7620" b="0"/>
            <wp:docPr id="5" name="Picture 5" descr="Figure_SUM_Inv_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_SUM_Inv_Re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3514090"/>
                    </a:xfrm>
                    <a:prstGeom prst="rect">
                      <a:avLst/>
                    </a:prstGeom>
                    <a:noFill/>
                    <a:ln>
                      <a:noFill/>
                    </a:ln>
                  </pic:spPr>
                </pic:pic>
              </a:graphicData>
            </a:graphic>
          </wp:inline>
        </w:drawing>
      </w:r>
    </w:p>
    <w:p w14:paraId="0B47C688" w14:textId="16094245" w:rsidR="00FF29F3" w:rsidRPr="007A1556" w:rsidRDefault="00FF29F3" w:rsidP="00FF29F3">
      <w:pPr>
        <w:pStyle w:val="Lgende"/>
        <w:jc w:val="both"/>
        <w:rPr>
          <w:sz w:val="22"/>
          <w:lang w:val="en-GB"/>
        </w:rPr>
      </w:pPr>
      <w:r w:rsidRPr="0052147A">
        <w:rPr>
          <w:sz w:val="22"/>
          <w:szCs w:val="22"/>
        </w:rPr>
        <w:t xml:space="preserve">Figure </w:t>
      </w:r>
      <w:r w:rsidRPr="0052147A">
        <w:rPr>
          <w:sz w:val="22"/>
          <w:szCs w:val="22"/>
        </w:rPr>
        <w:fldChar w:fldCharType="begin"/>
      </w:r>
      <w:r w:rsidRPr="0052147A">
        <w:rPr>
          <w:sz w:val="22"/>
          <w:szCs w:val="22"/>
        </w:rPr>
        <w:instrText xml:space="preserve"> SEQ Figure \* ARABIC </w:instrText>
      </w:r>
      <w:r w:rsidRPr="0052147A">
        <w:rPr>
          <w:sz w:val="22"/>
          <w:szCs w:val="22"/>
        </w:rPr>
        <w:fldChar w:fldCharType="separate"/>
      </w:r>
      <w:r w:rsidR="00BE3B1D">
        <w:rPr>
          <w:noProof/>
          <w:sz w:val="22"/>
          <w:szCs w:val="22"/>
        </w:rPr>
        <w:t>3</w:t>
      </w:r>
      <w:r w:rsidRPr="0052147A">
        <w:rPr>
          <w:sz w:val="22"/>
          <w:szCs w:val="22"/>
        </w:rPr>
        <w:fldChar w:fldCharType="end"/>
      </w:r>
      <w:r w:rsidRPr="0052147A">
        <w:rPr>
          <w:sz w:val="22"/>
          <w:szCs w:val="22"/>
        </w:rPr>
        <w:t xml:space="preserve">. </w:t>
      </w:r>
      <w:r w:rsidRPr="0052147A">
        <w:rPr>
          <w:sz w:val="22"/>
          <w:szCs w:val="22"/>
          <w:lang w:val="en-GB"/>
        </w:rPr>
        <w:t xml:space="preserve">Species richness calculated using the future climate refugia predictions for the 7 invertebrate VME indicator species used as conservation features. The values illustrate the number of species for which presence of climate refugia (i.e. areas that are already suitable and that will remain suitable under future environmental conditions) was predicted in the PUs. Note: individual maps for each species are available for download on the IFREMER spatial data server </w:t>
      </w:r>
      <w:r w:rsidR="007A1556">
        <w:rPr>
          <w:sz w:val="22"/>
          <w:lang w:val="en-GB"/>
        </w:rPr>
        <w:t xml:space="preserve">at </w:t>
      </w:r>
      <w:hyperlink r:id="rId13" w:history="1">
        <w:r w:rsidR="007A1556" w:rsidRPr="0071053C">
          <w:rPr>
            <w:rStyle w:val="Lienhypertexte"/>
            <w:sz w:val="22"/>
            <w:lang w:val="en-GB"/>
          </w:rPr>
          <w:t>http://dx.doi.org/10.12770/786ae295-0922-4616-b5e0-db799f387fcc</w:t>
        </w:r>
      </w:hyperlink>
      <w:r w:rsidR="007A1556">
        <w:rPr>
          <w:sz w:val="22"/>
          <w:lang w:val="en-GB"/>
        </w:rPr>
        <w:t xml:space="preserve"> .</w:t>
      </w:r>
    </w:p>
    <w:p w14:paraId="5B98043B" w14:textId="77777777" w:rsidR="00FF29F3" w:rsidRDefault="00FF29F3" w:rsidP="00FF29F3">
      <w:pPr>
        <w:spacing w:before="0" w:after="200" w:line="276" w:lineRule="auto"/>
        <w:rPr>
          <w:rFonts w:cs="Times New Roman"/>
          <w:b/>
          <w:bCs/>
          <w:sz w:val="22"/>
          <w:lang w:val="en-GB"/>
        </w:rPr>
      </w:pPr>
      <w:r>
        <w:rPr>
          <w:sz w:val="22"/>
          <w:lang w:val="en-GB"/>
        </w:rPr>
        <w:br w:type="page"/>
      </w:r>
    </w:p>
    <w:p w14:paraId="71E72771" w14:textId="5E6D6493" w:rsidR="00FF29F3" w:rsidRPr="00392968" w:rsidRDefault="00FF29F3" w:rsidP="00FF29F3">
      <w:pPr>
        <w:pStyle w:val="Titre1"/>
        <w:rPr>
          <w:lang w:val="en-GB"/>
        </w:rPr>
      </w:pPr>
      <w:r w:rsidRPr="00392968">
        <w:rPr>
          <w:lang w:val="en-GB"/>
        </w:rPr>
        <w:lastRenderedPageBreak/>
        <w:t xml:space="preserve">Supplementary Figure </w:t>
      </w:r>
      <w:r>
        <w:rPr>
          <w:lang w:val="en-GB"/>
        </w:rPr>
        <w:t>4</w:t>
      </w:r>
      <w:r w:rsidRPr="00392968">
        <w:rPr>
          <w:lang w:val="en-GB"/>
        </w:rPr>
        <w:t>: Species richness calculated using the future climate refugia predictions for the 6 demersal fish species used as conservation features.</w:t>
      </w:r>
    </w:p>
    <w:p w14:paraId="4BE11C5A" w14:textId="2893AFD4" w:rsidR="00FF29F3" w:rsidRDefault="00FF29F3" w:rsidP="00FF29F3">
      <w:pPr>
        <w:pStyle w:val="Sansinterligne"/>
        <w:keepNext/>
      </w:pPr>
      <w:r>
        <w:rPr>
          <w:noProof/>
          <w:lang w:val="fr-FR" w:eastAsia="fr-FR"/>
        </w:rPr>
        <w:drawing>
          <wp:inline distT="0" distB="0" distL="0" distR="0" wp14:anchorId="10D75FD8" wp14:editId="370727EE">
            <wp:extent cx="6202680" cy="3514090"/>
            <wp:effectExtent l="0" t="0" r="7620" b="0"/>
            <wp:docPr id="4" name="Picture 4" descr="Figure_SUM_fish_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SUM_fish_Re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2680" cy="3514090"/>
                    </a:xfrm>
                    <a:prstGeom prst="rect">
                      <a:avLst/>
                    </a:prstGeom>
                    <a:noFill/>
                    <a:ln>
                      <a:noFill/>
                    </a:ln>
                  </pic:spPr>
                </pic:pic>
              </a:graphicData>
            </a:graphic>
          </wp:inline>
        </w:drawing>
      </w:r>
    </w:p>
    <w:p w14:paraId="433109AC" w14:textId="77777777" w:rsidR="007A1556" w:rsidRPr="00E97904" w:rsidRDefault="00FF29F3" w:rsidP="007A1556">
      <w:pPr>
        <w:pStyle w:val="Lgende"/>
        <w:jc w:val="both"/>
        <w:rPr>
          <w:sz w:val="22"/>
          <w:lang w:val="en-GB"/>
        </w:rPr>
      </w:pPr>
      <w:r w:rsidRPr="0052147A">
        <w:rPr>
          <w:sz w:val="22"/>
          <w:szCs w:val="22"/>
        </w:rPr>
        <w:t xml:space="preserve">Figure </w:t>
      </w:r>
      <w:r w:rsidRPr="0052147A">
        <w:rPr>
          <w:sz w:val="22"/>
          <w:szCs w:val="22"/>
        </w:rPr>
        <w:fldChar w:fldCharType="begin"/>
      </w:r>
      <w:r w:rsidRPr="0052147A">
        <w:rPr>
          <w:sz w:val="22"/>
          <w:szCs w:val="22"/>
        </w:rPr>
        <w:instrText xml:space="preserve"> SEQ Figure \* ARABIC </w:instrText>
      </w:r>
      <w:r w:rsidRPr="0052147A">
        <w:rPr>
          <w:sz w:val="22"/>
          <w:szCs w:val="22"/>
        </w:rPr>
        <w:fldChar w:fldCharType="separate"/>
      </w:r>
      <w:r w:rsidR="00BE3B1D">
        <w:rPr>
          <w:noProof/>
          <w:sz w:val="22"/>
          <w:szCs w:val="22"/>
        </w:rPr>
        <w:t>4</w:t>
      </w:r>
      <w:r w:rsidRPr="0052147A">
        <w:rPr>
          <w:sz w:val="22"/>
          <w:szCs w:val="22"/>
        </w:rPr>
        <w:fldChar w:fldCharType="end"/>
      </w:r>
      <w:r w:rsidRPr="0052147A">
        <w:rPr>
          <w:sz w:val="22"/>
          <w:szCs w:val="22"/>
        </w:rPr>
        <w:t xml:space="preserve">. </w:t>
      </w:r>
      <w:r w:rsidRPr="0052147A">
        <w:rPr>
          <w:sz w:val="22"/>
          <w:szCs w:val="22"/>
          <w:lang w:val="en-GB"/>
        </w:rPr>
        <w:t xml:space="preserve">Species richness calculated using the future climate refugia predictions for the 6 demersal fish species used as conservation features. The values illustrate the number of species for which presence of climate refugia (i.e. areas that are already suitable and that will remain suitable under future environmental conditions) was predicted in the PUs. Note: individual maps for each species are available for download on the IFREMER spatial data server </w:t>
      </w:r>
      <w:r w:rsidR="007A1556">
        <w:rPr>
          <w:sz w:val="22"/>
          <w:lang w:val="en-GB"/>
        </w:rPr>
        <w:t xml:space="preserve">at </w:t>
      </w:r>
      <w:hyperlink r:id="rId15" w:history="1">
        <w:r w:rsidR="007A1556" w:rsidRPr="0071053C">
          <w:rPr>
            <w:rStyle w:val="Lienhypertexte"/>
            <w:sz w:val="22"/>
            <w:lang w:val="en-GB"/>
          </w:rPr>
          <w:t>http://dx.doi.org/10.12770/786ae295-0922-4616-b5e0-db799f387fcc</w:t>
        </w:r>
      </w:hyperlink>
      <w:r w:rsidR="007A1556">
        <w:rPr>
          <w:sz w:val="22"/>
          <w:lang w:val="en-GB"/>
        </w:rPr>
        <w:t xml:space="preserve"> .</w:t>
      </w:r>
    </w:p>
    <w:p w14:paraId="16097DBE" w14:textId="7C4020A3" w:rsidR="00FF29F3" w:rsidRPr="0052147A" w:rsidRDefault="00FF29F3" w:rsidP="00FF29F3">
      <w:pPr>
        <w:pStyle w:val="Lgende"/>
        <w:jc w:val="both"/>
        <w:rPr>
          <w:sz w:val="22"/>
          <w:szCs w:val="22"/>
          <w:lang w:val="en-GB"/>
        </w:rPr>
      </w:pPr>
    </w:p>
    <w:p w14:paraId="06373D9F" w14:textId="76EFBD23" w:rsidR="003F2047" w:rsidRDefault="003F2047" w:rsidP="003F2047">
      <w:pPr>
        <w:spacing w:before="0" w:after="200" w:line="276" w:lineRule="auto"/>
        <w:rPr>
          <w:sz w:val="22"/>
          <w:lang w:val="en-GB"/>
        </w:rPr>
      </w:pPr>
      <w:r>
        <w:rPr>
          <w:rFonts w:cs="Times New Roman"/>
          <w:b/>
          <w:bCs/>
          <w:sz w:val="22"/>
          <w:szCs w:val="24"/>
          <w:lang w:val="en-GB"/>
        </w:rPr>
        <w:br w:type="page"/>
      </w:r>
    </w:p>
    <w:p w14:paraId="1043ADD8" w14:textId="77777777" w:rsidR="003F2047" w:rsidRDefault="003F2047" w:rsidP="00526187">
      <w:pPr>
        <w:spacing w:before="240"/>
        <w:jc w:val="both"/>
        <w:rPr>
          <w:sz w:val="22"/>
          <w:lang w:val="en-GB"/>
        </w:rPr>
      </w:pPr>
    </w:p>
    <w:p w14:paraId="718C41A9" w14:textId="77777777" w:rsidR="005B4341" w:rsidRDefault="005B4341" w:rsidP="005B4341">
      <w:pPr>
        <w:pStyle w:val="Titre1"/>
        <w:rPr>
          <w:lang w:val="en-GB"/>
        </w:rPr>
      </w:pPr>
      <w:r>
        <w:rPr>
          <w:lang w:val="en-GB"/>
        </w:rPr>
        <w:t xml:space="preserve">Supplementary Figure 5: Geomorphotypes used as conservation features. </w:t>
      </w:r>
    </w:p>
    <w:p w14:paraId="2CBFDBD8" w14:textId="4CA46570" w:rsidR="005B4341" w:rsidRDefault="005B4341" w:rsidP="005B4341">
      <w:pPr>
        <w:pStyle w:val="Sansinterligne"/>
        <w:keepNext/>
      </w:pPr>
      <w:r>
        <w:rPr>
          <w:noProof/>
          <w:lang w:val="fr-FR" w:eastAsia="fr-FR"/>
        </w:rPr>
        <w:drawing>
          <wp:inline distT="0" distB="0" distL="0" distR="0" wp14:anchorId="5A7C671A" wp14:editId="4CE3724A">
            <wp:extent cx="6209665" cy="3521075"/>
            <wp:effectExtent l="0" t="0" r="635" b="3175"/>
            <wp:docPr id="13" name="Picture 13" descr="Figure_geomor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_geomorp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9665" cy="3521075"/>
                    </a:xfrm>
                    <a:prstGeom prst="rect">
                      <a:avLst/>
                    </a:prstGeom>
                    <a:noFill/>
                    <a:ln>
                      <a:noFill/>
                    </a:ln>
                  </pic:spPr>
                </pic:pic>
              </a:graphicData>
            </a:graphic>
          </wp:inline>
        </w:drawing>
      </w:r>
    </w:p>
    <w:p w14:paraId="5761B33A" w14:textId="76FA5467" w:rsidR="005B4341" w:rsidRPr="00E35D3F" w:rsidRDefault="005B4341" w:rsidP="005B4341">
      <w:pPr>
        <w:pStyle w:val="Lgende"/>
        <w:jc w:val="both"/>
        <w:rPr>
          <w:sz w:val="22"/>
          <w:lang w:val="en-GB"/>
        </w:rPr>
      </w:pPr>
      <w:r w:rsidRPr="00E35D3F">
        <w:rPr>
          <w:sz w:val="22"/>
        </w:rPr>
        <w:t xml:space="preserve">Figure </w:t>
      </w:r>
      <w:r w:rsidRPr="00E35D3F">
        <w:rPr>
          <w:sz w:val="22"/>
        </w:rPr>
        <w:fldChar w:fldCharType="begin"/>
      </w:r>
      <w:r w:rsidRPr="00E35D3F">
        <w:rPr>
          <w:sz w:val="22"/>
        </w:rPr>
        <w:instrText xml:space="preserve"> SEQ Figure \* ARABIC </w:instrText>
      </w:r>
      <w:r w:rsidRPr="00E35D3F">
        <w:rPr>
          <w:sz w:val="22"/>
        </w:rPr>
        <w:fldChar w:fldCharType="separate"/>
      </w:r>
      <w:r w:rsidR="00BE3B1D">
        <w:rPr>
          <w:noProof/>
          <w:sz w:val="22"/>
        </w:rPr>
        <w:t>5</w:t>
      </w:r>
      <w:r w:rsidRPr="00E35D3F">
        <w:rPr>
          <w:sz w:val="22"/>
        </w:rPr>
        <w:fldChar w:fldCharType="end"/>
      </w:r>
      <w:r w:rsidRPr="00E35D3F">
        <w:rPr>
          <w:sz w:val="22"/>
        </w:rPr>
        <w:t xml:space="preserve">. </w:t>
      </w:r>
      <w:r w:rsidRPr="00E35D3F">
        <w:rPr>
          <w:sz w:val="22"/>
          <w:lang w:val="en-GB"/>
        </w:rPr>
        <w:t>Geomorphotypes used as conservation features. Shelf-incising canyons were prioritized according to their length, while the presence of the feature was used for fracture zones and seamounts.</w:t>
      </w:r>
      <w:r w:rsidR="007A1556">
        <w:rPr>
          <w:sz w:val="22"/>
          <w:lang w:val="en-GB"/>
        </w:rPr>
        <w:t xml:space="preserve"> Layers are available at: </w:t>
      </w:r>
      <w:hyperlink r:id="rId17" w:history="1">
        <w:r w:rsidR="007A1556" w:rsidRPr="0071053C">
          <w:rPr>
            <w:rStyle w:val="Lienhypertexte"/>
            <w:sz w:val="22"/>
            <w:lang w:val="en-GB"/>
          </w:rPr>
          <w:t>http://dx.doi.org/10.12770/66c5957b-6cb5-4fce-9ca5-1cb609fa39b5</w:t>
        </w:r>
      </w:hyperlink>
      <w:r w:rsidR="007A1556">
        <w:rPr>
          <w:sz w:val="22"/>
          <w:lang w:val="en-GB"/>
        </w:rPr>
        <w:t>.</w:t>
      </w:r>
    </w:p>
    <w:p w14:paraId="5A259607" w14:textId="77777777" w:rsidR="005B4341" w:rsidRDefault="005B4341" w:rsidP="005B4341">
      <w:pPr>
        <w:pStyle w:val="Sansinterligne"/>
        <w:rPr>
          <w:lang w:val="en-GB"/>
        </w:rPr>
      </w:pPr>
    </w:p>
    <w:p w14:paraId="37914121" w14:textId="77777777" w:rsidR="005B4341" w:rsidRPr="00526187" w:rsidRDefault="005B4341" w:rsidP="00526187">
      <w:pPr>
        <w:spacing w:before="240"/>
        <w:jc w:val="both"/>
        <w:rPr>
          <w:sz w:val="22"/>
          <w:lang w:val="en-GB"/>
        </w:rPr>
        <w:sectPr w:rsidR="005B4341" w:rsidRPr="00526187"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pPr>
    </w:p>
    <w:p w14:paraId="0F5A481B" w14:textId="3B8E9221" w:rsidR="003229B1" w:rsidRPr="00366792" w:rsidRDefault="003229B1" w:rsidP="003229B1">
      <w:pPr>
        <w:pStyle w:val="Titre1"/>
        <w:rPr>
          <w:lang w:val="en-GB"/>
        </w:rPr>
      </w:pPr>
      <w:r>
        <w:rPr>
          <w:lang w:val="en-GB"/>
        </w:rPr>
        <w:lastRenderedPageBreak/>
        <w:t>Supplementary</w:t>
      </w:r>
      <w:r w:rsidR="001528A9">
        <w:rPr>
          <w:lang w:val="en-GB"/>
        </w:rPr>
        <w:t xml:space="preserve"> T</w:t>
      </w:r>
      <w:r w:rsidRPr="00366792">
        <w:rPr>
          <w:lang w:val="en-GB"/>
        </w:rPr>
        <w:t>able 1: Representativity of features in the study area and coverage by conservation solutions and current protection measures</w:t>
      </w:r>
    </w:p>
    <w:p w14:paraId="158CDCB9" w14:textId="5B9BFFD1" w:rsidR="003229B1" w:rsidRPr="00844F75" w:rsidRDefault="003229B1" w:rsidP="001528A9">
      <w:pPr>
        <w:pStyle w:val="Lgende"/>
        <w:jc w:val="both"/>
        <w:rPr>
          <w:sz w:val="22"/>
          <w:szCs w:val="22"/>
          <w:lang w:val="en-GB"/>
        </w:rPr>
      </w:pPr>
      <w:r w:rsidRPr="00844F75">
        <w:rPr>
          <w:sz w:val="22"/>
          <w:szCs w:val="22"/>
          <w:lang w:val="en-GB"/>
        </w:rPr>
        <w:t xml:space="preserve">Table </w:t>
      </w:r>
      <w:r w:rsidR="00844F75" w:rsidRPr="00844F75">
        <w:rPr>
          <w:sz w:val="22"/>
          <w:szCs w:val="22"/>
        </w:rPr>
        <w:t>1</w:t>
      </w:r>
      <w:r w:rsidRPr="00844F75">
        <w:rPr>
          <w:sz w:val="22"/>
          <w:szCs w:val="22"/>
          <w:lang w:val="en-GB"/>
        </w:rPr>
        <w:t xml:space="preserve">. Relative cover, conservation targets, and proportion of features included in priority areas and in currently protected or significant areas. </w:t>
      </w:r>
      <w:r w:rsidR="00844F75">
        <w:rPr>
          <w:sz w:val="22"/>
          <w:szCs w:val="22"/>
          <w:lang w:val="en-GB"/>
        </w:rPr>
        <w:t>The priority areas correspond to PUs</w:t>
      </w:r>
      <w:r w:rsidRPr="00844F75">
        <w:rPr>
          <w:sz w:val="22"/>
          <w:szCs w:val="22"/>
          <w:lang w:val="en-GB"/>
        </w:rPr>
        <w:t xml:space="preserve"> selected at least in 50% or in 75% of selection frequency</w:t>
      </w:r>
      <w:r w:rsidR="00844F75">
        <w:rPr>
          <w:sz w:val="22"/>
          <w:szCs w:val="22"/>
          <w:lang w:val="en-GB"/>
        </w:rPr>
        <w:t xml:space="preserve"> of the ‘management’</w:t>
      </w:r>
      <w:r w:rsidR="00D5580B">
        <w:rPr>
          <w:sz w:val="22"/>
          <w:szCs w:val="22"/>
          <w:lang w:val="en-GB"/>
        </w:rPr>
        <w:t xml:space="preserve"> </w:t>
      </w:r>
      <w:r w:rsidR="00844F75">
        <w:rPr>
          <w:sz w:val="22"/>
          <w:szCs w:val="22"/>
          <w:lang w:val="en-GB"/>
        </w:rPr>
        <w:t>scenario</w:t>
      </w:r>
      <w:r w:rsidRPr="00844F75">
        <w:rPr>
          <w:sz w:val="22"/>
          <w:szCs w:val="22"/>
          <w:lang w:val="en-GB"/>
        </w:rPr>
        <w:t xml:space="preserve">. *: for canyons, their total length was calculated in PUs rather than their cover, thus the calculated proportions were based on length. </w:t>
      </w:r>
    </w:p>
    <w:tbl>
      <w:tblPr>
        <w:tblStyle w:val="Grilledutableau"/>
        <w:tblW w:w="14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1984"/>
        <w:gridCol w:w="1134"/>
        <w:gridCol w:w="1281"/>
        <w:gridCol w:w="1554"/>
        <w:gridCol w:w="1560"/>
        <w:gridCol w:w="1417"/>
        <w:gridCol w:w="1418"/>
      </w:tblGrid>
      <w:tr w:rsidR="003229B1" w:rsidRPr="003229B1" w14:paraId="17BC6F3D" w14:textId="77777777" w:rsidTr="00E97904">
        <w:trPr>
          <w:trHeight w:val="272"/>
          <w:jc w:val="center"/>
        </w:trPr>
        <w:tc>
          <w:tcPr>
            <w:tcW w:w="3681" w:type="dxa"/>
            <w:vMerge w:val="restart"/>
            <w:tcBorders>
              <w:top w:val="single" w:sz="4" w:space="0" w:color="auto"/>
            </w:tcBorders>
            <w:vAlign w:val="center"/>
          </w:tcPr>
          <w:p w14:paraId="57FC5F6D" w14:textId="77777777" w:rsidR="003229B1" w:rsidRPr="003229B1" w:rsidRDefault="003229B1" w:rsidP="00D5580B">
            <w:pPr>
              <w:spacing w:after="0"/>
              <w:rPr>
                <w:rFonts w:cs="Times New Roman"/>
                <w:b/>
                <w:sz w:val="20"/>
                <w:szCs w:val="20"/>
                <w:lang w:val="en-GB"/>
              </w:rPr>
            </w:pPr>
            <w:r w:rsidRPr="003229B1">
              <w:rPr>
                <w:rFonts w:cs="Times New Roman"/>
                <w:b/>
                <w:sz w:val="20"/>
                <w:szCs w:val="20"/>
                <w:lang w:val="en-GB"/>
              </w:rPr>
              <w:t>Feature</w:t>
            </w:r>
          </w:p>
        </w:tc>
        <w:tc>
          <w:tcPr>
            <w:tcW w:w="1984" w:type="dxa"/>
            <w:vMerge w:val="restart"/>
            <w:tcBorders>
              <w:top w:val="single" w:sz="4" w:space="0" w:color="auto"/>
            </w:tcBorders>
          </w:tcPr>
          <w:p w14:paraId="07E5B79C" w14:textId="77777777" w:rsidR="003229B1" w:rsidRPr="003229B1" w:rsidRDefault="003229B1" w:rsidP="00D5580B">
            <w:pPr>
              <w:spacing w:after="0"/>
              <w:jc w:val="center"/>
              <w:rPr>
                <w:rFonts w:cs="Times New Roman"/>
                <w:b/>
                <w:sz w:val="20"/>
                <w:szCs w:val="20"/>
                <w:lang w:val="en-GB"/>
              </w:rPr>
            </w:pPr>
            <w:r w:rsidRPr="003229B1">
              <w:rPr>
                <w:rFonts w:cs="Times New Roman"/>
                <w:b/>
                <w:sz w:val="20"/>
                <w:szCs w:val="20"/>
                <w:lang w:val="en-GB"/>
              </w:rPr>
              <w:t>N of PUs</w:t>
            </w:r>
          </w:p>
          <w:p w14:paraId="12C19B70" w14:textId="77777777" w:rsidR="003229B1" w:rsidRPr="003229B1" w:rsidRDefault="003229B1" w:rsidP="00D5580B">
            <w:pPr>
              <w:spacing w:after="0"/>
              <w:jc w:val="center"/>
              <w:rPr>
                <w:rFonts w:cs="Times New Roman"/>
                <w:b/>
                <w:sz w:val="20"/>
                <w:szCs w:val="20"/>
                <w:lang w:val="en-GB"/>
              </w:rPr>
            </w:pPr>
            <w:r w:rsidRPr="003229B1">
              <w:rPr>
                <w:rFonts w:cs="Times New Roman"/>
                <w:b/>
                <w:sz w:val="20"/>
                <w:szCs w:val="20"/>
                <w:lang w:val="en-GB"/>
              </w:rPr>
              <w:t>(% of study area)</w:t>
            </w:r>
          </w:p>
        </w:tc>
        <w:tc>
          <w:tcPr>
            <w:tcW w:w="1134" w:type="dxa"/>
            <w:vMerge w:val="restart"/>
            <w:tcBorders>
              <w:top w:val="single" w:sz="4" w:space="0" w:color="auto"/>
            </w:tcBorders>
          </w:tcPr>
          <w:p w14:paraId="2874E145" w14:textId="77777777" w:rsidR="003229B1" w:rsidRPr="003229B1" w:rsidRDefault="003229B1" w:rsidP="00D5580B">
            <w:pPr>
              <w:spacing w:after="0"/>
              <w:jc w:val="center"/>
              <w:rPr>
                <w:rFonts w:cs="Times New Roman"/>
                <w:b/>
                <w:sz w:val="20"/>
                <w:szCs w:val="20"/>
                <w:lang w:val="en-GB"/>
              </w:rPr>
            </w:pPr>
            <w:r w:rsidRPr="003229B1">
              <w:rPr>
                <w:rFonts w:cs="Times New Roman"/>
                <w:b/>
                <w:sz w:val="20"/>
                <w:szCs w:val="20"/>
                <w:lang w:val="en-GB"/>
              </w:rPr>
              <w:t>Cons. target (%)</w:t>
            </w:r>
          </w:p>
        </w:tc>
        <w:tc>
          <w:tcPr>
            <w:tcW w:w="2835" w:type="dxa"/>
            <w:gridSpan w:val="2"/>
            <w:tcBorders>
              <w:top w:val="single" w:sz="4" w:space="0" w:color="auto"/>
              <w:right w:val="single" w:sz="4" w:space="0" w:color="auto"/>
            </w:tcBorders>
            <w:vAlign w:val="center"/>
          </w:tcPr>
          <w:p w14:paraId="26F2D5C8" w14:textId="77777777" w:rsidR="003229B1" w:rsidRPr="003229B1" w:rsidRDefault="003229B1" w:rsidP="00D5580B">
            <w:pPr>
              <w:jc w:val="center"/>
              <w:rPr>
                <w:rFonts w:cs="Times New Roman"/>
                <w:b/>
                <w:sz w:val="20"/>
                <w:szCs w:val="20"/>
              </w:rPr>
            </w:pPr>
            <w:r w:rsidRPr="003229B1">
              <w:rPr>
                <w:rFonts w:cs="Times New Roman"/>
                <w:b/>
                <w:sz w:val="20"/>
                <w:szCs w:val="20"/>
              </w:rPr>
              <w:t>Priority areas (%)</w:t>
            </w:r>
          </w:p>
        </w:tc>
        <w:tc>
          <w:tcPr>
            <w:tcW w:w="4395" w:type="dxa"/>
            <w:gridSpan w:val="3"/>
            <w:tcBorders>
              <w:top w:val="single" w:sz="4" w:space="0" w:color="auto"/>
              <w:left w:val="single" w:sz="4" w:space="0" w:color="auto"/>
            </w:tcBorders>
            <w:vAlign w:val="center"/>
          </w:tcPr>
          <w:p w14:paraId="4D001898" w14:textId="77777777" w:rsidR="003229B1" w:rsidRPr="003229B1" w:rsidRDefault="003229B1" w:rsidP="00D5580B">
            <w:pPr>
              <w:spacing w:after="0"/>
              <w:jc w:val="center"/>
              <w:rPr>
                <w:rFonts w:cs="Times New Roman"/>
                <w:b/>
                <w:sz w:val="20"/>
                <w:szCs w:val="20"/>
                <w:lang w:val="en-GB"/>
              </w:rPr>
            </w:pPr>
            <w:r w:rsidRPr="003229B1">
              <w:rPr>
                <w:rFonts w:cs="Times New Roman"/>
                <w:b/>
                <w:sz w:val="20"/>
                <w:szCs w:val="20"/>
                <w:lang w:val="en-GB"/>
              </w:rPr>
              <w:t>Current protection measures (%)</w:t>
            </w:r>
          </w:p>
        </w:tc>
      </w:tr>
      <w:tr w:rsidR="003229B1" w:rsidRPr="003229B1" w14:paraId="060025BA" w14:textId="77777777" w:rsidTr="00D5580B">
        <w:trPr>
          <w:trHeight w:val="758"/>
          <w:jc w:val="center"/>
        </w:trPr>
        <w:tc>
          <w:tcPr>
            <w:tcW w:w="3681" w:type="dxa"/>
            <w:vMerge/>
            <w:tcBorders>
              <w:bottom w:val="single" w:sz="4" w:space="0" w:color="auto"/>
            </w:tcBorders>
            <w:vAlign w:val="center"/>
          </w:tcPr>
          <w:p w14:paraId="33043FD7" w14:textId="77777777" w:rsidR="003229B1" w:rsidRPr="003229B1" w:rsidRDefault="003229B1" w:rsidP="00D5580B">
            <w:pPr>
              <w:spacing w:after="0"/>
              <w:rPr>
                <w:rFonts w:cs="Times New Roman"/>
                <w:b/>
                <w:sz w:val="20"/>
                <w:szCs w:val="20"/>
                <w:lang w:val="en-GB"/>
              </w:rPr>
            </w:pPr>
          </w:p>
        </w:tc>
        <w:tc>
          <w:tcPr>
            <w:tcW w:w="1984" w:type="dxa"/>
            <w:vMerge/>
            <w:tcBorders>
              <w:bottom w:val="single" w:sz="4" w:space="0" w:color="auto"/>
            </w:tcBorders>
            <w:vAlign w:val="center"/>
          </w:tcPr>
          <w:p w14:paraId="4511FC4A" w14:textId="77777777" w:rsidR="003229B1" w:rsidRPr="003229B1" w:rsidRDefault="003229B1" w:rsidP="00D5580B">
            <w:pPr>
              <w:spacing w:after="0"/>
              <w:jc w:val="center"/>
              <w:rPr>
                <w:rFonts w:cs="Times New Roman"/>
                <w:b/>
                <w:sz w:val="20"/>
                <w:szCs w:val="20"/>
                <w:lang w:val="en-GB"/>
              </w:rPr>
            </w:pPr>
          </w:p>
        </w:tc>
        <w:tc>
          <w:tcPr>
            <w:tcW w:w="1134" w:type="dxa"/>
            <w:vMerge/>
            <w:tcBorders>
              <w:bottom w:val="single" w:sz="4" w:space="0" w:color="auto"/>
            </w:tcBorders>
            <w:vAlign w:val="center"/>
          </w:tcPr>
          <w:p w14:paraId="5E086CE9" w14:textId="77777777" w:rsidR="003229B1" w:rsidRPr="003229B1" w:rsidRDefault="003229B1" w:rsidP="00D5580B">
            <w:pPr>
              <w:spacing w:after="0"/>
              <w:jc w:val="center"/>
              <w:rPr>
                <w:rFonts w:cs="Times New Roman"/>
                <w:b/>
                <w:sz w:val="20"/>
                <w:szCs w:val="20"/>
                <w:lang w:val="en-GB"/>
              </w:rPr>
            </w:pPr>
          </w:p>
        </w:tc>
        <w:tc>
          <w:tcPr>
            <w:tcW w:w="1281" w:type="dxa"/>
            <w:tcBorders>
              <w:bottom w:val="single" w:sz="4" w:space="0" w:color="auto"/>
            </w:tcBorders>
            <w:vAlign w:val="center"/>
          </w:tcPr>
          <w:p w14:paraId="492727F4" w14:textId="77777777" w:rsidR="00844F75" w:rsidRDefault="00844F75" w:rsidP="00D5580B">
            <w:pPr>
              <w:spacing w:before="0" w:after="0"/>
              <w:jc w:val="center"/>
              <w:rPr>
                <w:rFonts w:cs="Times New Roman"/>
                <w:b/>
                <w:sz w:val="20"/>
                <w:szCs w:val="20"/>
                <w:lang w:val="en-GB"/>
              </w:rPr>
            </w:pPr>
            <w:r>
              <w:rPr>
                <w:rFonts w:cs="Times New Roman"/>
                <w:b/>
                <w:sz w:val="20"/>
                <w:szCs w:val="20"/>
                <w:lang w:val="en-GB"/>
              </w:rPr>
              <w:t xml:space="preserve">‘priority’ </w:t>
            </w:r>
          </w:p>
          <w:p w14:paraId="0447122C" w14:textId="5D4F601D" w:rsidR="003229B1" w:rsidRPr="003229B1" w:rsidRDefault="00844F75" w:rsidP="00D5580B">
            <w:pPr>
              <w:spacing w:before="0"/>
              <w:jc w:val="center"/>
              <w:rPr>
                <w:rFonts w:cs="Times New Roman"/>
                <w:b/>
                <w:sz w:val="20"/>
                <w:szCs w:val="20"/>
                <w:lang w:val="en-GB"/>
              </w:rPr>
            </w:pPr>
            <w:r>
              <w:rPr>
                <w:rFonts w:cs="Times New Roman"/>
                <w:b/>
                <w:sz w:val="20"/>
                <w:szCs w:val="20"/>
                <w:lang w:val="en-GB"/>
              </w:rPr>
              <w:t>(</w:t>
            </w:r>
            <w:r w:rsidRPr="00844F75">
              <w:rPr>
                <w:rFonts w:cs="Times New Roman"/>
                <w:b/>
                <w:sz w:val="20"/>
                <w:szCs w:val="20"/>
                <w:lang w:val="en-GB"/>
              </w:rPr>
              <w:t>≥ 50% of frequency</w:t>
            </w:r>
            <w:r>
              <w:rPr>
                <w:rFonts w:cs="Times New Roman"/>
                <w:b/>
                <w:sz w:val="20"/>
                <w:szCs w:val="20"/>
                <w:lang w:val="en-GB"/>
              </w:rPr>
              <w:t>)</w:t>
            </w:r>
          </w:p>
        </w:tc>
        <w:tc>
          <w:tcPr>
            <w:tcW w:w="1554" w:type="dxa"/>
            <w:tcBorders>
              <w:bottom w:val="single" w:sz="4" w:space="0" w:color="auto"/>
              <w:right w:val="single" w:sz="4" w:space="0" w:color="auto"/>
            </w:tcBorders>
            <w:vAlign w:val="center"/>
          </w:tcPr>
          <w:p w14:paraId="38D13EDA" w14:textId="77777777" w:rsidR="00844F75" w:rsidRDefault="00844F75" w:rsidP="00D5580B">
            <w:pPr>
              <w:spacing w:before="0" w:after="0"/>
              <w:jc w:val="center"/>
              <w:rPr>
                <w:rFonts w:cs="Times New Roman"/>
                <w:b/>
                <w:sz w:val="20"/>
                <w:szCs w:val="20"/>
                <w:lang w:val="en-GB"/>
              </w:rPr>
            </w:pPr>
            <w:r>
              <w:rPr>
                <w:rFonts w:cs="Times New Roman"/>
                <w:b/>
                <w:sz w:val="20"/>
                <w:szCs w:val="20"/>
                <w:lang w:val="en-GB"/>
              </w:rPr>
              <w:t xml:space="preserve">‘core priority’ </w:t>
            </w:r>
          </w:p>
          <w:p w14:paraId="3590C833" w14:textId="2B3C067A" w:rsidR="003229B1" w:rsidRPr="003229B1" w:rsidRDefault="00844F75" w:rsidP="00D5580B">
            <w:pPr>
              <w:spacing w:before="0"/>
              <w:jc w:val="center"/>
              <w:rPr>
                <w:rFonts w:cs="Times New Roman"/>
                <w:b/>
                <w:sz w:val="20"/>
                <w:szCs w:val="20"/>
                <w:lang w:val="en-GB"/>
              </w:rPr>
            </w:pPr>
            <w:r w:rsidRPr="00844F75">
              <w:rPr>
                <w:rFonts w:cs="Times New Roman"/>
                <w:b/>
                <w:sz w:val="20"/>
                <w:szCs w:val="20"/>
                <w:lang w:val="en-GB"/>
              </w:rPr>
              <w:t xml:space="preserve">≥ </w:t>
            </w:r>
            <w:r>
              <w:rPr>
                <w:rFonts w:cs="Times New Roman"/>
                <w:b/>
                <w:sz w:val="20"/>
                <w:szCs w:val="20"/>
                <w:lang w:val="en-GB"/>
              </w:rPr>
              <w:t>75</w:t>
            </w:r>
            <w:r w:rsidRPr="00844F75">
              <w:rPr>
                <w:rFonts w:cs="Times New Roman"/>
                <w:b/>
                <w:sz w:val="20"/>
                <w:szCs w:val="20"/>
                <w:lang w:val="en-GB"/>
              </w:rPr>
              <w:t>% of frequency</w:t>
            </w:r>
          </w:p>
        </w:tc>
        <w:tc>
          <w:tcPr>
            <w:tcW w:w="1560" w:type="dxa"/>
            <w:tcBorders>
              <w:left w:val="single" w:sz="4" w:space="0" w:color="auto"/>
              <w:bottom w:val="single" w:sz="4" w:space="0" w:color="auto"/>
            </w:tcBorders>
            <w:shd w:val="clear" w:color="auto" w:fill="auto"/>
            <w:vAlign w:val="center"/>
          </w:tcPr>
          <w:p w14:paraId="0E5D186F" w14:textId="5CD1C2BC" w:rsidR="003229B1" w:rsidRPr="003229B1" w:rsidRDefault="003229B1" w:rsidP="00D5580B">
            <w:pPr>
              <w:spacing w:after="0"/>
              <w:jc w:val="center"/>
              <w:rPr>
                <w:rFonts w:cs="Times New Roman"/>
                <w:b/>
                <w:sz w:val="20"/>
                <w:szCs w:val="20"/>
                <w:lang w:val="en-GB"/>
              </w:rPr>
            </w:pPr>
            <w:r w:rsidRPr="003229B1">
              <w:rPr>
                <w:rFonts w:cs="Times New Roman"/>
                <w:b/>
                <w:color w:val="000000"/>
                <w:sz w:val="20"/>
                <w:szCs w:val="20"/>
              </w:rPr>
              <w:t>Closures &amp; reserves</w:t>
            </w:r>
          </w:p>
        </w:tc>
        <w:tc>
          <w:tcPr>
            <w:tcW w:w="1417" w:type="dxa"/>
            <w:tcBorders>
              <w:bottom w:val="single" w:sz="4" w:space="0" w:color="auto"/>
            </w:tcBorders>
            <w:shd w:val="clear" w:color="auto" w:fill="auto"/>
            <w:vAlign w:val="center"/>
          </w:tcPr>
          <w:p w14:paraId="247F0DE0" w14:textId="76288394" w:rsidR="003229B1" w:rsidRPr="003229B1" w:rsidRDefault="003229B1" w:rsidP="00D5580B">
            <w:pPr>
              <w:spacing w:after="0"/>
              <w:jc w:val="center"/>
              <w:rPr>
                <w:rFonts w:cs="Times New Roman"/>
                <w:b/>
                <w:sz w:val="20"/>
                <w:szCs w:val="20"/>
                <w:lang w:val="en-GB"/>
              </w:rPr>
            </w:pPr>
            <w:r w:rsidRPr="003229B1">
              <w:rPr>
                <w:rFonts w:cs="Times New Roman"/>
                <w:b/>
                <w:color w:val="000000"/>
                <w:sz w:val="20"/>
                <w:szCs w:val="20"/>
              </w:rPr>
              <w:t>Other MPAs</w:t>
            </w:r>
          </w:p>
        </w:tc>
        <w:tc>
          <w:tcPr>
            <w:tcW w:w="1418" w:type="dxa"/>
            <w:tcBorders>
              <w:bottom w:val="single" w:sz="4" w:space="0" w:color="auto"/>
            </w:tcBorders>
            <w:shd w:val="clear" w:color="auto" w:fill="auto"/>
            <w:vAlign w:val="center"/>
          </w:tcPr>
          <w:p w14:paraId="39442304" w14:textId="0B4CCA71" w:rsidR="003229B1" w:rsidRPr="003229B1" w:rsidRDefault="003229B1" w:rsidP="00D5580B">
            <w:pPr>
              <w:spacing w:after="0"/>
              <w:jc w:val="center"/>
              <w:rPr>
                <w:rFonts w:cs="Times New Roman"/>
                <w:b/>
                <w:sz w:val="20"/>
                <w:szCs w:val="20"/>
                <w:lang w:val="en-GB"/>
              </w:rPr>
            </w:pPr>
            <w:r w:rsidRPr="003229B1">
              <w:rPr>
                <w:rFonts w:cs="Times New Roman"/>
                <w:b/>
                <w:color w:val="000000"/>
                <w:sz w:val="20"/>
                <w:szCs w:val="20"/>
              </w:rPr>
              <w:t>EBSAs</w:t>
            </w:r>
          </w:p>
        </w:tc>
      </w:tr>
      <w:tr w:rsidR="00705256" w:rsidRPr="003229B1" w14:paraId="69B51A7F" w14:textId="77777777" w:rsidTr="00E97904">
        <w:trPr>
          <w:trHeight w:hRule="exact" w:val="397"/>
          <w:jc w:val="center"/>
        </w:trPr>
        <w:tc>
          <w:tcPr>
            <w:tcW w:w="3681" w:type="dxa"/>
            <w:tcBorders>
              <w:top w:val="single" w:sz="4" w:space="0" w:color="auto"/>
            </w:tcBorders>
            <w:noWrap/>
            <w:vAlign w:val="center"/>
            <w:hideMark/>
          </w:tcPr>
          <w:p w14:paraId="4EB3F8C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Fracture zones</w:t>
            </w:r>
          </w:p>
        </w:tc>
        <w:tc>
          <w:tcPr>
            <w:tcW w:w="1984" w:type="dxa"/>
            <w:tcBorders>
              <w:top w:val="single" w:sz="4" w:space="0" w:color="auto"/>
            </w:tcBorders>
            <w:noWrap/>
            <w:vAlign w:val="center"/>
            <w:hideMark/>
          </w:tcPr>
          <w:p w14:paraId="695CE56E"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313 (0.99)</w:t>
            </w:r>
          </w:p>
        </w:tc>
        <w:tc>
          <w:tcPr>
            <w:tcW w:w="1134" w:type="dxa"/>
            <w:tcBorders>
              <w:top w:val="single" w:sz="4" w:space="0" w:color="auto"/>
            </w:tcBorders>
            <w:vAlign w:val="center"/>
          </w:tcPr>
          <w:p w14:paraId="2BDA8AB3"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60</w:t>
            </w:r>
          </w:p>
        </w:tc>
        <w:tc>
          <w:tcPr>
            <w:tcW w:w="1281" w:type="dxa"/>
            <w:tcBorders>
              <w:top w:val="single" w:sz="4" w:space="0" w:color="auto"/>
            </w:tcBorders>
            <w:noWrap/>
            <w:vAlign w:val="center"/>
            <w:hideMark/>
          </w:tcPr>
          <w:p w14:paraId="7A07B16B" w14:textId="21019C31" w:rsidR="00705256" w:rsidRPr="00705256" w:rsidRDefault="00705256" w:rsidP="00705256">
            <w:pPr>
              <w:jc w:val="center"/>
              <w:rPr>
                <w:rFonts w:eastAsia="Times New Roman" w:cs="Times New Roman"/>
                <w:color w:val="000000"/>
                <w:sz w:val="20"/>
                <w:szCs w:val="20"/>
                <w:lang w:val="en-GB" w:eastAsia="en-GB"/>
              </w:rPr>
            </w:pPr>
            <w:r w:rsidRPr="00705256">
              <w:rPr>
                <w:rFonts w:eastAsia="Times New Roman" w:cs="Times New Roman"/>
                <w:color w:val="000000"/>
                <w:sz w:val="20"/>
                <w:szCs w:val="20"/>
                <w:lang w:val="en-GB" w:eastAsia="en-GB"/>
              </w:rPr>
              <w:t>53.67</w:t>
            </w:r>
          </w:p>
        </w:tc>
        <w:tc>
          <w:tcPr>
            <w:tcW w:w="1554" w:type="dxa"/>
            <w:tcBorders>
              <w:top w:val="single" w:sz="4" w:space="0" w:color="auto"/>
              <w:right w:val="single" w:sz="4" w:space="0" w:color="auto"/>
            </w:tcBorders>
            <w:noWrap/>
            <w:vAlign w:val="center"/>
            <w:hideMark/>
          </w:tcPr>
          <w:p w14:paraId="142E3F26"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eastAsia="Times New Roman" w:cs="Times New Roman"/>
                <w:color w:val="000000"/>
                <w:sz w:val="20"/>
                <w:szCs w:val="20"/>
                <w:lang w:val="en-GB" w:eastAsia="en-GB"/>
              </w:rPr>
              <w:t>31.63</w:t>
            </w:r>
          </w:p>
        </w:tc>
        <w:tc>
          <w:tcPr>
            <w:tcW w:w="1560" w:type="dxa"/>
            <w:tcBorders>
              <w:top w:val="single" w:sz="4" w:space="0" w:color="auto"/>
              <w:left w:val="single" w:sz="4" w:space="0" w:color="auto"/>
            </w:tcBorders>
            <w:shd w:val="clear" w:color="auto" w:fill="auto"/>
          </w:tcPr>
          <w:p w14:paraId="4D395039" w14:textId="6DCB65E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11.78</w:t>
            </w:r>
          </w:p>
        </w:tc>
        <w:tc>
          <w:tcPr>
            <w:tcW w:w="1417" w:type="dxa"/>
            <w:tcBorders>
              <w:top w:val="single" w:sz="4" w:space="0" w:color="auto"/>
            </w:tcBorders>
            <w:shd w:val="clear" w:color="auto" w:fill="auto"/>
          </w:tcPr>
          <w:p w14:paraId="2AC7761F" w14:textId="581F6D1A"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2.14</w:t>
            </w:r>
          </w:p>
        </w:tc>
        <w:tc>
          <w:tcPr>
            <w:tcW w:w="1418" w:type="dxa"/>
            <w:tcBorders>
              <w:top w:val="single" w:sz="4" w:space="0" w:color="auto"/>
            </w:tcBorders>
            <w:shd w:val="clear" w:color="auto" w:fill="auto"/>
          </w:tcPr>
          <w:p w14:paraId="410B4DD1" w14:textId="7CCD60E3"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6.56</w:t>
            </w:r>
          </w:p>
        </w:tc>
      </w:tr>
      <w:tr w:rsidR="00705256" w:rsidRPr="003229B1" w14:paraId="74313B3F" w14:textId="77777777" w:rsidTr="00E97904">
        <w:trPr>
          <w:trHeight w:hRule="exact" w:val="652"/>
          <w:jc w:val="center"/>
        </w:trPr>
        <w:tc>
          <w:tcPr>
            <w:tcW w:w="3681" w:type="dxa"/>
            <w:noWrap/>
            <w:vAlign w:val="center"/>
            <w:hideMark/>
          </w:tcPr>
          <w:p w14:paraId="63C67697"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Canyons</w:t>
            </w:r>
          </w:p>
        </w:tc>
        <w:tc>
          <w:tcPr>
            <w:tcW w:w="1984" w:type="dxa"/>
            <w:noWrap/>
            <w:vAlign w:val="center"/>
            <w:hideMark/>
          </w:tcPr>
          <w:p w14:paraId="4FC073BE" w14:textId="77777777" w:rsidR="00705256" w:rsidRPr="00705256" w:rsidRDefault="00705256" w:rsidP="00705256">
            <w:pPr>
              <w:jc w:val="center"/>
              <w:rPr>
                <w:rFonts w:eastAsia="Times New Roman" w:cs="Times New Roman"/>
                <w:color w:val="000000"/>
                <w:sz w:val="20"/>
                <w:szCs w:val="20"/>
                <w:highlight w:val="yellow"/>
                <w:lang w:val="en-GB" w:eastAsia="en-GB"/>
              </w:rPr>
            </w:pPr>
            <w:r w:rsidRPr="00705256">
              <w:rPr>
                <w:rFonts w:cs="Times New Roman"/>
                <w:color w:val="000000"/>
                <w:sz w:val="20"/>
                <w:szCs w:val="20"/>
              </w:rPr>
              <w:t>30048km* in 1335 PUs (4.24)</w:t>
            </w:r>
          </w:p>
        </w:tc>
        <w:tc>
          <w:tcPr>
            <w:tcW w:w="1134" w:type="dxa"/>
            <w:vAlign w:val="center"/>
          </w:tcPr>
          <w:p w14:paraId="252527A7"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60</w:t>
            </w:r>
          </w:p>
        </w:tc>
        <w:tc>
          <w:tcPr>
            <w:tcW w:w="1281" w:type="dxa"/>
            <w:noWrap/>
            <w:vAlign w:val="center"/>
            <w:hideMark/>
          </w:tcPr>
          <w:p w14:paraId="1D6EED2A" w14:textId="694FF6FD" w:rsidR="00705256" w:rsidRPr="00705256" w:rsidRDefault="00705256" w:rsidP="00705256">
            <w:pPr>
              <w:jc w:val="center"/>
              <w:rPr>
                <w:rFonts w:eastAsia="Times New Roman" w:cs="Times New Roman"/>
                <w:color w:val="000000"/>
                <w:sz w:val="20"/>
                <w:szCs w:val="20"/>
                <w:lang w:val="en-GB" w:eastAsia="en-GB"/>
              </w:rPr>
            </w:pPr>
            <w:r w:rsidRPr="00705256">
              <w:rPr>
                <w:rFonts w:eastAsia="Times New Roman" w:cs="Times New Roman"/>
                <w:color w:val="000000"/>
                <w:sz w:val="20"/>
                <w:szCs w:val="20"/>
                <w:lang w:val="en-GB" w:eastAsia="en-GB"/>
              </w:rPr>
              <w:t>60.26*</w:t>
            </w:r>
          </w:p>
        </w:tc>
        <w:tc>
          <w:tcPr>
            <w:tcW w:w="1554" w:type="dxa"/>
            <w:tcBorders>
              <w:right w:val="single" w:sz="4" w:space="0" w:color="auto"/>
            </w:tcBorders>
            <w:noWrap/>
            <w:vAlign w:val="center"/>
            <w:hideMark/>
          </w:tcPr>
          <w:p w14:paraId="438D2047" w14:textId="0912080A" w:rsidR="00705256" w:rsidRPr="00705256" w:rsidRDefault="00705256" w:rsidP="00705256">
            <w:pPr>
              <w:jc w:val="center"/>
              <w:rPr>
                <w:rFonts w:eastAsia="Times New Roman" w:cs="Times New Roman"/>
                <w:color w:val="000000"/>
                <w:sz w:val="20"/>
                <w:szCs w:val="20"/>
                <w:lang w:val="en-GB" w:eastAsia="en-GB"/>
              </w:rPr>
            </w:pPr>
            <w:r w:rsidRPr="00705256">
              <w:rPr>
                <w:rFonts w:eastAsia="Times New Roman" w:cs="Times New Roman"/>
                <w:color w:val="000000"/>
                <w:sz w:val="20"/>
                <w:szCs w:val="20"/>
                <w:lang w:val="en-GB" w:eastAsia="en-GB"/>
              </w:rPr>
              <w:t>54.22*</w:t>
            </w:r>
          </w:p>
        </w:tc>
        <w:tc>
          <w:tcPr>
            <w:tcW w:w="1560" w:type="dxa"/>
            <w:tcBorders>
              <w:left w:val="single" w:sz="4" w:space="0" w:color="auto"/>
            </w:tcBorders>
            <w:shd w:val="clear" w:color="auto" w:fill="auto"/>
          </w:tcPr>
          <w:p w14:paraId="181C0A3A" w14:textId="4543B2B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7.15*</w:t>
            </w:r>
          </w:p>
        </w:tc>
        <w:tc>
          <w:tcPr>
            <w:tcW w:w="1417" w:type="dxa"/>
            <w:shd w:val="clear" w:color="auto" w:fill="auto"/>
          </w:tcPr>
          <w:p w14:paraId="06C12306" w14:textId="66FFB543"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22.04*</w:t>
            </w:r>
          </w:p>
        </w:tc>
        <w:tc>
          <w:tcPr>
            <w:tcW w:w="1418" w:type="dxa"/>
            <w:shd w:val="clear" w:color="auto" w:fill="auto"/>
          </w:tcPr>
          <w:p w14:paraId="3A694963" w14:textId="644FDDE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8.85*</w:t>
            </w:r>
          </w:p>
        </w:tc>
      </w:tr>
      <w:tr w:rsidR="00705256" w:rsidRPr="003229B1" w14:paraId="6AB5DDE3" w14:textId="77777777" w:rsidTr="00E97904">
        <w:trPr>
          <w:trHeight w:hRule="exact" w:val="397"/>
          <w:jc w:val="center"/>
        </w:trPr>
        <w:tc>
          <w:tcPr>
            <w:tcW w:w="3681" w:type="dxa"/>
            <w:noWrap/>
            <w:vAlign w:val="center"/>
            <w:hideMark/>
          </w:tcPr>
          <w:p w14:paraId="1FBAC963"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Seamounts</w:t>
            </w:r>
          </w:p>
        </w:tc>
        <w:tc>
          <w:tcPr>
            <w:tcW w:w="1984" w:type="dxa"/>
            <w:noWrap/>
            <w:vAlign w:val="center"/>
            <w:hideMark/>
          </w:tcPr>
          <w:p w14:paraId="5BCCAB36"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1561 (4.95)</w:t>
            </w:r>
          </w:p>
        </w:tc>
        <w:tc>
          <w:tcPr>
            <w:tcW w:w="1134" w:type="dxa"/>
            <w:vAlign w:val="center"/>
          </w:tcPr>
          <w:p w14:paraId="55D1250F"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60</w:t>
            </w:r>
          </w:p>
        </w:tc>
        <w:tc>
          <w:tcPr>
            <w:tcW w:w="1281" w:type="dxa"/>
            <w:noWrap/>
            <w:hideMark/>
          </w:tcPr>
          <w:p w14:paraId="5387A69C" w14:textId="73C4F79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64.51</w:t>
            </w:r>
          </w:p>
        </w:tc>
        <w:tc>
          <w:tcPr>
            <w:tcW w:w="1554" w:type="dxa"/>
            <w:tcBorders>
              <w:right w:val="single" w:sz="4" w:space="0" w:color="auto"/>
            </w:tcBorders>
            <w:noWrap/>
            <w:hideMark/>
          </w:tcPr>
          <w:p w14:paraId="160F99AC" w14:textId="600F533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32.48</w:t>
            </w:r>
          </w:p>
        </w:tc>
        <w:tc>
          <w:tcPr>
            <w:tcW w:w="1560" w:type="dxa"/>
            <w:tcBorders>
              <w:left w:val="single" w:sz="4" w:space="0" w:color="auto"/>
            </w:tcBorders>
            <w:shd w:val="clear" w:color="auto" w:fill="auto"/>
          </w:tcPr>
          <w:p w14:paraId="6F871DA5" w14:textId="025117C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9.66</w:t>
            </w:r>
          </w:p>
        </w:tc>
        <w:tc>
          <w:tcPr>
            <w:tcW w:w="1417" w:type="dxa"/>
            <w:shd w:val="clear" w:color="auto" w:fill="auto"/>
          </w:tcPr>
          <w:p w14:paraId="2D892BB1" w14:textId="6D415F1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7.98</w:t>
            </w:r>
          </w:p>
        </w:tc>
        <w:tc>
          <w:tcPr>
            <w:tcW w:w="1418" w:type="dxa"/>
            <w:shd w:val="clear" w:color="auto" w:fill="auto"/>
          </w:tcPr>
          <w:p w14:paraId="025DFCBF" w14:textId="3DB27DBA"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11.88</w:t>
            </w:r>
          </w:p>
        </w:tc>
      </w:tr>
      <w:tr w:rsidR="00705256" w:rsidRPr="003229B1" w14:paraId="65271B8A" w14:textId="77777777" w:rsidTr="00E97904">
        <w:trPr>
          <w:trHeight w:hRule="exact" w:val="397"/>
          <w:jc w:val="center"/>
        </w:trPr>
        <w:tc>
          <w:tcPr>
            <w:tcW w:w="3681" w:type="dxa"/>
            <w:noWrap/>
            <w:vAlign w:val="center"/>
            <w:hideMark/>
          </w:tcPr>
          <w:p w14:paraId="5E0E37A4"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Unequivocal VMEs</w:t>
            </w:r>
          </w:p>
        </w:tc>
        <w:tc>
          <w:tcPr>
            <w:tcW w:w="1984" w:type="dxa"/>
            <w:noWrap/>
            <w:vAlign w:val="center"/>
            <w:hideMark/>
          </w:tcPr>
          <w:p w14:paraId="627967D1"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953 (3.02)</w:t>
            </w:r>
          </w:p>
        </w:tc>
        <w:tc>
          <w:tcPr>
            <w:tcW w:w="1134" w:type="dxa"/>
            <w:vAlign w:val="center"/>
          </w:tcPr>
          <w:p w14:paraId="6690A393"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60</w:t>
            </w:r>
          </w:p>
        </w:tc>
        <w:tc>
          <w:tcPr>
            <w:tcW w:w="1281" w:type="dxa"/>
            <w:noWrap/>
            <w:hideMark/>
          </w:tcPr>
          <w:p w14:paraId="55E038C2" w14:textId="535308F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64.22</w:t>
            </w:r>
          </w:p>
        </w:tc>
        <w:tc>
          <w:tcPr>
            <w:tcW w:w="1554" w:type="dxa"/>
            <w:tcBorders>
              <w:right w:val="single" w:sz="4" w:space="0" w:color="auto"/>
            </w:tcBorders>
            <w:noWrap/>
            <w:hideMark/>
          </w:tcPr>
          <w:p w14:paraId="15EE5C12" w14:textId="3CE50C1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44.7</w:t>
            </w:r>
          </w:p>
        </w:tc>
        <w:tc>
          <w:tcPr>
            <w:tcW w:w="1560" w:type="dxa"/>
            <w:tcBorders>
              <w:left w:val="single" w:sz="4" w:space="0" w:color="auto"/>
            </w:tcBorders>
            <w:shd w:val="clear" w:color="auto" w:fill="auto"/>
          </w:tcPr>
          <w:p w14:paraId="744EE019" w14:textId="18B7823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15.61</w:t>
            </w:r>
          </w:p>
        </w:tc>
        <w:tc>
          <w:tcPr>
            <w:tcW w:w="1417" w:type="dxa"/>
            <w:shd w:val="clear" w:color="auto" w:fill="auto"/>
          </w:tcPr>
          <w:p w14:paraId="10F81CD1" w14:textId="6440DAA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7.26</w:t>
            </w:r>
          </w:p>
        </w:tc>
        <w:tc>
          <w:tcPr>
            <w:tcW w:w="1418" w:type="dxa"/>
            <w:shd w:val="clear" w:color="auto" w:fill="auto"/>
          </w:tcPr>
          <w:p w14:paraId="1976299D" w14:textId="7CE23DC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3.3</w:t>
            </w:r>
          </w:p>
        </w:tc>
      </w:tr>
      <w:tr w:rsidR="00705256" w:rsidRPr="003229B1" w14:paraId="084E2A99" w14:textId="77777777" w:rsidTr="00E97904">
        <w:trPr>
          <w:trHeight w:hRule="exact" w:val="397"/>
          <w:jc w:val="center"/>
        </w:trPr>
        <w:tc>
          <w:tcPr>
            <w:tcW w:w="3681" w:type="dxa"/>
            <w:noWrap/>
            <w:vAlign w:val="center"/>
            <w:hideMark/>
          </w:tcPr>
          <w:p w14:paraId="28585D1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VME index low</w:t>
            </w:r>
          </w:p>
        </w:tc>
        <w:tc>
          <w:tcPr>
            <w:tcW w:w="1984" w:type="dxa"/>
            <w:noWrap/>
            <w:vAlign w:val="center"/>
            <w:hideMark/>
          </w:tcPr>
          <w:p w14:paraId="60F91586"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1777 (5.64)</w:t>
            </w:r>
          </w:p>
        </w:tc>
        <w:tc>
          <w:tcPr>
            <w:tcW w:w="1134" w:type="dxa"/>
            <w:vAlign w:val="center"/>
          </w:tcPr>
          <w:p w14:paraId="4EBB9669"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15</w:t>
            </w:r>
          </w:p>
        </w:tc>
        <w:tc>
          <w:tcPr>
            <w:tcW w:w="1281" w:type="dxa"/>
            <w:noWrap/>
            <w:hideMark/>
          </w:tcPr>
          <w:p w14:paraId="0D862718" w14:textId="2BD592F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28.53</w:t>
            </w:r>
          </w:p>
        </w:tc>
        <w:tc>
          <w:tcPr>
            <w:tcW w:w="1554" w:type="dxa"/>
            <w:tcBorders>
              <w:right w:val="single" w:sz="4" w:space="0" w:color="auto"/>
            </w:tcBorders>
            <w:noWrap/>
            <w:hideMark/>
          </w:tcPr>
          <w:p w14:paraId="6E967B3D" w14:textId="2C21EBC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9.23</w:t>
            </w:r>
          </w:p>
        </w:tc>
        <w:tc>
          <w:tcPr>
            <w:tcW w:w="1560" w:type="dxa"/>
            <w:tcBorders>
              <w:left w:val="single" w:sz="4" w:space="0" w:color="auto"/>
            </w:tcBorders>
            <w:shd w:val="clear" w:color="auto" w:fill="auto"/>
          </w:tcPr>
          <w:p w14:paraId="1E02C3DB" w14:textId="5442E80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5.43</w:t>
            </w:r>
          </w:p>
        </w:tc>
        <w:tc>
          <w:tcPr>
            <w:tcW w:w="1417" w:type="dxa"/>
            <w:shd w:val="clear" w:color="auto" w:fill="auto"/>
          </w:tcPr>
          <w:p w14:paraId="6B20633A" w14:textId="30427E0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15.11</w:t>
            </w:r>
          </w:p>
        </w:tc>
        <w:tc>
          <w:tcPr>
            <w:tcW w:w="1418" w:type="dxa"/>
            <w:shd w:val="clear" w:color="auto" w:fill="auto"/>
          </w:tcPr>
          <w:p w14:paraId="548B8A86" w14:textId="0AB3AD4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2.43</w:t>
            </w:r>
          </w:p>
        </w:tc>
      </w:tr>
      <w:tr w:rsidR="00705256" w:rsidRPr="003229B1" w14:paraId="0B4C5310" w14:textId="77777777" w:rsidTr="00E97904">
        <w:trPr>
          <w:trHeight w:hRule="exact" w:val="397"/>
          <w:jc w:val="center"/>
        </w:trPr>
        <w:tc>
          <w:tcPr>
            <w:tcW w:w="3681" w:type="dxa"/>
            <w:noWrap/>
            <w:vAlign w:val="center"/>
            <w:hideMark/>
          </w:tcPr>
          <w:p w14:paraId="39C4E2FC"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VME index mid</w:t>
            </w:r>
          </w:p>
        </w:tc>
        <w:tc>
          <w:tcPr>
            <w:tcW w:w="1984" w:type="dxa"/>
            <w:noWrap/>
            <w:vAlign w:val="center"/>
            <w:hideMark/>
          </w:tcPr>
          <w:p w14:paraId="5144A840"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1029 (3.26)</w:t>
            </w:r>
          </w:p>
        </w:tc>
        <w:tc>
          <w:tcPr>
            <w:tcW w:w="1134" w:type="dxa"/>
            <w:vAlign w:val="center"/>
          </w:tcPr>
          <w:p w14:paraId="51F77CC2"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1E7A12B1" w14:textId="6548E31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33.04</w:t>
            </w:r>
          </w:p>
        </w:tc>
        <w:tc>
          <w:tcPr>
            <w:tcW w:w="1554" w:type="dxa"/>
            <w:tcBorders>
              <w:right w:val="single" w:sz="4" w:space="0" w:color="auto"/>
            </w:tcBorders>
            <w:noWrap/>
            <w:hideMark/>
          </w:tcPr>
          <w:p w14:paraId="4C2BDF93" w14:textId="60082C9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20.31</w:t>
            </w:r>
          </w:p>
        </w:tc>
        <w:tc>
          <w:tcPr>
            <w:tcW w:w="1560" w:type="dxa"/>
            <w:tcBorders>
              <w:left w:val="single" w:sz="4" w:space="0" w:color="auto"/>
            </w:tcBorders>
            <w:shd w:val="clear" w:color="auto" w:fill="auto"/>
          </w:tcPr>
          <w:p w14:paraId="4A2CEAFC" w14:textId="50A1C20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8.1</w:t>
            </w:r>
          </w:p>
        </w:tc>
        <w:tc>
          <w:tcPr>
            <w:tcW w:w="1417" w:type="dxa"/>
            <w:shd w:val="clear" w:color="auto" w:fill="auto"/>
          </w:tcPr>
          <w:p w14:paraId="383FA48F" w14:textId="21BD10B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20.96</w:t>
            </w:r>
          </w:p>
        </w:tc>
        <w:tc>
          <w:tcPr>
            <w:tcW w:w="1418" w:type="dxa"/>
            <w:shd w:val="clear" w:color="auto" w:fill="auto"/>
          </w:tcPr>
          <w:p w14:paraId="7C98C1B6" w14:textId="6FF2E80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4.12</w:t>
            </w:r>
          </w:p>
        </w:tc>
      </w:tr>
      <w:tr w:rsidR="00705256" w:rsidRPr="003229B1" w14:paraId="3F9D9449" w14:textId="77777777" w:rsidTr="00E97904">
        <w:trPr>
          <w:trHeight w:hRule="exact" w:val="397"/>
          <w:jc w:val="center"/>
        </w:trPr>
        <w:tc>
          <w:tcPr>
            <w:tcW w:w="3681" w:type="dxa"/>
            <w:noWrap/>
            <w:vAlign w:val="center"/>
            <w:hideMark/>
          </w:tcPr>
          <w:p w14:paraId="0A1B4EA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VME index high</w:t>
            </w:r>
          </w:p>
        </w:tc>
        <w:tc>
          <w:tcPr>
            <w:tcW w:w="1984" w:type="dxa"/>
            <w:noWrap/>
            <w:vAlign w:val="center"/>
            <w:hideMark/>
          </w:tcPr>
          <w:p w14:paraId="54A60FB9"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584 (1.85)</w:t>
            </w:r>
          </w:p>
        </w:tc>
        <w:tc>
          <w:tcPr>
            <w:tcW w:w="1134" w:type="dxa"/>
            <w:vAlign w:val="center"/>
          </w:tcPr>
          <w:p w14:paraId="01B613FD"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412973FA" w14:textId="088A46D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45.89</w:t>
            </w:r>
          </w:p>
        </w:tc>
        <w:tc>
          <w:tcPr>
            <w:tcW w:w="1554" w:type="dxa"/>
            <w:tcBorders>
              <w:right w:val="single" w:sz="4" w:space="0" w:color="auto"/>
            </w:tcBorders>
            <w:noWrap/>
            <w:hideMark/>
          </w:tcPr>
          <w:p w14:paraId="6E5317F5" w14:textId="1E86665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31.85</w:t>
            </w:r>
          </w:p>
        </w:tc>
        <w:tc>
          <w:tcPr>
            <w:tcW w:w="1560" w:type="dxa"/>
            <w:tcBorders>
              <w:left w:val="single" w:sz="4" w:space="0" w:color="auto"/>
            </w:tcBorders>
            <w:shd w:val="clear" w:color="auto" w:fill="auto"/>
          </w:tcPr>
          <w:p w14:paraId="04CB168E" w14:textId="599B057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16.54</w:t>
            </w:r>
          </w:p>
        </w:tc>
        <w:tc>
          <w:tcPr>
            <w:tcW w:w="1417" w:type="dxa"/>
            <w:shd w:val="clear" w:color="auto" w:fill="auto"/>
          </w:tcPr>
          <w:p w14:paraId="7E2D057F" w14:textId="4D16807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23.3</w:t>
            </w:r>
          </w:p>
        </w:tc>
        <w:tc>
          <w:tcPr>
            <w:tcW w:w="1418" w:type="dxa"/>
            <w:shd w:val="clear" w:color="auto" w:fill="auto"/>
          </w:tcPr>
          <w:p w14:paraId="2038D705" w14:textId="34EF697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2.23</w:t>
            </w:r>
          </w:p>
        </w:tc>
      </w:tr>
      <w:tr w:rsidR="00705256" w:rsidRPr="001528A9" w14:paraId="119F64E8" w14:textId="77777777" w:rsidTr="00E97904">
        <w:trPr>
          <w:trHeight w:hRule="exact" w:val="397"/>
          <w:jc w:val="center"/>
        </w:trPr>
        <w:tc>
          <w:tcPr>
            <w:tcW w:w="3681" w:type="dxa"/>
            <w:noWrap/>
            <w:vAlign w:val="center"/>
            <w:hideMark/>
          </w:tcPr>
          <w:p w14:paraId="1B4E9A93"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A</w:t>
            </w:r>
            <w:r w:rsidRPr="001528A9">
              <w:rPr>
                <w:rFonts w:eastAsia="Times New Roman" w:cs="Times New Roman"/>
                <w:i/>
                <w:color w:val="000000"/>
                <w:sz w:val="20"/>
                <w:szCs w:val="20"/>
                <w:lang w:val="en-GB" w:eastAsia="en-GB"/>
              </w:rPr>
              <w:t>canella arbuscula</w:t>
            </w:r>
          </w:p>
        </w:tc>
        <w:tc>
          <w:tcPr>
            <w:tcW w:w="1984" w:type="dxa"/>
            <w:noWrap/>
            <w:vAlign w:val="center"/>
            <w:hideMark/>
          </w:tcPr>
          <w:p w14:paraId="318CBC04"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2321 (7.36)</w:t>
            </w:r>
          </w:p>
        </w:tc>
        <w:tc>
          <w:tcPr>
            <w:tcW w:w="1134" w:type="dxa"/>
            <w:vAlign w:val="center"/>
          </w:tcPr>
          <w:p w14:paraId="7F15AB48"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70</w:t>
            </w:r>
          </w:p>
        </w:tc>
        <w:tc>
          <w:tcPr>
            <w:tcW w:w="1281" w:type="dxa"/>
            <w:noWrap/>
            <w:hideMark/>
          </w:tcPr>
          <w:p w14:paraId="7D58F472" w14:textId="41830735"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72.21</w:t>
            </w:r>
          </w:p>
        </w:tc>
        <w:tc>
          <w:tcPr>
            <w:tcW w:w="1554" w:type="dxa"/>
            <w:tcBorders>
              <w:right w:val="single" w:sz="4" w:space="0" w:color="auto"/>
            </w:tcBorders>
            <w:noWrap/>
            <w:hideMark/>
          </w:tcPr>
          <w:p w14:paraId="58A6AD07" w14:textId="00E9A77B"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53.81</w:t>
            </w:r>
          </w:p>
        </w:tc>
        <w:tc>
          <w:tcPr>
            <w:tcW w:w="1560" w:type="dxa"/>
            <w:tcBorders>
              <w:left w:val="single" w:sz="4" w:space="0" w:color="auto"/>
            </w:tcBorders>
            <w:shd w:val="clear" w:color="auto" w:fill="auto"/>
          </w:tcPr>
          <w:p w14:paraId="0D48C9E0" w14:textId="625BDF1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5.17</w:t>
            </w:r>
          </w:p>
        </w:tc>
        <w:tc>
          <w:tcPr>
            <w:tcW w:w="1417" w:type="dxa"/>
            <w:shd w:val="clear" w:color="auto" w:fill="auto"/>
          </w:tcPr>
          <w:p w14:paraId="3C75522B" w14:textId="44267FFB"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9.66</w:t>
            </w:r>
          </w:p>
        </w:tc>
        <w:tc>
          <w:tcPr>
            <w:tcW w:w="1418" w:type="dxa"/>
            <w:shd w:val="clear" w:color="auto" w:fill="auto"/>
          </w:tcPr>
          <w:p w14:paraId="7BDE1382" w14:textId="2455714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6.93</w:t>
            </w:r>
          </w:p>
        </w:tc>
      </w:tr>
      <w:tr w:rsidR="00705256" w:rsidRPr="001528A9" w14:paraId="15F21014" w14:textId="77777777" w:rsidTr="00E97904">
        <w:trPr>
          <w:trHeight w:hRule="exact" w:val="397"/>
          <w:jc w:val="center"/>
        </w:trPr>
        <w:tc>
          <w:tcPr>
            <w:tcW w:w="3681" w:type="dxa"/>
            <w:noWrap/>
            <w:vAlign w:val="center"/>
            <w:hideMark/>
          </w:tcPr>
          <w:p w14:paraId="2AEEC35E"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Acanthogorgia armata</w:t>
            </w:r>
          </w:p>
        </w:tc>
        <w:tc>
          <w:tcPr>
            <w:tcW w:w="1984" w:type="dxa"/>
            <w:noWrap/>
            <w:vAlign w:val="center"/>
            <w:hideMark/>
          </w:tcPr>
          <w:p w14:paraId="24C9B1A3"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865 (2.74)</w:t>
            </w:r>
          </w:p>
        </w:tc>
        <w:tc>
          <w:tcPr>
            <w:tcW w:w="1134" w:type="dxa"/>
            <w:vAlign w:val="center"/>
          </w:tcPr>
          <w:p w14:paraId="68B06E70"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80</w:t>
            </w:r>
          </w:p>
        </w:tc>
        <w:tc>
          <w:tcPr>
            <w:tcW w:w="1281" w:type="dxa"/>
            <w:noWrap/>
            <w:hideMark/>
          </w:tcPr>
          <w:p w14:paraId="5389AFAE" w14:textId="6D36039A"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83.93</w:t>
            </w:r>
          </w:p>
        </w:tc>
        <w:tc>
          <w:tcPr>
            <w:tcW w:w="1554" w:type="dxa"/>
            <w:tcBorders>
              <w:right w:val="single" w:sz="4" w:space="0" w:color="auto"/>
            </w:tcBorders>
            <w:noWrap/>
            <w:hideMark/>
          </w:tcPr>
          <w:p w14:paraId="64257CC0" w14:textId="6613653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71.56</w:t>
            </w:r>
          </w:p>
        </w:tc>
        <w:tc>
          <w:tcPr>
            <w:tcW w:w="1560" w:type="dxa"/>
            <w:tcBorders>
              <w:left w:val="single" w:sz="4" w:space="0" w:color="auto"/>
            </w:tcBorders>
            <w:shd w:val="clear" w:color="auto" w:fill="auto"/>
          </w:tcPr>
          <w:p w14:paraId="0D2FCA17" w14:textId="52566365"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4.06</w:t>
            </w:r>
          </w:p>
        </w:tc>
        <w:tc>
          <w:tcPr>
            <w:tcW w:w="1417" w:type="dxa"/>
            <w:shd w:val="clear" w:color="auto" w:fill="auto"/>
          </w:tcPr>
          <w:p w14:paraId="7D687CE3" w14:textId="2868B11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16.58</w:t>
            </w:r>
          </w:p>
        </w:tc>
        <w:tc>
          <w:tcPr>
            <w:tcW w:w="1418" w:type="dxa"/>
            <w:shd w:val="clear" w:color="auto" w:fill="auto"/>
          </w:tcPr>
          <w:p w14:paraId="2C8C1AEF" w14:textId="5DA96D63"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1.79</w:t>
            </w:r>
          </w:p>
        </w:tc>
      </w:tr>
      <w:tr w:rsidR="00705256" w:rsidRPr="001528A9" w14:paraId="08D9A04C" w14:textId="77777777" w:rsidTr="00E97904">
        <w:trPr>
          <w:trHeight w:hRule="exact" w:val="397"/>
          <w:jc w:val="center"/>
        </w:trPr>
        <w:tc>
          <w:tcPr>
            <w:tcW w:w="3681" w:type="dxa"/>
            <w:noWrap/>
            <w:vAlign w:val="center"/>
            <w:hideMark/>
          </w:tcPr>
          <w:p w14:paraId="025F8D29"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Desmo</w:t>
            </w:r>
            <w:r w:rsidRPr="001528A9">
              <w:rPr>
                <w:rFonts w:eastAsia="Times New Roman" w:cs="Times New Roman"/>
                <w:i/>
                <w:color w:val="000000"/>
                <w:sz w:val="20"/>
                <w:szCs w:val="20"/>
                <w:lang w:val="en-GB" w:eastAsia="en-GB"/>
              </w:rPr>
              <w:t>phyllum dianthus</w:t>
            </w:r>
          </w:p>
        </w:tc>
        <w:tc>
          <w:tcPr>
            <w:tcW w:w="1984" w:type="dxa"/>
            <w:noWrap/>
            <w:vAlign w:val="center"/>
            <w:hideMark/>
          </w:tcPr>
          <w:p w14:paraId="26B712B9"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6775 (21.5)</w:t>
            </w:r>
          </w:p>
        </w:tc>
        <w:tc>
          <w:tcPr>
            <w:tcW w:w="1134" w:type="dxa"/>
            <w:vAlign w:val="center"/>
          </w:tcPr>
          <w:p w14:paraId="5855F8DB"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30</w:t>
            </w:r>
          </w:p>
        </w:tc>
        <w:tc>
          <w:tcPr>
            <w:tcW w:w="1281" w:type="dxa"/>
            <w:noWrap/>
            <w:hideMark/>
          </w:tcPr>
          <w:p w14:paraId="7538DC7F" w14:textId="2ED941B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32.01</w:t>
            </w:r>
          </w:p>
        </w:tc>
        <w:tc>
          <w:tcPr>
            <w:tcW w:w="1554" w:type="dxa"/>
            <w:tcBorders>
              <w:right w:val="single" w:sz="4" w:space="0" w:color="auto"/>
            </w:tcBorders>
            <w:noWrap/>
            <w:hideMark/>
          </w:tcPr>
          <w:p w14:paraId="216FE668" w14:textId="6EC891CE"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20.34</w:t>
            </w:r>
          </w:p>
        </w:tc>
        <w:tc>
          <w:tcPr>
            <w:tcW w:w="1560" w:type="dxa"/>
            <w:tcBorders>
              <w:left w:val="single" w:sz="4" w:space="0" w:color="auto"/>
            </w:tcBorders>
            <w:shd w:val="clear" w:color="auto" w:fill="auto"/>
          </w:tcPr>
          <w:p w14:paraId="5CE6D768" w14:textId="63F50D3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8.19</w:t>
            </w:r>
          </w:p>
        </w:tc>
        <w:tc>
          <w:tcPr>
            <w:tcW w:w="1417" w:type="dxa"/>
            <w:shd w:val="clear" w:color="auto" w:fill="auto"/>
          </w:tcPr>
          <w:p w14:paraId="1EE29064" w14:textId="74ED625C"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10.02</w:t>
            </w:r>
          </w:p>
        </w:tc>
        <w:tc>
          <w:tcPr>
            <w:tcW w:w="1418" w:type="dxa"/>
            <w:shd w:val="clear" w:color="auto" w:fill="auto"/>
          </w:tcPr>
          <w:p w14:paraId="74CA1D79" w14:textId="0593B76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8.48</w:t>
            </w:r>
          </w:p>
        </w:tc>
      </w:tr>
      <w:tr w:rsidR="00705256" w:rsidRPr="001528A9" w14:paraId="79C53A5A" w14:textId="77777777" w:rsidTr="00E97904">
        <w:trPr>
          <w:trHeight w:hRule="exact" w:val="397"/>
          <w:jc w:val="center"/>
        </w:trPr>
        <w:tc>
          <w:tcPr>
            <w:tcW w:w="3681" w:type="dxa"/>
            <w:noWrap/>
            <w:vAlign w:val="center"/>
            <w:hideMark/>
          </w:tcPr>
          <w:p w14:paraId="1FE74879"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Lophelia pertusa</w:t>
            </w:r>
          </w:p>
        </w:tc>
        <w:tc>
          <w:tcPr>
            <w:tcW w:w="1984" w:type="dxa"/>
            <w:noWrap/>
            <w:vAlign w:val="center"/>
            <w:hideMark/>
          </w:tcPr>
          <w:p w14:paraId="06D3FAAA"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2084 (6.61)</w:t>
            </w:r>
          </w:p>
        </w:tc>
        <w:tc>
          <w:tcPr>
            <w:tcW w:w="1134" w:type="dxa"/>
            <w:vAlign w:val="center"/>
          </w:tcPr>
          <w:p w14:paraId="0D4401C9"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70</w:t>
            </w:r>
          </w:p>
        </w:tc>
        <w:tc>
          <w:tcPr>
            <w:tcW w:w="1281" w:type="dxa"/>
            <w:noWrap/>
            <w:hideMark/>
          </w:tcPr>
          <w:p w14:paraId="05052E13" w14:textId="28E1C88B"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74.42</w:t>
            </w:r>
          </w:p>
        </w:tc>
        <w:tc>
          <w:tcPr>
            <w:tcW w:w="1554" w:type="dxa"/>
            <w:tcBorders>
              <w:right w:val="single" w:sz="4" w:space="0" w:color="auto"/>
            </w:tcBorders>
            <w:noWrap/>
            <w:hideMark/>
          </w:tcPr>
          <w:p w14:paraId="32C54F44" w14:textId="39FE349F"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50.43</w:t>
            </w:r>
          </w:p>
        </w:tc>
        <w:tc>
          <w:tcPr>
            <w:tcW w:w="1560" w:type="dxa"/>
            <w:tcBorders>
              <w:left w:val="single" w:sz="4" w:space="0" w:color="auto"/>
            </w:tcBorders>
            <w:shd w:val="clear" w:color="auto" w:fill="auto"/>
          </w:tcPr>
          <w:p w14:paraId="567EBEAA" w14:textId="3158DF40"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5.64</w:t>
            </w:r>
          </w:p>
        </w:tc>
        <w:tc>
          <w:tcPr>
            <w:tcW w:w="1417" w:type="dxa"/>
            <w:shd w:val="clear" w:color="auto" w:fill="auto"/>
          </w:tcPr>
          <w:p w14:paraId="57656D3A" w14:textId="1A2451E0"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14.31</w:t>
            </w:r>
          </w:p>
        </w:tc>
        <w:tc>
          <w:tcPr>
            <w:tcW w:w="1418" w:type="dxa"/>
            <w:shd w:val="clear" w:color="auto" w:fill="auto"/>
          </w:tcPr>
          <w:p w14:paraId="691C325E" w14:textId="1C57CB8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11.57</w:t>
            </w:r>
          </w:p>
        </w:tc>
      </w:tr>
      <w:tr w:rsidR="00705256" w:rsidRPr="001528A9" w14:paraId="22B80E54" w14:textId="77777777" w:rsidTr="00E97904">
        <w:trPr>
          <w:trHeight w:hRule="exact" w:val="397"/>
          <w:jc w:val="center"/>
        </w:trPr>
        <w:tc>
          <w:tcPr>
            <w:tcW w:w="3681" w:type="dxa"/>
            <w:noWrap/>
            <w:vAlign w:val="center"/>
            <w:hideMark/>
          </w:tcPr>
          <w:p w14:paraId="1E5C98B7"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Madrep</w:t>
            </w:r>
            <w:r w:rsidRPr="001528A9">
              <w:rPr>
                <w:rFonts w:eastAsia="Times New Roman" w:cs="Times New Roman"/>
                <w:i/>
                <w:color w:val="000000"/>
                <w:sz w:val="20"/>
                <w:szCs w:val="20"/>
                <w:lang w:val="en-GB" w:eastAsia="en-GB"/>
              </w:rPr>
              <w:t>ora oculata</w:t>
            </w:r>
          </w:p>
        </w:tc>
        <w:tc>
          <w:tcPr>
            <w:tcW w:w="1984" w:type="dxa"/>
            <w:noWrap/>
            <w:vAlign w:val="center"/>
            <w:hideMark/>
          </w:tcPr>
          <w:p w14:paraId="615B6E6F"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4878 (15.48)</w:t>
            </w:r>
          </w:p>
        </w:tc>
        <w:tc>
          <w:tcPr>
            <w:tcW w:w="1134" w:type="dxa"/>
            <w:vAlign w:val="center"/>
          </w:tcPr>
          <w:p w14:paraId="0BA87CE2"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30</w:t>
            </w:r>
          </w:p>
        </w:tc>
        <w:tc>
          <w:tcPr>
            <w:tcW w:w="1281" w:type="dxa"/>
            <w:noWrap/>
            <w:hideMark/>
          </w:tcPr>
          <w:p w14:paraId="59CB946F" w14:textId="78265244"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36.88</w:t>
            </w:r>
          </w:p>
        </w:tc>
        <w:tc>
          <w:tcPr>
            <w:tcW w:w="1554" w:type="dxa"/>
            <w:tcBorders>
              <w:right w:val="single" w:sz="4" w:space="0" w:color="auto"/>
            </w:tcBorders>
            <w:noWrap/>
            <w:hideMark/>
          </w:tcPr>
          <w:p w14:paraId="720A5836" w14:textId="6B30A654"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23.35</w:t>
            </w:r>
          </w:p>
        </w:tc>
        <w:tc>
          <w:tcPr>
            <w:tcW w:w="1560" w:type="dxa"/>
            <w:tcBorders>
              <w:left w:val="single" w:sz="4" w:space="0" w:color="auto"/>
            </w:tcBorders>
            <w:shd w:val="clear" w:color="auto" w:fill="auto"/>
          </w:tcPr>
          <w:p w14:paraId="11E7136B" w14:textId="7EE99BC1"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7.66</w:t>
            </w:r>
          </w:p>
        </w:tc>
        <w:tc>
          <w:tcPr>
            <w:tcW w:w="1417" w:type="dxa"/>
            <w:shd w:val="clear" w:color="auto" w:fill="auto"/>
          </w:tcPr>
          <w:p w14:paraId="68E0B6D3" w14:textId="2205401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12.01</w:t>
            </w:r>
          </w:p>
        </w:tc>
        <w:tc>
          <w:tcPr>
            <w:tcW w:w="1418" w:type="dxa"/>
            <w:shd w:val="clear" w:color="auto" w:fill="auto"/>
          </w:tcPr>
          <w:p w14:paraId="0FD2BD62" w14:textId="6C7B8BC3"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7.98</w:t>
            </w:r>
          </w:p>
        </w:tc>
      </w:tr>
      <w:tr w:rsidR="00705256" w:rsidRPr="001528A9" w14:paraId="130C7A99" w14:textId="77777777" w:rsidTr="00E97904">
        <w:trPr>
          <w:trHeight w:hRule="exact" w:val="397"/>
          <w:jc w:val="center"/>
        </w:trPr>
        <w:tc>
          <w:tcPr>
            <w:tcW w:w="3681" w:type="dxa"/>
            <w:noWrap/>
            <w:vAlign w:val="center"/>
            <w:hideMark/>
          </w:tcPr>
          <w:p w14:paraId="0A0A6910"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Paragorgia arborea</w:t>
            </w:r>
          </w:p>
        </w:tc>
        <w:tc>
          <w:tcPr>
            <w:tcW w:w="1984" w:type="dxa"/>
            <w:noWrap/>
            <w:vAlign w:val="center"/>
            <w:hideMark/>
          </w:tcPr>
          <w:p w14:paraId="4C6D354C"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1 (0)</w:t>
            </w:r>
          </w:p>
        </w:tc>
        <w:tc>
          <w:tcPr>
            <w:tcW w:w="1134" w:type="dxa"/>
            <w:vAlign w:val="center"/>
          </w:tcPr>
          <w:p w14:paraId="14A27E14"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80</w:t>
            </w:r>
          </w:p>
        </w:tc>
        <w:tc>
          <w:tcPr>
            <w:tcW w:w="1281" w:type="dxa"/>
            <w:noWrap/>
            <w:vAlign w:val="center"/>
            <w:hideMark/>
          </w:tcPr>
          <w:p w14:paraId="38CB7419"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eastAsia="Times New Roman" w:cs="Times New Roman"/>
                <w:color w:val="000000"/>
                <w:sz w:val="20"/>
                <w:szCs w:val="20"/>
                <w:lang w:val="pt-PT" w:eastAsia="en-GB"/>
              </w:rPr>
              <w:t>100</w:t>
            </w:r>
          </w:p>
        </w:tc>
        <w:tc>
          <w:tcPr>
            <w:tcW w:w="1554" w:type="dxa"/>
            <w:tcBorders>
              <w:right w:val="single" w:sz="4" w:space="0" w:color="auto"/>
            </w:tcBorders>
            <w:noWrap/>
            <w:vAlign w:val="center"/>
            <w:hideMark/>
          </w:tcPr>
          <w:p w14:paraId="7031AAB6"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eastAsia="Times New Roman" w:cs="Times New Roman"/>
                <w:color w:val="000000"/>
                <w:sz w:val="20"/>
                <w:szCs w:val="20"/>
                <w:lang w:val="pt-PT" w:eastAsia="en-GB"/>
              </w:rPr>
              <w:t>100</w:t>
            </w:r>
          </w:p>
        </w:tc>
        <w:tc>
          <w:tcPr>
            <w:tcW w:w="1560" w:type="dxa"/>
            <w:tcBorders>
              <w:left w:val="single" w:sz="4" w:space="0" w:color="auto"/>
            </w:tcBorders>
            <w:shd w:val="clear" w:color="auto" w:fill="auto"/>
          </w:tcPr>
          <w:p w14:paraId="3C6EFAD5" w14:textId="73F62704"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w:t>
            </w:r>
          </w:p>
        </w:tc>
        <w:tc>
          <w:tcPr>
            <w:tcW w:w="1417" w:type="dxa"/>
            <w:shd w:val="clear" w:color="auto" w:fill="auto"/>
          </w:tcPr>
          <w:p w14:paraId="08999AD1" w14:textId="3916163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w:t>
            </w:r>
          </w:p>
        </w:tc>
        <w:tc>
          <w:tcPr>
            <w:tcW w:w="1418" w:type="dxa"/>
            <w:shd w:val="clear" w:color="auto" w:fill="auto"/>
          </w:tcPr>
          <w:p w14:paraId="07D50AD0" w14:textId="0C887188"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w:t>
            </w:r>
          </w:p>
        </w:tc>
      </w:tr>
    </w:tbl>
    <w:p w14:paraId="3E979D8E" w14:textId="77777777" w:rsidR="001528A9" w:rsidRDefault="001528A9">
      <w:pPr>
        <w:spacing w:before="0" w:after="200" w:line="276" w:lineRule="auto"/>
        <w:rPr>
          <w:lang w:val="en-GB"/>
        </w:rPr>
      </w:pPr>
    </w:p>
    <w:p w14:paraId="19626118" w14:textId="41335564" w:rsidR="001528A9" w:rsidRPr="001528A9" w:rsidRDefault="001528A9" w:rsidP="001528A9">
      <w:pPr>
        <w:pStyle w:val="Lgende"/>
        <w:rPr>
          <w:sz w:val="22"/>
        </w:rPr>
      </w:pPr>
      <w:r w:rsidRPr="001528A9">
        <w:rPr>
          <w:sz w:val="22"/>
        </w:rPr>
        <w:lastRenderedPageBreak/>
        <w:t xml:space="preserve">Table </w:t>
      </w:r>
      <w:r w:rsidRPr="001528A9">
        <w:rPr>
          <w:sz w:val="22"/>
        </w:rPr>
        <w:fldChar w:fldCharType="begin"/>
      </w:r>
      <w:r w:rsidRPr="001528A9">
        <w:rPr>
          <w:sz w:val="22"/>
        </w:rPr>
        <w:instrText xml:space="preserve"> SEQ Table \* ARABIC </w:instrText>
      </w:r>
      <w:r w:rsidRPr="001528A9">
        <w:rPr>
          <w:sz w:val="22"/>
        </w:rPr>
        <w:fldChar w:fldCharType="separate"/>
      </w:r>
      <w:r w:rsidR="00BE3B1D">
        <w:rPr>
          <w:noProof/>
          <w:sz w:val="22"/>
        </w:rPr>
        <w:t>1</w:t>
      </w:r>
      <w:r w:rsidRPr="001528A9">
        <w:rPr>
          <w:sz w:val="22"/>
        </w:rPr>
        <w:fldChar w:fldCharType="end"/>
      </w:r>
      <w:r w:rsidRPr="001528A9">
        <w:rPr>
          <w:sz w:val="22"/>
        </w:rPr>
        <w:t xml:space="preserve"> (continued)</w:t>
      </w:r>
    </w:p>
    <w:tbl>
      <w:tblPr>
        <w:tblStyle w:val="Grilledutableau"/>
        <w:tblW w:w="14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1984"/>
        <w:gridCol w:w="1134"/>
        <w:gridCol w:w="1281"/>
        <w:gridCol w:w="1554"/>
        <w:gridCol w:w="1560"/>
        <w:gridCol w:w="1417"/>
        <w:gridCol w:w="1418"/>
      </w:tblGrid>
      <w:tr w:rsidR="001528A9" w:rsidRPr="003229B1" w14:paraId="1A0772DE" w14:textId="77777777" w:rsidTr="00E97904">
        <w:trPr>
          <w:trHeight w:val="272"/>
          <w:jc w:val="center"/>
        </w:trPr>
        <w:tc>
          <w:tcPr>
            <w:tcW w:w="3681" w:type="dxa"/>
            <w:vMerge w:val="restart"/>
            <w:tcBorders>
              <w:top w:val="single" w:sz="4" w:space="0" w:color="auto"/>
            </w:tcBorders>
            <w:vAlign w:val="center"/>
          </w:tcPr>
          <w:p w14:paraId="012FD52E" w14:textId="77777777" w:rsidR="001528A9" w:rsidRPr="003229B1" w:rsidRDefault="001528A9" w:rsidP="00E97904">
            <w:pPr>
              <w:spacing w:after="0"/>
              <w:rPr>
                <w:rFonts w:cs="Times New Roman"/>
                <w:b/>
                <w:sz w:val="20"/>
                <w:szCs w:val="20"/>
                <w:lang w:val="en-GB"/>
              </w:rPr>
            </w:pPr>
            <w:r w:rsidRPr="003229B1">
              <w:rPr>
                <w:rFonts w:cs="Times New Roman"/>
                <w:b/>
                <w:sz w:val="20"/>
                <w:szCs w:val="20"/>
                <w:lang w:val="en-GB"/>
              </w:rPr>
              <w:t>Feature</w:t>
            </w:r>
          </w:p>
        </w:tc>
        <w:tc>
          <w:tcPr>
            <w:tcW w:w="1984" w:type="dxa"/>
            <w:vMerge w:val="restart"/>
            <w:tcBorders>
              <w:top w:val="single" w:sz="4" w:space="0" w:color="auto"/>
            </w:tcBorders>
          </w:tcPr>
          <w:p w14:paraId="23120268" w14:textId="77777777" w:rsidR="001528A9" w:rsidRPr="003229B1" w:rsidRDefault="001528A9" w:rsidP="00E97904">
            <w:pPr>
              <w:spacing w:after="0"/>
              <w:jc w:val="center"/>
              <w:rPr>
                <w:rFonts w:cs="Times New Roman"/>
                <w:b/>
                <w:sz w:val="20"/>
                <w:szCs w:val="20"/>
                <w:lang w:val="en-GB"/>
              </w:rPr>
            </w:pPr>
            <w:r w:rsidRPr="003229B1">
              <w:rPr>
                <w:rFonts w:cs="Times New Roman"/>
                <w:b/>
                <w:sz w:val="20"/>
                <w:szCs w:val="20"/>
                <w:lang w:val="en-GB"/>
              </w:rPr>
              <w:t>N of PUs</w:t>
            </w:r>
          </w:p>
          <w:p w14:paraId="04F30835" w14:textId="77777777" w:rsidR="001528A9" w:rsidRPr="003229B1" w:rsidRDefault="001528A9" w:rsidP="00E97904">
            <w:pPr>
              <w:spacing w:after="0"/>
              <w:jc w:val="center"/>
              <w:rPr>
                <w:rFonts w:cs="Times New Roman"/>
                <w:b/>
                <w:sz w:val="20"/>
                <w:szCs w:val="20"/>
                <w:lang w:val="en-GB"/>
              </w:rPr>
            </w:pPr>
            <w:r w:rsidRPr="003229B1">
              <w:rPr>
                <w:rFonts w:cs="Times New Roman"/>
                <w:b/>
                <w:sz w:val="20"/>
                <w:szCs w:val="20"/>
                <w:lang w:val="en-GB"/>
              </w:rPr>
              <w:t>(% of study area)</w:t>
            </w:r>
          </w:p>
        </w:tc>
        <w:tc>
          <w:tcPr>
            <w:tcW w:w="1134" w:type="dxa"/>
            <w:vMerge w:val="restart"/>
            <w:tcBorders>
              <w:top w:val="single" w:sz="4" w:space="0" w:color="auto"/>
            </w:tcBorders>
          </w:tcPr>
          <w:p w14:paraId="7A8E8F9C" w14:textId="77777777" w:rsidR="001528A9" w:rsidRPr="003229B1" w:rsidRDefault="001528A9" w:rsidP="00E97904">
            <w:pPr>
              <w:spacing w:after="0"/>
              <w:jc w:val="center"/>
              <w:rPr>
                <w:rFonts w:cs="Times New Roman"/>
                <w:b/>
                <w:sz w:val="20"/>
                <w:szCs w:val="20"/>
                <w:lang w:val="en-GB"/>
              </w:rPr>
            </w:pPr>
            <w:r w:rsidRPr="003229B1">
              <w:rPr>
                <w:rFonts w:cs="Times New Roman"/>
                <w:b/>
                <w:sz w:val="20"/>
                <w:szCs w:val="20"/>
                <w:lang w:val="en-GB"/>
              </w:rPr>
              <w:t>Cons. target (%)</w:t>
            </w:r>
          </w:p>
        </w:tc>
        <w:tc>
          <w:tcPr>
            <w:tcW w:w="2835" w:type="dxa"/>
            <w:gridSpan w:val="2"/>
            <w:tcBorders>
              <w:top w:val="single" w:sz="4" w:space="0" w:color="auto"/>
              <w:right w:val="single" w:sz="4" w:space="0" w:color="auto"/>
            </w:tcBorders>
            <w:vAlign w:val="center"/>
          </w:tcPr>
          <w:p w14:paraId="4A285EA0" w14:textId="77777777" w:rsidR="001528A9" w:rsidRPr="003229B1" w:rsidRDefault="001528A9" w:rsidP="00E97904">
            <w:pPr>
              <w:jc w:val="center"/>
              <w:rPr>
                <w:rFonts w:cs="Times New Roman"/>
                <w:b/>
                <w:sz w:val="20"/>
                <w:szCs w:val="20"/>
              </w:rPr>
            </w:pPr>
            <w:r w:rsidRPr="003229B1">
              <w:rPr>
                <w:rFonts w:cs="Times New Roman"/>
                <w:b/>
                <w:sz w:val="20"/>
                <w:szCs w:val="20"/>
              </w:rPr>
              <w:t>Priority areas (%)</w:t>
            </w:r>
          </w:p>
        </w:tc>
        <w:tc>
          <w:tcPr>
            <w:tcW w:w="4395" w:type="dxa"/>
            <w:gridSpan w:val="3"/>
            <w:tcBorders>
              <w:top w:val="single" w:sz="4" w:space="0" w:color="auto"/>
              <w:left w:val="single" w:sz="4" w:space="0" w:color="auto"/>
            </w:tcBorders>
            <w:vAlign w:val="center"/>
          </w:tcPr>
          <w:p w14:paraId="09C3079B" w14:textId="77777777" w:rsidR="001528A9" w:rsidRPr="003229B1" w:rsidRDefault="001528A9" w:rsidP="00E97904">
            <w:pPr>
              <w:spacing w:after="0"/>
              <w:jc w:val="center"/>
              <w:rPr>
                <w:rFonts w:cs="Times New Roman"/>
                <w:b/>
                <w:sz w:val="20"/>
                <w:szCs w:val="20"/>
                <w:lang w:val="en-GB"/>
              </w:rPr>
            </w:pPr>
            <w:r w:rsidRPr="003229B1">
              <w:rPr>
                <w:rFonts w:cs="Times New Roman"/>
                <w:b/>
                <w:sz w:val="20"/>
                <w:szCs w:val="20"/>
                <w:lang w:val="en-GB"/>
              </w:rPr>
              <w:t>Current protection measures (%)</w:t>
            </w:r>
          </w:p>
        </w:tc>
      </w:tr>
      <w:tr w:rsidR="001528A9" w:rsidRPr="003229B1" w14:paraId="425EAB35" w14:textId="77777777" w:rsidTr="00E97904">
        <w:trPr>
          <w:trHeight w:val="758"/>
          <w:jc w:val="center"/>
        </w:trPr>
        <w:tc>
          <w:tcPr>
            <w:tcW w:w="3681" w:type="dxa"/>
            <w:vMerge/>
            <w:tcBorders>
              <w:bottom w:val="single" w:sz="4" w:space="0" w:color="auto"/>
            </w:tcBorders>
            <w:vAlign w:val="center"/>
          </w:tcPr>
          <w:p w14:paraId="2ACE72E9" w14:textId="77777777" w:rsidR="001528A9" w:rsidRPr="003229B1" w:rsidRDefault="001528A9" w:rsidP="00E97904">
            <w:pPr>
              <w:spacing w:after="0"/>
              <w:rPr>
                <w:rFonts w:cs="Times New Roman"/>
                <w:b/>
                <w:sz w:val="20"/>
                <w:szCs w:val="20"/>
                <w:lang w:val="en-GB"/>
              </w:rPr>
            </w:pPr>
          </w:p>
        </w:tc>
        <w:tc>
          <w:tcPr>
            <w:tcW w:w="1984" w:type="dxa"/>
            <w:vMerge/>
            <w:tcBorders>
              <w:bottom w:val="single" w:sz="4" w:space="0" w:color="auto"/>
            </w:tcBorders>
            <w:vAlign w:val="center"/>
          </w:tcPr>
          <w:p w14:paraId="4D1B1A54" w14:textId="77777777" w:rsidR="001528A9" w:rsidRPr="003229B1" w:rsidRDefault="001528A9" w:rsidP="00E97904">
            <w:pPr>
              <w:spacing w:after="0"/>
              <w:jc w:val="center"/>
              <w:rPr>
                <w:rFonts w:cs="Times New Roman"/>
                <w:b/>
                <w:sz w:val="20"/>
                <w:szCs w:val="20"/>
                <w:lang w:val="en-GB"/>
              </w:rPr>
            </w:pPr>
          </w:p>
        </w:tc>
        <w:tc>
          <w:tcPr>
            <w:tcW w:w="1134" w:type="dxa"/>
            <w:vMerge/>
            <w:tcBorders>
              <w:bottom w:val="single" w:sz="4" w:space="0" w:color="auto"/>
            </w:tcBorders>
            <w:vAlign w:val="center"/>
          </w:tcPr>
          <w:p w14:paraId="23CDDF82" w14:textId="77777777" w:rsidR="001528A9" w:rsidRPr="003229B1" w:rsidRDefault="001528A9" w:rsidP="00E97904">
            <w:pPr>
              <w:spacing w:after="0"/>
              <w:jc w:val="center"/>
              <w:rPr>
                <w:rFonts w:cs="Times New Roman"/>
                <w:b/>
                <w:sz w:val="20"/>
                <w:szCs w:val="20"/>
                <w:lang w:val="en-GB"/>
              </w:rPr>
            </w:pPr>
          </w:p>
        </w:tc>
        <w:tc>
          <w:tcPr>
            <w:tcW w:w="1281" w:type="dxa"/>
            <w:tcBorders>
              <w:bottom w:val="single" w:sz="4" w:space="0" w:color="auto"/>
            </w:tcBorders>
            <w:vAlign w:val="center"/>
          </w:tcPr>
          <w:p w14:paraId="2C0453A5" w14:textId="77777777" w:rsidR="001528A9" w:rsidRDefault="001528A9" w:rsidP="00E97904">
            <w:pPr>
              <w:spacing w:before="0" w:after="0"/>
              <w:jc w:val="center"/>
              <w:rPr>
                <w:rFonts w:cs="Times New Roman"/>
                <w:b/>
                <w:sz w:val="20"/>
                <w:szCs w:val="20"/>
                <w:lang w:val="en-GB"/>
              </w:rPr>
            </w:pPr>
            <w:r>
              <w:rPr>
                <w:rFonts w:cs="Times New Roman"/>
                <w:b/>
                <w:sz w:val="20"/>
                <w:szCs w:val="20"/>
                <w:lang w:val="en-GB"/>
              </w:rPr>
              <w:t xml:space="preserve">‘priority’ </w:t>
            </w:r>
          </w:p>
          <w:p w14:paraId="3D09BD7A" w14:textId="77777777" w:rsidR="001528A9" w:rsidRPr="003229B1" w:rsidRDefault="001528A9" w:rsidP="00E97904">
            <w:pPr>
              <w:spacing w:before="0"/>
              <w:jc w:val="center"/>
              <w:rPr>
                <w:rFonts w:cs="Times New Roman"/>
                <w:b/>
                <w:sz w:val="20"/>
                <w:szCs w:val="20"/>
                <w:lang w:val="en-GB"/>
              </w:rPr>
            </w:pPr>
            <w:r>
              <w:rPr>
                <w:rFonts w:cs="Times New Roman"/>
                <w:b/>
                <w:sz w:val="20"/>
                <w:szCs w:val="20"/>
                <w:lang w:val="en-GB"/>
              </w:rPr>
              <w:t>(</w:t>
            </w:r>
            <w:r w:rsidRPr="00844F75">
              <w:rPr>
                <w:rFonts w:cs="Times New Roman"/>
                <w:b/>
                <w:sz w:val="20"/>
                <w:szCs w:val="20"/>
                <w:lang w:val="en-GB"/>
              </w:rPr>
              <w:t>≥ 50% of frequency</w:t>
            </w:r>
            <w:r>
              <w:rPr>
                <w:rFonts w:cs="Times New Roman"/>
                <w:b/>
                <w:sz w:val="20"/>
                <w:szCs w:val="20"/>
                <w:lang w:val="en-GB"/>
              </w:rPr>
              <w:t>)</w:t>
            </w:r>
          </w:p>
        </w:tc>
        <w:tc>
          <w:tcPr>
            <w:tcW w:w="1554" w:type="dxa"/>
            <w:tcBorders>
              <w:bottom w:val="single" w:sz="4" w:space="0" w:color="auto"/>
              <w:right w:val="single" w:sz="4" w:space="0" w:color="auto"/>
            </w:tcBorders>
            <w:vAlign w:val="center"/>
          </w:tcPr>
          <w:p w14:paraId="39B6D7AC" w14:textId="77777777" w:rsidR="001528A9" w:rsidRDefault="001528A9" w:rsidP="00E97904">
            <w:pPr>
              <w:spacing w:before="0" w:after="0"/>
              <w:jc w:val="center"/>
              <w:rPr>
                <w:rFonts w:cs="Times New Roman"/>
                <w:b/>
                <w:sz w:val="20"/>
                <w:szCs w:val="20"/>
                <w:lang w:val="en-GB"/>
              </w:rPr>
            </w:pPr>
            <w:r>
              <w:rPr>
                <w:rFonts w:cs="Times New Roman"/>
                <w:b/>
                <w:sz w:val="20"/>
                <w:szCs w:val="20"/>
                <w:lang w:val="en-GB"/>
              </w:rPr>
              <w:t xml:space="preserve">‘core priority’ </w:t>
            </w:r>
          </w:p>
          <w:p w14:paraId="367CBFF8" w14:textId="77777777" w:rsidR="001528A9" w:rsidRPr="003229B1" w:rsidRDefault="001528A9" w:rsidP="00E97904">
            <w:pPr>
              <w:spacing w:before="0"/>
              <w:jc w:val="center"/>
              <w:rPr>
                <w:rFonts w:cs="Times New Roman"/>
                <w:b/>
                <w:sz w:val="20"/>
                <w:szCs w:val="20"/>
                <w:lang w:val="en-GB"/>
              </w:rPr>
            </w:pPr>
            <w:r w:rsidRPr="00844F75">
              <w:rPr>
                <w:rFonts w:cs="Times New Roman"/>
                <w:b/>
                <w:sz w:val="20"/>
                <w:szCs w:val="20"/>
                <w:lang w:val="en-GB"/>
              </w:rPr>
              <w:t xml:space="preserve">≥ </w:t>
            </w:r>
            <w:r>
              <w:rPr>
                <w:rFonts w:cs="Times New Roman"/>
                <w:b/>
                <w:sz w:val="20"/>
                <w:szCs w:val="20"/>
                <w:lang w:val="en-GB"/>
              </w:rPr>
              <w:t>75</w:t>
            </w:r>
            <w:r w:rsidRPr="00844F75">
              <w:rPr>
                <w:rFonts w:cs="Times New Roman"/>
                <w:b/>
                <w:sz w:val="20"/>
                <w:szCs w:val="20"/>
                <w:lang w:val="en-GB"/>
              </w:rPr>
              <w:t>% of frequency</w:t>
            </w:r>
          </w:p>
        </w:tc>
        <w:tc>
          <w:tcPr>
            <w:tcW w:w="1560" w:type="dxa"/>
            <w:tcBorders>
              <w:left w:val="single" w:sz="4" w:space="0" w:color="auto"/>
              <w:bottom w:val="single" w:sz="4" w:space="0" w:color="auto"/>
            </w:tcBorders>
            <w:shd w:val="clear" w:color="auto" w:fill="auto"/>
            <w:vAlign w:val="center"/>
          </w:tcPr>
          <w:p w14:paraId="6ADD68CE" w14:textId="77777777" w:rsidR="001528A9" w:rsidRPr="003229B1" w:rsidRDefault="001528A9" w:rsidP="00E97904">
            <w:pPr>
              <w:spacing w:after="0"/>
              <w:jc w:val="center"/>
              <w:rPr>
                <w:rFonts w:cs="Times New Roman"/>
                <w:b/>
                <w:sz w:val="20"/>
                <w:szCs w:val="20"/>
                <w:lang w:val="en-GB"/>
              </w:rPr>
            </w:pPr>
            <w:r w:rsidRPr="003229B1">
              <w:rPr>
                <w:rFonts w:cs="Times New Roman"/>
                <w:b/>
                <w:color w:val="000000"/>
                <w:sz w:val="20"/>
                <w:szCs w:val="20"/>
              </w:rPr>
              <w:t>Closures &amp; reserves</w:t>
            </w:r>
          </w:p>
        </w:tc>
        <w:tc>
          <w:tcPr>
            <w:tcW w:w="1417" w:type="dxa"/>
            <w:tcBorders>
              <w:bottom w:val="single" w:sz="4" w:space="0" w:color="auto"/>
            </w:tcBorders>
            <w:shd w:val="clear" w:color="auto" w:fill="auto"/>
            <w:vAlign w:val="center"/>
          </w:tcPr>
          <w:p w14:paraId="4B0A8D43" w14:textId="77777777" w:rsidR="001528A9" w:rsidRPr="003229B1" w:rsidRDefault="001528A9" w:rsidP="00E97904">
            <w:pPr>
              <w:spacing w:after="0"/>
              <w:jc w:val="center"/>
              <w:rPr>
                <w:rFonts w:cs="Times New Roman"/>
                <w:b/>
                <w:sz w:val="20"/>
                <w:szCs w:val="20"/>
                <w:lang w:val="en-GB"/>
              </w:rPr>
            </w:pPr>
            <w:r w:rsidRPr="003229B1">
              <w:rPr>
                <w:rFonts w:cs="Times New Roman"/>
                <w:b/>
                <w:color w:val="000000"/>
                <w:sz w:val="20"/>
                <w:szCs w:val="20"/>
              </w:rPr>
              <w:t>Other MPAs</w:t>
            </w:r>
          </w:p>
        </w:tc>
        <w:tc>
          <w:tcPr>
            <w:tcW w:w="1418" w:type="dxa"/>
            <w:tcBorders>
              <w:bottom w:val="single" w:sz="4" w:space="0" w:color="auto"/>
            </w:tcBorders>
            <w:shd w:val="clear" w:color="auto" w:fill="auto"/>
            <w:vAlign w:val="center"/>
          </w:tcPr>
          <w:p w14:paraId="6EDA28DD" w14:textId="77777777" w:rsidR="001528A9" w:rsidRPr="003229B1" w:rsidRDefault="001528A9" w:rsidP="00E97904">
            <w:pPr>
              <w:spacing w:after="0"/>
              <w:jc w:val="center"/>
              <w:rPr>
                <w:rFonts w:cs="Times New Roman"/>
                <w:b/>
                <w:sz w:val="20"/>
                <w:szCs w:val="20"/>
                <w:lang w:val="en-GB"/>
              </w:rPr>
            </w:pPr>
            <w:r w:rsidRPr="003229B1">
              <w:rPr>
                <w:rFonts w:cs="Times New Roman"/>
                <w:b/>
                <w:color w:val="000000"/>
                <w:sz w:val="20"/>
                <w:szCs w:val="20"/>
              </w:rPr>
              <w:t>EBSAs</w:t>
            </w:r>
          </w:p>
        </w:tc>
      </w:tr>
      <w:tr w:rsidR="00705256" w:rsidRPr="003229B1" w14:paraId="4AC8F30A" w14:textId="77777777" w:rsidTr="00E97904">
        <w:trPr>
          <w:trHeight w:hRule="exact" w:val="397"/>
          <w:jc w:val="center"/>
        </w:trPr>
        <w:tc>
          <w:tcPr>
            <w:tcW w:w="3681" w:type="dxa"/>
            <w:noWrap/>
            <w:vAlign w:val="center"/>
            <w:hideMark/>
          </w:tcPr>
          <w:p w14:paraId="13D1C14E"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en-GB" w:eastAsia="en-GB"/>
              </w:rPr>
              <w:t xml:space="preserve">Present-day </w:t>
            </w:r>
            <w:r w:rsidRPr="001528A9">
              <w:rPr>
                <w:rFonts w:eastAsia="Times New Roman" w:cs="Times New Roman"/>
                <w:i/>
                <w:color w:val="000000"/>
                <w:sz w:val="20"/>
                <w:szCs w:val="20"/>
                <w:lang w:val="en-GB" w:eastAsia="en-GB"/>
              </w:rPr>
              <w:t>Acanella arbuscula</w:t>
            </w:r>
          </w:p>
        </w:tc>
        <w:tc>
          <w:tcPr>
            <w:tcW w:w="1984" w:type="dxa"/>
            <w:noWrap/>
            <w:vAlign w:val="center"/>
            <w:hideMark/>
          </w:tcPr>
          <w:p w14:paraId="70F18933"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4281.8 (13.59)</w:t>
            </w:r>
          </w:p>
        </w:tc>
        <w:tc>
          <w:tcPr>
            <w:tcW w:w="1134" w:type="dxa"/>
            <w:vAlign w:val="center"/>
          </w:tcPr>
          <w:p w14:paraId="7D296EBF"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398A9417" w14:textId="01EB793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40.17</w:t>
            </w:r>
          </w:p>
        </w:tc>
        <w:tc>
          <w:tcPr>
            <w:tcW w:w="1554" w:type="dxa"/>
            <w:tcBorders>
              <w:right w:val="single" w:sz="4" w:space="0" w:color="auto"/>
            </w:tcBorders>
            <w:noWrap/>
            <w:hideMark/>
          </w:tcPr>
          <w:p w14:paraId="14601631" w14:textId="7DBD2B3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27.28</w:t>
            </w:r>
          </w:p>
        </w:tc>
        <w:tc>
          <w:tcPr>
            <w:tcW w:w="1560" w:type="dxa"/>
            <w:tcBorders>
              <w:left w:val="single" w:sz="4" w:space="0" w:color="auto"/>
            </w:tcBorders>
            <w:shd w:val="clear" w:color="auto" w:fill="auto"/>
          </w:tcPr>
          <w:p w14:paraId="4540157D" w14:textId="534CAD1A"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7.63</w:t>
            </w:r>
          </w:p>
        </w:tc>
        <w:tc>
          <w:tcPr>
            <w:tcW w:w="1417" w:type="dxa"/>
            <w:shd w:val="clear" w:color="auto" w:fill="auto"/>
          </w:tcPr>
          <w:p w14:paraId="46854562" w14:textId="5229E7B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6.28</w:t>
            </w:r>
          </w:p>
        </w:tc>
        <w:tc>
          <w:tcPr>
            <w:tcW w:w="1418" w:type="dxa"/>
            <w:shd w:val="clear" w:color="auto" w:fill="auto"/>
          </w:tcPr>
          <w:p w14:paraId="01C3ACCD" w14:textId="7823A7D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3.88</w:t>
            </w:r>
          </w:p>
        </w:tc>
      </w:tr>
      <w:tr w:rsidR="00705256" w:rsidRPr="003229B1" w14:paraId="0BE5B6FE" w14:textId="77777777" w:rsidTr="00E97904">
        <w:trPr>
          <w:trHeight w:hRule="exact" w:val="397"/>
          <w:jc w:val="center"/>
        </w:trPr>
        <w:tc>
          <w:tcPr>
            <w:tcW w:w="3681" w:type="dxa"/>
            <w:noWrap/>
            <w:vAlign w:val="center"/>
            <w:hideMark/>
          </w:tcPr>
          <w:p w14:paraId="1A2093D0"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r w:rsidRPr="001528A9">
              <w:rPr>
                <w:rFonts w:eastAsia="Times New Roman" w:cs="Times New Roman"/>
                <w:i/>
                <w:color w:val="000000"/>
                <w:sz w:val="20"/>
                <w:szCs w:val="20"/>
                <w:lang w:val="en-GB" w:eastAsia="en-GB"/>
              </w:rPr>
              <w:t>Acanthogorgia armata</w:t>
            </w:r>
          </w:p>
        </w:tc>
        <w:tc>
          <w:tcPr>
            <w:tcW w:w="1984" w:type="dxa"/>
            <w:noWrap/>
            <w:vAlign w:val="center"/>
            <w:hideMark/>
          </w:tcPr>
          <w:p w14:paraId="6ED3607C"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1831 (5.81)</w:t>
            </w:r>
          </w:p>
        </w:tc>
        <w:tc>
          <w:tcPr>
            <w:tcW w:w="1134" w:type="dxa"/>
            <w:vAlign w:val="center"/>
          </w:tcPr>
          <w:p w14:paraId="3E2971A7"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56F9F034" w14:textId="38AF755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59.69</w:t>
            </w:r>
          </w:p>
        </w:tc>
        <w:tc>
          <w:tcPr>
            <w:tcW w:w="1554" w:type="dxa"/>
            <w:tcBorders>
              <w:right w:val="single" w:sz="4" w:space="0" w:color="auto"/>
            </w:tcBorders>
            <w:noWrap/>
            <w:hideMark/>
          </w:tcPr>
          <w:p w14:paraId="4D80E13E" w14:textId="2DCD11B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45.75</w:t>
            </w:r>
          </w:p>
        </w:tc>
        <w:tc>
          <w:tcPr>
            <w:tcW w:w="1560" w:type="dxa"/>
            <w:tcBorders>
              <w:left w:val="single" w:sz="4" w:space="0" w:color="auto"/>
            </w:tcBorders>
            <w:shd w:val="clear" w:color="auto" w:fill="auto"/>
          </w:tcPr>
          <w:p w14:paraId="644DE602" w14:textId="03E109C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7.68</w:t>
            </w:r>
          </w:p>
        </w:tc>
        <w:tc>
          <w:tcPr>
            <w:tcW w:w="1417" w:type="dxa"/>
            <w:shd w:val="clear" w:color="auto" w:fill="auto"/>
          </w:tcPr>
          <w:p w14:paraId="1B7DB671" w14:textId="4AE13A9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8.42</w:t>
            </w:r>
          </w:p>
        </w:tc>
        <w:tc>
          <w:tcPr>
            <w:tcW w:w="1418" w:type="dxa"/>
            <w:shd w:val="clear" w:color="auto" w:fill="auto"/>
          </w:tcPr>
          <w:p w14:paraId="40CCCD1D" w14:textId="1C2EA3F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5.02</w:t>
            </w:r>
          </w:p>
        </w:tc>
      </w:tr>
      <w:tr w:rsidR="00705256" w:rsidRPr="003229B1" w14:paraId="563BB01C" w14:textId="77777777" w:rsidTr="00E97904">
        <w:trPr>
          <w:trHeight w:hRule="exact" w:val="397"/>
          <w:jc w:val="center"/>
        </w:trPr>
        <w:tc>
          <w:tcPr>
            <w:tcW w:w="3681" w:type="dxa"/>
            <w:noWrap/>
            <w:vAlign w:val="center"/>
            <w:hideMark/>
          </w:tcPr>
          <w:p w14:paraId="06A9DF81"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r w:rsidRPr="001528A9">
              <w:rPr>
                <w:rFonts w:eastAsia="Times New Roman" w:cs="Times New Roman"/>
                <w:i/>
                <w:color w:val="000000"/>
                <w:sz w:val="20"/>
                <w:szCs w:val="20"/>
                <w:lang w:val="en-GB" w:eastAsia="en-GB"/>
              </w:rPr>
              <w:t>Desmophyllum dianthus</w:t>
            </w:r>
          </w:p>
        </w:tc>
        <w:tc>
          <w:tcPr>
            <w:tcW w:w="1984" w:type="dxa"/>
            <w:noWrap/>
            <w:vAlign w:val="center"/>
            <w:hideMark/>
          </w:tcPr>
          <w:p w14:paraId="3DF0184D"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4961.8 (15.74)</w:t>
            </w:r>
          </w:p>
        </w:tc>
        <w:tc>
          <w:tcPr>
            <w:tcW w:w="1134" w:type="dxa"/>
            <w:vAlign w:val="center"/>
          </w:tcPr>
          <w:p w14:paraId="3EE123E8"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5E2B3E44" w14:textId="1CBDD03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32.59</w:t>
            </w:r>
          </w:p>
        </w:tc>
        <w:tc>
          <w:tcPr>
            <w:tcW w:w="1554" w:type="dxa"/>
            <w:tcBorders>
              <w:right w:val="single" w:sz="4" w:space="0" w:color="auto"/>
            </w:tcBorders>
            <w:noWrap/>
            <w:hideMark/>
          </w:tcPr>
          <w:p w14:paraId="3C009F61" w14:textId="5EECA4A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20.83</w:t>
            </w:r>
          </w:p>
        </w:tc>
        <w:tc>
          <w:tcPr>
            <w:tcW w:w="1560" w:type="dxa"/>
            <w:tcBorders>
              <w:left w:val="single" w:sz="4" w:space="0" w:color="auto"/>
            </w:tcBorders>
            <w:shd w:val="clear" w:color="auto" w:fill="auto"/>
          </w:tcPr>
          <w:p w14:paraId="7EEF1C8F" w14:textId="262D06C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8.11</w:t>
            </w:r>
          </w:p>
        </w:tc>
        <w:tc>
          <w:tcPr>
            <w:tcW w:w="1417" w:type="dxa"/>
            <w:shd w:val="clear" w:color="auto" w:fill="auto"/>
          </w:tcPr>
          <w:p w14:paraId="36278F5D" w14:textId="14A6F0A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9.78</w:t>
            </w:r>
          </w:p>
        </w:tc>
        <w:tc>
          <w:tcPr>
            <w:tcW w:w="1418" w:type="dxa"/>
            <w:shd w:val="clear" w:color="auto" w:fill="auto"/>
          </w:tcPr>
          <w:p w14:paraId="26B3AE8A" w14:textId="187A29B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6.78</w:t>
            </w:r>
          </w:p>
        </w:tc>
      </w:tr>
      <w:tr w:rsidR="00705256" w:rsidRPr="003229B1" w14:paraId="6DB22B74" w14:textId="77777777" w:rsidTr="00E97904">
        <w:trPr>
          <w:trHeight w:hRule="exact" w:val="397"/>
          <w:jc w:val="center"/>
        </w:trPr>
        <w:tc>
          <w:tcPr>
            <w:tcW w:w="3681" w:type="dxa"/>
            <w:noWrap/>
            <w:vAlign w:val="center"/>
            <w:hideMark/>
          </w:tcPr>
          <w:p w14:paraId="4AE0030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r w:rsidRPr="001528A9">
              <w:rPr>
                <w:rFonts w:eastAsia="Times New Roman" w:cs="Times New Roman"/>
                <w:i/>
                <w:color w:val="000000"/>
                <w:sz w:val="20"/>
                <w:szCs w:val="20"/>
                <w:lang w:val="en-GB" w:eastAsia="en-GB"/>
              </w:rPr>
              <w:t>Lophelia pertusa</w:t>
            </w:r>
          </w:p>
        </w:tc>
        <w:tc>
          <w:tcPr>
            <w:tcW w:w="1984" w:type="dxa"/>
            <w:noWrap/>
            <w:vAlign w:val="center"/>
            <w:hideMark/>
          </w:tcPr>
          <w:p w14:paraId="0EE2049C"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3496.5 (11.09)</w:t>
            </w:r>
          </w:p>
        </w:tc>
        <w:tc>
          <w:tcPr>
            <w:tcW w:w="1134" w:type="dxa"/>
            <w:vAlign w:val="center"/>
          </w:tcPr>
          <w:p w14:paraId="0FD783F4"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59EDF2B8" w14:textId="1A227E7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40.56</w:t>
            </w:r>
          </w:p>
        </w:tc>
        <w:tc>
          <w:tcPr>
            <w:tcW w:w="1554" w:type="dxa"/>
            <w:tcBorders>
              <w:right w:val="single" w:sz="4" w:space="0" w:color="auto"/>
            </w:tcBorders>
            <w:noWrap/>
            <w:hideMark/>
          </w:tcPr>
          <w:p w14:paraId="188556D6" w14:textId="5F4070D3"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25.85</w:t>
            </w:r>
          </w:p>
        </w:tc>
        <w:tc>
          <w:tcPr>
            <w:tcW w:w="1560" w:type="dxa"/>
            <w:tcBorders>
              <w:left w:val="single" w:sz="4" w:space="0" w:color="auto"/>
            </w:tcBorders>
            <w:shd w:val="clear" w:color="auto" w:fill="auto"/>
          </w:tcPr>
          <w:p w14:paraId="4E6108FD" w14:textId="7FBF9D9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6.91</w:t>
            </w:r>
          </w:p>
        </w:tc>
        <w:tc>
          <w:tcPr>
            <w:tcW w:w="1417" w:type="dxa"/>
            <w:shd w:val="clear" w:color="auto" w:fill="auto"/>
          </w:tcPr>
          <w:p w14:paraId="7BA2A30E" w14:textId="06018A4A"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14.85</w:t>
            </w:r>
          </w:p>
        </w:tc>
        <w:tc>
          <w:tcPr>
            <w:tcW w:w="1418" w:type="dxa"/>
            <w:shd w:val="clear" w:color="auto" w:fill="auto"/>
          </w:tcPr>
          <w:p w14:paraId="2956456D" w14:textId="4C8ACD62"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4.54</w:t>
            </w:r>
          </w:p>
        </w:tc>
      </w:tr>
      <w:tr w:rsidR="00705256" w:rsidRPr="003229B1" w14:paraId="0192D778" w14:textId="77777777" w:rsidTr="00E97904">
        <w:trPr>
          <w:trHeight w:hRule="exact" w:val="397"/>
          <w:jc w:val="center"/>
        </w:trPr>
        <w:tc>
          <w:tcPr>
            <w:tcW w:w="3681" w:type="dxa"/>
            <w:noWrap/>
            <w:vAlign w:val="center"/>
            <w:hideMark/>
          </w:tcPr>
          <w:p w14:paraId="6739FE92"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r w:rsidRPr="001528A9">
              <w:rPr>
                <w:rFonts w:eastAsia="Times New Roman" w:cs="Times New Roman"/>
                <w:i/>
                <w:color w:val="000000"/>
                <w:sz w:val="20"/>
                <w:szCs w:val="20"/>
                <w:lang w:val="en-GB" w:eastAsia="en-GB"/>
              </w:rPr>
              <w:t>Madrepora oculata</w:t>
            </w:r>
          </w:p>
        </w:tc>
        <w:tc>
          <w:tcPr>
            <w:tcW w:w="1984" w:type="dxa"/>
            <w:noWrap/>
            <w:vAlign w:val="center"/>
            <w:hideMark/>
          </w:tcPr>
          <w:p w14:paraId="36E80394"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3944.6 (12.52)</w:t>
            </w:r>
          </w:p>
        </w:tc>
        <w:tc>
          <w:tcPr>
            <w:tcW w:w="1134" w:type="dxa"/>
            <w:vAlign w:val="center"/>
          </w:tcPr>
          <w:p w14:paraId="7DDE04C0"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49693E99" w14:textId="25DC400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34.81</w:t>
            </w:r>
          </w:p>
        </w:tc>
        <w:tc>
          <w:tcPr>
            <w:tcW w:w="1554" w:type="dxa"/>
            <w:tcBorders>
              <w:right w:val="single" w:sz="4" w:space="0" w:color="auto"/>
            </w:tcBorders>
            <w:noWrap/>
            <w:hideMark/>
          </w:tcPr>
          <w:p w14:paraId="65934F5E" w14:textId="00BE172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21.29</w:t>
            </w:r>
          </w:p>
        </w:tc>
        <w:tc>
          <w:tcPr>
            <w:tcW w:w="1560" w:type="dxa"/>
            <w:tcBorders>
              <w:left w:val="single" w:sz="4" w:space="0" w:color="auto"/>
            </w:tcBorders>
            <w:shd w:val="clear" w:color="auto" w:fill="auto"/>
          </w:tcPr>
          <w:p w14:paraId="5F58B68B" w14:textId="0D1B4BE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7.12</w:t>
            </w:r>
          </w:p>
        </w:tc>
        <w:tc>
          <w:tcPr>
            <w:tcW w:w="1417" w:type="dxa"/>
            <w:shd w:val="clear" w:color="auto" w:fill="auto"/>
          </w:tcPr>
          <w:p w14:paraId="695FD3D3" w14:textId="495F87C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15.41</w:t>
            </w:r>
          </w:p>
        </w:tc>
        <w:tc>
          <w:tcPr>
            <w:tcW w:w="1418" w:type="dxa"/>
            <w:shd w:val="clear" w:color="auto" w:fill="auto"/>
          </w:tcPr>
          <w:p w14:paraId="1C4E43FC" w14:textId="11358A4D"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7.39</w:t>
            </w:r>
          </w:p>
        </w:tc>
      </w:tr>
      <w:tr w:rsidR="00705256" w:rsidRPr="003229B1" w14:paraId="7DA45951" w14:textId="77777777" w:rsidTr="00E97904">
        <w:trPr>
          <w:trHeight w:hRule="exact" w:val="397"/>
          <w:jc w:val="center"/>
        </w:trPr>
        <w:tc>
          <w:tcPr>
            <w:tcW w:w="3681" w:type="dxa"/>
            <w:noWrap/>
            <w:vAlign w:val="center"/>
            <w:hideMark/>
          </w:tcPr>
          <w:p w14:paraId="7960BD8E"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r w:rsidRPr="001528A9">
              <w:rPr>
                <w:rFonts w:eastAsia="Times New Roman" w:cs="Times New Roman"/>
                <w:i/>
                <w:color w:val="000000"/>
                <w:sz w:val="20"/>
                <w:szCs w:val="20"/>
                <w:lang w:val="en-GB" w:eastAsia="en-GB"/>
              </w:rPr>
              <w:t>Paragorgia arborea</w:t>
            </w:r>
          </w:p>
        </w:tc>
        <w:tc>
          <w:tcPr>
            <w:tcW w:w="1984" w:type="dxa"/>
            <w:noWrap/>
            <w:vAlign w:val="center"/>
            <w:hideMark/>
          </w:tcPr>
          <w:p w14:paraId="0F54DBD0"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2054.2 (6.52)</w:t>
            </w:r>
          </w:p>
        </w:tc>
        <w:tc>
          <w:tcPr>
            <w:tcW w:w="1134" w:type="dxa"/>
            <w:vAlign w:val="center"/>
          </w:tcPr>
          <w:p w14:paraId="458176E1"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12BA780C" w14:textId="6725F95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58.8</w:t>
            </w:r>
          </w:p>
        </w:tc>
        <w:tc>
          <w:tcPr>
            <w:tcW w:w="1554" w:type="dxa"/>
            <w:tcBorders>
              <w:right w:val="single" w:sz="4" w:space="0" w:color="auto"/>
            </w:tcBorders>
            <w:noWrap/>
            <w:hideMark/>
          </w:tcPr>
          <w:p w14:paraId="169C23D4" w14:textId="7189CCC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34.02</w:t>
            </w:r>
          </w:p>
        </w:tc>
        <w:tc>
          <w:tcPr>
            <w:tcW w:w="1560" w:type="dxa"/>
            <w:tcBorders>
              <w:left w:val="single" w:sz="4" w:space="0" w:color="auto"/>
            </w:tcBorders>
            <w:shd w:val="clear" w:color="auto" w:fill="auto"/>
          </w:tcPr>
          <w:p w14:paraId="7F1729B8" w14:textId="7226055D"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5.72</w:t>
            </w:r>
          </w:p>
        </w:tc>
        <w:tc>
          <w:tcPr>
            <w:tcW w:w="1417" w:type="dxa"/>
            <w:shd w:val="clear" w:color="auto" w:fill="auto"/>
          </w:tcPr>
          <w:p w14:paraId="36A87067" w14:textId="29E34F3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3.49</w:t>
            </w:r>
          </w:p>
        </w:tc>
        <w:tc>
          <w:tcPr>
            <w:tcW w:w="1418" w:type="dxa"/>
            <w:shd w:val="clear" w:color="auto" w:fill="auto"/>
          </w:tcPr>
          <w:p w14:paraId="76ED034B" w14:textId="0DE2599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1.51</w:t>
            </w:r>
          </w:p>
        </w:tc>
      </w:tr>
      <w:tr w:rsidR="00705256" w:rsidRPr="001528A9" w14:paraId="0D77AFE2" w14:textId="77777777" w:rsidTr="00E97904">
        <w:trPr>
          <w:trHeight w:hRule="exact" w:val="397"/>
          <w:jc w:val="center"/>
        </w:trPr>
        <w:tc>
          <w:tcPr>
            <w:tcW w:w="3681" w:type="dxa"/>
            <w:noWrap/>
            <w:vAlign w:val="center"/>
            <w:hideMark/>
          </w:tcPr>
          <w:p w14:paraId="2503690C"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C</w:t>
            </w:r>
            <w:r w:rsidRPr="001528A9">
              <w:rPr>
                <w:rFonts w:eastAsia="Times New Roman" w:cs="Times New Roman"/>
                <w:i/>
                <w:color w:val="000000"/>
                <w:sz w:val="20"/>
                <w:szCs w:val="20"/>
                <w:lang w:val="en-GB" w:eastAsia="en-GB"/>
              </w:rPr>
              <w:t>oryphaenoides rupestris</w:t>
            </w:r>
          </w:p>
        </w:tc>
        <w:tc>
          <w:tcPr>
            <w:tcW w:w="1984" w:type="dxa"/>
            <w:noWrap/>
            <w:vAlign w:val="center"/>
            <w:hideMark/>
          </w:tcPr>
          <w:p w14:paraId="0EE1A523"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2424 (7.69)</w:t>
            </w:r>
          </w:p>
        </w:tc>
        <w:tc>
          <w:tcPr>
            <w:tcW w:w="1134" w:type="dxa"/>
            <w:vAlign w:val="center"/>
          </w:tcPr>
          <w:p w14:paraId="0188F6E7"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50</w:t>
            </w:r>
          </w:p>
        </w:tc>
        <w:tc>
          <w:tcPr>
            <w:tcW w:w="1281" w:type="dxa"/>
            <w:noWrap/>
            <w:hideMark/>
          </w:tcPr>
          <w:p w14:paraId="7E749E75" w14:textId="3858C8F2"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58.5</w:t>
            </w:r>
          </w:p>
        </w:tc>
        <w:tc>
          <w:tcPr>
            <w:tcW w:w="1554" w:type="dxa"/>
            <w:tcBorders>
              <w:right w:val="single" w:sz="4" w:space="0" w:color="auto"/>
            </w:tcBorders>
            <w:noWrap/>
            <w:hideMark/>
          </w:tcPr>
          <w:p w14:paraId="5AEFE497" w14:textId="40DAD5C0"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41.21</w:t>
            </w:r>
          </w:p>
        </w:tc>
        <w:tc>
          <w:tcPr>
            <w:tcW w:w="1560" w:type="dxa"/>
            <w:tcBorders>
              <w:left w:val="single" w:sz="4" w:space="0" w:color="auto"/>
            </w:tcBorders>
            <w:shd w:val="clear" w:color="auto" w:fill="auto"/>
          </w:tcPr>
          <w:p w14:paraId="4021646D" w14:textId="5D209CC3"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10.57</w:t>
            </w:r>
          </w:p>
        </w:tc>
        <w:tc>
          <w:tcPr>
            <w:tcW w:w="1417" w:type="dxa"/>
            <w:shd w:val="clear" w:color="auto" w:fill="auto"/>
          </w:tcPr>
          <w:p w14:paraId="5C166ED4" w14:textId="5E477F1D"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3.73</w:t>
            </w:r>
          </w:p>
        </w:tc>
        <w:tc>
          <w:tcPr>
            <w:tcW w:w="1418" w:type="dxa"/>
            <w:shd w:val="clear" w:color="auto" w:fill="auto"/>
          </w:tcPr>
          <w:p w14:paraId="63A6B4EC" w14:textId="767064BC"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3.78</w:t>
            </w:r>
          </w:p>
        </w:tc>
      </w:tr>
      <w:tr w:rsidR="00705256" w:rsidRPr="001528A9" w14:paraId="5425E829" w14:textId="77777777" w:rsidTr="00E97904">
        <w:trPr>
          <w:trHeight w:hRule="exact" w:val="397"/>
          <w:jc w:val="center"/>
        </w:trPr>
        <w:tc>
          <w:tcPr>
            <w:tcW w:w="3681" w:type="dxa"/>
            <w:noWrap/>
            <w:vAlign w:val="center"/>
            <w:hideMark/>
          </w:tcPr>
          <w:p w14:paraId="43A32507"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Gadus morhua</w:t>
            </w:r>
          </w:p>
        </w:tc>
        <w:tc>
          <w:tcPr>
            <w:tcW w:w="1984" w:type="dxa"/>
            <w:noWrap/>
            <w:vAlign w:val="center"/>
            <w:hideMark/>
          </w:tcPr>
          <w:p w14:paraId="64D052A9"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2402 (7.62)</w:t>
            </w:r>
          </w:p>
        </w:tc>
        <w:tc>
          <w:tcPr>
            <w:tcW w:w="1134" w:type="dxa"/>
            <w:vAlign w:val="center"/>
          </w:tcPr>
          <w:p w14:paraId="2700046C"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50</w:t>
            </w:r>
          </w:p>
        </w:tc>
        <w:tc>
          <w:tcPr>
            <w:tcW w:w="1281" w:type="dxa"/>
            <w:noWrap/>
            <w:hideMark/>
          </w:tcPr>
          <w:p w14:paraId="46B673B5" w14:textId="48EB606E"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57.99</w:t>
            </w:r>
          </w:p>
        </w:tc>
        <w:tc>
          <w:tcPr>
            <w:tcW w:w="1554" w:type="dxa"/>
            <w:tcBorders>
              <w:right w:val="single" w:sz="4" w:space="0" w:color="auto"/>
            </w:tcBorders>
            <w:noWrap/>
            <w:hideMark/>
          </w:tcPr>
          <w:p w14:paraId="6081C3BD" w14:textId="0F35F84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23.77</w:t>
            </w:r>
          </w:p>
        </w:tc>
        <w:tc>
          <w:tcPr>
            <w:tcW w:w="1560" w:type="dxa"/>
            <w:tcBorders>
              <w:left w:val="single" w:sz="4" w:space="0" w:color="auto"/>
            </w:tcBorders>
            <w:shd w:val="clear" w:color="auto" w:fill="auto"/>
          </w:tcPr>
          <w:p w14:paraId="6D3F1375" w14:textId="51BBDE86"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2.48</w:t>
            </w:r>
          </w:p>
        </w:tc>
        <w:tc>
          <w:tcPr>
            <w:tcW w:w="1417" w:type="dxa"/>
            <w:shd w:val="clear" w:color="auto" w:fill="auto"/>
          </w:tcPr>
          <w:p w14:paraId="27DA5BA1" w14:textId="12242214"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2.89</w:t>
            </w:r>
          </w:p>
        </w:tc>
        <w:tc>
          <w:tcPr>
            <w:tcW w:w="1418" w:type="dxa"/>
            <w:shd w:val="clear" w:color="auto" w:fill="auto"/>
          </w:tcPr>
          <w:p w14:paraId="7EF9E728" w14:textId="262608E9"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0.23</w:t>
            </w:r>
          </w:p>
        </w:tc>
      </w:tr>
      <w:tr w:rsidR="00705256" w:rsidRPr="003229B1" w14:paraId="3B2F1B16" w14:textId="77777777" w:rsidTr="00E97904">
        <w:trPr>
          <w:trHeight w:hRule="exact" w:val="397"/>
          <w:jc w:val="center"/>
        </w:trPr>
        <w:tc>
          <w:tcPr>
            <w:tcW w:w="3681" w:type="dxa"/>
            <w:noWrap/>
            <w:vAlign w:val="center"/>
            <w:hideMark/>
          </w:tcPr>
          <w:p w14:paraId="4D4845D5"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Helicolenus d</w:t>
            </w:r>
            <w:r w:rsidRPr="001528A9">
              <w:rPr>
                <w:rFonts w:eastAsia="Times New Roman" w:cs="Times New Roman"/>
                <w:i/>
                <w:color w:val="000000"/>
                <w:sz w:val="20"/>
                <w:szCs w:val="20"/>
                <w:lang w:val="en-GB" w:eastAsia="en-GB"/>
              </w:rPr>
              <w:t>actylopterus</w:t>
            </w:r>
          </w:p>
        </w:tc>
        <w:tc>
          <w:tcPr>
            <w:tcW w:w="1984" w:type="dxa"/>
            <w:noWrap/>
            <w:vAlign w:val="center"/>
            <w:hideMark/>
          </w:tcPr>
          <w:p w14:paraId="68ABED85"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3319 (10.53)</w:t>
            </w:r>
          </w:p>
        </w:tc>
        <w:tc>
          <w:tcPr>
            <w:tcW w:w="1134" w:type="dxa"/>
            <w:vAlign w:val="center"/>
          </w:tcPr>
          <w:p w14:paraId="26C3EBCC"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30</w:t>
            </w:r>
          </w:p>
        </w:tc>
        <w:tc>
          <w:tcPr>
            <w:tcW w:w="1281" w:type="dxa"/>
            <w:noWrap/>
            <w:hideMark/>
          </w:tcPr>
          <w:p w14:paraId="4539BAD7" w14:textId="767EA6E0"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39.14</w:t>
            </w:r>
          </w:p>
        </w:tc>
        <w:tc>
          <w:tcPr>
            <w:tcW w:w="1554" w:type="dxa"/>
            <w:tcBorders>
              <w:right w:val="single" w:sz="4" w:space="0" w:color="auto"/>
            </w:tcBorders>
            <w:noWrap/>
            <w:hideMark/>
          </w:tcPr>
          <w:p w14:paraId="52C199C1" w14:textId="3BFECFB6"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19.83</w:t>
            </w:r>
          </w:p>
        </w:tc>
        <w:tc>
          <w:tcPr>
            <w:tcW w:w="1560" w:type="dxa"/>
            <w:tcBorders>
              <w:left w:val="single" w:sz="4" w:space="0" w:color="auto"/>
            </w:tcBorders>
            <w:shd w:val="clear" w:color="auto" w:fill="auto"/>
          </w:tcPr>
          <w:p w14:paraId="68345E2C" w14:textId="5BA45A8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3.04</w:t>
            </w:r>
          </w:p>
        </w:tc>
        <w:tc>
          <w:tcPr>
            <w:tcW w:w="1417" w:type="dxa"/>
            <w:shd w:val="clear" w:color="auto" w:fill="auto"/>
          </w:tcPr>
          <w:p w14:paraId="3C0DAEC1" w14:textId="0F1A972E"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17.75</w:t>
            </w:r>
          </w:p>
        </w:tc>
        <w:tc>
          <w:tcPr>
            <w:tcW w:w="1418" w:type="dxa"/>
            <w:shd w:val="clear" w:color="auto" w:fill="auto"/>
          </w:tcPr>
          <w:p w14:paraId="73F5E3BF" w14:textId="11560E3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1.94</w:t>
            </w:r>
          </w:p>
        </w:tc>
      </w:tr>
      <w:tr w:rsidR="00705256" w:rsidRPr="001528A9" w14:paraId="6EB0AA82" w14:textId="77777777" w:rsidTr="00E97904">
        <w:trPr>
          <w:trHeight w:hRule="exact" w:val="397"/>
          <w:jc w:val="center"/>
        </w:trPr>
        <w:tc>
          <w:tcPr>
            <w:tcW w:w="3681" w:type="dxa"/>
            <w:noWrap/>
            <w:vAlign w:val="center"/>
            <w:hideMark/>
          </w:tcPr>
          <w:p w14:paraId="192EE8D8"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H</w:t>
            </w:r>
            <w:r w:rsidRPr="001528A9">
              <w:rPr>
                <w:rFonts w:eastAsia="Times New Roman" w:cs="Times New Roman"/>
                <w:i/>
                <w:color w:val="000000"/>
                <w:sz w:val="20"/>
                <w:szCs w:val="20"/>
                <w:lang w:val="en-GB" w:eastAsia="en-GB"/>
              </w:rPr>
              <w:t>ippoglossoides platessoides</w:t>
            </w:r>
          </w:p>
        </w:tc>
        <w:tc>
          <w:tcPr>
            <w:tcW w:w="1984" w:type="dxa"/>
            <w:noWrap/>
            <w:vAlign w:val="center"/>
            <w:hideMark/>
          </w:tcPr>
          <w:p w14:paraId="37A775BE"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2702 (8.57)</w:t>
            </w:r>
          </w:p>
        </w:tc>
        <w:tc>
          <w:tcPr>
            <w:tcW w:w="1134" w:type="dxa"/>
            <w:vAlign w:val="center"/>
          </w:tcPr>
          <w:p w14:paraId="2E5CDA9B"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50</w:t>
            </w:r>
          </w:p>
        </w:tc>
        <w:tc>
          <w:tcPr>
            <w:tcW w:w="1281" w:type="dxa"/>
            <w:noWrap/>
            <w:hideMark/>
          </w:tcPr>
          <w:p w14:paraId="3B3B4B51" w14:textId="455EC772"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57.03</w:t>
            </w:r>
          </w:p>
        </w:tc>
        <w:tc>
          <w:tcPr>
            <w:tcW w:w="1554" w:type="dxa"/>
            <w:tcBorders>
              <w:right w:val="single" w:sz="4" w:space="0" w:color="auto"/>
            </w:tcBorders>
            <w:noWrap/>
            <w:hideMark/>
          </w:tcPr>
          <w:p w14:paraId="6CC5488D" w14:textId="183F72CF"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26.2</w:t>
            </w:r>
          </w:p>
        </w:tc>
        <w:tc>
          <w:tcPr>
            <w:tcW w:w="1560" w:type="dxa"/>
            <w:tcBorders>
              <w:left w:val="single" w:sz="4" w:space="0" w:color="auto"/>
            </w:tcBorders>
            <w:shd w:val="clear" w:color="auto" w:fill="auto"/>
          </w:tcPr>
          <w:p w14:paraId="677D392A" w14:textId="6D3DE8FF"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2.88</w:t>
            </w:r>
          </w:p>
        </w:tc>
        <w:tc>
          <w:tcPr>
            <w:tcW w:w="1417" w:type="dxa"/>
            <w:shd w:val="clear" w:color="auto" w:fill="auto"/>
          </w:tcPr>
          <w:p w14:paraId="4A06E87C" w14:textId="00AD83A6"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2.25</w:t>
            </w:r>
          </w:p>
        </w:tc>
        <w:tc>
          <w:tcPr>
            <w:tcW w:w="1418" w:type="dxa"/>
            <w:shd w:val="clear" w:color="auto" w:fill="auto"/>
          </w:tcPr>
          <w:p w14:paraId="0611A9ED" w14:textId="3E8D97FA"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0.36</w:t>
            </w:r>
          </w:p>
        </w:tc>
      </w:tr>
      <w:tr w:rsidR="00705256" w:rsidRPr="001528A9" w14:paraId="57D32320" w14:textId="77777777" w:rsidTr="00E97904">
        <w:trPr>
          <w:trHeight w:hRule="exact" w:val="397"/>
          <w:jc w:val="center"/>
        </w:trPr>
        <w:tc>
          <w:tcPr>
            <w:tcW w:w="3681" w:type="dxa"/>
            <w:noWrap/>
            <w:vAlign w:val="center"/>
            <w:hideMark/>
          </w:tcPr>
          <w:p w14:paraId="0A8A2D06" w14:textId="77777777" w:rsidR="00705256" w:rsidRPr="001528A9" w:rsidRDefault="00705256" w:rsidP="00705256">
            <w:pPr>
              <w:rPr>
                <w:rFonts w:eastAsia="Times New Roman" w:cs="Times New Roman"/>
                <w:color w:val="000000"/>
                <w:sz w:val="20"/>
                <w:szCs w:val="20"/>
                <w:lang w:val="pt-PT" w:eastAsia="en-GB"/>
              </w:rPr>
            </w:pPr>
            <w:r w:rsidRPr="001528A9">
              <w:rPr>
                <w:rFonts w:eastAsia="Times New Roman" w:cs="Times New Roman"/>
                <w:color w:val="000000"/>
                <w:sz w:val="20"/>
                <w:szCs w:val="20"/>
                <w:lang w:val="pt-PT" w:eastAsia="en-GB"/>
              </w:rPr>
              <w:t xml:space="preserve">Refugia </w:t>
            </w:r>
            <w:r w:rsidRPr="001528A9">
              <w:rPr>
                <w:rFonts w:eastAsia="Times New Roman" w:cs="Times New Roman"/>
                <w:i/>
                <w:color w:val="000000"/>
                <w:sz w:val="20"/>
                <w:szCs w:val="20"/>
                <w:lang w:val="pt-PT" w:eastAsia="en-GB"/>
              </w:rPr>
              <w:t>Reinhardtius hippoglossoides</w:t>
            </w:r>
          </w:p>
        </w:tc>
        <w:tc>
          <w:tcPr>
            <w:tcW w:w="1984" w:type="dxa"/>
            <w:noWrap/>
            <w:vAlign w:val="center"/>
            <w:hideMark/>
          </w:tcPr>
          <w:p w14:paraId="71EDF2F4"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2080 (6.6)</w:t>
            </w:r>
          </w:p>
        </w:tc>
        <w:tc>
          <w:tcPr>
            <w:tcW w:w="1134" w:type="dxa"/>
            <w:vAlign w:val="center"/>
          </w:tcPr>
          <w:p w14:paraId="508E682F" w14:textId="77777777"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color w:val="000000"/>
                <w:sz w:val="20"/>
                <w:szCs w:val="20"/>
                <w:lang w:val="pt-PT"/>
              </w:rPr>
              <w:t>50</w:t>
            </w:r>
          </w:p>
        </w:tc>
        <w:tc>
          <w:tcPr>
            <w:tcW w:w="1281" w:type="dxa"/>
            <w:noWrap/>
            <w:hideMark/>
          </w:tcPr>
          <w:p w14:paraId="023FC27F" w14:textId="4F97A35B"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52.55</w:t>
            </w:r>
          </w:p>
        </w:tc>
        <w:tc>
          <w:tcPr>
            <w:tcW w:w="1554" w:type="dxa"/>
            <w:tcBorders>
              <w:right w:val="single" w:sz="4" w:space="0" w:color="auto"/>
            </w:tcBorders>
            <w:noWrap/>
            <w:hideMark/>
          </w:tcPr>
          <w:p w14:paraId="6315396F" w14:textId="66DFF22E"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28.8</w:t>
            </w:r>
          </w:p>
        </w:tc>
        <w:tc>
          <w:tcPr>
            <w:tcW w:w="1560" w:type="dxa"/>
            <w:tcBorders>
              <w:left w:val="single" w:sz="4" w:space="0" w:color="auto"/>
            </w:tcBorders>
            <w:shd w:val="clear" w:color="auto" w:fill="auto"/>
          </w:tcPr>
          <w:p w14:paraId="4049331D" w14:textId="284A344E"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6.51</w:t>
            </w:r>
          </w:p>
        </w:tc>
        <w:tc>
          <w:tcPr>
            <w:tcW w:w="1417" w:type="dxa"/>
            <w:shd w:val="clear" w:color="auto" w:fill="auto"/>
          </w:tcPr>
          <w:p w14:paraId="533ABD92" w14:textId="6862A5AD"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1.78</w:t>
            </w:r>
          </w:p>
        </w:tc>
        <w:tc>
          <w:tcPr>
            <w:tcW w:w="1418" w:type="dxa"/>
            <w:shd w:val="clear" w:color="auto" w:fill="auto"/>
          </w:tcPr>
          <w:p w14:paraId="0F87624F" w14:textId="41D17121" w:rsidR="00705256" w:rsidRPr="00705256" w:rsidRDefault="00705256" w:rsidP="00705256">
            <w:pPr>
              <w:jc w:val="center"/>
              <w:rPr>
                <w:rFonts w:eastAsia="Times New Roman" w:cs="Times New Roman"/>
                <w:color w:val="000000"/>
                <w:sz w:val="20"/>
                <w:szCs w:val="20"/>
                <w:lang w:val="pt-PT" w:eastAsia="en-GB"/>
              </w:rPr>
            </w:pPr>
            <w:r w:rsidRPr="00705256">
              <w:rPr>
                <w:rFonts w:cs="Times New Roman"/>
                <w:sz w:val="20"/>
                <w:szCs w:val="20"/>
              </w:rPr>
              <w:t>2.06</w:t>
            </w:r>
          </w:p>
        </w:tc>
      </w:tr>
      <w:tr w:rsidR="00705256" w:rsidRPr="003229B1" w14:paraId="1F3DCE47" w14:textId="77777777" w:rsidTr="00E97904">
        <w:trPr>
          <w:trHeight w:hRule="exact" w:val="397"/>
          <w:jc w:val="center"/>
        </w:trPr>
        <w:tc>
          <w:tcPr>
            <w:tcW w:w="3681" w:type="dxa"/>
            <w:noWrap/>
            <w:vAlign w:val="center"/>
            <w:hideMark/>
          </w:tcPr>
          <w:p w14:paraId="59F765D4" w14:textId="77777777" w:rsidR="00705256" w:rsidRPr="003229B1" w:rsidRDefault="00705256" w:rsidP="00705256">
            <w:pPr>
              <w:rPr>
                <w:rFonts w:eastAsia="Times New Roman" w:cs="Times New Roman"/>
                <w:color w:val="000000"/>
                <w:sz w:val="20"/>
                <w:szCs w:val="20"/>
                <w:lang w:val="en-GB" w:eastAsia="en-GB"/>
              </w:rPr>
            </w:pPr>
            <w:r w:rsidRPr="001528A9">
              <w:rPr>
                <w:rFonts w:eastAsia="Times New Roman" w:cs="Times New Roman"/>
                <w:color w:val="000000"/>
                <w:sz w:val="20"/>
                <w:szCs w:val="20"/>
                <w:lang w:val="pt-PT" w:eastAsia="en-GB"/>
              </w:rPr>
              <w:t>Refug</w:t>
            </w:r>
            <w:r w:rsidRPr="003229B1">
              <w:rPr>
                <w:rFonts w:eastAsia="Times New Roman" w:cs="Times New Roman"/>
                <w:color w:val="000000"/>
                <w:sz w:val="20"/>
                <w:szCs w:val="20"/>
                <w:lang w:val="en-GB" w:eastAsia="en-GB"/>
              </w:rPr>
              <w:t xml:space="preserve">ia </w:t>
            </w:r>
            <w:r w:rsidRPr="001528A9">
              <w:rPr>
                <w:rFonts w:eastAsia="Times New Roman" w:cs="Times New Roman"/>
                <w:i/>
                <w:color w:val="000000"/>
                <w:sz w:val="20"/>
                <w:szCs w:val="20"/>
                <w:lang w:val="en-GB" w:eastAsia="en-GB"/>
              </w:rPr>
              <w:t>Sebastes mentella</w:t>
            </w:r>
          </w:p>
        </w:tc>
        <w:tc>
          <w:tcPr>
            <w:tcW w:w="1984" w:type="dxa"/>
            <w:noWrap/>
            <w:vAlign w:val="center"/>
            <w:hideMark/>
          </w:tcPr>
          <w:p w14:paraId="030A62BE"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1712 (5.43)</w:t>
            </w:r>
          </w:p>
        </w:tc>
        <w:tc>
          <w:tcPr>
            <w:tcW w:w="1134" w:type="dxa"/>
            <w:vAlign w:val="center"/>
          </w:tcPr>
          <w:p w14:paraId="407AB5A4"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3E972B46" w14:textId="6EED239F"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62.5</w:t>
            </w:r>
          </w:p>
        </w:tc>
        <w:tc>
          <w:tcPr>
            <w:tcW w:w="1554" w:type="dxa"/>
            <w:tcBorders>
              <w:right w:val="single" w:sz="4" w:space="0" w:color="auto"/>
            </w:tcBorders>
            <w:noWrap/>
            <w:hideMark/>
          </w:tcPr>
          <w:p w14:paraId="4863ECFA" w14:textId="0D2B6AE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36.16</w:t>
            </w:r>
          </w:p>
        </w:tc>
        <w:tc>
          <w:tcPr>
            <w:tcW w:w="1560" w:type="dxa"/>
            <w:tcBorders>
              <w:left w:val="single" w:sz="4" w:space="0" w:color="auto"/>
            </w:tcBorders>
            <w:shd w:val="clear" w:color="auto" w:fill="auto"/>
          </w:tcPr>
          <w:p w14:paraId="3C8716C6" w14:textId="4CB09693"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7.38</w:t>
            </w:r>
          </w:p>
        </w:tc>
        <w:tc>
          <w:tcPr>
            <w:tcW w:w="1417" w:type="dxa"/>
            <w:shd w:val="clear" w:color="auto" w:fill="auto"/>
          </w:tcPr>
          <w:p w14:paraId="25818F9C" w14:textId="1FDE25F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0.55</w:t>
            </w:r>
          </w:p>
        </w:tc>
        <w:tc>
          <w:tcPr>
            <w:tcW w:w="1418" w:type="dxa"/>
            <w:shd w:val="clear" w:color="auto" w:fill="auto"/>
          </w:tcPr>
          <w:p w14:paraId="766F19CD" w14:textId="30B5796C"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2.23</w:t>
            </w:r>
          </w:p>
        </w:tc>
      </w:tr>
      <w:tr w:rsidR="00705256" w:rsidRPr="003229B1" w14:paraId="792113F3" w14:textId="77777777" w:rsidTr="00E97904">
        <w:trPr>
          <w:trHeight w:hRule="exact" w:val="397"/>
          <w:jc w:val="center"/>
        </w:trPr>
        <w:tc>
          <w:tcPr>
            <w:tcW w:w="3681" w:type="dxa"/>
            <w:noWrap/>
            <w:vAlign w:val="center"/>
            <w:hideMark/>
          </w:tcPr>
          <w:p w14:paraId="211F3690"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Refugia </w:t>
            </w:r>
            <w:r w:rsidRPr="001528A9">
              <w:rPr>
                <w:rFonts w:eastAsia="Times New Roman" w:cs="Times New Roman"/>
                <w:i/>
                <w:color w:val="000000"/>
                <w:sz w:val="20"/>
                <w:szCs w:val="20"/>
                <w:lang w:val="en-GB" w:eastAsia="en-GB"/>
              </w:rPr>
              <w:t>Geodia barretti</w:t>
            </w:r>
          </w:p>
        </w:tc>
        <w:tc>
          <w:tcPr>
            <w:tcW w:w="1984" w:type="dxa"/>
            <w:noWrap/>
            <w:vAlign w:val="center"/>
            <w:hideMark/>
          </w:tcPr>
          <w:p w14:paraId="457CF1B4"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1160 (3.68)</w:t>
            </w:r>
          </w:p>
        </w:tc>
        <w:tc>
          <w:tcPr>
            <w:tcW w:w="1134" w:type="dxa"/>
            <w:vAlign w:val="center"/>
          </w:tcPr>
          <w:p w14:paraId="6551537D"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80</w:t>
            </w:r>
          </w:p>
        </w:tc>
        <w:tc>
          <w:tcPr>
            <w:tcW w:w="1281" w:type="dxa"/>
            <w:noWrap/>
            <w:hideMark/>
          </w:tcPr>
          <w:p w14:paraId="7BFCDF16" w14:textId="378170C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89.05</w:t>
            </w:r>
          </w:p>
        </w:tc>
        <w:tc>
          <w:tcPr>
            <w:tcW w:w="1554" w:type="dxa"/>
            <w:tcBorders>
              <w:right w:val="single" w:sz="4" w:space="0" w:color="auto"/>
            </w:tcBorders>
            <w:noWrap/>
            <w:hideMark/>
          </w:tcPr>
          <w:p w14:paraId="2F0758C9" w14:textId="136FE995"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60.6</w:t>
            </w:r>
          </w:p>
        </w:tc>
        <w:tc>
          <w:tcPr>
            <w:tcW w:w="1560" w:type="dxa"/>
            <w:tcBorders>
              <w:left w:val="single" w:sz="4" w:space="0" w:color="auto"/>
            </w:tcBorders>
            <w:shd w:val="clear" w:color="auto" w:fill="auto"/>
          </w:tcPr>
          <w:p w14:paraId="47E5F25B" w14:textId="220A708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5.63</w:t>
            </w:r>
          </w:p>
        </w:tc>
        <w:tc>
          <w:tcPr>
            <w:tcW w:w="1417" w:type="dxa"/>
            <w:shd w:val="clear" w:color="auto" w:fill="auto"/>
          </w:tcPr>
          <w:p w14:paraId="5B8F7701" w14:textId="6F188291"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2.18</w:t>
            </w:r>
          </w:p>
        </w:tc>
        <w:tc>
          <w:tcPr>
            <w:tcW w:w="1418" w:type="dxa"/>
            <w:shd w:val="clear" w:color="auto" w:fill="auto"/>
          </w:tcPr>
          <w:p w14:paraId="29D55B6C" w14:textId="433616E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1.59</w:t>
            </w:r>
          </w:p>
        </w:tc>
      </w:tr>
      <w:tr w:rsidR="00705256" w:rsidRPr="003229B1" w14:paraId="50C0869E" w14:textId="77777777" w:rsidTr="00E97904">
        <w:trPr>
          <w:trHeight w:hRule="exact" w:val="397"/>
          <w:jc w:val="center"/>
        </w:trPr>
        <w:tc>
          <w:tcPr>
            <w:tcW w:w="3681" w:type="dxa"/>
            <w:noWrap/>
            <w:vAlign w:val="center"/>
            <w:hideMark/>
          </w:tcPr>
          <w:p w14:paraId="050749B1" w14:textId="77777777" w:rsidR="00705256" w:rsidRPr="003229B1" w:rsidRDefault="00705256" w:rsidP="00705256">
            <w:pPr>
              <w:rPr>
                <w:rFonts w:eastAsia="Times New Roman" w:cs="Times New Roman"/>
                <w:color w:val="000000"/>
                <w:sz w:val="20"/>
                <w:szCs w:val="20"/>
                <w:lang w:val="en-GB" w:eastAsia="en-GB"/>
              </w:rPr>
            </w:pPr>
            <w:r w:rsidRPr="003229B1">
              <w:rPr>
                <w:rFonts w:eastAsia="Times New Roman" w:cs="Times New Roman"/>
                <w:color w:val="000000"/>
                <w:sz w:val="20"/>
                <w:szCs w:val="20"/>
                <w:lang w:val="en-GB" w:eastAsia="en-GB"/>
              </w:rPr>
              <w:t xml:space="preserve">Present-day </w:t>
            </w:r>
            <w:r w:rsidRPr="001528A9">
              <w:rPr>
                <w:rFonts w:eastAsia="Times New Roman" w:cs="Times New Roman"/>
                <w:i/>
                <w:color w:val="000000"/>
                <w:sz w:val="20"/>
                <w:szCs w:val="20"/>
                <w:lang w:val="en-GB" w:eastAsia="en-GB"/>
              </w:rPr>
              <w:t>Geodia barretti</w:t>
            </w:r>
          </w:p>
        </w:tc>
        <w:tc>
          <w:tcPr>
            <w:tcW w:w="1984" w:type="dxa"/>
            <w:noWrap/>
            <w:vAlign w:val="center"/>
            <w:hideMark/>
          </w:tcPr>
          <w:p w14:paraId="03A2BAE2"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1944.1 (6.17)</w:t>
            </w:r>
          </w:p>
        </w:tc>
        <w:tc>
          <w:tcPr>
            <w:tcW w:w="1134" w:type="dxa"/>
            <w:vAlign w:val="center"/>
          </w:tcPr>
          <w:p w14:paraId="14E830B1" w14:textId="77777777"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color w:val="000000"/>
                <w:sz w:val="20"/>
                <w:szCs w:val="20"/>
              </w:rPr>
              <w:t>50</w:t>
            </w:r>
          </w:p>
        </w:tc>
        <w:tc>
          <w:tcPr>
            <w:tcW w:w="1281" w:type="dxa"/>
            <w:noWrap/>
            <w:hideMark/>
          </w:tcPr>
          <w:p w14:paraId="2AA0BFCF" w14:textId="5E889EDB"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63.95</w:t>
            </w:r>
          </w:p>
        </w:tc>
        <w:tc>
          <w:tcPr>
            <w:tcW w:w="1554" w:type="dxa"/>
            <w:tcBorders>
              <w:right w:val="single" w:sz="4" w:space="0" w:color="auto"/>
            </w:tcBorders>
            <w:noWrap/>
            <w:hideMark/>
          </w:tcPr>
          <w:p w14:paraId="73EB22F1" w14:textId="661A81D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39.36</w:t>
            </w:r>
          </w:p>
        </w:tc>
        <w:tc>
          <w:tcPr>
            <w:tcW w:w="1560" w:type="dxa"/>
            <w:tcBorders>
              <w:left w:val="single" w:sz="4" w:space="0" w:color="auto"/>
            </w:tcBorders>
            <w:shd w:val="clear" w:color="auto" w:fill="auto"/>
          </w:tcPr>
          <w:p w14:paraId="1EA860FA" w14:textId="5A808CA4"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8.43</w:t>
            </w:r>
          </w:p>
        </w:tc>
        <w:tc>
          <w:tcPr>
            <w:tcW w:w="1417" w:type="dxa"/>
            <w:shd w:val="clear" w:color="auto" w:fill="auto"/>
          </w:tcPr>
          <w:p w14:paraId="3C9D202D" w14:textId="6BE88CC8"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1.41</w:t>
            </w:r>
          </w:p>
        </w:tc>
        <w:tc>
          <w:tcPr>
            <w:tcW w:w="1418" w:type="dxa"/>
            <w:shd w:val="clear" w:color="auto" w:fill="auto"/>
          </w:tcPr>
          <w:p w14:paraId="72E83184" w14:textId="31B9B009" w:rsidR="00705256" w:rsidRPr="00705256" w:rsidRDefault="00705256" w:rsidP="00705256">
            <w:pPr>
              <w:jc w:val="center"/>
              <w:rPr>
                <w:rFonts w:eastAsia="Times New Roman" w:cs="Times New Roman"/>
                <w:color w:val="000000"/>
                <w:sz w:val="20"/>
                <w:szCs w:val="20"/>
                <w:lang w:val="en-GB" w:eastAsia="en-GB"/>
              </w:rPr>
            </w:pPr>
            <w:r w:rsidRPr="00705256">
              <w:rPr>
                <w:rFonts w:cs="Times New Roman"/>
                <w:sz w:val="20"/>
                <w:szCs w:val="20"/>
              </w:rPr>
              <w:t>3.34</w:t>
            </w:r>
          </w:p>
        </w:tc>
      </w:tr>
    </w:tbl>
    <w:p w14:paraId="6FC67629" w14:textId="5308046E" w:rsidR="003229B1" w:rsidRDefault="003229B1" w:rsidP="000D4740">
      <w:pPr>
        <w:spacing w:before="0" w:after="200" w:line="276" w:lineRule="auto"/>
        <w:rPr>
          <w:lang w:val="en-GB"/>
        </w:rPr>
        <w:sectPr w:rsidR="003229B1" w:rsidSect="003229B1">
          <w:pgSz w:w="15840" w:h="12240" w:orient="landscape"/>
          <w:pgMar w:top="1179" w:right="1140" w:bottom="1281" w:left="1140" w:header="720" w:footer="720" w:gutter="0"/>
          <w:cols w:space="720"/>
          <w:titlePg/>
          <w:docGrid w:linePitch="360"/>
        </w:sectPr>
      </w:pPr>
      <w:r>
        <w:rPr>
          <w:lang w:val="en-GB"/>
        </w:rPr>
        <w:br w:type="page"/>
      </w:r>
    </w:p>
    <w:p w14:paraId="12675384" w14:textId="07C20AF4" w:rsidR="00C82315" w:rsidRDefault="00C82315" w:rsidP="00C82315">
      <w:pPr>
        <w:pStyle w:val="Titre1"/>
        <w:rPr>
          <w:lang w:val="en-GB"/>
        </w:rPr>
      </w:pPr>
      <w:r>
        <w:rPr>
          <w:lang w:val="en-GB"/>
        </w:rPr>
        <w:lastRenderedPageBreak/>
        <w:t xml:space="preserve">Supplementary Figure 6: Protected areas and EBSAs. </w:t>
      </w:r>
    </w:p>
    <w:p w14:paraId="20FBAA60" w14:textId="5F23D1A5" w:rsidR="00C82315" w:rsidRDefault="00C82315" w:rsidP="00C82315">
      <w:pPr>
        <w:pStyle w:val="Sansinterligne"/>
        <w:keepNext/>
      </w:pPr>
      <w:r>
        <w:rPr>
          <w:noProof/>
          <w:lang w:val="fr-FR" w:eastAsia="fr-FR"/>
        </w:rPr>
        <w:drawing>
          <wp:inline distT="0" distB="0" distL="0" distR="0" wp14:anchorId="11054651" wp14:editId="4DAB626A">
            <wp:extent cx="6169354" cy="3600000"/>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_MPA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169354" cy="3600000"/>
                    </a:xfrm>
                    <a:prstGeom prst="rect">
                      <a:avLst/>
                    </a:prstGeom>
                    <a:noFill/>
                    <a:ln>
                      <a:noFill/>
                    </a:ln>
                  </pic:spPr>
                </pic:pic>
              </a:graphicData>
            </a:graphic>
          </wp:inline>
        </w:drawing>
      </w:r>
    </w:p>
    <w:p w14:paraId="71C3D9EC" w14:textId="4560142E" w:rsidR="00C82315" w:rsidRDefault="00C82315" w:rsidP="00C82315">
      <w:pPr>
        <w:pStyle w:val="Lgende"/>
        <w:jc w:val="both"/>
        <w:rPr>
          <w:sz w:val="22"/>
          <w:lang w:val="en-GB"/>
        </w:rPr>
      </w:pPr>
      <w:r w:rsidRPr="003670C4">
        <w:rPr>
          <w:sz w:val="22"/>
        </w:rPr>
        <w:t xml:space="preserve">Figure </w:t>
      </w:r>
      <w:r w:rsidRPr="003670C4">
        <w:rPr>
          <w:sz w:val="22"/>
        </w:rPr>
        <w:fldChar w:fldCharType="begin"/>
      </w:r>
      <w:r w:rsidRPr="003670C4">
        <w:rPr>
          <w:sz w:val="22"/>
        </w:rPr>
        <w:instrText xml:space="preserve"> SEQ Figure \* ARABIC </w:instrText>
      </w:r>
      <w:r w:rsidRPr="003670C4">
        <w:rPr>
          <w:sz w:val="22"/>
        </w:rPr>
        <w:fldChar w:fldCharType="separate"/>
      </w:r>
      <w:r w:rsidR="00BE3B1D">
        <w:rPr>
          <w:noProof/>
          <w:sz w:val="22"/>
        </w:rPr>
        <w:t>6</w:t>
      </w:r>
      <w:r w:rsidRPr="003670C4">
        <w:rPr>
          <w:sz w:val="22"/>
        </w:rPr>
        <w:fldChar w:fldCharType="end"/>
      </w:r>
      <w:r w:rsidRPr="003670C4">
        <w:rPr>
          <w:sz w:val="22"/>
        </w:rPr>
        <w:t xml:space="preserve">. </w:t>
      </w:r>
      <w:r w:rsidRPr="003670C4">
        <w:rPr>
          <w:sz w:val="22"/>
          <w:lang w:val="en-GB"/>
        </w:rPr>
        <w:t>Protected areas and EBSAs over the planning area. Note: in case of two categories overlapping (e.g. an MPA within an EBSA), the category providing the higher protection level (e.g. the MPA) was kept for the considered area.</w:t>
      </w:r>
      <w:r w:rsidR="00465362">
        <w:rPr>
          <w:sz w:val="22"/>
          <w:lang w:val="en-GB"/>
        </w:rPr>
        <w:t xml:space="preserve"> </w:t>
      </w:r>
      <w:r w:rsidR="002538BC">
        <w:rPr>
          <w:sz w:val="22"/>
          <w:lang w:val="en-GB"/>
        </w:rPr>
        <w:t xml:space="preserve">The location and name of the main MPAs or EBSAs designed for protecting VMEs are displayed. </w:t>
      </w:r>
      <w:r w:rsidR="00465362">
        <w:rPr>
          <w:sz w:val="22"/>
          <w:lang w:val="en-GB"/>
        </w:rPr>
        <w:t xml:space="preserve">Acronyms: </w:t>
      </w:r>
      <w:r w:rsidR="00760A7B">
        <w:rPr>
          <w:sz w:val="22"/>
          <w:lang w:val="en-GB"/>
        </w:rPr>
        <w:t xml:space="preserve">FRA: Fisheries Restricted Area; GFCM: General Fisheries Commission for the Mediterranean; HAPC: </w:t>
      </w:r>
      <w:r w:rsidR="00760A7B" w:rsidRPr="00760A7B">
        <w:rPr>
          <w:sz w:val="22"/>
          <w:lang w:val="en-GB"/>
        </w:rPr>
        <w:t>deepwater coral Habitat Areas of Particular Concern</w:t>
      </w:r>
      <w:r w:rsidR="00760A7B">
        <w:rPr>
          <w:sz w:val="22"/>
          <w:lang w:val="en-GB"/>
        </w:rPr>
        <w:t>;</w:t>
      </w:r>
      <w:r w:rsidR="00760A7B" w:rsidRPr="00760A7B">
        <w:rPr>
          <w:sz w:val="22"/>
          <w:lang w:val="en-GB"/>
        </w:rPr>
        <w:t xml:space="preserve"> </w:t>
      </w:r>
      <w:r w:rsidR="00760A7B">
        <w:rPr>
          <w:sz w:val="22"/>
          <w:lang w:val="en-GB"/>
        </w:rPr>
        <w:t xml:space="preserve">NAFO: NorthWest Atlantic Fisheries Organization; </w:t>
      </w:r>
      <w:r w:rsidR="00465362">
        <w:rPr>
          <w:sz w:val="22"/>
          <w:lang w:val="en-GB"/>
        </w:rPr>
        <w:t>NEAFC: North-East Atlantic Fisheries Commission; SAFMC: South Atlantic Fish Management Council</w:t>
      </w:r>
      <w:r w:rsidR="00760A7B">
        <w:rPr>
          <w:sz w:val="22"/>
          <w:lang w:val="en-GB"/>
        </w:rPr>
        <w:t>.</w:t>
      </w:r>
      <w:r w:rsidR="007A1556">
        <w:rPr>
          <w:sz w:val="22"/>
          <w:lang w:val="en-GB"/>
        </w:rPr>
        <w:t xml:space="preserve"> Layer available at: </w:t>
      </w:r>
      <w:hyperlink r:id="rId23" w:history="1">
        <w:r w:rsidR="007A1556" w:rsidRPr="0071053C">
          <w:rPr>
            <w:rStyle w:val="Lienhypertexte"/>
            <w:sz w:val="22"/>
            <w:lang w:val="en-GB"/>
          </w:rPr>
          <w:t>http://dx.doi.org/10.12770/debcbd09-4a36-48f3-a7c8-38f313eedd1b</w:t>
        </w:r>
      </w:hyperlink>
      <w:r w:rsidR="007A1556">
        <w:rPr>
          <w:sz w:val="22"/>
          <w:lang w:val="en-GB"/>
        </w:rPr>
        <w:t>.</w:t>
      </w:r>
    </w:p>
    <w:p w14:paraId="47264F0A" w14:textId="27C9F0E6" w:rsidR="00C82315" w:rsidRDefault="00C82315">
      <w:pPr>
        <w:spacing w:before="0" w:after="200" w:line="276" w:lineRule="auto"/>
        <w:rPr>
          <w:lang w:val="en-GB"/>
        </w:rPr>
      </w:pPr>
      <w:r>
        <w:rPr>
          <w:lang w:val="en-GB"/>
        </w:rPr>
        <w:br w:type="page"/>
      </w:r>
    </w:p>
    <w:p w14:paraId="38CDBD1E" w14:textId="55F8E3EE" w:rsidR="00C82315" w:rsidRDefault="00C82315" w:rsidP="00C82315">
      <w:pPr>
        <w:pStyle w:val="Titre1"/>
        <w:rPr>
          <w:lang w:val="en-GB"/>
        </w:rPr>
      </w:pPr>
      <w:r>
        <w:rPr>
          <w:lang w:val="en-GB"/>
        </w:rPr>
        <w:lastRenderedPageBreak/>
        <w:t>Supplementary Figure 7: Fishing catch index and deep-sea mining exploration contracts.</w:t>
      </w:r>
    </w:p>
    <w:p w14:paraId="47DD0BB5" w14:textId="2F27AAEB" w:rsidR="00C82315" w:rsidRDefault="00C82315" w:rsidP="00C82315">
      <w:pPr>
        <w:pStyle w:val="Sansinterligne"/>
        <w:keepNext/>
      </w:pPr>
      <w:r>
        <w:rPr>
          <w:noProof/>
          <w:lang w:val="fr-FR" w:eastAsia="fr-FR"/>
        </w:rPr>
        <w:drawing>
          <wp:inline distT="0" distB="0" distL="0" distR="0" wp14:anchorId="01DA8FDD" wp14:editId="096CD4AD">
            <wp:extent cx="6209665" cy="3519170"/>
            <wp:effectExtent l="0" t="0" r="635" b="5080"/>
            <wp:docPr id="15" name="Picture 15" descr="Figure_Fishing_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_Fishing_min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9665" cy="3519170"/>
                    </a:xfrm>
                    <a:prstGeom prst="rect">
                      <a:avLst/>
                    </a:prstGeom>
                    <a:noFill/>
                    <a:ln>
                      <a:noFill/>
                    </a:ln>
                  </pic:spPr>
                </pic:pic>
              </a:graphicData>
            </a:graphic>
          </wp:inline>
        </w:drawing>
      </w:r>
    </w:p>
    <w:p w14:paraId="0616E723" w14:textId="75A9E6D1" w:rsidR="00C82315" w:rsidRPr="00E35D3F" w:rsidRDefault="00C82315" w:rsidP="00C82315">
      <w:pPr>
        <w:pStyle w:val="Lgende"/>
        <w:jc w:val="both"/>
        <w:rPr>
          <w:sz w:val="22"/>
          <w:lang w:val="en-GB"/>
        </w:rPr>
      </w:pPr>
      <w:r w:rsidRPr="00E35D3F">
        <w:rPr>
          <w:sz w:val="22"/>
        </w:rPr>
        <w:t xml:space="preserve">Figure </w:t>
      </w:r>
      <w:r w:rsidRPr="00E35D3F">
        <w:rPr>
          <w:sz w:val="22"/>
        </w:rPr>
        <w:fldChar w:fldCharType="begin"/>
      </w:r>
      <w:r w:rsidRPr="00E35D3F">
        <w:rPr>
          <w:sz w:val="22"/>
        </w:rPr>
        <w:instrText xml:space="preserve"> SEQ Figure \* ARABIC </w:instrText>
      </w:r>
      <w:r w:rsidRPr="00E35D3F">
        <w:rPr>
          <w:sz w:val="22"/>
        </w:rPr>
        <w:fldChar w:fldCharType="separate"/>
      </w:r>
      <w:r w:rsidR="00BE3B1D">
        <w:rPr>
          <w:noProof/>
          <w:sz w:val="22"/>
        </w:rPr>
        <w:t>7</w:t>
      </w:r>
      <w:r w:rsidRPr="00E35D3F">
        <w:rPr>
          <w:sz w:val="22"/>
        </w:rPr>
        <w:fldChar w:fldCharType="end"/>
      </w:r>
      <w:r w:rsidRPr="00E35D3F">
        <w:rPr>
          <w:sz w:val="22"/>
        </w:rPr>
        <w:t xml:space="preserve">. </w:t>
      </w:r>
      <w:r w:rsidRPr="00E35D3F">
        <w:rPr>
          <w:sz w:val="22"/>
          <w:lang w:val="en-GB"/>
        </w:rPr>
        <w:t>Fishing catch index, calculated over the 2010-2015 period from fisheries using bottom towed gears (</w:t>
      </w:r>
      <w:r w:rsidRPr="00E35D3F">
        <w:rPr>
          <w:sz w:val="22"/>
        </w:rPr>
        <w:t>dredges, bottom trawls, and Danish seines)</w:t>
      </w:r>
      <w:r w:rsidRPr="00E35D3F">
        <w:rPr>
          <w:sz w:val="22"/>
          <w:lang w:val="en-GB"/>
        </w:rPr>
        <w:t>, and location of deep-sea mining exploration contracts.</w:t>
      </w:r>
      <w:r w:rsidR="007A1556">
        <w:rPr>
          <w:sz w:val="22"/>
          <w:lang w:val="en-GB"/>
        </w:rPr>
        <w:t xml:space="preserve"> Layer are available at: </w:t>
      </w:r>
      <w:hyperlink r:id="rId25" w:history="1">
        <w:r w:rsidR="007A1556" w:rsidRPr="0071053C">
          <w:rPr>
            <w:rStyle w:val="Lienhypertexte"/>
            <w:sz w:val="22"/>
            <w:lang w:val="en-GB"/>
          </w:rPr>
          <w:t>http://dx.doi.org/10.12770/79f078bf-7f80-4efc-a5b4-9e01609b6a51</w:t>
        </w:r>
      </w:hyperlink>
      <w:r w:rsidR="007A1556">
        <w:rPr>
          <w:sz w:val="22"/>
          <w:lang w:val="en-GB"/>
        </w:rPr>
        <w:t xml:space="preserve">; and </w:t>
      </w:r>
      <w:hyperlink r:id="rId26" w:history="1">
        <w:r w:rsidR="007A1556" w:rsidRPr="0071053C">
          <w:rPr>
            <w:rStyle w:val="Lienhypertexte"/>
            <w:sz w:val="22"/>
            <w:lang w:val="en-GB"/>
          </w:rPr>
          <w:t>http://dx.doi.org/10.12770/4ab2fb42-ba5b-418d-9675-a642edfaca70</w:t>
        </w:r>
      </w:hyperlink>
      <w:r w:rsidR="007A1556">
        <w:rPr>
          <w:sz w:val="22"/>
          <w:lang w:val="en-GB"/>
        </w:rPr>
        <w:t>.</w:t>
      </w:r>
    </w:p>
    <w:p w14:paraId="37ADEF06" w14:textId="77777777" w:rsidR="00C82315" w:rsidRDefault="00C82315" w:rsidP="00C82315">
      <w:pPr>
        <w:spacing w:before="0" w:after="200" w:line="276" w:lineRule="auto"/>
        <w:rPr>
          <w:lang w:val="en-GB"/>
        </w:rPr>
      </w:pPr>
      <w:r>
        <w:rPr>
          <w:lang w:val="en-GB"/>
        </w:rPr>
        <w:br w:type="page"/>
      </w:r>
    </w:p>
    <w:p w14:paraId="55A3A09E" w14:textId="4E7691F1" w:rsidR="0036224B" w:rsidRPr="00366792" w:rsidRDefault="0036224B" w:rsidP="0036224B">
      <w:pPr>
        <w:pStyle w:val="Titre1"/>
        <w:rPr>
          <w:lang w:val="en-GB"/>
        </w:rPr>
      </w:pPr>
      <w:r w:rsidRPr="00366792">
        <w:rPr>
          <w:lang w:val="en-GB"/>
        </w:rPr>
        <w:lastRenderedPageBreak/>
        <w:t>Supp</w:t>
      </w:r>
      <w:r>
        <w:rPr>
          <w:lang w:val="en-GB"/>
        </w:rPr>
        <w:t>lementary</w:t>
      </w:r>
      <w:r w:rsidRPr="00366792">
        <w:rPr>
          <w:lang w:val="en-GB"/>
        </w:rPr>
        <w:t xml:space="preserve"> </w:t>
      </w:r>
      <w:r w:rsidR="001528A9">
        <w:rPr>
          <w:lang w:val="en-GB"/>
        </w:rPr>
        <w:t>F</w:t>
      </w:r>
      <w:r w:rsidRPr="00366792">
        <w:rPr>
          <w:lang w:val="en-GB"/>
        </w:rPr>
        <w:t xml:space="preserve">igure </w:t>
      </w:r>
      <w:r w:rsidR="00C82315">
        <w:rPr>
          <w:lang w:val="en-GB"/>
        </w:rPr>
        <w:t>8</w:t>
      </w:r>
      <w:r w:rsidRPr="00366792">
        <w:rPr>
          <w:lang w:val="en-GB"/>
        </w:rPr>
        <w:t xml:space="preserve">: </w:t>
      </w:r>
      <w:r w:rsidR="003670C4">
        <w:rPr>
          <w:lang w:val="en-GB"/>
        </w:rPr>
        <w:t>E</w:t>
      </w:r>
      <w:r>
        <w:rPr>
          <w:lang w:val="en-GB"/>
        </w:rPr>
        <w:t xml:space="preserve">volution of the cost of solutions </w:t>
      </w:r>
      <w:r w:rsidR="0047639C">
        <w:rPr>
          <w:lang w:val="en-GB"/>
        </w:rPr>
        <w:t>through</w:t>
      </w:r>
      <w:r>
        <w:rPr>
          <w:lang w:val="en-GB"/>
        </w:rPr>
        <w:t xml:space="preserve"> solving</w:t>
      </w:r>
    </w:p>
    <w:p w14:paraId="6AD47CA0" w14:textId="5323B3A0" w:rsidR="002B7758" w:rsidRDefault="004410B1" w:rsidP="004410B1">
      <w:pPr>
        <w:keepNext/>
        <w:jc w:val="center"/>
      </w:pPr>
      <w:r>
        <w:rPr>
          <w:noProof/>
          <w:lang w:val="fr-FR" w:eastAsia="fr-FR"/>
        </w:rPr>
        <w:drawing>
          <wp:inline distT="0" distB="0" distL="0" distR="0" wp14:anchorId="7F60209B" wp14:editId="4B560AC6">
            <wp:extent cx="6188041" cy="3852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29"/>
                    <a:stretch/>
                  </pic:blipFill>
                  <pic:spPr bwMode="auto">
                    <a:xfrm>
                      <a:off x="0" y="0"/>
                      <a:ext cx="6188041" cy="3852000"/>
                    </a:xfrm>
                    <a:prstGeom prst="rect">
                      <a:avLst/>
                    </a:prstGeom>
                    <a:ln>
                      <a:noFill/>
                    </a:ln>
                    <a:extLst>
                      <a:ext uri="{53640926-AAD7-44D8-BBD7-CCE9431645EC}">
                        <a14:shadowObscured xmlns:a14="http://schemas.microsoft.com/office/drawing/2010/main"/>
                      </a:ext>
                    </a:extLst>
                  </pic:spPr>
                </pic:pic>
              </a:graphicData>
            </a:graphic>
          </wp:inline>
        </w:drawing>
      </w:r>
    </w:p>
    <w:p w14:paraId="173D5D56" w14:textId="38F73E91" w:rsidR="002B7758" w:rsidRDefault="002B7758" w:rsidP="001528A9">
      <w:pPr>
        <w:pStyle w:val="Lgende"/>
        <w:jc w:val="both"/>
        <w:rPr>
          <w:sz w:val="22"/>
        </w:rPr>
      </w:pPr>
      <w:r w:rsidRPr="001528A9">
        <w:rPr>
          <w:sz w:val="22"/>
        </w:rPr>
        <w:t xml:space="preserve">Figure </w:t>
      </w:r>
      <w:r w:rsidRPr="001528A9">
        <w:rPr>
          <w:sz w:val="22"/>
        </w:rPr>
        <w:fldChar w:fldCharType="begin"/>
      </w:r>
      <w:r w:rsidRPr="001528A9">
        <w:rPr>
          <w:sz w:val="22"/>
        </w:rPr>
        <w:instrText xml:space="preserve"> SEQ Figure \* ARABIC </w:instrText>
      </w:r>
      <w:r w:rsidRPr="001528A9">
        <w:rPr>
          <w:sz w:val="22"/>
        </w:rPr>
        <w:fldChar w:fldCharType="separate"/>
      </w:r>
      <w:r w:rsidR="00BE3B1D">
        <w:rPr>
          <w:noProof/>
          <w:sz w:val="22"/>
        </w:rPr>
        <w:t>8</w:t>
      </w:r>
      <w:r w:rsidRPr="001528A9">
        <w:rPr>
          <w:sz w:val="22"/>
        </w:rPr>
        <w:fldChar w:fldCharType="end"/>
      </w:r>
      <w:r w:rsidRPr="001528A9">
        <w:rPr>
          <w:sz w:val="22"/>
        </w:rPr>
        <w:t>. Cost of all the solutions, ordered by solving iterations, for the scenarios ‘base’ (A), ‘base - small planning area’ (B), ‘connectivity’ (C), ‘management’ (D). The solutions selected to calculate selection frequencies, with the lower cost (A, B, D), or that did not reach the solving time limit (C) are displayed in red.</w:t>
      </w:r>
    </w:p>
    <w:p w14:paraId="332EB772" w14:textId="77777777" w:rsidR="00BC3A2E" w:rsidRPr="00BE3B1D" w:rsidRDefault="00BC3A2E" w:rsidP="00BC3A2E">
      <w:pPr>
        <w:pStyle w:val="Sansinterligne"/>
        <w:rPr>
          <w:caps/>
        </w:rPr>
      </w:pPr>
    </w:p>
    <w:sectPr w:rsidR="00BC3A2E" w:rsidRPr="00BE3B1D" w:rsidSect="003229B1">
      <w:pgSz w:w="12240" w:h="15840"/>
      <w:pgMar w:top="1140" w:right="1179" w:bottom="1140" w:left="1281"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8BE30" w16cid:durableId="21B858B3"/>
  <w16cid:commentId w16cid:paraId="58D2BB72" w16cid:durableId="21B866E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2BC7A" w14:textId="77777777" w:rsidR="008072F3" w:rsidRDefault="008072F3" w:rsidP="00117666">
      <w:pPr>
        <w:spacing w:after="0"/>
      </w:pPr>
      <w:r>
        <w:separator/>
      </w:r>
    </w:p>
  </w:endnote>
  <w:endnote w:type="continuationSeparator" w:id="0">
    <w:p w14:paraId="0BC10599" w14:textId="77777777" w:rsidR="008072F3" w:rsidRDefault="008072F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E97904" w:rsidRPr="00577C4C" w:rsidRDefault="00E97904">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3568F63" w:rsidR="00E97904" w:rsidRPr="00577C4C" w:rsidRDefault="00E9790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674EF">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3568F63" w:rsidR="00E97904" w:rsidRPr="00577C4C" w:rsidRDefault="00E9790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674EF">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E97904" w:rsidRPr="00577C4C" w:rsidRDefault="00E97904">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F6A995B" w:rsidR="00E97904" w:rsidRPr="00577C4C" w:rsidRDefault="00E9790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674EF">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F6A995B" w:rsidR="00E97904" w:rsidRPr="00577C4C" w:rsidRDefault="00E9790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674EF">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733C6" w14:textId="77777777" w:rsidR="008072F3" w:rsidRDefault="008072F3" w:rsidP="00117666">
      <w:pPr>
        <w:spacing w:after="0"/>
      </w:pPr>
      <w:r>
        <w:separator/>
      </w:r>
    </w:p>
  </w:footnote>
  <w:footnote w:type="continuationSeparator" w:id="0">
    <w:p w14:paraId="234AA081" w14:textId="77777777" w:rsidR="008072F3" w:rsidRDefault="008072F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E97904" w:rsidRPr="009151AA" w:rsidRDefault="00E9790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E97904" w:rsidRDefault="00E97904" w:rsidP="0093429D">
    <w:r w:rsidRPr="005A1D84">
      <w:rPr>
        <w:b/>
        <w:noProof/>
        <w:color w:val="A6A6A6" w:themeColor="background1" w:themeShade="A6"/>
        <w:lang w:val="fr-FR" w:eastAsia="fr-FR"/>
      </w:rPr>
      <w:drawing>
        <wp:inline distT="0" distB="0" distL="0" distR="0" wp14:anchorId="07D26A56" wp14:editId="2E460F0E">
          <wp:extent cx="1382534" cy="497091"/>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81043A"/>
    <w:multiLevelType w:val="hybridMultilevel"/>
    <w:tmpl w:val="B06A8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1EB4967"/>
    <w:multiLevelType w:val="hybridMultilevel"/>
    <w:tmpl w:val="5EA2F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2"/>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540D9"/>
    <w:rsid w:val="00077D53"/>
    <w:rsid w:val="000D4740"/>
    <w:rsid w:val="000E5BA9"/>
    <w:rsid w:val="00105FD9"/>
    <w:rsid w:val="001160A3"/>
    <w:rsid w:val="00117666"/>
    <w:rsid w:val="001528A9"/>
    <w:rsid w:val="001549D3"/>
    <w:rsid w:val="00160065"/>
    <w:rsid w:val="00177D84"/>
    <w:rsid w:val="002057C7"/>
    <w:rsid w:val="002538BC"/>
    <w:rsid w:val="002661DA"/>
    <w:rsid w:val="00267D18"/>
    <w:rsid w:val="00274347"/>
    <w:rsid w:val="002868E2"/>
    <w:rsid w:val="002869C3"/>
    <w:rsid w:val="002936E4"/>
    <w:rsid w:val="002B4A57"/>
    <w:rsid w:val="002B7758"/>
    <w:rsid w:val="002C74CA"/>
    <w:rsid w:val="003123F4"/>
    <w:rsid w:val="003229B1"/>
    <w:rsid w:val="003544FB"/>
    <w:rsid w:val="0036224B"/>
    <w:rsid w:val="003670C4"/>
    <w:rsid w:val="003706A2"/>
    <w:rsid w:val="003850B9"/>
    <w:rsid w:val="00392968"/>
    <w:rsid w:val="003D011D"/>
    <w:rsid w:val="003D2F2D"/>
    <w:rsid w:val="003F2047"/>
    <w:rsid w:val="00401590"/>
    <w:rsid w:val="004410B1"/>
    <w:rsid w:val="00447801"/>
    <w:rsid w:val="00452E9C"/>
    <w:rsid w:val="00465362"/>
    <w:rsid w:val="004735C8"/>
    <w:rsid w:val="0047639C"/>
    <w:rsid w:val="004947A6"/>
    <w:rsid w:val="004961FF"/>
    <w:rsid w:val="004B4EF4"/>
    <w:rsid w:val="004D6606"/>
    <w:rsid w:val="00517A89"/>
    <w:rsid w:val="0052147A"/>
    <w:rsid w:val="005250F2"/>
    <w:rsid w:val="00526187"/>
    <w:rsid w:val="00593EEA"/>
    <w:rsid w:val="005A5EEE"/>
    <w:rsid w:val="005A77A6"/>
    <w:rsid w:val="005B4341"/>
    <w:rsid w:val="005D7644"/>
    <w:rsid w:val="006122B4"/>
    <w:rsid w:val="006375C7"/>
    <w:rsid w:val="00651A9D"/>
    <w:rsid w:val="00653E4C"/>
    <w:rsid w:val="00654E8F"/>
    <w:rsid w:val="00660D05"/>
    <w:rsid w:val="006820B1"/>
    <w:rsid w:val="006A5739"/>
    <w:rsid w:val="006B51A9"/>
    <w:rsid w:val="006B7D14"/>
    <w:rsid w:val="00701727"/>
    <w:rsid w:val="00705256"/>
    <w:rsid w:val="0070566C"/>
    <w:rsid w:val="00714C50"/>
    <w:rsid w:val="00725A7D"/>
    <w:rsid w:val="007501BE"/>
    <w:rsid w:val="00760A7B"/>
    <w:rsid w:val="00790BB3"/>
    <w:rsid w:val="007A1556"/>
    <w:rsid w:val="007C206C"/>
    <w:rsid w:val="007C679F"/>
    <w:rsid w:val="008072F3"/>
    <w:rsid w:val="00817DD6"/>
    <w:rsid w:val="00826DF5"/>
    <w:rsid w:val="0083759F"/>
    <w:rsid w:val="00844F75"/>
    <w:rsid w:val="00885156"/>
    <w:rsid w:val="008B1959"/>
    <w:rsid w:val="009151AA"/>
    <w:rsid w:val="0093429D"/>
    <w:rsid w:val="00943573"/>
    <w:rsid w:val="00964134"/>
    <w:rsid w:val="009674EF"/>
    <w:rsid w:val="00970F7D"/>
    <w:rsid w:val="00994A3D"/>
    <w:rsid w:val="009C1B58"/>
    <w:rsid w:val="009C2B12"/>
    <w:rsid w:val="009E34C6"/>
    <w:rsid w:val="00A174D9"/>
    <w:rsid w:val="00A648AC"/>
    <w:rsid w:val="00A717BE"/>
    <w:rsid w:val="00AA4D24"/>
    <w:rsid w:val="00AB6715"/>
    <w:rsid w:val="00B1671E"/>
    <w:rsid w:val="00B25EB8"/>
    <w:rsid w:val="00B37F4D"/>
    <w:rsid w:val="00BC3A2E"/>
    <w:rsid w:val="00BE3B1D"/>
    <w:rsid w:val="00C31345"/>
    <w:rsid w:val="00C52A7B"/>
    <w:rsid w:val="00C56BAF"/>
    <w:rsid w:val="00C679AA"/>
    <w:rsid w:val="00C75972"/>
    <w:rsid w:val="00C82315"/>
    <w:rsid w:val="00CD066B"/>
    <w:rsid w:val="00CE3871"/>
    <w:rsid w:val="00CE4FEE"/>
    <w:rsid w:val="00D060CF"/>
    <w:rsid w:val="00D107BD"/>
    <w:rsid w:val="00D125E6"/>
    <w:rsid w:val="00D5580B"/>
    <w:rsid w:val="00D72B9E"/>
    <w:rsid w:val="00DA4FEE"/>
    <w:rsid w:val="00DB59C3"/>
    <w:rsid w:val="00DC259A"/>
    <w:rsid w:val="00DE23E8"/>
    <w:rsid w:val="00E35D3F"/>
    <w:rsid w:val="00E52377"/>
    <w:rsid w:val="00E537AD"/>
    <w:rsid w:val="00E540C7"/>
    <w:rsid w:val="00E64876"/>
    <w:rsid w:val="00E64E17"/>
    <w:rsid w:val="00E866C9"/>
    <w:rsid w:val="00E96109"/>
    <w:rsid w:val="00E97904"/>
    <w:rsid w:val="00EA0B41"/>
    <w:rsid w:val="00EA3D3C"/>
    <w:rsid w:val="00EC090A"/>
    <w:rsid w:val="00ED20B5"/>
    <w:rsid w:val="00F41EAF"/>
    <w:rsid w:val="00F46900"/>
    <w:rsid w:val="00F477BC"/>
    <w:rsid w:val="00F61D89"/>
    <w:rsid w:val="00FF2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unhideWhenUsed/>
    <w:rsid w:val="00AB6715"/>
    <w:rPr>
      <w:sz w:val="20"/>
      <w:szCs w:val="20"/>
    </w:rPr>
  </w:style>
  <w:style w:type="character" w:customStyle="1" w:styleId="CommentaireCar">
    <w:name w:val="Commentaire Car"/>
    <w:basedOn w:val="Policepardfaut"/>
    <w:link w:val="Commentaire"/>
    <w:uiPriority w:val="99"/>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12770/786ae295-0922-4616-b5e0-db799f387fcc" TargetMode="External"/><Relationship Id="rId18" Type="http://schemas.openxmlformats.org/officeDocument/2006/relationships/header" Target="header1.xml"/><Relationship Id="rId26" Type="http://schemas.openxmlformats.org/officeDocument/2006/relationships/hyperlink" Target="http://dx.doi.org/10.12770/4ab2fb42-ba5b-418d-9675-a642edfaca7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x.doi.org/10.12770/66c5957b-6cb5-4fce-9ca5-1cb609fa39b5" TargetMode="External"/><Relationship Id="rId25" Type="http://schemas.openxmlformats.org/officeDocument/2006/relationships/hyperlink" Target="http://dx.doi.org/10.12770/79f078bf-7f80-4efc-a5b4-9e01609b6a5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2770/786ae295-0922-4616-b5e0-db799f387fcc"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dx.doi.org/10.12770/786ae295-0922-4616-b5e0-db799f387fcc" TargetMode="External"/><Relationship Id="rId23" Type="http://schemas.openxmlformats.org/officeDocument/2006/relationships/hyperlink" Target="http://dx.doi.org/10.12770/debcbd09-4a36-48f3-a7c8-38f313eedd1b"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dx.doi.org/10.12770/3f14f4aa-ffaa-4152-865f-01be69048fce" TargetMode="External"/><Relationship Id="rId14" Type="http://schemas.openxmlformats.org/officeDocument/2006/relationships/image" Target="media/image4.png"/><Relationship Id="rId22" Type="http://schemas.openxmlformats.org/officeDocument/2006/relationships/image" Target="media/image7.tiff"/><Relationship Id="rId27"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FCD136B-0A8E-401A-8735-1531A447A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12</Pages>
  <Words>1869</Words>
  <Characters>10283</Characters>
  <Application>Microsoft Office Word</Application>
  <DocSecurity>0</DocSecurity>
  <Lines>85</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Marielle BOUILDE, Ifremer Nantes PDG-DS-ISTBLP, </cp:lastModifiedBy>
  <cp:revision>2</cp:revision>
  <cp:lastPrinted>2013-10-03T12:51:00Z</cp:lastPrinted>
  <dcterms:created xsi:type="dcterms:W3CDTF">2021-07-13T06:23:00Z</dcterms:created>
  <dcterms:modified xsi:type="dcterms:W3CDTF">2021-07-13T06:23:00Z</dcterms:modified>
</cp:coreProperties>
</file>