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EEBB" w14:textId="77777777" w:rsidR="00383321" w:rsidRPr="00196526" w:rsidRDefault="00383321" w:rsidP="00383321">
      <w:pPr>
        <w:tabs>
          <w:tab w:val="left" w:pos="6379"/>
        </w:tabs>
        <w:spacing w:after="0"/>
        <w:contextualSpacing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Supporting Information</w:t>
      </w:r>
    </w:p>
    <w:p w14:paraId="63E35878" w14:textId="77777777" w:rsidR="00383321" w:rsidRPr="00966B6D" w:rsidRDefault="00383321" w:rsidP="00383321">
      <w:pPr>
        <w:spacing w:after="0"/>
        <w:contextualSpacing/>
        <w:jc w:val="both"/>
        <w:rPr>
          <w:b/>
          <w:lang w:val="en-US"/>
        </w:rPr>
      </w:pPr>
    </w:p>
    <w:p w14:paraId="494916AB" w14:textId="75C76BB6" w:rsidR="00383321" w:rsidRDefault="00FB4A0A" w:rsidP="00454018">
      <w:pPr>
        <w:pStyle w:val="Lgende"/>
        <w:jc w:val="both"/>
        <w:rPr>
          <w:lang w:val="en-US"/>
        </w:rPr>
      </w:pPr>
      <w:r>
        <w:rPr>
          <w:noProof/>
        </w:rPr>
        <w:drawing>
          <wp:inline distT="0" distB="0" distL="0" distR="0" wp14:anchorId="7A3B7045" wp14:editId="4360C401">
            <wp:extent cx="5760720" cy="7460605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8779" w14:textId="77777777" w:rsidR="00383321" w:rsidRDefault="00383321" w:rsidP="00383321">
      <w:pPr>
        <w:keepNext/>
        <w:spacing w:after="0"/>
        <w:contextualSpacing/>
        <w:jc w:val="both"/>
      </w:pPr>
      <w:bookmarkStart w:id="0" w:name="_GoBack"/>
      <w:bookmarkEnd w:id="0"/>
    </w:p>
    <w:p w14:paraId="1A14EF45" w14:textId="4633C916" w:rsidR="00383321" w:rsidRPr="00B95B86" w:rsidRDefault="00383321" w:rsidP="00383321">
      <w:pPr>
        <w:pStyle w:val="Lgende"/>
        <w:jc w:val="both"/>
        <w:rPr>
          <w:lang w:val="en-US"/>
        </w:rPr>
      </w:pPr>
      <w:r>
        <w:rPr>
          <w:b w:val="0"/>
          <w:color w:val="auto"/>
          <w:lang w:val="en-US"/>
        </w:rPr>
        <w:t>F</w:t>
      </w:r>
      <w:r w:rsidRPr="00D62DB2">
        <w:rPr>
          <w:b w:val="0"/>
          <w:color w:val="auto"/>
          <w:lang w:val="en-US"/>
        </w:rPr>
        <w:t xml:space="preserve">igure </w:t>
      </w:r>
      <w:r>
        <w:rPr>
          <w:b w:val="0"/>
          <w:color w:val="auto"/>
          <w:lang w:val="en-US"/>
        </w:rPr>
        <w:t>S2</w:t>
      </w:r>
      <w:r w:rsidRPr="00D62DB2">
        <w:rPr>
          <w:b w:val="0"/>
          <w:color w:val="auto"/>
          <w:lang w:val="en-US"/>
        </w:rPr>
        <w:t>:</w:t>
      </w:r>
      <w:r>
        <w:rPr>
          <w:b w:val="0"/>
          <w:color w:val="auto"/>
          <w:lang w:val="en-US"/>
        </w:rPr>
        <w:t xml:space="preserve"> Effect of </w:t>
      </w:r>
      <w:r w:rsidRPr="00D87B40">
        <w:rPr>
          <w:b w:val="0"/>
          <w:i/>
          <w:color w:val="auto"/>
          <w:lang w:val="en-US"/>
        </w:rPr>
        <w:t>Sc39</w:t>
      </w:r>
      <w:r>
        <w:rPr>
          <w:b w:val="0"/>
          <w:i/>
          <w:color w:val="auto"/>
          <w:lang w:val="en-US"/>
        </w:rPr>
        <w:t xml:space="preserve"> </w:t>
      </w:r>
      <w:r w:rsidRPr="00F51DBC">
        <w:rPr>
          <w:b w:val="0"/>
          <w:i/>
          <w:color w:val="auto"/>
          <w:lang w:val="en-US"/>
        </w:rPr>
        <w:t xml:space="preserve">S. </w:t>
      </w:r>
      <w:proofErr w:type="spellStart"/>
      <w:r w:rsidRPr="00F51DBC">
        <w:rPr>
          <w:b w:val="0"/>
          <w:i/>
          <w:color w:val="auto"/>
          <w:lang w:val="en-US"/>
        </w:rPr>
        <w:t>dongha</w:t>
      </w:r>
      <w:r>
        <w:rPr>
          <w:b w:val="0"/>
          <w:i/>
          <w:color w:val="auto"/>
          <w:lang w:val="en-US"/>
        </w:rPr>
        <w:t>i</w:t>
      </w:r>
      <w:r w:rsidRPr="00F51DBC">
        <w:rPr>
          <w:b w:val="0"/>
          <w:i/>
          <w:color w:val="auto"/>
          <w:lang w:val="en-US"/>
        </w:rPr>
        <w:t>enis</w:t>
      </w:r>
      <w:proofErr w:type="spellEnd"/>
      <w:r>
        <w:rPr>
          <w:b w:val="0"/>
          <w:color w:val="auto"/>
          <w:lang w:val="en-US"/>
        </w:rPr>
        <w:t xml:space="preserve"> filtrates (Theoretical cell concentration = 7000 cells ml</w:t>
      </w:r>
      <w:r w:rsidRPr="00DC38AC">
        <w:rPr>
          <w:vertAlign w:val="superscript"/>
          <w:lang w:val="en-US"/>
        </w:rPr>
        <w:t>-1</w:t>
      </w:r>
      <w:r>
        <w:rPr>
          <w:b w:val="0"/>
          <w:color w:val="auto"/>
          <w:lang w:val="en-US"/>
        </w:rPr>
        <w:t xml:space="preserve"> for (a) and (b), 10000 cells mL</w:t>
      </w:r>
      <w:r w:rsidRPr="00DC38AC">
        <w:rPr>
          <w:vertAlign w:val="superscript"/>
          <w:lang w:val="en-US"/>
        </w:rPr>
        <w:t>-1</w:t>
      </w:r>
      <w:r>
        <w:rPr>
          <w:b w:val="0"/>
          <w:color w:val="auto"/>
          <w:lang w:val="en-US"/>
        </w:rPr>
        <w:t xml:space="preserve"> for (c, d, e, f) on the infectivity of A25 </w:t>
      </w:r>
      <w:proofErr w:type="spellStart"/>
      <w:r>
        <w:rPr>
          <w:b w:val="0"/>
          <w:color w:val="auto"/>
          <w:lang w:val="en-US"/>
        </w:rPr>
        <w:t>dinospores</w:t>
      </w:r>
      <w:proofErr w:type="spellEnd"/>
      <w:r>
        <w:rPr>
          <w:b w:val="0"/>
          <w:color w:val="auto"/>
          <w:lang w:val="en-US"/>
        </w:rPr>
        <w:t xml:space="preserve"> to </w:t>
      </w:r>
      <w:r>
        <w:rPr>
          <w:b w:val="0"/>
          <w:i/>
          <w:color w:val="auto"/>
          <w:lang w:val="en-US"/>
        </w:rPr>
        <w:t xml:space="preserve">S. </w:t>
      </w:r>
      <w:proofErr w:type="spellStart"/>
      <w:r>
        <w:rPr>
          <w:b w:val="0"/>
          <w:i/>
          <w:color w:val="auto"/>
          <w:lang w:val="en-US"/>
        </w:rPr>
        <w:t>acuminata</w:t>
      </w:r>
      <w:proofErr w:type="spellEnd"/>
      <w:r>
        <w:rPr>
          <w:b w:val="0"/>
          <w:i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 xml:space="preserve">(ST147). Infections were performed at three different </w:t>
      </w:r>
      <w:proofErr w:type="spellStart"/>
      <w:r w:rsidRPr="00F51DBC">
        <w:rPr>
          <w:b w:val="0"/>
          <w:color w:val="auto"/>
          <w:lang w:val="en-US"/>
        </w:rPr>
        <w:t>dinospores</w:t>
      </w:r>
      <w:proofErr w:type="spellEnd"/>
      <w:r w:rsidRPr="00F51DBC">
        <w:rPr>
          <w:b w:val="0"/>
          <w:color w:val="auto"/>
          <w:lang w:val="en-US"/>
        </w:rPr>
        <w:t xml:space="preserve">: </w:t>
      </w:r>
      <w:r>
        <w:rPr>
          <w:b w:val="0"/>
          <w:i/>
          <w:color w:val="auto"/>
          <w:lang w:val="en-US"/>
        </w:rPr>
        <w:t xml:space="preserve">S. </w:t>
      </w:r>
      <w:proofErr w:type="spellStart"/>
      <w:r>
        <w:rPr>
          <w:b w:val="0"/>
          <w:i/>
          <w:color w:val="auto"/>
          <w:lang w:val="en-US"/>
        </w:rPr>
        <w:t>acuminata</w:t>
      </w:r>
      <w:proofErr w:type="spellEnd"/>
      <w:r>
        <w:rPr>
          <w:b w:val="0"/>
          <w:color w:val="auto"/>
          <w:lang w:val="en-US"/>
        </w:rPr>
        <w:t xml:space="preserve"> ratios; 5:1(a, b),1:1 (C and D) and </w:t>
      </w:r>
      <w:r w:rsidR="00FB4A0A">
        <w:rPr>
          <w:b w:val="0"/>
          <w:color w:val="auto"/>
          <w:lang w:val="en-US"/>
        </w:rPr>
        <w:t>1</w:t>
      </w:r>
      <w:r>
        <w:rPr>
          <w:b w:val="0"/>
          <w:color w:val="auto"/>
          <w:lang w:val="en-US"/>
        </w:rPr>
        <w:t>:</w:t>
      </w:r>
      <w:r w:rsidR="00FB4A0A">
        <w:rPr>
          <w:b w:val="0"/>
          <w:color w:val="auto"/>
          <w:lang w:val="en-US"/>
        </w:rPr>
        <w:t>2</w:t>
      </w:r>
      <w:r>
        <w:rPr>
          <w:b w:val="0"/>
          <w:color w:val="auto"/>
          <w:lang w:val="en-US"/>
        </w:rPr>
        <w:t xml:space="preserve"> (e, f). The densities of the host ST147 during the infection </w:t>
      </w:r>
      <w:r>
        <w:rPr>
          <w:b w:val="0"/>
          <w:color w:val="auto"/>
          <w:lang w:val="en-US"/>
        </w:rPr>
        <w:lastRenderedPageBreak/>
        <w:t xml:space="preserve">cycle are shown in graphs (a, c, e). The density of fluorescent </w:t>
      </w:r>
      <w:proofErr w:type="spellStart"/>
      <w:r>
        <w:rPr>
          <w:b w:val="0"/>
          <w:color w:val="auto"/>
          <w:lang w:val="en-US"/>
        </w:rPr>
        <w:t>dinospores</w:t>
      </w:r>
      <w:proofErr w:type="spellEnd"/>
      <w:r>
        <w:rPr>
          <w:b w:val="0"/>
          <w:color w:val="auto"/>
          <w:lang w:val="en-US"/>
        </w:rPr>
        <w:t xml:space="preserve"> are shown in graphs (b, d, f). The controls (Filtrate ST147) are shown in black while the conditions in presence of Sc39 filtrate are shown in </w:t>
      </w:r>
      <w:r w:rsidR="00021F57">
        <w:rPr>
          <w:b w:val="0"/>
          <w:color w:val="auto"/>
          <w:lang w:val="en-US"/>
        </w:rPr>
        <w:t>grey</w:t>
      </w:r>
      <w:r>
        <w:rPr>
          <w:b w:val="0"/>
          <w:color w:val="auto"/>
          <w:lang w:val="en-US"/>
        </w:rPr>
        <w:t xml:space="preserve">. </w:t>
      </w:r>
    </w:p>
    <w:p w14:paraId="302BFA64" w14:textId="77777777" w:rsidR="004F5BD0" w:rsidRDefault="004F5BD0"/>
    <w:sectPr w:rsidR="004F5BD0" w:rsidSect="00913C7D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E2BA" w14:textId="77777777" w:rsidR="0032294C" w:rsidRDefault="0032294C">
      <w:pPr>
        <w:spacing w:after="0" w:line="240" w:lineRule="auto"/>
      </w:pPr>
      <w:r>
        <w:separator/>
      </w:r>
    </w:p>
  </w:endnote>
  <w:endnote w:type="continuationSeparator" w:id="0">
    <w:p w14:paraId="3A304A9A" w14:textId="77777777" w:rsidR="0032294C" w:rsidRDefault="0032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885948"/>
      <w:docPartObj>
        <w:docPartGallery w:val="Page Numbers (Bottom of Page)"/>
        <w:docPartUnique/>
      </w:docPartObj>
    </w:sdtPr>
    <w:sdtEndPr/>
    <w:sdtContent>
      <w:p w14:paraId="241A89F2" w14:textId="77777777" w:rsidR="00631DAB" w:rsidRDefault="003833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ACDC6" w14:textId="77777777" w:rsidR="00631DAB" w:rsidRDefault="003229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70F7F" w14:textId="77777777" w:rsidR="0032294C" w:rsidRDefault="0032294C">
      <w:pPr>
        <w:spacing w:after="0" w:line="240" w:lineRule="auto"/>
      </w:pPr>
      <w:r>
        <w:separator/>
      </w:r>
    </w:p>
  </w:footnote>
  <w:footnote w:type="continuationSeparator" w:id="0">
    <w:p w14:paraId="770CF83E" w14:textId="77777777" w:rsidR="0032294C" w:rsidRDefault="00322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21"/>
    <w:rsid w:val="00021F57"/>
    <w:rsid w:val="00024E25"/>
    <w:rsid w:val="0009043C"/>
    <w:rsid w:val="00104829"/>
    <w:rsid w:val="00247D3A"/>
    <w:rsid w:val="0032294C"/>
    <w:rsid w:val="00383321"/>
    <w:rsid w:val="0038745A"/>
    <w:rsid w:val="003A6A84"/>
    <w:rsid w:val="00454018"/>
    <w:rsid w:val="00473A75"/>
    <w:rsid w:val="004F5BD0"/>
    <w:rsid w:val="00574A31"/>
    <w:rsid w:val="005E5B7A"/>
    <w:rsid w:val="00622EBE"/>
    <w:rsid w:val="00763FAD"/>
    <w:rsid w:val="00783705"/>
    <w:rsid w:val="00784863"/>
    <w:rsid w:val="008216F9"/>
    <w:rsid w:val="008B2DF6"/>
    <w:rsid w:val="008F0B98"/>
    <w:rsid w:val="009433CF"/>
    <w:rsid w:val="009954BE"/>
    <w:rsid w:val="009971C6"/>
    <w:rsid w:val="009C58A0"/>
    <w:rsid w:val="009E43F6"/>
    <w:rsid w:val="00B04C59"/>
    <w:rsid w:val="00B346B2"/>
    <w:rsid w:val="00C22B6A"/>
    <w:rsid w:val="00CC0F89"/>
    <w:rsid w:val="00CE49D9"/>
    <w:rsid w:val="00D2424E"/>
    <w:rsid w:val="00DD2B3C"/>
    <w:rsid w:val="00E2691E"/>
    <w:rsid w:val="00E64FC3"/>
    <w:rsid w:val="00FB4A0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85F3"/>
  <w15:chartTrackingRefBased/>
  <w15:docId w15:val="{462A788B-B286-47A3-BD0C-CF18FF3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3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8332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8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321"/>
  </w:style>
  <w:style w:type="character" w:styleId="Numrodeligne">
    <w:name w:val="line number"/>
    <w:basedOn w:val="Policepardfaut"/>
    <w:uiPriority w:val="99"/>
    <w:semiHidden/>
    <w:unhideWhenUsed/>
    <w:rsid w:val="00383321"/>
  </w:style>
  <w:style w:type="character" w:styleId="Marquedecommentaire">
    <w:name w:val="annotation reference"/>
    <w:basedOn w:val="Policepardfaut"/>
    <w:uiPriority w:val="99"/>
    <w:semiHidden/>
    <w:unhideWhenUsed/>
    <w:rsid w:val="00DD2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2B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2B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2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2B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LONG, Ifremer Brest PDG-ODE-DYNECO-PELAGOS</dc:creator>
  <cp:keywords/>
  <dc:description/>
  <cp:lastModifiedBy>Marc LONG, Ifremer Brest PDG-ODE-DYNECO-PELAGOS</cp:lastModifiedBy>
  <cp:revision>2</cp:revision>
  <cp:lastPrinted>2021-02-12T14:50:00Z</cp:lastPrinted>
  <dcterms:created xsi:type="dcterms:W3CDTF">2021-05-31T12:55:00Z</dcterms:created>
  <dcterms:modified xsi:type="dcterms:W3CDTF">2021-05-31T12:55:00Z</dcterms:modified>
</cp:coreProperties>
</file>