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4F" w:rsidRDefault="0090324F" w:rsidP="0090324F">
      <w:pPr>
        <w:pStyle w:val="Titre1"/>
        <w:jc w:val="center"/>
        <w:rPr>
          <w:rFonts w:ascii="Arial" w:hAnsi="Arial" w:cs="Arial"/>
          <w:lang w:val="en-GB"/>
        </w:rPr>
      </w:pPr>
      <w:r w:rsidRPr="00413440">
        <w:rPr>
          <w:rFonts w:ascii="Arial" w:hAnsi="Arial" w:cs="Arial"/>
          <w:lang w:val="en-GB"/>
        </w:rPr>
        <w:t xml:space="preserve">Supplementary Material </w:t>
      </w:r>
      <w:r w:rsidR="002464F5">
        <w:rPr>
          <w:rFonts w:ascii="Arial" w:hAnsi="Arial" w:cs="Arial"/>
          <w:lang w:val="en-GB"/>
        </w:rPr>
        <w:t>7</w:t>
      </w:r>
      <w:bookmarkStart w:id="0" w:name="_GoBack"/>
      <w:bookmarkEnd w:id="0"/>
    </w:p>
    <w:p w:rsidR="005E1898" w:rsidRPr="0090324F" w:rsidRDefault="0090324F" w:rsidP="0090324F">
      <w:pPr>
        <w:pStyle w:val="Titre1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Indicator template sheet</w:t>
      </w:r>
      <w:r w:rsidR="002677E7" w:rsidRPr="0090324F">
        <w:rPr>
          <w:rFonts w:ascii="Arial" w:hAnsi="Arial" w:cs="Arial"/>
          <w:lang w:val="en-GB"/>
        </w:rPr>
        <w:t xml:space="preserve"> (with an example)</w:t>
      </w:r>
    </w:p>
    <w:p w:rsidR="005E1898" w:rsidRPr="002677E7" w:rsidRDefault="005E1898" w:rsidP="005E1898">
      <w:pPr>
        <w:jc w:val="left"/>
        <w:rPr>
          <w:b/>
          <w:lang w:val="en-GB"/>
        </w:rPr>
      </w:pPr>
    </w:p>
    <w:p w:rsidR="005E1898" w:rsidRPr="004B5398" w:rsidRDefault="005E1898" w:rsidP="005E1898">
      <w:pPr>
        <w:jc w:val="left"/>
        <w:rPr>
          <w:b/>
        </w:rPr>
      </w:pPr>
      <w:r w:rsidRPr="004B5398">
        <w:rPr>
          <w:b/>
        </w:rPr>
        <w:t>Li</w:t>
      </w:r>
      <w:r>
        <w:rPr>
          <w:b/>
        </w:rPr>
        <w:t>nk</w:t>
      </w:r>
      <w:r w:rsidRPr="004B5398"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conservation objectives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7"/>
        <w:gridCol w:w="7393"/>
      </w:tblGrid>
      <w:tr w:rsidR="005E1898" w:rsidRPr="000973E7" w:rsidTr="00962337">
        <w:tc>
          <w:tcPr>
            <w:tcW w:w="1668" w:type="dxa"/>
            <w:vAlign w:val="center"/>
          </w:tcPr>
          <w:p w:rsidR="005E1898" w:rsidRPr="000973E7" w:rsidRDefault="005E1898" w:rsidP="00962337">
            <w:pPr>
              <w:pStyle w:val="Sansinterligne"/>
            </w:pPr>
            <w:r>
              <w:t>Conservation goal</w:t>
            </w:r>
          </w:p>
        </w:tc>
        <w:tc>
          <w:tcPr>
            <w:tcW w:w="7544" w:type="dxa"/>
            <w:vAlign w:val="center"/>
          </w:tcPr>
          <w:p w:rsidR="005E1898" w:rsidRPr="002677E7" w:rsidRDefault="005E1898" w:rsidP="005E1898">
            <w:proofErr w:type="spellStart"/>
            <w:r w:rsidRPr="002677E7">
              <w:t>Biodiversity</w:t>
            </w:r>
            <w:proofErr w:type="spellEnd"/>
            <w:r w:rsidRPr="002677E7">
              <w:t xml:space="preserve"> conservation or </w:t>
            </w:r>
            <w:proofErr w:type="spellStart"/>
            <w:r w:rsidRPr="002677E7">
              <w:t>Sustainable</w:t>
            </w:r>
            <w:proofErr w:type="spellEnd"/>
            <w:r w:rsidRPr="002677E7">
              <w:t xml:space="preserve"> exploitation</w:t>
            </w:r>
          </w:p>
        </w:tc>
      </w:tr>
      <w:tr w:rsidR="005E1898" w:rsidRPr="002464F5" w:rsidTr="00962337">
        <w:tc>
          <w:tcPr>
            <w:tcW w:w="1668" w:type="dxa"/>
            <w:vAlign w:val="center"/>
          </w:tcPr>
          <w:p w:rsidR="005E1898" w:rsidRPr="000973E7" w:rsidRDefault="005E1898" w:rsidP="00962337">
            <w:pPr>
              <w:pStyle w:val="Sansinterligne"/>
            </w:pPr>
            <w:r>
              <w:t>Objective</w:t>
            </w:r>
          </w:p>
        </w:tc>
        <w:tc>
          <w:tcPr>
            <w:tcW w:w="7544" w:type="dxa"/>
            <w:vAlign w:val="center"/>
          </w:tcPr>
          <w:p w:rsidR="005E1898" w:rsidRPr="002677E7" w:rsidRDefault="005E1898" w:rsidP="005E1898">
            <w:pPr>
              <w:pStyle w:val="Sansinterligne"/>
              <w:rPr>
                <w:lang w:val="en-GB"/>
              </w:rPr>
            </w:pPr>
            <w:r w:rsidRPr="002677E7">
              <w:rPr>
                <w:lang w:val="en-GB"/>
              </w:rPr>
              <w:t>Maintain communities and species representative of the ecosystem</w:t>
            </w:r>
          </w:p>
        </w:tc>
      </w:tr>
      <w:tr w:rsidR="005E1898" w:rsidRPr="002464F5" w:rsidTr="00962337">
        <w:tc>
          <w:tcPr>
            <w:tcW w:w="1668" w:type="dxa"/>
            <w:vAlign w:val="center"/>
          </w:tcPr>
          <w:p w:rsidR="005E1898" w:rsidRPr="000973E7" w:rsidRDefault="005E1898" w:rsidP="00962337">
            <w:pPr>
              <w:pStyle w:val="Sansinterligne"/>
            </w:pPr>
            <w:r>
              <w:t xml:space="preserve">Relevance of the </w:t>
            </w:r>
            <w:proofErr w:type="spellStart"/>
            <w:r>
              <w:t>indicator</w:t>
            </w:r>
            <w:proofErr w:type="spellEnd"/>
          </w:p>
        </w:tc>
        <w:tc>
          <w:tcPr>
            <w:tcW w:w="7544" w:type="dxa"/>
            <w:vAlign w:val="center"/>
          </w:tcPr>
          <w:p w:rsidR="005E1898" w:rsidRPr="002677E7" w:rsidRDefault="005E1898" w:rsidP="005E1898">
            <w:pPr>
              <w:rPr>
                <w:lang w:val="en-GB"/>
              </w:rPr>
            </w:pPr>
            <w:r w:rsidRPr="002677E7">
              <w:rPr>
                <w:lang w:val="en-GB"/>
              </w:rPr>
              <w:t>Overall abundance density informs on the overall status of the fish assemblage in the area. It strongly depends on habitat and is sensitive to schooling species.</w:t>
            </w:r>
          </w:p>
        </w:tc>
      </w:tr>
    </w:tbl>
    <w:p w:rsidR="005E1898" w:rsidRPr="005E1898" w:rsidRDefault="005E1898" w:rsidP="005E1898">
      <w:pPr>
        <w:spacing w:before="240"/>
        <w:rPr>
          <w:lang w:val="en-GB"/>
        </w:rPr>
      </w:pPr>
      <w:r w:rsidRPr="005E1898">
        <w:rPr>
          <w:b/>
          <w:lang w:val="en-GB"/>
        </w:rPr>
        <w:t>Computation of the indicator</w:t>
      </w:r>
      <w:r w:rsidRPr="005E1898">
        <w:rPr>
          <w:lang w:val="en-GB"/>
        </w:rPr>
        <w:t>: Abundance density per observa</w:t>
      </w:r>
      <w:r>
        <w:rPr>
          <w:lang w:val="en-GB"/>
        </w:rPr>
        <w:t xml:space="preserve">tion unit (in </w:t>
      </w:r>
      <w:proofErr w:type="spellStart"/>
      <w:r>
        <w:rPr>
          <w:lang w:val="en-GB"/>
        </w:rPr>
        <w:t>ind</w:t>
      </w:r>
      <w:proofErr w:type="gramStart"/>
      <w:r>
        <w:rPr>
          <w:lang w:val="en-GB"/>
        </w:rPr>
        <w:t>.</w:t>
      </w:r>
      <w:proofErr w:type="spellEnd"/>
      <w:r>
        <w:rPr>
          <w:lang w:val="en-GB"/>
        </w:rPr>
        <w:t>/</w:t>
      </w:r>
      <w:proofErr w:type="gramEnd"/>
      <w:r>
        <w:rPr>
          <w:lang w:val="en-GB"/>
        </w:rPr>
        <w:t>100m</w:t>
      </w:r>
      <w:r w:rsidRPr="005E1898">
        <w:rPr>
          <w:vertAlign w:val="superscript"/>
          <w:lang w:val="en-GB"/>
        </w:rPr>
        <w:t>2</w:t>
      </w:r>
      <w:r>
        <w:rPr>
          <w:lang w:val="en-GB"/>
        </w:rPr>
        <w:t>). It is the average over three rotations of the number of fish observed</w:t>
      </w:r>
      <w:r w:rsidRPr="005E1898">
        <w:rPr>
          <w:lang w:val="en-GB"/>
        </w:rPr>
        <w:t xml:space="preserve"> </w:t>
      </w:r>
      <w:r>
        <w:rPr>
          <w:lang w:val="en-GB"/>
        </w:rPr>
        <w:t>with</w:t>
      </w:r>
      <w:r w:rsidRPr="005E1898">
        <w:rPr>
          <w:lang w:val="en-GB"/>
        </w:rPr>
        <w:t>in a 5 m radius around the STAVIRO</w:t>
      </w:r>
      <w:r>
        <w:rPr>
          <w:lang w:val="en-GB"/>
        </w:rPr>
        <w:t xml:space="preserve"> during one rotation.</w:t>
      </w:r>
    </w:p>
    <w:p w:rsidR="005E1898" w:rsidRPr="005E1898" w:rsidRDefault="005E1898" w:rsidP="005E1898">
      <w:pPr>
        <w:rPr>
          <w:b/>
          <w:lang w:val="en-GB"/>
        </w:rPr>
      </w:pPr>
    </w:p>
    <w:p w:rsidR="005E1898" w:rsidRDefault="005E1898" w:rsidP="005E1898">
      <w:r>
        <w:rPr>
          <w:b/>
        </w:rPr>
        <w:t>Plots</w:t>
      </w:r>
    </w:p>
    <w:p w:rsidR="005E1898" w:rsidRDefault="00303B02" w:rsidP="005E1898">
      <w:pPr>
        <w:ind w:left="-284"/>
        <w:rPr>
          <w:b/>
        </w:rPr>
      </w:pPr>
      <w:r w:rsidRPr="00BD5A04">
        <w:rPr>
          <w:b/>
          <w:noProof/>
          <w:lang w:eastAsia="fr-FR"/>
        </w:rPr>
        <w:drawing>
          <wp:inline distT="0" distB="0" distL="0" distR="0" wp14:anchorId="3EAE475F" wp14:editId="3EF4E6D2">
            <wp:extent cx="5760720" cy="247680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VIDEO\Campagnes\2013 Merlet\Analyse de données\Analyse pour rapport\Maintien de la diversité des peuplements et des espèces\Densité_tot_habita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98" w:rsidRPr="005E1898" w:rsidRDefault="00303B02" w:rsidP="005E1898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Example: </w:t>
      </w:r>
      <w:r w:rsidR="005E1898" w:rsidRPr="005E1898">
        <w:rPr>
          <w:b/>
          <w:sz w:val="20"/>
          <w:szCs w:val="20"/>
          <w:lang w:val="en-GB"/>
        </w:rPr>
        <w:t xml:space="preserve">Abundance density as a function of habitat and </w:t>
      </w:r>
      <w:r>
        <w:rPr>
          <w:b/>
          <w:sz w:val="20"/>
          <w:szCs w:val="20"/>
          <w:lang w:val="en-GB"/>
        </w:rPr>
        <w:t>site (Astrolabe, Petrie, Walpole, from left to right)</w:t>
      </w:r>
      <w:r w:rsidR="005E1898" w:rsidRPr="005E1898">
        <w:rPr>
          <w:b/>
          <w:sz w:val="20"/>
          <w:szCs w:val="20"/>
          <w:lang w:val="en-GB"/>
        </w:rPr>
        <w:t>.</w:t>
      </w:r>
    </w:p>
    <w:p w:rsidR="005E1898" w:rsidRPr="005E1898" w:rsidRDefault="005E1898" w:rsidP="005E1898">
      <w:pPr>
        <w:jc w:val="center"/>
        <w:rPr>
          <w:b/>
          <w:sz w:val="20"/>
          <w:szCs w:val="20"/>
          <w:lang w:val="en-GB"/>
        </w:rPr>
      </w:pPr>
    </w:p>
    <w:p w:rsidR="005E1898" w:rsidRPr="005E1898" w:rsidRDefault="00303B02" w:rsidP="004764B2">
      <w:pPr>
        <w:rPr>
          <w:lang w:val="en-GB"/>
        </w:rPr>
      </w:pPr>
      <w:r>
        <w:rPr>
          <w:lang w:val="en-GB"/>
        </w:rPr>
        <w:t xml:space="preserve">Contrary to other areas, the high abundances observed in Astrolabe and Petrie are not explained by </w:t>
      </w:r>
      <w:r w:rsidR="002517DC">
        <w:rPr>
          <w:lang w:val="en-GB"/>
        </w:rPr>
        <w:t xml:space="preserve">some large </w:t>
      </w:r>
      <w:r>
        <w:rPr>
          <w:lang w:val="en-GB"/>
        </w:rPr>
        <w:t xml:space="preserve">schools of fish, but </w:t>
      </w:r>
      <w:r w:rsidR="002517DC">
        <w:rPr>
          <w:lang w:val="en-GB"/>
        </w:rPr>
        <w:t xml:space="preserve">rather </w:t>
      </w:r>
      <w:r>
        <w:rPr>
          <w:lang w:val="en-GB" w:eastAsia="fr-FR"/>
        </w:rPr>
        <w:t>reflect</w:t>
      </w:r>
      <w:r>
        <w:rPr>
          <w:lang w:val="en-GB"/>
        </w:rPr>
        <w:t xml:space="preserve"> a very abundant fish assemblage, mainly Acanthuridae, </w:t>
      </w:r>
      <w:proofErr w:type="spellStart"/>
      <w:r>
        <w:rPr>
          <w:lang w:val="en-GB"/>
        </w:rPr>
        <w:t>Lutjanidae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Labridae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Scaridae</w:t>
      </w:r>
      <w:proofErr w:type="spellEnd"/>
      <w:r>
        <w:rPr>
          <w:lang w:val="en-GB"/>
        </w:rPr>
        <w:t xml:space="preserve"> (in particular </w:t>
      </w:r>
      <w:proofErr w:type="spellStart"/>
      <w:r w:rsidRPr="00303B02">
        <w:rPr>
          <w:i/>
          <w:lang w:val="en-GB"/>
        </w:rPr>
        <w:t>Acanthurus</w:t>
      </w:r>
      <w:proofErr w:type="spellEnd"/>
      <w:r w:rsidRPr="00303B02">
        <w:rPr>
          <w:i/>
          <w:lang w:val="en-GB"/>
        </w:rPr>
        <w:t xml:space="preserve"> </w:t>
      </w:r>
      <w:proofErr w:type="spellStart"/>
      <w:r w:rsidRPr="00303B02">
        <w:rPr>
          <w:i/>
          <w:lang w:val="en-GB"/>
        </w:rPr>
        <w:t>olivaceus</w:t>
      </w:r>
      <w:proofErr w:type="spellEnd"/>
      <w:r w:rsidRPr="00303B02">
        <w:rPr>
          <w:i/>
          <w:lang w:val="en-GB"/>
        </w:rPr>
        <w:t xml:space="preserve">, </w:t>
      </w:r>
      <w:proofErr w:type="spellStart"/>
      <w:r w:rsidRPr="00303B02">
        <w:rPr>
          <w:i/>
          <w:lang w:val="en-GB"/>
        </w:rPr>
        <w:t>Macolor</w:t>
      </w:r>
      <w:proofErr w:type="spellEnd"/>
      <w:r w:rsidRPr="00303B02">
        <w:rPr>
          <w:i/>
          <w:lang w:val="en-GB"/>
        </w:rPr>
        <w:t xml:space="preserve"> </w:t>
      </w:r>
      <w:proofErr w:type="spellStart"/>
      <w:r w:rsidRPr="00303B02">
        <w:rPr>
          <w:i/>
          <w:lang w:val="en-GB"/>
        </w:rPr>
        <w:t>niger</w:t>
      </w:r>
      <w:proofErr w:type="spellEnd"/>
      <w:r w:rsidRPr="00303B02">
        <w:rPr>
          <w:i/>
          <w:lang w:val="en-GB"/>
        </w:rPr>
        <w:t xml:space="preserve">, </w:t>
      </w:r>
      <w:proofErr w:type="spellStart"/>
      <w:r w:rsidRPr="00303B02">
        <w:rPr>
          <w:i/>
          <w:lang w:val="en-GB"/>
        </w:rPr>
        <w:t>Thalassoma</w:t>
      </w:r>
      <w:proofErr w:type="spellEnd"/>
      <w:r w:rsidRPr="00303B02">
        <w:rPr>
          <w:i/>
          <w:lang w:val="en-GB"/>
        </w:rPr>
        <w:t xml:space="preserve"> sp., </w:t>
      </w:r>
      <w:proofErr w:type="spellStart"/>
      <w:r w:rsidRPr="00303B02">
        <w:rPr>
          <w:i/>
          <w:lang w:val="en-GB"/>
        </w:rPr>
        <w:t>Hipposcarus</w:t>
      </w:r>
      <w:proofErr w:type="spellEnd"/>
      <w:r w:rsidRPr="00303B02">
        <w:rPr>
          <w:i/>
          <w:lang w:val="en-GB"/>
        </w:rPr>
        <w:t xml:space="preserve"> </w:t>
      </w:r>
      <w:proofErr w:type="spellStart"/>
      <w:r w:rsidRPr="00303B02">
        <w:rPr>
          <w:i/>
          <w:lang w:val="en-GB"/>
        </w:rPr>
        <w:t>longiceps</w:t>
      </w:r>
      <w:proofErr w:type="spellEnd"/>
      <w:r>
        <w:rPr>
          <w:lang w:val="en-GB"/>
        </w:rPr>
        <w:t>).</w:t>
      </w:r>
    </w:p>
    <w:p w:rsidR="005E1898" w:rsidRPr="00303B02" w:rsidRDefault="005E1898" w:rsidP="005E1898">
      <w:pPr>
        <w:jc w:val="center"/>
        <w:rPr>
          <w:b/>
          <w:lang w:val="en-GB"/>
        </w:rPr>
      </w:pPr>
    </w:p>
    <w:p w:rsidR="005E1898" w:rsidRPr="00303B02" w:rsidRDefault="005E1898" w:rsidP="005E1898">
      <w:pPr>
        <w:rPr>
          <w:b/>
          <w:lang w:val="en-GB"/>
        </w:rPr>
      </w:pPr>
    </w:p>
    <w:p w:rsidR="005E1898" w:rsidRPr="0090324F" w:rsidRDefault="00303B02" w:rsidP="005E1898">
      <w:pPr>
        <w:rPr>
          <w:b/>
          <w:lang w:val="en-GB"/>
        </w:rPr>
      </w:pPr>
      <w:r w:rsidRPr="0090324F">
        <w:rPr>
          <w:b/>
          <w:lang w:val="en-GB"/>
        </w:rPr>
        <w:t>Statistical t</w:t>
      </w:r>
      <w:r w:rsidR="005E1898" w:rsidRPr="0090324F">
        <w:rPr>
          <w:b/>
          <w:lang w:val="en-GB"/>
        </w:rPr>
        <w:t xml:space="preserve">ests </w:t>
      </w:r>
      <w:r w:rsidRPr="0090324F">
        <w:rPr>
          <w:b/>
          <w:lang w:val="en-GB"/>
        </w:rPr>
        <w:t>and results</w:t>
      </w:r>
    </w:p>
    <w:p w:rsidR="004764B2" w:rsidRPr="004764B2" w:rsidRDefault="004764B2" w:rsidP="004764B2">
      <w:pPr>
        <w:rPr>
          <w:lang w:val="en-GB" w:eastAsia="fr-FR"/>
        </w:rPr>
      </w:pPr>
      <w:r w:rsidRPr="004764B2">
        <w:rPr>
          <w:lang w:val="en-GB" w:eastAsia="fr-FR"/>
        </w:rPr>
        <w:t xml:space="preserve">Abundance density significantly </w:t>
      </w:r>
      <w:r w:rsidR="002517DC">
        <w:rPr>
          <w:lang w:val="en-GB" w:eastAsia="fr-FR"/>
        </w:rPr>
        <w:t>differ</w:t>
      </w:r>
      <w:r w:rsidRPr="004764B2">
        <w:rPr>
          <w:lang w:val="en-GB" w:eastAsia="fr-FR"/>
        </w:rPr>
        <w:t>s between the three sites (p&lt;10</w:t>
      </w:r>
      <w:r w:rsidRPr="004764B2">
        <w:rPr>
          <w:vertAlign w:val="superscript"/>
          <w:lang w:val="en-GB" w:eastAsia="fr-FR"/>
        </w:rPr>
        <w:t>-13</w:t>
      </w:r>
      <w:r w:rsidRPr="004764B2">
        <w:rPr>
          <w:lang w:val="en-GB" w:eastAsia="fr-FR"/>
        </w:rPr>
        <w:t>) and according to habitat (p&lt;10</w:t>
      </w:r>
      <w:r w:rsidRPr="004764B2">
        <w:rPr>
          <w:vertAlign w:val="superscript"/>
          <w:lang w:val="en-GB" w:eastAsia="fr-FR"/>
        </w:rPr>
        <w:t>-9</w:t>
      </w:r>
      <w:r w:rsidRPr="004764B2">
        <w:rPr>
          <w:lang w:val="en-GB" w:eastAsia="fr-FR"/>
        </w:rPr>
        <w:t>). Differences between sites marginally depend on habitat (p&lt;0.1).</w:t>
      </w:r>
    </w:p>
    <w:p w:rsidR="004764B2" w:rsidRPr="004764B2" w:rsidRDefault="004764B2" w:rsidP="004764B2">
      <w:pPr>
        <w:rPr>
          <w:lang w:val="en-GB" w:eastAsia="fr-FR"/>
        </w:rPr>
      </w:pPr>
      <w:r w:rsidRPr="004764B2">
        <w:rPr>
          <w:lang w:val="en-GB" w:eastAsia="fr-FR"/>
        </w:rPr>
        <w:t>Abundance density is very high on the Live Coral habitat, at both Astrolabe and</w:t>
      </w:r>
      <w:r>
        <w:rPr>
          <w:lang w:val="en-GB" w:eastAsia="fr-FR"/>
        </w:rPr>
        <w:t xml:space="preserve"> Pe</w:t>
      </w:r>
      <w:r w:rsidRPr="004764B2">
        <w:rPr>
          <w:lang w:val="en-GB" w:eastAsia="fr-FR"/>
        </w:rPr>
        <w:t>trie.</w:t>
      </w:r>
      <w:r>
        <w:rPr>
          <w:lang w:val="en-GB" w:eastAsia="fr-FR"/>
        </w:rPr>
        <w:t xml:space="preserve"> </w:t>
      </w:r>
      <w:r w:rsidRPr="004764B2">
        <w:rPr>
          <w:lang w:val="en-GB" w:eastAsia="fr-FR"/>
        </w:rPr>
        <w:t xml:space="preserve">Abundance density is higher on this </w:t>
      </w:r>
      <w:r>
        <w:rPr>
          <w:lang w:val="en-GB" w:eastAsia="fr-FR"/>
        </w:rPr>
        <w:t>habitat than on other habitats, and higher at Astrolabe than at the other sites.</w:t>
      </w:r>
    </w:p>
    <w:p w:rsidR="005E1898" w:rsidRPr="004764B2" w:rsidRDefault="004764B2" w:rsidP="004764B2">
      <w:pPr>
        <w:rPr>
          <w:lang w:val="en-GB"/>
        </w:rPr>
      </w:pPr>
      <w:r w:rsidRPr="004764B2">
        <w:rPr>
          <w:lang w:val="en-GB" w:eastAsia="fr-FR"/>
        </w:rPr>
        <w:lastRenderedPageBreak/>
        <w:t xml:space="preserve">Fishes are significantly more abundant at Astrolabe than at Petrie on the Live Coral (p&lt;0.01) </w:t>
      </w:r>
      <w:r>
        <w:rPr>
          <w:lang w:val="en-GB" w:eastAsia="fr-FR"/>
        </w:rPr>
        <w:t>and Debris</w:t>
      </w:r>
      <w:r w:rsidRPr="004764B2">
        <w:rPr>
          <w:lang w:val="en-GB" w:eastAsia="fr-FR"/>
        </w:rPr>
        <w:t xml:space="preserve"> (p&lt;0.001)</w:t>
      </w:r>
      <w:r>
        <w:rPr>
          <w:lang w:val="en-GB" w:eastAsia="fr-FR"/>
        </w:rPr>
        <w:t xml:space="preserve"> habitats</w:t>
      </w:r>
      <w:r w:rsidRPr="004764B2">
        <w:rPr>
          <w:lang w:val="en-GB" w:eastAsia="fr-FR"/>
        </w:rPr>
        <w:t>. No significant difference for Walpole due to a low number of observations at this site.</w:t>
      </w:r>
    </w:p>
    <w:p w:rsidR="005E1898" w:rsidRPr="004764B2" w:rsidRDefault="005E1898" w:rsidP="005E1898">
      <w:pPr>
        <w:rPr>
          <w:lang w:val="en-GB"/>
        </w:rPr>
      </w:pPr>
    </w:p>
    <w:p w:rsidR="005E1898" w:rsidRPr="004764B2" w:rsidRDefault="004764B2" w:rsidP="00F74788">
      <w:pPr>
        <w:spacing w:after="120"/>
        <w:rPr>
          <w:b/>
          <w:szCs w:val="20"/>
          <w:lang w:val="en-GB"/>
        </w:rPr>
      </w:pPr>
      <w:r w:rsidRPr="004764B2">
        <w:rPr>
          <w:b/>
          <w:szCs w:val="20"/>
          <w:lang w:val="en-GB"/>
        </w:rPr>
        <w:t>Scoring STAVIRO at the scale of New Caledonia</w:t>
      </w:r>
    </w:p>
    <w:p w:rsidR="00303B02" w:rsidRPr="00F74788" w:rsidRDefault="00303B02" w:rsidP="00F74788">
      <w:pPr>
        <w:pStyle w:val="Paragraphedeliste"/>
        <w:numPr>
          <w:ilvl w:val="0"/>
          <w:numId w:val="4"/>
        </w:numPr>
        <w:ind w:left="284" w:hanging="142"/>
        <w:rPr>
          <w:lang w:val="en-GB"/>
        </w:rPr>
      </w:pPr>
      <w:proofErr w:type="gramStart"/>
      <w:r w:rsidRPr="00F74788">
        <w:rPr>
          <w:b/>
          <w:lang w:val="en-GB"/>
        </w:rPr>
        <w:t>Astrolabe :</w:t>
      </w:r>
      <w:proofErr w:type="gramEnd"/>
      <w:r w:rsidRPr="00F74788">
        <w:rPr>
          <w:lang w:val="en-GB"/>
        </w:rPr>
        <w:t xml:space="preserve"> </w:t>
      </w:r>
      <w:r w:rsidR="00F74788" w:rsidRPr="00F74788">
        <w:rPr>
          <w:lang w:val="en-GB"/>
        </w:rPr>
        <w:t>Ecological s</w:t>
      </w:r>
      <w:r w:rsidR="004764B2" w:rsidRPr="00F74788">
        <w:rPr>
          <w:lang w:val="en-GB"/>
        </w:rPr>
        <w:t xml:space="preserve">tatus </w:t>
      </w:r>
      <w:r w:rsidR="00F74788" w:rsidRPr="00F74788">
        <w:rPr>
          <w:lang w:val="en-GB"/>
        </w:rPr>
        <w:t xml:space="preserve">for this indicator </w:t>
      </w:r>
      <w:r w:rsidR="004764B2" w:rsidRPr="00F74788">
        <w:rPr>
          <w:lang w:val="en-GB"/>
        </w:rPr>
        <w:t>is either good or excellent</w:t>
      </w:r>
      <w:r w:rsidRPr="00F74788">
        <w:rPr>
          <w:lang w:val="en-GB"/>
        </w:rPr>
        <w:t xml:space="preserve">. </w:t>
      </w:r>
      <w:r w:rsidR="004764B2" w:rsidRPr="00F74788">
        <w:rPr>
          <w:lang w:val="en-GB"/>
        </w:rPr>
        <w:t>Status is homogeneous within each habitat, with e.g. 90% of</w:t>
      </w:r>
      <w:r w:rsidRPr="00F74788">
        <w:rPr>
          <w:lang w:val="en-GB"/>
        </w:rPr>
        <w:t xml:space="preserve"> stations </w:t>
      </w:r>
      <w:r w:rsidR="004764B2" w:rsidRPr="00F74788">
        <w:rPr>
          <w:lang w:val="en-GB"/>
        </w:rPr>
        <w:t>good or excellent</w:t>
      </w:r>
      <w:r w:rsidRPr="00F74788">
        <w:rPr>
          <w:lang w:val="en-GB"/>
        </w:rPr>
        <w:t xml:space="preserve"> </w:t>
      </w:r>
      <w:r w:rsidR="00F74788" w:rsidRPr="00F74788">
        <w:rPr>
          <w:lang w:val="en-GB"/>
        </w:rPr>
        <w:t>in the Live Coral and i</w:t>
      </w:r>
      <w:r w:rsidR="004764B2" w:rsidRPr="00F74788">
        <w:rPr>
          <w:lang w:val="en-GB"/>
        </w:rPr>
        <w:t>n the Debris habitats.</w:t>
      </w:r>
      <w:r w:rsidRPr="00F74788">
        <w:rPr>
          <w:lang w:val="en-GB"/>
        </w:rPr>
        <w:t xml:space="preserve"> </w:t>
      </w:r>
    </w:p>
    <w:p w:rsidR="00303B02" w:rsidRDefault="004764B2" w:rsidP="00F74788">
      <w:pPr>
        <w:pStyle w:val="Paragraphedeliste"/>
        <w:numPr>
          <w:ilvl w:val="0"/>
          <w:numId w:val="4"/>
        </w:numPr>
        <w:ind w:left="284" w:hanging="142"/>
      </w:pPr>
      <w:proofErr w:type="gramStart"/>
      <w:r w:rsidRPr="00F74788">
        <w:rPr>
          <w:b/>
          <w:lang w:val="en-GB"/>
        </w:rPr>
        <w:t>Pe</w:t>
      </w:r>
      <w:r w:rsidR="00303B02" w:rsidRPr="00F74788">
        <w:rPr>
          <w:b/>
          <w:lang w:val="en-GB"/>
        </w:rPr>
        <w:t>trie :</w:t>
      </w:r>
      <w:proofErr w:type="gramEnd"/>
      <w:r w:rsidR="00303B02" w:rsidRPr="00F74788">
        <w:rPr>
          <w:lang w:val="en-GB"/>
        </w:rPr>
        <w:t xml:space="preserve"> </w:t>
      </w:r>
      <w:r w:rsidRPr="00F74788">
        <w:rPr>
          <w:lang w:val="en-GB"/>
        </w:rPr>
        <w:t xml:space="preserve">Status is less </w:t>
      </w:r>
      <w:r w:rsidR="00F74788" w:rsidRPr="00F74788">
        <w:rPr>
          <w:lang w:val="en-GB"/>
        </w:rPr>
        <w:t>outstanding than at Astrolabe, but remains</w:t>
      </w:r>
      <w:r w:rsidR="00303B02" w:rsidRPr="00F74788">
        <w:rPr>
          <w:lang w:val="en-GB"/>
        </w:rPr>
        <w:t xml:space="preserve"> </w:t>
      </w:r>
      <w:r w:rsidR="00F74788" w:rsidRPr="00F74788">
        <w:rPr>
          <w:lang w:val="en-GB"/>
        </w:rPr>
        <w:t>good</w:t>
      </w:r>
      <w:r w:rsidR="00303B02" w:rsidRPr="00F74788">
        <w:rPr>
          <w:lang w:val="en-GB"/>
        </w:rPr>
        <w:t xml:space="preserve"> </w:t>
      </w:r>
      <w:r w:rsidR="00F74788" w:rsidRPr="00F74788">
        <w:rPr>
          <w:lang w:val="en-GB"/>
        </w:rPr>
        <w:t>on</w:t>
      </w:r>
      <w:r w:rsidR="00303B02" w:rsidRPr="00F74788">
        <w:rPr>
          <w:lang w:val="en-GB"/>
        </w:rPr>
        <w:t xml:space="preserve"> </w:t>
      </w:r>
      <w:r w:rsidR="00F74788" w:rsidRPr="00F74788">
        <w:rPr>
          <w:lang w:val="en-GB"/>
        </w:rPr>
        <w:t xml:space="preserve">the Live Coral and Debris </w:t>
      </w:r>
      <w:r w:rsidR="00303B02" w:rsidRPr="00F74788">
        <w:rPr>
          <w:lang w:val="en-GB"/>
        </w:rPr>
        <w:t xml:space="preserve">habitats. </w:t>
      </w:r>
      <w:r w:rsidR="00F74788" w:rsidRPr="00F74788">
        <w:rPr>
          <w:lang w:val="en-GB"/>
        </w:rPr>
        <w:t>Status is good on the external slope in the Live Coral habitat</w:t>
      </w:r>
      <w:r w:rsidR="00303B02" w:rsidRPr="00F74788">
        <w:rPr>
          <w:lang w:val="en-GB"/>
        </w:rPr>
        <w:t xml:space="preserve">. </w:t>
      </w:r>
      <w:proofErr w:type="gramStart"/>
      <w:r w:rsidR="00303B02" w:rsidRPr="0090324F">
        <w:rPr>
          <w:lang w:val="en-GB"/>
        </w:rPr>
        <w:t>70%</w:t>
      </w:r>
      <w:proofErr w:type="gramEnd"/>
      <w:r w:rsidR="00303B02" w:rsidRPr="0090324F">
        <w:rPr>
          <w:lang w:val="en-GB"/>
        </w:rPr>
        <w:t xml:space="preserve"> </w:t>
      </w:r>
      <w:r w:rsidR="00F74788" w:rsidRPr="0090324F">
        <w:rPr>
          <w:lang w:val="en-GB"/>
        </w:rPr>
        <w:t xml:space="preserve">(resp. </w:t>
      </w:r>
      <w:r w:rsidR="00F74788" w:rsidRPr="00F74788">
        <w:rPr>
          <w:lang w:val="en-GB"/>
        </w:rPr>
        <w:t>75%) of</w:t>
      </w:r>
      <w:r w:rsidR="00303B02" w:rsidRPr="00F74788">
        <w:rPr>
          <w:lang w:val="en-GB"/>
        </w:rPr>
        <w:t xml:space="preserve"> stations </w:t>
      </w:r>
      <w:r w:rsidR="00F74788" w:rsidRPr="00F74788">
        <w:rPr>
          <w:lang w:val="en-GB"/>
        </w:rPr>
        <w:t>display good or</w:t>
      </w:r>
      <w:r w:rsidR="00303B02" w:rsidRPr="00F74788">
        <w:rPr>
          <w:lang w:val="en-GB"/>
        </w:rPr>
        <w:t xml:space="preserve"> excellent </w:t>
      </w:r>
      <w:r w:rsidR="00F74788" w:rsidRPr="00F74788">
        <w:rPr>
          <w:lang w:val="en-GB"/>
        </w:rPr>
        <w:t xml:space="preserve">status on the Live Coral (resp. </w:t>
      </w:r>
      <w:proofErr w:type="spellStart"/>
      <w:r w:rsidR="00F74788" w:rsidRPr="00F74788">
        <w:t>Debris</w:t>
      </w:r>
      <w:proofErr w:type="spellEnd"/>
      <w:r w:rsidR="00F74788" w:rsidRPr="00F74788">
        <w:t>) habitat</w:t>
      </w:r>
      <w:r w:rsidR="00303B02" w:rsidRPr="00F74788">
        <w:t>.</w:t>
      </w:r>
    </w:p>
    <w:p w:rsidR="00303B02" w:rsidRPr="00F74788" w:rsidRDefault="00303B02" w:rsidP="00F74788">
      <w:pPr>
        <w:pStyle w:val="Paragraphedeliste"/>
        <w:numPr>
          <w:ilvl w:val="0"/>
          <w:numId w:val="4"/>
        </w:numPr>
        <w:ind w:left="284" w:hanging="142"/>
        <w:rPr>
          <w:lang w:val="en-GB"/>
        </w:rPr>
      </w:pPr>
      <w:proofErr w:type="gramStart"/>
      <w:r w:rsidRPr="00F74788">
        <w:rPr>
          <w:b/>
          <w:lang w:val="en-GB"/>
        </w:rPr>
        <w:t>Walpole</w:t>
      </w:r>
      <w:r w:rsidRPr="00F74788">
        <w:rPr>
          <w:lang w:val="en-GB"/>
        </w:rPr>
        <w:t> :</w:t>
      </w:r>
      <w:proofErr w:type="gramEnd"/>
      <w:r w:rsidRPr="00F74788">
        <w:rPr>
          <w:lang w:val="en-GB"/>
        </w:rPr>
        <w:t xml:space="preserve"> </w:t>
      </w:r>
      <w:r w:rsidR="00F74788" w:rsidRPr="00F74788">
        <w:rPr>
          <w:lang w:val="en-GB"/>
        </w:rPr>
        <w:t>Two stations with a medium status and one with a good status</w:t>
      </w:r>
      <w:r w:rsidRPr="00F74788">
        <w:rPr>
          <w:lang w:val="en-GB"/>
        </w:rPr>
        <w:t>.</w:t>
      </w:r>
    </w:p>
    <w:p w:rsidR="00303B02" w:rsidRPr="00F74788" w:rsidRDefault="00F74788" w:rsidP="00F74788">
      <w:pPr>
        <w:pStyle w:val="Paragraphedeliste"/>
        <w:numPr>
          <w:ilvl w:val="0"/>
          <w:numId w:val="4"/>
        </w:numPr>
        <w:ind w:left="284" w:hanging="142"/>
        <w:rPr>
          <w:lang w:val="en-GB"/>
        </w:rPr>
      </w:pPr>
      <w:r w:rsidRPr="00F74788">
        <w:rPr>
          <w:lang w:val="en-GB"/>
        </w:rPr>
        <w:t>No</w:t>
      </w:r>
      <w:r w:rsidR="00303B02" w:rsidRPr="00F74788">
        <w:rPr>
          <w:lang w:val="en-GB"/>
        </w:rPr>
        <w:t xml:space="preserve"> station </w:t>
      </w:r>
      <w:r w:rsidRPr="00F74788">
        <w:rPr>
          <w:lang w:val="en-GB"/>
        </w:rPr>
        <w:t>in a bad ecological status at these sites</w:t>
      </w:r>
      <w:r w:rsidR="00303B02" w:rsidRPr="00F74788">
        <w:rPr>
          <w:lang w:val="en-GB"/>
        </w:rPr>
        <w:t>.</w:t>
      </w:r>
    </w:p>
    <w:p w:rsidR="00303B02" w:rsidRPr="00F74788" w:rsidRDefault="00303B02" w:rsidP="00303B02">
      <w:pPr>
        <w:rPr>
          <w:lang w:val="en-GB"/>
        </w:rPr>
      </w:pPr>
    </w:p>
    <w:tbl>
      <w:tblPr>
        <w:tblStyle w:val="Grilledutableau"/>
        <w:tblW w:w="11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303B02" w:rsidTr="00F74788">
        <w:trPr>
          <w:jc w:val="center"/>
        </w:trPr>
        <w:tc>
          <w:tcPr>
            <w:tcW w:w="5671" w:type="dxa"/>
          </w:tcPr>
          <w:p w:rsidR="00303B02" w:rsidRPr="007D2D57" w:rsidRDefault="00303B02" w:rsidP="0096233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D2D57">
              <w:rPr>
                <w:b/>
                <w:noProof/>
              </w:rPr>
              <w:t>Pétrie</w:t>
            </w:r>
          </w:p>
        </w:tc>
        <w:tc>
          <w:tcPr>
            <w:tcW w:w="5670" w:type="dxa"/>
          </w:tcPr>
          <w:p w:rsidR="00303B02" w:rsidRDefault="00303B02" w:rsidP="0096233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Astrolabe</w:t>
            </w:r>
          </w:p>
        </w:tc>
      </w:tr>
      <w:tr w:rsidR="00303B02" w:rsidTr="00F74788">
        <w:trPr>
          <w:jc w:val="center"/>
        </w:trPr>
        <w:tc>
          <w:tcPr>
            <w:tcW w:w="5671" w:type="dxa"/>
          </w:tcPr>
          <w:p w:rsidR="00303B02" w:rsidRDefault="00303B02" w:rsidP="00962337">
            <w:pPr>
              <w:jc w:val="center"/>
              <w:rPr>
                <w:noProof/>
              </w:rPr>
            </w:pPr>
            <w:r w:rsidRPr="007D2D5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A0D6DCB" wp14:editId="1039C556">
                  <wp:extent cx="1116418" cy="2147777"/>
                  <wp:effectExtent l="0" t="0" r="7620" b="5080"/>
                  <wp:docPr id="471" name="Ima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_BOX_GL90_Corail vivant_TotalD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14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D5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3543DC0" wp14:editId="21D1A97F">
                  <wp:extent cx="1063256" cy="2147777"/>
                  <wp:effectExtent l="0" t="0" r="3810" b="5080"/>
                  <wp:docPr id="472" name="Ima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_BOX_GL90_Détritique_TotalD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"/>
                          <a:stretch/>
                        </pic:blipFill>
                        <pic:spPr bwMode="auto">
                          <a:xfrm>
                            <a:off x="0" y="0"/>
                            <a:ext cx="1065526" cy="215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2D5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3603034" wp14:editId="1C25DDCF">
                  <wp:extent cx="1116418" cy="2137144"/>
                  <wp:effectExtent l="0" t="0" r="7620" b="0"/>
                  <wp:docPr id="473" name="Ima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_BOX_GL90_Fond lagonaire_TotalD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7"/>
                          <a:stretch/>
                        </pic:blipFill>
                        <pic:spPr bwMode="auto">
                          <a:xfrm>
                            <a:off x="0" y="0"/>
                            <a:ext cx="1124375" cy="2152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03B02" w:rsidRDefault="00303B02" w:rsidP="00962337">
            <w:pPr>
              <w:jc w:val="center"/>
              <w:rPr>
                <w:b/>
                <w:szCs w:val="20"/>
              </w:rPr>
            </w:pPr>
            <w:r w:rsidRPr="007D2D57">
              <w:rPr>
                <w:b/>
                <w:noProof/>
                <w:szCs w:val="20"/>
              </w:rPr>
              <w:drawing>
                <wp:inline distT="0" distB="0" distL="0" distR="0" wp14:anchorId="73BB1A66" wp14:editId="6BF0B0D7">
                  <wp:extent cx="1199353" cy="2147777"/>
                  <wp:effectExtent l="0" t="0" r="1270" b="5080"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_BOX_GL90_Corail vivant_Total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06" cy="215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D57">
              <w:rPr>
                <w:b/>
                <w:noProof/>
                <w:szCs w:val="20"/>
              </w:rPr>
              <w:drawing>
                <wp:inline distT="0" distB="0" distL="0" distR="0" wp14:anchorId="0BBD16A1" wp14:editId="7019CEF7">
                  <wp:extent cx="1127051" cy="2147777"/>
                  <wp:effectExtent l="0" t="0" r="0" b="5080"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_BOX_GL90_Détritique_TotalD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/>
                          <a:stretch/>
                        </pic:blipFill>
                        <pic:spPr bwMode="auto">
                          <a:xfrm>
                            <a:off x="0" y="0"/>
                            <a:ext cx="1128955" cy="215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2D57">
              <w:rPr>
                <w:b/>
                <w:noProof/>
                <w:szCs w:val="20"/>
              </w:rPr>
              <w:drawing>
                <wp:inline distT="0" distB="0" distL="0" distR="0" wp14:anchorId="2925C794" wp14:editId="29663755">
                  <wp:extent cx="1105786" cy="2147777"/>
                  <wp:effectExtent l="0" t="0" r="0" b="5080"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_BOX_GL90_Fond lagonaire_TotalD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/>
                          <a:stretch/>
                        </pic:blipFill>
                        <pic:spPr bwMode="auto">
                          <a:xfrm>
                            <a:off x="0" y="0"/>
                            <a:ext cx="1107654" cy="215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B02" w:rsidRPr="00256013" w:rsidRDefault="00303B02" w:rsidP="00303B02">
      <w:pPr>
        <w:rPr>
          <w:b/>
          <w:sz w:val="20"/>
          <w:szCs w:val="20"/>
          <w:highlight w:val="yellow"/>
        </w:rPr>
      </w:pPr>
    </w:p>
    <w:p w:rsidR="00303B02" w:rsidRDefault="00F74788" w:rsidP="00303B02">
      <w:pPr>
        <w:rPr>
          <w:b/>
          <w:szCs w:val="20"/>
        </w:rPr>
      </w:pPr>
      <w:proofErr w:type="spellStart"/>
      <w:r>
        <w:rPr>
          <w:b/>
          <w:szCs w:val="20"/>
        </w:rPr>
        <w:t>Summary</w:t>
      </w:r>
      <w:proofErr w:type="spellEnd"/>
    </w:p>
    <w:p w:rsidR="002517DC" w:rsidRDefault="002517DC" w:rsidP="00303B02">
      <w:pPr>
        <w:rPr>
          <w:b/>
          <w:szCs w:val="20"/>
        </w:rPr>
      </w:pPr>
    </w:p>
    <w:tbl>
      <w:tblPr>
        <w:tblStyle w:val="Grilledutableau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7548"/>
      </w:tblGrid>
      <w:tr w:rsidR="00F74788" w:rsidRPr="00256013" w:rsidTr="00962337">
        <w:trPr>
          <w:jc w:val="center"/>
        </w:trPr>
        <w:tc>
          <w:tcPr>
            <w:tcW w:w="1596" w:type="dxa"/>
            <w:shd w:val="clear" w:color="auto" w:fill="auto"/>
          </w:tcPr>
          <w:p w:rsidR="00F74788" w:rsidRPr="00303B02" w:rsidRDefault="00F74788" w:rsidP="00F74788">
            <w:pPr>
              <w:jc w:val="center"/>
              <w:rPr>
                <w:b/>
              </w:rPr>
            </w:pPr>
            <w:proofErr w:type="spellStart"/>
            <w:r w:rsidRPr="00303B02">
              <w:rPr>
                <w:b/>
                <w:szCs w:val="22"/>
              </w:rPr>
              <w:t>Indicator</w:t>
            </w:r>
            <w:proofErr w:type="spellEnd"/>
          </w:p>
        </w:tc>
        <w:tc>
          <w:tcPr>
            <w:tcW w:w="7548" w:type="dxa"/>
            <w:shd w:val="clear" w:color="auto" w:fill="auto"/>
          </w:tcPr>
          <w:p w:rsidR="00F74788" w:rsidRPr="00303B02" w:rsidRDefault="00F74788" w:rsidP="00F74788">
            <w:pPr>
              <w:jc w:val="center"/>
              <w:rPr>
                <w:b/>
              </w:rPr>
            </w:pPr>
            <w:r w:rsidRPr="00303B02">
              <w:rPr>
                <w:b/>
                <w:szCs w:val="22"/>
              </w:rPr>
              <w:t>Comment</w:t>
            </w:r>
          </w:p>
        </w:tc>
      </w:tr>
      <w:tr w:rsidR="00303B02" w:rsidRPr="002464F5" w:rsidTr="00962337">
        <w:trPr>
          <w:trHeight w:val="269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303B02" w:rsidRPr="00256013" w:rsidRDefault="00F74788" w:rsidP="00962337">
            <w:pPr>
              <w:rPr>
                <w:highlight w:val="yellow"/>
              </w:rPr>
            </w:pPr>
            <w:proofErr w:type="spellStart"/>
            <w:r>
              <w:t>Abundance</w:t>
            </w:r>
            <w:proofErr w:type="spellEnd"/>
            <w:r>
              <w:t xml:space="preserve"> </w:t>
            </w:r>
            <w:proofErr w:type="spellStart"/>
            <w:r>
              <w:t>density</w:t>
            </w:r>
            <w:proofErr w:type="spellEnd"/>
          </w:p>
        </w:tc>
        <w:tc>
          <w:tcPr>
            <w:tcW w:w="7548" w:type="dxa"/>
            <w:shd w:val="clear" w:color="auto" w:fill="auto"/>
            <w:vAlign w:val="center"/>
          </w:tcPr>
          <w:p w:rsidR="00303B02" w:rsidRPr="00F74788" w:rsidRDefault="00F74788" w:rsidP="002517DC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rPr>
                <w:lang w:val="en-GB"/>
              </w:rPr>
            </w:pPr>
            <w:r w:rsidRPr="00F74788">
              <w:rPr>
                <w:lang w:val="en-GB"/>
              </w:rPr>
              <w:t>Highly abundant fish assemblage at Astrolabe, mostly on the Live Coral habitat</w:t>
            </w:r>
            <w:r w:rsidR="00303B02" w:rsidRPr="00F74788">
              <w:rPr>
                <w:lang w:val="en-GB"/>
              </w:rPr>
              <w:t xml:space="preserve">, </w:t>
            </w:r>
            <w:r w:rsidRPr="00F74788">
              <w:rPr>
                <w:lang w:val="en-GB"/>
              </w:rPr>
              <w:t>but also on the Debris and Sandy habitats</w:t>
            </w:r>
            <w:r w:rsidR="00303B02" w:rsidRPr="00F74788">
              <w:rPr>
                <w:lang w:val="en-GB"/>
              </w:rPr>
              <w:t>.</w:t>
            </w:r>
          </w:p>
          <w:p w:rsidR="00303B02" w:rsidRPr="00F74788" w:rsidRDefault="00F74788" w:rsidP="002517DC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rPr>
                <w:lang w:val="en-GB"/>
              </w:rPr>
            </w:pPr>
            <w:r w:rsidRPr="004764B2">
              <w:rPr>
                <w:lang w:val="en-GB"/>
              </w:rPr>
              <w:t>Fishes are significantly more abundant at Astrolabe than at Petrie on the Live Coral</w:t>
            </w:r>
            <w:r>
              <w:rPr>
                <w:lang w:val="en-GB"/>
              </w:rPr>
              <w:t xml:space="preserve"> and Debris habitats</w:t>
            </w:r>
            <w:r w:rsidR="00303B02" w:rsidRPr="00F74788">
              <w:rPr>
                <w:lang w:val="en-GB"/>
              </w:rPr>
              <w:t>.</w:t>
            </w:r>
          </w:p>
          <w:p w:rsidR="00303B02" w:rsidRPr="00F74788" w:rsidRDefault="00303B02" w:rsidP="002517DC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rPr>
                <w:lang w:val="en-GB"/>
              </w:rPr>
            </w:pPr>
            <w:r w:rsidRPr="00F74788">
              <w:rPr>
                <w:b/>
                <w:lang w:val="en-GB"/>
              </w:rPr>
              <w:t>Astrolabe </w:t>
            </w:r>
            <w:r w:rsidRPr="00F74788">
              <w:rPr>
                <w:lang w:val="en-GB"/>
              </w:rPr>
              <w:t xml:space="preserve">: </w:t>
            </w:r>
            <w:r w:rsidR="00F74788" w:rsidRPr="00F74788">
              <w:rPr>
                <w:lang w:val="en-GB"/>
              </w:rPr>
              <w:t>Outstanding ecological status with</w:t>
            </w:r>
            <w:r w:rsidRPr="00F74788">
              <w:rPr>
                <w:lang w:val="en-GB"/>
              </w:rPr>
              <w:t xml:space="preserve"> 90% </w:t>
            </w:r>
            <w:r w:rsidR="00F74788" w:rsidRPr="00F74788">
              <w:rPr>
                <w:lang w:val="en-GB"/>
              </w:rPr>
              <w:t xml:space="preserve">of </w:t>
            </w:r>
            <w:r w:rsidRPr="00F74788">
              <w:rPr>
                <w:lang w:val="en-GB"/>
              </w:rPr>
              <w:t xml:space="preserve">stations </w:t>
            </w:r>
            <w:r w:rsidR="00F74788" w:rsidRPr="00F74788">
              <w:rPr>
                <w:lang w:val="en-GB"/>
              </w:rPr>
              <w:t>with a good or excellent</w:t>
            </w:r>
            <w:r w:rsidR="00F74788">
              <w:rPr>
                <w:lang w:val="en-GB"/>
              </w:rPr>
              <w:t xml:space="preserve"> score</w:t>
            </w:r>
            <w:r w:rsidRPr="00F74788">
              <w:rPr>
                <w:lang w:val="en-GB"/>
              </w:rPr>
              <w:t xml:space="preserve">, </w:t>
            </w:r>
            <w:r w:rsidR="00F74788">
              <w:rPr>
                <w:lang w:val="en-GB"/>
              </w:rPr>
              <w:t xml:space="preserve">and </w:t>
            </w:r>
            <w:r w:rsidR="004258A8">
              <w:rPr>
                <w:lang w:val="en-GB"/>
              </w:rPr>
              <w:t xml:space="preserve">all stations on the external slope excellent </w:t>
            </w:r>
            <w:r w:rsidRPr="00F74788">
              <w:rPr>
                <w:lang w:val="en-GB"/>
              </w:rPr>
              <w:t xml:space="preserve">(stations </w:t>
            </w:r>
            <w:r w:rsidR="004258A8">
              <w:rPr>
                <w:lang w:val="en-GB"/>
              </w:rPr>
              <w:t>corresponding to</w:t>
            </w:r>
            <w:r w:rsidRPr="00F74788">
              <w:rPr>
                <w:lang w:val="en-GB"/>
              </w:rPr>
              <w:t xml:space="preserve"> Petit Astrolabe)</w:t>
            </w:r>
          </w:p>
          <w:p w:rsidR="00303B02" w:rsidRPr="004258A8" w:rsidRDefault="00303B02" w:rsidP="002517DC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rPr>
                <w:lang w:val="en-GB"/>
              </w:rPr>
            </w:pPr>
            <w:proofErr w:type="spellStart"/>
            <w:r w:rsidRPr="004258A8">
              <w:rPr>
                <w:b/>
                <w:lang w:val="en-GB"/>
              </w:rPr>
              <w:t>Pétrie</w:t>
            </w:r>
            <w:proofErr w:type="spellEnd"/>
            <w:r w:rsidRPr="004258A8">
              <w:rPr>
                <w:b/>
                <w:lang w:val="en-GB"/>
              </w:rPr>
              <w:t xml:space="preserve"> : </w:t>
            </w:r>
            <w:r w:rsidR="004258A8" w:rsidRPr="004258A8">
              <w:rPr>
                <w:lang w:val="en-GB"/>
              </w:rPr>
              <w:t xml:space="preserve">Medium to good ecological status </w:t>
            </w:r>
            <w:r w:rsidR="004258A8" w:rsidRPr="004764B2">
              <w:rPr>
                <w:lang w:val="en-GB"/>
              </w:rPr>
              <w:t>on the Live Coral</w:t>
            </w:r>
            <w:r w:rsidR="004258A8">
              <w:rPr>
                <w:lang w:val="en-GB"/>
              </w:rPr>
              <w:t xml:space="preserve"> and Debris habitats, 75% of stations excellent on the external slope</w:t>
            </w:r>
          </w:p>
          <w:p w:rsidR="00303B02" w:rsidRPr="004258A8" w:rsidRDefault="00303B02" w:rsidP="002517DC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rPr>
                <w:lang w:val="en-GB"/>
              </w:rPr>
            </w:pPr>
            <w:r w:rsidRPr="004258A8">
              <w:rPr>
                <w:b/>
                <w:lang w:val="en-GB"/>
              </w:rPr>
              <w:t>Walpole </w:t>
            </w:r>
            <w:r w:rsidRPr="004258A8">
              <w:rPr>
                <w:lang w:val="en-GB"/>
              </w:rPr>
              <w:t xml:space="preserve">: </w:t>
            </w:r>
            <w:r w:rsidR="004258A8" w:rsidRPr="004258A8">
              <w:rPr>
                <w:lang w:val="en-GB"/>
              </w:rPr>
              <w:t xml:space="preserve">Medium to good ecological status </w:t>
            </w:r>
            <w:r w:rsidR="004258A8" w:rsidRPr="004764B2">
              <w:rPr>
                <w:lang w:val="en-GB"/>
              </w:rPr>
              <w:t>on the Live Coral</w:t>
            </w:r>
            <w:r w:rsidR="004258A8">
              <w:rPr>
                <w:lang w:val="en-GB"/>
              </w:rPr>
              <w:t xml:space="preserve"> and Debris habitats (3 stations only)</w:t>
            </w:r>
          </w:p>
          <w:p w:rsidR="00303B02" w:rsidRPr="004258A8" w:rsidRDefault="004258A8" w:rsidP="002517DC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rPr>
                <w:lang w:val="en-GB"/>
              </w:rPr>
            </w:pPr>
            <w:r w:rsidRPr="00F74788">
              <w:rPr>
                <w:lang w:val="en-GB"/>
              </w:rPr>
              <w:t>No station in a bad ecological status at these sites</w:t>
            </w:r>
          </w:p>
        </w:tc>
      </w:tr>
    </w:tbl>
    <w:p w:rsidR="005E1898" w:rsidRPr="004258A8" w:rsidRDefault="005E1898" w:rsidP="005E1898">
      <w:pPr>
        <w:rPr>
          <w:lang w:val="en-GB"/>
        </w:rPr>
      </w:pPr>
    </w:p>
    <w:sectPr w:rsidR="005E1898" w:rsidRPr="004258A8" w:rsidSect="002517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42"/>
    <w:multiLevelType w:val="hybridMultilevel"/>
    <w:tmpl w:val="ABE06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C4E"/>
    <w:multiLevelType w:val="hybridMultilevel"/>
    <w:tmpl w:val="8772C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84FA1"/>
    <w:multiLevelType w:val="hybridMultilevel"/>
    <w:tmpl w:val="48B83708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720F7F44"/>
    <w:multiLevelType w:val="hybridMultilevel"/>
    <w:tmpl w:val="6E6A6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8"/>
    <w:rsid w:val="000C5AC6"/>
    <w:rsid w:val="002464F5"/>
    <w:rsid w:val="002517DC"/>
    <w:rsid w:val="002677E7"/>
    <w:rsid w:val="00303B02"/>
    <w:rsid w:val="004258A8"/>
    <w:rsid w:val="004764B2"/>
    <w:rsid w:val="005E1898"/>
    <w:rsid w:val="006309CF"/>
    <w:rsid w:val="0090324F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B964"/>
  <w15:chartTrackingRefBased/>
  <w15:docId w15:val="{E679E13F-8908-4792-9E7F-00CF2CB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98"/>
    <w:pPr>
      <w:spacing w:after="0" w:line="276" w:lineRule="auto"/>
      <w:jc w:val="both"/>
    </w:pPr>
    <w:rPr>
      <w:rFonts w:ascii="Arial" w:eastAsiaTheme="minorEastAsia" w:hAnsi="Arial" w:cs="Arial"/>
      <w:color w:val="1F4E79" w:themeColor="accent1" w:themeShade="8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324F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5E1898"/>
    <w:pPr>
      <w:ind w:left="720"/>
    </w:pPr>
  </w:style>
  <w:style w:type="table" w:styleId="Grilledutableau">
    <w:name w:val="Table Grid"/>
    <w:basedOn w:val="TableauNormal"/>
    <w:uiPriority w:val="59"/>
    <w:rsid w:val="005E189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E1898"/>
    <w:pPr>
      <w:spacing w:after="0" w:line="240" w:lineRule="auto"/>
      <w:jc w:val="both"/>
    </w:pPr>
    <w:rPr>
      <w:rFonts w:ascii="Arial" w:eastAsiaTheme="minorEastAsia" w:hAnsi="Arial" w:cs="Arial"/>
      <w:color w:val="1F4E79" w:themeColor="accent1" w:themeShade="8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E1898"/>
    <w:rPr>
      <w:rFonts w:ascii="Arial" w:eastAsiaTheme="minorEastAsia" w:hAnsi="Arial" w:cs="Arial"/>
      <w:color w:val="1F4E79" w:themeColor="accent1" w:themeShade="80"/>
      <w:sz w:val="24"/>
      <w:szCs w:val="24"/>
    </w:rPr>
  </w:style>
  <w:style w:type="paragraph" w:styleId="Lgende">
    <w:name w:val="caption"/>
    <w:aliases w:val="Lég. centrée"/>
    <w:basedOn w:val="Normal"/>
    <w:next w:val="Normal"/>
    <w:autoRedefine/>
    <w:qFormat/>
    <w:rsid w:val="00303B02"/>
    <w:pPr>
      <w:spacing w:after="120" w:line="240" w:lineRule="auto"/>
      <w:ind w:right="-711"/>
      <w:jc w:val="center"/>
    </w:pPr>
    <w:rPr>
      <w:b/>
      <w:bCs/>
      <w:noProof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03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PELLETIER, Ifremer Nantes PDG-RBE-EMH,</dc:creator>
  <cp:keywords/>
  <dc:description/>
  <cp:lastModifiedBy>Dominique PELLETIER, Ifremer Nantes PDG-RBE-EMH,</cp:lastModifiedBy>
  <cp:revision>5</cp:revision>
  <dcterms:created xsi:type="dcterms:W3CDTF">2021-03-30T13:09:00Z</dcterms:created>
  <dcterms:modified xsi:type="dcterms:W3CDTF">2021-06-21T17:10:00Z</dcterms:modified>
</cp:coreProperties>
</file>