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589BB" w14:textId="77777777" w:rsidR="00FA3821" w:rsidRPr="00791023" w:rsidRDefault="00FA3821" w:rsidP="00FC58C6">
      <w:pPr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</w:p>
    <w:p w14:paraId="59C1CFA1" w14:textId="77777777" w:rsidR="00FA3821" w:rsidRPr="00F96C48" w:rsidRDefault="00FA3821" w:rsidP="00FC58C6">
      <w:pPr>
        <w:rPr>
          <w:rFonts w:asciiTheme="majorHAnsi" w:hAnsiTheme="majorHAnsi"/>
          <w:b/>
          <w:sz w:val="24"/>
          <w:szCs w:val="24"/>
          <w:lang w:val="en-US"/>
        </w:rPr>
      </w:pPr>
      <w:r w:rsidRPr="008336B8">
        <w:rPr>
          <w:rFonts w:asciiTheme="majorHAnsi" w:hAnsiTheme="majorHAnsi"/>
          <w:b/>
          <w:sz w:val="24"/>
          <w:szCs w:val="24"/>
          <w:lang w:val="en-US"/>
        </w:rPr>
        <w:t>Stressor controllability modulates the stress response in fish</w:t>
      </w:r>
      <w:r w:rsidRPr="00F96C4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</w:p>
    <w:p w14:paraId="7B4747B3" w14:textId="77777777" w:rsidR="00FA3821" w:rsidRPr="00FC58C6" w:rsidRDefault="00FA3821" w:rsidP="00FC58C6">
      <w:pPr>
        <w:rPr>
          <w:rFonts w:asciiTheme="majorHAnsi" w:hAnsiTheme="majorHAnsi"/>
          <w:sz w:val="24"/>
          <w:szCs w:val="24"/>
          <w:lang w:val="en-US"/>
        </w:rPr>
      </w:pPr>
    </w:p>
    <w:p w14:paraId="789693A9" w14:textId="77777777" w:rsidR="00FA3821" w:rsidRPr="00E57EBD" w:rsidRDefault="00FA3821" w:rsidP="00FC58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lang w:val="pt-PT"/>
        </w:rPr>
      </w:pPr>
      <w:r w:rsidRPr="00E57EBD">
        <w:rPr>
          <w:rFonts w:asciiTheme="majorHAnsi" w:hAnsiTheme="majorHAnsi" w:cs="Times New Roman"/>
          <w:color w:val="000000"/>
          <w:sz w:val="24"/>
          <w:szCs w:val="24"/>
          <w:lang w:val="pt-PT"/>
        </w:rPr>
        <w:t xml:space="preserve">M. Cerqueira, S. Millot, T. Silva, A.S. Félix, M.F. Castanheira, C.I.M. Martins, S. Rey, S. MacKenzie, R.F. Oliveira, C.C.V. Oliveira. </w:t>
      </w:r>
    </w:p>
    <w:p w14:paraId="43ABC17E" w14:textId="77777777" w:rsidR="00FA3821" w:rsidRPr="00E57EBD" w:rsidRDefault="00FA3821" w:rsidP="00FC58C6">
      <w:pPr>
        <w:rPr>
          <w:rFonts w:asciiTheme="majorHAnsi" w:hAnsiTheme="majorHAnsi"/>
          <w:sz w:val="24"/>
          <w:szCs w:val="24"/>
          <w:lang w:val="pt-PT"/>
        </w:rPr>
      </w:pPr>
    </w:p>
    <w:p w14:paraId="2F2AC56F" w14:textId="77777777" w:rsidR="00FA3821" w:rsidRPr="00E57EBD" w:rsidRDefault="00FA3821" w:rsidP="00FC58C6">
      <w:pPr>
        <w:rPr>
          <w:rFonts w:asciiTheme="majorHAnsi" w:hAnsiTheme="majorHAnsi"/>
          <w:sz w:val="24"/>
          <w:szCs w:val="24"/>
          <w:lang w:val="pt-PT"/>
        </w:rPr>
      </w:pPr>
    </w:p>
    <w:p w14:paraId="16E4F1D1" w14:textId="77777777" w:rsidR="00FA3821" w:rsidRPr="00233C30" w:rsidRDefault="00FA3821" w:rsidP="00FC58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lang w:val="pt-PT"/>
        </w:rPr>
      </w:pPr>
      <w:r w:rsidRPr="00233C30">
        <w:rPr>
          <w:rFonts w:asciiTheme="majorHAnsi" w:hAnsiTheme="majorHAnsi" w:cs="Times New Roman"/>
          <w:color w:val="000000"/>
          <w:sz w:val="24"/>
          <w:szCs w:val="24"/>
          <w:lang w:val="pt-PT"/>
        </w:rPr>
        <w:t xml:space="preserve">Correspondence to:  </w:t>
      </w:r>
    </w:p>
    <w:p w14:paraId="681DA522" w14:textId="77777777" w:rsidR="00FA3821" w:rsidRPr="00233C30" w:rsidRDefault="00FA3821" w:rsidP="00FC58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lang w:val="pt-PT"/>
        </w:rPr>
      </w:pPr>
    </w:p>
    <w:p w14:paraId="5454EAC2" w14:textId="77777777" w:rsidR="00FA3821" w:rsidRPr="00233C30" w:rsidRDefault="00FA3821" w:rsidP="00FC58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lang w:val="pt-PT"/>
        </w:rPr>
      </w:pPr>
      <w:r w:rsidRPr="00233C30">
        <w:rPr>
          <w:rFonts w:asciiTheme="majorHAnsi" w:hAnsiTheme="majorHAnsi" w:cs="Times New Roman"/>
          <w:color w:val="000000"/>
          <w:sz w:val="24"/>
          <w:szCs w:val="24"/>
          <w:lang w:val="pt-PT"/>
        </w:rPr>
        <w:t xml:space="preserve">Rui F. Oliveira, </w:t>
      </w:r>
    </w:p>
    <w:p w14:paraId="58BEF369" w14:textId="77777777" w:rsidR="00FA3821" w:rsidRPr="00233C30" w:rsidRDefault="00FA3821" w:rsidP="00FC58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lang w:val="pt-PT"/>
        </w:rPr>
      </w:pPr>
      <w:r w:rsidRPr="00233C30">
        <w:rPr>
          <w:rFonts w:asciiTheme="majorHAnsi" w:hAnsiTheme="majorHAnsi" w:cs="Times New Roman"/>
          <w:color w:val="000000"/>
          <w:sz w:val="24"/>
          <w:szCs w:val="24"/>
          <w:lang w:val="pt-PT"/>
        </w:rPr>
        <w:t xml:space="preserve">Integrative Behavioural Biology </w:t>
      </w:r>
    </w:p>
    <w:p w14:paraId="308CE24E" w14:textId="77777777" w:rsidR="00FA3821" w:rsidRPr="00233C30" w:rsidRDefault="00FA3821" w:rsidP="00FC58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pt-PT"/>
        </w:rPr>
      </w:pPr>
      <w:r w:rsidRPr="00233C30">
        <w:rPr>
          <w:rFonts w:asciiTheme="majorHAnsi" w:hAnsiTheme="majorHAnsi" w:cs="Times New Roman"/>
          <w:color w:val="000000"/>
          <w:sz w:val="24"/>
          <w:szCs w:val="24"/>
          <w:lang w:val="pt-PT"/>
        </w:rPr>
        <w:t xml:space="preserve">Instituto Gulbenkian de Ciência, </w:t>
      </w:r>
    </w:p>
    <w:p w14:paraId="27D2980A" w14:textId="77777777" w:rsidR="00FA3821" w:rsidRPr="00233C30" w:rsidRDefault="00FA3821" w:rsidP="00FC58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pt-PT"/>
        </w:rPr>
      </w:pPr>
      <w:r w:rsidRPr="00233C30">
        <w:rPr>
          <w:rFonts w:asciiTheme="majorHAnsi" w:hAnsiTheme="majorHAnsi" w:cs="Times New Roman"/>
          <w:color w:val="000000"/>
          <w:sz w:val="24"/>
          <w:szCs w:val="24"/>
          <w:lang w:val="pt-PT"/>
        </w:rPr>
        <w:t xml:space="preserve">Rua da Quinta Grande 6, </w:t>
      </w:r>
    </w:p>
    <w:p w14:paraId="551F78F8" w14:textId="77777777" w:rsidR="00FA3821" w:rsidRPr="00233C30" w:rsidRDefault="00FA3821" w:rsidP="00FC58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lang w:val="en-US"/>
        </w:rPr>
      </w:pPr>
      <w:r w:rsidRPr="00233C30">
        <w:rPr>
          <w:rFonts w:asciiTheme="majorHAnsi" w:hAnsiTheme="majorHAnsi" w:cs="Times New Roman"/>
          <w:color w:val="000000"/>
          <w:sz w:val="24"/>
          <w:szCs w:val="24"/>
          <w:lang w:val="en-US"/>
        </w:rPr>
        <w:t>2780-156 Oeiras, Portugal</w:t>
      </w:r>
    </w:p>
    <w:p w14:paraId="3370AAEB" w14:textId="77777777" w:rsidR="00FA3821" w:rsidRPr="00233C30" w:rsidRDefault="00FA3821" w:rsidP="00FC58C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n-US"/>
        </w:rPr>
      </w:pPr>
      <w:r w:rsidRPr="00233C30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ruiol@ispa.pt  </w:t>
      </w:r>
    </w:p>
    <w:p w14:paraId="0459D7A3" w14:textId="77777777" w:rsidR="00FA3821" w:rsidRDefault="00FA3821" w:rsidP="00FC5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05B228AA" w14:textId="77777777" w:rsidR="00FA3821" w:rsidRPr="00791023" w:rsidRDefault="00FA3821" w:rsidP="00FC58C6">
      <w:pPr>
        <w:rPr>
          <w:lang w:val="en-US"/>
        </w:rPr>
      </w:pPr>
    </w:p>
    <w:p w14:paraId="1ECEA7D3" w14:textId="77777777" w:rsidR="00FA3821" w:rsidRPr="00791023" w:rsidRDefault="00FA3821" w:rsidP="00FC58C6">
      <w:pPr>
        <w:rPr>
          <w:lang w:val="en-US"/>
        </w:rPr>
      </w:pPr>
    </w:p>
    <w:p w14:paraId="7909079D" w14:textId="77777777" w:rsidR="00513D95" w:rsidRDefault="00513D95" w:rsidP="00513D95">
      <w:pPr>
        <w:jc w:val="both"/>
      </w:pPr>
      <w:r>
        <w:rPr>
          <w:b/>
          <w:sz w:val="24"/>
          <w:szCs w:val="24"/>
        </w:rPr>
        <w:t>Table S1</w:t>
      </w:r>
      <w:r w:rsidRPr="00063771">
        <w:rPr>
          <w:b/>
          <w:sz w:val="24"/>
          <w:szCs w:val="24"/>
        </w:rPr>
        <w:t xml:space="preserve"> </w:t>
      </w:r>
      <w:r w:rsidRPr="00C45678">
        <w:rPr>
          <w:rFonts w:asciiTheme="majorHAnsi" w:hAnsiTheme="majorHAnsi" w:cs="Calibri"/>
          <w:sz w:val="24"/>
          <w:szCs w:val="24"/>
        </w:rPr>
        <w:t xml:space="preserve">Quadratic assignment procedure (QAP) correlation test for the different brain nuclei. </w:t>
      </w:r>
      <w:r w:rsidRPr="00063771">
        <w:rPr>
          <w:rFonts w:asciiTheme="majorHAnsi" w:hAnsiTheme="majorHAnsi" w:cs="Calibri"/>
          <w:sz w:val="24"/>
          <w:szCs w:val="24"/>
        </w:rPr>
        <w:t>Dm, medial zone of the dorsal telencephalic area; Dld, dorsal lateral zone of the dorsal telencephalic area; Dlv, ventral lateral zone of the dorsal telencephalic area; Vv, ventral nucleus of the ventral telencephalic area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C45678">
        <w:rPr>
          <w:rFonts w:asciiTheme="majorHAnsi" w:hAnsiTheme="majorHAnsi" w:cs="Calibri"/>
          <w:sz w:val="24"/>
          <w:szCs w:val="24"/>
        </w:rPr>
        <w:t xml:space="preserve">between experimental conditions </w:t>
      </w:r>
      <w:r w:rsidRPr="00063771">
        <w:rPr>
          <w:rFonts w:asciiTheme="majorHAnsi" w:hAnsiTheme="majorHAnsi" w:cs="Calibri"/>
          <w:sz w:val="24"/>
          <w:szCs w:val="24"/>
        </w:rPr>
        <w:t xml:space="preserve">CTR = controllability; UnCTR = controllability; CTRUn = loss of controllability; </w:t>
      </w:r>
      <w:r w:rsidRPr="00C45678">
        <w:rPr>
          <w:rFonts w:asciiTheme="majorHAnsi" w:hAnsiTheme="majorHAnsi" w:cs="Calibri"/>
          <w:sz w:val="24"/>
          <w:szCs w:val="24"/>
        </w:rPr>
        <w:t>Significant correlations are indicated in bold for p &lt; 0.05</w:t>
      </w:r>
      <w:r>
        <w:rPr>
          <w:rFonts w:asciiTheme="majorHAnsi" w:hAnsiTheme="majorHAnsi" w:cs="Calibri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975"/>
        <w:gridCol w:w="1368"/>
        <w:gridCol w:w="1463"/>
        <w:gridCol w:w="1463"/>
        <w:gridCol w:w="1218"/>
      </w:tblGrid>
      <w:tr w:rsidR="00513D95" w:rsidRPr="006A759E" w14:paraId="57A5D914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6A761A8D" w14:textId="77777777" w:rsidR="00513D95" w:rsidRPr="00752AD6" w:rsidRDefault="00513D95" w:rsidP="0013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4FE591A0" w14:textId="77777777" w:rsidR="00513D95" w:rsidRPr="00752AD6" w:rsidRDefault="00513D95" w:rsidP="0013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244" w:type="pct"/>
            <w:gridSpan w:val="4"/>
            <w:shd w:val="clear" w:color="auto" w:fill="auto"/>
            <w:noWrap/>
            <w:vAlign w:val="bottom"/>
            <w:hideMark/>
          </w:tcPr>
          <w:p w14:paraId="35109160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  <w:t>Brain nuclei</w:t>
            </w:r>
          </w:p>
        </w:tc>
      </w:tr>
      <w:tr w:rsidR="00513D95" w:rsidRPr="006A759E" w14:paraId="572C7DE5" w14:textId="77777777" w:rsidTr="00135746">
        <w:trPr>
          <w:trHeight w:val="600"/>
        </w:trPr>
        <w:tc>
          <w:tcPr>
            <w:tcW w:w="1182" w:type="pct"/>
            <w:shd w:val="clear" w:color="auto" w:fill="auto"/>
            <w:vAlign w:val="center"/>
            <w:hideMark/>
          </w:tcPr>
          <w:p w14:paraId="1085BFDE" w14:textId="77777777" w:rsidR="00513D95" w:rsidRPr="006A759E" w:rsidRDefault="00513D95" w:rsidP="0013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  <w:t>Experimental conditions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761E54D4" w14:textId="77777777" w:rsidR="00513D95" w:rsidRPr="006A759E" w:rsidRDefault="00513D95" w:rsidP="0013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04A9372A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  <w:t>Dm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6AB5FA55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  <w:t>Dld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625171EF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  <w:t>Dlv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14:paraId="698CBC9B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  <w:t>Vv</w:t>
            </w:r>
          </w:p>
        </w:tc>
      </w:tr>
      <w:tr w:rsidR="00513D95" w:rsidRPr="006A759E" w14:paraId="428EF525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60E69022" w14:textId="77777777" w:rsidR="00513D95" w:rsidRPr="006A759E" w:rsidRDefault="00513D95" w:rsidP="00135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CTR-UnCTR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08344F4F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r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9D32CD7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0,576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156C1537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0,315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6E76A20A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-0,626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58334946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-0,35</w:t>
            </w:r>
          </w:p>
        </w:tc>
      </w:tr>
      <w:tr w:rsidR="00513D95" w:rsidRPr="006A759E" w14:paraId="6611BB8F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015F69CE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446AC3C0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p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EE47444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0,214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2D4D4000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0,293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079D1E0A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0,09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1961789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  <w:t>0,046</w:t>
            </w:r>
          </w:p>
        </w:tc>
      </w:tr>
      <w:tr w:rsidR="00513D95" w:rsidRPr="006A759E" w14:paraId="61BD5547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51554027" w14:textId="77777777" w:rsidR="00513D95" w:rsidRPr="006A759E" w:rsidRDefault="00513D95" w:rsidP="00135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CTR-CTRUn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4E8B04E3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r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64767CF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-0,322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3C6646E4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0,172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3ABA78BD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0,188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EB6B152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0,535</w:t>
            </w:r>
          </w:p>
        </w:tc>
      </w:tr>
      <w:tr w:rsidR="00513D95" w:rsidRPr="006A759E" w14:paraId="44EF6076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377D715D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6272DE31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p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BC2DCBC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0,371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2D9AF775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0,341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2D14115B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0,301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5EA9F54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0,203</w:t>
            </w:r>
          </w:p>
        </w:tc>
      </w:tr>
      <w:tr w:rsidR="00513D95" w:rsidRPr="006A759E" w14:paraId="14262CF0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2E546DF4" w14:textId="77777777" w:rsidR="00513D95" w:rsidRPr="006A759E" w:rsidRDefault="00513D95" w:rsidP="00135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UnCTR-CTRUn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780AF05F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r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6B45855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0,465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5FAD9D67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0,04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227C612B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-0,391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8A885EA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0,076</w:t>
            </w:r>
          </w:p>
        </w:tc>
      </w:tr>
      <w:tr w:rsidR="00513D95" w:rsidRPr="006A759E" w14:paraId="21DBA183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1796BF3E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0D336F04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p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936967E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0,259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0E380F6E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0,505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17B4B685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0,334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ACAD1B4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0,452</w:t>
            </w:r>
          </w:p>
        </w:tc>
      </w:tr>
      <w:tr w:rsidR="00513D95" w:rsidRPr="006A759E" w14:paraId="3F326306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01CFDE22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E897307" w14:textId="77777777" w:rsidR="00513D95" w:rsidRPr="006A759E" w:rsidRDefault="00513D95" w:rsidP="0013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</w:pP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A0EA1A0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</w:pP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3E5B2595" w14:textId="77777777" w:rsidR="00513D95" w:rsidRPr="006A759E" w:rsidRDefault="00513D95" w:rsidP="0013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</w:pP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49BD9048" w14:textId="77777777" w:rsidR="00513D95" w:rsidRPr="006A759E" w:rsidRDefault="00513D95" w:rsidP="0013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854FB1E" w14:textId="77777777" w:rsidR="00513D95" w:rsidRPr="006A759E" w:rsidRDefault="00513D95" w:rsidP="0013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</w:pPr>
          </w:p>
        </w:tc>
      </w:tr>
      <w:tr w:rsidR="00513D95" w:rsidRPr="006A759E" w14:paraId="268C5AE6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0B0DAEB5" w14:textId="77777777" w:rsidR="00513D95" w:rsidRPr="006A759E" w:rsidRDefault="00513D95" w:rsidP="0013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26F3FAD8" w14:textId="77777777" w:rsidR="00513D95" w:rsidRPr="006A759E" w:rsidRDefault="00513D95" w:rsidP="0013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</w:pPr>
          </w:p>
        </w:tc>
        <w:tc>
          <w:tcPr>
            <w:tcW w:w="2527" w:type="pct"/>
            <w:gridSpan w:val="3"/>
            <w:shd w:val="clear" w:color="auto" w:fill="auto"/>
            <w:noWrap/>
            <w:vAlign w:val="bottom"/>
            <w:hideMark/>
          </w:tcPr>
          <w:p w14:paraId="78EB06EF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  <w:t>Experimental conditions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B75F030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</w:p>
        </w:tc>
      </w:tr>
      <w:tr w:rsidR="00513D95" w:rsidRPr="006A759E" w14:paraId="0327C0F0" w14:textId="77777777" w:rsidTr="00135746">
        <w:trPr>
          <w:trHeight w:val="570"/>
        </w:trPr>
        <w:tc>
          <w:tcPr>
            <w:tcW w:w="1182" w:type="pct"/>
            <w:shd w:val="clear" w:color="auto" w:fill="auto"/>
            <w:noWrap/>
            <w:vAlign w:val="center"/>
            <w:hideMark/>
          </w:tcPr>
          <w:p w14:paraId="7187EDF6" w14:textId="77777777" w:rsidR="00513D95" w:rsidRPr="006A759E" w:rsidRDefault="00513D95" w:rsidP="0013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  <w:t>Brain nuclei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14:paraId="06C0F05B" w14:textId="77777777" w:rsidR="00513D95" w:rsidRPr="006A759E" w:rsidRDefault="00513D95" w:rsidP="001357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</w:p>
        </w:tc>
        <w:tc>
          <w:tcPr>
            <w:tcW w:w="805" w:type="pct"/>
            <w:shd w:val="clear" w:color="auto" w:fill="auto"/>
            <w:noWrap/>
            <w:vAlign w:val="center"/>
            <w:hideMark/>
          </w:tcPr>
          <w:p w14:paraId="32D17B72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  <w:t>CTR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29799A95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  <w:t>UnCTR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14:paraId="392C1B9F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  <w:t>CTRUn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C2C8644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</w:p>
        </w:tc>
      </w:tr>
      <w:tr w:rsidR="00513D95" w:rsidRPr="006A759E" w14:paraId="19C12D65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27216FC3" w14:textId="77777777" w:rsidR="00513D95" w:rsidRPr="006A759E" w:rsidRDefault="00513D95" w:rsidP="00135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Dm-Dld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48C944A3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r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C5B05EB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0,398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7AFEE701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0,476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1FF0FB17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0,546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ADD6038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</w:p>
        </w:tc>
      </w:tr>
      <w:tr w:rsidR="00513D95" w:rsidRPr="006A759E" w14:paraId="292FC81D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22F748A5" w14:textId="77777777" w:rsidR="00513D95" w:rsidRPr="006A759E" w:rsidRDefault="00513D95" w:rsidP="0013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03AAAA53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p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4554F776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0,305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67A64461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  <w:t>0,041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709A2742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0,172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4E11000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</w:p>
        </w:tc>
      </w:tr>
      <w:tr w:rsidR="00513D95" w:rsidRPr="006A759E" w14:paraId="3F7F59FA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291CBA88" w14:textId="77777777" w:rsidR="00513D95" w:rsidRPr="006A759E" w:rsidRDefault="00513D95" w:rsidP="00135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lastRenderedPageBreak/>
              <w:t>Dm-Dlv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4E2CBD83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r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256F16B8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0,966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31C7594D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0,242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47B9AB40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-0,203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8EB8CA5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</w:p>
        </w:tc>
      </w:tr>
      <w:tr w:rsidR="00513D95" w:rsidRPr="006A759E" w14:paraId="7C118030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13ABA2F7" w14:textId="77777777" w:rsidR="00513D95" w:rsidRPr="006A759E" w:rsidRDefault="00513D95" w:rsidP="0013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3A979AB9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p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5177F80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  <w:t>0,042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5183389A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0,466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321F4363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0,414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46905D4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</w:p>
        </w:tc>
      </w:tr>
      <w:tr w:rsidR="00513D95" w:rsidRPr="006A759E" w14:paraId="183CF36A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466F9A1D" w14:textId="77777777" w:rsidR="00513D95" w:rsidRPr="006A759E" w:rsidRDefault="00513D95" w:rsidP="00135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Dm-Vv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42781AEF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r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4AE18D8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0,169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75FBDE06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0,045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5A8177ED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-0,232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33E2A0BB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</w:p>
        </w:tc>
      </w:tr>
      <w:tr w:rsidR="00513D95" w:rsidRPr="006A759E" w14:paraId="3E51A21E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7552D5F0" w14:textId="77777777" w:rsidR="00513D95" w:rsidRPr="006A759E" w:rsidRDefault="00513D95" w:rsidP="0013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05E64D61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p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6F333902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0,297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1B1EF977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0,373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0E5507E6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0,292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F1CC8D6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</w:p>
        </w:tc>
      </w:tr>
      <w:tr w:rsidR="00513D95" w:rsidRPr="006A759E" w14:paraId="27A20EDE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5CC533C9" w14:textId="77777777" w:rsidR="00513D95" w:rsidRPr="006A759E" w:rsidRDefault="00513D95" w:rsidP="00135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Dld-Dlv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4608C86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r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6FBB6BD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0,457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119E4422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0,354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7FA88D29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-0,664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003C62AC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</w:p>
        </w:tc>
      </w:tr>
      <w:tr w:rsidR="00513D95" w:rsidRPr="006A759E" w14:paraId="5BECF9DA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0F211ED7" w14:textId="77777777" w:rsidR="00513D95" w:rsidRPr="006A759E" w:rsidRDefault="00513D95" w:rsidP="0013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04A8C4D9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p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599468C9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0,293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2D84CA73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0,13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5A57790A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  <w:t>0,046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68CB579C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</w:p>
        </w:tc>
      </w:tr>
      <w:tr w:rsidR="00513D95" w:rsidRPr="006A759E" w14:paraId="6B73BA01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2D39F58A" w14:textId="77777777" w:rsidR="00513D95" w:rsidRPr="006A759E" w:rsidRDefault="00513D95" w:rsidP="00135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Dld-Vv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238D84B4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r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0728B181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0,958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3F2E599C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-0,074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703094E7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0,041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12CD5CF4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</w:p>
        </w:tc>
      </w:tr>
      <w:tr w:rsidR="00513D95" w:rsidRPr="006A759E" w14:paraId="06413203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51B3AF80" w14:textId="77777777" w:rsidR="00513D95" w:rsidRPr="006A759E" w:rsidRDefault="00513D95" w:rsidP="0013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75609425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p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52036B2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b/>
                <w:bCs/>
                <w:color w:val="000000"/>
                <w:lang w:val="pt-PT" w:eastAsia="zh-CN"/>
              </w:rPr>
              <w:t>0,044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0FDF09D5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0,42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7A88E892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0,426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14F3215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</w:p>
        </w:tc>
      </w:tr>
      <w:tr w:rsidR="00513D95" w:rsidRPr="006A759E" w14:paraId="55245DA3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0E28639A" w14:textId="77777777" w:rsidR="00513D95" w:rsidRPr="006A759E" w:rsidRDefault="00513D95" w:rsidP="001357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Dlv-Vv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3E81BB80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r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1202EBF4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0,203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1522A9F0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0,501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6DDE1BCD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0,411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7CDD697A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</w:p>
        </w:tc>
      </w:tr>
      <w:tr w:rsidR="00513D95" w:rsidRPr="006A759E" w14:paraId="2C14BE98" w14:textId="77777777" w:rsidTr="00135746">
        <w:trPr>
          <w:trHeight w:val="300"/>
        </w:trPr>
        <w:tc>
          <w:tcPr>
            <w:tcW w:w="1182" w:type="pct"/>
            <w:shd w:val="clear" w:color="auto" w:fill="auto"/>
            <w:noWrap/>
            <w:vAlign w:val="bottom"/>
            <w:hideMark/>
          </w:tcPr>
          <w:p w14:paraId="6F291AD7" w14:textId="77777777" w:rsidR="00513D95" w:rsidRPr="006A759E" w:rsidRDefault="00513D95" w:rsidP="0013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zh-CN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14:paraId="16F7A823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i/>
                <w:iCs/>
                <w:color w:val="000000"/>
                <w:lang w:val="pt-PT" w:eastAsia="zh-CN"/>
              </w:rPr>
              <w:t>p</w:t>
            </w:r>
          </w:p>
        </w:tc>
        <w:tc>
          <w:tcPr>
            <w:tcW w:w="805" w:type="pct"/>
            <w:shd w:val="clear" w:color="auto" w:fill="auto"/>
            <w:noWrap/>
            <w:vAlign w:val="bottom"/>
            <w:hideMark/>
          </w:tcPr>
          <w:p w14:paraId="35FA0E46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0,286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550258D0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0,252</w:t>
            </w:r>
          </w:p>
        </w:tc>
        <w:tc>
          <w:tcPr>
            <w:tcW w:w="861" w:type="pct"/>
            <w:shd w:val="clear" w:color="auto" w:fill="auto"/>
            <w:noWrap/>
            <w:vAlign w:val="bottom"/>
            <w:hideMark/>
          </w:tcPr>
          <w:p w14:paraId="5616050B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  <w:r w:rsidRPr="006A759E">
              <w:rPr>
                <w:rFonts w:ascii="Calibri" w:eastAsia="Times New Roman" w:hAnsi="Calibri" w:cs="Calibri"/>
                <w:color w:val="000000"/>
                <w:lang w:val="pt-PT" w:eastAsia="zh-CN"/>
              </w:rPr>
              <w:t>0,246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14:paraId="25CC5CE7" w14:textId="77777777" w:rsidR="00513D95" w:rsidRPr="006A759E" w:rsidRDefault="00513D95" w:rsidP="001357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zh-CN"/>
              </w:rPr>
            </w:pPr>
          </w:p>
        </w:tc>
      </w:tr>
    </w:tbl>
    <w:p w14:paraId="32E09B4C" w14:textId="77777777" w:rsidR="00FA3821" w:rsidRPr="00791023" w:rsidRDefault="00FA3821" w:rsidP="00FC58C6">
      <w:pPr>
        <w:rPr>
          <w:lang w:val="en-US"/>
        </w:rPr>
      </w:pPr>
    </w:p>
    <w:p w14:paraId="6DB2706C" w14:textId="77777777" w:rsidR="00FA3821" w:rsidRDefault="00FA3821" w:rsidP="00063771">
      <w:pPr>
        <w:rPr>
          <w:rFonts w:asciiTheme="majorHAnsi" w:hAnsiTheme="majorHAns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B3FF56E" wp14:editId="6FB75659">
            <wp:simplePos x="0" y="0"/>
            <wp:positionH relativeFrom="margin">
              <wp:posOffset>-119380</wp:posOffset>
            </wp:positionH>
            <wp:positionV relativeFrom="paragraph">
              <wp:posOffset>200660</wp:posOffset>
            </wp:positionV>
            <wp:extent cx="5934075" cy="1276350"/>
            <wp:effectExtent l="190500" t="190500" r="200025" b="190500"/>
            <wp:wrapSquare wrapText="bothSides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out 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57A">
        <w:rPr>
          <w:rFonts w:asciiTheme="majorHAnsi" w:hAnsiTheme="majorHAnsi" w:cs="Calibri"/>
          <w:b/>
          <w:sz w:val="24"/>
          <w:szCs w:val="24"/>
        </w:rPr>
        <w:t>Figure S1</w:t>
      </w:r>
      <w:r w:rsidRPr="00FE357A">
        <w:rPr>
          <w:rFonts w:asciiTheme="majorHAnsi" w:hAnsiTheme="majorHAnsi" w:cs="Calibri"/>
          <w:sz w:val="24"/>
          <w:szCs w:val="24"/>
        </w:rPr>
        <w:t xml:space="preserve"> </w:t>
      </w:r>
      <w:r w:rsidRPr="00F96C48">
        <w:rPr>
          <w:rFonts w:asciiTheme="majorHAnsi" w:hAnsiTheme="majorHAnsi" w:cs="Calibri"/>
          <w:sz w:val="24"/>
          <w:szCs w:val="24"/>
        </w:rPr>
        <w:t>Experimental set</w:t>
      </w:r>
      <w:r>
        <w:rPr>
          <w:rFonts w:asciiTheme="majorHAnsi" w:hAnsiTheme="majorHAnsi" w:cs="Calibri"/>
          <w:sz w:val="24"/>
          <w:szCs w:val="24"/>
        </w:rPr>
        <w:t>-</w:t>
      </w:r>
      <w:r w:rsidRPr="00F96C48">
        <w:rPr>
          <w:rFonts w:asciiTheme="majorHAnsi" w:hAnsiTheme="majorHAnsi" w:cs="Calibri"/>
          <w:sz w:val="24"/>
          <w:szCs w:val="24"/>
        </w:rPr>
        <w:t xml:space="preserve">up </w:t>
      </w:r>
      <w:r>
        <w:rPr>
          <w:rFonts w:asciiTheme="majorHAnsi" w:hAnsiTheme="majorHAnsi" w:cs="Calibri"/>
          <w:sz w:val="24"/>
          <w:szCs w:val="24"/>
        </w:rPr>
        <w:t>used in the research attending stress coping ability of fish under controllable (CTR), uncontrollable UnCTR) and loss of control conditions CTRUn)</w:t>
      </w:r>
    </w:p>
    <w:p w14:paraId="718FD9D0" w14:textId="77777777" w:rsidR="00244A96" w:rsidRDefault="00244A96" w:rsidP="00FC58C6">
      <w:pPr>
        <w:jc w:val="both"/>
        <w:rPr>
          <w:rFonts w:asciiTheme="majorHAnsi" w:hAnsiTheme="majorHAnsi" w:cs="Calibri"/>
          <w:b/>
          <w:sz w:val="24"/>
          <w:szCs w:val="24"/>
        </w:rPr>
      </w:pPr>
    </w:p>
    <w:p w14:paraId="36A4070F" w14:textId="77777777" w:rsidR="00FA3821" w:rsidRPr="005678C3" w:rsidRDefault="00FA3821" w:rsidP="00FC58C6">
      <w:pPr>
        <w:jc w:val="both"/>
        <w:rPr>
          <w:rFonts w:ascii="Calibri" w:hAnsi="Calibri" w:cs="Calibri"/>
          <w:b/>
          <w:sz w:val="20"/>
          <w:szCs w:val="20"/>
        </w:rPr>
      </w:pPr>
      <w:r w:rsidRPr="00FC58C6">
        <w:rPr>
          <w:rFonts w:asciiTheme="majorHAnsi" w:hAnsiTheme="majorHAnsi" w:cs="Calibri"/>
          <w:b/>
          <w:sz w:val="24"/>
          <w:szCs w:val="24"/>
        </w:rPr>
        <w:t xml:space="preserve">Table </w:t>
      </w:r>
      <w:r>
        <w:rPr>
          <w:rFonts w:asciiTheme="majorHAnsi" w:hAnsiTheme="majorHAnsi" w:cs="Calibri"/>
          <w:b/>
          <w:sz w:val="24"/>
          <w:szCs w:val="24"/>
        </w:rPr>
        <w:t>S</w:t>
      </w:r>
      <w:r w:rsidR="00513D95">
        <w:rPr>
          <w:rFonts w:asciiTheme="majorHAnsi" w:hAnsiTheme="majorHAns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FC58C6">
        <w:rPr>
          <w:rFonts w:asciiTheme="majorHAnsi" w:hAnsiTheme="majorHAnsi" w:cs="Calibri"/>
          <w:sz w:val="24"/>
          <w:szCs w:val="24"/>
        </w:rPr>
        <w:t>Training procedures for each experimental condition tested for seabass</w:t>
      </w:r>
    </w:p>
    <w:tbl>
      <w:tblPr>
        <w:tblStyle w:val="MediumList2-Accent5"/>
        <w:tblW w:w="5000" w:type="pct"/>
        <w:tblLook w:val="04A0" w:firstRow="1" w:lastRow="0" w:firstColumn="1" w:lastColumn="0" w:noHBand="0" w:noVBand="1"/>
      </w:tblPr>
      <w:tblGrid>
        <w:gridCol w:w="2035"/>
        <w:gridCol w:w="1033"/>
        <w:gridCol w:w="872"/>
        <w:gridCol w:w="1741"/>
        <w:gridCol w:w="1593"/>
        <w:gridCol w:w="1210"/>
      </w:tblGrid>
      <w:tr w:rsidR="00FA3821" w:rsidRPr="006208A8" w14:paraId="351BE5E5" w14:textId="77777777" w:rsidTr="00B44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9" w:type="pct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DAFA616" w14:textId="77777777" w:rsidR="00FA3821" w:rsidRPr="006208A8" w:rsidRDefault="00FA3821" w:rsidP="00B4411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Trial</w:t>
            </w:r>
          </w:p>
        </w:tc>
        <w:tc>
          <w:tcPr>
            <w:tcW w:w="609" w:type="pct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6837973" w14:textId="77777777" w:rsidR="00FA3821" w:rsidRPr="006208A8" w:rsidRDefault="00FA3821" w:rsidP="00B44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Valence</w:t>
            </w:r>
          </w:p>
        </w:tc>
        <w:tc>
          <w:tcPr>
            <w:tcW w:w="514" w:type="pct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CD71A5A" w14:textId="77777777" w:rsidR="00FA3821" w:rsidRPr="006208A8" w:rsidRDefault="00FA3821" w:rsidP="00B44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Tanks</w:t>
            </w:r>
          </w:p>
        </w:tc>
        <w:tc>
          <w:tcPr>
            <w:tcW w:w="1026" w:type="pct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AC5E9" w14:textId="77777777" w:rsidR="00FA3821" w:rsidRPr="006208A8" w:rsidRDefault="00FA3821" w:rsidP="00B44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Possibility to escape</w:t>
            </w:r>
          </w:p>
        </w:tc>
        <w:tc>
          <w:tcPr>
            <w:tcW w:w="939" w:type="pct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2765F7" w14:textId="77777777" w:rsidR="00FA3821" w:rsidRDefault="00FA3821" w:rsidP="00B44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Training sessions</w:t>
            </w:r>
          </w:p>
          <w:p w14:paraId="037FAB45" w14:textId="77777777" w:rsidR="00FA3821" w:rsidRPr="006208A8" w:rsidRDefault="00FA3821" w:rsidP="00B44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(1</w:t>
            </w:r>
            <w:r w:rsidRPr="003C77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to 7</w:t>
            </w:r>
            <w:r w:rsidRPr="003C77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session)</w:t>
            </w:r>
          </w:p>
        </w:tc>
        <w:tc>
          <w:tcPr>
            <w:tcW w:w="713" w:type="pct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3DA3754" w14:textId="77777777" w:rsidR="00FA3821" w:rsidRDefault="00FA3821" w:rsidP="00B44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Test</w:t>
            </w:r>
            <w:r w:rsidRPr="006208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session</w:t>
            </w:r>
          </w:p>
          <w:p w14:paraId="7589735E" w14:textId="77777777" w:rsidR="00FA3821" w:rsidRPr="006208A8" w:rsidRDefault="00FA3821" w:rsidP="00B441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(8</w:t>
            </w:r>
            <w:r w:rsidRPr="003C777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session)</w:t>
            </w:r>
          </w:p>
        </w:tc>
      </w:tr>
      <w:tr w:rsidR="00FA3821" w:rsidRPr="006208A8" w14:paraId="4D9ABD0C" w14:textId="77777777" w:rsidTr="00B4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4F48B4" w14:textId="77777777" w:rsidR="00FA3821" w:rsidRPr="006208A8" w:rsidRDefault="00FA3821" w:rsidP="00B4411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Controllable</w:t>
            </w:r>
          </w:p>
        </w:tc>
        <w:tc>
          <w:tcPr>
            <w:tcW w:w="609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1EA4D1F2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Aversive n=48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3416FF5D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6/each species</w:t>
            </w:r>
          </w:p>
        </w:tc>
        <w:tc>
          <w:tcPr>
            <w:tcW w:w="1026" w:type="pc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4F7371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39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100C9C08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1min CS + 1min CS overlapped with 1 min USavr + 4 min only USavr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A9AA0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 min CS</w:t>
            </w:r>
          </w:p>
        </w:tc>
      </w:tr>
      <w:tr w:rsidR="00FA3821" w:rsidRPr="006208A8" w14:paraId="20F041F8" w14:textId="77777777" w:rsidTr="00B441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5355CB" w14:textId="77777777" w:rsidR="00FA3821" w:rsidRPr="006208A8" w:rsidRDefault="00FA3821" w:rsidP="00B4411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CTR</w:t>
            </w:r>
          </w:p>
        </w:tc>
        <w:tc>
          <w:tcPr>
            <w:tcW w:w="609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4C0F1DD1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7AF7C94B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vAlign w:val="center"/>
            <w:hideMark/>
          </w:tcPr>
          <w:p w14:paraId="0EF23171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= 7 sessions</w:t>
            </w:r>
          </w:p>
        </w:tc>
        <w:tc>
          <w:tcPr>
            <w:tcW w:w="939" w:type="pct"/>
            <w:vMerge/>
            <w:vAlign w:val="center"/>
            <w:hideMark/>
          </w:tcPr>
          <w:p w14:paraId="7C5F84CE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" w:type="pct"/>
            <w:vMerge/>
            <w:tcBorders>
              <w:right w:val="single" w:sz="8" w:space="0" w:color="auto"/>
            </w:tcBorders>
            <w:vAlign w:val="center"/>
            <w:hideMark/>
          </w:tcPr>
          <w:p w14:paraId="7776BAFC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FA3821" w:rsidRPr="006208A8" w14:paraId="6B0AC27B" w14:textId="77777777" w:rsidTr="00B4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tcBorders>
              <w:right w:val="single" w:sz="8" w:space="0" w:color="auto"/>
            </w:tcBorders>
            <w:vAlign w:val="center"/>
            <w:hideMark/>
          </w:tcPr>
          <w:p w14:paraId="3C1F9AA4" w14:textId="77777777" w:rsidR="00FA3821" w:rsidRPr="006208A8" w:rsidRDefault="00FA3821" w:rsidP="00B4411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Uncontrollable</w:t>
            </w:r>
          </w:p>
        </w:tc>
        <w:tc>
          <w:tcPr>
            <w:tcW w:w="609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237C4D5D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72B09CB5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14:paraId="7C78C73B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39" w:type="pct"/>
            <w:vMerge/>
            <w:vAlign w:val="center"/>
            <w:hideMark/>
          </w:tcPr>
          <w:p w14:paraId="40802FD3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" w:type="pct"/>
            <w:vMerge/>
            <w:tcBorders>
              <w:right w:val="single" w:sz="8" w:space="0" w:color="auto"/>
            </w:tcBorders>
            <w:vAlign w:val="center"/>
            <w:hideMark/>
          </w:tcPr>
          <w:p w14:paraId="10B78234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FA3821" w:rsidRPr="006208A8" w14:paraId="0B60C2A5" w14:textId="77777777" w:rsidTr="00B441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tcBorders>
              <w:right w:val="single" w:sz="8" w:space="0" w:color="auto"/>
            </w:tcBorders>
            <w:vAlign w:val="center"/>
            <w:hideMark/>
          </w:tcPr>
          <w:p w14:paraId="16D3CE5D" w14:textId="77777777" w:rsidR="00FA3821" w:rsidRPr="006208A8" w:rsidRDefault="00FA3821" w:rsidP="00B4411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UnCTR</w:t>
            </w:r>
          </w:p>
        </w:tc>
        <w:tc>
          <w:tcPr>
            <w:tcW w:w="609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56A08BFE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682770AE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shd w:val="clear" w:color="auto" w:fill="auto"/>
            <w:vAlign w:val="center"/>
            <w:hideMark/>
          </w:tcPr>
          <w:p w14:paraId="4C1AA225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= 7 sessions</w:t>
            </w:r>
          </w:p>
        </w:tc>
        <w:tc>
          <w:tcPr>
            <w:tcW w:w="939" w:type="pct"/>
            <w:vMerge/>
            <w:vAlign w:val="center"/>
            <w:hideMark/>
          </w:tcPr>
          <w:p w14:paraId="34CB449A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" w:type="pct"/>
            <w:vMerge/>
            <w:tcBorders>
              <w:right w:val="single" w:sz="8" w:space="0" w:color="auto"/>
            </w:tcBorders>
            <w:vAlign w:val="center"/>
            <w:hideMark/>
          </w:tcPr>
          <w:p w14:paraId="751395A5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FA3821" w:rsidRPr="006208A8" w14:paraId="4AFCB096" w14:textId="77777777" w:rsidTr="00B4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17F668" w14:textId="77777777" w:rsidR="00FA3821" w:rsidRPr="006208A8" w:rsidRDefault="00FA3821" w:rsidP="00B4411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Loss of Controllability CTRUn</w:t>
            </w:r>
          </w:p>
        </w:tc>
        <w:tc>
          <w:tcPr>
            <w:tcW w:w="609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2454ABAE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5F4AF904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vAlign w:val="center"/>
            <w:hideMark/>
          </w:tcPr>
          <w:p w14:paraId="5A40013E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39" w:type="pct"/>
            <w:vMerge/>
            <w:vAlign w:val="center"/>
            <w:hideMark/>
          </w:tcPr>
          <w:p w14:paraId="647C8BDA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" w:type="pct"/>
            <w:vMerge/>
            <w:tcBorders>
              <w:right w:val="single" w:sz="8" w:space="0" w:color="auto"/>
            </w:tcBorders>
            <w:vAlign w:val="center"/>
            <w:hideMark/>
          </w:tcPr>
          <w:p w14:paraId="190E0C5B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FA3821" w:rsidRPr="006208A8" w14:paraId="068A93F2" w14:textId="77777777" w:rsidTr="00B441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F46CD" w14:textId="77777777" w:rsidR="00FA3821" w:rsidRPr="006208A8" w:rsidRDefault="00FA3821" w:rsidP="00B4411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741C1E48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75C29B00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vAlign w:val="center"/>
            <w:hideMark/>
          </w:tcPr>
          <w:p w14:paraId="45C1501A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= 1</w:t>
            </w: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 to 5</w:t>
            </w: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 sessions</w:t>
            </w:r>
          </w:p>
        </w:tc>
        <w:tc>
          <w:tcPr>
            <w:tcW w:w="939" w:type="pct"/>
            <w:vMerge/>
            <w:vAlign w:val="center"/>
            <w:hideMark/>
          </w:tcPr>
          <w:p w14:paraId="242ACE16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" w:type="pct"/>
            <w:vMerge/>
            <w:tcBorders>
              <w:right w:val="single" w:sz="8" w:space="0" w:color="auto"/>
            </w:tcBorders>
            <w:vAlign w:val="center"/>
            <w:hideMark/>
          </w:tcPr>
          <w:p w14:paraId="1930F743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FA3821" w:rsidRPr="006208A8" w14:paraId="243F1BB7" w14:textId="77777777" w:rsidTr="00B44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5A4CC9" w14:textId="77777777" w:rsidR="00FA3821" w:rsidRPr="006208A8" w:rsidRDefault="00FA3821" w:rsidP="00B4411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vMerge/>
            <w:tcBorders>
              <w:left w:val="single" w:sz="8" w:space="0" w:color="auto"/>
            </w:tcBorders>
            <w:vAlign w:val="center"/>
            <w:hideMark/>
          </w:tcPr>
          <w:p w14:paraId="5C407264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14:paraId="2F714916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shd w:val="clear" w:color="auto" w:fill="D9D9D9" w:themeFill="background1" w:themeFillShade="D9"/>
            <w:vAlign w:val="center"/>
            <w:hideMark/>
          </w:tcPr>
          <w:p w14:paraId="280D93E8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939" w:type="pct"/>
            <w:vMerge/>
            <w:vAlign w:val="center"/>
            <w:hideMark/>
          </w:tcPr>
          <w:p w14:paraId="2BEFE6A0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" w:type="pct"/>
            <w:vMerge/>
            <w:tcBorders>
              <w:right w:val="single" w:sz="8" w:space="0" w:color="auto"/>
            </w:tcBorders>
            <w:vAlign w:val="center"/>
            <w:hideMark/>
          </w:tcPr>
          <w:p w14:paraId="2D6F5C92" w14:textId="77777777" w:rsidR="00FA3821" w:rsidRPr="006208A8" w:rsidRDefault="00FA3821" w:rsidP="00B441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FA3821" w:rsidRPr="006208A8" w14:paraId="197E2753" w14:textId="77777777" w:rsidTr="00B4411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pct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70AAF" w14:textId="77777777" w:rsidR="00FA3821" w:rsidRPr="006208A8" w:rsidRDefault="00FA3821" w:rsidP="00B4411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9" w:type="pct"/>
            <w:vMerge/>
            <w:tcBorders>
              <w:left w:val="single" w:sz="8" w:space="0" w:color="auto"/>
              <w:bottom w:val="nil"/>
            </w:tcBorders>
            <w:vAlign w:val="center"/>
            <w:hideMark/>
          </w:tcPr>
          <w:p w14:paraId="23018ED4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4" w:type="pct"/>
            <w:vMerge/>
            <w:tcBorders>
              <w:bottom w:val="nil"/>
            </w:tcBorders>
            <w:vAlign w:val="center"/>
            <w:hideMark/>
          </w:tcPr>
          <w:p w14:paraId="0DD117C9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26" w:type="pct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98A3969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= 6</w:t>
            </w: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 and 7</w:t>
            </w: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6208A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 xml:space="preserve"> session</w:t>
            </w:r>
          </w:p>
        </w:tc>
        <w:tc>
          <w:tcPr>
            <w:tcW w:w="939" w:type="pct"/>
            <w:vMerge/>
            <w:tcBorders>
              <w:bottom w:val="nil"/>
            </w:tcBorders>
            <w:vAlign w:val="center"/>
            <w:hideMark/>
          </w:tcPr>
          <w:p w14:paraId="36C93E3F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3" w:type="pct"/>
            <w:vMerge/>
            <w:tcBorders>
              <w:bottom w:val="nil"/>
              <w:right w:val="single" w:sz="8" w:space="0" w:color="auto"/>
            </w:tcBorders>
            <w:vAlign w:val="center"/>
            <w:hideMark/>
          </w:tcPr>
          <w:p w14:paraId="6165CD34" w14:textId="77777777" w:rsidR="00FA3821" w:rsidRPr="006208A8" w:rsidRDefault="00FA3821" w:rsidP="00B441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7B7500E" w14:textId="77777777" w:rsidR="00FA3821" w:rsidRDefault="00FA3821" w:rsidP="003A0F8C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6E86E5B3" w14:textId="77777777" w:rsidR="00513D95" w:rsidRDefault="00513D95" w:rsidP="00313A64">
      <w:pPr>
        <w:spacing w:line="480" w:lineRule="auto"/>
        <w:rPr>
          <w:rFonts w:asciiTheme="majorHAnsi" w:hAnsiTheme="majorHAnsi" w:cs="Calibri"/>
          <w:b/>
          <w:sz w:val="24"/>
          <w:szCs w:val="24"/>
        </w:rPr>
      </w:pPr>
    </w:p>
    <w:p w14:paraId="48270235" w14:textId="77777777" w:rsidR="00FA3821" w:rsidRPr="00063771" w:rsidRDefault="00FA3821" w:rsidP="00313A64">
      <w:pPr>
        <w:spacing w:line="480" w:lineRule="auto"/>
        <w:rPr>
          <w:rFonts w:asciiTheme="majorHAnsi" w:hAnsiTheme="majorHAnsi" w:cs="Calibri"/>
          <w:b/>
          <w:sz w:val="24"/>
          <w:szCs w:val="24"/>
        </w:rPr>
      </w:pPr>
      <w:r w:rsidRPr="00063771">
        <w:rPr>
          <w:rFonts w:asciiTheme="majorHAnsi" w:hAnsiTheme="majorHAnsi" w:cs="Calibri"/>
          <w:b/>
          <w:sz w:val="24"/>
          <w:szCs w:val="24"/>
        </w:rPr>
        <w:t>Brain microdissection and gene expression analysis</w:t>
      </w:r>
    </w:p>
    <w:p w14:paraId="1B8C809A" w14:textId="77777777" w:rsidR="00FA3821" w:rsidRPr="00EF0706" w:rsidRDefault="00FA3821" w:rsidP="00313A64">
      <w:pPr>
        <w:jc w:val="both"/>
        <w:rPr>
          <w:rFonts w:asciiTheme="majorHAnsi" w:hAnsiTheme="majorHAnsi" w:cs="Calibri"/>
          <w:sz w:val="24"/>
          <w:szCs w:val="24"/>
        </w:rPr>
      </w:pPr>
      <w:r w:rsidRPr="00063771">
        <w:rPr>
          <w:rFonts w:asciiTheme="majorHAnsi" w:hAnsiTheme="majorHAnsi" w:cs="Calibri"/>
          <w:sz w:val="24"/>
          <w:szCs w:val="24"/>
        </w:rPr>
        <w:t xml:space="preserve">Eight individuals of each experimental condition were quickly decapitated by cervical transection and the whole skull (with the brain) removed, immediately embedded in Tissue-Tek® and kept at -80 ºC until further processing. Brains were sliced through 150 µm thick cryostat (Leica, CM 3050S) coronal sections, put onto regular glass slices pre-cleaned with 70% ethanol, and microdissected with modified 25G steel needles. Three nuclei of interest were selected accordingly to homologies between the fish and </w:t>
      </w:r>
      <w:r w:rsidR="00244A96" w:rsidRPr="00063771">
        <w:rPr>
          <w:rFonts w:asciiTheme="majorHAnsi" w:hAnsiTheme="majorHAnsi" w:cs="Calibri"/>
          <w:sz w:val="24"/>
          <w:szCs w:val="24"/>
        </w:rPr>
        <w:t>mammals’</w:t>
      </w:r>
      <w:r w:rsidRPr="00063771">
        <w:rPr>
          <w:rFonts w:asciiTheme="majorHAnsi" w:hAnsiTheme="majorHAnsi" w:cs="Calibri"/>
          <w:sz w:val="24"/>
          <w:szCs w:val="24"/>
        </w:rPr>
        <w:t xml:space="preserve"> brain </w:t>
      </w:r>
      <w:r>
        <w:rPr>
          <w:rFonts w:asciiTheme="majorHAnsi" w:hAnsiTheme="majorHAnsi" w:cs="Calibri"/>
          <w:noProof/>
          <w:sz w:val="24"/>
          <w:szCs w:val="24"/>
        </w:rPr>
        <w:t>(1, 2)</w:t>
      </w:r>
      <w:r w:rsidRPr="00063771">
        <w:rPr>
          <w:rFonts w:asciiTheme="majorHAnsi" w:hAnsiTheme="majorHAnsi" w:cs="Calibri"/>
          <w:sz w:val="24"/>
          <w:szCs w:val="24"/>
        </w:rPr>
        <w:t xml:space="preserve"> and identified accordingly to the brain atlas of th</w:t>
      </w:r>
      <w:r>
        <w:rPr>
          <w:rFonts w:asciiTheme="majorHAnsi" w:hAnsiTheme="majorHAnsi" w:cs="Calibri"/>
          <w:sz w:val="24"/>
          <w:szCs w:val="24"/>
        </w:rPr>
        <w:t>is</w:t>
      </w:r>
      <w:r w:rsidRPr="00063771">
        <w:rPr>
          <w:rFonts w:asciiTheme="majorHAnsi" w:hAnsiTheme="majorHAnsi" w:cs="Calibri"/>
          <w:sz w:val="24"/>
          <w:szCs w:val="24"/>
        </w:rPr>
        <w:t xml:space="preserve"> species </w:t>
      </w:r>
      <w:r>
        <w:rPr>
          <w:rFonts w:asciiTheme="majorHAnsi" w:hAnsiTheme="majorHAnsi" w:cs="Calibri"/>
          <w:noProof/>
          <w:sz w:val="24"/>
          <w:szCs w:val="24"/>
        </w:rPr>
        <w:t>(3)</w:t>
      </w:r>
      <w:r w:rsidRPr="00063771">
        <w:rPr>
          <w:rFonts w:asciiTheme="majorHAnsi" w:hAnsiTheme="majorHAnsi" w:cs="Calibri"/>
          <w:sz w:val="24"/>
          <w:szCs w:val="24"/>
        </w:rPr>
        <w:t xml:space="preserve"> i.e. Dm, medial zone of the dorsal telencephalic area (basolateral amygdala), Dl, lateral telencephalic area (hippocampus) and ventral nucleus of the ventral telencephalic area (septum). </w:t>
      </w:r>
      <w:r>
        <w:rPr>
          <w:rFonts w:asciiTheme="majorHAnsi" w:hAnsiTheme="majorHAnsi" w:cs="Calibri"/>
          <w:sz w:val="24"/>
          <w:szCs w:val="24"/>
        </w:rPr>
        <w:t>The</w:t>
      </w:r>
      <w:r w:rsidRPr="00063771">
        <w:rPr>
          <w:rFonts w:asciiTheme="majorHAnsi" w:hAnsiTheme="majorHAnsi" w:cs="Calibri"/>
          <w:sz w:val="24"/>
          <w:szCs w:val="24"/>
        </w:rPr>
        <w:t xml:space="preserve"> Dl was divided in both dorsal (Dld) and ventral divisions (Dlv); (see detailed description in Fig. S2). Tissue was collected directly into lysis buffer from Qiagen Lipid Tissue Mini Kit (#74804; Valencia, CA) and stored at -80 ºC until further processing (see below).</w:t>
      </w:r>
      <w:r w:rsidRPr="00EF0706">
        <w:rPr>
          <w:rFonts w:asciiTheme="majorHAnsi" w:hAnsiTheme="majorHAnsi" w:cs="Calibri"/>
          <w:sz w:val="24"/>
          <w:szCs w:val="24"/>
        </w:rPr>
        <w:t xml:space="preserve"> </w:t>
      </w:r>
    </w:p>
    <w:p w14:paraId="782E4326" w14:textId="77777777" w:rsidR="00513D95" w:rsidRDefault="00513D95" w:rsidP="003A0F8C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21D2F348" w14:textId="77777777" w:rsidR="00FA3821" w:rsidRPr="003A0F8C" w:rsidRDefault="00FA3821" w:rsidP="003A0F8C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b/>
          <w:sz w:val="24"/>
          <w:szCs w:val="24"/>
          <w:lang w:val="en-US"/>
        </w:rPr>
        <w:t>RNA</w:t>
      </w:r>
      <w:r w:rsidRPr="003A0F8C">
        <w:rPr>
          <w:rFonts w:ascii="Calibri" w:hAnsi="Calibri" w:cs="Calibri"/>
          <w:b/>
          <w:sz w:val="24"/>
          <w:szCs w:val="24"/>
          <w:lang w:val="en-US"/>
        </w:rPr>
        <w:t xml:space="preserve"> extraction (adapted from previous works developed in our laboratory)</w:t>
      </w:r>
    </w:p>
    <w:p w14:paraId="34CBC8FB" w14:textId="77777777" w:rsidR="00FA3821" w:rsidRPr="00063771" w:rsidRDefault="00FA3821" w:rsidP="003A0F8C">
      <w:pPr>
        <w:jc w:val="both"/>
        <w:rPr>
          <w:rFonts w:asciiTheme="majorHAnsi" w:hAnsiTheme="majorHAnsi" w:cs="Calibri"/>
          <w:sz w:val="24"/>
          <w:szCs w:val="24"/>
        </w:rPr>
      </w:pPr>
      <w:r w:rsidRPr="00063771">
        <w:rPr>
          <w:rFonts w:asciiTheme="majorHAnsi" w:hAnsiTheme="majorHAnsi" w:cs="Calibri"/>
          <w:sz w:val="24"/>
          <w:szCs w:val="24"/>
        </w:rPr>
        <w:t>Tissue was homogenized in quiazol lysis reagent by vortex followed by an incubation of 7 min at room temperature (RT). It was added chloroform in a proportion of 1:2 and the sample incubated at RT for 5 min. Samples were then centrifuge at 13000 g for 20 min at 4 ºC, and the upper aqueous phase transferred to new tube where 1 volume of 70 % ethanol was added. This mixture was transferred to an RNEasy column, remained 5 min at RT, being subsequently centrifuged for 1 min at 9000 g. A sequence of buffers was added to the RNEasy column according to the manufacturer’s instructions, and RNA eluted with 25 µl of RNAse-free water. Each sample was then taken to Nanodrop to assess the “quality” of the RNA.</w:t>
      </w:r>
    </w:p>
    <w:p w14:paraId="08EA0507" w14:textId="77777777" w:rsidR="00FA3821" w:rsidRPr="003A0F8C" w:rsidRDefault="00FA3821"/>
    <w:p w14:paraId="14CF87BB" w14:textId="77777777" w:rsidR="00FA3821" w:rsidRPr="003A0F8C" w:rsidRDefault="00FA3821" w:rsidP="003A0F8C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3A0F8C">
        <w:rPr>
          <w:rFonts w:ascii="Calibri" w:hAnsi="Calibri" w:cs="Calibri"/>
          <w:b/>
          <w:sz w:val="24"/>
          <w:szCs w:val="24"/>
          <w:lang w:val="en-US"/>
        </w:rPr>
        <w:t xml:space="preserve">Primers design and quantitative real-time PCR (qPCR)  </w:t>
      </w:r>
    </w:p>
    <w:p w14:paraId="7896CE86" w14:textId="77777777" w:rsidR="00FA3821" w:rsidRPr="00063771" w:rsidRDefault="00FA3821" w:rsidP="008C1420">
      <w:pPr>
        <w:jc w:val="both"/>
        <w:rPr>
          <w:rFonts w:asciiTheme="majorHAnsi" w:hAnsiTheme="majorHAnsi" w:cs="Calibri"/>
          <w:sz w:val="24"/>
          <w:szCs w:val="24"/>
        </w:rPr>
      </w:pPr>
      <w:r w:rsidRPr="00063771">
        <w:rPr>
          <w:rFonts w:asciiTheme="majorHAnsi" w:hAnsiTheme="majorHAnsi" w:cs="Calibri"/>
          <w:sz w:val="24"/>
          <w:szCs w:val="24"/>
        </w:rPr>
        <w:t xml:space="preserve">The qRT-PCR protocol was based and adapted from procedures previously performed by Desjardins and Fernald </w:t>
      </w:r>
      <w:r>
        <w:rPr>
          <w:rFonts w:asciiTheme="majorHAnsi" w:hAnsiTheme="majorHAnsi" w:cs="Calibri"/>
          <w:noProof/>
          <w:sz w:val="24"/>
          <w:szCs w:val="24"/>
        </w:rPr>
        <w:t>(4)</w:t>
      </w:r>
      <w:r w:rsidRPr="00063771">
        <w:rPr>
          <w:rFonts w:asciiTheme="majorHAnsi" w:hAnsiTheme="majorHAnsi" w:cs="Calibri"/>
          <w:sz w:val="24"/>
          <w:szCs w:val="24"/>
        </w:rPr>
        <w:t xml:space="preserve">. Partial sequences for 18S (accession # AM490061.1), eef1a (accession # AF184170.1), egr-1 (accession # KC442101.1) and c-fos (accession </w:t>
      </w:r>
      <w:r w:rsidRPr="00063771">
        <w:rPr>
          <w:rFonts w:asciiTheme="majorHAnsi" w:hAnsiTheme="majorHAnsi" w:cs="Calibri"/>
          <w:sz w:val="24"/>
          <w:szCs w:val="24"/>
        </w:rPr>
        <w:lastRenderedPageBreak/>
        <w:t xml:space="preserve">#GU108576.1), were withdrawn from the National Center for Biotechnology Information (NCBI, </w:t>
      </w:r>
      <w:hyperlink r:id="rId7" w:history="1">
        <w:r w:rsidRPr="00063771">
          <w:rPr>
            <w:rFonts w:asciiTheme="majorHAnsi" w:hAnsiTheme="majorHAnsi"/>
          </w:rPr>
          <w:t>http://www.ncbi.nlm.nih.gov/nuccore</w:t>
        </w:r>
      </w:hyperlink>
      <w:r w:rsidRPr="00063771">
        <w:rPr>
          <w:rFonts w:asciiTheme="majorHAnsi" w:hAnsiTheme="majorHAnsi" w:cs="Calibri"/>
          <w:sz w:val="24"/>
          <w:szCs w:val="24"/>
        </w:rPr>
        <w:t xml:space="preserve">). For bdnf and npas4, primers were designed using NCBI sequences from several fish species and then aligned with ClustalW to select the most conserved regions (www.genome.jp/tools/clustalw) </w:t>
      </w:r>
      <w:r>
        <w:rPr>
          <w:rFonts w:asciiTheme="majorHAnsi" w:hAnsiTheme="majorHAnsi" w:cs="Calibri"/>
          <w:noProof/>
          <w:sz w:val="24"/>
          <w:szCs w:val="24"/>
        </w:rPr>
        <w:t>(5)</w:t>
      </w:r>
      <w:r w:rsidRPr="00063771">
        <w:rPr>
          <w:rFonts w:asciiTheme="majorHAnsi" w:hAnsiTheme="majorHAnsi" w:cs="Calibri"/>
          <w:sz w:val="24"/>
          <w:szCs w:val="24"/>
        </w:rPr>
        <w:t xml:space="preserve">. Primers for all target mRNA were designed using Primer3 software </w:t>
      </w:r>
      <w:r>
        <w:rPr>
          <w:rFonts w:asciiTheme="majorHAnsi" w:hAnsiTheme="majorHAnsi" w:cs="Calibri"/>
          <w:noProof/>
          <w:sz w:val="24"/>
          <w:szCs w:val="24"/>
        </w:rPr>
        <w:t>(6, 7)</w:t>
      </w:r>
      <w:r w:rsidRPr="00063771">
        <w:rPr>
          <w:rFonts w:asciiTheme="majorHAnsi" w:hAnsiTheme="majorHAnsi" w:cs="Calibri"/>
          <w:sz w:val="24"/>
          <w:szCs w:val="24"/>
        </w:rPr>
        <w:t xml:space="preserve"> and synthetized by Sigma-Aldrich (Hamburgo, German). The PCR products were sequenced to confirm the desired primer cDNA amplification. Primer dimmers formation was controlled with FastPCR v5.4 software </w:t>
      </w:r>
      <w:r>
        <w:rPr>
          <w:rFonts w:asciiTheme="majorHAnsi" w:hAnsiTheme="majorHAnsi" w:cs="Calibri"/>
          <w:noProof/>
          <w:sz w:val="24"/>
          <w:szCs w:val="24"/>
        </w:rPr>
        <w:t>(8, 9)</w:t>
      </w:r>
      <w:r w:rsidRPr="00063771">
        <w:rPr>
          <w:rFonts w:asciiTheme="majorHAnsi" w:hAnsiTheme="majorHAnsi" w:cs="Calibri"/>
          <w:sz w:val="24"/>
          <w:szCs w:val="24"/>
        </w:rPr>
        <w:t xml:space="preserve"> and optimal annealing temperature was assessed for maximal fluorescence (Table S2 and S3). The qRT-PCR carried out using a Roche Light Cycler 480 II (Roche Diagnostics, Penzberg, Germany), was performed using 25 µL reactions including 12.5 µL Light cycler H 480 SYBR Green I Master (Roche diagnostics GmbH, Mannheim, Germany), 0.2 µL of each primer and 1 µL of cDNA template (RNA equivalent). Cycling conditions were as follows: (i) denaturation (5 min at 95 °C); (ii) amplification and quantification (40 cycles; 30 s at 95 °C, 45 s at primer specific annealing temperature (see table S2 and S3 for details), 30 s at 72 °C with a single fluorescence measurement); and (iii) melting curve assessment (30 s at 95 °C; 30 s at 55 °C, followed by an 55–95 °C with a heating rate of 0.5 °C/s and a continuous fluorescence measurement; 30 s at 95 °C).</w:t>
      </w:r>
    </w:p>
    <w:p w14:paraId="4C7DD05B" w14:textId="77777777" w:rsidR="00FA3821" w:rsidRDefault="00FA3821" w:rsidP="003A0F8C">
      <w:pPr>
        <w:autoSpaceDE w:val="0"/>
        <w:autoSpaceDN w:val="0"/>
        <w:adjustRightInd w:val="0"/>
        <w:spacing w:after="0" w:line="240" w:lineRule="auto"/>
        <w:jc w:val="both"/>
        <w:rPr>
          <w:noProof/>
          <w:szCs w:val="24"/>
        </w:rPr>
      </w:pPr>
    </w:p>
    <w:p w14:paraId="11AF1FA2" w14:textId="77777777" w:rsidR="00FA3821" w:rsidRDefault="00FA3821" w:rsidP="003A0F8C">
      <w:pPr>
        <w:autoSpaceDE w:val="0"/>
        <w:autoSpaceDN w:val="0"/>
        <w:adjustRightInd w:val="0"/>
        <w:spacing w:after="0" w:line="240" w:lineRule="auto"/>
        <w:jc w:val="both"/>
        <w:rPr>
          <w:noProof/>
          <w:szCs w:val="24"/>
        </w:rPr>
      </w:pPr>
    </w:p>
    <w:p w14:paraId="065D44E6" w14:textId="77777777" w:rsidR="00FA3821" w:rsidRPr="00802BB9" w:rsidRDefault="00FA3821" w:rsidP="003A0F8C">
      <w:pPr>
        <w:autoSpaceDE w:val="0"/>
        <w:autoSpaceDN w:val="0"/>
        <w:adjustRightInd w:val="0"/>
        <w:spacing w:after="0" w:line="240" w:lineRule="auto"/>
        <w:jc w:val="both"/>
        <w:rPr>
          <w:noProof/>
          <w:szCs w:val="24"/>
        </w:rPr>
      </w:pPr>
      <w:r w:rsidRPr="00802BB9">
        <w:rPr>
          <w:noProof/>
          <w:szCs w:val="24"/>
          <w:lang w:val="en-US"/>
        </w:rPr>
        <w:drawing>
          <wp:inline distT="0" distB="0" distL="0" distR="0" wp14:anchorId="677888EB" wp14:editId="1629917D">
            <wp:extent cx="5410200" cy="365760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8E420" w14:textId="77777777" w:rsidR="00FA3821" w:rsidRPr="00802BB9" w:rsidRDefault="00FA3821" w:rsidP="003A0F8C">
      <w:pPr>
        <w:autoSpaceDE w:val="0"/>
        <w:autoSpaceDN w:val="0"/>
        <w:adjustRightInd w:val="0"/>
        <w:spacing w:after="0" w:line="240" w:lineRule="auto"/>
        <w:jc w:val="both"/>
        <w:rPr>
          <w:noProof/>
          <w:szCs w:val="24"/>
        </w:rPr>
      </w:pPr>
    </w:p>
    <w:p w14:paraId="12C47EC9" w14:textId="77777777" w:rsidR="00FA3821" w:rsidRPr="00802BB9" w:rsidRDefault="00FA3821" w:rsidP="003A0F8C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14:paraId="1740B2B9" w14:textId="77777777" w:rsidR="00FA3821" w:rsidRPr="00063771" w:rsidRDefault="00FA3821" w:rsidP="003A0F8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63771">
        <w:rPr>
          <w:b/>
          <w:sz w:val="24"/>
          <w:szCs w:val="24"/>
        </w:rPr>
        <w:t>Fig. S</w:t>
      </w:r>
      <w:r>
        <w:rPr>
          <w:b/>
          <w:sz w:val="24"/>
          <w:szCs w:val="24"/>
        </w:rPr>
        <w:t>2</w:t>
      </w:r>
      <w:r w:rsidR="00244A96">
        <w:rPr>
          <w:b/>
          <w:sz w:val="24"/>
          <w:szCs w:val="24"/>
        </w:rPr>
        <w:t xml:space="preserve"> </w:t>
      </w:r>
      <w:r w:rsidRPr="00063771">
        <w:rPr>
          <w:rFonts w:asciiTheme="majorHAnsi" w:hAnsiTheme="majorHAnsi" w:cs="Calibri"/>
          <w:sz w:val="24"/>
          <w:szCs w:val="24"/>
        </w:rPr>
        <w:t>Coronal sections of Atlantic seabass (</w:t>
      </w:r>
      <w:r w:rsidRPr="008336B8">
        <w:rPr>
          <w:rFonts w:asciiTheme="majorHAnsi" w:hAnsiTheme="majorHAnsi" w:cs="Calibri"/>
          <w:i/>
          <w:iCs/>
          <w:sz w:val="24"/>
          <w:szCs w:val="24"/>
        </w:rPr>
        <w:t>Dicentrarchus labrax</w:t>
      </w:r>
      <w:r w:rsidRPr="00063771">
        <w:rPr>
          <w:rFonts w:asciiTheme="majorHAnsi" w:hAnsiTheme="majorHAnsi" w:cs="Calibri"/>
          <w:sz w:val="24"/>
          <w:szCs w:val="24"/>
        </w:rPr>
        <w:t>) telencephalon spaced 400 µm from each other. Nissl staining images and an illustrative section adapted from Cerda-Reverter</w:t>
      </w:r>
      <w:r w:rsidRPr="00BC010B">
        <w:rPr>
          <w:rFonts w:asciiTheme="majorHAnsi" w:hAnsiTheme="majorHAnsi" w:cs="Calibri"/>
          <w:sz w:val="24"/>
          <w:szCs w:val="24"/>
        </w:rPr>
        <w:t>, et al. [13]</w:t>
      </w:r>
      <w:r w:rsidRPr="00063771">
        <w:rPr>
          <w:rFonts w:asciiTheme="majorHAnsi" w:hAnsiTheme="majorHAnsi" w:cs="Calibri"/>
          <w:sz w:val="24"/>
          <w:szCs w:val="24"/>
        </w:rPr>
        <w:t xml:space="preserve"> highlighting the areas of interest from the telencephalon. Areas of interest: medial part of the dorsal telencephalon (Dm), lateral dorsal </w:t>
      </w:r>
      <w:r w:rsidRPr="00063771">
        <w:rPr>
          <w:rFonts w:asciiTheme="majorHAnsi" w:hAnsiTheme="majorHAnsi" w:cs="Calibri"/>
          <w:sz w:val="24"/>
          <w:szCs w:val="24"/>
        </w:rPr>
        <w:lastRenderedPageBreak/>
        <w:t>telencephalon (Dld, red), lateral ventral telencephalon (Dlv, yellow), ventral nucleus of the ventral telencephalon (Vv, blue).</w:t>
      </w:r>
    </w:p>
    <w:p w14:paraId="2815248C" w14:textId="77777777" w:rsidR="00FA3821" w:rsidRDefault="00FA3821" w:rsidP="003A0F8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4E27D152" w14:textId="77777777" w:rsidR="00FA3821" w:rsidRDefault="00FA3821" w:rsidP="003A0F8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6896150C" w14:textId="77777777" w:rsidR="00FA3821" w:rsidRPr="00244A96" w:rsidRDefault="00FA3821" w:rsidP="003A0F8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244A96">
        <w:rPr>
          <w:b/>
          <w:sz w:val="24"/>
          <w:szCs w:val="24"/>
        </w:rPr>
        <w:t>Table S</w:t>
      </w:r>
      <w:r w:rsidR="00513D95">
        <w:rPr>
          <w:b/>
          <w:sz w:val="24"/>
          <w:szCs w:val="24"/>
        </w:rPr>
        <w:t>3</w:t>
      </w:r>
      <w:r w:rsidR="00244A96" w:rsidRPr="00244A96">
        <w:rPr>
          <w:b/>
          <w:sz w:val="24"/>
          <w:szCs w:val="24"/>
        </w:rPr>
        <w:t xml:space="preserve"> </w:t>
      </w:r>
      <w:r w:rsidRPr="00244A96">
        <w:rPr>
          <w:rFonts w:asciiTheme="majorHAnsi" w:hAnsiTheme="majorHAnsi" w:cs="Calibri"/>
          <w:sz w:val="24"/>
          <w:szCs w:val="24"/>
        </w:rPr>
        <w:t>List of primers and respective temperature of annealing used for quantitative real-time PCR from the different telencephalon regions studied in Atlantic seabass (</w:t>
      </w:r>
      <w:r w:rsidRPr="00244A96">
        <w:rPr>
          <w:rFonts w:asciiTheme="majorHAnsi" w:hAnsiTheme="majorHAnsi" w:cs="Calibri"/>
          <w:i/>
          <w:sz w:val="24"/>
          <w:szCs w:val="24"/>
        </w:rPr>
        <w:t>Dicentrarchus labrax</w:t>
      </w:r>
      <w:r w:rsidRPr="00244A96">
        <w:rPr>
          <w:rFonts w:asciiTheme="majorHAnsi" w:hAnsiTheme="majorHAnsi" w:cs="Calibri"/>
          <w:sz w:val="24"/>
          <w:szCs w:val="24"/>
        </w:rPr>
        <w:t>) brain.</w:t>
      </w:r>
    </w:p>
    <w:p w14:paraId="60B25A87" w14:textId="77777777" w:rsidR="00FA3821" w:rsidRPr="00063771" w:rsidRDefault="00FA3821" w:rsidP="003A0F8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3291"/>
        <w:gridCol w:w="3283"/>
        <w:gridCol w:w="849"/>
      </w:tblGrid>
      <w:tr w:rsidR="00FA3821" w:rsidRPr="00802BB9" w14:paraId="1D6AC115" w14:textId="77777777" w:rsidTr="00246050">
        <w:trPr>
          <w:trHeight w:val="315"/>
        </w:trPr>
        <w:tc>
          <w:tcPr>
            <w:tcW w:w="636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3547DFD6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2162D2B6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Forward Primer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673A4BE8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Reverse Primer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427F0189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Ta*</w:t>
            </w:r>
          </w:p>
        </w:tc>
      </w:tr>
      <w:tr w:rsidR="00FA3821" w:rsidRPr="00802BB9" w14:paraId="7C5F9B56" w14:textId="77777777" w:rsidTr="00246050">
        <w:trPr>
          <w:trHeight w:val="315"/>
        </w:trPr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7E1414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18S</w:t>
            </w:r>
            <w:r w:rsidRPr="00802B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D507C0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ATGCGTGCATTTATCAGACC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972B57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CGAAAGTTGATAGGGCAGACA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366733C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</w:tr>
      <w:tr w:rsidR="00FA3821" w:rsidRPr="00802BB9" w14:paraId="73771051" w14:textId="77777777" w:rsidTr="00246050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D72A93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EeF1a</w:t>
            </w:r>
            <w:r w:rsidRPr="00802B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93ED1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TGGCTTCAACATCAAGAACG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A3AE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ATGTGAGCTGTGTGGCAATC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31630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FA3821" w:rsidRPr="00802BB9" w14:paraId="182E40F1" w14:textId="77777777" w:rsidTr="00246050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B9EE4F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c-Fos</w:t>
            </w:r>
            <w:r w:rsidRPr="00802B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CF82258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GCCTGCACCACCTTTACTTC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4A550C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AGAGGACTGGTCGTTGCTGT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CAD875A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="00FA3821" w:rsidRPr="00802BB9" w14:paraId="5E472C89" w14:textId="77777777" w:rsidTr="00246050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7E2EB3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EGR-1</w:t>
            </w:r>
            <w:r w:rsidRPr="00802B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25801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GCAGAAGGACAAGAAAGCAGA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E313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GGGGTAAGAAGACACTGGAGA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21909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</w:tr>
      <w:tr w:rsidR="00FA3821" w:rsidRPr="00802BB9" w14:paraId="789C833E" w14:textId="77777777" w:rsidTr="00246050">
        <w:trPr>
          <w:trHeight w:val="300"/>
        </w:trPr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845B6F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BDNF</w:t>
            </w:r>
            <w:r w:rsidRPr="00802B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FB49F18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GCTCAGCGTGTGTGACAGTA</w:t>
            </w:r>
          </w:p>
        </w:tc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F48399A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ACAGGGACCTTTTCCATGAC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0D6B9A3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  <w:tr w:rsidR="00FA3821" w:rsidRPr="00802BB9" w14:paraId="011F548F" w14:textId="77777777" w:rsidTr="00246050">
        <w:trPr>
          <w:trHeight w:val="315"/>
        </w:trPr>
        <w:tc>
          <w:tcPr>
            <w:tcW w:w="63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63EA6B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NPAS4</w:t>
            </w:r>
            <w:r w:rsidRPr="00802B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3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24DF51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CAACCAAAGGAGCATCCAAG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97F51B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AGCCGTGCTTTATCTGCATC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2B5A5" w14:textId="77777777" w:rsidR="00FA3821" w:rsidRPr="00802BB9" w:rsidRDefault="00FA3821" w:rsidP="00246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02B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</w:tr>
    </w:tbl>
    <w:p w14:paraId="29FBAEB8" w14:textId="77777777" w:rsidR="00FA3821" w:rsidRDefault="00FA3821" w:rsidP="003A0F8C">
      <w:pPr>
        <w:rPr>
          <w:b/>
          <w:sz w:val="20"/>
          <w:szCs w:val="20"/>
        </w:rPr>
      </w:pPr>
      <w:r w:rsidRPr="00063771">
        <w:rPr>
          <w:rFonts w:asciiTheme="majorHAnsi" w:hAnsiTheme="majorHAnsi" w:cs="Calibri"/>
          <w:sz w:val="24"/>
          <w:szCs w:val="24"/>
        </w:rPr>
        <w:t xml:space="preserve">*Ta = Temperature of annealing; </w:t>
      </w:r>
      <w:r w:rsidRPr="00063771">
        <w:rPr>
          <w:rFonts w:asciiTheme="majorHAnsi" w:hAnsiTheme="majorHAnsi" w:cs="Calibri"/>
          <w:sz w:val="24"/>
          <w:szCs w:val="24"/>
          <w:vertAlign w:val="superscript"/>
        </w:rPr>
        <w:t>1</w:t>
      </w:r>
      <w:r w:rsidRPr="00063771">
        <w:rPr>
          <w:rFonts w:asciiTheme="majorHAnsi" w:hAnsiTheme="majorHAnsi" w:cs="Calibri"/>
          <w:sz w:val="24"/>
          <w:szCs w:val="24"/>
        </w:rPr>
        <w:t xml:space="preserve">Reference genes; </w:t>
      </w:r>
      <w:r w:rsidRPr="00063771">
        <w:rPr>
          <w:rFonts w:asciiTheme="majorHAnsi" w:hAnsiTheme="majorHAnsi" w:cs="Calibri"/>
          <w:sz w:val="24"/>
          <w:szCs w:val="24"/>
          <w:vertAlign w:val="superscript"/>
        </w:rPr>
        <w:t>2</w:t>
      </w:r>
      <w:r w:rsidRPr="00063771">
        <w:rPr>
          <w:rFonts w:asciiTheme="majorHAnsi" w:hAnsiTheme="majorHAnsi" w:cs="Calibri"/>
          <w:sz w:val="24"/>
          <w:szCs w:val="24"/>
        </w:rPr>
        <w:t>Target genes.</w:t>
      </w:r>
    </w:p>
    <w:p w14:paraId="376A883C" w14:textId="77777777" w:rsidR="00FA3821" w:rsidRDefault="00FA3821" w:rsidP="007C4504">
      <w:pPr>
        <w:jc w:val="both"/>
      </w:pPr>
    </w:p>
    <w:p w14:paraId="0CF93E67" w14:textId="77777777" w:rsidR="00FA3821" w:rsidRDefault="00FA3821" w:rsidP="007C4504">
      <w:pPr>
        <w:jc w:val="both"/>
      </w:pPr>
    </w:p>
    <w:p w14:paraId="50DBB40F" w14:textId="77777777" w:rsidR="00244A96" w:rsidRDefault="00244A96" w:rsidP="00244A96">
      <w:pPr>
        <w:rPr>
          <w:b/>
          <w:bCs/>
          <w:sz w:val="28"/>
          <w:szCs w:val="28"/>
        </w:rPr>
      </w:pPr>
    </w:p>
    <w:p w14:paraId="17977799" w14:textId="77777777" w:rsidR="00FA3821" w:rsidRPr="00244A96" w:rsidRDefault="00FA3821" w:rsidP="00244A96">
      <w:pPr>
        <w:rPr>
          <w:b/>
          <w:bCs/>
          <w:sz w:val="28"/>
          <w:szCs w:val="28"/>
        </w:rPr>
      </w:pPr>
      <w:r w:rsidRPr="00C45678">
        <w:rPr>
          <w:b/>
          <w:bCs/>
          <w:sz w:val="28"/>
          <w:szCs w:val="28"/>
        </w:rPr>
        <w:t>References</w:t>
      </w:r>
    </w:p>
    <w:p w14:paraId="28D3DB63" w14:textId="77777777" w:rsidR="00FA3821" w:rsidRPr="00C45678" w:rsidRDefault="00FA3821" w:rsidP="00C45678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1" w:name="_ENREF_1"/>
      <w:r w:rsidRPr="00C45678">
        <w:rPr>
          <w:rFonts w:ascii="Calibri" w:hAnsi="Calibri" w:cs="Calibri"/>
          <w:noProof/>
        </w:rPr>
        <w:t>1.</w:t>
      </w:r>
      <w:r w:rsidRPr="00C45678">
        <w:rPr>
          <w:rFonts w:ascii="Calibri" w:hAnsi="Calibri" w:cs="Calibri"/>
          <w:noProof/>
        </w:rPr>
        <w:tab/>
        <w:t xml:space="preserve">O'Connell LA &amp; Hofmann HA (2011) The vertebrate mesolimbic reward system and social behavior network: a comparative synthesis. </w:t>
      </w:r>
      <w:r w:rsidRPr="00C45678">
        <w:rPr>
          <w:rFonts w:ascii="Calibri" w:hAnsi="Calibri" w:cs="Calibri"/>
          <w:i/>
          <w:noProof/>
        </w:rPr>
        <w:t>J Comp Neurol</w:t>
      </w:r>
      <w:r w:rsidRPr="00C45678">
        <w:rPr>
          <w:rFonts w:ascii="Calibri" w:hAnsi="Calibri" w:cs="Calibri"/>
          <w:noProof/>
        </w:rPr>
        <w:t xml:space="preserve"> 519(18):3599-3639.</w:t>
      </w:r>
      <w:bookmarkEnd w:id="1"/>
    </w:p>
    <w:p w14:paraId="62941E49" w14:textId="77777777" w:rsidR="00FA3821" w:rsidRPr="00C45678" w:rsidRDefault="00FA3821" w:rsidP="00C45678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2" w:name="_ENREF_2"/>
      <w:r w:rsidRPr="00C45678">
        <w:rPr>
          <w:rFonts w:ascii="Calibri" w:hAnsi="Calibri" w:cs="Calibri"/>
          <w:noProof/>
        </w:rPr>
        <w:t>2.</w:t>
      </w:r>
      <w:r w:rsidRPr="00C45678">
        <w:rPr>
          <w:rFonts w:ascii="Calibri" w:hAnsi="Calibri" w:cs="Calibri"/>
          <w:noProof/>
        </w:rPr>
        <w:tab/>
        <w:t xml:space="preserve">Goodson JL &amp; Kingsbury MA (2013) What's in a name? Considerations of homologies and nomenclature for vertebrate social behavior networks. </w:t>
      </w:r>
      <w:r w:rsidRPr="00C45678">
        <w:rPr>
          <w:rFonts w:ascii="Calibri" w:hAnsi="Calibri" w:cs="Calibri"/>
          <w:i/>
          <w:noProof/>
        </w:rPr>
        <w:t>Hormones and behavior</w:t>
      </w:r>
      <w:r w:rsidRPr="00C45678">
        <w:rPr>
          <w:rFonts w:ascii="Calibri" w:hAnsi="Calibri" w:cs="Calibri"/>
          <w:noProof/>
        </w:rPr>
        <w:t xml:space="preserve"> 64(1):103-112.</w:t>
      </w:r>
      <w:bookmarkEnd w:id="2"/>
    </w:p>
    <w:p w14:paraId="675AAEA2" w14:textId="77777777" w:rsidR="00FA3821" w:rsidRPr="00C45678" w:rsidRDefault="00FA3821" w:rsidP="00C45678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3" w:name="_ENREF_3"/>
      <w:r w:rsidRPr="00C45678">
        <w:rPr>
          <w:rFonts w:ascii="Calibri" w:hAnsi="Calibri" w:cs="Calibri"/>
          <w:noProof/>
        </w:rPr>
        <w:t>3.</w:t>
      </w:r>
      <w:r w:rsidRPr="00C45678">
        <w:rPr>
          <w:rFonts w:ascii="Calibri" w:hAnsi="Calibri" w:cs="Calibri"/>
          <w:noProof/>
        </w:rPr>
        <w:tab/>
        <w:t xml:space="preserve">Cerda-Reverter JM, Zanuy S, &amp; Munoz-Cueto JA (2001) Cytoarchitectonic study of the brain of a perciform species, the sea bass (Dicentrarchus labrax). I. The telencephalon. </w:t>
      </w:r>
      <w:r w:rsidRPr="00C45678">
        <w:rPr>
          <w:rFonts w:ascii="Calibri" w:hAnsi="Calibri" w:cs="Calibri"/>
          <w:i/>
          <w:noProof/>
        </w:rPr>
        <w:t>J Morphol</w:t>
      </w:r>
      <w:r w:rsidRPr="00C45678">
        <w:rPr>
          <w:rFonts w:ascii="Calibri" w:hAnsi="Calibri" w:cs="Calibri"/>
          <w:noProof/>
        </w:rPr>
        <w:t xml:space="preserve"> 247(3):217-228.</w:t>
      </w:r>
      <w:bookmarkEnd w:id="3"/>
    </w:p>
    <w:p w14:paraId="1CEA6E12" w14:textId="77777777" w:rsidR="00FA3821" w:rsidRPr="00C45678" w:rsidRDefault="00FA3821" w:rsidP="00C45678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4" w:name="_ENREF_4"/>
      <w:r w:rsidRPr="00C45678">
        <w:rPr>
          <w:rFonts w:ascii="Calibri" w:hAnsi="Calibri" w:cs="Calibri"/>
          <w:noProof/>
        </w:rPr>
        <w:t>4.</w:t>
      </w:r>
      <w:r w:rsidRPr="00C45678">
        <w:rPr>
          <w:rFonts w:ascii="Calibri" w:hAnsi="Calibri" w:cs="Calibri"/>
          <w:noProof/>
        </w:rPr>
        <w:tab/>
        <w:t xml:space="preserve">Desjardins JK &amp; Fernald RD (2010) What do fish make of mirror images? </w:t>
      </w:r>
      <w:r w:rsidRPr="00C45678">
        <w:rPr>
          <w:rFonts w:ascii="Calibri" w:hAnsi="Calibri" w:cs="Calibri"/>
          <w:i/>
          <w:noProof/>
        </w:rPr>
        <w:t>Biology Letters</w:t>
      </w:r>
      <w:r w:rsidRPr="00C45678">
        <w:rPr>
          <w:rFonts w:ascii="Calibri" w:hAnsi="Calibri" w:cs="Calibri"/>
          <w:noProof/>
        </w:rPr>
        <w:t xml:space="preserve"> 6(6):744-747.</w:t>
      </w:r>
      <w:bookmarkEnd w:id="4"/>
    </w:p>
    <w:p w14:paraId="688D6D9F" w14:textId="77777777" w:rsidR="00FA3821" w:rsidRPr="00C45678" w:rsidRDefault="00FA3821" w:rsidP="00C45678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5" w:name="_ENREF_5"/>
      <w:r w:rsidRPr="00C45678">
        <w:rPr>
          <w:rFonts w:ascii="Calibri" w:hAnsi="Calibri" w:cs="Calibri"/>
          <w:noProof/>
        </w:rPr>
        <w:t>5.</w:t>
      </w:r>
      <w:r w:rsidRPr="00C45678">
        <w:rPr>
          <w:rFonts w:ascii="Calibri" w:hAnsi="Calibri" w:cs="Calibri"/>
          <w:noProof/>
        </w:rPr>
        <w:tab/>
        <w:t xml:space="preserve">Thompson JD, Higgins DG, &amp; Gibson TJ (1994) CLUSTAL W: improving the sensitivity of progressive multiple sequence alignment through sequence weighting, position-specific gap penalties and weight matrix choice. </w:t>
      </w:r>
      <w:r w:rsidRPr="00C45678">
        <w:rPr>
          <w:rFonts w:ascii="Calibri" w:hAnsi="Calibri" w:cs="Calibri"/>
          <w:i/>
          <w:noProof/>
        </w:rPr>
        <w:t>Nucleic Acids Res</w:t>
      </w:r>
      <w:r w:rsidRPr="00C45678">
        <w:rPr>
          <w:rFonts w:ascii="Calibri" w:hAnsi="Calibri" w:cs="Calibri"/>
          <w:noProof/>
        </w:rPr>
        <w:t xml:space="preserve"> 22(22):4673-4680.</w:t>
      </w:r>
      <w:bookmarkEnd w:id="5"/>
    </w:p>
    <w:p w14:paraId="14B358BD" w14:textId="77777777" w:rsidR="00FA3821" w:rsidRPr="00C45678" w:rsidRDefault="00FA3821" w:rsidP="00C45678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6" w:name="_ENREF_6"/>
      <w:r w:rsidRPr="00C45678">
        <w:rPr>
          <w:rFonts w:ascii="Calibri" w:hAnsi="Calibri" w:cs="Calibri"/>
          <w:noProof/>
        </w:rPr>
        <w:t>6.</w:t>
      </w:r>
      <w:r w:rsidRPr="00C45678">
        <w:rPr>
          <w:rFonts w:ascii="Calibri" w:hAnsi="Calibri" w:cs="Calibri"/>
          <w:noProof/>
        </w:rPr>
        <w:tab/>
        <w:t xml:space="preserve">Koressaar T &amp; Remm M (2007) Enhancements and modifications of primer design program Primer3. </w:t>
      </w:r>
      <w:r w:rsidRPr="00C45678">
        <w:rPr>
          <w:rFonts w:ascii="Calibri" w:hAnsi="Calibri" w:cs="Calibri"/>
          <w:i/>
          <w:noProof/>
        </w:rPr>
        <w:t>Bioinformatics (Oxford, England)</w:t>
      </w:r>
      <w:r w:rsidRPr="00C45678">
        <w:rPr>
          <w:rFonts w:ascii="Calibri" w:hAnsi="Calibri" w:cs="Calibri"/>
          <w:noProof/>
        </w:rPr>
        <w:t xml:space="preserve"> 23(10):1289-1291.</w:t>
      </w:r>
      <w:bookmarkEnd w:id="6"/>
    </w:p>
    <w:p w14:paraId="3F5FF452" w14:textId="77777777" w:rsidR="00FA3821" w:rsidRPr="00C45678" w:rsidRDefault="00FA3821" w:rsidP="00C45678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7" w:name="_ENREF_7"/>
      <w:r w:rsidRPr="00C45678">
        <w:rPr>
          <w:rFonts w:ascii="Calibri" w:hAnsi="Calibri" w:cs="Calibri"/>
          <w:noProof/>
        </w:rPr>
        <w:t>7.</w:t>
      </w:r>
      <w:r w:rsidRPr="00C45678">
        <w:rPr>
          <w:rFonts w:ascii="Calibri" w:hAnsi="Calibri" w:cs="Calibri"/>
          <w:noProof/>
        </w:rPr>
        <w:tab/>
        <w:t>Untergasser A</w:t>
      </w:r>
      <w:r w:rsidRPr="00C45678">
        <w:rPr>
          <w:rFonts w:ascii="Calibri" w:hAnsi="Calibri" w:cs="Calibri"/>
          <w:i/>
          <w:noProof/>
        </w:rPr>
        <w:t>, et al.</w:t>
      </w:r>
      <w:r w:rsidRPr="00C45678">
        <w:rPr>
          <w:rFonts w:ascii="Calibri" w:hAnsi="Calibri" w:cs="Calibri"/>
          <w:noProof/>
        </w:rPr>
        <w:t xml:space="preserve"> (2012) Primer3--new capabilities and interfaces. </w:t>
      </w:r>
      <w:r w:rsidRPr="00C45678">
        <w:rPr>
          <w:rFonts w:ascii="Calibri" w:hAnsi="Calibri" w:cs="Calibri"/>
          <w:i/>
          <w:noProof/>
        </w:rPr>
        <w:t>Nucleic Acids Res</w:t>
      </w:r>
      <w:r w:rsidRPr="00C45678">
        <w:rPr>
          <w:rFonts w:ascii="Calibri" w:hAnsi="Calibri" w:cs="Calibri"/>
          <w:noProof/>
        </w:rPr>
        <w:t xml:space="preserve"> 40(15):e115.</w:t>
      </w:r>
      <w:bookmarkEnd w:id="7"/>
    </w:p>
    <w:p w14:paraId="5F2CC754" w14:textId="77777777" w:rsidR="00244A96" w:rsidRDefault="00FA3821" w:rsidP="00244A9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bookmarkStart w:id="8" w:name="_ENREF_8"/>
      <w:r w:rsidRPr="00C45678">
        <w:rPr>
          <w:rFonts w:ascii="Calibri" w:hAnsi="Calibri" w:cs="Calibri"/>
          <w:noProof/>
        </w:rPr>
        <w:t>8.</w:t>
      </w:r>
      <w:r w:rsidRPr="00C45678">
        <w:rPr>
          <w:rFonts w:ascii="Calibri" w:hAnsi="Calibri" w:cs="Calibri"/>
          <w:noProof/>
        </w:rPr>
        <w:tab/>
        <w:t>Kalendar R, Lee D, &amp; Schulman A (2011) Java web tools for PCR, in silico PCR, and oligonucleotide assembly and analysis</w:t>
      </w:r>
      <w:r w:rsidR="00244A96">
        <w:rPr>
          <w:rFonts w:ascii="Calibri" w:hAnsi="Calibri" w:cs="Calibri"/>
          <w:noProof/>
        </w:rPr>
        <w:t xml:space="preserve"> </w:t>
      </w:r>
      <w:r w:rsidRPr="00C45678">
        <w:rPr>
          <w:rFonts w:ascii="Calibri" w:hAnsi="Calibri" w:cs="Calibri"/>
          <w:i/>
          <w:noProof/>
        </w:rPr>
        <w:t>Genomics</w:t>
      </w:r>
      <w:r w:rsidRPr="00C45678">
        <w:rPr>
          <w:rFonts w:ascii="Calibri" w:hAnsi="Calibri" w:cs="Calibri"/>
          <w:noProof/>
        </w:rPr>
        <w:t xml:space="preserve"> 98((2)):137-144.</w:t>
      </w:r>
      <w:bookmarkStart w:id="9" w:name="_ENREF_9"/>
      <w:bookmarkEnd w:id="8"/>
    </w:p>
    <w:p w14:paraId="53E7BDAD" w14:textId="77777777" w:rsidR="00FA3821" w:rsidRPr="00C45678" w:rsidRDefault="00FA3821" w:rsidP="00244A96">
      <w:pPr>
        <w:spacing w:after="0" w:line="240" w:lineRule="auto"/>
        <w:ind w:left="720" w:hanging="720"/>
        <w:rPr>
          <w:rFonts w:ascii="Calibri" w:hAnsi="Calibri" w:cs="Calibri"/>
          <w:noProof/>
        </w:rPr>
      </w:pPr>
      <w:r w:rsidRPr="00C45678">
        <w:rPr>
          <w:rFonts w:ascii="Calibri" w:hAnsi="Calibri" w:cs="Calibri"/>
          <w:noProof/>
        </w:rPr>
        <w:t>9.</w:t>
      </w:r>
      <w:r w:rsidRPr="00C45678">
        <w:rPr>
          <w:rFonts w:ascii="Calibri" w:hAnsi="Calibri" w:cs="Calibri"/>
          <w:noProof/>
        </w:rPr>
        <w:tab/>
        <w:t xml:space="preserve">Kalendar R, Lee D, &amp; Schulman A (2014) FastPCR Software for PCR, In Silico PCR, and Oligonucleotide Assembly and Analysis. </w:t>
      </w:r>
      <w:r w:rsidRPr="00C45678">
        <w:rPr>
          <w:rFonts w:ascii="Calibri" w:hAnsi="Calibri" w:cs="Calibri"/>
          <w:i/>
          <w:noProof/>
        </w:rPr>
        <w:t>DNA Cloning and Assembly Methods,</w:t>
      </w:r>
      <w:r w:rsidRPr="00C45678">
        <w:rPr>
          <w:rFonts w:ascii="Calibri" w:hAnsi="Calibri" w:cs="Calibri"/>
          <w:noProof/>
        </w:rPr>
        <w:t xml:space="preserve"> Methods in Molecular Biology, eds Valla S &amp; Lale R (Humana Press), Vol 1116, pp 271-302.</w:t>
      </w:r>
      <w:bookmarkEnd w:id="9"/>
    </w:p>
    <w:p w14:paraId="1A51B2AA" w14:textId="77777777" w:rsidR="00FA3821" w:rsidRDefault="00FA3821"/>
    <w:sectPr w:rsidR="00FA3821" w:rsidSect="005B4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29ABA" w14:textId="77777777" w:rsidR="0066086A" w:rsidRDefault="0066086A" w:rsidP="00513D95">
      <w:pPr>
        <w:spacing w:after="0" w:line="240" w:lineRule="auto"/>
      </w:pPr>
      <w:r>
        <w:separator/>
      </w:r>
    </w:p>
  </w:endnote>
  <w:endnote w:type="continuationSeparator" w:id="0">
    <w:p w14:paraId="2A8E5A03" w14:textId="77777777" w:rsidR="0066086A" w:rsidRDefault="0066086A" w:rsidP="0051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FF9FF" w14:textId="77777777" w:rsidR="0066086A" w:rsidRDefault="0066086A" w:rsidP="00513D95">
      <w:pPr>
        <w:spacing w:after="0" w:line="240" w:lineRule="auto"/>
      </w:pPr>
      <w:r>
        <w:separator/>
      </w:r>
    </w:p>
  </w:footnote>
  <w:footnote w:type="continuationSeparator" w:id="0">
    <w:p w14:paraId="378AD80F" w14:textId="77777777" w:rsidR="0066086A" w:rsidRDefault="0066086A" w:rsidP="00513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A3821"/>
    <w:rsid w:val="00125876"/>
    <w:rsid w:val="00244A96"/>
    <w:rsid w:val="00513D95"/>
    <w:rsid w:val="0066086A"/>
    <w:rsid w:val="006674AA"/>
    <w:rsid w:val="00E57EBD"/>
    <w:rsid w:val="00F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DCE4F4"/>
  <w15:chartTrackingRefBased/>
  <w15:docId w15:val="{557E3436-DA16-4BE7-9363-6F93B010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821"/>
    <w:pPr>
      <w:spacing w:after="200" w:line="27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tilo2">
    <w:name w:val="Estilo2"/>
    <w:basedOn w:val="TableNormal"/>
    <w:uiPriority w:val="99"/>
    <w:rsid w:val="00FA3821"/>
    <w:pPr>
      <w:spacing w:after="0" w:line="240" w:lineRule="auto"/>
    </w:pPr>
    <w:rPr>
      <w:rFonts w:eastAsiaTheme="minorHAnsi"/>
      <w:lang w:val="en-US" w:eastAsia="en-US"/>
    </w:rPr>
    <w:tblPr/>
  </w:style>
  <w:style w:type="character" w:styleId="Hyperlink">
    <w:name w:val="Hyperlink"/>
    <w:uiPriority w:val="99"/>
    <w:rsid w:val="00FA38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21"/>
    <w:rPr>
      <w:rFonts w:ascii="Tahoma" w:eastAsiaTheme="minorHAnsi" w:hAnsi="Tahoma" w:cs="Tahoma"/>
      <w:sz w:val="16"/>
      <w:szCs w:val="16"/>
      <w:lang w:val="en-GB" w:eastAsia="en-US"/>
    </w:rPr>
  </w:style>
  <w:style w:type="table" w:styleId="MediumList2-Accent5">
    <w:name w:val="Medium List 2 Accent 5"/>
    <w:basedOn w:val="TableNormal"/>
    <w:uiPriority w:val="66"/>
    <w:rsid w:val="00FA3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A3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21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A3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821"/>
    <w:rPr>
      <w:rFonts w:eastAsiaTheme="minorHAnsi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3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nucco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Alexandre Cavaco Cerqueira</dc:creator>
  <cp:keywords/>
  <dc:description/>
  <cp:lastModifiedBy>Swathi R.</cp:lastModifiedBy>
  <cp:revision>5</cp:revision>
  <dcterms:created xsi:type="dcterms:W3CDTF">2021-02-28T21:15:00Z</dcterms:created>
  <dcterms:modified xsi:type="dcterms:W3CDTF">2021-07-31T06:51:00Z</dcterms:modified>
</cp:coreProperties>
</file>