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6E7" w14:textId="77777777" w:rsidR="00AD1E5A" w:rsidRPr="00143550" w:rsidRDefault="00AD1E5A" w:rsidP="00AD1E5A">
      <w:pPr>
        <w:pStyle w:val="BodyText"/>
        <w:jc w:val="both"/>
        <w:rPr>
          <w:rFonts w:cstheme="minorHAnsi"/>
          <w:b/>
          <w:lang w:val="en-IE"/>
        </w:rPr>
      </w:pPr>
      <w:r w:rsidRPr="00143550">
        <w:rPr>
          <w:rFonts w:cstheme="minorHAnsi"/>
          <w:b/>
          <w:lang w:val="en-IE"/>
        </w:rPr>
        <w:t>Supplementary material</w:t>
      </w:r>
    </w:p>
    <w:p w14:paraId="06DB4160" w14:textId="77777777" w:rsidR="00AD1E5A" w:rsidRPr="00143550" w:rsidRDefault="00AD1E5A" w:rsidP="00AD1E5A">
      <w:pPr>
        <w:pStyle w:val="BodyText"/>
        <w:jc w:val="both"/>
        <w:rPr>
          <w:rFonts w:cstheme="minorHAnsi"/>
          <w:lang w:val="en-IE"/>
        </w:rPr>
      </w:pPr>
      <w:r w:rsidRPr="00143550">
        <w:rPr>
          <w:rFonts w:cstheme="minorHAnsi"/>
          <w:lang w:val="en-IE"/>
        </w:rPr>
        <w:t xml:space="preserve">Figure </w:t>
      </w:r>
      <w:r>
        <w:rPr>
          <w:rFonts w:cstheme="minorHAnsi"/>
          <w:lang w:val="en-IE"/>
        </w:rPr>
        <w:t>1:</w:t>
      </w:r>
      <w:r w:rsidRPr="00143550">
        <w:rPr>
          <w:rFonts w:cstheme="minorHAnsi"/>
          <w:lang w:val="en-IE"/>
        </w:rPr>
        <w:t xml:space="preserve"> Semi-</w:t>
      </w:r>
      <w:proofErr w:type="gramStart"/>
      <w:r w:rsidRPr="00143550">
        <w:rPr>
          <w:rFonts w:cstheme="minorHAnsi"/>
          <w:lang w:val="en-IE"/>
        </w:rPr>
        <w:t>quantitative</w:t>
      </w:r>
      <w:r>
        <w:rPr>
          <w:rFonts w:cstheme="minorHAnsi"/>
          <w:lang w:val="en-IE"/>
        </w:rPr>
        <w:t xml:space="preserve"> </w:t>
      </w:r>
      <w:r w:rsidRPr="00143550">
        <w:rPr>
          <w:rFonts w:cstheme="minorHAnsi"/>
          <w:lang w:val="en-IE"/>
        </w:rPr>
        <w:t xml:space="preserve"> analysis</w:t>
      </w:r>
      <w:proofErr w:type="gramEnd"/>
      <w:r w:rsidRPr="00143550">
        <w:rPr>
          <w:rFonts w:cstheme="minorHAnsi"/>
          <w:lang w:val="en-IE"/>
        </w:rPr>
        <w:t xml:space="preserve"> of the resin (top panel) and of the illici</w:t>
      </w:r>
      <w:r>
        <w:rPr>
          <w:rFonts w:cstheme="minorHAnsi"/>
          <w:lang w:val="en-IE"/>
        </w:rPr>
        <w:t>um</w:t>
      </w:r>
      <w:r w:rsidRPr="00143550">
        <w:rPr>
          <w:rFonts w:cstheme="minorHAnsi"/>
          <w:lang w:val="en-IE"/>
        </w:rPr>
        <w:t xml:space="preserve"> (bottom panel) determined using </w:t>
      </w:r>
      <w:r w:rsidRPr="0085470B">
        <w:rPr>
          <w:rFonts w:cstheme="minorHAnsi"/>
          <w:lang w:val="en-IE"/>
        </w:rPr>
        <w:t>energy dispersive X-ray spectroscopy</w:t>
      </w:r>
      <w:r w:rsidRPr="00143550">
        <w:rPr>
          <w:rFonts w:cstheme="minorHAnsi"/>
          <w:lang w:val="en-IE"/>
        </w:rPr>
        <w:t xml:space="preserve"> </w:t>
      </w:r>
      <w:r>
        <w:rPr>
          <w:rFonts w:cstheme="minorHAnsi"/>
          <w:lang w:val="en-IE"/>
        </w:rPr>
        <w:t xml:space="preserve">(EDS) </w:t>
      </w:r>
      <w:r w:rsidRPr="00143550">
        <w:rPr>
          <w:rFonts w:cstheme="minorHAnsi"/>
          <w:lang w:val="en-IE"/>
        </w:rPr>
        <w:t xml:space="preserve">and </w:t>
      </w:r>
      <w:r>
        <w:rPr>
          <w:rFonts w:cstheme="minorHAnsi"/>
          <w:lang w:val="en-IE"/>
        </w:rPr>
        <w:t>scanning electron microscopy. Resin was characterized by the presence of C and O at high levels, and traces of other elements; whilst the illicia were characterized by the presence of C, O, P and Ca at high levels, and F, Na, and Mg at lower levels. This conformed that illicia and resin spectra are very different allowing for a good quantification of illicia composition by LA-ICPMS</w:t>
      </w:r>
      <w:r w:rsidRPr="00143550">
        <w:rPr>
          <w:rFonts w:cstheme="minorHAnsi"/>
          <w:lang w:val="en-IE"/>
        </w:rPr>
        <w:t>.</w:t>
      </w:r>
    </w:p>
    <w:p w14:paraId="2467B11B" w14:textId="77777777" w:rsidR="00AD1E5A" w:rsidRPr="00143550" w:rsidRDefault="00AD1E5A" w:rsidP="00AD1E5A">
      <w:pPr>
        <w:pStyle w:val="BodyText"/>
        <w:jc w:val="both"/>
        <w:rPr>
          <w:rFonts w:cstheme="minorHAnsi"/>
          <w:lang w:val="en-IE"/>
        </w:rPr>
      </w:pPr>
    </w:p>
    <w:p w14:paraId="3902193F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  <w:r w:rsidRPr="00143550">
        <w:rPr>
          <w:rFonts w:cstheme="minorHAnsi"/>
          <w:noProof/>
          <w:lang w:val="en-IE" w:eastAsia="en-IE"/>
        </w:rPr>
        <w:drawing>
          <wp:inline distT="0" distB="0" distL="0" distR="0" wp14:anchorId="4035DC62" wp14:editId="6D5477D6">
            <wp:extent cx="6039352" cy="3782890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52" cy="37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8F67D2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  <w:r w:rsidRPr="00143550">
        <w:rPr>
          <w:rFonts w:cstheme="minorHAnsi"/>
          <w:noProof/>
          <w:lang w:val="en-IE" w:eastAsia="en-IE"/>
        </w:rPr>
        <w:drawing>
          <wp:inline distT="0" distB="0" distL="0" distR="0" wp14:anchorId="5C863D95" wp14:editId="24F56C40">
            <wp:extent cx="6006599" cy="3762375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9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8EA647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  <w:r w:rsidRPr="00143550">
        <w:rPr>
          <w:rFonts w:cstheme="minorHAnsi"/>
        </w:rPr>
        <w:t>Fig</w:t>
      </w:r>
      <w:r>
        <w:rPr>
          <w:rFonts w:cstheme="minorHAnsi"/>
        </w:rPr>
        <w:t>ure</w:t>
      </w:r>
      <w:r w:rsidRPr="0014355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143550">
        <w:rPr>
          <w:rFonts w:cstheme="minorHAnsi"/>
        </w:rPr>
        <w:t xml:space="preserve">: </w:t>
      </w:r>
      <w:r w:rsidRPr="00143550">
        <w:rPr>
          <w:rFonts w:cstheme="minorHAnsi"/>
          <w:vertAlign w:val="superscript"/>
        </w:rPr>
        <w:t>23</w:t>
      </w:r>
      <w:r w:rsidRPr="00143550">
        <w:rPr>
          <w:rFonts w:cstheme="minorHAnsi"/>
        </w:rPr>
        <w:t>Na,</w:t>
      </w:r>
      <w:r w:rsidRPr="00143550">
        <w:rPr>
          <w:rFonts w:cstheme="minorHAnsi"/>
          <w:vertAlign w:val="superscript"/>
        </w:rPr>
        <w:t xml:space="preserve"> 24</w:t>
      </w:r>
      <w:r w:rsidRPr="00143550">
        <w:rPr>
          <w:rFonts w:cstheme="minorHAnsi"/>
        </w:rPr>
        <w:t xml:space="preserve">Mg, </w:t>
      </w:r>
      <w:r w:rsidRPr="00143550">
        <w:rPr>
          <w:rFonts w:cstheme="minorHAnsi"/>
          <w:vertAlign w:val="superscript"/>
        </w:rPr>
        <w:t>31</w:t>
      </w:r>
      <w:r w:rsidRPr="00143550">
        <w:rPr>
          <w:rFonts w:cstheme="minorHAnsi"/>
        </w:rPr>
        <w:t xml:space="preserve">P, </w:t>
      </w:r>
      <w:r w:rsidRPr="00143550">
        <w:rPr>
          <w:rFonts w:cstheme="minorHAnsi"/>
          <w:vertAlign w:val="superscript"/>
        </w:rPr>
        <w:t>43</w:t>
      </w:r>
      <w:r w:rsidRPr="00143550">
        <w:rPr>
          <w:rFonts w:cstheme="minorHAnsi"/>
        </w:rPr>
        <w:t xml:space="preserve">Ca and </w:t>
      </w:r>
      <w:r w:rsidRPr="00143550">
        <w:rPr>
          <w:rFonts w:cstheme="minorHAnsi"/>
          <w:vertAlign w:val="superscript"/>
        </w:rPr>
        <w:t>44</w:t>
      </w:r>
      <w:r w:rsidRPr="00143550">
        <w:rPr>
          <w:rFonts w:cstheme="minorHAnsi"/>
        </w:rPr>
        <w:t xml:space="preserve">Ca profiles for </w:t>
      </w:r>
      <w:r>
        <w:rPr>
          <w:rFonts w:cstheme="minorHAnsi"/>
        </w:rPr>
        <w:t xml:space="preserve">analysis of laser spots with </w:t>
      </w:r>
      <w:r w:rsidRPr="00143550">
        <w:rPr>
          <w:rFonts w:cstheme="minorHAnsi"/>
        </w:rPr>
        <w:t>10 (a), 25 (b), and 40 (c) </w:t>
      </w:r>
      <w:r w:rsidRPr="00143550">
        <w:rPr>
          <w:rFonts w:cstheme="minorHAnsi"/>
          <w:lang w:val="en-IE"/>
        </w:rPr>
        <w:t>µ</w:t>
      </w:r>
      <w:r w:rsidRPr="00143550">
        <w:rPr>
          <w:rFonts w:cstheme="minorHAnsi"/>
        </w:rPr>
        <w:t xml:space="preserve">m </w:t>
      </w:r>
      <w:r>
        <w:rPr>
          <w:rFonts w:cstheme="minorHAnsi"/>
        </w:rPr>
        <w:t xml:space="preserve">diameter </w:t>
      </w:r>
      <w:r w:rsidRPr="00143550">
        <w:rPr>
          <w:rFonts w:cstheme="minorHAnsi"/>
        </w:rPr>
        <w:t>beam sizes.</w:t>
      </w:r>
      <w:r w:rsidRPr="00143550">
        <w:rPr>
          <w:rFonts w:cstheme="minorHAnsi"/>
          <w:lang w:val="en-IE"/>
        </w:rPr>
        <w:t xml:space="preserve"> The remaining elements showed the same pattern (not included to improve plot visualisation).</w:t>
      </w:r>
      <w:r>
        <w:rPr>
          <w:rFonts w:cstheme="minorHAnsi"/>
          <w:lang w:val="en-IE"/>
        </w:rPr>
        <w:t xml:space="preserve"> Note that </w:t>
      </w:r>
      <w:r>
        <w:rPr>
          <w:rFonts w:cstheme="minorHAnsi"/>
          <w:lang w:val="en-IE"/>
        </w:rPr>
        <w:lastRenderedPageBreak/>
        <w:t xml:space="preserve">for 10 </w:t>
      </w:r>
      <w:r w:rsidRPr="00143550">
        <w:rPr>
          <w:rFonts w:cstheme="minorHAnsi"/>
          <w:lang w:val="en-IE"/>
        </w:rPr>
        <w:t>µ</w:t>
      </w:r>
      <w:r w:rsidRPr="00143550">
        <w:rPr>
          <w:rFonts w:cstheme="minorHAnsi"/>
        </w:rPr>
        <w:t>m</w:t>
      </w:r>
      <w:r>
        <w:rPr>
          <w:rFonts w:cstheme="minorHAnsi"/>
          <w:lang w:val="en-IE"/>
        </w:rPr>
        <w:t xml:space="preserve"> spots the signal intensity rapidly decays, impeding good quantification of the different isotopes due to signal instability; furthermore, signal intensity of smaller spots is much lower than that obtained for 25 and 40 </w:t>
      </w:r>
      <w:r w:rsidRPr="00143550">
        <w:rPr>
          <w:rFonts w:cstheme="minorHAnsi"/>
          <w:lang w:val="en-IE"/>
        </w:rPr>
        <w:t>µ</w:t>
      </w:r>
      <w:r w:rsidRPr="00143550">
        <w:rPr>
          <w:rFonts w:cstheme="minorHAnsi"/>
        </w:rPr>
        <w:t>m</w:t>
      </w:r>
      <w:r>
        <w:rPr>
          <w:rFonts w:cstheme="minorHAnsi"/>
        </w:rPr>
        <w:t xml:space="preserve"> spots making some minor elements unquantifiable (not represented). Although the signal intensities for the 25 </w:t>
      </w:r>
      <w:r w:rsidRPr="00143550">
        <w:rPr>
          <w:rFonts w:cstheme="minorHAnsi"/>
          <w:lang w:val="en-IE"/>
        </w:rPr>
        <w:t>µ</w:t>
      </w:r>
      <w:r w:rsidRPr="00143550">
        <w:rPr>
          <w:rFonts w:cstheme="minorHAnsi"/>
        </w:rPr>
        <w:t>m</w:t>
      </w:r>
      <w:r>
        <w:rPr>
          <w:rFonts w:cstheme="minorHAnsi"/>
        </w:rPr>
        <w:t xml:space="preserve"> spots are around 10 times lower than those obtained for 40 </w:t>
      </w:r>
      <w:r w:rsidRPr="00143550">
        <w:rPr>
          <w:rFonts w:cstheme="minorHAnsi"/>
          <w:lang w:val="en-IE"/>
        </w:rPr>
        <w:t>µ</w:t>
      </w:r>
      <w:r w:rsidRPr="00143550">
        <w:rPr>
          <w:rFonts w:cstheme="minorHAnsi"/>
        </w:rPr>
        <w:t>m</w:t>
      </w:r>
      <w:r>
        <w:rPr>
          <w:rFonts w:cstheme="minorHAnsi"/>
        </w:rPr>
        <w:t xml:space="preserve"> spots, they are adequate for trace elements quantification and provide better spatial resolution.</w:t>
      </w:r>
    </w:p>
    <w:p w14:paraId="538DB41B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</w:p>
    <w:p w14:paraId="7E434021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  <w:r w:rsidRPr="00143550">
        <w:rPr>
          <w:rFonts w:cstheme="minorHAnsi"/>
          <w:noProof/>
          <w:lang w:val="en-IE" w:eastAsia="en-IE"/>
        </w:rPr>
        <w:drawing>
          <wp:inline distT="0" distB="0" distL="0" distR="0" wp14:anchorId="76469509" wp14:editId="0CD0668B">
            <wp:extent cx="5550419" cy="3331471"/>
            <wp:effectExtent l="0" t="0" r="0" b="2540"/>
            <wp:docPr id="4" name="Imagen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 picture containing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19" cy="33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550">
        <w:rPr>
          <w:rFonts w:cstheme="minorHAnsi"/>
          <w:lang w:val="en-IE"/>
        </w:rPr>
        <w:br/>
      </w:r>
      <w:r w:rsidRPr="00143550">
        <w:rPr>
          <w:rFonts w:cstheme="minorHAnsi"/>
          <w:lang w:val="en-IE"/>
        </w:rPr>
        <w:br/>
      </w:r>
    </w:p>
    <w:p w14:paraId="75002766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</w:p>
    <w:p w14:paraId="21F4662C" w14:textId="77777777" w:rsidR="00AD1E5A" w:rsidRPr="00143550" w:rsidRDefault="00AD1E5A" w:rsidP="00AD1E5A">
      <w:pPr>
        <w:jc w:val="both"/>
        <w:rPr>
          <w:rFonts w:cstheme="minorHAnsi"/>
          <w:lang w:val="en-IE"/>
        </w:rPr>
      </w:pPr>
    </w:p>
    <w:p w14:paraId="3800720A" w14:textId="77777777" w:rsidR="00AD1E5A" w:rsidRDefault="00AD1E5A" w:rsidP="00AD1E5A">
      <w:pPr>
        <w:jc w:val="both"/>
        <w:rPr>
          <w:rFonts w:cstheme="minorHAnsi"/>
          <w:lang w:val="en-IE"/>
        </w:rPr>
      </w:pPr>
      <w:r w:rsidRPr="00143550">
        <w:rPr>
          <w:rFonts w:cstheme="minorHAnsi"/>
          <w:lang w:val="en-IE"/>
        </w:rPr>
        <w:br w:type="page"/>
      </w:r>
    </w:p>
    <w:p w14:paraId="0423AB20" w14:textId="77777777" w:rsidR="00AD1E5A" w:rsidRDefault="00AD1E5A" w:rsidP="00AD1E5A">
      <w:pPr>
        <w:jc w:val="both"/>
        <w:rPr>
          <w:rFonts w:cstheme="minorHAnsi"/>
          <w:lang w:val="en-IE"/>
        </w:rPr>
        <w:sectPr w:rsidR="00AD1E5A" w:rsidSect="007E0D1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76894A8" w14:textId="77777777" w:rsidR="00AD1E5A" w:rsidRDefault="00AD1E5A" w:rsidP="00AD1E5A">
      <w:p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Figure 3: Relationships between the natural log of fish length and the natural log of otolith radius (top) and between fish length and illicium diameter (bottom).</w:t>
      </w:r>
    </w:p>
    <w:p w14:paraId="321BED6A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746FC310" w14:textId="77777777" w:rsidR="00AD1E5A" w:rsidRDefault="00AD1E5A" w:rsidP="00AD1E5A">
      <w:pPr>
        <w:jc w:val="both"/>
        <w:rPr>
          <w:rFonts w:cstheme="minorHAnsi"/>
          <w:lang w:val="en-IE"/>
        </w:rPr>
      </w:pPr>
      <w:r>
        <w:rPr>
          <w:rFonts w:cstheme="minorHAnsi"/>
          <w:noProof/>
          <w:lang w:val="en-IE" w:eastAsia="en-IE"/>
        </w:rPr>
        <w:drawing>
          <wp:inline distT="0" distB="0" distL="0" distR="0" wp14:anchorId="31FAA81B" wp14:editId="780FE3D4">
            <wp:extent cx="3888000" cy="3888000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288E" w14:textId="77777777" w:rsidR="00AD1E5A" w:rsidRDefault="00AD1E5A" w:rsidP="00AD1E5A">
      <w:pPr>
        <w:jc w:val="both"/>
        <w:rPr>
          <w:rFonts w:cstheme="minorHAnsi"/>
          <w:lang w:val="en-IE"/>
        </w:rPr>
      </w:pPr>
      <w:r>
        <w:rPr>
          <w:rFonts w:cstheme="minorHAnsi"/>
          <w:noProof/>
          <w:lang w:val="en-IE" w:eastAsia="en-IE"/>
        </w:rPr>
        <w:drawing>
          <wp:inline distT="0" distB="0" distL="0" distR="0" wp14:anchorId="14A43BEC" wp14:editId="7B9B829B">
            <wp:extent cx="3888000" cy="3888000"/>
            <wp:effectExtent l="0" t="0" r="0" b="0"/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D795" w14:textId="77777777" w:rsidR="00AD1E5A" w:rsidRDefault="00AD1E5A" w:rsidP="00AD1E5A">
      <w:pPr>
        <w:jc w:val="both"/>
        <w:rPr>
          <w:rFonts w:cstheme="minorHAnsi"/>
          <w:lang w:val="en-IE"/>
        </w:rPr>
        <w:sectPr w:rsidR="00AD1E5A" w:rsidSect="007E0D1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5AAE3CAE" w14:textId="77777777" w:rsidR="00AD1E5A" w:rsidRDefault="00AD1E5A" w:rsidP="00AD1E5A">
      <w:p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Figure 4: Plot of mean temperatures in the water column at three depth intervals from across the study area (48° to 54° latitude; -15° to -4° longitude). Grey points represent the depth averaged mean for each 1° grid square; red points represent the mean across the entire study area. Temperature data were obtained from the </w:t>
      </w:r>
      <w:r w:rsidRPr="00346FFF">
        <w:rPr>
          <w:rFonts w:cstheme="minorHAnsi"/>
          <w:lang w:val="en-IE"/>
        </w:rPr>
        <w:t>Met Office Hadley Centre observations datasets</w:t>
      </w:r>
      <w:r>
        <w:rPr>
          <w:rFonts w:cstheme="minorHAnsi"/>
          <w:lang w:val="en-IE"/>
        </w:rPr>
        <w:t xml:space="preserve"> version </w:t>
      </w:r>
      <w:r w:rsidRPr="00346FFF">
        <w:rPr>
          <w:rFonts w:cstheme="minorHAnsi"/>
          <w:lang w:val="en-IE"/>
        </w:rPr>
        <w:t>EN.4.2.1</w:t>
      </w:r>
      <w:r>
        <w:rPr>
          <w:rFonts w:cstheme="minorHAnsi"/>
          <w:lang w:val="en-IE"/>
        </w:rPr>
        <w:t xml:space="preserve"> </w:t>
      </w:r>
      <w:r>
        <w:rPr>
          <w:rFonts w:cstheme="minorHAnsi"/>
          <w:noProof/>
          <w:lang w:val="en-IE"/>
        </w:rPr>
        <w:t>(Good</w:t>
      </w:r>
      <w:r w:rsidRPr="002763E5">
        <w:rPr>
          <w:rFonts w:cstheme="minorHAnsi"/>
          <w:i/>
          <w:noProof/>
          <w:lang w:val="en-IE"/>
        </w:rPr>
        <w:t xml:space="preserve"> </w:t>
      </w:r>
      <w:r w:rsidRPr="001111E2">
        <w:rPr>
          <w:rFonts w:cstheme="minorHAnsi"/>
          <w:noProof/>
          <w:lang w:val="en-IE"/>
        </w:rPr>
        <w:t>et al.</w:t>
      </w:r>
      <w:r w:rsidRPr="0095074D">
        <w:rPr>
          <w:rFonts w:cstheme="minorHAnsi"/>
          <w:noProof/>
          <w:lang w:val="en-IE"/>
        </w:rPr>
        <w:t>,</w:t>
      </w:r>
      <w:r>
        <w:rPr>
          <w:rFonts w:cstheme="minorHAnsi"/>
          <w:noProof/>
          <w:lang w:val="en-IE"/>
        </w:rPr>
        <w:t xml:space="preserve"> 2013)</w:t>
      </w:r>
      <w:r>
        <w:rPr>
          <w:rFonts w:cstheme="minorHAnsi"/>
          <w:lang w:val="en-IE"/>
        </w:rPr>
        <w:t xml:space="preserve">, applying the temperature corrections of </w:t>
      </w:r>
      <w:r>
        <w:rPr>
          <w:rFonts w:cstheme="minorHAnsi"/>
          <w:noProof/>
          <w:lang w:val="en-IE"/>
        </w:rPr>
        <w:t>Gouretski and Reseghetti (2010)</w:t>
      </w:r>
      <w:r>
        <w:rPr>
          <w:rFonts w:cstheme="minorHAnsi"/>
          <w:lang w:val="en-IE"/>
        </w:rPr>
        <w:t xml:space="preserve"> (</w:t>
      </w:r>
      <w:hyperlink r:id="rId9" w:anchor="g10_profiles" w:history="1">
        <w:r w:rsidRPr="00810F34">
          <w:rPr>
            <w:rStyle w:val="Hyperlink"/>
            <w:rFonts w:cstheme="minorHAnsi"/>
            <w:lang w:val="en-IE"/>
          </w:rPr>
          <w:t>https://www.metoffice.gov.uk/hadobs/en4/download-en4-2-1.html#g10_profiles</w:t>
        </w:r>
      </w:hyperlink>
      <w:r>
        <w:rPr>
          <w:rFonts w:cstheme="minorHAnsi"/>
          <w:lang w:val="en-IE"/>
        </w:rPr>
        <w:t>; downloaded 15/01/2021).</w:t>
      </w:r>
    </w:p>
    <w:p w14:paraId="695AB8F9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58771986" w14:textId="77777777" w:rsidR="00AD1E5A" w:rsidRDefault="00AD1E5A" w:rsidP="00AD1E5A">
      <w:pPr>
        <w:jc w:val="both"/>
        <w:rPr>
          <w:rFonts w:cstheme="minorHAnsi"/>
          <w:lang w:val="en-IE"/>
        </w:rPr>
      </w:pPr>
      <w:r>
        <w:rPr>
          <w:rFonts w:cstheme="minorHAnsi"/>
          <w:noProof/>
          <w:lang w:val="en-IE" w:eastAsia="en-IE"/>
        </w:rPr>
        <w:drawing>
          <wp:inline distT="0" distB="0" distL="0" distR="0" wp14:anchorId="17EE6527" wp14:editId="2FAB51ED">
            <wp:extent cx="6478537" cy="4319025"/>
            <wp:effectExtent l="0" t="0" r="0" b="5715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37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0730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63EFB0A6" w14:textId="77777777" w:rsidR="00AD1E5A" w:rsidRDefault="00AD1E5A" w:rsidP="00AD1E5A">
      <w:pPr>
        <w:jc w:val="both"/>
        <w:rPr>
          <w:rFonts w:cstheme="minorHAnsi"/>
          <w:lang w:val="en-IE"/>
        </w:rPr>
        <w:sectPr w:rsidR="00AD1E5A" w:rsidSect="007E0D1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D58C603" w14:textId="77777777" w:rsidR="00AD1E5A" w:rsidRPr="00D5396F" w:rsidRDefault="00AD1E5A" w:rsidP="00AD1E5A">
      <w:pPr>
        <w:jc w:val="both"/>
        <w:rPr>
          <w:rFonts w:cstheme="minorHAnsi"/>
        </w:rPr>
      </w:pPr>
      <w:r w:rsidRPr="00185EAE">
        <w:rPr>
          <w:rFonts w:eastAsia="Times New Roman" w:cstheme="minorHAnsi"/>
          <w:noProof/>
          <w:lang w:val="en-US" w:eastAsia="es-ES"/>
        </w:rPr>
        <w:t xml:space="preserve">Table 1: Summary of literature sources </w:t>
      </w:r>
      <w:r w:rsidRPr="00143550">
        <w:rPr>
          <w:rFonts w:cstheme="minorHAnsi"/>
        </w:rPr>
        <w:t xml:space="preserve">pertaining to the analysis of </w:t>
      </w:r>
      <w:r>
        <w:rPr>
          <w:rFonts w:cstheme="minorHAnsi"/>
        </w:rPr>
        <w:t xml:space="preserve">trace elements in </w:t>
      </w:r>
      <w:r w:rsidRPr="00143550">
        <w:rPr>
          <w:rFonts w:cstheme="minorHAnsi"/>
        </w:rPr>
        <w:t>fin spines and vertebrae</w:t>
      </w:r>
      <w:r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43"/>
        <w:gridCol w:w="1297"/>
        <w:gridCol w:w="1422"/>
        <w:gridCol w:w="1591"/>
        <w:gridCol w:w="3262"/>
        <w:gridCol w:w="1241"/>
      </w:tblGrid>
      <w:tr w:rsidR="00AD1E5A" w:rsidRPr="006E5DA1" w14:paraId="21CB5AA7" w14:textId="77777777" w:rsidTr="008B2F12">
        <w:trPr>
          <w:cantSplit/>
          <w:trHeight w:val="2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1B16F0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Species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C546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S</w:t>
            </w:r>
            <w:r w:rsidRPr="00A36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tructure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EC17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A</w:t>
            </w:r>
            <w:r w:rsidRPr="00A36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nalytical method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1E2F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E</w:t>
            </w:r>
            <w:r w:rsidRPr="00A36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lements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C7ED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Context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B9E0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R</w:t>
            </w:r>
            <w:r w:rsidRPr="00A36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eference</w:t>
            </w:r>
          </w:p>
        </w:tc>
      </w:tr>
      <w:tr w:rsidR="00AD1E5A" w:rsidRPr="006E5DA1" w14:paraId="09FB04F4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1616AC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Acipenser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fulvescens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ADB7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154E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29CA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Sr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1574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chemical marking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of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juveniles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using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water enriched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with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IE"/>
              </w:rPr>
              <w:t>86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SrCO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D8B0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Smith and Whitledge, 2011</w:t>
            </w:r>
          </w:p>
        </w:tc>
      </w:tr>
      <w:tr w:rsidR="00AD1E5A" w:rsidRPr="006E5DA1" w14:paraId="5B0ADBA6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DF9B8B6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Acipenser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guldenstadti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0278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991B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X-ray microprobe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785A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 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E1FC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Reconstruction of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migrat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ory histories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6A95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Arai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2002</w:t>
            </w:r>
          </w:p>
        </w:tc>
      </w:tr>
      <w:tr w:rsidR="00AD1E5A" w:rsidRPr="006E5DA1" w14:paraId="0B4F807D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A994AD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Acipenser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medirostris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9FF2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DCF69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AC5F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 Ba, 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A426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Tracing freshwater/marine transitions in experimentally reared and wild fish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1DB1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Allen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2009</w:t>
            </w:r>
          </w:p>
        </w:tc>
      </w:tr>
      <w:tr w:rsidR="00AD1E5A" w:rsidRPr="006E5DA1" w14:paraId="0920B2E1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401018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Acipenser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transmontanus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50BE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7B2E2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6408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625E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Concentrations compared between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growth zones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to infer estuarine and river occupancy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8E4D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Veinott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1999</w:t>
            </w:r>
          </w:p>
        </w:tc>
      </w:tr>
      <w:tr w:rsidR="00AD1E5A" w:rsidRPr="006E5DA1" w14:paraId="1C48793A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67B04E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Carcharhinus leucas, </w:t>
            </w:r>
            <w:proofErr w:type="spellStart"/>
            <w:proofErr w:type="gram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C.amboinensis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70CD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vertebrae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4A3E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0518C" w14:textId="77777777" w:rsidR="00AD1E5A" w:rsidRPr="00185EAE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</w:pPr>
            <w:r w:rsidRPr="00185EAE"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  <w:t>Li, Mg, Al, P, Ca, Mn, Fe, Cu, Zn, Sr, La, Ba, 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53B0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Inferring habitat use and movement between nursery and adult areas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66D36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Tillett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2011</w:t>
            </w:r>
          </w:p>
        </w:tc>
      </w:tr>
      <w:tr w:rsidR="00AD1E5A" w:rsidRPr="006E5DA1" w14:paraId="160847B1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35F59E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Chasmistes</w:t>
            </w:r>
            <w:proofErr w:type="spellEnd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liorus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980E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pelvic fin 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2494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0EC5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IE"/>
              </w:rPr>
              <w:t>87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Sr/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IE"/>
              </w:rPr>
              <w:t>86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7F2D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Discriminating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stocked and wild fish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BFA2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Wolff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2013</w:t>
            </w:r>
          </w:p>
        </w:tc>
      </w:tr>
      <w:tr w:rsidR="00AD1E5A" w:rsidRPr="006E5DA1" w14:paraId="0A3E5CC9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6B31AA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Chinese Carp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2723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vertebrae, flesh, liver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003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ICP-OES + Flame Atomic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Absorption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for Hg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846B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As, Cd, Pb, Hg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CEDE9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Incorporation of heavy metals in </w:t>
            </w:r>
            <w:proofErr w:type="gram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waste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water</w:t>
            </w:r>
            <w:proofErr w:type="gram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into bone and tissue (field and lab experiments)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FD5EA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Feldlite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2008</w:t>
            </w:r>
          </w:p>
        </w:tc>
      </w:tr>
      <w:tr w:rsidR="00AD1E5A" w:rsidRPr="006E5DA1" w14:paraId="56DFC5FB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57A385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Esox masquinongy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0AA6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pelvic fin 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6768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FB7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 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1712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Discriminating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stocked and wild fish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DA64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Rude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2014</w:t>
            </w:r>
          </w:p>
        </w:tc>
      </w:tr>
      <w:tr w:rsidR="00AD1E5A" w:rsidRPr="006E5DA1" w14:paraId="3A651838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1BB1B2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Micropterus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dolomieu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C9ED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7C1B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F76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Ca, Sr, 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6CCB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R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econstructing environment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al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history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from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core and edge analys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is of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76FB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Smith and Whitledge, 2010</w:t>
            </w:r>
          </w:p>
        </w:tc>
      </w:tr>
      <w:tr w:rsidR="00AD1E5A" w:rsidRPr="006E5DA1" w14:paraId="1A6184D5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35EEF4A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Pagrus</w:t>
            </w:r>
            <w:proofErr w:type="spellEnd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 auratus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EC6A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dorsal spines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77CD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CEFF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IE"/>
              </w:rPr>
              <w:t>86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DADF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xperimental marking with SrCl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en-IE"/>
              </w:rPr>
              <w:t>2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incorporation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at different concentrations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8C10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Pollard </w:t>
            </w:r>
            <w:proofErr w:type="spellStart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etal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., 1998</w:t>
            </w:r>
          </w:p>
        </w:tc>
      </w:tr>
      <w:tr w:rsidR="00AD1E5A" w:rsidRPr="006E5DA1" w14:paraId="61C34FA1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A3192D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Parma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microlepis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BAD3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otoliths,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eye lenses,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scales, spines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189D2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131E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Mn, Sr, Ba, 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3507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orrelation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in concentrations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between tissues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3BDC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Gillanders 2001</w:t>
            </w:r>
          </w:p>
        </w:tc>
      </w:tr>
      <w:tr w:rsidR="00AD1E5A" w:rsidRPr="006E5DA1" w14:paraId="1AE68354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CD2CE6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Pristis</w:t>
            </w:r>
            <w:proofErr w:type="spellEnd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pectinata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3E82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vertebrae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E119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667A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Ca, P, Sr, 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39E1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Examined variation in trace element concentrations across opaque and translucent bands for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age validation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.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Ca and P highly variable between bands, Sr/Ca varied with bands in relation to river salinity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43D7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Scharer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2012</w:t>
            </w:r>
          </w:p>
        </w:tc>
      </w:tr>
      <w:tr w:rsidR="00AD1E5A" w:rsidRPr="006E5DA1" w14:paraId="184C7CDB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848EE7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Salmo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salar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1AAA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vertebrae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D2EA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2750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19E7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Tracing river origin using Sr in otoliths, </w:t>
            </w:r>
            <w:proofErr w:type="gramStart"/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scales</w:t>
            </w:r>
            <w:proofErr w:type="gramEnd"/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and vertebrae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9D35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Kennedy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2000</w:t>
            </w:r>
          </w:p>
        </w:tc>
      </w:tr>
      <w:tr w:rsidR="00AD1E5A" w:rsidRPr="006E5DA1" w14:paraId="38FBBF53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95E9A66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Salvelinus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alpinus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627C6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opercula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0C64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GFAAS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3421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C7F3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Contribution of age and water chemistry to variability of Pb in otoliths and opercula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6182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Köck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1996</w:t>
            </w:r>
          </w:p>
        </w:tc>
      </w:tr>
      <w:tr w:rsidR="00AD1E5A" w:rsidRPr="006E5DA1" w14:paraId="7E372581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CE799D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Scaphirhynchus</w:t>
            </w:r>
            <w:proofErr w:type="spellEnd"/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spp.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47F0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B024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3D8A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 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B5D9A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Influence of water chemistry on </w:t>
            </w:r>
            <w:proofErr w:type="spellStart"/>
            <w:proofErr w:type="gramStart"/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Sr:Ca</w:t>
            </w:r>
            <w:proofErr w:type="spellEnd"/>
            <w:proofErr w:type="gramEnd"/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in fin rays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2BC1B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Phelps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2012</w:t>
            </w:r>
          </w:p>
        </w:tc>
      </w:tr>
      <w:tr w:rsidR="00AD1E5A" w:rsidRPr="006E5DA1" w14:paraId="25DE0C7B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4A6D3E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Scyliorhinus</w:t>
            </w:r>
            <w:proofErr w:type="spellEnd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canicula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D13EC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up to 8 tissues depending on species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222F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55772" w14:textId="77777777" w:rsidR="00AD1E5A" w:rsidRPr="00185EAE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</w:pPr>
            <w:r w:rsidRPr="00185EAE"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  <w:t>Cu, Mn, Fe, Cd, Ni, Pb, Zn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87CD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Comparison between 46 species from inshore and offshore habitats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A287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Vas, 1991</w:t>
            </w:r>
          </w:p>
        </w:tc>
      </w:tr>
      <w:tr w:rsidR="00AD1E5A" w:rsidRPr="006E5DA1" w14:paraId="533B7551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291A293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Thunnus alalunga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6BDB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otoliths, first dorsal spine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8E6E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FFCF2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Mn, Ba, Mg, 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7AA8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ifferences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between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opaque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and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translucent band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s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in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natural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concentration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 and in uptake of post-mortem contamination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4E17E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Davies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2011</w:t>
            </w:r>
          </w:p>
        </w:tc>
      </w:tr>
      <w:tr w:rsidR="00AD1E5A" w:rsidRPr="006E5DA1" w14:paraId="14DD8C7D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B107666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Thunnus thynnus, T. alalunga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AF5F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first dorsal spine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A75B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3EDA2" w14:textId="77777777" w:rsidR="00AD1E5A" w:rsidRPr="00185EAE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</w:pPr>
            <w:r w:rsidRPr="00185EAE"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  <w:t>B, Mg, Al, V, Cr, Mn, Fe, Co, Ni, Cu, Zn, As, Se, Rb, Sr, Y, Pd, Cd, Ba, La, Ce, Ir, Hg, 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06A7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Comparison of concentrations in muscle and bone as an indicator of bioaccumulation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158EF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Ugarte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2012</w:t>
            </w:r>
          </w:p>
        </w:tc>
      </w:tr>
      <w:tr w:rsidR="00AD1E5A" w:rsidRPr="006E5DA1" w14:paraId="3A310A30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2634BB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Thunnus </w:t>
            </w: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thynus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C56B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first dorsal spine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77CE7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F7C44" w14:textId="77777777" w:rsidR="00AD1E5A" w:rsidRPr="00185EAE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</w:pPr>
            <w:r w:rsidRPr="00185EAE">
              <w:rPr>
                <w:rFonts w:eastAsia="Times New Roman" w:cstheme="minorHAnsi"/>
                <w:color w:val="000000"/>
                <w:sz w:val="20"/>
                <w:szCs w:val="20"/>
                <w:lang w:val="es-ES" w:eastAsia="en-IE"/>
              </w:rPr>
              <w:t>Sr, Ba, Mg, Mn, Li, Co, Pb, Ni, Cu, Zn, 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F0814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Investigation of differences in concentrations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between opaque and translucent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bands, relationship between concentrations and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age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E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ffects 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detected for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Sr, Ba, Mn, Zn, Cu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5DD20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Luque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2017</w:t>
            </w:r>
          </w:p>
        </w:tc>
      </w:tr>
      <w:tr w:rsidR="00AD1E5A" w:rsidRPr="006E5DA1" w14:paraId="7BC723DE" w14:textId="77777777" w:rsidTr="008B2F12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660AD21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>Thymallus</w:t>
            </w:r>
            <w:proofErr w:type="spellEnd"/>
            <w:r w:rsidRPr="00A3649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E"/>
              </w:rPr>
              <w:t xml:space="preserve"> arcticus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E8EB9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pectoral fin spines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630D8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LA-ICPMS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C7595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Sr, Ba, 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7A7E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omparison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of concentrations in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otoliths and scales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and relationships with water chemistry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1FDED" w14:textId="77777777" w:rsidR="00AD1E5A" w:rsidRPr="00A3649D" w:rsidRDefault="00AD1E5A" w:rsidP="008B2F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Clarke et</w:t>
            </w:r>
            <w:r w:rsidRPr="006E5DA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3649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al., 2007</w:t>
            </w:r>
          </w:p>
        </w:tc>
      </w:tr>
    </w:tbl>
    <w:p w14:paraId="21B7F363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2900E606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22852B7B" w14:textId="77777777" w:rsidR="00AD1E5A" w:rsidRDefault="00AD1E5A" w:rsidP="00AD1E5A">
      <w:pPr>
        <w:jc w:val="both"/>
        <w:rPr>
          <w:rFonts w:cstheme="minorHAnsi"/>
          <w:lang w:val="en-IE"/>
        </w:rPr>
      </w:pPr>
    </w:p>
    <w:p w14:paraId="69E1C31B" w14:textId="77777777" w:rsidR="00AD1E5A" w:rsidRDefault="00AD1E5A" w:rsidP="00AD1E5A">
      <w:pPr>
        <w:tabs>
          <w:tab w:val="left" w:pos="426"/>
        </w:tabs>
        <w:spacing w:after="120" w:line="276" w:lineRule="auto"/>
        <w:jc w:val="both"/>
        <w:rPr>
          <w:rFonts w:cstheme="minorHAnsi"/>
        </w:rPr>
      </w:pPr>
    </w:p>
    <w:p w14:paraId="1506D035" w14:textId="77777777" w:rsidR="00AD1E5A" w:rsidRDefault="00AD1E5A" w:rsidP="00AD1E5A">
      <w:pPr>
        <w:tabs>
          <w:tab w:val="left" w:pos="426"/>
        </w:tabs>
        <w:spacing w:after="120" w:line="276" w:lineRule="auto"/>
        <w:jc w:val="both"/>
        <w:rPr>
          <w:rFonts w:cstheme="minorHAnsi"/>
        </w:rPr>
      </w:pPr>
    </w:p>
    <w:p w14:paraId="416E3C39" w14:textId="77777777" w:rsidR="00AD1E5A" w:rsidRPr="003E5DF5" w:rsidRDefault="00AD1E5A" w:rsidP="00AD1E5A">
      <w:pPr>
        <w:pStyle w:val="EndNoteBibliography"/>
      </w:pPr>
    </w:p>
    <w:p w14:paraId="3D092EAC" w14:textId="77777777" w:rsidR="00AD1E5A" w:rsidRDefault="00AD1E5A" w:rsidP="00AD1E5A">
      <w:pPr>
        <w:rPr>
          <w:rFonts w:cstheme="minorHAnsi"/>
        </w:rPr>
      </w:pPr>
    </w:p>
    <w:p w14:paraId="24505FC4" w14:textId="77777777" w:rsidR="00AD1E5A" w:rsidRPr="008C212D" w:rsidRDefault="00AD1E5A" w:rsidP="00AD1E5A">
      <w:pPr>
        <w:pStyle w:val="EndNoteBibliography"/>
      </w:pPr>
    </w:p>
    <w:p w14:paraId="3A76AF88" w14:textId="77777777" w:rsidR="00AD1E5A" w:rsidRPr="00143550" w:rsidRDefault="00AD1E5A" w:rsidP="00AD1E5A">
      <w:pPr>
        <w:rPr>
          <w:rFonts w:cstheme="minorHAnsi"/>
        </w:rPr>
      </w:pPr>
    </w:p>
    <w:p w14:paraId="7638B943" w14:textId="77777777" w:rsidR="00D77FFB" w:rsidRDefault="00D77FFB"/>
    <w:sectPr w:rsidR="00D77FFB" w:rsidSect="005F01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A"/>
    <w:rsid w:val="00AD1E5A"/>
    <w:rsid w:val="00D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2134"/>
  <w15:chartTrackingRefBased/>
  <w15:docId w15:val="{D59A36D7-36C1-4C87-946D-1E80B9F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1E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1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1E5A"/>
    <w:rPr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D1E5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D1E5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hyperlink" Target="https://www.metoffice.gov.uk/hadobs/en4/download-en4-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DBrophy</dc:creator>
  <cp:keywords/>
  <dc:description/>
  <cp:lastModifiedBy>DBrophy</cp:lastModifiedBy>
  <cp:revision>1</cp:revision>
  <dcterms:created xsi:type="dcterms:W3CDTF">2021-08-25T15:33:00Z</dcterms:created>
  <dcterms:modified xsi:type="dcterms:W3CDTF">2021-08-25T15:34:00Z</dcterms:modified>
</cp:coreProperties>
</file>