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E5E" w:rsidRDefault="007601EC">
      <w:pPr>
        <w:spacing w:after="0"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SUPPORTING INFORMATION</w:t>
      </w:r>
    </w:p>
    <w:p w:rsidR="00505E5E" w:rsidRDefault="00505E5E">
      <w:pPr>
        <w:spacing w:after="0" w:line="480" w:lineRule="auto"/>
        <w:jc w:val="both"/>
        <w:rPr>
          <w:rFonts w:ascii="Times New Roman" w:eastAsia="Times New Roman" w:hAnsi="Times New Roman" w:cs="Times New Roman"/>
          <w:b/>
          <w:sz w:val="24"/>
          <w:szCs w:val="24"/>
          <w:u w:val="single"/>
        </w:rPr>
      </w:pPr>
    </w:p>
    <w:p w:rsidR="00505E5E" w:rsidRDefault="007601E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Title: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Using a robust multi-settings inference framework on published datasets still reveals limited support for the abundant center hypothesis: more testing needed on other datasets</w:t>
      </w:r>
    </w:p>
    <w:p w:rsidR="00505E5E" w:rsidRDefault="00505E5E">
      <w:pPr>
        <w:spacing w:after="0" w:line="480" w:lineRule="auto"/>
        <w:jc w:val="both"/>
        <w:rPr>
          <w:rFonts w:ascii="Times New Roman" w:eastAsia="Times New Roman" w:hAnsi="Times New Roman" w:cs="Times New Roman"/>
          <w:b/>
          <w:sz w:val="24"/>
          <w:szCs w:val="24"/>
        </w:rPr>
      </w:pPr>
    </w:p>
    <w:p w:rsidR="00505E5E" w:rsidRDefault="007601E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Journal: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Global Ecology and Biogeography</w:t>
      </w:r>
    </w:p>
    <w:p w:rsidR="00505E5E" w:rsidRDefault="00505E5E">
      <w:pPr>
        <w:spacing w:after="0" w:line="480" w:lineRule="auto"/>
        <w:jc w:val="both"/>
        <w:rPr>
          <w:rFonts w:ascii="Times New Roman" w:eastAsia="Times New Roman" w:hAnsi="Times New Roman" w:cs="Times New Roman"/>
          <w:b/>
          <w:sz w:val="24"/>
          <w:szCs w:val="24"/>
        </w:rPr>
      </w:pPr>
    </w:p>
    <w:p w:rsidR="00505E5E" w:rsidRDefault="007601E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Authors: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Mathieu Chevalier, Olivier Broennimann and Antoine Guisan</w:t>
      </w:r>
    </w:p>
    <w:p w:rsidR="00505E5E" w:rsidRDefault="00505E5E">
      <w:pPr>
        <w:spacing w:after="0"/>
        <w:jc w:val="center"/>
        <w:rPr>
          <w:rFonts w:ascii="Times New Roman" w:eastAsia="Times New Roman" w:hAnsi="Times New Roman" w:cs="Times New Roman"/>
          <w:b/>
          <w:sz w:val="36"/>
          <w:szCs w:val="36"/>
        </w:rPr>
      </w:pPr>
    </w:p>
    <w:p w:rsidR="00505E5E" w:rsidRDefault="007601EC">
      <w:pPr>
        <w:pBdr>
          <w:top w:val="nil"/>
          <w:left w:val="nil"/>
          <w:bottom w:val="nil"/>
          <w:right w:val="nil"/>
          <w:between w:val="nil"/>
        </w:pBdr>
        <w:spacing w:after="0"/>
        <w:rPr>
          <w:rFonts w:ascii="Times New Roman" w:eastAsia="Times New Roman" w:hAnsi="Times New Roman" w:cs="Times New Roman"/>
          <w:b/>
          <w:sz w:val="36"/>
          <w:szCs w:val="36"/>
        </w:rPr>
      </w:pPr>
      <w:r>
        <w:rPr>
          <w:rFonts w:ascii="Times New Roman" w:eastAsia="Times New Roman" w:hAnsi="Times New Roman" w:cs="Times New Roman"/>
          <w:b/>
          <w:sz w:val="24"/>
          <w:szCs w:val="24"/>
          <w:u w:val="single"/>
        </w:rPr>
        <w:t>Table of contents:</w:t>
      </w:r>
    </w:p>
    <w:p w:rsidR="00505E5E" w:rsidRDefault="00505E5E">
      <w:pPr>
        <w:pBdr>
          <w:top w:val="nil"/>
          <w:left w:val="nil"/>
          <w:bottom w:val="nil"/>
          <w:right w:val="nil"/>
          <w:between w:val="nil"/>
        </w:pBdr>
        <w:spacing w:after="0"/>
        <w:rPr>
          <w:rFonts w:ascii="Times New Roman" w:eastAsia="Times New Roman" w:hAnsi="Times New Roman" w:cs="Times New Roman"/>
          <w:b/>
          <w:sz w:val="36"/>
          <w:szCs w:val="36"/>
        </w:rPr>
      </w:pPr>
    </w:p>
    <w:sdt>
      <w:sdtPr>
        <w:rPr>
          <w:rFonts w:ascii="Calibri" w:hAnsi="Calibri" w:cs="Calibri"/>
          <w:b w:val="0"/>
          <w:bCs w:val="0"/>
          <w:caps w:val="0"/>
          <w:u w:val="none"/>
        </w:rPr>
        <w:id w:val="424538270"/>
        <w:docPartObj>
          <w:docPartGallery w:val="Table of Contents"/>
          <w:docPartUnique/>
        </w:docPartObj>
      </w:sdtPr>
      <w:sdtEndPr/>
      <w:sdtContent>
        <w:p w:rsidR="0052523B" w:rsidRDefault="007601EC">
          <w:pPr>
            <w:pStyle w:val="TOC1"/>
            <w:tabs>
              <w:tab w:val="right" w:pos="9350"/>
            </w:tabs>
            <w:rPr>
              <w:rFonts w:eastAsiaTheme="minorEastAsia" w:cstheme="minorBidi"/>
              <w:b w:val="0"/>
              <w:bCs w:val="0"/>
              <w:caps w:val="0"/>
              <w:noProof/>
              <w:u w:val="none"/>
            </w:rPr>
          </w:pPr>
          <w:r>
            <w:fldChar w:fldCharType="begin"/>
          </w:r>
          <w:r>
            <w:instrText xml:space="preserve"> TOC \h \u \z </w:instrText>
          </w:r>
          <w:r>
            <w:fldChar w:fldCharType="separate"/>
          </w:r>
          <w:hyperlink w:anchor="_Toc77951730" w:history="1">
            <w:r w:rsidR="0052523B" w:rsidRPr="00B95425">
              <w:rPr>
                <w:rStyle w:val="Hyperlink"/>
                <w:noProof/>
              </w:rPr>
              <w:t>Supplementary text S1 - Bayesian non-linear mixed-effect model</w:t>
            </w:r>
            <w:r w:rsidR="0052523B">
              <w:rPr>
                <w:noProof/>
                <w:webHidden/>
              </w:rPr>
              <w:tab/>
            </w:r>
            <w:r w:rsidR="0052523B">
              <w:rPr>
                <w:noProof/>
                <w:webHidden/>
              </w:rPr>
              <w:fldChar w:fldCharType="begin"/>
            </w:r>
            <w:r w:rsidR="0052523B">
              <w:rPr>
                <w:noProof/>
                <w:webHidden/>
              </w:rPr>
              <w:instrText xml:space="preserve"> PAGEREF _Toc77951730 \h </w:instrText>
            </w:r>
            <w:r w:rsidR="0052523B">
              <w:rPr>
                <w:noProof/>
                <w:webHidden/>
              </w:rPr>
            </w:r>
            <w:r w:rsidR="0052523B">
              <w:rPr>
                <w:noProof/>
                <w:webHidden/>
              </w:rPr>
              <w:fldChar w:fldCharType="separate"/>
            </w:r>
            <w:r w:rsidR="0052523B">
              <w:rPr>
                <w:noProof/>
                <w:webHidden/>
              </w:rPr>
              <w:t>3</w:t>
            </w:r>
            <w:r w:rsidR="0052523B">
              <w:rPr>
                <w:noProof/>
                <w:webHidden/>
              </w:rPr>
              <w:fldChar w:fldCharType="end"/>
            </w:r>
          </w:hyperlink>
        </w:p>
        <w:p w:rsidR="0052523B" w:rsidRDefault="0052523B">
          <w:pPr>
            <w:pStyle w:val="TOC1"/>
            <w:tabs>
              <w:tab w:val="right" w:pos="9350"/>
            </w:tabs>
            <w:rPr>
              <w:rFonts w:eastAsiaTheme="minorEastAsia" w:cstheme="minorBidi"/>
              <w:b w:val="0"/>
              <w:bCs w:val="0"/>
              <w:caps w:val="0"/>
              <w:noProof/>
              <w:u w:val="none"/>
            </w:rPr>
          </w:pPr>
          <w:hyperlink w:anchor="_Toc77951731" w:history="1">
            <w:r w:rsidRPr="00B95425">
              <w:rPr>
                <w:rStyle w:val="Hyperlink"/>
                <w:noProof/>
              </w:rPr>
              <w:t>Supplementary Figures and Tables</w:t>
            </w:r>
            <w:r>
              <w:rPr>
                <w:noProof/>
                <w:webHidden/>
              </w:rPr>
              <w:tab/>
            </w:r>
            <w:r>
              <w:rPr>
                <w:noProof/>
                <w:webHidden/>
              </w:rPr>
              <w:fldChar w:fldCharType="begin"/>
            </w:r>
            <w:r>
              <w:rPr>
                <w:noProof/>
                <w:webHidden/>
              </w:rPr>
              <w:instrText xml:space="preserve"> PAGEREF _Toc77951731 \h </w:instrText>
            </w:r>
            <w:r>
              <w:rPr>
                <w:noProof/>
                <w:webHidden/>
              </w:rPr>
            </w:r>
            <w:r>
              <w:rPr>
                <w:noProof/>
                <w:webHidden/>
              </w:rPr>
              <w:fldChar w:fldCharType="separate"/>
            </w:r>
            <w:r>
              <w:rPr>
                <w:noProof/>
                <w:webHidden/>
              </w:rPr>
              <w:t>5</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32" w:history="1">
            <w:r w:rsidRPr="00B95425">
              <w:rPr>
                <w:rStyle w:val="Hyperlink"/>
                <w:noProof/>
              </w:rPr>
              <w:t>Figure S1. Distance-abundance relationships as predicted from GAMs.</w:t>
            </w:r>
            <w:r>
              <w:rPr>
                <w:noProof/>
                <w:webHidden/>
              </w:rPr>
              <w:tab/>
            </w:r>
            <w:r>
              <w:rPr>
                <w:noProof/>
                <w:webHidden/>
              </w:rPr>
              <w:fldChar w:fldCharType="begin"/>
            </w:r>
            <w:r>
              <w:rPr>
                <w:noProof/>
                <w:webHidden/>
              </w:rPr>
              <w:instrText xml:space="preserve"> PAGEREF _Toc77951732 \h </w:instrText>
            </w:r>
            <w:r>
              <w:rPr>
                <w:noProof/>
                <w:webHidden/>
              </w:rPr>
            </w:r>
            <w:r>
              <w:rPr>
                <w:noProof/>
                <w:webHidden/>
              </w:rPr>
              <w:fldChar w:fldCharType="separate"/>
            </w:r>
            <w:r>
              <w:rPr>
                <w:noProof/>
                <w:webHidden/>
              </w:rPr>
              <w:t>5</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33" w:history="1">
            <w:r w:rsidRPr="00B95425">
              <w:rPr>
                <w:rStyle w:val="Hyperlink"/>
                <w:noProof/>
              </w:rPr>
              <w:t>Figure S2. Barplots showing the overall proportion of expected and unexpected relationships when the tree dataset is removed.</w:t>
            </w:r>
            <w:r>
              <w:rPr>
                <w:noProof/>
                <w:webHidden/>
              </w:rPr>
              <w:tab/>
            </w:r>
            <w:r>
              <w:rPr>
                <w:noProof/>
                <w:webHidden/>
              </w:rPr>
              <w:fldChar w:fldCharType="begin"/>
            </w:r>
            <w:r>
              <w:rPr>
                <w:noProof/>
                <w:webHidden/>
              </w:rPr>
              <w:instrText xml:space="preserve"> PAGEREF _Toc77951733 \h </w:instrText>
            </w:r>
            <w:r>
              <w:rPr>
                <w:noProof/>
                <w:webHidden/>
              </w:rPr>
            </w:r>
            <w:r>
              <w:rPr>
                <w:noProof/>
                <w:webHidden/>
              </w:rPr>
              <w:fldChar w:fldCharType="separate"/>
            </w:r>
            <w:r>
              <w:rPr>
                <w:noProof/>
                <w:webHidden/>
              </w:rPr>
              <w:t>6</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34" w:history="1">
            <w:r w:rsidRPr="00B95425">
              <w:rPr>
                <w:rStyle w:val="Hyperlink"/>
                <w:noProof/>
              </w:rPr>
              <w:t>Figure S3. Barplots showing the overall proportion of expected and unexpected relationships when migratory species are removed from the two bird datasets.</w:t>
            </w:r>
            <w:r>
              <w:rPr>
                <w:noProof/>
                <w:webHidden/>
              </w:rPr>
              <w:tab/>
            </w:r>
            <w:r>
              <w:rPr>
                <w:noProof/>
                <w:webHidden/>
              </w:rPr>
              <w:fldChar w:fldCharType="begin"/>
            </w:r>
            <w:r>
              <w:rPr>
                <w:noProof/>
                <w:webHidden/>
              </w:rPr>
              <w:instrText xml:space="preserve"> PAGEREF _Toc77951734 \h </w:instrText>
            </w:r>
            <w:r>
              <w:rPr>
                <w:noProof/>
                <w:webHidden/>
              </w:rPr>
            </w:r>
            <w:r>
              <w:rPr>
                <w:noProof/>
                <w:webHidden/>
              </w:rPr>
              <w:fldChar w:fldCharType="separate"/>
            </w:r>
            <w:r>
              <w:rPr>
                <w:noProof/>
                <w:webHidden/>
              </w:rPr>
              <w:t>7</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35" w:history="1">
            <w:r w:rsidRPr="00B95425">
              <w:rPr>
                <w:rStyle w:val="Hyperlink"/>
                <w:noProof/>
              </w:rPr>
              <w:t>Figure S4. Distance-abundance relationships as predicted from the Bayesian model for the two bird datasets with migratory species excluded.</w:t>
            </w:r>
            <w:r>
              <w:rPr>
                <w:noProof/>
                <w:webHidden/>
              </w:rPr>
              <w:tab/>
            </w:r>
            <w:r>
              <w:rPr>
                <w:noProof/>
                <w:webHidden/>
              </w:rPr>
              <w:fldChar w:fldCharType="begin"/>
            </w:r>
            <w:r>
              <w:rPr>
                <w:noProof/>
                <w:webHidden/>
              </w:rPr>
              <w:instrText xml:space="preserve"> PAGEREF _Toc77951735 \h </w:instrText>
            </w:r>
            <w:r>
              <w:rPr>
                <w:noProof/>
                <w:webHidden/>
              </w:rPr>
            </w:r>
            <w:r>
              <w:rPr>
                <w:noProof/>
                <w:webHidden/>
              </w:rPr>
              <w:fldChar w:fldCharType="separate"/>
            </w:r>
            <w:r>
              <w:rPr>
                <w:noProof/>
                <w:webHidden/>
              </w:rPr>
              <w:t>8</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36" w:history="1">
            <w:r w:rsidRPr="00B95425">
              <w:rPr>
                <w:rStyle w:val="Hyperlink"/>
                <w:noProof/>
              </w:rPr>
              <w:t>Figure S5. Species-specific distance-abundance relationships for the mammal dataset.</w:t>
            </w:r>
            <w:r>
              <w:rPr>
                <w:noProof/>
                <w:webHidden/>
              </w:rPr>
              <w:tab/>
            </w:r>
            <w:r>
              <w:rPr>
                <w:noProof/>
                <w:webHidden/>
              </w:rPr>
              <w:fldChar w:fldCharType="begin"/>
            </w:r>
            <w:r>
              <w:rPr>
                <w:noProof/>
                <w:webHidden/>
              </w:rPr>
              <w:instrText xml:space="preserve"> PAGEREF _Toc77951736 \h </w:instrText>
            </w:r>
            <w:r>
              <w:rPr>
                <w:noProof/>
                <w:webHidden/>
              </w:rPr>
            </w:r>
            <w:r>
              <w:rPr>
                <w:noProof/>
                <w:webHidden/>
              </w:rPr>
              <w:fldChar w:fldCharType="separate"/>
            </w:r>
            <w:r>
              <w:rPr>
                <w:noProof/>
                <w:webHidden/>
              </w:rPr>
              <w:t>9</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37" w:history="1">
            <w:r w:rsidRPr="00B95425">
              <w:rPr>
                <w:rStyle w:val="Hyperlink"/>
                <w:noProof/>
              </w:rPr>
              <w:t>Figure S6. Species-specific distance-abundance relationships for the fish dataset.</w:t>
            </w:r>
            <w:r>
              <w:rPr>
                <w:noProof/>
                <w:webHidden/>
              </w:rPr>
              <w:tab/>
            </w:r>
            <w:r>
              <w:rPr>
                <w:noProof/>
                <w:webHidden/>
              </w:rPr>
              <w:fldChar w:fldCharType="begin"/>
            </w:r>
            <w:r>
              <w:rPr>
                <w:noProof/>
                <w:webHidden/>
              </w:rPr>
              <w:instrText xml:space="preserve"> PAGEREF _Toc77951737 \h </w:instrText>
            </w:r>
            <w:r>
              <w:rPr>
                <w:noProof/>
                <w:webHidden/>
              </w:rPr>
            </w:r>
            <w:r>
              <w:rPr>
                <w:noProof/>
                <w:webHidden/>
              </w:rPr>
              <w:fldChar w:fldCharType="separate"/>
            </w:r>
            <w:r>
              <w:rPr>
                <w:noProof/>
                <w:webHidden/>
              </w:rPr>
              <w:t>10</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38" w:history="1">
            <w:r w:rsidRPr="00B95425">
              <w:rPr>
                <w:rStyle w:val="Hyperlink"/>
                <w:noProof/>
              </w:rPr>
              <w:t>Figure S7. Species-specific distance-abundance relationships for the eBird dataset.</w:t>
            </w:r>
            <w:r>
              <w:rPr>
                <w:noProof/>
                <w:webHidden/>
              </w:rPr>
              <w:tab/>
            </w:r>
            <w:r>
              <w:rPr>
                <w:noProof/>
                <w:webHidden/>
              </w:rPr>
              <w:fldChar w:fldCharType="begin"/>
            </w:r>
            <w:r>
              <w:rPr>
                <w:noProof/>
                <w:webHidden/>
              </w:rPr>
              <w:instrText xml:space="preserve"> PAGEREF _Toc77951738 \h </w:instrText>
            </w:r>
            <w:r>
              <w:rPr>
                <w:noProof/>
                <w:webHidden/>
              </w:rPr>
            </w:r>
            <w:r>
              <w:rPr>
                <w:noProof/>
                <w:webHidden/>
              </w:rPr>
              <w:fldChar w:fldCharType="separate"/>
            </w:r>
            <w:r>
              <w:rPr>
                <w:noProof/>
                <w:webHidden/>
              </w:rPr>
              <w:t>11</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39" w:history="1">
            <w:r w:rsidRPr="00B95425">
              <w:rPr>
                <w:rStyle w:val="Hyperlink"/>
                <w:noProof/>
              </w:rPr>
              <w:t>Figure S8. Species-specific distance-abundance relationships for the tree dataset.</w:t>
            </w:r>
            <w:r>
              <w:rPr>
                <w:noProof/>
                <w:webHidden/>
              </w:rPr>
              <w:tab/>
            </w:r>
            <w:r>
              <w:rPr>
                <w:noProof/>
                <w:webHidden/>
              </w:rPr>
              <w:fldChar w:fldCharType="begin"/>
            </w:r>
            <w:r>
              <w:rPr>
                <w:noProof/>
                <w:webHidden/>
              </w:rPr>
              <w:instrText xml:space="preserve"> PAGEREF _Toc77951739 \h </w:instrText>
            </w:r>
            <w:r>
              <w:rPr>
                <w:noProof/>
                <w:webHidden/>
              </w:rPr>
            </w:r>
            <w:r>
              <w:rPr>
                <w:noProof/>
                <w:webHidden/>
              </w:rPr>
              <w:fldChar w:fldCharType="separate"/>
            </w:r>
            <w:r>
              <w:rPr>
                <w:noProof/>
                <w:webHidden/>
              </w:rPr>
              <w:t>12</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40" w:history="1">
            <w:r w:rsidRPr="00B95425">
              <w:rPr>
                <w:rStyle w:val="Hyperlink"/>
                <w:noProof/>
              </w:rPr>
              <w:t>Figure S9. Species-specific distance-abundance relationships for the BBS dataset.</w:t>
            </w:r>
            <w:r>
              <w:rPr>
                <w:noProof/>
                <w:webHidden/>
              </w:rPr>
              <w:tab/>
            </w:r>
            <w:r>
              <w:rPr>
                <w:noProof/>
                <w:webHidden/>
              </w:rPr>
              <w:fldChar w:fldCharType="begin"/>
            </w:r>
            <w:r>
              <w:rPr>
                <w:noProof/>
                <w:webHidden/>
              </w:rPr>
              <w:instrText xml:space="preserve"> PAGEREF _Toc77951740 \h </w:instrText>
            </w:r>
            <w:r>
              <w:rPr>
                <w:noProof/>
                <w:webHidden/>
              </w:rPr>
            </w:r>
            <w:r>
              <w:rPr>
                <w:noProof/>
                <w:webHidden/>
              </w:rPr>
              <w:fldChar w:fldCharType="separate"/>
            </w:r>
            <w:r>
              <w:rPr>
                <w:noProof/>
                <w:webHidden/>
              </w:rPr>
              <w:t>13</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41" w:history="1">
            <w:r w:rsidRPr="00B95425">
              <w:rPr>
                <w:rStyle w:val="Hyperlink"/>
                <w:noProof/>
              </w:rPr>
              <w:t>Figure S10. Barplots showing the proportion of species presenting expected and unexpected relationships when the tree dataset is removed.</w:t>
            </w:r>
            <w:r>
              <w:rPr>
                <w:noProof/>
                <w:webHidden/>
              </w:rPr>
              <w:tab/>
            </w:r>
            <w:r>
              <w:rPr>
                <w:noProof/>
                <w:webHidden/>
              </w:rPr>
              <w:fldChar w:fldCharType="begin"/>
            </w:r>
            <w:r>
              <w:rPr>
                <w:noProof/>
                <w:webHidden/>
              </w:rPr>
              <w:instrText xml:space="preserve"> PAGEREF _Toc77951741 \h </w:instrText>
            </w:r>
            <w:r>
              <w:rPr>
                <w:noProof/>
                <w:webHidden/>
              </w:rPr>
            </w:r>
            <w:r>
              <w:rPr>
                <w:noProof/>
                <w:webHidden/>
              </w:rPr>
              <w:fldChar w:fldCharType="separate"/>
            </w:r>
            <w:r>
              <w:rPr>
                <w:noProof/>
                <w:webHidden/>
              </w:rPr>
              <w:t>14</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42" w:history="1">
            <w:r w:rsidRPr="00B95425">
              <w:rPr>
                <w:rStyle w:val="Hyperlink"/>
                <w:noProof/>
              </w:rPr>
              <w:t>Figure S11. Barplots showing the proportion of species presenting expected and unexpected relationships when migratory species are removed from the two bird datasets.</w:t>
            </w:r>
            <w:r>
              <w:rPr>
                <w:noProof/>
                <w:webHidden/>
              </w:rPr>
              <w:tab/>
            </w:r>
            <w:r>
              <w:rPr>
                <w:noProof/>
                <w:webHidden/>
              </w:rPr>
              <w:fldChar w:fldCharType="begin"/>
            </w:r>
            <w:r>
              <w:rPr>
                <w:noProof/>
                <w:webHidden/>
              </w:rPr>
              <w:instrText xml:space="preserve"> PAGEREF _Toc77951742 \h </w:instrText>
            </w:r>
            <w:r>
              <w:rPr>
                <w:noProof/>
                <w:webHidden/>
              </w:rPr>
            </w:r>
            <w:r>
              <w:rPr>
                <w:noProof/>
                <w:webHidden/>
              </w:rPr>
              <w:fldChar w:fldCharType="separate"/>
            </w:r>
            <w:r>
              <w:rPr>
                <w:noProof/>
                <w:webHidden/>
              </w:rPr>
              <w:t>15</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43" w:history="1">
            <w:r w:rsidRPr="00B95425">
              <w:rPr>
                <w:rStyle w:val="Hyperlink"/>
                <w:noProof/>
              </w:rPr>
              <w:t>Table S1. Outputs from Bayesian mixed-effect models</w:t>
            </w:r>
            <w:r>
              <w:rPr>
                <w:noProof/>
                <w:webHidden/>
              </w:rPr>
              <w:tab/>
            </w:r>
            <w:r>
              <w:rPr>
                <w:noProof/>
                <w:webHidden/>
              </w:rPr>
              <w:fldChar w:fldCharType="begin"/>
            </w:r>
            <w:r>
              <w:rPr>
                <w:noProof/>
                <w:webHidden/>
              </w:rPr>
              <w:instrText xml:space="preserve"> PAGEREF _Toc77951743 \h </w:instrText>
            </w:r>
            <w:r>
              <w:rPr>
                <w:noProof/>
                <w:webHidden/>
              </w:rPr>
            </w:r>
            <w:r>
              <w:rPr>
                <w:noProof/>
                <w:webHidden/>
              </w:rPr>
              <w:fldChar w:fldCharType="separate"/>
            </w:r>
            <w:r>
              <w:rPr>
                <w:noProof/>
                <w:webHidden/>
              </w:rPr>
              <w:t>16</w:t>
            </w:r>
            <w:r>
              <w:rPr>
                <w:noProof/>
                <w:webHidden/>
              </w:rPr>
              <w:fldChar w:fldCharType="end"/>
            </w:r>
          </w:hyperlink>
        </w:p>
        <w:p w:rsidR="0052523B" w:rsidRDefault="0052523B">
          <w:pPr>
            <w:pStyle w:val="TOC2"/>
            <w:tabs>
              <w:tab w:val="right" w:pos="9350"/>
            </w:tabs>
            <w:rPr>
              <w:rFonts w:eastAsiaTheme="minorEastAsia" w:cstheme="minorBidi"/>
              <w:b w:val="0"/>
              <w:bCs w:val="0"/>
              <w:smallCaps w:val="0"/>
              <w:noProof/>
            </w:rPr>
          </w:pPr>
          <w:hyperlink w:anchor="_Toc77951744" w:history="1">
            <w:r w:rsidRPr="00B95425">
              <w:rPr>
                <w:rStyle w:val="Hyperlink"/>
                <w:noProof/>
              </w:rPr>
              <w:t>Table S2. Outputs from Bayesian mixed-effect models for the two bird datasets with migratory species excluded</w:t>
            </w:r>
            <w:r>
              <w:rPr>
                <w:noProof/>
                <w:webHidden/>
              </w:rPr>
              <w:tab/>
            </w:r>
            <w:r>
              <w:rPr>
                <w:noProof/>
                <w:webHidden/>
              </w:rPr>
              <w:fldChar w:fldCharType="begin"/>
            </w:r>
            <w:r>
              <w:rPr>
                <w:noProof/>
                <w:webHidden/>
              </w:rPr>
              <w:instrText xml:space="preserve"> PAGEREF _Toc77951744 \h </w:instrText>
            </w:r>
            <w:r>
              <w:rPr>
                <w:noProof/>
                <w:webHidden/>
              </w:rPr>
            </w:r>
            <w:r>
              <w:rPr>
                <w:noProof/>
                <w:webHidden/>
              </w:rPr>
              <w:fldChar w:fldCharType="separate"/>
            </w:r>
            <w:r>
              <w:rPr>
                <w:noProof/>
                <w:webHidden/>
              </w:rPr>
              <w:t>19</w:t>
            </w:r>
            <w:r>
              <w:rPr>
                <w:noProof/>
                <w:webHidden/>
              </w:rPr>
              <w:fldChar w:fldCharType="end"/>
            </w:r>
          </w:hyperlink>
        </w:p>
        <w:p w:rsidR="0052523B" w:rsidRDefault="0052523B">
          <w:pPr>
            <w:pStyle w:val="TOC1"/>
            <w:tabs>
              <w:tab w:val="right" w:pos="9350"/>
            </w:tabs>
            <w:rPr>
              <w:rFonts w:eastAsiaTheme="minorEastAsia" w:cstheme="minorBidi"/>
              <w:b w:val="0"/>
              <w:bCs w:val="0"/>
              <w:caps w:val="0"/>
              <w:noProof/>
              <w:u w:val="none"/>
            </w:rPr>
          </w:pPr>
          <w:hyperlink w:anchor="_Toc77951745" w:history="1">
            <w:r w:rsidRPr="00B95425">
              <w:rPr>
                <w:rStyle w:val="Hyperlink"/>
                <w:noProof/>
              </w:rPr>
              <w:t>Supplementary references</w:t>
            </w:r>
            <w:r>
              <w:rPr>
                <w:noProof/>
                <w:webHidden/>
              </w:rPr>
              <w:tab/>
            </w:r>
            <w:r>
              <w:rPr>
                <w:noProof/>
                <w:webHidden/>
              </w:rPr>
              <w:fldChar w:fldCharType="begin"/>
            </w:r>
            <w:r>
              <w:rPr>
                <w:noProof/>
                <w:webHidden/>
              </w:rPr>
              <w:instrText xml:space="preserve"> PAGEREF _Toc77951745 \h </w:instrText>
            </w:r>
            <w:r>
              <w:rPr>
                <w:noProof/>
                <w:webHidden/>
              </w:rPr>
            </w:r>
            <w:r>
              <w:rPr>
                <w:noProof/>
                <w:webHidden/>
              </w:rPr>
              <w:fldChar w:fldCharType="separate"/>
            </w:r>
            <w:r>
              <w:rPr>
                <w:noProof/>
                <w:webHidden/>
              </w:rPr>
              <w:t>20</w:t>
            </w:r>
            <w:r>
              <w:rPr>
                <w:noProof/>
                <w:webHidden/>
              </w:rPr>
              <w:fldChar w:fldCharType="end"/>
            </w:r>
          </w:hyperlink>
        </w:p>
        <w:p w:rsidR="00505E5E" w:rsidRDefault="007601EC">
          <w:pPr>
            <w:tabs>
              <w:tab w:val="right" w:pos="9360"/>
            </w:tabs>
            <w:spacing w:before="200" w:after="80" w:line="240" w:lineRule="auto"/>
            <w:rPr>
              <w:rFonts w:ascii="Times New Roman" w:eastAsia="Times New Roman" w:hAnsi="Times New Roman" w:cs="Times New Roman"/>
              <w:b/>
              <w:sz w:val="36"/>
              <w:szCs w:val="36"/>
            </w:rPr>
          </w:pPr>
          <w:r>
            <w:fldChar w:fldCharType="end"/>
          </w:r>
        </w:p>
      </w:sdtContent>
    </w:sdt>
    <w:p w:rsidR="00505E5E" w:rsidRDefault="007601EC">
      <w:pPr>
        <w:pBdr>
          <w:top w:val="nil"/>
          <w:left w:val="nil"/>
          <w:bottom w:val="nil"/>
          <w:right w:val="nil"/>
          <w:between w:val="nil"/>
        </w:pBdr>
        <w:spacing w:after="0"/>
        <w:rPr>
          <w:rFonts w:ascii="Times New Roman" w:eastAsia="Times New Roman" w:hAnsi="Times New Roman" w:cs="Times New Roman"/>
          <w:b/>
          <w:sz w:val="36"/>
          <w:szCs w:val="36"/>
        </w:rPr>
      </w:pP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p>
    <w:p w:rsidR="00505E5E" w:rsidRDefault="007601EC">
      <w:pPr>
        <w:pStyle w:val="Heading1"/>
      </w:pPr>
      <w:bookmarkStart w:id="0" w:name="_heading=h.dw35fygiuqor" w:colFirst="0" w:colLast="0"/>
      <w:bookmarkEnd w:id="0"/>
      <w:r>
        <w:br w:type="page"/>
      </w:r>
    </w:p>
    <w:p w:rsidR="00505E5E" w:rsidRDefault="007601EC">
      <w:pPr>
        <w:pStyle w:val="Heading1"/>
      </w:pPr>
      <w:bookmarkStart w:id="1" w:name="_Toc77951730"/>
      <w:r>
        <w:lastRenderedPageBreak/>
        <w:t>Supplementary text S1 - Bayesian non-linear mixed-effect model</w:t>
      </w:r>
      <w:bookmarkEnd w:id="1"/>
    </w:p>
    <w:p w:rsidR="00505E5E" w:rsidRDefault="007601E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study the distance-abundance relationship at the group scale under the 12 different settings, we used Bayesian non-linear mixed effect models. Specifically, the log-scaled abundance of population </w:t>
      </w:r>
      <w:r>
        <w:rPr>
          <w:rFonts w:ascii="Times New Roman" w:eastAsia="Times New Roman" w:hAnsi="Times New Roman" w:cs="Times New Roman"/>
          <w:i/>
          <w:sz w:val="24"/>
          <w:szCs w:val="24"/>
        </w:rPr>
        <w:t xml:space="preserve">i </w:t>
      </w:r>
      <w:r>
        <w:rPr>
          <w:rFonts w:ascii="Times New Roman" w:eastAsia="Times New Roman" w:hAnsi="Times New Roman" w:cs="Times New Roman"/>
          <w:sz w:val="24"/>
          <w:szCs w:val="24"/>
        </w:rPr>
        <w:t xml:space="preserve">for species </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rPr>
        <w:t xml:space="preserve"> (denoted </w:t>
      </w:r>
      <w:r>
        <w:rPr>
          <w:rFonts w:ascii="Times New Roman" w:eastAsia="Times New Roman" w:hAnsi="Times New Roman" w:cs="Times New Roman"/>
          <w:i/>
          <w:sz w:val="24"/>
          <w:szCs w:val="24"/>
        </w:rPr>
        <w:t>Y</w:t>
      </w:r>
      <w:r>
        <w:rPr>
          <w:rFonts w:ascii="Times New Roman" w:eastAsia="Times New Roman" w:hAnsi="Times New Roman" w:cs="Times New Roman"/>
          <w:i/>
          <w:sz w:val="24"/>
          <w:szCs w:val="24"/>
          <w:vertAlign w:val="subscript"/>
        </w:rPr>
        <w:t>i(s)</w:t>
      </w:r>
      <w:r>
        <w:rPr>
          <w:rFonts w:ascii="Times New Roman" w:eastAsia="Times New Roman" w:hAnsi="Times New Roman" w:cs="Times New Roman"/>
          <w:sz w:val="24"/>
          <w:szCs w:val="24"/>
        </w:rPr>
        <w:t xml:space="preserve">) was assumed to follow a normal distribution with mean </w:t>
      </w:r>
      <w:r>
        <w:rPr>
          <w:rFonts w:ascii="Times New Roman" w:eastAsia="Times New Roman" w:hAnsi="Times New Roman" w:cs="Times New Roman"/>
          <w:i/>
          <w:sz w:val="24"/>
          <w:szCs w:val="24"/>
        </w:rPr>
        <w:t>λ</w:t>
      </w:r>
      <w:r>
        <w:rPr>
          <w:rFonts w:ascii="Times New Roman" w:eastAsia="Times New Roman" w:hAnsi="Times New Roman" w:cs="Times New Roman"/>
          <w:i/>
          <w:sz w:val="24"/>
          <w:szCs w:val="24"/>
          <w:vertAlign w:val="subscript"/>
        </w:rPr>
        <w:t>i(s)</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and standard deviation </w:t>
      </w:r>
      <w:r>
        <w:rPr>
          <w:rFonts w:ascii="Times New Roman" w:eastAsia="Times New Roman" w:hAnsi="Times New Roman" w:cs="Times New Roman"/>
          <w:i/>
          <w:sz w:val="24"/>
          <w:szCs w:val="24"/>
        </w:rPr>
        <w:t>σ</w:t>
      </w:r>
      <w:r>
        <w:rPr>
          <w:rFonts w:ascii="Times New Roman" w:eastAsia="Times New Roman" w:hAnsi="Times New Roman" w:cs="Times New Roman"/>
          <w:sz w:val="24"/>
          <w:szCs w:val="24"/>
        </w:rPr>
        <w:t xml:space="preserve">. The mean was modelled as a non-linear (quadratic) function of the distance of the population (denoted </w:t>
      </w:r>
      <w:r>
        <w:rPr>
          <w:rFonts w:ascii="Times New Roman" w:eastAsia="Times New Roman" w:hAnsi="Times New Roman" w:cs="Times New Roman"/>
          <w:i/>
          <w:sz w:val="24"/>
          <w:szCs w:val="24"/>
        </w:rPr>
        <w:t>Distance</w:t>
      </w:r>
      <w:r>
        <w:rPr>
          <w:rFonts w:ascii="Times New Roman" w:eastAsia="Times New Roman" w:hAnsi="Times New Roman" w:cs="Times New Roman"/>
          <w:i/>
          <w:sz w:val="24"/>
          <w:szCs w:val="24"/>
          <w:vertAlign w:val="subscript"/>
        </w:rPr>
        <w:t>i(s)</w:t>
      </w:r>
      <w:r>
        <w:rPr>
          <w:rFonts w:ascii="Times New Roman" w:eastAsia="Times New Roman" w:hAnsi="Times New Roman" w:cs="Times New Roman"/>
          <w:sz w:val="24"/>
          <w:szCs w:val="24"/>
        </w:rPr>
        <w:t xml:space="preserve">) to either the </w:t>
      </w:r>
      <w:r w:rsidR="00C07C8F">
        <w:rPr>
          <w:rFonts w:ascii="Times New Roman" w:eastAsia="Times New Roman" w:hAnsi="Times New Roman" w:cs="Times New Roman"/>
          <w:sz w:val="24"/>
          <w:szCs w:val="24"/>
        </w:rPr>
        <w:t>center</w:t>
      </w:r>
      <w:r>
        <w:rPr>
          <w:rFonts w:ascii="Times New Roman" w:eastAsia="Times New Roman" w:hAnsi="Times New Roman" w:cs="Times New Roman"/>
          <w:sz w:val="24"/>
          <w:szCs w:val="24"/>
        </w:rPr>
        <w:t xml:space="preserve"> (Euclidean or Mahalanobis) or the margins with envelopes delineated with a convex hull (CH) and a kernel density estimator (KDE) in the geographical space or with a CH and a minimum volume ellipsoid (MVE) in the environmental space. The model has the following structure:</w:t>
      </w:r>
      <w:bookmarkStart w:id="2" w:name="_GoBack"/>
      <w:bookmarkEnd w:id="2"/>
    </w:p>
    <w:p w:rsidR="00505E5E" w:rsidRDefault="0052523B">
      <w:pPr>
        <w:jc w:val="center"/>
        <w:rPr>
          <w:rFonts w:ascii="Cambria Math" w:eastAsia="Cambria Math" w:hAnsi="Cambria Math" w:cs="Cambria Math"/>
          <w:color w:val="00000A"/>
          <w:sz w:val="24"/>
          <w:szCs w:val="24"/>
        </w:rPr>
      </w:pPr>
      <m:oMathPara>
        <m:oMath>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Y</m:t>
              </m:r>
            </m:e>
            <m:sub>
              <m:r>
                <w:rPr>
                  <w:rFonts w:ascii="Cambria Math" w:eastAsia="Cambria Math" w:hAnsi="Cambria Math" w:cs="Cambria Math"/>
                  <w:color w:val="00000A"/>
                  <w:sz w:val="24"/>
                  <w:szCs w:val="24"/>
                </w:rPr>
                <m:t>i(s)</m:t>
              </m:r>
            </m:sub>
          </m:sSub>
          <m:r>
            <w:rPr>
              <w:rFonts w:ascii="Cambria Math" w:eastAsia="Cambria Math" w:hAnsi="Cambria Math" w:cs="Cambria Math"/>
              <w:color w:val="00000A"/>
              <w:sz w:val="24"/>
              <w:szCs w:val="24"/>
            </w:rPr>
            <m:t>~N(</m:t>
          </m:r>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λ</m:t>
              </m:r>
            </m:e>
            <m:sub>
              <m:r>
                <w:rPr>
                  <w:rFonts w:ascii="Cambria Math" w:eastAsia="Cambria Math" w:hAnsi="Cambria Math" w:cs="Cambria Math"/>
                  <w:color w:val="00000A"/>
                  <w:sz w:val="24"/>
                  <w:szCs w:val="24"/>
                </w:rPr>
                <m:t>i(s)</m:t>
              </m:r>
            </m:sub>
          </m:sSub>
          <m:r>
            <w:rPr>
              <w:rFonts w:ascii="Cambria Math" w:eastAsia="Cambria Math" w:hAnsi="Cambria Math" w:cs="Cambria Math"/>
              <w:color w:val="00000A"/>
              <w:sz w:val="24"/>
              <w:szCs w:val="24"/>
            </w:rPr>
            <m:t>, σ)</m:t>
          </m:r>
        </m:oMath>
      </m:oMathPara>
    </w:p>
    <w:p w:rsidR="00505E5E" w:rsidRDefault="0052523B">
      <w:pPr>
        <w:jc w:val="center"/>
        <w:rPr>
          <w:rFonts w:ascii="Cambria Math" w:eastAsia="Cambria Math" w:hAnsi="Cambria Math" w:cs="Cambria Math"/>
          <w:color w:val="00000A"/>
          <w:sz w:val="24"/>
          <w:szCs w:val="24"/>
        </w:rPr>
      </w:pPr>
      <m:oMathPara>
        <m:oMath>
          <m:sSub>
            <m:sSubPr>
              <m:ctrlPr>
                <w:rPr>
                  <w:rFonts w:ascii="Cambria Math" w:eastAsia="Cambria Math" w:hAnsi="Cambria Math" w:cs="Cambria Math"/>
                  <w:color w:val="00000A"/>
                  <w:sz w:val="24"/>
                  <w:szCs w:val="24"/>
                </w:rPr>
              </m:ctrlPr>
            </m:sSubPr>
            <m:e>
              <m:r>
                <w:rPr>
                  <w:rFonts w:ascii="Cambria Math" w:hAnsi="Cambria Math"/>
                </w:rPr>
                <m:t>λ</m:t>
              </m:r>
            </m:e>
            <m:sub>
              <m:r>
                <w:rPr>
                  <w:rFonts w:ascii="Cambria Math" w:eastAsia="Cambria Math" w:hAnsi="Cambria Math" w:cs="Cambria Math"/>
                  <w:color w:val="00000A"/>
                  <w:sz w:val="24"/>
                  <w:szCs w:val="24"/>
                </w:rPr>
                <m:t>i(s)</m:t>
              </m:r>
            </m:sub>
          </m:sSub>
          <m:r>
            <w:rPr>
              <w:rFonts w:ascii="Cambria Math" w:eastAsia="Cambria Math" w:hAnsi="Cambria Math" w:cs="Cambria Math"/>
              <w:color w:val="00000A"/>
              <w:sz w:val="24"/>
              <w:szCs w:val="24"/>
            </w:rPr>
            <m:t>=</m:t>
          </m:r>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α</m:t>
              </m:r>
            </m:e>
            <m:sub>
              <m:r>
                <w:rPr>
                  <w:rFonts w:ascii="Cambria Math" w:eastAsia="Cambria Math" w:hAnsi="Cambria Math" w:cs="Cambria Math"/>
                  <w:color w:val="00000A"/>
                  <w:sz w:val="24"/>
                  <w:szCs w:val="24"/>
                </w:rPr>
                <m:t>s</m:t>
              </m:r>
            </m:sub>
          </m:sSub>
          <m:r>
            <w:rPr>
              <w:rFonts w:ascii="Cambria Math" w:eastAsia="Cambria Math" w:hAnsi="Cambria Math" w:cs="Cambria Math"/>
              <w:color w:val="00000A"/>
              <w:sz w:val="24"/>
              <w:szCs w:val="24"/>
            </w:rPr>
            <m:t>+</m:t>
          </m:r>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β</m:t>
              </m:r>
            </m:e>
            <m:sub>
              <m:r>
                <w:rPr>
                  <w:rFonts w:ascii="Cambria Math" w:eastAsia="Cambria Math" w:hAnsi="Cambria Math" w:cs="Cambria Math"/>
                  <w:color w:val="00000A"/>
                  <w:sz w:val="24"/>
                  <w:szCs w:val="24"/>
                </w:rPr>
                <m:t>s</m:t>
              </m:r>
            </m:sub>
          </m:sSub>
          <m:r>
            <w:rPr>
              <w:rFonts w:ascii="Cambria Math" w:eastAsia="Cambria Math" w:hAnsi="Cambria Math" w:cs="Cambria Math"/>
              <w:color w:val="00000A"/>
              <w:sz w:val="24"/>
              <w:szCs w:val="24"/>
            </w:rPr>
            <m:t>×</m:t>
          </m:r>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Distance</m:t>
              </m:r>
            </m:e>
            <m:sub>
              <m:r>
                <w:rPr>
                  <w:rFonts w:ascii="Cambria Math" w:eastAsia="Cambria Math" w:hAnsi="Cambria Math" w:cs="Cambria Math"/>
                  <w:color w:val="00000A"/>
                  <w:sz w:val="24"/>
                  <w:szCs w:val="24"/>
                </w:rPr>
                <m:t>i(s)</m:t>
              </m:r>
            </m:sub>
          </m:sSub>
          <m:r>
            <w:rPr>
              <w:rFonts w:ascii="Cambria Math" w:eastAsia="Cambria Math" w:hAnsi="Cambria Math" w:cs="Cambria Math"/>
              <w:color w:val="00000A"/>
              <w:sz w:val="24"/>
              <w:szCs w:val="24"/>
            </w:rPr>
            <m:t xml:space="preserve">+ </m:t>
          </m:r>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γ</m:t>
              </m:r>
            </m:e>
            <m:sub>
              <m:r>
                <w:rPr>
                  <w:rFonts w:ascii="Cambria Math" w:eastAsia="Cambria Math" w:hAnsi="Cambria Math" w:cs="Cambria Math"/>
                  <w:color w:val="00000A"/>
                  <w:sz w:val="24"/>
                  <w:szCs w:val="24"/>
                </w:rPr>
                <m:t>s</m:t>
              </m:r>
            </m:sub>
          </m:sSub>
          <m:r>
            <w:rPr>
              <w:rFonts w:ascii="Cambria Math" w:eastAsia="Cambria Math" w:hAnsi="Cambria Math" w:cs="Cambria Math"/>
              <w:color w:val="00000A"/>
              <w:sz w:val="24"/>
              <w:szCs w:val="24"/>
            </w:rPr>
            <m:t>×</m:t>
          </m:r>
          <m:sSubSup>
            <m:sSubSupPr>
              <m:ctrlPr>
                <w:rPr>
                  <w:rFonts w:ascii="Cambria Math" w:eastAsia="Cambria Math" w:hAnsi="Cambria Math" w:cs="Cambria Math"/>
                  <w:color w:val="00000A"/>
                  <w:sz w:val="24"/>
                  <w:szCs w:val="24"/>
                </w:rPr>
              </m:ctrlPr>
            </m:sSubSupPr>
            <m:e>
              <m:r>
                <w:rPr>
                  <w:rFonts w:ascii="Cambria Math" w:eastAsia="Cambria Math" w:hAnsi="Cambria Math" w:cs="Cambria Math"/>
                  <w:color w:val="00000A"/>
                  <w:sz w:val="24"/>
                  <w:szCs w:val="24"/>
                </w:rPr>
                <m:t>Distance</m:t>
              </m:r>
            </m:e>
            <m:sub>
              <m:r>
                <w:rPr>
                  <w:rFonts w:ascii="Cambria Math" w:eastAsia="Cambria Math" w:hAnsi="Cambria Math" w:cs="Cambria Math"/>
                  <w:color w:val="00000A"/>
                  <w:sz w:val="24"/>
                  <w:szCs w:val="24"/>
                </w:rPr>
                <m:t>i(s)</m:t>
              </m:r>
            </m:sub>
            <m:sup>
              <m:r>
                <w:rPr>
                  <w:rFonts w:ascii="Cambria Math" w:eastAsia="Cambria Math" w:hAnsi="Cambria Math" w:cs="Cambria Math"/>
                  <w:color w:val="00000A"/>
                  <w:sz w:val="24"/>
                  <w:szCs w:val="24"/>
                </w:rPr>
                <m:t>2</m:t>
              </m:r>
            </m:sup>
          </m:sSubSup>
        </m:oMath>
      </m:oMathPara>
    </w:p>
    <w:p w:rsidR="00505E5E" w:rsidRDefault="0052523B">
      <w:pPr>
        <w:jc w:val="center"/>
        <w:rPr>
          <w:rFonts w:ascii="Cambria Math" w:eastAsia="Cambria Math" w:hAnsi="Cambria Math" w:cs="Cambria Math"/>
          <w:color w:val="00000A"/>
          <w:sz w:val="24"/>
          <w:szCs w:val="24"/>
        </w:rPr>
      </w:pPr>
      <m:oMathPara>
        <m:oMath>
          <m:d>
            <m:dPr>
              <m:ctrlPr>
                <w:rPr>
                  <w:rFonts w:ascii="Cambria Math" w:eastAsia="Cambria Math" w:hAnsi="Cambria Math" w:cs="Cambria Math"/>
                  <w:color w:val="00000A"/>
                  <w:sz w:val="24"/>
                  <w:szCs w:val="24"/>
                </w:rPr>
              </m:ctrlPr>
            </m:dPr>
            <m:e>
              <m:sSub>
                <m:sSubPr>
                  <m:ctrlPr>
                    <w:rPr>
                      <w:rFonts w:ascii="Cambria Math" w:eastAsia="Cambria Math" w:hAnsi="Cambria Math" w:cs="Cambria Math"/>
                      <w:color w:val="00000A"/>
                      <w:sz w:val="24"/>
                      <w:szCs w:val="24"/>
                    </w:rPr>
                  </m:ctrlPr>
                </m:sSubPr>
                <m:e>
                  <m:r>
                    <w:rPr>
                      <w:rFonts w:ascii="Cambria Math" w:hAnsi="Cambria Math"/>
                    </w:rPr>
                    <m:t>α</m:t>
                  </m:r>
                </m:e>
                <m:sub>
                  <m:r>
                    <w:rPr>
                      <w:rFonts w:ascii="Cambria Math" w:eastAsia="Cambria Math" w:hAnsi="Cambria Math" w:cs="Cambria Math"/>
                      <w:color w:val="00000A"/>
                      <w:sz w:val="24"/>
                      <w:szCs w:val="24"/>
                    </w:rPr>
                    <m:t>s</m:t>
                  </m:r>
                </m:sub>
              </m:sSub>
              <m:r>
                <w:rPr>
                  <w:rFonts w:ascii="Cambria Math" w:eastAsia="Cambria Math" w:hAnsi="Cambria Math" w:cs="Cambria Math"/>
                  <w:color w:val="00000A"/>
                  <w:sz w:val="24"/>
                  <w:szCs w:val="24"/>
                </w:rPr>
                <m:t>,</m:t>
              </m:r>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β</m:t>
                  </m:r>
                </m:e>
                <m:sub>
                  <m:r>
                    <w:rPr>
                      <w:rFonts w:ascii="Cambria Math" w:eastAsia="Cambria Math" w:hAnsi="Cambria Math" w:cs="Cambria Math"/>
                      <w:color w:val="00000A"/>
                      <w:sz w:val="24"/>
                      <w:szCs w:val="24"/>
                    </w:rPr>
                    <m:t>s</m:t>
                  </m:r>
                </m:sub>
              </m:sSub>
            </m:e>
          </m:d>
          <m:r>
            <w:rPr>
              <w:rFonts w:ascii="Cambria Math" w:eastAsia="Cambria Math" w:hAnsi="Cambria Math" w:cs="Cambria Math"/>
              <w:color w:val="00000A"/>
              <w:sz w:val="24"/>
              <w:szCs w:val="24"/>
            </w:rPr>
            <m:t>~MVN</m:t>
          </m:r>
          <m:d>
            <m:dPr>
              <m:ctrlPr>
                <w:rPr>
                  <w:rFonts w:ascii="Cambria Math" w:eastAsia="Cambria Math" w:hAnsi="Cambria Math" w:cs="Cambria Math"/>
                  <w:color w:val="00000A"/>
                  <w:sz w:val="24"/>
                  <w:szCs w:val="24"/>
                </w:rPr>
              </m:ctrlPr>
            </m:dPr>
            <m:e>
              <m:r>
                <w:rPr>
                  <w:rFonts w:ascii="Cambria Math" w:eastAsia="Cambria Math" w:hAnsi="Cambria Math" w:cs="Cambria Math"/>
                  <w:color w:val="00000A"/>
                  <w:sz w:val="24"/>
                  <w:szCs w:val="24"/>
                </w:rPr>
                <m:t>μ,Σ</m:t>
              </m:r>
            </m:e>
          </m:d>
        </m:oMath>
      </m:oMathPara>
    </w:p>
    <w:p w:rsidR="00505E5E" w:rsidRDefault="007601EC">
      <w:pPr>
        <w:jc w:val="center"/>
        <w:rPr>
          <w:rFonts w:ascii="Cambria Math" w:eastAsia="Cambria Math" w:hAnsi="Cambria Math" w:cs="Cambria Math"/>
          <w:color w:val="00000A"/>
          <w:sz w:val="24"/>
          <w:szCs w:val="24"/>
        </w:rPr>
      </w:pPr>
      <m:oMathPara>
        <m:oMath>
          <m:r>
            <w:rPr>
              <w:rFonts w:ascii="Cambria Math" w:eastAsia="Cambria Math" w:hAnsi="Cambria Math" w:cs="Cambria Math"/>
              <w:color w:val="00000A"/>
              <w:sz w:val="24"/>
              <w:szCs w:val="24"/>
            </w:rPr>
            <m:t>μ=</m:t>
          </m:r>
          <m:d>
            <m:dPr>
              <m:ctrlPr>
                <w:rPr>
                  <w:rFonts w:ascii="Cambria Math" w:eastAsia="Cambria Math" w:hAnsi="Cambria Math" w:cs="Cambria Math"/>
                  <w:color w:val="00000A"/>
                  <w:sz w:val="24"/>
                  <w:szCs w:val="24"/>
                </w:rPr>
              </m:ctrlPr>
            </m:dPr>
            <m:e>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μ</m:t>
                  </m:r>
                </m:e>
                <m:sub>
                  <m:r>
                    <w:rPr>
                      <w:rFonts w:ascii="Cambria Math" w:eastAsia="Cambria Math" w:hAnsi="Cambria Math" w:cs="Cambria Math"/>
                      <w:color w:val="00000A"/>
                      <w:sz w:val="24"/>
                      <w:szCs w:val="24"/>
                    </w:rPr>
                    <m:t>α</m:t>
                  </m:r>
                </m:sub>
              </m:sSub>
              <m:r>
                <w:rPr>
                  <w:rFonts w:ascii="Cambria Math" w:eastAsia="Cambria Math" w:hAnsi="Cambria Math" w:cs="Cambria Math"/>
                  <w:color w:val="00000A"/>
                  <w:sz w:val="24"/>
                  <w:szCs w:val="24"/>
                </w:rPr>
                <m:t>,</m:t>
              </m:r>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μ</m:t>
                  </m:r>
                </m:e>
                <m:sub>
                  <m:r>
                    <w:rPr>
                      <w:rFonts w:ascii="Cambria Math" w:eastAsia="Cambria Math" w:hAnsi="Cambria Math" w:cs="Cambria Math"/>
                      <w:color w:val="00000A"/>
                      <w:sz w:val="24"/>
                      <w:szCs w:val="24"/>
                    </w:rPr>
                    <m:t>β</m:t>
                  </m:r>
                </m:sub>
              </m:sSub>
            </m:e>
          </m:d>
        </m:oMath>
      </m:oMathPara>
    </w:p>
    <w:p w:rsidR="00505E5E" w:rsidRDefault="007601EC">
      <w:pPr>
        <w:jc w:val="center"/>
      </w:pPr>
      <m:oMathPara>
        <m:oMath>
          <m:r>
            <w:rPr>
              <w:rFonts w:ascii="Cambria Math" w:eastAsia="Cambria Math" w:hAnsi="Cambria Math" w:cs="Cambria Math"/>
              <w:sz w:val="24"/>
              <w:szCs w:val="24"/>
            </w:rPr>
            <m:t>Σ=</m:t>
          </m:r>
          <m:d>
            <m:dPr>
              <m:ctrlPr>
                <w:rPr>
                  <w:rFonts w:ascii="Cambria Math" w:hAnsi="Cambria Math"/>
                </w:rPr>
              </m:ctrlPr>
            </m:dPr>
            <m:e>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σ</m:t>
                  </m:r>
                </m:e>
                <m:sub>
                  <m:r>
                    <w:rPr>
                      <w:rFonts w:ascii="Cambria Math" w:eastAsia="Cambria Math" w:hAnsi="Cambria Math" w:cs="Cambria Math"/>
                      <w:sz w:val="24"/>
                      <w:szCs w:val="24"/>
                    </w:rPr>
                    <m:t>α</m:t>
                  </m:r>
                </m:sub>
                <m:sup>
                  <m:r>
                    <w:rPr>
                      <w:rFonts w:ascii="Cambria Math" w:eastAsia="Cambria Math" w:hAnsi="Cambria Math" w:cs="Cambria Math"/>
                      <w:sz w:val="24"/>
                      <w:szCs w:val="24"/>
                    </w:rPr>
                    <m:t>²</m:t>
                  </m:r>
                </m:sup>
              </m:sSubSup>
              <m: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α</m:t>
                  </m:r>
                </m:sub>
              </m:sSub>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β</m:t>
                  </m:r>
                </m:sub>
              </m:sSub>
              <m:r>
                <w:rPr>
                  <w:rFonts w:ascii="Cambria Math" w:hAnsi="Cambria Math"/>
                </w:rPr>
                <m:t>×</m:t>
              </m:r>
              <m:sSub>
                <m:sSubPr>
                  <m:ctrlPr>
                    <w:rPr>
                      <w:rFonts w:ascii="Cambria Math" w:eastAsia="Cambria Math" w:hAnsi="Cambria Math" w:cs="Cambria Math"/>
                      <w:sz w:val="24"/>
                      <w:szCs w:val="24"/>
                    </w:rPr>
                  </m:ctrlPr>
                </m:sSubPr>
                <m:e>
                  <m:r>
                    <w:rPr>
                      <w:rFonts w:ascii="Cambria Math" w:hAnsi="Cambria Math"/>
                    </w:rPr>
                    <m:t>ρ</m:t>
                  </m:r>
                </m:e>
                <m:sub>
                  <m:r>
                    <w:rPr>
                      <w:rFonts w:ascii="Cambria Math" w:eastAsia="Cambria Math" w:hAnsi="Cambria Math" w:cs="Cambria Math"/>
                      <w:sz w:val="24"/>
                      <w:szCs w:val="24"/>
                    </w:rPr>
                    <m:t>αβ</m:t>
                  </m:r>
                </m:sub>
              </m:sSub>
              <m: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α</m:t>
                  </m:r>
                </m:sub>
              </m:sSub>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β</m:t>
                  </m:r>
                </m:sub>
              </m:sSub>
              <m:r>
                <w:rPr>
                  <w:rFonts w:ascii="Cambria Math" w:hAnsi="Cambria Math"/>
                </w:rPr>
                <m:t>×</m:t>
              </m:r>
              <m:sSub>
                <m:sSubPr>
                  <m:ctrlPr>
                    <w:rPr>
                      <w:rFonts w:ascii="Cambria Math" w:eastAsia="Cambria Math" w:hAnsi="Cambria Math" w:cs="Cambria Math"/>
                      <w:sz w:val="24"/>
                      <w:szCs w:val="24"/>
                    </w:rPr>
                  </m:ctrlPr>
                </m:sSubPr>
                <m:e>
                  <m:r>
                    <w:rPr>
                      <w:rFonts w:ascii="Cambria Math" w:hAnsi="Cambria Math"/>
                    </w:rPr>
                    <m:t>ρ</m:t>
                  </m:r>
                </m:e>
                <m:sub>
                  <m:r>
                    <w:rPr>
                      <w:rFonts w:ascii="Cambria Math" w:eastAsia="Cambria Math" w:hAnsi="Cambria Math" w:cs="Cambria Math"/>
                      <w:sz w:val="24"/>
                      <w:szCs w:val="24"/>
                    </w:rPr>
                    <m:t>αβ</m:t>
                  </m:r>
                </m:sub>
              </m:sSub>
              <m:r>
                <w:rPr>
                  <w:rFonts w:ascii="Cambria Math" w:hAnsi="Cambria Math"/>
                </w:rPr>
                <m:t xml:space="preserve"> </m:t>
              </m:r>
              <m:sSubSup>
                <m:sSubSupPr>
                  <m:ctrlPr>
                    <w:rPr>
                      <w:rFonts w:ascii="Cambria Math" w:eastAsia="Cambria Math" w:hAnsi="Cambria Math" w:cs="Cambria Math"/>
                      <w:sz w:val="24"/>
                      <w:szCs w:val="24"/>
                    </w:rPr>
                  </m:ctrlPr>
                </m:sSubSupPr>
                <m:e>
                  <m:r>
                    <w:rPr>
                      <w:rFonts w:ascii="Cambria Math" w:hAnsi="Cambria Math"/>
                    </w:rPr>
                    <m:t>σ</m:t>
                  </m:r>
                </m:e>
                <m:sub>
                  <m:r>
                    <w:rPr>
                      <w:rFonts w:ascii="Cambria Math" w:hAnsi="Cambria Math"/>
                    </w:rPr>
                    <m:t>β</m:t>
                  </m:r>
                </m:sub>
                <m:sup>
                  <m:r>
                    <w:rPr>
                      <w:rFonts w:ascii="Cambria Math" w:eastAsia="Cambria Math" w:hAnsi="Cambria Math" w:cs="Cambria Math"/>
                      <w:sz w:val="24"/>
                      <w:szCs w:val="24"/>
                    </w:rPr>
                    <m:t>²</m:t>
                  </m:r>
                </m:sup>
              </m:sSubSup>
              <m:r>
                <w:rPr>
                  <w:rFonts w:ascii="Cambria Math" w:hAnsi="Cambria Math"/>
                </w:rPr>
                <m:t xml:space="preserve"> </m:t>
              </m:r>
            </m:e>
          </m:d>
        </m:oMath>
      </m:oMathPara>
    </w:p>
    <w:p w:rsidR="00505E5E" w:rsidRDefault="0052523B">
      <w:pPr>
        <w:jc w:val="center"/>
        <w:rPr>
          <w:rFonts w:ascii="Cambria Math" w:eastAsia="Cambria Math" w:hAnsi="Cambria Math" w:cs="Cambria Math"/>
          <w:color w:val="00000A"/>
          <w:sz w:val="24"/>
          <w:szCs w:val="24"/>
        </w:rPr>
      </w:pPr>
      <m:oMathPara>
        <m:oMath>
          <m:sSub>
            <m:sSubPr>
              <m:ctrlPr>
                <w:rPr>
                  <w:rFonts w:ascii="Cambria Math" w:eastAsia="Cambria Math" w:hAnsi="Cambria Math" w:cs="Cambria Math"/>
                  <w:color w:val="00000A"/>
                  <w:sz w:val="24"/>
                  <w:szCs w:val="24"/>
                </w:rPr>
              </m:ctrlPr>
            </m:sSubPr>
            <m:e>
              <m:r>
                <w:rPr>
                  <w:rFonts w:ascii="Cambria Math" w:hAnsi="Cambria Math"/>
                </w:rPr>
                <m:t>γ</m:t>
              </m:r>
            </m:e>
            <m:sub>
              <m:r>
                <w:rPr>
                  <w:rFonts w:ascii="Cambria Math" w:eastAsia="Cambria Math" w:hAnsi="Cambria Math" w:cs="Cambria Math"/>
                  <w:color w:val="00000A"/>
                  <w:sz w:val="24"/>
                  <w:szCs w:val="24"/>
                </w:rPr>
                <m:t>s</m:t>
              </m:r>
            </m:sub>
          </m:sSub>
          <m:r>
            <w:rPr>
              <w:rFonts w:ascii="Cambria Math" w:eastAsia="Cambria Math" w:hAnsi="Cambria Math" w:cs="Cambria Math"/>
              <w:color w:val="00000A"/>
              <w:sz w:val="24"/>
              <w:szCs w:val="24"/>
            </w:rPr>
            <m:t>~Normal(</m:t>
          </m:r>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μ</m:t>
              </m:r>
            </m:e>
            <m:sub>
              <m:r>
                <w:rPr>
                  <w:rFonts w:ascii="Cambria Math" w:eastAsia="Cambria Math" w:hAnsi="Cambria Math" w:cs="Cambria Math"/>
                  <w:color w:val="00000A"/>
                  <w:sz w:val="24"/>
                  <w:szCs w:val="24"/>
                </w:rPr>
                <m:t>γ</m:t>
              </m:r>
            </m:sub>
          </m:sSub>
          <m:r>
            <w:rPr>
              <w:rFonts w:ascii="Cambria Math" w:eastAsia="Cambria Math" w:hAnsi="Cambria Math" w:cs="Cambria Math"/>
              <w:color w:val="00000A"/>
              <w:sz w:val="24"/>
              <w:szCs w:val="24"/>
            </w:rPr>
            <m:t>,</m:t>
          </m:r>
          <m:sSub>
            <m:sSubPr>
              <m:ctrlPr>
                <w:rPr>
                  <w:rFonts w:ascii="Cambria Math" w:eastAsia="Cambria Math" w:hAnsi="Cambria Math" w:cs="Cambria Math"/>
                  <w:color w:val="00000A"/>
                  <w:sz w:val="24"/>
                  <w:szCs w:val="24"/>
                </w:rPr>
              </m:ctrlPr>
            </m:sSubPr>
            <m:e>
              <m:r>
                <w:rPr>
                  <w:rFonts w:ascii="Cambria Math" w:eastAsia="Cambria Math" w:hAnsi="Cambria Math" w:cs="Cambria Math"/>
                  <w:color w:val="00000A"/>
                  <w:sz w:val="24"/>
                  <w:szCs w:val="24"/>
                </w:rPr>
                <m:t>σ</m:t>
              </m:r>
            </m:e>
            <m:sub>
              <m:r>
                <w:rPr>
                  <w:rFonts w:ascii="Cambria Math" w:eastAsia="Cambria Math" w:hAnsi="Cambria Math" w:cs="Cambria Math"/>
                  <w:color w:val="00000A"/>
                  <w:sz w:val="24"/>
                  <w:szCs w:val="24"/>
                </w:rPr>
                <m:t>γ</m:t>
              </m:r>
            </m:sub>
          </m:sSub>
          <m:r>
            <w:rPr>
              <w:rFonts w:ascii="Cambria Math" w:eastAsia="Cambria Math" w:hAnsi="Cambria Math" w:cs="Cambria Math"/>
              <w:color w:val="00000A"/>
              <w:sz w:val="24"/>
              <w:szCs w:val="24"/>
            </w:rPr>
            <m:t>)</m:t>
          </m:r>
        </m:oMath>
      </m:oMathPara>
    </w:p>
    <w:p w:rsidR="00505E5E" w:rsidRDefault="007601E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includes species-specific (random) effects on intercepts (</w:t>
      </w:r>
      <w:r>
        <w:rPr>
          <w:rFonts w:ascii="Times New Roman" w:eastAsia="Times New Roman" w:hAnsi="Times New Roman" w:cs="Times New Roman"/>
          <w:i/>
          <w:sz w:val="24"/>
          <w:szCs w:val="24"/>
        </w:rPr>
        <w:t>α</w:t>
      </w:r>
      <w:r>
        <w:rPr>
          <w:rFonts w:ascii="Times New Roman" w:eastAsia="Times New Roman" w:hAnsi="Times New Roman" w:cs="Times New Roman"/>
          <w:i/>
          <w:sz w:val="24"/>
          <w:szCs w:val="24"/>
          <w:vertAlign w:val="subscript"/>
        </w:rPr>
        <w:t>s</w:t>
      </w:r>
      <w:r>
        <w:rPr>
          <w:rFonts w:ascii="Times New Roman" w:eastAsia="Times New Roman" w:hAnsi="Times New Roman" w:cs="Times New Roman"/>
          <w:sz w:val="24"/>
          <w:szCs w:val="24"/>
        </w:rPr>
        <w:t>) slopes (</w:t>
      </w:r>
      <w:r>
        <w:rPr>
          <w:rFonts w:ascii="Times New Roman" w:eastAsia="Times New Roman" w:hAnsi="Times New Roman" w:cs="Times New Roman"/>
          <w:i/>
          <w:sz w:val="24"/>
          <w:szCs w:val="24"/>
        </w:rPr>
        <w:t>β</w:t>
      </w:r>
      <w:r>
        <w:rPr>
          <w:rFonts w:ascii="Times New Roman" w:eastAsia="Times New Roman" w:hAnsi="Times New Roman" w:cs="Times New Roman"/>
          <w:i/>
          <w:sz w:val="24"/>
          <w:szCs w:val="24"/>
          <w:vertAlign w:val="subscript"/>
        </w:rPr>
        <w:t>s</w:t>
      </w:r>
      <w:r>
        <w:rPr>
          <w:rFonts w:ascii="Times New Roman" w:eastAsia="Times New Roman" w:hAnsi="Times New Roman" w:cs="Times New Roman"/>
          <w:sz w:val="24"/>
          <w:szCs w:val="24"/>
        </w:rPr>
        <w:t>) and quadratic terms (</w:t>
      </w:r>
      <w:r>
        <w:rPr>
          <w:rFonts w:ascii="Times New Roman" w:eastAsia="Times New Roman" w:hAnsi="Times New Roman" w:cs="Times New Roman"/>
          <w:i/>
          <w:sz w:val="24"/>
          <w:szCs w:val="24"/>
        </w:rPr>
        <w:t>γ</w:t>
      </w:r>
      <w:r>
        <w:rPr>
          <w:rFonts w:ascii="Times New Roman" w:eastAsia="Times New Roman" w:hAnsi="Times New Roman" w:cs="Times New Roman"/>
          <w:i/>
          <w:sz w:val="24"/>
          <w:szCs w:val="24"/>
          <w:vertAlign w:val="subscript"/>
        </w:rPr>
        <w:t>s</w:t>
      </w:r>
      <w:r>
        <w:rPr>
          <w:rFonts w:ascii="Times New Roman" w:eastAsia="Times New Roman" w:hAnsi="Times New Roman" w:cs="Times New Roman"/>
          <w:sz w:val="24"/>
          <w:szCs w:val="24"/>
        </w:rPr>
        <w:t xml:space="preserve">) and thus explicitly accounts for species-specific differences in the (non-linear) distance-abundance relationship. We included a correlation structure between intercepts and slopes such that the pairs of </w:t>
      </w:r>
      <w:r>
        <w:rPr>
          <w:rFonts w:ascii="Times New Roman" w:eastAsia="Times New Roman" w:hAnsi="Times New Roman" w:cs="Times New Roman"/>
          <w:i/>
          <w:sz w:val="24"/>
          <w:szCs w:val="24"/>
        </w:rPr>
        <w:t>α</w:t>
      </w:r>
      <w:r>
        <w:rPr>
          <w:rFonts w:ascii="Times New Roman" w:eastAsia="Times New Roman" w:hAnsi="Times New Roman" w:cs="Times New Roman"/>
          <w:i/>
          <w:sz w:val="24"/>
          <w:szCs w:val="24"/>
          <w:vertAlign w:val="subscript"/>
        </w:rPr>
        <w:t>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β</w:t>
      </w:r>
      <w:r>
        <w:rPr>
          <w:rFonts w:ascii="Times New Roman" w:eastAsia="Times New Roman" w:hAnsi="Times New Roman" w:cs="Times New Roman"/>
          <w:i/>
          <w:sz w:val="24"/>
          <w:szCs w:val="24"/>
          <w:vertAlign w:val="subscript"/>
        </w:rPr>
        <w:t>s</w:t>
      </w:r>
      <w:r>
        <w:rPr>
          <w:rFonts w:ascii="Times New Roman" w:eastAsia="Times New Roman" w:hAnsi="Times New Roman" w:cs="Times New Roman"/>
          <w:sz w:val="24"/>
          <w:szCs w:val="24"/>
        </w:rPr>
        <w:t xml:space="preserve"> from the same species are assumed to come from a multivariate normal distribution (MVN) with mean vector </w:t>
      </w:r>
      <w:r>
        <w:rPr>
          <w:rFonts w:ascii="Times New Roman" w:eastAsia="Times New Roman" w:hAnsi="Times New Roman" w:cs="Times New Roman"/>
          <w:i/>
          <w:sz w:val="24"/>
          <w:szCs w:val="24"/>
        </w:rPr>
        <w:t>μ</w:t>
      </w:r>
      <w:r>
        <w:rPr>
          <w:rFonts w:ascii="Times New Roman" w:eastAsia="Times New Roman" w:hAnsi="Times New Roman" w:cs="Times New Roman"/>
          <w:sz w:val="24"/>
          <w:szCs w:val="24"/>
        </w:rPr>
        <w:t xml:space="preserve"> and variance–covariance matrix </w:t>
      </w:r>
      <w:r>
        <w:rPr>
          <w:rFonts w:ascii="Times New Roman" w:eastAsia="Times New Roman" w:hAnsi="Times New Roman" w:cs="Times New Roman"/>
          <w:i/>
          <w:sz w:val="24"/>
          <w:szCs w:val="24"/>
        </w:rPr>
        <w:t>Σ</w:t>
      </w:r>
      <w:r>
        <w:rPr>
          <w:rFonts w:ascii="Times New Roman" w:eastAsia="Times New Roman" w:hAnsi="Times New Roman" w:cs="Times New Roman"/>
          <w:sz w:val="24"/>
          <w:szCs w:val="24"/>
        </w:rPr>
        <w:t>. The latter is determined by the variances of intercepts (</w:t>
      </w:r>
      <m:oMath>
        <m:sSubSup>
          <m:sSubSupPr>
            <m:ctrlPr>
              <w:rPr>
                <w:rFonts w:ascii="Times New Roman" w:eastAsia="Times New Roman" w:hAnsi="Times New Roman" w:cs="Times New Roman"/>
                <w:sz w:val="24"/>
                <w:szCs w:val="24"/>
              </w:rPr>
            </m:ctrlPr>
          </m:sSubSupPr>
          <m:e>
            <m:r>
              <w:rPr>
                <w:rFonts w:ascii="Cambria Math" w:hAnsi="Cambria Math"/>
              </w:rPr>
              <m:t>σ</m:t>
            </m:r>
          </m:e>
          <m:sub>
            <m:r>
              <w:rPr>
                <w:rFonts w:ascii="Cambria Math" w:hAnsi="Cambria Math"/>
              </w:rPr>
              <m:t>α</m:t>
            </m:r>
          </m:sub>
          <m:sup>
            <m:r>
              <w:rPr>
                <w:rFonts w:ascii="Times New Roman" w:eastAsia="Times New Roman" w:hAnsi="Times New Roman" w:cs="Times New Roman"/>
                <w:sz w:val="24"/>
                <w:szCs w:val="24"/>
              </w:rPr>
              <m:t>²</m:t>
            </m:r>
          </m:sup>
        </m:sSubSup>
      </m:oMath>
      <w:r>
        <w:rPr>
          <w:rFonts w:ascii="Times New Roman" w:eastAsia="Times New Roman" w:hAnsi="Times New Roman" w:cs="Times New Roman"/>
          <w:sz w:val="24"/>
          <w:szCs w:val="24"/>
        </w:rPr>
        <w:t>) and slopes (</w:t>
      </w:r>
      <m:oMath>
        <m:sSubSup>
          <m:sSubSupPr>
            <m:ctrlPr>
              <w:rPr>
                <w:rFonts w:ascii="Times New Roman" w:eastAsia="Times New Roman" w:hAnsi="Times New Roman" w:cs="Times New Roman"/>
                <w:sz w:val="24"/>
                <w:szCs w:val="24"/>
              </w:rPr>
            </m:ctrlPr>
          </m:sSubSupPr>
          <m:e>
            <m:r>
              <w:rPr>
                <w:rFonts w:ascii="Cambria Math" w:hAnsi="Cambria Math"/>
              </w:rPr>
              <m:t>σ</m:t>
            </m:r>
          </m:e>
          <m:sub>
            <m:r>
              <w:rPr>
                <w:rFonts w:ascii="Cambria Math" w:hAnsi="Cambria Math"/>
              </w:rPr>
              <m:t>β</m:t>
            </m:r>
          </m:sub>
          <m:sup>
            <m:r>
              <w:rPr>
                <w:rFonts w:ascii="Times New Roman" w:eastAsia="Times New Roman" w:hAnsi="Times New Roman" w:cs="Times New Roman"/>
                <w:sz w:val="24"/>
                <w:szCs w:val="24"/>
              </w:rPr>
              <m:t>²</m:t>
            </m:r>
          </m:sup>
        </m:sSubSup>
      </m:oMath>
      <w:r>
        <w:rPr>
          <w:rFonts w:ascii="Times New Roman" w:eastAsia="Times New Roman" w:hAnsi="Times New Roman" w:cs="Times New Roman"/>
          <w:sz w:val="24"/>
          <w:szCs w:val="24"/>
        </w:rPr>
        <w:t xml:space="preserve">) and the correlation between </w:t>
      </w:r>
      <w:r>
        <w:rPr>
          <w:rFonts w:ascii="Times New Roman" w:eastAsia="Times New Roman" w:hAnsi="Times New Roman" w:cs="Times New Roman"/>
          <w:i/>
          <w:sz w:val="24"/>
          <w:szCs w:val="24"/>
        </w:rPr>
        <w:t>α</w:t>
      </w:r>
      <w:r>
        <w:rPr>
          <w:rFonts w:ascii="Times New Roman" w:eastAsia="Times New Roman" w:hAnsi="Times New Roman" w:cs="Times New Roman"/>
          <w:i/>
          <w:sz w:val="24"/>
          <w:szCs w:val="24"/>
          <w:vertAlign w:val="subscript"/>
        </w:rPr>
        <w:t>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β</w:t>
      </w:r>
      <w:r>
        <w:rPr>
          <w:rFonts w:ascii="Times New Roman" w:eastAsia="Times New Roman" w:hAnsi="Times New Roman" w:cs="Times New Roman"/>
          <w:i/>
          <w:sz w:val="24"/>
          <w:szCs w:val="24"/>
          <w:vertAlign w:val="subscript"/>
        </w:rPr>
        <w:t>s</w:t>
      </w: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hAnsi="Cambria Math"/>
              </w:rPr>
              <m:t>ρ</m:t>
            </m:r>
          </m:e>
          <m:sub>
            <m:r>
              <w:rPr>
                <w:rFonts w:ascii="Cambria Math" w:eastAsia="Cambria Math" w:hAnsi="Cambria Math" w:cs="Cambria Math"/>
                <w:sz w:val="24"/>
                <w:szCs w:val="24"/>
              </w:rPr>
              <m:t>αβ</m:t>
            </m:r>
          </m:sub>
        </m:sSub>
      </m:oMath>
      <w:r>
        <w:rPr>
          <w:rFonts w:ascii="Times New Roman" w:eastAsia="Times New Roman" w:hAnsi="Times New Roman" w:cs="Times New Roman"/>
          <w:sz w:val="24"/>
          <w:szCs w:val="24"/>
        </w:rPr>
        <w:t xml:space="preserve">). The mean vector </w:t>
      </w:r>
      <w:r>
        <w:rPr>
          <w:rFonts w:ascii="Times New Roman" w:eastAsia="Times New Roman" w:hAnsi="Times New Roman" w:cs="Times New Roman"/>
          <w:i/>
          <w:sz w:val="24"/>
          <w:szCs w:val="24"/>
        </w:rPr>
        <w:t>μ</w:t>
      </w:r>
      <w:r>
        <w:rPr>
          <w:rFonts w:ascii="Times New Roman" w:eastAsia="Times New Roman" w:hAnsi="Times New Roman" w:cs="Times New Roman"/>
          <w:sz w:val="24"/>
          <w:szCs w:val="24"/>
        </w:rPr>
        <w:t xml:space="preserve"> is characterized by parameters </w:t>
      </w:r>
      <w:r>
        <w:rPr>
          <w:rFonts w:ascii="Times New Roman" w:eastAsia="Times New Roman" w:hAnsi="Times New Roman" w:cs="Times New Roman"/>
          <w:i/>
          <w:sz w:val="24"/>
          <w:szCs w:val="24"/>
        </w:rPr>
        <w:t>µ</w:t>
      </w:r>
      <w:r>
        <w:rPr>
          <w:rFonts w:ascii="Times New Roman" w:eastAsia="Times New Roman" w:hAnsi="Times New Roman" w:cs="Times New Roman"/>
          <w:i/>
          <w:sz w:val="24"/>
          <w:szCs w:val="24"/>
          <w:vertAlign w:val="subscript"/>
        </w:rPr>
        <w:t>α</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µ</w:t>
      </w:r>
      <w:r>
        <w:rPr>
          <w:rFonts w:ascii="Times New Roman" w:eastAsia="Times New Roman" w:hAnsi="Times New Roman" w:cs="Times New Roman"/>
          <w:i/>
          <w:sz w:val="24"/>
          <w:szCs w:val="24"/>
          <w:vertAlign w:val="subscript"/>
        </w:rPr>
        <w:t>β</w:t>
      </w:r>
      <w:r>
        <w:rPr>
          <w:rFonts w:ascii="Times New Roman" w:eastAsia="Times New Roman" w:hAnsi="Times New Roman" w:cs="Times New Roman"/>
          <w:sz w:val="24"/>
          <w:szCs w:val="24"/>
        </w:rPr>
        <w:t xml:space="preserve"> representing the intercept and the slope at the group scale. Species-specific quadratic terms (</w:t>
      </w:r>
      <w:r>
        <w:rPr>
          <w:rFonts w:ascii="Times New Roman" w:eastAsia="Times New Roman" w:hAnsi="Times New Roman" w:cs="Times New Roman"/>
          <w:i/>
          <w:sz w:val="24"/>
          <w:szCs w:val="24"/>
        </w:rPr>
        <w:t>γ</w:t>
      </w:r>
      <w:r>
        <w:rPr>
          <w:rFonts w:ascii="Times New Roman" w:eastAsia="Times New Roman" w:hAnsi="Times New Roman" w:cs="Times New Roman"/>
          <w:i/>
          <w:sz w:val="24"/>
          <w:szCs w:val="24"/>
          <w:vertAlign w:val="subscript"/>
        </w:rPr>
        <w:t>s</w:t>
      </w:r>
      <w:r>
        <w:rPr>
          <w:rFonts w:ascii="Times New Roman" w:eastAsia="Times New Roman" w:hAnsi="Times New Roman" w:cs="Times New Roman"/>
          <w:sz w:val="24"/>
          <w:szCs w:val="24"/>
        </w:rPr>
        <w:t xml:space="preserve">) were assumed to follow a normal distribution with mean </w:t>
      </w:r>
      <w:r>
        <w:rPr>
          <w:rFonts w:ascii="Times New Roman" w:eastAsia="Times New Roman" w:hAnsi="Times New Roman" w:cs="Times New Roman"/>
          <w:i/>
          <w:sz w:val="24"/>
          <w:szCs w:val="24"/>
        </w:rPr>
        <w:t>µ</w:t>
      </w:r>
      <w:r>
        <w:rPr>
          <w:rFonts w:ascii="Times New Roman" w:eastAsia="Times New Roman" w:hAnsi="Times New Roman" w:cs="Times New Roman"/>
          <w:i/>
          <w:sz w:val="24"/>
          <w:szCs w:val="24"/>
          <w:vertAlign w:val="subscript"/>
        </w:rPr>
        <w:t>γ</w:t>
      </w:r>
      <w:r>
        <w:rPr>
          <w:rFonts w:ascii="Times New Roman" w:eastAsia="Times New Roman" w:hAnsi="Times New Roman" w:cs="Times New Roman"/>
          <w:sz w:val="24"/>
          <w:szCs w:val="24"/>
        </w:rPr>
        <w:t xml:space="preserve"> representing the average quadratic effect at the group scale and standard deviation σ</w:t>
      </w:r>
      <w:r>
        <w:rPr>
          <w:rFonts w:ascii="Times New Roman" w:eastAsia="Times New Roman" w:hAnsi="Times New Roman" w:cs="Times New Roman"/>
          <w:sz w:val="24"/>
          <w:szCs w:val="24"/>
          <w:vertAlign w:val="subscript"/>
        </w:rPr>
        <w:t xml:space="preserve">γ </w:t>
      </w:r>
      <w:r>
        <w:rPr>
          <w:rFonts w:ascii="Times New Roman" w:eastAsia="Times New Roman" w:hAnsi="Times New Roman" w:cs="Times New Roman"/>
          <w:sz w:val="24"/>
          <w:szCs w:val="24"/>
        </w:rPr>
        <w:t xml:space="preserve">representing among-species variations in quadratic coefficients. Importantly, because the three sets of species-specific parameters are assumed to come from the same distribution, information about the distance-abundance relationship is shared across species. In this modelling framework, species presenting a large number of populations have more weights in the likelihood and therefore have more influence on the overall distance-abundance relationship </w:t>
      </w:r>
      <w:r w:rsidR="00F46539">
        <w:rPr>
          <w:rFonts w:ascii="Times New Roman" w:eastAsia="Times New Roman" w:hAnsi="Times New Roman" w:cs="Times New Roman"/>
          <w:sz w:val="24"/>
          <w:szCs w:val="24"/>
        </w:rPr>
        <w:fldChar w:fldCharType="begin" w:fldLock="1"/>
      </w:r>
      <w:r w:rsidR="00F46539">
        <w:rPr>
          <w:rFonts w:ascii="Times New Roman" w:eastAsia="Times New Roman" w:hAnsi="Times New Roman" w:cs="Times New Roman"/>
          <w:sz w:val="24"/>
          <w:szCs w:val="24"/>
        </w:rPr>
        <w:instrText>ADDIN CSL_CITATION {"citationItems":[{"id":"ITEM-1","itemData":{"author":[{"dropping-particle":"","family":"Gelman","given":"Andrew","non-dropping-particle":"","parse-names":false,"suffix":""},{"dropping-particle":"","family":"Carlin","given":"John B","non-dropping-particle":"","parse-names":false,"suffix":""},{"dropping-particle":"","family":"Stern","given":"Hal S","non-dropping-particle":"","parse-names":false,"suffix":""},{"dropping-particle":"","family":"Dunson","given":"David B","non-dropping-particle":"","parse-names":false,"suffix":""},{"dropping-particle":"","family":"Vehtari","given":"Aki","non-dropping-particle":"","parse-names":false,"suffix":""},{"dropping-particle":"","family":"Rubin","given":"Donald B","non-dropping-particle":"","parse-names":false,"suffix":""}],"id":"ITEM-1","issued":{"date-parts":[["2013"]]},"publisher":"Chapman and Hall/CRC","title":"Bayesian data analysis","type":"book"},"uris":["http://www.mendeley.com/documents/?uuid=0623c2e6-b9ec-4d01-b27b-be135871eba5"]}],"mendeley":{"formattedCitation":"(Gelman &lt;i&gt;et al.&lt;/i&gt;, 2013)","plainTextFormattedCitation":"(Gelman et al., 2013)","previouslyFormattedCitation":"(Gelman &lt;i&gt;et al.&lt;/i&gt;, 2013)"},"properties":{"noteIndex":0},"schema":"https://github.com/citation-style-language/schema/raw/master/csl-citation.json"}</w:instrText>
      </w:r>
      <w:r w:rsidR="00F46539">
        <w:rPr>
          <w:rFonts w:ascii="Times New Roman" w:eastAsia="Times New Roman" w:hAnsi="Times New Roman" w:cs="Times New Roman"/>
          <w:sz w:val="24"/>
          <w:szCs w:val="24"/>
        </w:rPr>
        <w:fldChar w:fldCharType="separate"/>
      </w:r>
      <w:r w:rsidR="00F46539" w:rsidRPr="00F46539">
        <w:rPr>
          <w:rFonts w:ascii="Times New Roman" w:eastAsia="Times New Roman" w:hAnsi="Times New Roman" w:cs="Times New Roman"/>
          <w:noProof/>
          <w:sz w:val="24"/>
          <w:szCs w:val="24"/>
        </w:rPr>
        <w:t xml:space="preserve">(Gelman </w:t>
      </w:r>
      <w:r w:rsidR="00F46539" w:rsidRPr="00F46539">
        <w:rPr>
          <w:rFonts w:ascii="Times New Roman" w:eastAsia="Times New Roman" w:hAnsi="Times New Roman" w:cs="Times New Roman"/>
          <w:i/>
          <w:noProof/>
          <w:sz w:val="24"/>
          <w:szCs w:val="24"/>
        </w:rPr>
        <w:t>et al.</w:t>
      </w:r>
      <w:r w:rsidR="00F46539" w:rsidRPr="00F46539">
        <w:rPr>
          <w:rFonts w:ascii="Times New Roman" w:eastAsia="Times New Roman" w:hAnsi="Times New Roman" w:cs="Times New Roman"/>
          <w:noProof/>
          <w:sz w:val="24"/>
          <w:szCs w:val="24"/>
        </w:rPr>
        <w:t>, 2013)</w:t>
      </w:r>
      <w:r w:rsidR="00F4653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lastRenderedPageBreak/>
        <w:t>consequence is that parameter estimates for species presenting a low number of population tend to be shrunk toward the value of hyper-parameters (</w:t>
      </w:r>
      <w:r>
        <w:rPr>
          <w:rFonts w:ascii="Times New Roman" w:eastAsia="Times New Roman" w:hAnsi="Times New Roman" w:cs="Times New Roman"/>
          <w:i/>
          <w:sz w:val="24"/>
          <w:szCs w:val="24"/>
        </w:rPr>
        <w:t>µ</w:t>
      </w:r>
      <w:r>
        <w:rPr>
          <w:rFonts w:ascii="Times New Roman" w:eastAsia="Times New Roman" w:hAnsi="Times New Roman" w:cs="Times New Roman"/>
          <w:i/>
          <w:sz w:val="24"/>
          <w:szCs w:val="24"/>
          <w:vertAlign w:val="subscript"/>
        </w:rPr>
        <w:t>α</w:t>
      </w:r>
      <w:r>
        <w:rPr>
          <w:rFonts w:ascii="Times New Roman" w:eastAsia="Times New Roman" w:hAnsi="Times New Roman" w:cs="Times New Roman"/>
          <w:sz w:val="24"/>
          <w:szCs w:val="24"/>
          <w:vertAlign w:val="subscript"/>
        </w:rPr>
        <w:t>,</w:t>
      </w:r>
      <w:r>
        <w:rPr>
          <w:rFonts w:ascii="Times New Roman" w:eastAsia="Times New Roman" w:hAnsi="Times New Roman" w:cs="Times New Roman"/>
          <w:i/>
          <w:sz w:val="24"/>
          <w:szCs w:val="24"/>
        </w:rPr>
        <w:t xml:space="preserve"> µ</w:t>
      </w:r>
      <w:r>
        <w:rPr>
          <w:rFonts w:ascii="Times New Roman" w:eastAsia="Times New Roman" w:hAnsi="Times New Roman" w:cs="Times New Roman"/>
          <w:i/>
          <w:sz w:val="24"/>
          <w:szCs w:val="24"/>
          <w:vertAlign w:val="subscript"/>
        </w:rPr>
        <w:t>β</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i/>
          <w:sz w:val="24"/>
          <w:szCs w:val="24"/>
        </w:rPr>
        <w:t>µ</w:t>
      </w:r>
      <w:r>
        <w:rPr>
          <w:rFonts w:ascii="Times New Roman" w:eastAsia="Times New Roman" w:hAnsi="Times New Roman" w:cs="Times New Roman"/>
          <w:i/>
          <w:sz w:val="24"/>
          <w:szCs w:val="24"/>
          <w:vertAlign w:val="subscript"/>
        </w:rPr>
        <w:t>γ</w:t>
      </w:r>
      <w:r>
        <w:rPr>
          <w:rFonts w:ascii="Times New Roman" w:eastAsia="Times New Roman" w:hAnsi="Times New Roman" w:cs="Times New Roman"/>
          <w:sz w:val="24"/>
          <w:szCs w:val="24"/>
        </w:rPr>
        <w:t>). This shrinkage procedure is recommended to reduce the effect of sampling noise</w:t>
      </w:r>
      <w:r w:rsidR="00F46539">
        <w:rPr>
          <w:rFonts w:ascii="Times New Roman" w:eastAsia="Times New Roman" w:hAnsi="Times New Roman" w:cs="Times New Roman"/>
          <w:sz w:val="24"/>
          <w:szCs w:val="24"/>
        </w:rPr>
        <w:t xml:space="preserve"> </w:t>
      </w:r>
      <w:r w:rsidR="00F46539">
        <w:rPr>
          <w:rFonts w:ascii="Times New Roman" w:eastAsia="Times New Roman" w:hAnsi="Times New Roman" w:cs="Times New Roman"/>
          <w:sz w:val="24"/>
          <w:szCs w:val="24"/>
        </w:rPr>
        <w:fldChar w:fldCharType="begin" w:fldLock="1"/>
      </w:r>
      <w:r w:rsidR="00F46539">
        <w:rPr>
          <w:rFonts w:ascii="Times New Roman" w:eastAsia="Times New Roman" w:hAnsi="Times New Roman" w:cs="Times New Roman"/>
          <w:sz w:val="24"/>
          <w:szCs w:val="24"/>
        </w:rPr>
        <w:instrText>ADDIN CSL_CITATION {"citationItems":[{"id":"ITEM-1","itemData":{"author":[{"dropping-particle":"","family":"Gelman","given":"Andrew","non-dropping-particle":"","parse-names":false,"suffix":""},{"dropping-particle":"","family":"Carlin","given":"John B","non-dropping-particle":"","parse-names":false,"suffix":""},{"dropping-particle":"","family":"Stern","given":"Hal S","non-dropping-particle":"","parse-names":false,"suffix":""},{"dropping-particle":"","family":"Dunson","given":"David B","non-dropping-particle":"","parse-names":false,"suffix":""},{"dropping-particle":"","family":"Vehtari","given":"Aki","non-dropping-particle":"","parse-names":false,"suffix":""},{"dropping-particle":"","family":"Rubin","given":"Donald B","non-dropping-particle":"","parse-names":false,"suffix":""}],"id":"ITEM-1","issued":{"date-parts":[["2013"]]},"publisher":"Chapman and Hall/CRC","title":"Bayesian data analysis","type":"book"},"uris":["http://www.mendeley.com/documents/?uuid=0623c2e6-b9ec-4d01-b27b-be135871eba5"]},{"id":"ITEM-2","itemData":{"author":[{"dropping-particle":"","family":"Kruschke","given":"John","non-dropping-particle":"","parse-names":false,"suffix":""}],"id":"ITEM-2","issued":{"date-parts":[["2014"]]},"publisher":"Academic Press","title":"Doing Bayesian data analysis: A tutorial with R, JAGS, and Stan","type":"book"},"uris":["http://www.mendeley.com/documents/?uuid=0732a60c-3094-470c-9e91-6de84f23c2cd"]},{"id":"ITEM-3","itemData":{"DOI":"10.7717/peerj.4794","ISSN":"21678359","abstract":"The use of linear mixed effects models (LMMs) is increasingly common in the analysis of biological data. Whilst LMMs offer a flexible approach to modelling a broad range of data types, ecological data are often complex and require complex model structures, and the fitting and interpretation of such models is not always straightforward. The ability to achieve robust biological inference requires that practitioners know how and when to apply these tools. Here, we provide a general overview of current methods for the application of LMMs to biological data, and highlight the typical pitfalls that can be encountered in the statistical modelling process. We tackle several issues regarding methods of model selection, with particular reference to the use of information theory and multi-model inference in ecology. We offer practical solutions and direct the reader to key references that provide further technical detail for those seeking a deeper understanding. This overview should serve as a widely accessible code of best practice for applying LMMs to complex biological problems and model structures, and in doing so improve the robustness of conclusions drawn from studies investigating ecological and evolutionary questions.","author":[{"dropping-particle":"","family":"Harrison","given":"Xavier A.","non-dropping-particle":"","parse-names":false,"suffix":""},{"dropping-particle":"","family":"Donaldson","given":"Lynda","non-dropping-particle":"","parse-names":false,"suffix":""},{"dropping-particle":"","family":"Correa-Cano","given":"Maria Eugenia","non-dropping-particle":"","parse-names":false,"suffix":""},{"dropping-particle":"","family":"Evans","given":"Julian","non-dropping-particle":"","parse-names":false,"suffix":""},{"dropping-particle":"","family":"Fisher","given":"David N.","non-dropping-particle":"","parse-names":false,"suffix":""},{"dropping-particle":"","family":"Goodwin","given":"Cecily E.D.","non-dropping-particle":"","parse-names":false,"suffix":""},{"dropping-particle":"","family":"Robinson","given":"Beth S.","non-dropping-particle":"","parse-names":false,"suffix":""},{"dropping-particle":"","family":"Hodgson","given":"David J.","non-dropping-particle":"","parse-names":false,"suffix":""},{"dropping-particle":"","family":"Inger","given":"Richard","non-dropping-particle":"","parse-names":false,"suffix":""}],"container-title":"PeerJ","id":"ITEM-3","issue":"5","issued":{"date-parts":[["2018"]]},"page":"1-32","title":"A brief introduction to mixed effects modelling and multi-model inference in ecology","type":"article-journal","volume":"2018"},"uris":["http://www.mendeley.com/documents/?uuid=bfdf1e63-568e-4730-9244-490fc2e4624e"]}],"mendeley":{"formattedCitation":"(Gelman &lt;i&gt;et al.&lt;/i&gt;, 2013; Kruschke, 2014; Harrison &lt;i&gt;et al.&lt;/i&gt;, 2018)","plainTextFormattedCitation":"(Gelman et al., 2013; Kruschke, 2014; Harrison et al., 2018)","previouslyFormattedCitation":"(Gelman &lt;i&gt;et al.&lt;/i&gt;, 2013; Kruschke, 2014; Harrison &lt;i&gt;et al.&lt;/i&gt;, 2018)"},"properties":{"noteIndex":0},"schema":"https://github.com/citation-style-language/schema/raw/master/csl-citation.json"}</w:instrText>
      </w:r>
      <w:r w:rsidR="00F46539">
        <w:rPr>
          <w:rFonts w:ascii="Times New Roman" w:eastAsia="Times New Roman" w:hAnsi="Times New Roman" w:cs="Times New Roman"/>
          <w:sz w:val="24"/>
          <w:szCs w:val="24"/>
        </w:rPr>
        <w:fldChar w:fldCharType="separate"/>
      </w:r>
      <w:r w:rsidR="00F46539" w:rsidRPr="00F46539">
        <w:rPr>
          <w:rFonts w:ascii="Times New Roman" w:eastAsia="Times New Roman" w:hAnsi="Times New Roman" w:cs="Times New Roman"/>
          <w:noProof/>
          <w:sz w:val="24"/>
          <w:szCs w:val="24"/>
        </w:rPr>
        <w:t xml:space="preserve">(Gelman </w:t>
      </w:r>
      <w:r w:rsidR="00F46539" w:rsidRPr="00F46539">
        <w:rPr>
          <w:rFonts w:ascii="Times New Roman" w:eastAsia="Times New Roman" w:hAnsi="Times New Roman" w:cs="Times New Roman"/>
          <w:i/>
          <w:noProof/>
          <w:sz w:val="24"/>
          <w:szCs w:val="24"/>
        </w:rPr>
        <w:t>et al.</w:t>
      </w:r>
      <w:r w:rsidR="00F46539" w:rsidRPr="00F46539">
        <w:rPr>
          <w:rFonts w:ascii="Times New Roman" w:eastAsia="Times New Roman" w:hAnsi="Times New Roman" w:cs="Times New Roman"/>
          <w:noProof/>
          <w:sz w:val="24"/>
          <w:szCs w:val="24"/>
        </w:rPr>
        <w:t xml:space="preserve">, 2013; Kruschke, 2014; Harrison </w:t>
      </w:r>
      <w:r w:rsidR="00F46539" w:rsidRPr="00F46539">
        <w:rPr>
          <w:rFonts w:ascii="Times New Roman" w:eastAsia="Times New Roman" w:hAnsi="Times New Roman" w:cs="Times New Roman"/>
          <w:i/>
          <w:noProof/>
          <w:sz w:val="24"/>
          <w:szCs w:val="24"/>
        </w:rPr>
        <w:t>et al.</w:t>
      </w:r>
      <w:r w:rsidR="00F46539" w:rsidRPr="00F46539">
        <w:rPr>
          <w:rFonts w:ascii="Times New Roman" w:eastAsia="Times New Roman" w:hAnsi="Times New Roman" w:cs="Times New Roman"/>
          <w:noProof/>
          <w:sz w:val="24"/>
          <w:szCs w:val="24"/>
        </w:rPr>
        <w:t>, 2018)</w:t>
      </w:r>
      <w:r w:rsidR="00F4653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505E5E" w:rsidRDefault="007601E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Parameters were estimated within a Bayesian framework with posterior samples obtained by MCMC sampling using JAGS </w:t>
      </w:r>
      <w:r w:rsidR="00F46539">
        <w:rPr>
          <w:rFonts w:ascii="Times New Roman" w:eastAsia="Times New Roman" w:hAnsi="Times New Roman" w:cs="Times New Roman"/>
          <w:sz w:val="24"/>
          <w:szCs w:val="24"/>
        </w:rPr>
        <w:fldChar w:fldCharType="begin" w:fldLock="1"/>
      </w:r>
      <w:r w:rsidR="00F46539">
        <w:rPr>
          <w:rFonts w:ascii="Times New Roman" w:eastAsia="Times New Roman" w:hAnsi="Times New Roman" w:cs="Times New Roman"/>
          <w:sz w:val="24"/>
          <w:szCs w:val="24"/>
        </w:rPr>
        <w:instrText>ADDIN CSL_CITATION {"citationItems":[{"id":"ITEM-1","itemData":{"DOI":"10.1.1.13.3406","ISBN":"ISSN 1609-395X","ISSN":"1609395X","abstract":"JAGS is a program for Bayesian Graphical modelling which aims for compatibility with classic BUGS. The program could eventually be developed as an R package. This article explains the motivations for this program, briefly describes the architecture and then discusses some ideas for a vectorized form of the BUGS language. 1","author":[{"dropping-particle":"","family":"Plummer","given":"Martyn","non-dropping-particle":"","parse-names":false,"suffix":""}],"container-title":"Proceedings of the 3rd International Workshop on Distributed Statistical Computing (DSC 2003)","editor":[{"dropping-particle":"","family":"Hornik","given":"K","non-dropping-particle":"","parse-names":false,"suffix":""},{"dropping-particle":"","family":"Leisch","given":"F","non-dropping-particle":"","parse-names":false,"suffix":""},{"dropping-particle":"","family":"Zeileis","given":"A","non-dropping-particle":"","parse-names":false,"suffix":""}],"id":"ITEM-1","issued":{"date-parts":[["2003"]]},"publisher-place":"Vienna, Austria","title":"JAGS: A program for analysis of Bayesian graphical models using Gibbs sampling","type":"paper-conference"},"uris":["http://www.mendeley.com/documents/?uuid=9e937aab-0c3a-4a04-bae0-46ef737dd414"]}],"mendeley":{"formattedCitation":"(Plummer, 2003)","plainTextFormattedCitation":"(Plummer, 2003)","previouslyFormattedCitation":"(Plummer, 2003)"},"properties":{"noteIndex":0},"schema":"https://github.com/citation-style-language/schema/raw/master/csl-citation.json"}</w:instrText>
      </w:r>
      <w:r w:rsidR="00F46539">
        <w:rPr>
          <w:rFonts w:ascii="Times New Roman" w:eastAsia="Times New Roman" w:hAnsi="Times New Roman" w:cs="Times New Roman"/>
          <w:sz w:val="24"/>
          <w:szCs w:val="24"/>
        </w:rPr>
        <w:fldChar w:fldCharType="separate"/>
      </w:r>
      <w:r w:rsidR="00F46539" w:rsidRPr="00F46539">
        <w:rPr>
          <w:rFonts w:ascii="Times New Roman" w:eastAsia="Times New Roman" w:hAnsi="Times New Roman" w:cs="Times New Roman"/>
          <w:noProof/>
          <w:sz w:val="24"/>
          <w:szCs w:val="24"/>
        </w:rPr>
        <w:t>(Plummer, 2003)</w:t>
      </w:r>
      <w:r w:rsidR="00F4653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run through the R environment </w:t>
      </w:r>
      <w:r w:rsidR="00F46539">
        <w:rPr>
          <w:rFonts w:ascii="Times New Roman" w:eastAsia="Times New Roman" w:hAnsi="Times New Roman" w:cs="Times New Roman"/>
          <w:sz w:val="24"/>
          <w:szCs w:val="24"/>
        </w:rPr>
        <w:fldChar w:fldCharType="begin" w:fldLock="1"/>
      </w:r>
      <w:r w:rsidR="00F46539">
        <w:rPr>
          <w:rFonts w:ascii="Times New Roman" w:eastAsia="Times New Roman" w:hAnsi="Times New Roman" w:cs="Times New Roman"/>
          <w:sz w:val="24"/>
          <w:szCs w:val="24"/>
        </w:rPr>
        <w:instrText>ADDIN CSL_CITATION {"citationItems":[{"id":"ITEM-1","itemData":{"URL":"https://www.r-project.org/","author":[{"dropping-particle":"","family":"R Core Team","given":"","non-dropping-particle":"","parse-names":false,"suffix":""}],"id":"ITEM-1","issued":{"date-parts":[["2019"]]},"publisher-place":"Vienna, Austria","title":"R: A Language and Environment for Statistical Computing","type":"webpage"},"uris":["http://www.mendeley.com/documents/?uuid=1293198c-f424-4f9a-9729-f090821244d6"]}],"mendeley":{"formattedCitation":"(R Core Team, 2019)","plainTextFormattedCitation":"(R Core Team, 2019)","previouslyFormattedCitation":"(R Core Team, 2019)"},"properties":{"noteIndex":0},"schema":"https://github.com/citation-style-language/schema/raw/master/csl-citation.json"}</w:instrText>
      </w:r>
      <w:r w:rsidR="00F46539">
        <w:rPr>
          <w:rFonts w:ascii="Times New Roman" w:eastAsia="Times New Roman" w:hAnsi="Times New Roman" w:cs="Times New Roman"/>
          <w:sz w:val="24"/>
          <w:szCs w:val="24"/>
        </w:rPr>
        <w:fldChar w:fldCharType="separate"/>
      </w:r>
      <w:r w:rsidR="00F46539" w:rsidRPr="00F46539">
        <w:rPr>
          <w:rFonts w:ascii="Times New Roman" w:eastAsia="Times New Roman" w:hAnsi="Times New Roman" w:cs="Times New Roman"/>
          <w:noProof/>
          <w:sz w:val="24"/>
          <w:szCs w:val="24"/>
        </w:rPr>
        <w:t>(R Core Team, 2019)</w:t>
      </w:r>
      <w:r w:rsidR="00F4653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the package R2jags </w:t>
      </w:r>
      <w:r w:rsidR="00F46539">
        <w:rPr>
          <w:rFonts w:ascii="Times New Roman" w:eastAsia="Times New Roman" w:hAnsi="Times New Roman" w:cs="Times New Roman"/>
          <w:sz w:val="24"/>
          <w:szCs w:val="24"/>
        </w:rPr>
        <w:fldChar w:fldCharType="begin" w:fldLock="1"/>
      </w:r>
      <w:r w:rsidR="00F46539">
        <w:rPr>
          <w:rFonts w:ascii="Times New Roman" w:eastAsia="Times New Roman" w:hAnsi="Times New Roman" w:cs="Times New Roman"/>
          <w:sz w:val="24"/>
          <w:szCs w:val="24"/>
        </w:rPr>
        <w:instrText>ADDIN CSL_CITATION {"citationItems":[{"id":"ITEM-1","itemData":{"URL":"http://cran.r-project.org/package=R2jags","author":[{"dropping-particle":"","family":"Su","given":"Yu-Sung","non-dropping-particle":"","parse-names":false,"suffix":""},{"dropping-particle":"","family":"Yajima","given":"Masanao","non-dropping-particle":"","parse-names":false,"suffix":""}],"id":"ITEM-1","issued":{"date-parts":[["2013"]]},"note":"R package version 0.03-11","title":"R2jags: A Package for Running jags from R","type":"webpage"},"uris":["http://www.mendeley.com/documents/?uuid=b9255369-3625-4519-a57a-d6997919b6a9"]}],"mendeley":{"formattedCitation":"(Su &amp; Yajima, 2013)","plainTextFormattedCitation":"(Su &amp; Yajima, 2013)","previouslyFormattedCitation":"(Su &amp; Yajima, 2013)"},"properties":{"noteIndex":0},"schema":"https://github.com/citation-style-language/schema/raw/master/csl-citation.json"}</w:instrText>
      </w:r>
      <w:r w:rsidR="00F46539">
        <w:rPr>
          <w:rFonts w:ascii="Times New Roman" w:eastAsia="Times New Roman" w:hAnsi="Times New Roman" w:cs="Times New Roman"/>
          <w:sz w:val="24"/>
          <w:szCs w:val="24"/>
        </w:rPr>
        <w:fldChar w:fldCharType="separate"/>
      </w:r>
      <w:r w:rsidR="00F46539" w:rsidRPr="00F46539">
        <w:rPr>
          <w:rFonts w:ascii="Times New Roman" w:eastAsia="Times New Roman" w:hAnsi="Times New Roman" w:cs="Times New Roman"/>
          <w:noProof/>
          <w:sz w:val="24"/>
          <w:szCs w:val="24"/>
        </w:rPr>
        <w:t>(Su &amp; Yajima, 2013)</w:t>
      </w:r>
      <w:r w:rsidR="00F4653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models were run with three chains with a burn-in of 5,000 and an additional 5,000 iterations with a thinning interval of 10 iterations. For each chain, initial values were selected in different regions of the parameter space.</w:t>
      </w:r>
    </w:p>
    <w:p w:rsidR="00505E5E" w:rsidRDefault="007601E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Regarding priors, we used normal distributions with means zero and large standard deviations (~30) for parameters </w:t>
      </w:r>
      <w:r>
        <w:rPr>
          <w:rFonts w:ascii="Times New Roman" w:eastAsia="Times New Roman" w:hAnsi="Times New Roman" w:cs="Times New Roman"/>
          <w:i/>
          <w:sz w:val="24"/>
          <w:szCs w:val="24"/>
        </w:rPr>
        <w:t>µ</w:t>
      </w:r>
      <w:r>
        <w:rPr>
          <w:rFonts w:ascii="Times New Roman" w:eastAsia="Times New Roman" w:hAnsi="Times New Roman" w:cs="Times New Roman"/>
          <w:i/>
          <w:sz w:val="24"/>
          <w:szCs w:val="24"/>
          <w:vertAlign w:val="subscript"/>
        </w:rPr>
        <w:t>α</w:t>
      </w:r>
      <w:r>
        <w:rPr>
          <w:rFonts w:ascii="Times New Roman" w:eastAsia="Times New Roman" w:hAnsi="Times New Roman" w:cs="Times New Roman"/>
          <w:i/>
          <w:sz w:val="24"/>
          <w:szCs w:val="24"/>
        </w:rPr>
        <w:t>, µ</w:t>
      </w:r>
      <w:r>
        <w:rPr>
          <w:rFonts w:ascii="Times New Roman" w:eastAsia="Times New Roman" w:hAnsi="Times New Roman" w:cs="Times New Roman"/>
          <w:i/>
          <w:sz w:val="24"/>
          <w:szCs w:val="24"/>
          <w:vertAlign w:val="subscript"/>
        </w:rPr>
        <w:t xml:space="preserve">β </w:t>
      </w:r>
      <w:r>
        <w:rPr>
          <w:rFonts w:ascii="Times New Roman" w:eastAsia="Times New Roman" w:hAnsi="Times New Roman" w:cs="Times New Roman"/>
          <w:sz w:val="24"/>
          <w:szCs w:val="24"/>
        </w:rPr>
        <w:t>and</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i/>
          <w:sz w:val="24"/>
          <w:szCs w:val="24"/>
        </w:rPr>
        <w:t>µ</w:t>
      </w:r>
      <w:r>
        <w:rPr>
          <w:rFonts w:ascii="Times New Roman" w:eastAsia="Times New Roman" w:hAnsi="Times New Roman" w:cs="Times New Roman"/>
          <w:i/>
          <w:sz w:val="24"/>
          <w:szCs w:val="24"/>
          <w:vertAlign w:val="subscript"/>
        </w:rPr>
        <w:t>γ</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r>
        <w:rPr>
          <w:rFonts w:ascii="Times New Roman" w:eastAsia="Times New Roman" w:hAnsi="Times New Roman" w:cs="Times New Roman"/>
          <w:sz w:val="24"/>
          <w:szCs w:val="24"/>
        </w:rPr>
        <w:t>For standard deviations associated to process error (σ) and species random effects (σ</w:t>
      </w:r>
      <w:r>
        <w:rPr>
          <w:rFonts w:ascii="Times New Roman" w:eastAsia="Times New Roman" w:hAnsi="Times New Roman" w:cs="Times New Roman"/>
          <w:sz w:val="24"/>
          <w:szCs w:val="24"/>
          <w:vertAlign w:val="subscript"/>
        </w:rPr>
        <w:t>α</w:t>
      </w:r>
      <w:r>
        <w:rPr>
          <w:rFonts w:ascii="Times New Roman" w:eastAsia="Times New Roman" w:hAnsi="Times New Roman" w:cs="Times New Roman"/>
          <w:sz w:val="24"/>
          <w:szCs w:val="24"/>
        </w:rPr>
        <w:t>, σ</w:t>
      </w:r>
      <w:r>
        <w:rPr>
          <w:rFonts w:ascii="Times New Roman" w:eastAsia="Times New Roman" w:hAnsi="Times New Roman" w:cs="Times New Roman"/>
          <w:sz w:val="24"/>
          <w:szCs w:val="24"/>
          <w:vertAlign w:val="subscript"/>
        </w:rPr>
        <w:t xml:space="preserve">β </w:t>
      </w:r>
      <w:r>
        <w:rPr>
          <w:rFonts w:ascii="Times New Roman" w:eastAsia="Times New Roman" w:hAnsi="Times New Roman" w:cs="Times New Roman"/>
          <w:sz w:val="24"/>
          <w:szCs w:val="24"/>
        </w:rPr>
        <w:t>and σ</w:t>
      </w:r>
      <w:r>
        <w:rPr>
          <w:rFonts w:ascii="Times New Roman" w:eastAsia="Times New Roman" w:hAnsi="Times New Roman" w:cs="Times New Roman"/>
          <w:sz w:val="24"/>
          <w:szCs w:val="24"/>
          <w:vertAlign w:val="subscript"/>
        </w:rPr>
        <w:t>γ</w:t>
      </w:r>
      <w:r>
        <w:rPr>
          <w:rFonts w:ascii="Times New Roman" w:eastAsia="Times New Roman" w:hAnsi="Times New Roman" w:cs="Times New Roman"/>
          <w:sz w:val="24"/>
          <w:szCs w:val="24"/>
        </w:rPr>
        <w:t xml:space="preserve">), we used half-Cauchy distributions </w:t>
      </w:r>
      <w:r w:rsidR="00F46539">
        <w:rPr>
          <w:rFonts w:ascii="Times New Roman" w:eastAsia="Times New Roman" w:hAnsi="Times New Roman" w:cs="Times New Roman"/>
          <w:sz w:val="24"/>
          <w:szCs w:val="24"/>
        </w:rPr>
        <w:fldChar w:fldCharType="begin" w:fldLock="1"/>
      </w:r>
      <w:r w:rsidR="00F46539">
        <w:rPr>
          <w:rFonts w:ascii="Times New Roman" w:eastAsia="Times New Roman" w:hAnsi="Times New Roman" w:cs="Times New Roman"/>
          <w:sz w:val="24"/>
          <w:szCs w:val="24"/>
        </w:rPr>
        <w:instrText>ADDIN CSL_CITATION {"citationItems":[{"id":"ITEM-1","itemData":{"DOI":"10.1214/06-BA117A","ISBN":"9781139460934","ISSN":"19360975","abstract":"Various noninformative prior distributions have been suggested for scale parameters in hierarchical models. We construct a new folded-noncentral-t family of conditionally conjugate priors for hierarchical standard deviation parameters, and then consider noninformative and weakly informative priors in this family. We use an example to illustrate serious problems with the inverse-gamma family of \"noninformative\" prior distributions. We suggest instead to use a uniform prior on the hierarchical standard deviation, using the half-t family when the number of groups is small and in other settings where a weakly informative prior is desired. We also illustrate the use of the half-t family for hierarchical modeling of multiple variance parameters such as arise in the analysis of variance.","author":[{"dropping-particle":"","family":"Gelman","given":"Andrew","non-dropping-particle":"","parse-names":false,"suffix":""}],"container-title":"Bayesian Analysis","id":"ITEM-1","issue":"3","issued":{"date-parts":[["2006"]]},"page":"515-534","title":"Prior distributions for variance parameters in hierarchical models","type":"article-journal","volume":"1"},"uris":["http://www.mendeley.com/documents/?uuid=26d90930-fe45-4509-8d31-df913e374d03"]}],"mendeley":{"formattedCitation":"(Gelman, 2006)","plainTextFormattedCitation":"(Gelman, 2006)","previouslyFormattedCitation":"(Gelman, 2006)"},"properties":{"noteIndex":0},"schema":"https://github.com/citation-style-language/schema/raw/master/csl-citation.json"}</w:instrText>
      </w:r>
      <w:r w:rsidR="00F46539">
        <w:rPr>
          <w:rFonts w:ascii="Times New Roman" w:eastAsia="Times New Roman" w:hAnsi="Times New Roman" w:cs="Times New Roman"/>
          <w:sz w:val="24"/>
          <w:szCs w:val="24"/>
        </w:rPr>
        <w:fldChar w:fldCharType="separate"/>
      </w:r>
      <w:r w:rsidR="00F46539" w:rsidRPr="00F46539">
        <w:rPr>
          <w:rFonts w:ascii="Times New Roman" w:eastAsia="Times New Roman" w:hAnsi="Times New Roman" w:cs="Times New Roman"/>
          <w:noProof/>
          <w:sz w:val="24"/>
          <w:szCs w:val="24"/>
        </w:rPr>
        <w:t>(Gelman, 2006)</w:t>
      </w:r>
      <w:r w:rsidR="00F4653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505E5E" w:rsidRDefault="007601E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All parameters were stored and convergence was assessed using the Gelman and Rubin convergence diagnostic with a threshold fixed to 1.1 </w:t>
      </w:r>
      <w:r w:rsidR="00F46539">
        <w:rPr>
          <w:rFonts w:ascii="Times New Roman" w:eastAsia="Times New Roman" w:hAnsi="Times New Roman" w:cs="Times New Roman"/>
          <w:sz w:val="24"/>
          <w:szCs w:val="24"/>
        </w:rPr>
        <w:fldChar w:fldCharType="begin" w:fldLock="1"/>
      </w:r>
      <w:r w:rsidR="00F46539">
        <w:rPr>
          <w:rFonts w:ascii="Times New Roman" w:eastAsia="Times New Roman" w:hAnsi="Times New Roman" w:cs="Times New Roman"/>
          <w:sz w:val="24"/>
          <w:szCs w:val="24"/>
        </w:rPr>
        <w:instrText>ADDIN CSL_CITATION {"citationItems":[{"id":"ITEM-1","itemData":{"author":[{"dropping-particle":"","family":"Gelman","given":"A","non-dropping-particle":"","parse-names":false,"suffix":""},{"dropping-particle":"","family":"Rubin","given":"DB.","non-dropping-particle":"","parse-names":false,"suffix":""}],"container-title":"Statistical science","id":"ITEM-1","issue":"4","issued":{"date-parts":[["1992"]]},"page":"457-511","title":"Inference from iterative simulation using multiple sequences","type":"article-journal","volume":"7"},"uris":["http://www.mendeley.com/documents/?uuid=fbf7387b-7d1f-446e-a9c8-54bfde87e826"]}],"mendeley":{"formattedCitation":"(Gelman &amp; Rubin, 1992)","plainTextFormattedCitation":"(Gelman &amp; Rubin, 1992)","previouslyFormattedCitation":"(Gelman &amp; Rubin, 1992)"},"properties":{"noteIndex":0},"schema":"https://github.com/citation-style-language/schema/raw/master/csl-citation.json"}</w:instrText>
      </w:r>
      <w:r w:rsidR="00F46539">
        <w:rPr>
          <w:rFonts w:ascii="Times New Roman" w:eastAsia="Times New Roman" w:hAnsi="Times New Roman" w:cs="Times New Roman"/>
          <w:sz w:val="24"/>
          <w:szCs w:val="24"/>
        </w:rPr>
        <w:fldChar w:fldCharType="separate"/>
      </w:r>
      <w:r w:rsidR="00F46539" w:rsidRPr="00F46539">
        <w:rPr>
          <w:rFonts w:ascii="Times New Roman" w:eastAsia="Times New Roman" w:hAnsi="Times New Roman" w:cs="Times New Roman"/>
          <w:noProof/>
          <w:sz w:val="24"/>
          <w:szCs w:val="24"/>
        </w:rPr>
        <w:t>(Gelman &amp; Rubin, 1992)</w:t>
      </w:r>
      <w:r w:rsidR="00F4653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JAGS model code will be made available upon acceptance.</w:t>
      </w:r>
    </w:p>
    <w:p w:rsidR="00505E5E" w:rsidRDefault="00505E5E">
      <w:pPr>
        <w:spacing w:after="0" w:line="360" w:lineRule="auto"/>
        <w:jc w:val="both"/>
        <w:rPr>
          <w:rFonts w:ascii="Times New Roman" w:eastAsia="Times New Roman" w:hAnsi="Times New Roman" w:cs="Times New Roman"/>
          <w:sz w:val="24"/>
          <w:szCs w:val="24"/>
        </w:rPr>
      </w:pPr>
    </w:p>
    <w:p w:rsidR="00505E5E" w:rsidRDefault="007601EC">
      <w:pPr>
        <w:spacing w:after="0" w:line="360" w:lineRule="auto"/>
        <w:jc w:val="both"/>
        <w:rPr>
          <w:rFonts w:ascii="Times New Roman" w:eastAsia="Times New Roman" w:hAnsi="Times New Roman" w:cs="Times New Roman"/>
          <w:sz w:val="24"/>
          <w:szCs w:val="24"/>
        </w:rPr>
      </w:pPr>
      <w:r>
        <w:br w:type="page"/>
      </w:r>
    </w:p>
    <w:p w:rsidR="00505E5E" w:rsidRDefault="007601EC">
      <w:pPr>
        <w:pStyle w:val="Heading1"/>
      </w:pPr>
      <w:bookmarkStart w:id="3" w:name="_Toc77951731"/>
      <w:r>
        <w:lastRenderedPageBreak/>
        <w:t>Supplementary Figures and Tables</w:t>
      </w:r>
      <w:bookmarkEnd w:id="3"/>
      <w:r>
        <w:t xml:space="preserve"> </w:t>
      </w:r>
    </w:p>
    <w:p w:rsidR="00505E5E" w:rsidRDefault="00CA1F3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943600" cy="6104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distance_abundance_relationships_GAM_modifi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104890"/>
                    </a:xfrm>
                    <a:prstGeom prst="rect">
                      <a:avLst/>
                    </a:prstGeom>
                  </pic:spPr>
                </pic:pic>
              </a:graphicData>
            </a:graphic>
          </wp:inline>
        </w:drawing>
      </w:r>
    </w:p>
    <w:p w:rsidR="00505E5E" w:rsidRDefault="007601EC" w:rsidP="00F46539">
      <w:pPr>
        <w:pStyle w:val="Heading2"/>
        <w:spacing w:line="480" w:lineRule="auto"/>
      </w:pPr>
      <w:bookmarkStart w:id="4" w:name="_Toc77951732"/>
      <w:r>
        <w:t>Figure S1. Distance-abundance relationships as predicted from GAMs.</w:t>
      </w:r>
      <w:bookmarkEnd w:id="4"/>
    </w:p>
    <w:p w:rsidR="00EC4AD1" w:rsidRDefault="007601EC" w:rsidP="00F465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distance-abundance relationships estimated with generalized additive models fitted to each group under the eight different settings. For further details see Fig. 4</w:t>
      </w:r>
      <w:r w:rsidR="00F46539">
        <w:rPr>
          <w:rFonts w:ascii="Times New Roman" w:eastAsia="Times New Roman" w:hAnsi="Times New Roman" w:cs="Times New Roman"/>
          <w:sz w:val="24"/>
          <w:szCs w:val="24"/>
        </w:rPr>
        <w:t xml:space="preserve"> in the main document</w:t>
      </w:r>
      <w:r>
        <w:rPr>
          <w:rFonts w:ascii="Times New Roman" w:eastAsia="Times New Roman" w:hAnsi="Times New Roman" w:cs="Times New Roman"/>
          <w:sz w:val="24"/>
          <w:szCs w:val="24"/>
        </w:rPr>
        <w:t>.</w:t>
      </w:r>
    </w:p>
    <w:p w:rsidR="00C857DC" w:rsidRDefault="00C857DC">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rsidR="00EC4AD1" w:rsidRDefault="00C857DC" w:rsidP="00F465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EC4AD1" w:rsidRDefault="00EC4AD1" w:rsidP="00EC4AD1">
      <w:pPr>
        <w:pStyle w:val="Heading2"/>
        <w:spacing w:line="480" w:lineRule="auto"/>
      </w:pPr>
      <w:bookmarkStart w:id="5" w:name="_Toc77951733"/>
      <w:r>
        <w:t xml:space="preserve">Figure S2. </w:t>
      </w:r>
      <w:r w:rsidR="00D045A2">
        <w:t>Barplots showing the overall proportion of expected and unexpected relationships when the tree dataset is removed</w:t>
      </w:r>
      <w:r>
        <w:t>.</w:t>
      </w:r>
      <w:bookmarkEnd w:id="5"/>
    </w:p>
    <w:p w:rsidR="00B4630B" w:rsidRDefault="00EC4AD1" w:rsidP="00B4630B">
      <w:p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For further details see Fig. </w:t>
      </w:r>
      <w:r w:rsidR="00D045A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in the main document.</w:t>
      </w:r>
      <w:r w:rsidR="00B4630B">
        <w:rPr>
          <w:rFonts w:ascii="Times New Roman" w:eastAsia="Times New Roman" w:hAnsi="Times New Roman" w:cs="Times New Roman"/>
          <w:sz w:val="24"/>
          <w:szCs w:val="24"/>
        </w:rPr>
        <w:t xml:space="preserve"> </w:t>
      </w:r>
      <w:r w:rsidR="00B4630B">
        <w:rPr>
          <w:rFonts w:ascii="Times New Roman" w:hAnsi="Times New Roman" w:cs="Times New Roman"/>
          <w:sz w:val="24"/>
          <w:szCs w:val="24"/>
        </w:rPr>
        <w:t>N</w:t>
      </w:r>
      <w:r w:rsidR="00602794">
        <w:rPr>
          <w:rFonts w:ascii="Times New Roman" w:hAnsi="Times New Roman" w:cs="Times New Roman"/>
          <w:sz w:val="24"/>
          <w:szCs w:val="24"/>
        </w:rPr>
        <w:t>ote that panel</w:t>
      </w:r>
      <w:r w:rsidR="00B4630B">
        <w:rPr>
          <w:rFonts w:ascii="Times New Roman" w:hAnsi="Times New Roman" w:cs="Times New Roman"/>
          <w:sz w:val="24"/>
          <w:szCs w:val="24"/>
        </w:rPr>
        <w:t xml:space="preserve"> E is the same as in Fig. 3 with the exception that the tree dataset is not represented.</w:t>
      </w:r>
    </w:p>
    <w:p w:rsidR="00EC4AD1" w:rsidRDefault="00EC4AD1" w:rsidP="00EC4AD1">
      <w:pPr>
        <w:spacing w:line="360" w:lineRule="auto"/>
        <w:jc w:val="both"/>
        <w:rPr>
          <w:rFonts w:ascii="Times New Roman" w:eastAsia="Times New Roman" w:hAnsi="Times New Roman" w:cs="Times New Roman"/>
          <w:sz w:val="24"/>
          <w:szCs w:val="24"/>
        </w:rPr>
      </w:pPr>
    </w:p>
    <w:p w:rsidR="00EC4AD1" w:rsidRDefault="00EC4AD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C4AD1" w:rsidRDefault="00C857DC" w:rsidP="00EC4A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3.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EC4AD1" w:rsidRDefault="00EC4AD1" w:rsidP="00EC4AD1">
      <w:pPr>
        <w:pStyle w:val="Heading2"/>
        <w:spacing w:line="480" w:lineRule="auto"/>
      </w:pPr>
      <w:bookmarkStart w:id="6" w:name="_Toc77951734"/>
      <w:r>
        <w:t xml:space="preserve">Figure S3. </w:t>
      </w:r>
      <w:r w:rsidR="00D045A2">
        <w:t>Barplots showing the overall proportion of expected and unexpected relationships when</w:t>
      </w:r>
      <w:r w:rsidR="00EE2E96">
        <w:t xml:space="preserve"> migratory species are removed from the two bird datasets</w:t>
      </w:r>
      <w:r w:rsidR="00D045A2">
        <w:t>.</w:t>
      </w:r>
      <w:bookmarkEnd w:id="6"/>
    </w:p>
    <w:p w:rsidR="00F80EEC" w:rsidRDefault="00EC4AD1" w:rsidP="00EC4A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further details see Fig. </w:t>
      </w:r>
      <w:r w:rsidR="00D045A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in the main document.</w:t>
      </w:r>
    </w:p>
    <w:p w:rsidR="00F80EEC" w:rsidRDefault="00F80EE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C4AD1" w:rsidRDefault="00F80EEC" w:rsidP="00EC4A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distance_abundance_relationships_JAGS__no_mig_modified.tif"/>
                    <pic:cNvPicPr/>
                  </pic:nvPicPr>
                  <pic:blipFill rotWithShape="1">
                    <a:blip r:embed="rId11" cstate="print">
                      <a:extLst>
                        <a:ext uri="{28A0092B-C50C-407E-A947-70E740481C1C}">
                          <a14:useLocalDpi xmlns:a14="http://schemas.microsoft.com/office/drawing/2010/main" val="0"/>
                        </a:ext>
                      </a:extLst>
                    </a:blip>
                    <a:srcRect b="43832"/>
                    <a:stretch/>
                  </pic:blipFill>
                  <pic:spPr bwMode="auto">
                    <a:xfrm>
                      <a:off x="0" y="0"/>
                      <a:ext cx="5943600" cy="3429000"/>
                    </a:xfrm>
                    <a:prstGeom prst="rect">
                      <a:avLst/>
                    </a:prstGeom>
                    <a:ln>
                      <a:noFill/>
                    </a:ln>
                    <a:extLst>
                      <a:ext uri="{53640926-AAD7-44D8-BBD7-CCE9431645EC}">
                        <a14:shadowObscured xmlns:a14="http://schemas.microsoft.com/office/drawing/2010/main"/>
                      </a:ext>
                    </a:extLst>
                  </pic:spPr>
                </pic:pic>
              </a:graphicData>
            </a:graphic>
          </wp:inline>
        </w:drawing>
      </w:r>
    </w:p>
    <w:p w:rsidR="00F80EEC" w:rsidRDefault="00F80EEC" w:rsidP="00F80EEC">
      <w:pPr>
        <w:pStyle w:val="Heading2"/>
        <w:spacing w:line="480" w:lineRule="auto"/>
      </w:pPr>
      <w:bookmarkStart w:id="7" w:name="_Toc77951735"/>
      <w:r>
        <w:t>Figure S4. Distance-abundance relationships as predicted from the Bayesian model for the two bird datasets with migratory species excluded.</w:t>
      </w:r>
      <w:bookmarkEnd w:id="7"/>
    </w:p>
    <w:p w:rsidR="00F80EEC" w:rsidRPr="00F80EEC" w:rsidRDefault="00F80EEC" w:rsidP="00F80EEC">
      <w:r>
        <w:rPr>
          <w:rFonts w:ascii="Times New Roman" w:eastAsia="Times New Roman" w:hAnsi="Times New Roman" w:cs="Times New Roman"/>
          <w:sz w:val="24"/>
          <w:szCs w:val="24"/>
        </w:rPr>
        <w:t>For further details see Fig. 4 in the main document.</w:t>
      </w:r>
    </w:p>
    <w:p w:rsidR="00F80EEC" w:rsidRDefault="00F80EEC" w:rsidP="00EC4AD1">
      <w:pPr>
        <w:spacing w:line="360" w:lineRule="auto"/>
        <w:jc w:val="both"/>
        <w:rPr>
          <w:rFonts w:ascii="Times New Roman" w:eastAsia="Times New Roman" w:hAnsi="Times New Roman" w:cs="Times New Roman"/>
          <w:sz w:val="24"/>
          <w:szCs w:val="24"/>
        </w:rPr>
      </w:pPr>
    </w:p>
    <w:p w:rsidR="00EC4AD1" w:rsidRDefault="00EC4AD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5E5E" w:rsidRDefault="007601EC">
      <w:r>
        <w:rPr>
          <w:noProof/>
        </w:rPr>
        <w:lastRenderedPageBreak/>
        <w:drawing>
          <wp:inline distT="0" distB="0" distL="0" distR="0">
            <wp:extent cx="5619750" cy="645795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20117" cy="6458372"/>
                    </a:xfrm>
                    <a:prstGeom prst="rect">
                      <a:avLst/>
                    </a:prstGeom>
                    <a:ln/>
                  </pic:spPr>
                </pic:pic>
              </a:graphicData>
            </a:graphic>
          </wp:inline>
        </w:drawing>
      </w:r>
    </w:p>
    <w:p w:rsidR="00505E5E" w:rsidRDefault="00B1602A" w:rsidP="00F46539">
      <w:pPr>
        <w:pStyle w:val="Heading2"/>
        <w:spacing w:line="480" w:lineRule="auto"/>
      </w:pPr>
      <w:bookmarkStart w:id="8" w:name="_Toc77951736"/>
      <w:r>
        <w:t>Figure S</w:t>
      </w:r>
      <w:r w:rsidR="00F80EEC">
        <w:t>5</w:t>
      </w:r>
      <w:r w:rsidR="007601EC">
        <w:t>. Species-specific distance-abundance relationships for the mammal dataset.</w:t>
      </w:r>
      <w:bookmarkEnd w:id="8"/>
    </w:p>
    <w:p w:rsidR="00505E5E" w:rsidRDefault="007601E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Species-specific distance-abundance relationships estimated from Bayesian non-linear mixed-effect models fitted to the mammal dataset under the 12 different settings. The color scale highlights the posterior probability for the expected relationship with green values representing high probabilities for expected relationships and red values representing high probabilities for unexpected relationships.</w:t>
      </w:r>
      <w:r>
        <w:t xml:space="preserve"> </w:t>
      </w:r>
      <w:r>
        <w:br w:type="page"/>
      </w:r>
    </w:p>
    <w:p w:rsidR="00505E5E" w:rsidRDefault="00760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48398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6483985"/>
                    </a:xfrm>
                    <a:prstGeom prst="rect">
                      <a:avLst/>
                    </a:prstGeom>
                    <a:ln/>
                  </pic:spPr>
                </pic:pic>
              </a:graphicData>
            </a:graphic>
          </wp:inline>
        </w:drawing>
      </w:r>
    </w:p>
    <w:p w:rsidR="00505E5E" w:rsidRDefault="00F80EEC" w:rsidP="00F46539">
      <w:pPr>
        <w:pStyle w:val="Heading2"/>
        <w:spacing w:line="480" w:lineRule="auto"/>
      </w:pPr>
      <w:bookmarkStart w:id="9" w:name="_Toc77951737"/>
      <w:r>
        <w:t>Figure S6</w:t>
      </w:r>
      <w:r w:rsidR="007601EC">
        <w:t>. Species-specific distance-abundance relationships for the fish dataset.</w:t>
      </w:r>
      <w:bookmarkEnd w:id="9"/>
    </w:p>
    <w:p w:rsidR="00505E5E" w:rsidRDefault="00760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Species-specific distance-abundance relationships as estimated from Bayesian non-linear models fitted to the fish dataset under the 12 different settings. For further details see Fig. S1.</w:t>
      </w:r>
      <w:r>
        <w:br w:type="page"/>
      </w:r>
    </w:p>
    <w:p w:rsidR="00505E5E" w:rsidRDefault="00760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05525" cy="6858000"/>
            <wp:effectExtent l="0" t="0" r="9525"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105525" cy="6858000"/>
                    </a:xfrm>
                    <a:prstGeom prst="rect">
                      <a:avLst/>
                    </a:prstGeom>
                    <a:ln/>
                  </pic:spPr>
                </pic:pic>
              </a:graphicData>
            </a:graphic>
          </wp:inline>
        </w:drawing>
      </w:r>
    </w:p>
    <w:p w:rsidR="00505E5E" w:rsidRDefault="00F80EEC" w:rsidP="00F46539">
      <w:pPr>
        <w:pStyle w:val="Heading2"/>
        <w:spacing w:line="480" w:lineRule="auto"/>
      </w:pPr>
      <w:bookmarkStart w:id="10" w:name="_Toc77951738"/>
      <w:r>
        <w:t>Figure S7</w:t>
      </w:r>
      <w:r w:rsidR="007601EC">
        <w:t>. Species-specific distance-abundance relationships for the eBird dataset.</w:t>
      </w:r>
      <w:bookmarkEnd w:id="10"/>
      <w:r w:rsidR="007601EC">
        <w:t xml:space="preserve"> </w:t>
      </w:r>
    </w:p>
    <w:p w:rsidR="00505E5E" w:rsidRDefault="00760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Species-specific distance-abundance relationships as estimated from Bayesian non-linear models fitted to the bird dataset under the 12 different settings. For further details see Fig. S1.</w:t>
      </w:r>
    </w:p>
    <w:p w:rsidR="00505E5E" w:rsidRDefault="007601EC">
      <w:pPr>
        <w:rPr>
          <w:rFonts w:ascii="Times New Roman" w:eastAsia="Times New Roman" w:hAnsi="Times New Roman" w:cs="Times New Roman"/>
          <w:sz w:val="24"/>
          <w:szCs w:val="24"/>
        </w:rPr>
      </w:pPr>
      <w:r>
        <w:br w:type="page"/>
      </w:r>
    </w:p>
    <w:p w:rsidR="00505E5E" w:rsidRDefault="007601EC">
      <w:pPr>
        <w:pBdr>
          <w:top w:val="nil"/>
          <w:left w:val="nil"/>
          <w:bottom w:val="nil"/>
          <w:right w:val="nil"/>
          <w:between w:val="nil"/>
        </w:pBdr>
        <w:tabs>
          <w:tab w:val="left" w:pos="9150"/>
        </w:tabs>
        <w:spacing w:after="0" w:line="360" w:lineRule="auto"/>
        <w:jc w:val="both"/>
        <w:rPr>
          <w:rFonts w:ascii="Times New Roman" w:eastAsia="Times New Roman" w:hAnsi="Times New Roman" w:cs="Times New Roman"/>
          <w:b/>
          <w:color w:val="000000"/>
          <w:sz w:val="24"/>
          <w:szCs w:val="24"/>
        </w:rPr>
      </w:pPr>
      <w:bookmarkStart w:id="11" w:name="_heading=h.tyjcwt" w:colFirst="0" w:colLast="0"/>
      <w:bookmarkEnd w:id="11"/>
      <w:r>
        <w:rPr>
          <w:rFonts w:ascii="Times New Roman" w:eastAsia="Times New Roman" w:hAnsi="Times New Roman" w:cs="Times New Roman"/>
          <w:b/>
          <w:noProof/>
          <w:color w:val="000000"/>
          <w:sz w:val="24"/>
          <w:szCs w:val="24"/>
        </w:rPr>
        <w:lastRenderedPageBreak/>
        <w:drawing>
          <wp:inline distT="0" distB="0" distL="0" distR="0">
            <wp:extent cx="6115050" cy="680085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115050" cy="6800850"/>
                    </a:xfrm>
                    <a:prstGeom prst="rect">
                      <a:avLst/>
                    </a:prstGeom>
                    <a:ln/>
                  </pic:spPr>
                </pic:pic>
              </a:graphicData>
            </a:graphic>
          </wp:inline>
        </w:drawing>
      </w:r>
    </w:p>
    <w:p w:rsidR="00505E5E" w:rsidRDefault="00F80EEC" w:rsidP="00F46539">
      <w:pPr>
        <w:pStyle w:val="Heading2"/>
        <w:spacing w:line="480" w:lineRule="auto"/>
      </w:pPr>
      <w:bookmarkStart w:id="12" w:name="_Toc77951739"/>
      <w:r>
        <w:t>Figure S8</w:t>
      </w:r>
      <w:r w:rsidR="007601EC">
        <w:t>. Species-specific distance-abundance relationships for the tree dataset.</w:t>
      </w:r>
      <w:bookmarkEnd w:id="12"/>
    </w:p>
    <w:p w:rsidR="00505E5E" w:rsidRDefault="007601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Species-specific distance-abundance relationships as estimated from Bayesian non-linear models fitted to the tree dataset under the 12 different settings. For further details see Fig. S1.</w:t>
      </w:r>
    </w:p>
    <w:p w:rsidR="00505E5E" w:rsidRDefault="007601EC">
      <w:pPr>
        <w:rPr>
          <w:rFonts w:ascii="Times New Roman" w:eastAsia="Times New Roman" w:hAnsi="Times New Roman" w:cs="Times New Roman"/>
          <w:sz w:val="24"/>
          <w:szCs w:val="24"/>
        </w:rPr>
      </w:pPr>
      <w:r>
        <w:br w:type="page"/>
      </w:r>
    </w:p>
    <w:p w:rsidR="00505E5E" w:rsidRDefault="007601EC">
      <w:pPr>
        <w:pBdr>
          <w:top w:val="nil"/>
          <w:left w:val="nil"/>
          <w:bottom w:val="nil"/>
          <w:right w:val="nil"/>
          <w:between w:val="nil"/>
        </w:pBdr>
        <w:tabs>
          <w:tab w:val="left" w:pos="915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038850" cy="7191375"/>
            <wp:effectExtent l="0" t="0" r="0" b="9525"/>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038850" cy="7191375"/>
                    </a:xfrm>
                    <a:prstGeom prst="rect">
                      <a:avLst/>
                    </a:prstGeom>
                    <a:ln/>
                  </pic:spPr>
                </pic:pic>
              </a:graphicData>
            </a:graphic>
          </wp:inline>
        </w:drawing>
      </w:r>
    </w:p>
    <w:p w:rsidR="00505E5E" w:rsidRDefault="00F80EEC" w:rsidP="00F46539">
      <w:pPr>
        <w:pStyle w:val="Heading2"/>
        <w:spacing w:line="480" w:lineRule="auto"/>
      </w:pPr>
      <w:bookmarkStart w:id="13" w:name="_Toc77951740"/>
      <w:r>
        <w:t>Figure S9</w:t>
      </w:r>
      <w:r w:rsidR="007601EC">
        <w:t>. Species-specific distance-abundance relationships for the BBS dataset.</w:t>
      </w:r>
      <w:bookmarkEnd w:id="13"/>
    </w:p>
    <w:p w:rsidR="006F566E" w:rsidRDefault="007601EC" w:rsidP="00F465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Species-specific distance-abundance relationships as estimated from Bayesian non-linear models fitted to the BBS dataset under the 12 different settings. For further details see Fig. S1.</w:t>
      </w:r>
      <w:bookmarkStart w:id="14" w:name="_heading=h.1t3h5sf" w:colFirst="0" w:colLast="0"/>
      <w:bookmarkEnd w:id="14"/>
    </w:p>
    <w:p w:rsidR="006F566E" w:rsidRDefault="00C857DC" w:rsidP="00F465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169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10.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rsidR="006F566E" w:rsidRDefault="00EE2E96" w:rsidP="006F566E">
      <w:pPr>
        <w:pStyle w:val="Heading2"/>
        <w:spacing w:line="480" w:lineRule="auto"/>
      </w:pPr>
      <w:bookmarkStart w:id="15" w:name="_Toc77951741"/>
      <w:r>
        <w:t>Figure S10</w:t>
      </w:r>
      <w:r w:rsidR="006F566E">
        <w:t xml:space="preserve">. Barplots showing the proportion of </w:t>
      </w:r>
      <w:r w:rsidR="00630B9D">
        <w:t>species presenting</w:t>
      </w:r>
      <w:r w:rsidR="006F566E">
        <w:t xml:space="preserve"> expected and unexpected relationships when the tree dataset is removed.</w:t>
      </w:r>
      <w:bookmarkEnd w:id="15"/>
    </w:p>
    <w:p w:rsidR="00EE2E96" w:rsidRDefault="00EE2E96" w:rsidP="00A722C4">
      <w:pPr>
        <w:spacing w:line="360" w:lineRule="auto"/>
        <w:rPr>
          <w:rFonts w:ascii="Times New Roman" w:hAnsi="Times New Roman" w:cs="Times New Roman"/>
          <w:sz w:val="24"/>
          <w:szCs w:val="24"/>
        </w:rPr>
      </w:pPr>
      <w:r>
        <w:rPr>
          <w:rFonts w:ascii="Times New Roman" w:hAnsi="Times New Roman" w:cs="Times New Roman"/>
          <w:sz w:val="24"/>
          <w:szCs w:val="24"/>
        </w:rPr>
        <w:t>For further details see Fig. 5 in the main document.</w:t>
      </w:r>
      <w:r w:rsidR="00A722C4">
        <w:rPr>
          <w:rFonts w:ascii="Times New Roman" w:hAnsi="Times New Roman" w:cs="Times New Roman"/>
          <w:sz w:val="24"/>
          <w:szCs w:val="24"/>
        </w:rPr>
        <w:t xml:space="preserve"> Note that panels A and B are the same as in Fig. 5 with the exception that the tree dataset is not represented.</w:t>
      </w:r>
    </w:p>
    <w:p w:rsidR="00EE2E96" w:rsidRDefault="00EE2E96">
      <w:pPr>
        <w:rPr>
          <w:rFonts w:ascii="Times New Roman" w:hAnsi="Times New Roman" w:cs="Times New Roman"/>
          <w:sz w:val="24"/>
          <w:szCs w:val="24"/>
        </w:rPr>
      </w:pPr>
      <w:r>
        <w:rPr>
          <w:rFonts w:ascii="Times New Roman" w:hAnsi="Times New Roman" w:cs="Times New Roman"/>
          <w:sz w:val="24"/>
          <w:szCs w:val="24"/>
        </w:rPr>
        <w:br w:type="page"/>
      </w:r>
    </w:p>
    <w:p w:rsidR="00EE2E96" w:rsidRDefault="00C857DC" w:rsidP="00EE2E9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169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11.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rsidR="00EE2E96" w:rsidRDefault="00EE2E96" w:rsidP="00EE2E96">
      <w:pPr>
        <w:pStyle w:val="Heading2"/>
        <w:spacing w:line="480" w:lineRule="auto"/>
      </w:pPr>
      <w:bookmarkStart w:id="16" w:name="_Toc77951742"/>
      <w:r>
        <w:t xml:space="preserve">Figure S11. Barplots showing the proportion of </w:t>
      </w:r>
      <w:r w:rsidR="00630B9D">
        <w:t>species presenting</w:t>
      </w:r>
      <w:r>
        <w:t xml:space="preserve"> expected and unexpected relationships when migratory species are removed from the two bird datasets.</w:t>
      </w:r>
      <w:bookmarkEnd w:id="16"/>
    </w:p>
    <w:p w:rsidR="00EE2E96" w:rsidRPr="00EE2E96" w:rsidRDefault="00EE2E96" w:rsidP="00EE2E96">
      <w:pPr>
        <w:rPr>
          <w:rFonts w:ascii="Times New Roman" w:hAnsi="Times New Roman" w:cs="Times New Roman"/>
          <w:sz w:val="24"/>
          <w:szCs w:val="24"/>
        </w:rPr>
      </w:pPr>
      <w:r>
        <w:rPr>
          <w:rFonts w:ascii="Times New Roman" w:hAnsi="Times New Roman" w:cs="Times New Roman"/>
          <w:sz w:val="24"/>
          <w:szCs w:val="24"/>
        </w:rPr>
        <w:t>For further details see Fig. 5 in the main document.</w:t>
      </w:r>
    </w:p>
    <w:p w:rsidR="00EE2E96" w:rsidRPr="00EE2E96" w:rsidRDefault="00EE2E96" w:rsidP="00EE2E96">
      <w:pPr>
        <w:rPr>
          <w:rFonts w:ascii="Times New Roman" w:hAnsi="Times New Roman" w:cs="Times New Roman"/>
          <w:sz w:val="24"/>
          <w:szCs w:val="24"/>
        </w:rPr>
      </w:pPr>
    </w:p>
    <w:p w:rsidR="00505E5E" w:rsidRDefault="007601EC" w:rsidP="00F46539">
      <w:pPr>
        <w:spacing w:line="360" w:lineRule="auto"/>
        <w:jc w:val="both"/>
        <w:rPr>
          <w:rFonts w:ascii="Times New Roman" w:eastAsia="Times New Roman" w:hAnsi="Times New Roman" w:cs="Times New Roman"/>
          <w:sz w:val="24"/>
          <w:szCs w:val="24"/>
        </w:rPr>
        <w:sectPr w:rsidR="00505E5E">
          <w:footerReference w:type="default" r:id="rId19"/>
          <w:pgSz w:w="12240" w:h="15840"/>
          <w:pgMar w:top="1440" w:right="1440" w:bottom="1440" w:left="1440" w:header="720" w:footer="720" w:gutter="0"/>
          <w:pgNumType w:start="1"/>
          <w:cols w:space="720"/>
        </w:sectPr>
      </w:pPr>
      <w:r>
        <w:br w:type="page"/>
      </w:r>
    </w:p>
    <w:p w:rsidR="00505E5E" w:rsidRDefault="00505E5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
        <w:tblW w:w="15319" w:type="dxa"/>
        <w:tblLayout w:type="fixed"/>
        <w:tblLook w:val="04A0" w:firstRow="1" w:lastRow="0" w:firstColumn="1" w:lastColumn="0" w:noHBand="0" w:noVBand="1"/>
      </w:tblPr>
      <w:tblGrid>
        <w:gridCol w:w="1128"/>
        <w:gridCol w:w="1419"/>
        <w:gridCol w:w="1060"/>
        <w:gridCol w:w="1365"/>
        <w:gridCol w:w="1035"/>
        <w:gridCol w:w="1131"/>
        <w:gridCol w:w="1314"/>
        <w:gridCol w:w="1783"/>
        <w:gridCol w:w="1109"/>
        <w:gridCol w:w="1710"/>
        <w:gridCol w:w="1080"/>
        <w:gridCol w:w="1185"/>
      </w:tblGrid>
      <w:tr w:rsidR="00505E5E" w:rsidTr="00505E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319" w:type="dxa"/>
            <w:gridSpan w:val="12"/>
            <w:tcBorders>
              <w:top w:val="single" w:sz="4" w:space="0" w:color="000000"/>
            </w:tcBorders>
            <w:shd w:val="clear" w:color="auto" w:fill="auto"/>
            <w:vAlign w:val="center"/>
          </w:tcPr>
          <w:p w:rsidR="00505E5E" w:rsidRDefault="007601EC">
            <w:pPr>
              <w:pStyle w:val="Heading2"/>
              <w:spacing w:line="360" w:lineRule="auto"/>
              <w:outlineLvl w:val="1"/>
            </w:pPr>
            <w:bookmarkStart w:id="17" w:name="_Toc77951743"/>
            <w:r>
              <w:t>Table S1. Outputs from Bayesian mixed-effect models</w:t>
            </w:r>
            <w:bookmarkEnd w:id="17"/>
          </w:p>
          <w:p w:rsidR="00505E5E" w:rsidRDefault="007601EC">
            <w:pPr>
              <w:spacing w:before="240" w:line="360" w:lineRule="auto"/>
              <w:jc w:val="both"/>
              <w:rPr>
                <w:color w:val="000000"/>
              </w:rPr>
            </w:pPr>
            <w:r>
              <w:rPr>
                <w:b w:val="0"/>
                <w:color w:val="000000"/>
              </w:rPr>
              <w:t xml:space="preserve">Posterior outputs from Bayesian models fitted to each group of species under 12 different settings differing with respect to the space in which the distance-abundance relationship is evaluated (geographic or environment), how distances are measured (to the </w:t>
            </w:r>
            <w:r w:rsidR="00C07C8F">
              <w:rPr>
                <w:b w:val="0"/>
                <w:color w:val="000000"/>
              </w:rPr>
              <w:t>center</w:t>
            </w:r>
            <w:r>
              <w:rPr>
                <w:b w:val="0"/>
                <w:color w:val="000000"/>
              </w:rPr>
              <w:t xml:space="preserve"> using Euclidean or Mahalanobis distance metrics or to the margins) and how envelopes are delineated (CH or KDE in the geographical space; CH or MVE in the environmental space). For each model and taxonomic group, we report the Bayesian p-value (model fit), the marginal R² (i.e. the proportion of variance explained by fixed effect), the conditional R² (i.e. the proportion of variance explained by both fixed and random effects), the posterior median of slope coefficients (</w:t>
            </w:r>
            <w:r>
              <w:rPr>
                <w:b w:val="0"/>
              </w:rPr>
              <w:t>µ</w:t>
            </w:r>
            <w:r>
              <w:rPr>
                <w:b w:val="0"/>
                <w:vertAlign w:val="subscript"/>
              </w:rPr>
              <w:t>β</w:t>
            </w:r>
            <w:r>
              <w:rPr>
                <w:b w:val="0"/>
                <w:color w:val="000000"/>
              </w:rPr>
              <w:t>) and quadratic terms (</w:t>
            </w:r>
            <w:r>
              <w:rPr>
                <w:b w:val="0"/>
              </w:rPr>
              <w:t>µ</w:t>
            </w:r>
            <w:r>
              <w:rPr>
                <w:b w:val="0"/>
                <w:vertAlign w:val="subscript"/>
              </w:rPr>
              <w:t>γ</w:t>
            </w:r>
            <w:r>
              <w:rPr>
                <w:b w:val="0"/>
                <w:color w:val="000000"/>
              </w:rPr>
              <w:t xml:space="preserve">) and their associated 95% highest posterior density interval, the posterior probability that </w:t>
            </w:r>
            <w:r>
              <w:rPr>
                <w:b w:val="0"/>
              </w:rPr>
              <w:t>µ</w:t>
            </w:r>
            <w:r>
              <w:rPr>
                <w:b w:val="0"/>
                <w:vertAlign w:val="subscript"/>
              </w:rPr>
              <w:t>β</w:t>
            </w:r>
            <w:r>
              <w:rPr>
                <w:b w:val="0"/>
              </w:rPr>
              <w:t xml:space="preserve"> and µ</w:t>
            </w:r>
            <w:r>
              <w:rPr>
                <w:b w:val="0"/>
                <w:vertAlign w:val="subscript"/>
              </w:rPr>
              <w:t>γ</w:t>
            </w:r>
            <w:r>
              <w:rPr>
                <w:b w:val="0"/>
              </w:rPr>
              <w:t xml:space="preserve"> are different from zero (denoted P[µ</w:t>
            </w:r>
            <w:r>
              <w:rPr>
                <w:b w:val="0"/>
                <w:vertAlign w:val="subscript"/>
              </w:rPr>
              <w:t>β</w:t>
            </w:r>
            <w:sdt>
              <w:sdtPr>
                <w:tag w:val="goog_rdk_0"/>
                <w:id w:val="-118844090"/>
              </w:sdtPr>
              <w:sdtEndPr/>
              <w:sdtContent>
                <w:r>
                  <w:rPr>
                    <w:rFonts w:ascii="Gungsuh" w:eastAsia="Gungsuh" w:hAnsi="Gungsuh" w:cs="Gungsuh"/>
                    <w:b w:val="0"/>
                  </w:rPr>
                  <w:t xml:space="preserve"> ≠ 0] and P[µ</w:t>
                </w:r>
              </w:sdtContent>
            </w:sdt>
            <w:r>
              <w:rPr>
                <w:b w:val="0"/>
                <w:vertAlign w:val="subscript"/>
              </w:rPr>
              <w:t xml:space="preserve">γ </w:t>
            </w:r>
            <w:sdt>
              <w:sdtPr>
                <w:tag w:val="goog_rdk_1"/>
                <w:id w:val="50429039"/>
              </w:sdtPr>
              <w:sdtEndPr/>
              <w:sdtContent>
                <w:r>
                  <w:rPr>
                    <w:rFonts w:ascii="Gungsuh" w:eastAsia="Gungsuh" w:hAnsi="Gungsuh" w:cs="Gungsuh"/>
                    <w:b w:val="0"/>
                  </w:rPr>
                  <w:t>≠ 0], respectively) and the posterior probability for the expected relationship (P[expected]; see the text for details on how this is computed)</w:t>
                </w:r>
              </w:sdtContent>
            </w:sdt>
            <w:r>
              <w:rPr>
                <w:b w:val="0"/>
                <w:color w:val="000000"/>
              </w:rPr>
              <w:t xml:space="preserve">. </w:t>
            </w:r>
          </w:p>
          <w:p w:rsidR="00505E5E" w:rsidRDefault="00505E5E">
            <w:pPr>
              <w:jc w:val="both"/>
              <w:rPr>
                <w:sz w:val="20"/>
                <w:szCs w:val="20"/>
              </w:rPr>
            </w:pPr>
          </w:p>
        </w:tc>
      </w:tr>
      <w:tr w:rsidR="00505E5E" w:rsidTr="00505E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8" w:type="dxa"/>
            <w:tcBorders>
              <w:bottom w:val="single" w:sz="4" w:space="0" w:color="000000"/>
            </w:tcBorders>
            <w:shd w:val="clear" w:color="auto" w:fill="auto"/>
            <w:vAlign w:val="center"/>
          </w:tcPr>
          <w:p w:rsidR="00505E5E" w:rsidRDefault="007601EC">
            <w:pPr>
              <w:jc w:val="center"/>
              <w:rPr>
                <w:sz w:val="20"/>
                <w:szCs w:val="20"/>
              </w:rPr>
            </w:pPr>
            <w:r>
              <w:rPr>
                <w:b w:val="0"/>
                <w:sz w:val="20"/>
                <w:szCs w:val="20"/>
              </w:rPr>
              <w:t>Group</w:t>
            </w:r>
          </w:p>
        </w:tc>
        <w:tc>
          <w:tcPr>
            <w:tcW w:w="1419"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Space</w:t>
            </w:r>
          </w:p>
        </w:tc>
        <w:tc>
          <w:tcPr>
            <w:tcW w:w="106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Envelope</w:t>
            </w:r>
          </w:p>
        </w:tc>
        <w:tc>
          <w:tcPr>
            <w:tcW w:w="136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Distance</w:t>
            </w:r>
          </w:p>
        </w:tc>
        <w:tc>
          <w:tcPr>
            <w:tcW w:w="103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Bayesian p-value</w:t>
            </w:r>
          </w:p>
        </w:tc>
        <w:tc>
          <w:tcPr>
            <w:tcW w:w="1131"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Marginal R2</w:t>
            </w:r>
          </w:p>
        </w:tc>
        <w:tc>
          <w:tcPr>
            <w:tcW w:w="1314"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Conditional R2</w:t>
            </w:r>
          </w:p>
        </w:tc>
        <w:tc>
          <w:tcPr>
            <w:tcW w:w="1783"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Distance effect (</w:t>
            </w:r>
            <w:r>
              <w:t>µ</w:t>
            </w:r>
            <w:r>
              <w:rPr>
                <w:vertAlign w:val="subscript"/>
              </w:rPr>
              <w:t>β</w:t>
            </w:r>
            <w:r>
              <w:rPr>
                <w:sz w:val="20"/>
                <w:szCs w:val="20"/>
              </w:rPr>
              <w:t>)</w:t>
            </w:r>
          </w:p>
        </w:tc>
        <w:tc>
          <w:tcPr>
            <w:tcW w:w="1109"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t>P[µ</w:t>
            </w:r>
            <w:r>
              <w:rPr>
                <w:vertAlign w:val="subscript"/>
              </w:rPr>
              <w:t>β</w:t>
            </w:r>
            <w:sdt>
              <w:sdtPr>
                <w:tag w:val="goog_rdk_2"/>
                <w:id w:val="-40522962"/>
              </w:sdtPr>
              <w:sdtEndPr/>
              <w:sdtContent>
                <w:r>
                  <w:rPr>
                    <w:rFonts w:ascii="Gungsuh" w:eastAsia="Gungsuh" w:hAnsi="Gungsuh" w:cs="Gungsuh"/>
                  </w:rPr>
                  <w:t xml:space="preserve"> ≠ 0]</w:t>
                </w:r>
              </w:sdtContent>
            </w:sdt>
          </w:p>
        </w:tc>
        <w:tc>
          <w:tcPr>
            <w:tcW w:w="171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Quadratic effect (</w:t>
            </w:r>
            <w:r>
              <w:t>µ</w:t>
            </w:r>
            <w:r>
              <w:rPr>
                <w:vertAlign w:val="subscript"/>
              </w:rPr>
              <w:t>γ</w:t>
            </w:r>
            <w:r>
              <w:rPr>
                <w:sz w:val="20"/>
                <w:szCs w:val="20"/>
              </w:rPr>
              <w:t>)</w:t>
            </w:r>
          </w:p>
        </w:tc>
        <w:tc>
          <w:tcPr>
            <w:tcW w:w="108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t>µ</w:t>
            </w:r>
            <w:r>
              <w:rPr>
                <w:vertAlign w:val="subscript"/>
              </w:rPr>
              <w:t xml:space="preserve">γ </w:t>
            </w:r>
            <w:sdt>
              <w:sdtPr>
                <w:tag w:val="goog_rdk_3"/>
                <w:id w:val="1541554292"/>
              </w:sdtPr>
              <w:sdtEndPr/>
              <w:sdtContent>
                <w:r>
                  <w:rPr>
                    <w:rFonts w:ascii="Gungsuh" w:eastAsia="Gungsuh" w:hAnsi="Gungsuh" w:cs="Gungsuh"/>
                  </w:rPr>
                  <w:t>≠ 0]</w:t>
                </w:r>
              </w:sdtContent>
            </w:sdt>
          </w:p>
        </w:tc>
        <w:tc>
          <w:tcPr>
            <w:tcW w:w="118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rPr>
                <w:b/>
                <w:sz w:val="20"/>
                <w:szCs w:val="20"/>
              </w:rPr>
              <w:t>[</w:t>
            </w:r>
            <w:r>
              <w:rPr>
                <w:sz w:val="20"/>
                <w:szCs w:val="20"/>
              </w:rPr>
              <w:t>expected</w:t>
            </w:r>
            <w:r>
              <w:rPr>
                <w:b/>
                <w:sz w:val="20"/>
                <w:szCs w:val="20"/>
              </w:rPr>
              <w:t>]</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single" w:sz="4" w:space="0" w:color="000000"/>
            </w:tcBorders>
            <w:shd w:val="clear" w:color="auto" w:fill="auto"/>
            <w:vAlign w:val="center"/>
          </w:tcPr>
          <w:p w:rsidR="00505E5E" w:rsidRDefault="007601EC">
            <w:pPr>
              <w:jc w:val="center"/>
              <w:rPr>
                <w:sz w:val="20"/>
                <w:szCs w:val="20"/>
              </w:rPr>
            </w:pPr>
            <w:r>
              <w:rPr>
                <w:b w:val="0"/>
                <w:sz w:val="20"/>
                <w:szCs w:val="20"/>
              </w:rPr>
              <w:t>Mammals</w:t>
            </w:r>
          </w:p>
        </w:tc>
        <w:tc>
          <w:tcPr>
            <w:tcW w:w="1419"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Geographic</w:t>
            </w:r>
          </w:p>
        </w:tc>
        <w:tc>
          <w:tcPr>
            <w:tcW w:w="1060"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single" w:sz="4" w:space="0" w:color="000000"/>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0.49</w:t>
            </w:r>
          </w:p>
        </w:tc>
        <w:tc>
          <w:tcPr>
            <w:tcW w:w="1131"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3.7E-03</w:t>
            </w:r>
          </w:p>
        </w:tc>
        <w:tc>
          <w:tcPr>
            <w:tcW w:w="1314"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0.26</w:t>
            </w:r>
          </w:p>
        </w:tc>
        <w:tc>
          <w:tcPr>
            <w:tcW w:w="1783"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1.62[-0.93;4.14]</w:t>
            </w:r>
          </w:p>
        </w:tc>
        <w:tc>
          <w:tcPr>
            <w:tcW w:w="1109"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94.0</w:t>
            </w:r>
          </w:p>
        </w:tc>
        <w:tc>
          <w:tcPr>
            <w:tcW w:w="171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-1.6[-4;0.31]</w:t>
            </w:r>
          </w:p>
        </w:tc>
        <w:tc>
          <w:tcPr>
            <w:tcW w:w="108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96.4</w:t>
            </w:r>
          </w:p>
        </w:tc>
        <w:tc>
          <w:tcPr>
            <w:tcW w:w="118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45.2</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1.1E-02</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0.22</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2.36[0.69;4.33]</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-2.35[-4.03;-0.75]</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60.2</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single" w:sz="4" w:space="0" w:color="000000"/>
              <w:bottom w:val="dotDotDash"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0.49</w:t>
            </w:r>
          </w:p>
        </w:tc>
        <w:tc>
          <w:tcPr>
            <w:tcW w:w="1131"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4.8E-03</w:t>
            </w:r>
          </w:p>
        </w:tc>
        <w:tc>
          <w:tcPr>
            <w:tcW w:w="1314"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0.19</w:t>
            </w:r>
          </w:p>
        </w:tc>
        <w:tc>
          <w:tcPr>
            <w:tcW w:w="1783"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0.85[-0.66;2.11]</w:t>
            </w:r>
          </w:p>
        </w:tc>
        <w:tc>
          <w:tcPr>
            <w:tcW w:w="1109"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89.8</w:t>
            </w:r>
          </w:p>
        </w:tc>
        <w:tc>
          <w:tcPr>
            <w:tcW w:w="171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-1.21[-2.53;0.22]</w:t>
            </w:r>
          </w:p>
        </w:tc>
        <w:tc>
          <w:tcPr>
            <w:tcW w:w="108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95.6</w:t>
            </w:r>
          </w:p>
        </w:tc>
        <w:tc>
          <w:tcPr>
            <w:tcW w:w="118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88.7</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KDE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2.9E-03</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0.26</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0.22[-2.16;2.61]</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57.0</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-0.52[-2.62;1.31]</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67.7</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72.5</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0.51</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7.6E-03</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0.21</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2[0.34;3.63]</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99.4</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-1.57[-3;0.01]</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97.1</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96.3</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p>
        </w:tc>
        <w:tc>
          <w:tcPr>
            <w:tcW w:w="1131"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1.1E-02</w:t>
            </w:r>
          </w:p>
        </w:tc>
        <w:tc>
          <w:tcPr>
            <w:tcW w:w="1314"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0.23</w:t>
            </w:r>
          </w:p>
        </w:tc>
        <w:tc>
          <w:tcPr>
            <w:tcW w:w="1783"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1.28[-0.28;2.68]</w:t>
            </w:r>
          </w:p>
        </w:tc>
        <w:tc>
          <w:tcPr>
            <w:tcW w:w="1109"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92.1</w:t>
            </w:r>
          </w:p>
        </w:tc>
        <w:tc>
          <w:tcPr>
            <w:tcW w:w="1710"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-1.79[-3.12;-0.11]</w:t>
            </w:r>
          </w:p>
        </w:tc>
        <w:tc>
          <w:tcPr>
            <w:tcW w:w="1080"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98.0</w:t>
            </w:r>
          </w:p>
        </w:tc>
        <w:tc>
          <w:tcPr>
            <w:tcW w:w="118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95.0</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val="restart"/>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Environment</w:t>
            </w:r>
          </w:p>
        </w:tc>
        <w:tc>
          <w:tcPr>
            <w:tcW w:w="1060" w:type="dxa"/>
            <w:vMerge w:val="restart"/>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dashed" w:sz="4" w:space="0" w:color="000000"/>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0.51</w:t>
            </w:r>
          </w:p>
        </w:tc>
        <w:tc>
          <w:tcPr>
            <w:tcW w:w="1131"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1.3E-03</w:t>
            </w:r>
          </w:p>
        </w:tc>
        <w:tc>
          <w:tcPr>
            <w:tcW w:w="1314"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0.26</w:t>
            </w:r>
          </w:p>
        </w:tc>
        <w:tc>
          <w:tcPr>
            <w:tcW w:w="1783"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0.21[-2.9;3.84]</w:t>
            </w:r>
          </w:p>
        </w:tc>
        <w:tc>
          <w:tcPr>
            <w:tcW w:w="1109"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55.4</w:t>
            </w:r>
          </w:p>
        </w:tc>
        <w:tc>
          <w:tcPr>
            <w:tcW w:w="1710"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0.04[-2.96;2.42]</w:t>
            </w:r>
          </w:p>
        </w:tc>
        <w:tc>
          <w:tcPr>
            <w:tcW w:w="1080"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51.2</w:t>
            </w:r>
          </w:p>
        </w:tc>
        <w:tc>
          <w:tcPr>
            <w:tcW w:w="1185"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29.0</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9.4E-03</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0.22</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-1.24[-3.24;0.63]</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86.8</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0.68[-1.19;2.25]</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76.5</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bottom w:val="dotDotDash"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0.48</w:t>
            </w:r>
          </w:p>
        </w:tc>
        <w:tc>
          <w:tcPr>
            <w:tcW w:w="1131"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2.0E-04</w:t>
            </w:r>
          </w:p>
        </w:tc>
        <w:tc>
          <w:tcPr>
            <w:tcW w:w="1314"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0.20</w:t>
            </w:r>
          </w:p>
        </w:tc>
        <w:tc>
          <w:tcPr>
            <w:tcW w:w="1783"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0.24[-1.66;1.72]</w:t>
            </w:r>
          </w:p>
        </w:tc>
        <w:tc>
          <w:tcPr>
            <w:tcW w:w="1109"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58.7</w:t>
            </w:r>
          </w:p>
        </w:tc>
        <w:tc>
          <w:tcPr>
            <w:tcW w:w="171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-0.16[-1.61;1.66]</w:t>
            </w:r>
          </w:p>
        </w:tc>
        <w:tc>
          <w:tcPr>
            <w:tcW w:w="108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56.9</w:t>
            </w:r>
          </w:p>
        </w:tc>
        <w:tc>
          <w:tcPr>
            <w:tcW w:w="118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43.3</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MVE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0.48</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3.0E-04</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0.25</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0.02[-1.58;1.65]</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50.7</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0.1[-1.45;1.63]</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54.2</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32.2</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7.8E-03</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0.24</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3.5[1.22;5.62]</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-2.61[-4.12;-0.77]</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97.2</w:t>
            </w:r>
          </w:p>
        </w:tc>
      </w:tr>
      <w:tr w:rsidR="00505E5E" w:rsidTr="00505E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p>
        </w:tc>
        <w:tc>
          <w:tcPr>
            <w:tcW w:w="1131"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1.5E-03</w:t>
            </w:r>
          </w:p>
        </w:tc>
        <w:tc>
          <w:tcPr>
            <w:tcW w:w="1314"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0.24</w:t>
            </w:r>
          </w:p>
        </w:tc>
        <w:tc>
          <w:tcPr>
            <w:tcW w:w="1783"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0.12[-1.75;1.72]</w:t>
            </w:r>
          </w:p>
        </w:tc>
        <w:tc>
          <w:tcPr>
            <w:tcW w:w="1109"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54.7</w:t>
            </w:r>
          </w:p>
        </w:tc>
        <w:tc>
          <w:tcPr>
            <w:tcW w:w="171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-0.42[-2.27;1.6]</w:t>
            </w:r>
          </w:p>
        </w:tc>
        <w:tc>
          <w:tcPr>
            <w:tcW w:w="108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66.9</w:t>
            </w:r>
          </w:p>
        </w:tc>
        <w:tc>
          <w:tcPr>
            <w:tcW w:w="118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80.7</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single" w:sz="4" w:space="0" w:color="000000"/>
            </w:tcBorders>
            <w:shd w:val="clear" w:color="auto" w:fill="auto"/>
            <w:vAlign w:val="center"/>
          </w:tcPr>
          <w:p w:rsidR="00505E5E" w:rsidRDefault="00E61021">
            <w:pPr>
              <w:jc w:val="center"/>
              <w:rPr>
                <w:sz w:val="20"/>
                <w:szCs w:val="20"/>
              </w:rPr>
            </w:pPr>
            <w:r>
              <w:rPr>
                <w:b w:val="0"/>
                <w:sz w:val="20"/>
                <w:szCs w:val="20"/>
              </w:rPr>
              <w:t>eBird</w:t>
            </w:r>
          </w:p>
        </w:tc>
        <w:tc>
          <w:tcPr>
            <w:tcW w:w="1419"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Geographic</w:t>
            </w:r>
          </w:p>
        </w:tc>
        <w:tc>
          <w:tcPr>
            <w:tcW w:w="1060"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single" w:sz="4" w:space="0" w:color="000000"/>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3.0E-04</w:t>
            </w:r>
          </w:p>
        </w:tc>
        <w:tc>
          <w:tcPr>
            <w:tcW w:w="1314"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0.47</w:t>
            </w:r>
          </w:p>
        </w:tc>
        <w:tc>
          <w:tcPr>
            <w:tcW w:w="1783"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0.15[-0.09;0.44]</w:t>
            </w:r>
          </w:p>
        </w:tc>
        <w:tc>
          <w:tcPr>
            <w:tcW w:w="1109"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89.5</w:t>
            </w:r>
          </w:p>
        </w:tc>
        <w:tc>
          <w:tcPr>
            <w:tcW w:w="171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-0.28[-0.6;-0.07]</w:t>
            </w:r>
          </w:p>
        </w:tc>
        <w:tc>
          <w:tcPr>
            <w:tcW w:w="108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99.3</w:t>
            </w:r>
          </w:p>
        </w:tc>
        <w:tc>
          <w:tcPr>
            <w:tcW w:w="118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98.3</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0.51</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4.0E-04</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0.32</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0.29[0.11;0.5]</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99.8</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-0.17[-0.36;0.02]</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96.0</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99.7</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single" w:sz="4" w:space="0" w:color="000000"/>
              <w:bottom w:val="dotDotDash"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0.51</w:t>
            </w:r>
          </w:p>
        </w:tc>
        <w:tc>
          <w:tcPr>
            <w:tcW w:w="1131"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1.2E-03</w:t>
            </w:r>
          </w:p>
        </w:tc>
        <w:tc>
          <w:tcPr>
            <w:tcW w:w="1314"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0.46</w:t>
            </w:r>
          </w:p>
        </w:tc>
        <w:tc>
          <w:tcPr>
            <w:tcW w:w="1783"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-0.39[-0.69;-0.08]</w:t>
            </w:r>
          </w:p>
        </w:tc>
        <w:tc>
          <w:tcPr>
            <w:tcW w:w="1109"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98.6</w:t>
            </w:r>
          </w:p>
        </w:tc>
        <w:tc>
          <w:tcPr>
            <w:tcW w:w="171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0.03[-0.52;0.28]</w:t>
            </w:r>
          </w:p>
        </w:tc>
        <w:tc>
          <w:tcPr>
            <w:tcW w:w="108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55.3</w:t>
            </w:r>
          </w:p>
        </w:tc>
        <w:tc>
          <w:tcPr>
            <w:tcW w:w="118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KDE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0.51</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1.0E-04</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0.48</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0.22[-0.06;0.63]</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94.1</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-0.17[-0.58;0.09]</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90.3</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19.2</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1.0E-03</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0.30</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0.59[0.42;0.75]</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-0.47[-0.66;-0.3]</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99.3</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0.52</w:t>
            </w:r>
          </w:p>
        </w:tc>
        <w:tc>
          <w:tcPr>
            <w:tcW w:w="1131"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2.0E-04</w:t>
            </w:r>
          </w:p>
        </w:tc>
        <w:tc>
          <w:tcPr>
            <w:tcW w:w="1314"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p>
        </w:tc>
        <w:tc>
          <w:tcPr>
            <w:tcW w:w="1783"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0.14[-0.15;0.38]</w:t>
            </w:r>
          </w:p>
        </w:tc>
        <w:tc>
          <w:tcPr>
            <w:tcW w:w="1109"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82.7</w:t>
            </w:r>
          </w:p>
        </w:tc>
        <w:tc>
          <w:tcPr>
            <w:tcW w:w="1710"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-0.3[-0.57;0.06]</w:t>
            </w:r>
          </w:p>
        </w:tc>
        <w:tc>
          <w:tcPr>
            <w:tcW w:w="1080"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94.7</w:t>
            </w:r>
          </w:p>
        </w:tc>
        <w:tc>
          <w:tcPr>
            <w:tcW w:w="118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94.3</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val="restart"/>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Environment</w:t>
            </w:r>
          </w:p>
        </w:tc>
        <w:tc>
          <w:tcPr>
            <w:tcW w:w="1060" w:type="dxa"/>
            <w:vMerge w:val="restart"/>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dashed" w:sz="4" w:space="0" w:color="auto"/>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5.0E-04</w:t>
            </w:r>
          </w:p>
        </w:tc>
        <w:tc>
          <w:tcPr>
            <w:tcW w:w="1314" w:type="dxa"/>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0.38</w:t>
            </w:r>
          </w:p>
        </w:tc>
        <w:tc>
          <w:tcPr>
            <w:tcW w:w="1783" w:type="dxa"/>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0.55[0.3;0.82]</w:t>
            </w:r>
          </w:p>
        </w:tc>
        <w:tc>
          <w:tcPr>
            <w:tcW w:w="1109" w:type="dxa"/>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710" w:type="dxa"/>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-0.49[-0.76;-0.23]</w:t>
            </w:r>
          </w:p>
        </w:tc>
        <w:tc>
          <w:tcPr>
            <w:tcW w:w="1080" w:type="dxa"/>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185" w:type="dxa"/>
            <w:tcBorders>
              <w:top w:val="dashed"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4.0E-04</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0.34</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0.29[0.07;0.5]</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99.5</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-0.13[-0.29;0.06]</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88.9</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bottom w:val="dotDotDash"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0.52</w:t>
            </w:r>
          </w:p>
        </w:tc>
        <w:tc>
          <w:tcPr>
            <w:tcW w:w="1131"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1.0E-04</w:t>
            </w:r>
          </w:p>
        </w:tc>
        <w:tc>
          <w:tcPr>
            <w:tcW w:w="1314"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0.41</w:t>
            </w:r>
          </w:p>
        </w:tc>
        <w:tc>
          <w:tcPr>
            <w:tcW w:w="1783"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0.12[-0.09;0.38]</w:t>
            </w:r>
          </w:p>
        </w:tc>
        <w:tc>
          <w:tcPr>
            <w:tcW w:w="1109"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89.1</w:t>
            </w:r>
          </w:p>
        </w:tc>
        <w:tc>
          <w:tcPr>
            <w:tcW w:w="171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-0.28[-0.58;0]</w:t>
            </w:r>
          </w:p>
        </w:tc>
        <w:tc>
          <w:tcPr>
            <w:tcW w:w="108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99.3</w:t>
            </w:r>
          </w:p>
        </w:tc>
        <w:tc>
          <w:tcPr>
            <w:tcW w:w="118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99.3</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MVE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1.8E-03</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0.47</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-0.58[-0.9;-0.33]</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0.02[-0.27;0.46]</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54.7</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1.3E-03</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0.31</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-0.11[-0.36;0.09]</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84.0</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0.32[0.15;0.52]</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99.0</w:t>
            </w:r>
          </w:p>
        </w:tc>
      </w:tr>
      <w:tr w:rsidR="00505E5E" w:rsidTr="00505E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0.51</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1.7E-03</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0.45</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-1.05[-1.32;-0.75]</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0.71[0.27;1.1]</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99.6</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single" w:sz="4" w:space="0" w:color="000000"/>
            </w:tcBorders>
            <w:shd w:val="clear" w:color="auto" w:fill="auto"/>
            <w:vAlign w:val="center"/>
          </w:tcPr>
          <w:p w:rsidR="00505E5E" w:rsidRDefault="007601EC">
            <w:pPr>
              <w:jc w:val="center"/>
              <w:rPr>
                <w:sz w:val="20"/>
                <w:szCs w:val="20"/>
              </w:rPr>
            </w:pPr>
            <w:r>
              <w:rPr>
                <w:b w:val="0"/>
                <w:sz w:val="20"/>
                <w:szCs w:val="20"/>
              </w:rPr>
              <w:t>Fish</w:t>
            </w:r>
          </w:p>
        </w:tc>
        <w:tc>
          <w:tcPr>
            <w:tcW w:w="1419"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Geographic</w:t>
            </w:r>
          </w:p>
        </w:tc>
        <w:tc>
          <w:tcPr>
            <w:tcW w:w="1060"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single" w:sz="4" w:space="0" w:color="000000"/>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4.0E-04</w:t>
            </w:r>
          </w:p>
        </w:tc>
        <w:tc>
          <w:tcPr>
            <w:tcW w:w="1314"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0.62</w:t>
            </w:r>
          </w:p>
        </w:tc>
        <w:tc>
          <w:tcPr>
            <w:tcW w:w="1783"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0.45[-0.48;1.57]</w:t>
            </w:r>
          </w:p>
        </w:tc>
        <w:tc>
          <w:tcPr>
            <w:tcW w:w="1109"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83.2</w:t>
            </w:r>
          </w:p>
        </w:tc>
        <w:tc>
          <w:tcPr>
            <w:tcW w:w="171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-0.33[-1.27;0.5]</w:t>
            </w:r>
          </w:p>
        </w:tc>
        <w:tc>
          <w:tcPr>
            <w:tcW w:w="108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78.9</w:t>
            </w:r>
          </w:p>
        </w:tc>
        <w:tc>
          <w:tcPr>
            <w:tcW w:w="118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24.8</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1.0E-04</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0.65</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0.14[-0.91;1.3]</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59.4</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-0.09[-1.18;0.73]</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57.8</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60.2</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single" w:sz="4" w:space="0" w:color="000000"/>
              <w:bottom w:val="dotDotDash"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0.51</w:t>
            </w:r>
          </w:p>
        </w:tc>
        <w:tc>
          <w:tcPr>
            <w:tcW w:w="1131"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6.3E-03</w:t>
            </w:r>
          </w:p>
        </w:tc>
        <w:tc>
          <w:tcPr>
            <w:tcW w:w="1314"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0.58</w:t>
            </w:r>
          </w:p>
        </w:tc>
        <w:tc>
          <w:tcPr>
            <w:tcW w:w="1783"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0.75[-0.06;1.43]</w:t>
            </w:r>
          </w:p>
        </w:tc>
        <w:tc>
          <w:tcPr>
            <w:tcW w:w="1109"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96.2</w:t>
            </w:r>
          </w:p>
        </w:tc>
        <w:tc>
          <w:tcPr>
            <w:tcW w:w="171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-0.99[-1.69;-0.21]</w:t>
            </w:r>
          </w:p>
        </w:tc>
        <w:tc>
          <w:tcPr>
            <w:tcW w:w="108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99.3</w:t>
            </w:r>
          </w:p>
        </w:tc>
        <w:tc>
          <w:tcPr>
            <w:tcW w:w="118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93.2</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KDE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0.51</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5.0E-04</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0.60</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-0.25[-1.17;0.66]</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69.6</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0.3[-0.44;1.02]</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76.0</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63.0</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5.0E-04</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0.64</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0.49[-0.54;1.44]</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83.2</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-0.38[-1.3;0.38]</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79.6</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77.6</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5.0E-04</w:t>
            </w:r>
          </w:p>
        </w:tc>
        <w:tc>
          <w:tcPr>
            <w:tcW w:w="1314"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0.60</w:t>
            </w:r>
          </w:p>
        </w:tc>
        <w:tc>
          <w:tcPr>
            <w:tcW w:w="1783"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0.01[-0.79;0.74]</w:t>
            </w:r>
          </w:p>
        </w:tc>
        <w:tc>
          <w:tcPr>
            <w:tcW w:w="1109"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51.2</w:t>
            </w:r>
          </w:p>
        </w:tc>
        <w:tc>
          <w:tcPr>
            <w:tcW w:w="1710"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-0.11[-0.81;0.67]</w:t>
            </w:r>
          </w:p>
        </w:tc>
        <w:tc>
          <w:tcPr>
            <w:tcW w:w="1080"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64.0</w:t>
            </w:r>
          </w:p>
        </w:tc>
        <w:tc>
          <w:tcPr>
            <w:tcW w:w="118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74.0</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val="restart"/>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Environment</w:t>
            </w:r>
          </w:p>
        </w:tc>
        <w:tc>
          <w:tcPr>
            <w:tcW w:w="1060" w:type="dxa"/>
            <w:vMerge w:val="restart"/>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dashed" w:sz="4" w:space="0" w:color="000000"/>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2.3E-03</w:t>
            </w:r>
          </w:p>
        </w:tc>
        <w:tc>
          <w:tcPr>
            <w:tcW w:w="1314"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0.61</w:t>
            </w:r>
          </w:p>
        </w:tc>
        <w:tc>
          <w:tcPr>
            <w:tcW w:w="1783"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0.08[-0.85;0.99]</w:t>
            </w:r>
          </w:p>
        </w:tc>
        <w:tc>
          <w:tcPr>
            <w:tcW w:w="1109"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55.6</w:t>
            </w:r>
          </w:p>
        </w:tc>
        <w:tc>
          <w:tcPr>
            <w:tcW w:w="1710"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0.16[-0.7;1.1]</w:t>
            </w:r>
          </w:p>
        </w:tc>
        <w:tc>
          <w:tcPr>
            <w:tcW w:w="1080"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63.3</w:t>
            </w:r>
          </w:p>
        </w:tc>
        <w:tc>
          <w:tcPr>
            <w:tcW w:w="1185"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3.4E-03</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0.56</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-0.78[-2.1;0.34]</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89.3</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0.35[-0.52;1.37]</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76.4</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bottom w:val="dotDotDash"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0.51</w:t>
            </w:r>
          </w:p>
        </w:tc>
        <w:tc>
          <w:tcPr>
            <w:tcW w:w="1131"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1.3E-03</w:t>
            </w:r>
          </w:p>
        </w:tc>
        <w:tc>
          <w:tcPr>
            <w:tcW w:w="1314"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0.59</w:t>
            </w:r>
          </w:p>
        </w:tc>
        <w:tc>
          <w:tcPr>
            <w:tcW w:w="1783"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0.56[-0.06;1.25]</w:t>
            </w:r>
          </w:p>
        </w:tc>
        <w:tc>
          <w:tcPr>
            <w:tcW w:w="1109"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94.2</w:t>
            </w:r>
          </w:p>
        </w:tc>
        <w:tc>
          <w:tcPr>
            <w:tcW w:w="171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-0.54[-1.24;0.23]</w:t>
            </w:r>
          </w:p>
        </w:tc>
        <w:tc>
          <w:tcPr>
            <w:tcW w:w="108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91.5</w:t>
            </w:r>
          </w:p>
        </w:tc>
        <w:tc>
          <w:tcPr>
            <w:tcW w:w="118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43.8</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MVE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2.3E-03</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0.59</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-0.84[-1.74;0.02]</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97.0</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0.68[-0.14;1.5]</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94.1</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82.5</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0.51</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3.0E-04</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0.64</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1.31[-0.94;2.93]</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77.3</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-0.88[-1.93;0.69]</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75.8</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79.5</w:t>
            </w:r>
          </w:p>
        </w:tc>
      </w:tr>
      <w:tr w:rsidR="00505E5E" w:rsidTr="00505E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0.51</w:t>
            </w:r>
          </w:p>
        </w:tc>
        <w:tc>
          <w:tcPr>
            <w:tcW w:w="1131"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2.0E-04</w:t>
            </w:r>
          </w:p>
        </w:tc>
        <w:tc>
          <w:tcPr>
            <w:tcW w:w="1314"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0.59</w:t>
            </w:r>
          </w:p>
        </w:tc>
        <w:tc>
          <w:tcPr>
            <w:tcW w:w="1783"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-0.13[-0.87;0.63]</w:t>
            </w:r>
          </w:p>
        </w:tc>
        <w:tc>
          <w:tcPr>
            <w:tcW w:w="1109"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63.2</w:t>
            </w:r>
          </w:p>
        </w:tc>
        <w:tc>
          <w:tcPr>
            <w:tcW w:w="171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0.09[-0.72;0.94]</w:t>
            </w:r>
          </w:p>
        </w:tc>
        <w:tc>
          <w:tcPr>
            <w:tcW w:w="108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58.1</w:t>
            </w:r>
          </w:p>
        </w:tc>
        <w:tc>
          <w:tcPr>
            <w:tcW w:w="118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71.8</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single" w:sz="4" w:space="0" w:color="000000"/>
            </w:tcBorders>
            <w:shd w:val="clear" w:color="auto" w:fill="auto"/>
            <w:vAlign w:val="center"/>
          </w:tcPr>
          <w:p w:rsidR="00505E5E" w:rsidRDefault="007601EC">
            <w:pPr>
              <w:jc w:val="center"/>
              <w:rPr>
                <w:sz w:val="20"/>
                <w:szCs w:val="20"/>
              </w:rPr>
            </w:pPr>
            <w:r>
              <w:rPr>
                <w:b w:val="0"/>
                <w:sz w:val="20"/>
                <w:szCs w:val="20"/>
              </w:rPr>
              <w:t>Trees</w:t>
            </w:r>
          </w:p>
        </w:tc>
        <w:tc>
          <w:tcPr>
            <w:tcW w:w="1419"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Geographic</w:t>
            </w:r>
          </w:p>
        </w:tc>
        <w:tc>
          <w:tcPr>
            <w:tcW w:w="1060"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single" w:sz="4" w:space="0" w:color="000000"/>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0.52</w:t>
            </w:r>
          </w:p>
        </w:tc>
        <w:tc>
          <w:tcPr>
            <w:tcW w:w="1131"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4.0E-04</w:t>
            </w:r>
          </w:p>
        </w:tc>
        <w:tc>
          <w:tcPr>
            <w:tcW w:w="1314"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0.56</w:t>
            </w:r>
          </w:p>
        </w:tc>
        <w:tc>
          <w:tcPr>
            <w:tcW w:w="1783"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0.01[-0.13;0.16]</w:t>
            </w:r>
          </w:p>
        </w:tc>
        <w:tc>
          <w:tcPr>
            <w:tcW w:w="1109"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57.9</w:t>
            </w:r>
          </w:p>
        </w:tc>
        <w:tc>
          <w:tcPr>
            <w:tcW w:w="171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0.09[-0.05;0.24]</w:t>
            </w:r>
          </w:p>
        </w:tc>
        <w:tc>
          <w:tcPr>
            <w:tcW w:w="108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89.5</w:t>
            </w:r>
          </w:p>
        </w:tc>
        <w:tc>
          <w:tcPr>
            <w:tcW w:w="118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0.0E+00</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0.41</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-0.05[-0.16;0.06]</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81.3</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0.06[-0.03;0.15]</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89.3</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47.3</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single" w:sz="4" w:space="0" w:color="000000"/>
              <w:bottom w:val="dotDotDash"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5.0E-04</w:t>
            </w:r>
          </w:p>
        </w:tc>
        <w:tc>
          <w:tcPr>
            <w:tcW w:w="1314"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0.76</w:t>
            </w:r>
          </w:p>
        </w:tc>
        <w:tc>
          <w:tcPr>
            <w:tcW w:w="1783"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-0.05[-0.26;0.18]</w:t>
            </w:r>
          </w:p>
        </w:tc>
        <w:tc>
          <w:tcPr>
            <w:tcW w:w="1109"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67.5</w:t>
            </w:r>
          </w:p>
        </w:tc>
        <w:tc>
          <w:tcPr>
            <w:tcW w:w="171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0.39[-0.05;0.76]</w:t>
            </w:r>
          </w:p>
        </w:tc>
        <w:tc>
          <w:tcPr>
            <w:tcW w:w="108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96.6</w:t>
            </w:r>
          </w:p>
        </w:tc>
        <w:tc>
          <w:tcPr>
            <w:tcW w:w="118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KDE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0.48</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1.0E-04</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0.51</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-0.05[-0.19;0.08]</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77.1</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0.09[-0.03;0.22]</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91.5</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36.9</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0.52</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4.0E-04</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0.27</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0.07[-0.02;0.15]</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93.6</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-0.01[-0.09;0.07]</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55.2</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93.8</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p>
        </w:tc>
        <w:tc>
          <w:tcPr>
            <w:tcW w:w="1131"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1.3E-03</w:t>
            </w:r>
          </w:p>
        </w:tc>
        <w:tc>
          <w:tcPr>
            <w:tcW w:w="1314"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0.76</w:t>
            </w:r>
          </w:p>
        </w:tc>
        <w:tc>
          <w:tcPr>
            <w:tcW w:w="1783"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-0.21[-0.43;0]</w:t>
            </w:r>
          </w:p>
        </w:tc>
        <w:tc>
          <w:tcPr>
            <w:tcW w:w="1109"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96.9</w:t>
            </w:r>
          </w:p>
        </w:tc>
        <w:tc>
          <w:tcPr>
            <w:tcW w:w="1710"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0.62[0.23;0.96]</w:t>
            </w:r>
          </w:p>
        </w:tc>
        <w:tc>
          <w:tcPr>
            <w:tcW w:w="1080"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99.9</w:t>
            </w:r>
          </w:p>
        </w:tc>
        <w:tc>
          <w:tcPr>
            <w:tcW w:w="1185" w:type="dxa"/>
            <w:tcBorders>
              <w:bottom w:val="dashed"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val="restart"/>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Environment</w:t>
            </w:r>
          </w:p>
        </w:tc>
        <w:tc>
          <w:tcPr>
            <w:tcW w:w="1060" w:type="dxa"/>
            <w:vMerge w:val="restart"/>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dashed" w:sz="4" w:space="0" w:color="000000"/>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0.48</w:t>
            </w:r>
          </w:p>
        </w:tc>
        <w:tc>
          <w:tcPr>
            <w:tcW w:w="1131"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2.9E-03</w:t>
            </w:r>
          </w:p>
        </w:tc>
        <w:tc>
          <w:tcPr>
            <w:tcW w:w="1314"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0.59</w:t>
            </w:r>
          </w:p>
        </w:tc>
        <w:tc>
          <w:tcPr>
            <w:tcW w:w="1783"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0.01[-0.14;0.15]</w:t>
            </w:r>
          </w:p>
        </w:tc>
        <w:tc>
          <w:tcPr>
            <w:tcW w:w="1109"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54.6</w:t>
            </w:r>
          </w:p>
        </w:tc>
        <w:tc>
          <w:tcPr>
            <w:tcW w:w="1710"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0.28[0.1;0.47]</w:t>
            </w:r>
          </w:p>
        </w:tc>
        <w:tc>
          <w:tcPr>
            <w:tcW w:w="1080"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99.8</w:t>
            </w:r>
          </w:p>
        </w:tc>
        <w:tc>
          <w:tcPr>
            <w:tcW w:w="1185"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3.0E-04</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0.40</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-0.13[-0.24;-0.02]</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99.2</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0.07[-0.03;0.17]</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91.6</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10.3</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bottom w:val="dotDotDash"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0.49</w:t>
            </w:r>
          </w:p>
        </w:tc>
        <w:tc>
          <w:tcPr>
            <w:tcW w:w="1131"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9.0E-04</w:t>
            </w:r>
          </w:p>
        </w:tc>
        <w:tc>
          <w:tcPr>
            <w:tcW w:w="1314"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0.77</w:t>
            </w:r>
          </w:p>
        </w:tc>
        <w:tc>
          <w:tcPr>
            <w:tcW w:w="1783"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0.29[0.06;0.49]</w:t>
            </w:r>
          </w:p>
        </w:tc>
        <w:tc>
          <w:tcPr>
            <w:tcW w:w="1109"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99.5</w:t>
            </w:r>
          </w:p>
        </w:tc>
        <w:tc>
          <w:tcPr>
            <w:tcW w:w="171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-0.06[-0.42;0.32]</w:t>
            </w:r>
          </w:p>
        </w:tc>
        <w:tc>
          <w:tcPr>
            <w:tcW w:w="108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62.1</w:t>
            </w:r>
          </w:p>
        </w:tc>
        <w:tc>
          <w:tcPr>
            <w:tcW w:w="118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MVE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1.0E-04</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0.42</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-0.17[-0.28;-0.06]</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0.24[0.09;0.39]</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99.9</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13.9</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0.48</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0.0E+00</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0.30</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-0.06[-0.18;0.06]</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83.4</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0.03[-0.05;0.12]</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76.6</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w:t>
            </w:r>
          </w:p>
        </w:tc>
      </w:tr>
      <w:tr w:rsidR="00505E5E" w:rsidTr="00505E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1.0E-04</w:t>
            </w:r>
          </w:p>
        </w:tc>
        <w:tc>
          <w:tcPr>
            <w:tcW w:w="1314"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0.71</w:t>
            </w:r>
          </w:p>
        </w:tc>
        <w:tc>
          <w:tcPr>
            <w:tcW w:w="1783"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-0.12[-0.33;0.07]</w:t>
            </w:r>
          </w:p>
        </w:tc>
        <w:tc>
          <w:tcPr>
            <w:tcW w:w="1109"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90.0</w:t>
            </w:r>
          </w:p>
        </w:tc>
        <w:tc>
          <w:tcPr>
            <w:tcW w:w="171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0.33[-0.03;0.69]</w:t>
            </w:r>
          </w:p>
        </w:tc>
        <w:tc>
          <w:tcPr>
            <w:tcW w:w="108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96.2</w:t>
            </w:r>
          </w:p>
        </w:tc>
        <w:tc>
          <w:tcPr>
            <w:tcW w:w="118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12.7</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single" w:sz="4" w:space="0" w:color="000000"/>
            </w:tcBorders>
            <w:shd w:val="clear" w:color="auto" w:fill="auto"/>
            <w:vAlign w:val="center"/>
          </w:tcPr>
          <w:p w:rsidR="00505E5E" w:rsidRDefault="007601EC">
            <w:pPr>
              <w:jc w:val="center"/>
              <w:rPr>
                <w:sz w:val="20"/>
                <w:szCs w:val="20"/>
              </w:rPr>
            </w:pPr>
            <w:r>
              <w:rPr>
                <w:b w:val="0"/>
                <w:sz w:val="20"/>
                <w:szCs w:val="20"/>
              </w:rPr>
              <w:t>BBSbirds</w:t>
            </w:r>
          </w:p>
        </w:tc>
        <w:tc>
          <w:tcPr>
            <w:tcW w:w="1419"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Geographic</w:t>
            </w:r>
          </w:p>
        </w:tc>
        <w:tc>
          <w:tcPr>
            <w:tcW w:w="1060" w:type="dxa"/>
            <w:vMerge w:val="restart"/>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single" w:sz="4" w:space="0" w:color="000000"/>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8.0E-04</w:t>
            </w:r>
          </w:p>
        </w:tc>
        <w:tc>
          <w:tcPr>
            <w:tcW w:w="1314"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0.92</w:t>
            </w:r>
          </w:p>
        </w:tc>
        <w:tc>
          <w:tcPr>
            <w:tcW w:w="1783"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0.27[-0.09;0.62]</w:t>
            </w:r>
          </w:p>
        </w:tc>
        <w:tc>
          <w:tcPr>
            <w:tcW w:w="1109"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92.9</w:t>
            </w:r>
          </w:p>
        </w:tc>
        <w:tc>
          <w:tcPr>
            <w:tcW w:w="171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-0.66[-0.99;-0.34]</w:t>
            </w:r>
          </w:p>
        </w:tc>
        <w:tc>
          <w:tcPr>
            <w:tcW w:w="1080"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185" w:type="dxa"/>
            <w:tcBorders>
              <w:top w:val="single"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97.5</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2.2E-03</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0.85</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1.24[1;1.48]</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-0.78[-0.99;-0.57]</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0.49</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1.9E-03</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0.94</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-0.44[-0.83;-0.07]</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98.6</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-0.58[-1.1;-0.11]</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99.0</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KDE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r w:rsidR="00303877">
              <w:rPr>
                <w:sz w:val="20"/>
                <w:szCs w:val="20"/>
              </w:rPr>
              <w:t>²</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4.0E-04</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0.95</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0.66[0.24;1.06]</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99.9</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-0.93[-1.3;-0.64]</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88.1</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4.6E-03</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0.71</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1.15[1;1.31]</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-0.79[-0.95;-0.64]</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0.47</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2.2E-03</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0.94</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-0.24[-0.63;0.15]</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89.3</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-0.69[-1.17;-0.24]</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99.8</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99.9</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val="restart"/>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Environment</w:t>
            </w:r>
          </w:p>
        </w:tc>
        <w:tc>
          <w:tcPr>
            <w:tcW w:w="1060" w:type="dxa"/>
            <w:vMerge w:val="restart"/>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dashed" w:sz="4" w:space="0" w:color="000000"/>
            </w:tcBorders>
            <w:shd w:val="clear" w:color="auto" w:fill="auto"/>
            <w:vAlign w:val="center"/>
          </w:tcPr>
          <w:p w:rsidR="00505E5E" w:rsidRDefault="00C07C8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0.49</w:t>
            </w:r>
          </w:p>
        </w:tc>
        <w:tc>
          <w:tcPr>
            <w:tcW w:w="1131"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5.0E-04</w:t>
            </w:r>
          </w:p>
        </w:tc>
        <w:tc>
          <w:tcPr>
            <w:tcW w:w="1314"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0.90</w:t>
            </w:r>
          </w:p>
        </w:tc>
        <w:tc>
          <w:tcPr>
            <w:tcW w:w="1783"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0.61[0.31;0.94]</w:t>
            </w:r>
          </w:p>
        </w:tc>
        <w:tc>
          <w:tcPr>
            <w:tcW w:w="1109"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710"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-0.76[-1.05;-0.5]</w:t>
            </w:r>
          </w:p>
        </w:tc>
        <w:tc>
          <w:tcPr>
            <w:tcW w:w="1080"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185" w:type="dxa"/>
            <w:tcBorders>
              <w:top w:val="dashed" w:sz="4" w:space="0" w:color="000000"/>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81.6</w:t>
            </w:r>
          </w:p>
        </w:tc>
      </w:tr>
      <w:tr w:rsidR="00505E5E" w:rsidTr="00505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p>
        </w:tc>
        <w:tc>
          <w:tcPr>
            <w:tcW w:w="1131"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2.5E-03</w:t>
            </w:r>
          </w:p>
        </w:tc>
        <w:tc>
          <w:tcPr>
            <w:tcW w:w="1314"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0.78</w:t>
            </w:r>
          </w:p>
        </w:tc>
        <w:tc>
          <w:tcPr>
            <w:tcW w:w="1783"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1.05[0.84;1.25]</w:t>
            </w:r>
          </w:p>
        </w:tc>
        <w:tc>
          <w:tcPr>
            <w:tcW w:w="1109"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71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-0.59[-0.78;-0.41]</w:t>
            </w:r>
          </w:p>
        </w:tc>
        <w:tc>
          <w:tcPr>
            <w:tcW w:w="1080"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185" w:type="dxa"/>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r>
      <w:tr w:rsidR="00505E5E" w:rsidTr="00F46539">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bottom w:val="dotDotDash"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0.49</w:t>
            </w:r>
          </w:p>
        </w:tc>
        <w:tc>
          <w:tcPr>
            <w:tcW w:w="1131"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1.3E-03</w:t>
            </w:r>
          </w:p>
        </w:tc>
        <w:tc>
          <w:tcPr>
            <w:tcW w:w="1314"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0.92</w:t>
            </w:r>
          </w:p>
        </w:tc>
        <w:tc>
          <w:tcPr>
            <w:tcW w:w="1783"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-0.15[-0.47;0.21]</w:t>
            </w:r>
          </w:p>
        </w:tc>
        <w:tc>
          <w:tcPr>
            <w:tcW w:w="1109"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79.9</w:t>
            </w:r>
          </w:p>
        </w:tc>
        <w:tc>
          <w:tcPr>
            <w:tcW w:w="171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-0.5[-0.89;-0.17]</w:t>
            </w:r>
          </w:p>
        </w:tc>
        <w:tc>
          <w:tcPr>
            <w:tcW w:w="1080"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99.7</w:t>
            </w:r>
          </w:p>
        </w:tc>
        <w:tc>
          <w:tcPr>
            <w:tcW w:w="1185" w:type="dxa"/>
            <w:tcBorders>
              <w:bottom w:val="dotDotDash" w:sz="4" w:space="0" w:color="auto"/>
            </w:tcBorders>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505E5E" w:rsidTr="00F46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MVE</w:t>
            </w:r>
          </w:p>
        </w:tc>
        <w:tc>
          <w:tcPr>
            <w:tcW w:w="1365" w:type="dxa"/>
            <w:tcBorders>
              <w:top w:val="dotDotDash" w:sz="4" w:space="0" w:color="auto"/>
            </w:tcBorders>
            <w:shd w:val="clear" w:color="auto" w:fill="auto"/>
            <w:vAlign w:val="center"/>
          </w:tcPr>
          <w:p w:rsidR="00505E5E" w:rsidRDefault="00C07C8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p>
        </w:tc>
        <w:tc>
          <w:tcPr>
            <w:tcW w:w="1131"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8.0E-04</w:t>
            </w:r>
          </w:p>
        </w:tc>
        <w:tc>
          <w:tcPr>
            <w:tcW w:w="1314"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0.84</w:t>
            </w:r>
          </w:p>
        </w:tc>
        <w:tc>
          <w:tcPr>
            <w:tcW w:w="1783"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-0.95[-1.19;-0.69]</w:t>
            </w:r>
          </w:p>
        </w:tc>
        <w:tc>
          <w:tcPr>
            <w:tcW w:w="1109"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71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0.89[0.55;1.22]</w:t>
            </w:r>
          </w:p>
        </w:tc>
        <w:tc>
          <w:tcPr>
            <w:tcW w:w="1080"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185" w:type="dxa"/>
            <w:tcBorders>
              <w:top w:val="dotDotDash" w:sz="4" w:space="0" w:color="auto"/>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63.7</w:t>
            </w:r>
          </w:p>
        </w:tc>
      </w:tr>
      <w:tr w:rsidR="00505E5E" w:rsidTr="00505E5E">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505E5E" w:rsidRDefault="00505E5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0.49</w:t>
            </w:r>
          </w:p>
        </w:tc>
        <w:tc>
          <w:tcPr>
            <w:tcW w:w="1131"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4.2E-03</w:t>
            </w:r>
          </w:p>
        </w:tc>
        <w:tc>
          <w:tcPr>
            <w:tcW w:w="1314"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0.69</w:t>
            </w:r>
          </w:p>
        </w:tc>
        <w:tc>
          <w:tcPr>
            <w:tcW w:w="1783"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0.21[0.02;0.4]</w:t>
            </w:r>
          </w:p>
        </w:tc>
        <w:tc>
          <w:tcPr>
            <w:tcW w:w="1109"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98.2</w:t>
            </w:r>
          </w:p>
        </w:tc>
        <w:tc>
          <w:tcPr>
            <w:tcW w:w="171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0.26[0.11;0.41]</w:t>
            </w:r>
          </w:p>
        </w:tc>
        <w:tc>
          <w:tcPr>
            <w:tcW w:w="1080"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185" w:type="dxa"/>
            <w:shd w:val="clear" w:color="auto" w:fill="auto"/>
            <w:vAlign w:val="center"/>
          </w:tcPr>
          <w:p w:rsidR="00505E5E" w:rsidRDefault="007601E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r>
      <w:tr w:rsidR="00505E5E" w:rsidTr="003038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bottom w:val="single"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bottom w:val="single"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bottom w:val="single" w:sz="4" w:space="0" w:color="auto"/>
            </w:tcBorders>
            <w:shd w:val="clear" w:color="auto" w:fill="auto"/>
            <w:vAlign w:val="center"/>
          </w:tcPr>
          <w:p w:rsidR="00505E5E" w:rsidRDefault="00505E5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0.49</w:t>
            </w:r>
          </w:p>
        </w:tc>
        <w:tc>
          <w:tcPr>
            <w:tcW w:w="1131"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9.0E-04</w:t>
            </w:r>
          </w:p>
        </w:tc>
        <w:tc>
          <w:tcPr>
            <w:tcW w:w="1314"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0.93</w:t>
            </w:r>
          </w:p>
        </w:tc>
        <w:tc>
          <w:tcPr>
            <w:tcW w:w="1783"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-1.72[-2.05;-1.32]</w:t>
            </w:r>
          </w:p>
        </w:tc>
        <w:tc>
          <w:tcPr>
            <w:tcW w:w="1109"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100.00</w:t>
            </w:r>
          </w:p>
        </w:tc>
        <w:tc>
          <w:tcPr>
            <w:tcW w:w="171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2.21[1.41;2.93]</w:t>
            </w:r>
          </w:p>
        </w:tc>
        <w:tc>
          <w:tcPr>
            <w:tcW w:w="1080"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1185" w:type="dxa"/>
            <w:tcBorders>
              <w:bottom w:val="single" w:sz="4" w:space="0" w:color="000000"/>
            </w:tcBorders>
            <w:shd w:val="clear" w:color="auto" w:fill="auto"/>
            <w:vAlign w:val="center"/>
          </w:tcPr>
          <w:p w:rsidR="00505E5E" w:rsidRDefault="007601E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w:t>
            </w:r>
          </w:p>
        </w:tc>
      </w:tr>
    </w:tbl>
    <w:p w:rsidR="00856516" w:rsidRDefault="00856516">
      <w:pPr>
        <w:rPr>
          <w:rFonts w:ascii="Times New Roman" w:eastAsia="Times New Roman" w:hAnsi="Times New Roman" w:cs="Times New Roman"/>
          <w:sz w:val="20"/>
          <w:szCs w:val="20"/>
        </w:rPr>
      </w:pPr>
    </w:p>
    <w:p w:rsidR="00856516" w:rsidRDefault="0085651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61021" w:rsidRDefault="00E61021">
      <w:pPr>
        <w:rPr>
          <w:rFonts w:ascii="Times New Roman" w:eastAsia="Times New Roman" w:hAnsi="Times New Roman" w:cs="Times New Roman"/>
          <w:sz w:val="20"/>
          <w:szCs w:val="20"/>
        </w:rPr>
      </w:pPr>
    </w:p>
    <w:tbl>
      <w:tblPr>
        <w:tblStyle w:val="a"/>
        <w:tblW w:w="15319" w:type="dxa"/>
        <w:tblLayout w:type="fixed"/>
        <w:tblLook w:val="04A0" w:firstRow="1" w:lastRow="0" w:firstColumn="1" w:lastColumn="0" w:noHBand="0" w:noVBand="1"/>
      </w:tblPr>
      <w:tblGrid>
        <w:gridCol w:w="1128"/>
        <w:gridCol w:w="1419"/>
        <w:gridCol w:w="1060"/>
        <w:gridCol w:w="1365"/>
        <w:gridCol w:w="1035"/>
        <w:gridCol w:w="1131"/>
        <w:gridCol w:w="1314"/>
        <w:gridCol w:w="1783"/>
        <w:gridCol w:w="1109"/>
        <w:gridCol w:w="1710"/>
        <w:gridCol w:w="1080"/>
        <w:gridCol w:w="1185"/>
      </w:tblGrid>
      <w:tr w:rsidR="00E61021" w:rsidTr="009F57E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9" w:type="dxa"/>
            <w:gridSpan w:val="12"/>
            <w:tcBorders>
              <w:top w:val="single" w:sz="4" w:space="0" w:color="000000"/>
            </w:tcBorders>
            <w:shd w:val="clear" w:color="auto" w:fill="auto"/>
            <w:vAlign w:val="center"/>
          </w:tcPr>
          <w:p w:rsidR="00E0651E" w:rsidRDefault="00E0651E" w:rsidP="00E0651E">
            <w:pPr>
              <w:pStyle w:val="Heading2"/>
              <w:spacing w:line="360" w:lineRule="auto"/>
              <w:outlineLvl w:val="1"/>
            </w:pPr>
            <w:bookmarkStart w:id="18" w:name="_Toc77951744"/>
            <w:r>
              <w:t>Table S2. Outputs from Bayesian mixed-effect models</w:t>
            </w:r>
            <w:r w:rsidR="000C5D89">
              <w:t xml:space="preserve"> </w:t>
            </w:r>
            <w:r w:rsidR="000C5D89" w:rsidRPr="000C5D89">
              <w:t>for the two bird datasets with migratory species excluded</w:t>
            </w:r>
            <w:bookmarkEnd w:id="18"/>
          </w:p>
          <w:p w:rsidR="00E0651E" w:rsidRPr="00E0651E" w:rsidRDefault="00E0651E" w:rsidP="00E0651E">
            <w:pPr>
              <w:rPr>
                <w:b w:val="0"/>
              </w:rPr>
            </w:pPr>
            <w:r>
              <w:rPr>
                <w:b w:val="0"/>
              </w:rPr>
              <w:t>For further details see Table S1.</w:t>
            </w:r>
          </w:p>
          <w:p w:rsidR="00E61021" w:rsidRDefault="00E61021" w:rsidP="00162AFF">
            <w:pPr>
              <w:jc w:val="center"/>
              <w:rPr>
                <w:sz w:val="20"/>
                <w:szCs w:val="20"/>
              </w:rPr>
            </w:pP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tcBorders>
              <w:top w:val="single" w:sz="4" w:space="0" w:color="000000"/>
            </w:tcBorders>
            <w:shd w:val="clear" w:color="auto" w:fill="auto"/>
            <w:vAlign w:val="center"/>
          </w:tcPr>
          <w:p w:rsidR="00E0651E" w:rsidRDefault="00E0651E" w:rsidP="00E0651E">
            <w:pPr>
              <w:jc w:val="center"/>
              <w:rPr>
                <w:sz w:val="20"/>
                <w:szCs w:val="20"/>
              </w:rPr>
            </w:pPr>
            <w:r>
              <w:rPr>
                <w:b w:val="0"/>
                <w:sz w:val="20"/>
                <w:szCs w:val="20"/>
              </w:rPr>
              <w:t>Group</w:t>
            </w:r>
          </w:p>
        </w:tc>
        <w:tc>
          <w:tcPr>
            <w:tcW w:w="1419"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Space</w:t>
            </w:r>
          </w:p>
        </w:tc>
        <w:tc>
          <w:tcPr>
            <w:tcW w:w="1060"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Envelope</w:t>
            </w:r>
          </w:p>
        </w:tc>
        <w:tc>
          <w:tcPr>
            <w:tcW w:w="1365"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Distance</w:t>
            </w:r>
          </w:p>
        </w:tc>
        <w:tc>
          <w:tcPr>
            <w:tcW w:w="1035"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Bayesian p-value</w:t>
            </w:r>
          </w:p>
        </w:tc>
        <w:tc>
          <w:tcPr>
            <w:tcW w:w="1131"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Marginal R2</w:t>
            </w:r>
          </w:p>
        </w:tc>
        <w:tc>
          <w:tcPr>
            <w:tcW w:w="1314"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Conditional R2</w:t>
            </w:r>
          </w:p>
        </w:tc>
        <w:tc>
          <w:tcPr>
            <w:tcW w:w="1783"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Distance effect (</w:t>
            </w:r>
            <w:r>
              <w:t>µ</w:t>
            </w:r>
            <w:r>
              <w:rPr>
                <w:vertAlign w:val="subscript"/>
              </w:rPr>
              <w:t>β</w:t>
            </w:r>
            <w:r>
              <w:rPr>
                <w:sz w:val="20"/>
                <w:szCs w:val="20"/>
              </w:rPr>
              <w:t>)</w:t>
            </w:r>
          </w:p>
        </w:tc>
        <w:tc>
          <w:tcPr>
            <w:tcW w:w="1109"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t>P[µ</w:t>
            </w:r>
            <w:r>
              <w:rPr>
                <w:vertAlign w:val="subscript"/>
              </w:rPr>
              <w:t>β</w:t>
            </w:r>
            <w:sdt>
              <w:sdtPr>
                <w:tag w:val="goog_rdk_2"/>
                <w:id w:val="989906437"/>
              </w:sdtPr>
              <w:sdtEndPr/>
              <w:sdtContent>
                <w:r>
                  <w:rPr>
                    <w:rFonts w:ascii="Gungsuh" w:eastAsia="Gungsuh" w:hAnsi="Gungsuh" w:cs="Gungsuh"/>
                  </w:rPr>
                  <w:t xml:space="preserve"> ≠ 0]</w:t>
                </w:r>
              </w:sdtContent>
            </w:sdt>
          </w:p>
        </w:tc>
        <w:tc>
          <w:tcPr>
            <w:tcW w:w="1710"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Quadratic effect (</w:t>
            </w:r>
            <w:r>
              <w:t>µ</w:t>
            </w:r>
            <w:r>
              <w:rPr>
                <w:vertAlign w:val="subscript"/>
              </w:rPr>
              <w:t>γ</w:t>
            </w:r>
            <w:r>
              <w:rPr>
                <w:sz w:val="20"/>
                <w:szCs w:val="20"/>
              </w:rPr>
              <w:t>)</w:t>
            </w:r>
          </w:p>
        </w:tc>
        <w:tc>
          <w:tcPr>
            <w:tcW w:w="1080"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t>µ</w:t>
            </w:r>
            <w:r>
              <w:rPr>
                <w:vertAlign w:val="subscript"/>
              </w:rPr>
              <w:t xml:space="preserve">γ </w:t>
            </w:r>
            <w:sdt>
              <w:sdtPr>
                <w:tag w:val="goog_rdk_3"/>
                <w:id w:val="476811321"/>
              </w:sdtPr>
              <w:sdtEndPr/>
              <w:sdtContent>
                <w:r>
                  <w:rPr>
                    <w:rFonts w:ascii="Gungsuh" w:eastAsia="Gungsuh" w:hAnsi="Gungsuh" w:cs="Gungsuh"/>
                  </w:rPr>
                  <w:t>≠ 0]</w:t>
                </w:r>
              </w:sdtContent>
            </w:sdt>
          </w:p>
        </w:tc>
        <w:tc>
          <w:tcPr>
            <w:tcW w:w="1185" w:type="dxa"/>
            <w:tcBorders>
              <w:top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rPr>
                <w:b/>
                <w:sz w:val="20"/>
                <w:szCs w:val="20"/>
              </w:rPr>
              <w:t>[</w:t>
            </w:r>
            <w:r>
              <w:rPr>
                <w:sz w:val="20"/>
                <w:szCs w:val="20"/>
              </w:rPr>
              <w:t>expected</w:t>
            </w:r>
            <w:r>
              <w:rPr>
                <w:b/>
                <w:sz w:val="20"/>
                <w:szCs w:val="20"/>
              </w:rPr>
              <w:t>]</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single" w:sz="4" w:space="0" w:color="000000"/>
            </w:tcBorders>
            <w:shd w:val="clear" w:color="auto" w:fill="auto"/>
            <w:vAlign w:val="center"/>
          </w:tcPr>
          <w:p w:rsidR="00E0651E" w:rsidRDefault="00E0651E" w:rsidP="00E0651E">
            <w:pPr>
              <w:jc w:val="center"/>
              <w:rPr>
                <w:sz w:val="20"/>
                <w:szCs w:val="20"/>
              </w:rPr>
            </w:pPr>
            <w:r>
              <w:rPr>
                <w:b w:val="0"/>
                <w:sz w:val="20"/>
                <w:szCs w:val="20"/>
              </w:rPr>
              <w:t>eBird</w:t>
            </w:r>
          </w:p>
        </w:tc>
        <w:tc>
          <w:tcPr>
            <w:tcW w:w="1419" w:type="dxa"/>
            <w:vMerge w:val="restart"/>
            <w:tcBorders>
              <w:top w:val="single" w:sz="4" w:space="0" w:color="000000"/>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Geographic</w:t>
            </w:r>
          </w:p>
        </w:tc>
        <w:tc>
          <w:tcPr>
            <w:tcW w:w="1060" w:type="dxa"/>
            <w:vMerge w:val="restart"/>
            <w:tcBorders>
              <w:top w:val="single" w:sz="4" w:space="0" w:color="000000"/>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single" w:sz="4" w:space="0" w:color="000000"/>
            </w:tcBorders>
            <w:shd w:val="clear" w:color="auto" w:fill="auto"/>
            <w:vAlign w:val="center"/>
          </w:tcPr>
          <w:p w:rsidR="00E0651E" w:rsidRDefault="00C07C8F"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0.50</w:t>
            </w:r>
          </w:p>
        </w:tc>
        <w:tc>
          <w:tcPr>
            <w:tcW w:w="1131"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1.00E-04</w:t>
            </w:r>
          </w:p>
        </w:tc>
        <w:tc>
          <w:tcPr>
            <w:tcW w:w="1314"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0.25</w:t>
            </w:r>
          </w:p>
        </w:tc>
        <w:tc>
          <w:tcPr>
            <w:tcW w:w="1783"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-0.06[-0.11;-0.01]</w:t>
            </w:r>
          </w:p>
        </w:tc>
        <w:tc>
          <w:tcPr>
            <w:tcW w:w="1109"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99.40</w:t>
            </w:r>
          </w:p>
        </w:tc>
        <w:tc>
          <w:tcPr>
            <w:tcW w:w="1710"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0.01[-0.02;0.04]</w:t>
            </w:r>
          </w:p>
        </w:tc>
        <w:tc>
          <w:tcPr>
            <w:tcW w:w="1080"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74.67</w:t>
            </w:r>
          </w:p>
        </w:tc>
        <w:tc>
          <w:tcPr>
            <w:tcW w:w="1185"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98.33</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0.51</w:t>
            </w:r>
          </w:p>
        </w:tc>
        <w:tc>
          <w:tcPr>
            <w:tcW w:w="1131"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w:t>
            </w:r>
          </w:p>
        </w:tc>
        <w:tc>
          <w:tcPr>
            <w:tcW w:w="1314"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0.24</w:t>
            </w:r>
          </w:p>
        </w:tc>
        <w:tc>
          <w:tcPr>
            <w:tcW w:w="1783"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0.06[0.03;0.09]</w:t>
            </w:r>
          </w:p>
        </w:tc>
        <w:tc>
          <w:tcPr>
            <w:tcW w:w="1109"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71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-0.02[-0.04;0]</w:t>
            </w:r>
          </w:p>
        </w:tc>
        <w:tc>
          <w:tcPr>
            <w:tcW w:w="108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94.53</w:t>
            </w:r>
          </w:p>
        </w:tc>
        <w:tc>
          <w:tcPr>
            <w:tcW w:w="118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98.77</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single" w:sz="4" w:space="0" w:color="000000"/>
              <w:bottom w:val="dotDotDash" w:sz="4" w:space="0" w:color="auto"/>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0.50</w:t>
            </w:r>
          </w:p>
        </w:tc>
        <w:tc>
          <w:tcPr>
            <w:tcW w:w="1131"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3.00E-04</w:t>
            </w:r>
          </w:p>
        </w:tc>
        <w:tc>
          <w:tcPr>
            <w:tcW w:w="1314"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0.25</w:t>
            </w:r>
          </w:p>
        </w:tc>
        <w:tc>
          <w:tcPr>
            <w:tcW w:w="1783"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-0.16[-0.21;-0.1]</w:t>
            </w:r>
          </w:p>
        </w:tc>
        <w:tc>
          <w:tcPr>
            <w:tcW w:w="1109"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c>
          <w:tcPr>
            <w:tcW w:w="1710"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0.02[0;0.04]</w:t>
            </w:r>
          </w:p>
        </w:tc>
        <w:tc>
          <w:tcPr>
            <w:tcW w:w="1080"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95.40</w:t>
            </w:r>
          </w:p>
        </w:tc>
        <w:tc>
          <w:tcPr>
            <w:tcW w:w="1185"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KDE</w:t>
            </w:r>
          </w:p>
        </w:tc>
        <w:tc>
          <w:tcPr>
            <w:tcW w:w="1365" w:type="dxa"/>
            <w:tcBorders>
              <w:top w:val="dotDotDash" w:sz="4" w:space="0" w:color="auto"/>
            </w:tcBorders>
            <w:shd w:val="clear" w:color="auto" w:fill="auto"/>
            <w:vAlign w:val="center"/>
          </w:tcPr>
          <w:p w:rsidR="00E0651E" w:rsidRDefault="00C07C8F"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0.50</w:t>
            </w:r>
          </w:p>
        </w:tc>
        <w:tc>
          <w:tcPr>
            <w:tcW w:w="1131"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w:t>
            </w:r>
          </w:p>
        </w:tc>
        <w:tc>
          <w:tcPr>
            <w:tcW w:w="1314"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0.24</w:t>
            </w:r>
          </w:p>
        </w:tc>
        <w:tc>
          <w:tcPr>
            <w:tcW w:w="1783"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-0.02[-0.07;0.02]</w:t>
            </w:r>
          </w:p>
        </w:tc>
        <w:tc>
          <w:tcPr>
            <w:tcW w:w="1109"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83.47</w:t>
            </w:r>
          </w:p>
        </w:tc>
        <w:tc>
          <w:tcPr>
            <w:tcW w:w="1710"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0.01[-0.02;0.04]</w:t>
            </w:r>
          </w:p>
        </w:tc>
        <w:tc>
          <w:tcPr>
            <w:tcW w:w="1080"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77.20</w:t>
            </w:r>
          </w:p>
        </w:tc>
        <w:tc>
          <w:tcPr>
            <w:tcW w:w="1185"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74.63</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0.49</w:t>
            </w:r>
          </w:p>
        </w:tc>
        <w:tc>
          <w:tcPr>
            <w:tcW w:w="1131"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1.00E-04</w:t>
            </w:r>
          </w:p>
        </w:tc>
        <w:tc>
          <w:tcPr>
            <w:tcW w:w="1314"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0.24</w:t>
            </w:r>
          </w:p>
        </w:tc>
        <w:tc>
          <w:tcPr>
            <w:tcW w:w="1783"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0.07[0.04;0.1]</w:t>
            </w:r>
          </w:p>
        </w:tc>
        <w:tc>
          <w:tcPr>
            <w:tcW w:w="1109"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c>
          <w:tcPr>
            <w:tcW w:w="171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-0.02[-0.03;0]</w:t>
            </w:r>
          </w:p>
        </w:tc>
        <w:tc>
          <w:tcPr>
            <w:tcW w:w="108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93.67</w:t>
            </w:r>
          </w:p>
        </w:tc>
        <w:tc>
          <w:tcPr>
            <w:tcW w:w="118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99.97</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dashed"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dashed"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0.50</w:t>
            </w:r>
          </w:p>
        </w:tc>
        <w:tc>
          <w:tcPr>
            <w:tcW w:w="1131" w:type="dxa"/>
            <w:tcBorders>
              <w:bottom w:val="dashed"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2.00E-04</w:t>
            </w:r>
          </w:p>
        </w:tc>
        <w:tc>
          <w:tcPr>
            <w:tcW w:w="1314" w:type="dxa"/>
            <w:tcBorders>
              <w:bottom w:val="dashed"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0.24</w:t>
            </w:r>
          </w:p>
        </w:tc>
        <w:tc>
          <w:tcPr>
            <w:tcW w:w="1783" w:type="dxa"/>
            <w:tcBorders>
              <w:bottom w:val="dashed"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-0.11[-0.17;-0.05]</w:t>
            </w:r>
          </w:p>
        </w:tc>
        <w:tc>
          <w:tcPr>
            <w:tcW w:w="1109" w:type="dxa"/>
            <w:tcBorders>
              <w:bottom w:val="dashed"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99.97</w:t>
            </w:r>
          </w:p>
        </w:tc>
        <w:tc>
          <w:tcPr>
            <w:tcW w:w="1710" w:type="dxa"/>
            <w:tcBorders>
              <w:bottom w:val="dashed"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0.03[0;0.05]</w:t>
            </w:r>
          </w:p>
        </w:tc>
        <w:tc>
          <w:tcPr>
            <w:tcW w:w="1080" w:type="dxa"/>
            <w:tcBorders>
              <w:bottom w:val="dashed"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98.40</w:t>
            </w:r>
          </w:p>
        </w:tc>
        <w:tc>
          <w:tcPr>
            <w:tcW w:w="1185" w:type="dxa"/>
            <w:tcBorders>
              <w:bottom w:val="dashed"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99.87</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val="restart"/>
            <w:tcBorders>
              <w:top w:val="dashed" w:sz="4" w:space="0" w:color="000000"/>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Environment</w:t>
            </w:r>
          </w:p>
        </w:tc>
        <w:tc>
          <w:tcPr>
            <w:tcW w:w="1060" w:type="dxa"/>
            <w:vMerge w:val="restart"/>
            <w:tcBorders>
              <w:top w:val="dashed" w:sz="4" w:space="0" w:color="000000"/>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dashed" w:sz="4" w:space="0" w:color="000000"/>
            </w:tcBorders>
            <w:shd w:val="clear" w:color="auto" w:fill="auto"/>
            <w:vAlign w:val="center"/>
          </w:tcPr>
          <w:p w:rsidR="00E0651E" w:rsidRDefault="00C07C8F"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0.49</w:t>
            </w:r>
          </w:p>
        </w:tc>
        <w:tc>
          <w:tcPr>
            <w:tcW w:w="1131"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w:t>
            </w:r>
          </w:p>
        </w:tc>
        <w:tc>
          <w:tcPr>
            <w:tcW w:w="1314"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0.24</w:t>
            </w:r>
          </w:p>
        </w:tc>
        <w:tc>
          <w:tcPr>
            <w:tcW w:w="1783"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0.05[0.01;0.1]</w:t>
            </w:r>
          </w:p>
        </w:tc>
        <w:tc>
          <w:tcPr>
            <w:tcW w:w="1109"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98.37</w:t>
            </w:r>
          </w:p>
        </w:tc>
        <w:tc>
          <w:tcPr>
            <w:tcW w:w="1710"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-0.03[-0.07;0]</w:t>
            </w:r>
          </w:p>
        </w:tc>
        <w:tc>
          <w:tcPr>
            <w:tcW w:w="1080"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97.03</w:t>
            </w:r>
          </w:p>
        </w:tc>
        <w:tc>
          <w:tcPr>
            <w:tcW w:w="1185"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72.97</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0.49</w:t>
            </w:r>
          </w:p>
        </w:tc>
        <w:tc>
          <w:tcPr>
            <w:tcW w:w="1131"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w:t>
            </w:r>
          </w:p>
        </w:tc>
        <w:tc>
          <w:tcPr>
            <w:tcW w:w="1314"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0.24</w:t>
            </w:r>
          </w:p>
        </w:tc>
        <w:tc>
          <w:tcPr>
            <w:tcW w:w="1783"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0.04[0.01;0.06]</w:t>
            </w:r>
          </w:p>
        </w:tc>
        <w:tc>
          <w:tcPr>
            <w:tcW w:w="1109"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99.77</w:t>
            </w:r>
          </w:p>
        </w:tc>
        <w:tc>
          <w:tcPr>
            <w:tcW w:w="171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-0.03[-0.05;-0.01]</w:t>
            </w:r>
          </w:p>
        </w:tc>
        <w:tc>
          <w:tcPr>
            <w:tcW w:w="108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99.23</w:t>
            </w:r>
          </w:p>
        </w:tc>
        <w:tc>
          <w:tcPr>
            <w:tcW w:w="118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75.30</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bottom w:val="dotDotDash" w:sz="4" w:space="0" w:color="auto"/>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0.50</w:t>
            </w:r>
          </w:p>
        </w:tc>
        <w:tc>
          <w:tcPr>
            <w:tcW w:w="1131"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w:t>
            </w:r>
          </w:p>
        </w:tc>
        <w:tc>
          <w:tcPr>
            <w:tcW w:w="1314"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0.23</w:t>
            </w:r>
          </w:p>
        </w:tc>
        <w:tc>
          <w:tcPr>
            <w:tcW w:w="1783"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-0.01[-0.06;0.03]</w:t>
            </w:r>
          </w:p>
        </w:tc>
        <w:tc>
          <w:tcPr>
            <w:tcW w:w="1109"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72.67</w:t>
            </w:r>
          </w:p>
        </w:tc>
        <w:tc>
          <w:tcPr>
            <w:tcW w:w="1710"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-0.01[-0.03;0.01]</w:t>
            </w:r>
          </w:p>
        </w:tc>
        <w:tc>
          <w:tcPr>
            <w:tcW w:w="1080"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77.40</w:t>
            </w:r>
          </w:p>
        </w:tc>
        <w:tc>
          <w:tcPr>
            <w:tcW w:w="1185"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99.47</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MVE</w:t>
            </w:r>
          </w:p>
        </w:tc>
        <w:tc>
          <w:tcPr>
            <w:tcW w:w="1365" w:type="dxa"/>
            <w:tcBorders>
              <w:top w:val="dotDotDash" w:sz="4" w:space="0" w:color="auto"/>
            </w:tcBorders>
            <w:shd w:val="clear" w:color="auto" w:fill="auto"/>
            <w:vAlign w:val="center"/>
          </w:tcPr>
          <w:p w:rsidR="00E0651E" w:rsidRDefault="00C07C8F"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0.50</w:t>
            </w:r>
          </w:p>
        </w:tc>
        <w:tc>
          <w:tcPr>
            <w:tcW w:w="1131"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1.00E-04</w:t>
            </w:r>
          </w:p>
        </w:tc>
        <w:tc>
          <w:tcPr>
            <w:tcW w:w="1314"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0.24</w:t>
            </w:r>
          </w:p>
        </w:tc>
        <w:tc>
          <w:tcPr>
            <w:tcW w:w="1783"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-0.12[-0.16;-0.09]</w:t>
            </w:r>
          </w:p>
        </w:tc>
        <w:tc>
          <w:tcPr>
            <w:tcW w:w="1109"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710"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0.02[0;0.03]</w:t>
            </w:r>
          </w:p>
        </w:tc>
        <w:tc>
          <w:tcPr>
            <w:tcW w:w="1080"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99.40</w:t>
            </w:r>
          </w:p>
        </w:tc>
        <w:tc>
          <w:tcPr>
            <w:tcW w:w="1185"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0.49</w:t>
            </w:r>
          </w:p>
        </w:tc>
        <w:tc>
          <w:tcPr>
            <w:tcW w:w="1131"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1.00E-04</w:t>
            </w:r>
          </w:p>
        </w:tc>
        <w:tc>
          <w:tcPr>
            <w:tcW w:w="1314"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0.24</w:t>
            </w:r>
          </w:p>
        </w:tc>
        <w:tc>
          <w:tcPr>
            <w:tcW w:w="1783"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0.07[0.05;0.1]</w:t>
            </w:r>
          </w:p>
        </w:tc>
        <w:tc>
          <w:tcPr>
            <w:tcW w:w="1109"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c>
          <w:tcPr>
            <w:tcW w:w="171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0[-0.02;0.01]</w:t>
            </w:r>
          </w:p>
        </w:tc>
        <w:tc>
          <w:tcPr>
            <w:tcW w:w="108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54.20</w:t>
            </w:r>
          </w:p>
        </w:tc>
        <w:tc>
          <w:tcPr>
            <w:tcW w:w="118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r>
      <w:tr w:rsidR="00E0651E" w:rsidTr="00162A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0.51</w:t>
            </w:r>
          </w:p>
        </w:tc>
        <w:tc>
          <w:tcPr>
            <w:tcW w:w="1131"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1.00E-04</w:t>
            </w:r>
          </w:p>
        </w:tc>
        <w:tc>
          <w:tcPr>
            <w:tcW w:w="1314"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0.23</w:t>
            </w:r>
          </w:p>
        </w:tc>
        <w:tc>
          <w:tcPr>
            <w:tcW w:w="1783"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-0.14[-0.17;-0.1]</w:t>
            </w:r>
          </w:p>
        </w:tc>
        <w:tc>
          <w:tcPr>
            <w:tcW w:w="1109"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710"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0.01[0.01;0.02]</w:t>
            </w:r>
          </w:p>
        </w:tc>
        <w:tc>
          <w:tcPr>
            <w:tcW w:w="1080"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185"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single" w:sz="4" w:space="0" w:color="000000"/>
            </w:tcBorders>
            <w:shd w:val="clear" w:color="auto" w:fill="auto"/>
            <w:vAlign w:val="center"/>
          </w:tcPr>
          <w:p w:rsidR="00E0651E" w:rsidRDefault="00E0651E" w:rsidP="00E0651E">
            <w:pPr>
              <w:jc w:val="center"/>
              <w:rPr>
                <w:sz w:val="20"/>
                <w:szCs w:val="20"/>
              </w:rPr>
            </w:pPr>
            <w:r>
              <w:rPr>
                <w:b w:val="0"/>
                <w:sz w:val="20"/>
                <w:szCs w:val="20"/>
              </w:rPr>
              <w:t>BBSbirds</w:t>
            </w:r>
          </w:p>
        </w:tc>
        <w:tc>
          <w:tcPr>
            <w:tcW w:w="1419" w:type="dxa"/>
            <w:vMerge w:val="restart"/>
            <w:tcBorders>
              <w:top w:val="single" w:sz="4" w:space="0" w:color="000000"/>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Geographic</w:t>
            </w:r>
          </w:p>
        </w:tc>
        <w:tc>
          <w:tcPr>
            <w:tcW w:w="1060" w:type="dxa"/>
            <w:vMerge w:val="restart"/>
            <w:tcBorders>
              <w:top w:val="single" w:sz="4" w:space="0" w:color="000000"/>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single" w:sz="4" w:space="0" w:color="000000"/>
            </w:tcBorders>
            <w:shd w:val="clear" w:color="auto" w:fill="auto"/>
            <w:vAlign w:val="center"/>
          </w:tcPr>
          <w:p w:rsidR="00E0651E" w:rsidRDefault="00C07C8F"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0.49</w:t>
            </w:r>
          </w:p>
        </w:tc>
        <w:tc>
          <w:tcPr>
            <w:tcW w:w="1131"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3.00E-04</w:t>
            </w:r>
          </w:p>
        </w:tc>
        <w:tc>
          <w:tcPr>
            <w:tcW w:w="1314"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0.37</w:t>
            </w:r>
          </w:p>
        </w:tc>
        <w:tc>
          <w:tcPr>
            <w:tcW w:w="1783"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-0.08[-0.13;-0.03]</w:t>
            </w:r>
          </w:p>
        </w:tc>
        <w:tc>
          <w:tcPr>
            <w:tcW w:w="1109"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99.83</w:t>
            </w:r>
          </w:p>
        </w:tc>
        <w:tc>
          <w:tcPr>
            <w:tcW w:w="1710"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-0.01[-0.04;0.01]</w:t>
            </w:r>
          </w:p>
        </w:tc>
        <w:tc>
          <w:tcPr>
            <w:tcW w:w="1080"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81.93</w:t>
            </w:r>
          </w:p>
        </w:tc>
        <w:tc>
          <w:tcPr>
            <w:tcW w:w="1185" w:type="dxa"/>
            <w:tcBorders>
              <w:top w:val="single"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99.90</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0.50</w:t>
            </w:r>
          </w:p>
        </w:tc>
        <w:tc>
          <w:tcPr>
            <w:tcW w:w="1131"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1.00E-04</w:t>
            </w:r>
          </w:p>
        </w:tc>
        <w:tc>
          <w:tcPr>
            <w:tcW w:w="1314"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0.35</w:t>
            </w:r>
          </w:p>
        </w:tc>
        <w:tc>
          <w:tcPr>
            <w:tcW w:w="1783"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0.09[0.06;0.12]</w:t>
            </w:r>
          </w:p>
        </w:tc>
        <w:tc>
          <w:tcPr>
            <w:tcW w:w="1109"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71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-0.04[-0.06;-0.02]</w:t>
            </w:r>
          </w:p>
        </w:tc>
        <w:tc>
          <w:tcPr>
            <w:tcW w:w="108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18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99.87</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0.50</w:t>
            </w:r>
          </w:p>
        </w:tc>
        <w:tc>
          <w:tcPr>
            <w:tcW w:w="1131"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7.00E-04</w:t>
            </w:r>
          </w:p>
        </w:tc>
        <w:tc>
          <w:tcPr>
            <w:tcW w:w="1314"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0.42</w:t>
            </w:r>
          </w:p>
        </w:tc>
        <w:tc>
          <w:tcPr>
            <w:tcW w:w="1783"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-0.15[-0.23;-0.09]</w:t>
            </w:r>
          </w:p>
        </w:tc>
        <w:tc>
          <w:tcPr>
            <w:tcW w:w="1109"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c>
          <w:tcPr>
            <w:tcW w:w="171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-0.01[-0.04;0.02]</w:t>
            </w:r>
          </w:p>
        </w:tc>
        <w:tc>
          <w:tcPr>
            <w:tcW w:w="108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76.87</w:t>
            </w:r>
          </w:p>
        </w:tc>
        <w:tc>
          <w:tcPr>
            <w:tcW w:w="118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KDE</w:t>
            </w:r>
          </w:p>
        </w:tc>
        <w:tc>
          <w:tcPr>
            <w:tcW w:w="1365" w:type="dxa"/>
            <w:tcBorders>
              <w:top w:val="dotDotDash" w:sz="4" w:space="0" w:color="auto"/>
            </w:tcBorders>
            <w:shd w:val="clear" w:color="auto" w:fill="auto"/>
            <w:vAlign w:val="center"/>
          </w:tcPr>
          <w:p w:rsidR="00E0651E" w:rsidRDefault="00C07C8F"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0.50</w:t>
            </w:r>
          </w:p>
        </w:tc>
        <w:tc>
          <w:tcPr>
            <w:tcW w:w="1131"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3.00E-04</w:t>
            </w:r>
          </w:p>
        </w:tc>
        <w:tc>
          <w:tcPr>
            <w:tcW w:w="1314"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0.37</w:t>
            </w:r>
          </w:p>
        </w:tc>
        <w:tc>
          <w:tcPr>
            <w:tcW w:w="1783"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-0.07[-0.12;-0.03]</w:t>
            </w:r>
          </w:p>
        </w:tc>
        <w:tc>
          <w:tcPr>
            <w:tcW w:w="1109"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99.87</w:t>
            </w:r>
          </w:p>
        </w:tc>
        <w:tc>
          <w:tcPr>
            <w:tcW w:w="1710"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-0.01[-0.03;0.01]</w:t>
            </w:r>
          </w:p>
        </w:tc>
        <w:tc>
          <w:tcPr>
            <w:tcW w:w="1080"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81.67</w:t>
            </w:r>
          </w:p>
        </w:tc>
        <w:tc>
          <w:tcPr>
            <w:tcW w:w="1185"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99.97</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0.50</w:t>
            </w:r>
          </w:p>
        </w:tc>
        <w:tc>
          <w:tcPr>
            <w:tcW w:w="1131"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3.00E-04</w:t>
            </w:r>
          </w:p>
        </w:tc>
        <w:tc>
          <w:tcPr>
            <w:tcW w:w="1314"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0.34</w:t>
            </w:r>
          </w:p>
        </w:tc>
        <w:tc>
          <w:tcPr>
            <w:tcW w:w="1783"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0.13[0.1;0.16]</w:t>
            </w:r>
          </w:p>
        </w:tc>
        <w:tc>
          <w:tcPr>
            <w:tcW w:w="1109"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c>
          <w:tcPr>
            <w:tcW w:w="171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-0.06[-0.07;-0.04]</w:t>
            </w:r>
          </w:p>
        </w:tc>
        <w:tc>
          <w:tcPr>
            <w:tcW w:w="108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c>
          <w:tcPr>
            <w:tcW w:w="118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0.50</w:t>
            </w:r>
          </w:p>
        </w:tc>
        <w:tc>
          <w:tcPr>
            <w:tcW w:w="1131"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0.0012</w:t>
            </w:r>
          </w:p>
        </w:tc>
        <w:tc>
          <w:tcPr>
            <w:tcW w:w="1314"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0.45</w:t>
            </w:r>
          </w:p>
        </w:tc>
        <w:tc>
          <w:tcPr>
            <w:tcW w:w="1783"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-0.19[-0.26;-0.12]</w:t>
            </w:r>
          </w:p>
        </w:tc>
        <w:tc>
          <w:tcPr>
            <w:tcW w:w="1109"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71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0.01[-0.03;0.05]</w:t>
            </w:r>
          </w:p>
        </w:tc>
        <w:tc>
          <w:tcPr>
            <w:tcW w:w="108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65.40</w:t>
            </w:r>
          </w:p>
        </w:tc>
        <w:tc>
          <w:tcPr>
            <w:tcW w:w="118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val="restart"/>
            <w:tcBorders>
              <w:top w:val="dashed" w:sz="4" w:space="0" w:color="000000"/>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Environment</w:t>
            </w:r>
          </w:p>
        </w:tc>
        <w:tc>
          <w:tcPr>
            <w:tcW w:w="1060" w:type="dxa"/>
            <w:vMerge w:val="restart"/>
            <w:tcBorders>
              <w:top w:val="dashed" w:sz="4" w:space="0" w:color="000000"/>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w:t>
            </w:r>
          </w:p>
        </w:tc>
        <w:tc>
          <w:tcPr>
            <w:tcW w:w="1365" w:type="dxa"/>
            <w:tcBorders>
              <w:top w:val="dashed" w:sz="4" w:space="0" w:color="000000"/>
            </w:tcBorders>
            <w:shd w:val="clear" w:color="auto" w:fill="auto"/>
            <w:vAlign w:val="center"/>
          </w:tcPr>
          <w:p w:rsidR="00E0651E" w:rsidRDefault="00C07C8F"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Center</w:t>
            </w:r>
          </w:p>
        </w:tc>
        <w:tc>
          <w:tcPr>
            <w:tcW w:w="1035"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0.51</w:t>
            </w:r>
          </w:p>
        </w:tc>
        <w:tc>
          <w:tcPr>
            <w:tcW w:w="1131"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2.00E-04</w:t>
            </w:r>
          </w:p>
        </w:tc>
        <w:tc>
          <w:tcPr>
            <w:tcW w:w="1314"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0.37</w:t>
            </w:r>
          </w:p>
        </w:tc>
        <w:tc>
          <w:tcPr>
            <w:tcW w:w="1783"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-0.01[-0.06;0.04]</w:t>
            </w:r>
          </w:p>
        </w:tc>
        <w:tc>
          <w:tcPr>
            <w:tcW w:w="1109"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64.63</w:t>
            </w:r>
          </w:p>
        </w:tc>
        <w:tc>
          <w:tcPr>
            <w:tcW w:w="1710"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-0.05[-0.08;-0.02]</w:t>
            </w:r>
          </w:p>
        </w:tc>
        <w:tc>
          <w:tcPr>
            <w:tcW w:w="1080"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99.93</w:t>
            </w:r>
          </w:p>
        </w:tc>
        <w:tc>
          <w:tcPr>
            <w:tcW w:w="1185" w:type="dxa"/>
            <w:tcBorders>
              <w:top w:val="dashed" w:sz="4" w:space="0" w:color="000000"/>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0.49</w:t>
            </w:r>
          </w:p>
        </w:tc>
        <w:tc>
          <w:tcPr>
            <w:tcW w:w="1131"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2.00E-04</w:t>
            </w:r>
          </w:p>
        </w:tc>
        <w:tc>
          <w:tcPr>
            <w:tcW w:w="1314"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0.35</w:t>
            </w:r>
          </w:p>
        </w:tc>
        <w:tc>
          <w:tcPr>
            <w:tcW w:w="1783"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0.1[0.07;0.13]</w:t>
            </w:r>
          </w:p>
        </w:tc>
        <w:tc>
          <w:tcPr>
            <w:tcW w:w="1109"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71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-0.03[-0.05;-0.02]</w:t>
            </w:r>
          </w:p>
        </w:tc>
        <w:tc>
          <w:tcPr>
            <w:tcW w:w="1080"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185" w:type="dxa"/>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99.90</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bottom w:val="dotDotDash" w:sz="4" w:space="0" w:color="auto"/>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tcBorders>
              <w:bottom w:val="dotDotDash" w:sz="4" w:space="0" w:color="auto"/>
            </w:tcBorders>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Mahalanobis</w:t>
            </w:r>
          </w:p>
        </w:tc>
        <w:tc>
          <w:tcPr>
            <w:tcW w:w="1035"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0.50</w:t>
            </w:r>
          </w:p>
        </w:tc>
        <w:tc>
          <w:tcPr>
            <w:tcW w:w="1131"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3.00E-04</w:t>
            </w:r>
          </w:p>
        </w:tc>
        <w:tc>
          <w:tcPr>
            <w:tcW w:w="1314"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0.41</w:t>
            </w:r>
          </w:p>
        </w:tc>
        <w:tc>
          <w:tcPr>
            <w:tcW w:w="1783"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-0.08[-0.14;-0.03]</w:t>
            </w:r>
          </w:p>
        </w:tc>
        <w:tc>
          <w:tcPr>
            <w:tcW w:w="1109"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99.70</w:t>
            </w:r>
          </w:p>
        </w:tc>
        <w:tc>
          <w:tcPr>
            <w:tcW w:w="1710"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-0.02[-0.05;0.01]</w:t>
            </w:r>
          </w:p>
        </w:tc>
        <w:tc>
          <w:tcPr>
            <w:tcW w:w="1080"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93.27</w:t>
            </w:r>
          </w:p>
        </w:tc>
        <w:tc>
          <w:tcPr>
            <w:tcW w:w="1185" w:type="dxa"/>
            <w:tcBorders>
              <w:bottom w:val="dotDotDash" w:sz="4" w:space="0" w:color="auto"/>
            </w:tcBorders>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99.97</w:t>
            </w:r>
          </w:p>
        </w:tc>
      </w:tr>
      <w:tr w:rsidR="00E0651E" w:rsidTr="00162A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val="restart"/>
            <w:tcBorders>
              <w:top w:val="dotDotDash" w:sz="4" w:space="0" w:color="auto"/>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MVE</w:t>
            </w:r>
          </w:p>
        </w:tc>
        <w:tc>
          <w:tcPr>
            <w:tcW w:w="1365" w:type="dxa"/>
            <w:tcBorders>
              <w:top w:val="dotDotDash" w:sz="4" w:space="0" w:color="auto"/>
            </w:tcBorders>
            <w:shd w:val="clear" w:color="auto" w:fill="auto"/>
            <w:vAlign w:val="center"/>
          </w:tcPr>
          <w:p w:rsidR="00E0651E" w:rsidRDefault="00C07C8F"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Center</w:t>
            </w:r>
          </w:p>
        </w:tc>
        <w:tc>
          <w:tcPr>
            <w:tcW w:w="1035"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0.49</w:t>
            </w:r>
          </w:p>
        </w:tc>
        <w:tc>
          <w:tcPr>
            <w:tcW w:w="1131"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1.00E-04</w:t>
            </w:r>
          </w:p>
        </w:tc>
        <w:tc>
          <w:tcPr>
            <w:tcW w:w="1314"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0.35</w:t>
            </w:r>
          </w:p>
        </w:tc>
        <w:tc>
          <w:tcPr>
            <w:tcW w:w="1783"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-0.07[-0.11;-0.04]</w:t>
            </w:r>
          </w:p>
        </w:tc>
        <w:tc>
          <w:tcPr>
            <w:tcW w:w="1109"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710"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0.03[0.01;0.05]</w:t>
            </w:r>
          </w:p>
        </w:tc>
        <w:tc>
          <w:tcPr>
            <w:tcW w:w="1080"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99.90</w:t>
            </w:r>
          </w:p>
        </w:tc>
        <w:tc>
          <w:tcPr>
            <w:tcW w:w="1185" w:type="dxa"/>
            <w:tcBorders>
              <w:top w:val="dotDotDash" w:sz="4" w:space="0" w:color="auto"/>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98.37</w:t>
            </w:r>
          </w:p>
        </w:tc>
      </w:tr>
      <w:tr w:rsidR="00E0651E" w:rsidTr="00162AFF">
        <w:trPr>
          <w:trHeight w:val="300"/>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vMerge/>
            <w:tcBorders>
              <w:top w:val="dashed" w:sz="4" w:space="0" w:color="000000"/>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365" w:type="dxa"/>
            <w:shd w:val="clear" w:color="auto" w:fill="auto"/>
            <w:vAlign w:val="center"/>
          </w:tcPr>
          <w:p w:rsidR="00E0651E" w:rsidRDefault="00E0651E" w:rsidP="00E0651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Margin</w:t>
            </w:r>
          </w:p>
        </w:tc>
        <w:tc>
          <w:tcPr>
            <w:tcW w:w="103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0.50</w:t>
            </w:r>
          </w:p>
        </w:tc>
        <w:tc>
          <w:tcPr>
            <w:tcW w:w="1131"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6.00E-04</w:t>
            </w:r>
          </w:p>
        </w:tc>
        <w:tc>
          <w:tcPr>
            <w:tcW w:w="1314"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0.33</w:t>
            </w:r>
          </w:p>
        </w:tc>
        <w:tc>
          <w:tcPr>
            <w:tcW w:w="1783"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0.12[0.09;0.15]</w:t>
            </w:r>
          </w:p>
        </w:tc>
        <w:tc>
          <w:tcPr>
            <w:tcW w:w="1109"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c>
          <w:tcPr>
            <w:tcW w:w="171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0.01[-0.01;0.02]</w:t>
            </w:r>
          </w:p>
        </w:tc>
        <w:tc>
          <w:tcPr>
            <w:tcW w:w="1080"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82.43</w:t>
            </w:r>
          </w:p>
        </w:tc>
        <w:tc>
          <w:tcPr>
            <w:tcW w:w="1185" w:type="dxa"/>
            <w:shd w:val="clear" w:color="auto" w:fill="auto"/>
            <w:vAlign w:val="center"/>
          </w:tcPr>
          <w:p w:rsidR="00E0651E" w:rsidRPr="00E0651E" w:rsidRDefault="00E0651E" w:rsidP="00E065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0651E">
              <w:rPr>
                <w:color w:val="000000"/>
                <w:sz w:val="20"/>
                <w:szCs w:val="20"/>
              </w:rPr>
              <w:t>100.00</w:t>
            </w:r>
          </w:p>
        </w:tc>
      </w:tr>
      <w:tr w:rsidR="00E0651E" w:rsidTr="00E065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8" w:type="dxa"/>
            <w:vMerge/>
            <w:tcBorders>
              <w:top w:val="single" w:sz="4" w:space="0" w:color="000000"/>
              <w:bottom w:val="single" w:sz="4" w:space="0" w:color="auto"/>
            </w:tcBorders>
            <w:shd w:val="clear" w:color="auto" w:fill="auto"/>
            <w:vAlign w:val="center"/>
          </w:tcPr>
          <w:p w:rsidR="00E0651E" w:rsidRDefault="00E0651E" w:rsidP="00E0651E">
            <w:pPr>
              <w:widowControl w:val="0"/>
              <w:pBdr>
                <w:top w:val="nil"/>
                <w:left w:val="nil"/>
                <w:bottom w:val="nil"/>
                <w:right w:val="nil"/>
                <w:between w:val="nil"/>
              </w:pBdr>
              <w:spacing w:line="276" w:lineRule="auto"/>
              <w:rPr>
                <w:sz w:val="20"/>
                <w:szCs w:val="20"/>
              </w:rPr>
            </w:pPr>
          </w:p>
        </w:tc>
        <w:tc>
          <w:tcPr>
            <w:tcW w:w="1419" w:type="dxa"/>
            <w:vMerge/>
            <w:tcBorders>
              <w:top w:val="dashed" w:sz="4" w:space="0" w:color="000000"/>
              <w:bottom w:val="single" w:sz="4" w:space="0" w:color="auto"/>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060" w:type="dxa"/>
            <w:vMerge/>
            <w:tcBorders>
              <w:top w:val="dashed" w:sz="4" w:space="0" w:color="000000"/>
              <w:bottom w:val="single" w:sz="4" w:space="0" w:color="auto"/>
            </w:tcBorders>
            <w:shd w:val="clear" w:color="auto" w:fill="auto"/>
            <w:vAlign w:val="center"/>
          </w:tcPr>
          <w:p w:rsidR="00E0651E" w:rsidRDefault="00E0651E" w:rsidP="00E0651E">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365" w:type="dxa"/>
            <w:tcBorders>
              <w:bottom w:val="single" w:sz="4" w:space="0" w:color="000000"/>
            </w:tcBorders>
            <w:shd w:val="clear" w:color="auto" w:fill="auto"/>
            <w:vAlign w:val="center"/>
          </w:tcPr>
          <w:p w:rsidR="00E0651E" w:rsidRDefault="00E0651E" w:rsidP="00E0651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Mahalanobis</w:t>
            </w:r>
          </w:p>
        </w:tc>
        <w:tc>
          <w:tcPr>
            <w:tcW w:w="1035"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0.49</w:t>
            </w:r>
          </w:p>
        </w:tc>
        <w:tc>
          <w:tcPr>
            <w:tcW w:w="1131"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3.00E-04</w:t>
            </w:r>
          </w:p>
        </w:tc>
        <w:tc>
          <w:tcPr>
            <w:tcW w:w="1314"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0.39</w:t>
            </w:r>
          </w:p>
        </w:tc>
        <w:tc>
          <w:tcPr>
            <w:tcW w:w="1783"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-0.16[-0.2;-0.11]</w:t>
            </w:r>
          </w:p>
        </w:tc>
        <w:tc>
          <w:tcPr>
            <w:tcW w:w="1109"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710"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0.03[0.02;0.05]</w:t>
            </w:r>
          </w:p>
        </w:tc>
        <w:tc>
          <w:tcPr>
            <w:tcW w:w="1080"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c>
          <w:tcPr>
            <w:tcW w:w="1185" w:type="dxa"/>
            <w:tcBorders>
              <w:bottom w:val="single" w:sz="4" w:space="0" w:color="000000"/>
            </w:tcBorders>
            <w:shd w:val="clear" w:color="auto" w:fill="auto"/>
            <w:vAlign w:val="center"/>
          </w:tcPr>
          <w:p w:rsidR="00E0651E" w:rsidRPr="00E0651E" w:rsidRDefault="00E0651E" w:rsidP="00E065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0651E">
              <w:rPr>
                <w:color w:val="000000"/>
                <w:sz w:val="20"/>
                <w:szCs w:val="20"/>
              </w:rPr>
              <w:t>100.00</w:t>
            </w:r>
          </w:p>
        </w:tc>
      </w:tr>
    </w:tbl>
    <w:p w:rsidR="00505E5E" w:rsidRDefault="00505E5E">
      <w:pPr>
        <w:rPr>
          <w:rFonts w:ascii="Times New Roman" w:eastAsia="Times New Roman" w:hAnsi="Times New Roman" w:cs="Times New Roman"/>
          <w:sz w:val="20"/>
          <w:szCs w:val="20"/>
        </w:rPr>
        <w:sectPr w:rsidR="00505E5E">
          <w:pgSz w:w="15840" w:h="12240" w:orient="landscape"/>
          <w:pgMar w:top="720" w:right="288" w:bottom="720" w:left="288" w:header="720" w:footer="720" w:gutter="0"/>
          <w:cols w:space="720"/>
        </w:sectPr>
      </w:pPr>
    </w:p>
    <w:p w:rsidR="00505E5E" w:rsidRDefault="00505E5E">
      <w:pPr>
        <w:rPr>
          <w:rFonts w:ascii="Times New Roman" w:eastAsia="Times New Roman" w:hAnsi="Times New Roman" w:cs="Times New Roman"/>
          <w:b/>
          <w:sz w:val="28"/>
          <w:szCs w:val="28"/>
        </w:rPr>
      </w:pPr>
      <w:bookmarkStart w:id="19" w:name="_heading=h.4d34og8" w:colFirst="0" w:colLast="0"/>
      <w:bookmarkEnd w:id="19"/>
    </w:p>
    <w:p w:rsidR="00505E5E" w:rsidRDefault="007601EC">
      <w:pPr>
        <w:pStyle w:val="Heading1"/>
      </w:pPr>
      <w:bookmarkStart w:id="20" w:name="_Toc77951745"/>
      <w:r>
        <w:t>Supplementary references</w:t>
      </w:r>
      <w:bookmarkEnd w:id="20"/>
    </w:p>
    <w:p w:rsidR="00F46539" w:rsidRPr="00F46539" w:rsidRDefault="00F46539" w:rsidP="00F46539">
      <w:pPr>
        <w:widowControl w:val="0"/>
        <w:autoSpaceDE w:val="0"/>
        <w:autoSpaceDN w:val="0"/>
        <w:adjustRightInd w:val="0"/>
        <w:spacing w:line="240" w:lineRule="auto"/>
        <w:ind w:left="480" w:hanging="480"/>
        <w:rPr>
          <w:rFonts w:ascii="Times New Roman" w:hAnsi="Times New Roman" w:cs="Times New Roman"/>
          <w:noProof/>
          <w:szCs w:val="24"/>
        </w:rPr>
      </w:pPr>
      <w:r>
        <w:rPr>
          <w:rFonts w:ascii="Times New Roman" w:eastAsia="Times New Roman" w:hAnsi="Times New Roman" w:cs="Times New Roman"/>
        </w:rPr>
        <w:fldChar w:fldCharType="begin" w:fldLock="1"/>
      </w:r>
      <w:r>
        <w:rPr>
          <w:rFonts w:ascii="Times New Roman" w:eastAsia="Times New Roman" w:hAnsi="Times New Roman" w:cs="Times New Roman"/>
        </w:rPr>
        <w:instrText xml:space="preserve">ADDIN Mendeley Bibliography CSL_BIBLIOGRAPHY </w:instrText>
      </w:r>
      <w:r>
        <w:rPr>
          <w:rFonts w:ascii="Times New Roman" w:eastAsia="Times New Roman" w:hAnsi="Times New Roman" w:cs="Times New Roman"/>
        </w:rPr>
        <w:fldChar w:fldCharType="separate"/>
      </w:r>
      <w:r w:rsidRPr="00F46539">
        <w:rPr>
          <w:rFonts w:ascii="Times New Roman" w:hAnsi="Times New Roman" w:cs="Times New Roman"/>
          <w:noProof/>
          <w:szCs w:val="24"/>
        </w:rPr>
        <w:t xml:space="preserve">Gelman, A. (2006) Prior distributions for variance parameters in hierarchical models. </w:t>
      </w:r>
      <w:r w:rsidRPr="00F46539">
        <w:rPr>
          <w:rFonts w:ascii="Times New Roman" w:hAnsi="Times New Roman" w:cs="Times New Roman"/>
          <w:i/>
          <w:iCs/>
          <w:noProof/>
          <w:szCs w:val="24"/>
        </w:rPr>
        <w:t>Bayesian Analysis</w:t>
      </w:r>
      <w:r w:rsidRPr="00F46539">
        <w:rPr>
          <w:rFonts w:ascii="Times New Roman" w:hAnsi="Times New Roman" w:cs="Times New Roman"/>
          <w:noProof/>
          <w:szCs w:val="24"/>
        </w:rPr>
        <w:t xml:space="preserve">, </w:t>
      </w:r>
      <w:r w:rsidRPr="00F46539">
        <w:rPr>
          <w:rFonts w:ascii="Times New Roman" w:hAnsi="Times New Roman" w:cs="Times New Roman"/>
          <w:b/>
          <w:bCs/>
          <w:noProof/>
          <w:szCs w:val="24"/>
        </w:rPr>
        <w:t>1</w:t>
      </w:r>
      <w:r w:rsidRPr="00F46539">
        <w:rPr>
          <w:rFonts w:ascii="Times New Roman" w:hAnsi="Times New Roman" w:cs="Times New Roman"/>
          <w:noProof/>
          <w:szCs w:val="24"/>
        </w:rPr>
        <w:t>, 515–534.</w:t>
      </w:r>
    </w:p>
    <w:p w:rsidR="00F46539" w:rsidRPr="00F46539" w:rsidRDefault="00F46539" w:rsidP="00F46539">
      <w:pPr>
        <w:widowControl w:val="0"/>
        <w:autoSpaceDE w:val="0"/>
        <w:autoSpaceDN w:val="0"/>
        <w:adjustRightInd w:val="0"/>
        <w:spacing w:line="240" w:lineRule="auto"/>
        <w:ind w:left="480" w:hanging="480"/>
        <w:rPr>
          <w:rFonts w:ascii="Times New Roman" w:hAnsi="Times New Roman" w:cs="Times New Roman"/>
          <w:noProof/>
          <w:szCs w:val="24"/>
        </w:rPr>
      </w:pPr>
      <w:r w:rsidRPr="00F46539">
        <w:rPr>
          <w:rFonts w:ascii="Times New Roman" w:hAnsi="Times New Roman" w:cs="Times New Roman"/>
          <w:noProof/>
          <w:szCs w:val="24"/>
        </w:rPr>
        <w:t xml:space="preserve">Gelman, A., Carlin, J.B., Stern, H.S., Dunson, D.B., Vehtari, A. &amp; Rubin, D.B. (2013) </w:t>
      </w:r>
      <w:r w:rsidRPr="00F46539">
        <w:rPr>
          <w:rFonts w:ascii="Times New Roman" w:hAnsi="Times New Roman" w:cs="Times New Roman"/>
          <w:i/>
          <w:iCs/>
          <w:noProof/>
          <w:szCs w:val="24"/>
        </w:rPr>
        <w:t>Bayesian data analysis</w:t>
      </w:r>
      <w:r w:rsidRPr="00F46539">
        <w:rPr>
          <w:rFonts w:ascii="Times New Roman" w:hAnsi="Times New Roman" w:cs="Times New Roman"/>
          <w:noProof/>
          <w:szCs w:val="24"/>
        </w:rPr>
        <w:t>, Chapman and Hall/CRC.</w:t>
      </w:r>
    </w:p>
    <w:p w:rsidR="00F46539" w:rsidRPr="00F46539" w:rsidRDefault="00F46539" w:rsidP="00F46539">
      <w:pPr>
        <w:widowControl w:val="0"/>
        <w:autoSpaceDE w:val="0"/>
        <w:autoSpaceDN w:val="0"/>
        <w:adjustRightInd w:val="0"/>
        <w:spacing w:line="240" w:lineRule="auto"/>
        <w:ind w:left="480" w:hanging="480"/>
        <w:rPr>
          <w:rFonts w:ascii="Times New Roman" w:hAnsi="Times New Roman" w:cs="Times New Roman"/>
          <w:noProof/>
          <w:szCs w:val="24"/>
        </w:rPr>
      </w:pPr>
      <w:r w:rsidRPr="00F46539">
        <w:rPr>
          <w:rFonts w:ascii="Times New Roman" w:hAnsi="Times New Roman" w:cs="Times New Roman"/>
          <w:noProof/>
          <w:szCs w:val="24"/>
        </w:rPr>
        <w:t xml:space="preserve">Gelman, A. &amp; Rubin, D. (1992) Inference from iterative simulation using multiple sequences. </w:t>
      </w:r>
      <w:r w:rsidRPr="00F46539">
        <w:rPr>
          <w:rFonts w:ascii="Times New Roman" w:hAnsi="Times New Roman" w:cs="Times New Roman"/>
          <w:i/>
          <w:iCs/>
          <w:noProof/>
          <w:szCs w:val="24"/>
        </w:rPr>
        <w:t>Statistical science</w:t>
      </w:r>
      <w:r w:rsidRPr="00F46539">
        <w:rPr>
          <w:rFonts w:ascii="Times New Roman" w:hAnsi="Times New Roman" w:cs="Times New Roman"/>
          <w:noProof/>
          <w:szCs w:val="24"/>
        </w:rPr>
        <w:t xml:space="preserve">, </w:t>
      </w:r>
      <w:r w:rsidRPr="00F46539">
        <w:rPr>
          <w:rFonts w:ascii="Times New Roman" w:hAnsi="Times New Roman" w:cs="Times New Roman"/>
          <w:b/>
          <w:bCs/>
          <w:noProof/>
          <w:szCs w:val="24"/>
        </w:rPr>
        <w:t>7</w:t>
      </w:r>
      <w:r w:rsidRPr="00F46539">
        <w:rPr>
          <w:rFonts w:ascii="Times New Roman" w:hAnsi="Times New Roman" w:cs="Times New Roman"/>
          <w:noProof/>
          <w:szCs w:val="24"/>
        </w:rPr>
        <w:t>, 457–511.</w:t>
      </w:r>
    </w:p>
    <w:p w:rsidR="00F46539" w:rsidRPr="00F46539" w:rsidRDefault="00F46539" w:rsidP="00F46539">
      <w:pPr>
        <w:widowControl w:val="0"/>
        <w:autoSpaceDE w:val="0"/>
        <w:autoSpaceDN w:val="0"/>
        <w:adjustRightInd w:val="0"/>
        <w:spacing w:line="240" w:lineRule="auto"/>
        <w:ind w:left="480" w:hanging="480"/>
        <w:rPr>
          <w:rFonts w:ascii="Times New Roman" w:hAnsi="Times New Roman" w:cs="Times New Roman"/>
          <w:noProof/>
          <w:szCs w:val="24"/>
        </w:rPr>
      </w:pPr>
      <w:r w:rsidRPr="00F46539">
        <w:rPr>
          <w:rFonts w:ascii="Times New Roman" w:hAnsi="Times New Roman" w:cs="Times New Roman"/>
          <w:noProof/>
          <w:szCs w:val="24"/>
        </w:rPr>
        <w:t xml:space="preserve">Harrison, X.A., Donaldson, L., Correa-Cano, M.E., Evans, J., Fisher, D.N., Goodwin, C.E.D., Robinson, B.S., Hodgson, D.J. &amp; Inger, R. (2018) A brief introduction to mixed effects modelling and multi-model inference in ecology. </w:t>
      </w:r>
      <w:r w:rsidRPr="00F46539">
        <w:rPr>
          <w:rFonts w:ascii="Times New Roman" w:hAnsi="Times New Roman" w:cs="Times New Roman"/>
          <w:i/>
          <w:iCs/>
          <w:noProof/>
          <w:szCs w:val="24"/>
        </w:rPr>
        <w:t>PeerJ</w:t>
      </w:r>
      <w:r w:rsidRPr="00F46539">
        <w:rPr>
          <w:rFonts w:ascii="Times New Roman" w:hAnsi="Times New Roman" w:cs="Times New Roman"/>
          <w:noProof/>
          <w:szCs w:val="24"/>
        </w:rPr>
        <w:t xml:space="preserve">, </w:t>
      </w:r>
      <w:r w:rsidRPr="00F46539">
        <w:rPr>
          <w:rFonts w:ascii="Times New Roman" w:hAnsi="Times New Roman" w:cs="Times New Roman"/>
          <w:b/>
          <w:bCs/>
          <w:noProof/>
          <w:szCs w:val="24"/>
        </w:rPr>
        <w:t>2018</w:t>
      </w:r>
      <w:r w:rsidRPr="00F46539">
        <w:rPr>
          <w:rFonts w:ascii="Times New Roman" w:hAnsi="Times New Roman" w:cs="Times New Roman"/>
          <w:noProof/>
          <w:szCs w:val="24"/>
        </w:rPr>
        <w:t>, 1–32.</w:t>
      </w:r>
    </w:p>
    <w:p w:rsidR="00F46539" w:rsidRPr="00F46539" w:rsidRDefault="00F46539" w:rsidP="00F46539">
      <w:pPr>
        <w:widowControl w:val="0"/>
        <w:autoSpaceDE w:val="0"/>
        <w:autoSpaceDN w:val="0"/>
        <w:adjustRightInd w:val="0"/>
        <w:spacing w:line="240" w:lineRule="auto"/>
        <w:ind w:left="480" w:hanging="480"/>
        <w:rPr>
          <w:rFonts w:ascii="Times New Roman" w:hAnsi="Times New Roman" w:cs="Times New Roman"/>
          <w:noProof/>
          <w:szCs w:val="24"/>
        </w:rPr>
      </w:pPr>
      <w:r w:rsidRPr="00F46539">
        <w:rPr>
          <w:rFonts w:ascii="Times New Roman" w:hAnsi="Times New Roman" w:cs="Times New Roman"/>
          <w:noProof/>
          <w:szCs w:val="24"/>
        </w:rPr>
        <w:t xml:space="preserve">Kruschke, J. (2014) </w:t>
      </w:r>
      <w:r w:rsidRPr="00F46539">
        <w:rPr>
          <w:rFonts w:ascii="Times New Roman" w:hAnsi="Times New Roman" w:cs="Times New Roman"/>
          <w:i/>
          <w:iCs/>
          <w:noProof/>
          <w:szCs w:val="24"/>
        </w:rPr>
        <w:t>Doing Bayesian data analysis: A tutorial with R, JAGS, and Stan</w:t>
      </w:r>
      <w:r w:rsidRPr="00F46539">
        <w:rPr>
          <w:rFonts w:ascii="Times New Roman" w:hAnsi="Times New Roman" w:cs="Times New Roman"/>
          <w:noProof/>
          <w:szCs w:val="24"/>
        </w:rPr>
        <w:t>, Academic Press.</w:t>
      </w:r>
    </w:p>
    <w:p w:rsidR="00F46539" w:rsidRPr="00F46539" w:rsidRDefault="00F46539" w:rsidP="00F46539">
      <w:pPr>
        <w:widowControl w:val="0"/>
        <w:autoSpaceDE w:val="0"/>
        <w:autoSpaceDN w:val="0"/>
        <w:adjustRightInd w:val="0"/>
        <w:spacing w:line="240" w:lineRule="auto"/>
        <w:ind w:left="480" w:hanging="480"/>
        <w:rPr>
          <w:rFonts w:ascii="Times New Roman" w:hAnsi="Times New Roman" w:cs="Times New Roman"/>
          <w:noProof/>
          <w:szCs w:val="24"/>
        </w:rPr>
      </w:pPr>
      <w:r w:rsidRPr="00F46539">
        <w:rPr>
          <w:rFonts w:ascii="Times New Roman" w:hAnsi="Times New Roman" w:cs="Times New Roman"/>
          <w:noProof/>
          <w:szCs w:val="24"/>
        </w:rPr>
        <w:t xml:space="preserve">Plummer, M. (2003) </w:t>
      </w:r>
      <w:r w:rsidRPr="00F46539">
        <w:rPr>
          <w:rFonts w:ascii="Times New Roman" w:hAnsi="Times New Roman" w:cs="Times New Roman"/>
          <w:i/>
          <w:iCs/>
          <w:noProof/>
          <w:szCs w:val="24"/>
        </w:rPr>
        <w:t>JAGS: A program for analysis of Bayesian graphical models using Gibbs sampling</w:t>
      </w:r>
      <w:r w:rsidRPr="00F46539">
        <w:rPr>
          <w:rFonts w:ascii="Times New Roman" w:hAnsi="Times New Roman" w:cs="Times New Roman"/>
          <w:noProof/>
          <w:szCs w:val="24"/>
        </w:rPr>
        <w:t xml:space="preserve">. </w:t>
      </w:r>
      <w:r w:rsidRPr="00F46539">
        <w:rPr>
          <w:rFonts w:ascii="Times New Roman" w:hAnsi="Times New Roman" w:cs="Times New Roman"/>
          <w:i/>
          <w:iCs/>
          <w:noProof/>
          <w:szCs w:val="24"/>
        </w:rPr>
        <w:t>Proceedings of the 3rd International Workshop on Distributed Statistical Computing (DSC 2003)</w:t>
      </w:r>
      <w:r w:rsidRPr="00F46539">
        <w:rPr>
          <w:rFonts w:ascii="Times New Roman" w:hAnsi="Times New Roman" w:cs="Times New Roman"/>
          <w:noProof/>
          <w:szCs w:val="24"/>
        </w:rPr>
        <w:t xml:space="preserve"> (ed. by K. Hornik), F. Leisch), and A. Zeileis), Vienna, Austria.</w:t>
      </w:r>
    </w:p>
    <w:p w:rsidR="00F46539" w:rsidRPr="00F46539" w:rsidRDefault="00F46539" w:rsidP="00F46539">
      <w:pPr>
        <w:widowControl w:val="0"/>
        <w:autoSpaceDE w:val="0"/>
        <w:autoSpaceDN w:val="0"/>
        <w:adjustRightInd w:val="0"/>
        <w:spacing w:line="240" w:lineRule="auto"/>
        <w:ind w:left="480" w:hanging="480"/>
        <w:rPr>
          <w:rFonts w:ascii="Times New Roman" w:hAnsi="Times New Roman" w:cs="Times New Roman"/>
          <w:noProof/>
          <w:szCs w:val="24"/>
        </w:rPr>
      </w:pPr>
      <w:r w:rsidRPr="00F46539">
        <w:rPr>
          <w:rFonts w:ascii="Times New Roman" w:hAnsi="Times New Roman" w:cs="Times New Roman"/>
          <w:noProof/>
          <w:szCs w:val="24"/>
        </w:rPr>
        <w:t>R Core Team (2019) R: A Language and Environment for Statistical Computing.</w:t>
      </w:r>
    </w:p>
    <w:p w:rsidR="00F46539" w:rsidRPr="00F46539" w:rsidRDefault="00F46539" w:rsidP="00F46539">
      <w:pPr>
        <w:widowControl w:val="0"/>
        <w:autoSpaceDE w:val="0"/>
        <w:autoSpaceDN w:val="0"/>
        <w:adjustRightInd w:val="0"/>
        <w:spacing w:line="240" w:lineRule="auto"/>
        <w:ind w:left="480" w:hanging="480"/>
        <w:rPr>
          <w:rFonts w:ascii="Times New Roman" w:hAnsi="Times New Roman" w:cs="Times New Roman"/>
          <w:noProof/>
        </w:rPr>
      </w:pPr>
      <w:r w:rsidRPr="00F46539">
        <w:rPr>
          <w:rFonts w:ascii="Times New Roman" w:hAnsi="Times New Roman" w:cs="Times New Roman"/>
          <w:noProof/>
          <w:szCs w:val="24"/>
        </w:rPr>
        <w:t>Su, Y.-S. &amp; Yajima, M. (2013) R2jags: A Package for Running jags from R.</w:t>
      </w:r>
    </w:p>
    <w:p w:rsidR="00505E5E" w:rsidRDefault="00F46539">
      <w:pPr>
        <w:jc w:val="both"/>
        <w:rPr>
          <w:rFonts w:ascii="Times New Roman" w:eastAsia="Times New Roman" w:hAnsi="Times New Roman" w:cs="Times New Roman"/>
        </w:rPr>
      </w:pPr>
      <w:r>
        <w:rPr>
          <w:rFonts w:ascii="Times New Roman" w:eastAsia="Times New Roman" w:hAnsi="Times New Roman" w:cs="Times New Roman"/>
        </w:rPr>
        <w:fldChar w:fldCharType="end"/>
      </w:r>
    </w:p>
    <w:p w:rsidR="00505E5E" w:rsidRDefault="00505E5E">
      <w:pPr>
        <w:widowControl w:val="0"/>
        <w:pBdr>
          <w:top w:val="nil"/>
          <w:left w:val="nil"/>
          <w:bottom w:val="nil"/>
          <w:right w:val="nil"/>
          <w:between w:val="nil"/>
        </w:pBdr>
        <w:spacing w:after="0" w:line="276" w:lineRule="auto"/>
        <w:rPr>
          <w:rFonts w:ascii="Times New Roman" w:eastAsia="Times New Roman" w:hAnsi="Times New Roman" w:cs="Times New Roman"/>
        </w:rPr>
      </w:pPr>
    </w:p>
    <w:sectPr w:rsidR="00505E5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AD1" w:rsidRDefault="00EC4AD1">
      <w:pPr>
        <w:spacing w:after="0" w:line="240" w:lineRule="auto"/>
      </w:pPr>
      <w:r>
        <w:separator/>
      </w:r>
    </w:p>
  </w:endnote>
  <w:endnote w:type="continuationSeparator" w:id="0">
    <w:p w:rsidR="00EC4AD1" w:rsidRDefault="00EC4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AD1" w:rsidRDefault="00EC4AD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2523B">
      <w:rPr>
        <w:noProof/>
        <w:color w:val="000000"/>
      </w:rPr>
      <w:t>20</w:t>
    </w:r>
    <w:r>
      <w:rPr>
        <w:color w:val="000000"/>
      </w:rPr>
      <w:fldChar w:fldCharType="end"/>
    </w:r>
  </w:p>
  <w:p w:rsidR="00EC4AD1" w:rsidRDefault="00EC4AD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AD1" w:rsidRDefault="00EC4AD1">
      <w:pPr>
        <w:spacing w:after="0" w:line="240" w:lineRule="auto"/>
      </w:pPr>
      <w:r>
        <w:separator/>
      </w:r>
    </w:p>
  </w:footnote>
  <w:footnote w:type="continuationSeparator" w:id="0">
    <w:p w:rsidR="00EC4AD1" w:rsidRDefault="00EC4A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E5E"/>
    <w:rsid w:val="000C5D89"/>
    <w:rsid w:val="0026084F"/>
    <w:rsid w:val="002953D8"/>
    <w:rsid w:val="00303877"/>
    <w:rsid w:val="00455605"/>
    <w:rsid w:val="00487987"/>
    <w:rsid w:val="00505E5E"/>
    <w:rsid w:val="0052523B"/>
    <w:rsid w:val="00542645"/>
    <w:rsid w:val="005C34D4"/>
    <w:rsid w:val="00602794"/>
    <w:rsid w:val="00630B9D"/>
    <w:rsid w:val="0065163A"/>
    <w:rsid w:val="006B349E"/>
    <w:rsid w:val="006F566E"/>
    <w:rsid w:val="007601EC"/>
    <w:rsid w:val="00856516"/>
    <w:rsid w:val="00A722C4"/>
    <w:rsid w:val="00B1602A"/>
    <w:rsid w:val="00B4630B"/>
    <w:rsid w:val="00B93A0C"/>
    <w:rsid w:val="00C07C8F"/>
    <w:rsid w:val="00C857DC"/>
    <w:rsid w:val="00CA1F39"/>
    <w:rsid w:val="00D045A2"/>
    <w:rsid w:val="00D65922"/>
    <w:rsid w:val="00E0651E"/>
    <w:rsid w:val="00E61021"/>
    <w:rsid w:val="00E67184"/>
    <w:rsid w:val="00EC4AD1"/>
    <w:rsid w:val="00ED4FCF"/>
    <w:rsid w:val="00EE2E96"/>
    <w:rsid w:val="00F46539"/>
    <w:rsid w:val="00F80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CA79BF0-4D06-493F-91B6-83CC4D445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FCE"/>
  </w:style>
  <w:style w:type="paragraph" w:styleId="Heading1">
    <w:name w:val="heading 1"/>
    <w:basedOn w:val="Normal"/>
    <w:next w:val="Normal"/>
    <w:link w:val="Heading1Char"/>
    <w:uiPriority w:val="9"/>
    <w:qFormat/>
    <w:rsid w:val="009C0DB6"/>
    <w:pPr>
      <w:keepNext/>
      <w:keepLines/>
      <w:spacing w:before="120" w:after="120" w:line="360" w:lineRule="auto"/>
      <w:outlineLvl w:val="0"/>
    </w:pPr>
    <w:rPr>
      <w:rFonts w:ascii="Times New Roman" w:eastAsiaTheme="majorEastAsia" w:hAnsi="Times New Roman" w:cstheme="majorBidi"/>
      <w:b/>
      <w:bCs/>
      <w:sz w:val="28"/>
      <w:szCs w:val="28"/>
    </w:rPr>
  </w:style>
  <w:style w:type="paragraph" w:styleId="Heading2">
    <w:name w:val="heading 2"/>
    <w:basedOn w:val="Normal"/>
    <w:next w:val="Normal"/>
    <w:rsid w:val="005D2669"/>
    <w:pPr>
      <w:tabs>
        <w:tab w:val="left" w:pos="9150"/>
      </w:tabs>
      <w:spacing w:after="0" w:line="240" w:lineRule="auto"/>
      <w:jc w:val="both"/>
      <w:outlineLvl w:val="1"/>
    </w:pPr>
    <w:rPr>
      <w:rFonts w:ascii="Times New Roman" w:eastAsia="Times New Roman" w:hAnsi="Times New Roman" w:cs="Times New Roman"/>
      <w:b/>
      <w:bCs/>
      <w:color w:val="000000"/>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Heading2"/>
    <w:next w:val="Normal"/>
    <w:link w:val="Heading7Char"/>
    <w:uiPriority w:val="9"/>
    <w:unhideWhenUsed/>
    <w:qFormat/>
    <w:rsid w:val="00D5172E"/>
    <w:pPr>
      <w:spacing w:line="360" w:lineRule="auto"/>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customStyle="1" w:styleId="PlainTable51">
    <w:name w:val="Plain Table 51"/>
    <w:basedOn w:val="TableNormal"/>
    <w:uiPriority w:val="45"/>
    <w:rsid w:val="00DE526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387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E3A"/>
    <w:rPr>
      <w:rFonts w:ascii="Tahoma" w:hAnsi="Tahoma" w:cs="Tahoma"/>
      <w:sz w:val="16"/>
      <w:szCs w:val="16"/>
    </w:rPr>
  </w:style>
  <w:style w:type="table" w:customStyle="1" w:styleId="PlainTable52">
    <w:name w:val="Plain Table 52"/>
    <w:basedOn w:val="TableNormal"/>
    <w:uiPriority w:val="45"/>
    <w:rsid w:val="00A10C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A10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C22"/>
  </w:style>
  <w:style w:type="paragraph" w:styleId="Footer">
    <w:name w:val="footer"/>
    <w:basedOn w:val="Normal"/>
    <w:link w:val="FooterChar"/>
    <w:uiPriority w:val="99"/>
    <w:unhideWhenUsed/>
    <w:rsid w:val="00A10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C22"/>
  </w:style>
  <w:style w:type="paragraph" w:styleId="ListParagraph">
    <w:name w:val="List Paragraph"/>
    <w:basedOn w:val="Normal"/>
    <w:uiPriority w:val="34"/>
    <w:qFormat/>
    <w:rsid w:val="0081211D"/>
    <w:pPr>
      <w:spacing w:after="200" w:line="276" w:lineRule="auto"/>
      <w:ind w:left="720"/>
      <w:contextualSpacing/>
    </w:pPr>
    <w:rPr>
      <w:color w:val="00000A"/>
      <w:lang w:val="sv-SE"/>
    </w:rPr>
  </w:style>
  <w:style w:type="character" w:styleId="PlaceholderText">
    <w:name w:val="Placeholder Text"/>
    <w:basedOn w:val="DefaultParagraphFont"/>
    <w:uiPriority w:val="99"/>
    <w:semiHidden/>
    <w:rsid w:val="00DC548E"/>
    <w:rPr>
      <w:color w:val="808080"/>
    </w:rPr>
  </w:style>
  <w:style w:type="table" w:customStyle="1" w:styleId="ListTable1Light1">
    <w:name w:val="List Table 1 Light1"/>
    <w:basedOn w:val="TableNormal"/>
    <w:uiPriority w:val="46"/>
    <w:rsid w:val="00DD4F0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A324BD"/>
    <w:rPr>
      <w:sz w:val="16"/>
      <w:szCs w:val="16"/>
    </w:rPr>
  </w:style>
  <w:style w:type="paragraph" w:styleId="CommentText">
    <w:name w:val="annotation text"/>
    <w:basedOn w:val="Normal"/>
    <w:link w:val="CommentTextChar"/>
    <w:uiPriority w:val="99"/>
    <w:unhideWhenUsed/>
    <w:rsid w:val="00A324BD"/>
    <w:pPr>
      <w:spacing w:line="240" w:lineRule="auto"/>
    </w:pPr>
    <w:rPr>
      <w:sz w:val="20"/>
      <w:szCs w:val="20"/>
    </w:rPr>
  </w:style>
  <w:style w:type="character" w:customStyle="1" w:styleId="CommentTextChar">
    <w:name w:val="Comment Text Char"/>
    <w:basedOn w:val="DefaultParagraphFont"/>
    <w:link w:val="CommentText"/>
    <w:uiPriority w:val="99"/>
    <w:rsid w:val="00A324BD"/>
    <w:rPr>
      <w:sz w:val="20"/>
      <w:szCs w:val="20"/>
    </w:rPr>
  </w:style>
  <w:style w:type="paragraph" w:styleId="CommentSubject">
    <w:name w:val="annotation subject"/>
    <w:basedOn w:val="CommentText"/>
    <w:next w:val="CommentText"/>
    <w:link w:val="CommentSubjectChar"/>
    <w:uiPriority w:val="99"/>
    <w:semiHidden/>
    <w:unhideWhenUsed/>
    <w:rsid w:val="00A324BD"/>
    <w:rPr>
      <w:b/>
      <w:bCs/>
    </w:rPr>
  </w:style>
  <w:style w:type="character" w:customStyle="1" w:styleId="CommentSubjectChar">
    <w:name w:val="Comment Subject Char"/>
    <w:basedOn w:val="CommentTextChar"/>
    <w:link w:val="CommentSubject"/>
    <w:uiPriority w:val="99"/>
    <w:semiHidden/>
    <w:rsid w:val="00A324BD"/>
    <w:rPr>
      <w:b/>
      <w:bCs/>
      <w:sz w:val="20"/>
      <w:szCs w:val="20"/>
    </w:rPr>
  </w:style>
  <w:style w:type="table" w:customStyle="1" w:styleId="ListTable1Light2">
    <w:name w:val="List Table 1 Light2"/>
    <w:basedOn w:val="TableNormal"/>
    <w:uiPriority w:val="46"/>
    <w:rsid w:val="0099648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5856BF"/>
    <w:rPr>
      <w:color w:val="0563C1" w:themeColor="hyperlink"/>
      <w:u w:val="single"/>
    </w:rPr>
  </w:style>
  <w:style w:type="paragraph" w:styleId="HTMLPreformatted">
    <w:name w:val="HTML Preformatted"/>
    <w:basedOn w:val="Normal"/>
    <w:link w:val="HTMLPreformattedChar"/>
    <w:uiPriority w:val="99"/>
    <w:semiHidden/>
    <w:unhideWhenUsed/>
    <w:rsid w:val="005856B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856BF"/>
    <w:rPr>
      <w:rFonts w:ascii="Consolas" w:hAnsi="Consolas"/>
      <w:sz w:val="20"/>
      <w:szCs w:val="20"/>
    </w:rPr>
  </w:style>
  <w:style w:type="character" w:customStyle="1" w:styleId="Heading1Char">
    <w:name w:val="Heading 1 Char"/>
    <w:basedOn w:val="DefaultParagraphFont"/>
    <w:link w:val="Heading1"/>
    <w:uiPriority w:val="9"/>
    <w:rsid w:val="009C0DB6"/>
    <w:rPr>
      <w:rFonts w:ascii="Times New Roman" w:eastAsiaTheme="majorEastAsia" w:hAnsi="Times New Roman" w:cstheme="majorBidi"/>
      <w:b/>
      <w:bCs/>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9">
    <w:name w:val="9"/>
    <w:basedOn w:val="TableNormal"/>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8">
    <w:name w:val="8"/>
    <w:basedOn w:val="TableNormal"/>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7">
    <w:name w:val="7"/>
    <w:basedOn w:val="TableNormal"/>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TOC1">
    <w:name w:val="toc 1"/>
    <w:basedOn w:val="Normal"/>
    <w:next w:val="Normal"/>
    <w:autoRedefine/>
    <w:uiPriority w:val="39"/>
    <w:unhideWhenUsed/>
    <w:rsid w:val="00322ED9"/>
    <w:pPr>
      <w:spacing w:before="360" w:after="360"/>
    </w:pPr>
    <w:rPr>
      <w:rFonts w:asciiTheme="minorHAnsi" w:hAnsiTheme="minorHAnsi" w:cstheme="minorHAnsi"/>
      <w:b/>
      <w:bCs/>
      <w:caps/>
      <w:u w:val="single"/>
    </w:rPr>
  </w:style>
  <w:style w:type="character" w:styleId="Strong">
    <w:name w:val="Strong"/>
    <w:basedOn w:val="DefaultParagraphFont"/>
    <w:uiPriority w:val="22"/>
    <w:qFormat/>
    <w:rsid w:val="009121BD"/>
    <w:rPr>
      <w:b/>
      <w:bCs/>
    </w:rPr>
  </w:style>
  <w:style w:type="paragraph" w:styleId="TOCHeading">
    <w:name w:val="TOC Heading"/>
    <w:basedOn w:val="Heading1"/>
    <w:next w:val="Normal"/>
    <w:uiPriority w:val="39"/>
    <w:unhideWhenUsed/>
    <w:qFormat/>
    <w:rsid w:val="009121BD"/>
    <w:pPr>
      <w:spacing w:before="240" w:after="0" w:line="259" w:lineRule="auto"/>
      <w:outlineLvl w:val="9"/>
    </w:pPr>
    <w:rPr>
      <w:rFonts w:asciiTheme="majorHAnsi" w:hAnsiTheme="majorHAnsi"/>
      <w:b w:val="0"/>
      <w:bCs w:val="0"/>
      <w:i/>
      <w:color w:val="2E74B5" w:themeColor="accent1" w:themeShade="BF"/>
      <w:sz w:val="32"/>
      <w:szCs w:val="32"/>
    </w:rPr>
  </w:style>
  <w:style w:type="character" w:customStyle="1" w:styleId="Heading7Char">
    <w:name w:val="Heading 7 Char"/>
    <w:basedOn w:val="DefaultParagraphFont"/>
    <w:link w:val="Heading7"/>
    <w:uiPriority w:val="9"/>
    <w:rsid w:val="00D5172E"/>
    <w:rPr>
      <w:rFonts w:ascii="Times New Roman" w:eastAsia="Times New Roman" w:hAnsi="Times New Roman" w:cs="Times New Roman"/>
      <w:b/>
      <w:bCs/>
      <w:color w:val="000000"/>
      <w:sz w:val="24"/>
      <w:szCs w:val="24"/>
    </w:rPr>
  </w:style>
  <w:style w:type="paragraph" w:styleId="TOC2">
    <w:name w:val="toc 2"/>
    <w:basedOn w:val="Normal"/>
    <w:next w:val="Normal"/>
    <w:autoRedefine/>
    <w:uiPriority w:val="39"/>
    <w:unhideWhenUsed/>
    <w:rsid w:val="008C2FCE"/>
    <w:pPr>
      <w:spacing w:after="0"/>
    </w:pPr>
    <w:rPr>
      <w:rFonts w:asciiTheme="minorHAnsi" w:hAnsiTheme="minorHAnsi" w:cstheme="minorHAnsi"/>
      <w:b/>
      <w:bCs/>
      <w:smallCaps/>
    </w:rPr>
  </w:style>
  <w:style w:type="table" w:customStyle="1" w:styleId="6">
    <w:name w:val="6"/>
    <w:basedOn w:val="TableNormal"/>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5">
    <w:name w:val="5"/>
    <w:basedOn w:val="TableNormal"/>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4">
    <w:name w:val="4"/>
    <w:basedOn w:val="TableNormal"/>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3">
    <w:name w:val="3"/>
    <w:basedOn w:val="TableNormal"/>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TOC3">
    <w:name w:val="toc 3"/>
    <w:basedOn w:val="Normal"/>
    <w:next w:val="Normal"/>
    <w:autoRedefine/>
    <w:uiPriority w:val="39"/>
    <w:unhideWhenUsed/>
    <w:rsid w:val="00AF3F89"/>
    <w:pPr>
      <w:spacing w:after="0"/>
    </w:pPr>
    <w:rPr>
      <w:rFonts w:asciiTheme="minorHAnsi" w:hAnsiTheme="minorHAnsi" w:cstheme="minorHAnsi"/>
      <w:smallCaps/>
    </w:rPr>
  </w:style>
  <w:style w:type="paragraph" w:styleId="TOC4">
    <w:name w:val="toc 4"/>
    <w:basedOn w:val="Normal"/>
    <w:next w:val="Normal"/>
    <w:autoRedefine/>
    <w:uiPriority w:val="39"/>
    <w:unhideWhenUsed/>
    <w:rsid w:val="00AF3F89"/>
    <w:pPr>
      <w:spacing w:after="0"/>
    </w:pPr>
    <w:rPr>
      <w:rFonts w:asciiTheme="minorHAnsi" w:hAnsiTheme="minorHAnsi" w:cstheme="minorHAnsi"/>
    </w:rPr>
  </w:style>
  <w:style w:type="paragraph" w:styleId="TOC5">
    <w:name w:val="toc 5"/>
    <w:basedOn w:val="Normal"/>
    <w:next w:val="Normal"/>
    <w:autoRedefine/>
    <w:uiPriority w:val="39"/>
    <w:unhideWhenUsed/>
    <w:rsid w:val="00AF3F89"/>
    <w:pPr>
      <w:spacing w:after="0"/>
    </w:pPr>
    <w:rPr>
      <w:rFonts w:asciiTheme="minorHAnsi" w:hAnsiTheme="minorHAnsi" w:cstheme="minorHAnsi"/>
    </w:rPr>
  </w:style>
  <w:style w:type="paragraph" w:styleId="TOC6">
    <w:name w:val="toc 6"/>
    <w:basedOn w:val="Normal"/>
    <w:next w:val="Normal"/>
    <w:autoRedefine/>
    <w:uiPriority w:val="39"/>
    <w:unhideWhenUsed/>
    <w:rsid w:val="00AF3F89"/>
    <w:pPr>
      <w:spacing w:after="0"/>
    </w:pPr>
    <w:rPr>
      <w:rFonts w:asciiTheme="minorHAnsi" w:hAnsiTheme="minorHAnsi" w:cstheme="minorHAnsi"/>
    </w:rPr>
  </w:style>
  <w:style w:type="paragraph" w:styleId="TOC7">
    <w:name w:val="toc 7"/>
    <w:basedOn w:val="Normal"/>
    <w:next w:val="Normal"/>
    <w:autoRedefine/>
    <w:uiPriority w:val="39"/>
    <w:unhideWhenUsed/>
    <w:rsid w:val="00AF3F89"/>
    <w:pPr>
      <w:spacing w:after="0"/>
    </w:pPr>
    <w:rPr>
      <w:rFonts w:asciiTheme="minorHAnsi" w:hAnsiTheme="minorHAnsi" w:cstheme="minorHAnsi"/>
    </w:rPr>
  </w:style>
  <w:style w:type="paragraph" w:styleId="TOC8">
    <w:name w:val="toc 8"/>
    <w:basedOn w:val="Normal"/>
    <w:next w:val="Normal"/>
    <w:autoRedefine/>
    <w:uiPriority w:val="39"/>
    <w:unhideWhenUsed/>
    <w:rsid w:val="00AF3F89"/>
    <w:pPr>
      <w:spacing w:after="0"/>
    </w:pPr>
    <w:rPr>
      <w:rFonts w:asciiTheme="minorHAnsi" w:hAnsiTheme="minorHAnsi" w:cstheme="minorHAnsi"/>
    </w:rPr>
  </w:style>
  <w:style w:type="paragraph" w:styleId="TOC9">
    <w:name w:val="toc 9"/>
    <w:basedOn w:val="Normal"/>
    <w:next w:val="Normal"/>
    <w:autoRedefine/>
    <w:uiPriority w:val="39"/>
    <w:unhideWhenUsed/>
    <w:rsid w:val="00AF3F89"/>
    <w:pPr>
      <w:spacing w:after="0"/>
    </w:pPr>
    <w:rPr>
      <w:rFonts w:asciiTheme="minorHAnsi" w:hAnsiTheme="minorHAnsi" w:cstheme="minorHAnsi"/>
    </w:rPr>
  </w:style>
  <w:style w:type="table" w:customStyle="1" w:styleId="ListTable1Light11">
    <w:name w:val="List Table 1 Light11"/>
    <w:basedOn w:val="TableNormal"/>
    <w:uiPriority w:val="46"/>
    <w:rsid w:val="00E646C9"/>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5jOuGdpkXapXoE7YPnQb7XZZTQ==">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2A89BCC-4414-44EA-B427-B707AFA7E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4683</Words>
  <Characters>26699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UNIL</Company>
  <LinksUpToDate>false</LinksUpToDate>
  <CharactersWithSpaces>31320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Mathieu Chevalier</dc:creator>
  <cp:lastModifiedBy>Mathieu Chevalier</cp:lastModifiedBy>
  <cp:revision>2</cp:revision>
  <dcterms:created xsi:type="dcterms:W3CDTF">2021-07-23T14:56:00Z</dcterms:created>
  <dcterms:modified xsi:type="dcterms:W3CDTF">2021-07-23T14:56:00Z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http://www.zotero.org/styles/ecography</vt:lpwstr>
  </property>
  <property fmtid="{D5CDD505-2E9C-101B-9397-08002B2CF9AE}" pid="7" name="Mendeley Recent Style Name 2_1">
    <vt:lpwstr>Ecography</vt:lpwstr>
  </property>
  <property fmtid="{D5CDD505-2E9C-101B-9397-08002B2CF9AE}" pid="8" name="Mendeley Recent Style Id 3_1">
    <vt:lpwstr>http://www.zotero.org/styles/ecological-applications</vt:lpwstr>
  </property>
  <property fmtid="{D5CDD505-2E9C-101B-9397-08002B2CF9AE}" pid="9" name="Mendeley Recent Style Name 3_1">
    <vt:lpwstr>Ecological Applications</vt:lpwstr>
  </property>
  <property fmtid="{D5CDD505-2E9C-101B-9397-08002B2CF9AE}" pid="10" name="Mendeley Recent Style Id 4_1">
    <vt:lpwstr>http://www.zotero.org/styles/ecology</vt:lpwstr>
  </property>
  <property fmtid="{D5CDD505-2E9C-101B-9397-08002B2CF9AE}" pid="11" name="Mendeley Recent Style Name 4_1">
    <vt:lpwstr>Ecology</vt:lpwstr>
  </property>
  <property fmtid="{D5CDD505-2E9C-101B-9397-08002B2CF9AE}" pid="12" name="Mendeley Recent Style Id 5_1">
    <vt:lpwstr>http://www.zotero.org/styles/ecosphere</vt:lpwstr>
  </property>
  <property fmtid="{D5CDD505-2E9C-101B-9397-08002B2CF9AE}" pid="13" name="Mendeley Recent Style Name 5_1">
    <vt:lpwstr>Ecosphere</vt:lpwstr>
  </property>
  <property fmtid="{D5CDD505-2E9C-101B-9397-08002B2CF9AE}" pid="14" name="Mendeley Recent Style Id 6_1">
    <vt:lpwstr>http://www.zotero.org/styles/global-ecology-and-biogeography</vt:lpwstr>
  </property>
  <property fmtid="{D5CDD505-2E9C-101B-9397-08002B2CF9AE}" pid="15" name="Mendeley Recent Style Name 6_1">
    <vt:lpwstr>Global Ecology and Biogeography</vt:lpwstr>
  </property>
  <property fmtid="{D5CDD505-2E9C-101B-9397-08002B2CF9AE}" pid="16" name="Mendeley Recent Style Id 7_1">
    <vt:lpwstr>http://www.zotero.org/styles/methods-in-ecology-and-evolution</vt:lpwstr>
  </property>
  <property fmtid="{D5CDD505-2E9C-101B-9397-08002B2CF9AE}" pid="17" name="Mendeley Recent Style Name 7_1">
    <vt:lpwstr>Methods in Ecology and Evolution</vt:lpwstr>
  </property>
  <property fmtid="{D5CDD505-2E9C-101B-9397-08002B2CF9AE}" pid="18" name="Mendeley Recent Style Id 8_1">
    <vt:lpwstr>http://www.zotero.org/styles/oikos</vt:lpwstr>
  </property>
  <property fmtid="{D5CDD505-2E9C-101B-9397-08002B2CF9AE}" pid="19" name="Mendeley Recent Style Name 8_1">
    <vt:lpwstr>Oikos</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dba9935e-2305-3955-88c5-58072101591a</vt:lpwstr>
  </property>
  <property fmtid="{D5CDD505-2E9C-101B-9397-08002B2CF9AE}" pid="24" name="Mendeley Citation Style_1">
    <vt:lpwstr>http://www.zotero.org/styles/global-ecology-and-biogeography</vt:lpwstr>
  </property>
</Properties>
</file>