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49" w:rsidRDefault="00421CC7">
      <w:r>
        <w:t>Appendix S1: Tables comparing statistics for the absolute magnitude of seafloor change observed in difference maps created between bathymetric surveys. (A) Comparison of seafloor change observed in difference maps</w:t>
      </w:r>
      <w:r w:rsidR="00EE3451">
        <w:t xml:space="preserve"> that</w:t>
      </w:r>
      <w:r>
        <w:t xml:space="preserve"> </w:t>
      </w:r>
      <w:r w:rsidR="00EE3451">
        <w:t>encompass</w:t>
      </w:r>
      <w:r>
        <w:t xml:space="preserve"> flow events (rows </w:t>
      </w:r>
      <w:proofErr w:type="spellStart"/>
      <w:r>
        <w:t>coloured</w:t>
      </w:r>
      <w:proofErr w:type="spellEnd"/>
      <w:r>
        <w:t xml:space="preserve"> in red) and </w:t>
      </w:r>
      <w:r w:rsidR="00EE3451">
        <w:t xml:space="preserve">those </w:t>
      </w:r>
      <w:r>
        <w:t>with no documented events</w:t>
      </w:r>
      <w:r w:rsidR="00762EEE">
        <w:t xml:space="preserve"> from the Squamish </w:t>
      </w:r>
      <w:proofErr w:type="spellStart"/>
      <w:r w:rsidR="00762EEE">
        <w:t>p</w:t>
      </w:r>
      <w:bookmarkStart w:id="0" w:name="_GoBack"/>
      <w:bookmarkEnd w:id="0"/>
      <w:r w:rsidR="00EE3451">
        <w:t>rodelta</w:t>
      </w:r>
      <w:proofErr w:type="spellEnd"/>
      <w:r w:rsidR="00EE3451">
        <w:t xml:space="preserve"> dataset</w:t>
      </w:r>
      <w:r>
        <w:t>. (B) Comparison of seafloor chan</w:t>
      </w:r>
      <w:r w:rsidR="00EE3451">
        <w:t xml:space="preserve">ges observed in difference maps </w:t>
      </w:r>
      <w:r>
        <w:t>within the active channel and on the canyon flanks</w:t>
      </w:r>
      <w:r w:rsidR="00EE3451">
        <w:t xml:space="preserve"> from the Monterey Canyon dataset</w:t>
      </w:r>
      <w:r>
        <w:t>.</w:t>
      </w:r>
    </w:p>
    <w:p w:rsidR="00421CC7" w:rsidRDefault="00421C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345"/>
        <w:gridCol w:w="1710"/>
        <w:gridCol w:w="1620"/>
        <w:gridCol w:w="1530"/>
      </w:tblGrid>
      <w:tr w:rsidR="00421CC7" w:rsidTr="00BF01B4">
        <w:tc>
          <w:tcPr>
            <w:tcW w:w="360" w:type="dxa"/>
            <w:shd w:val="clear" w:color="auto" w:fill="auto"/>
          </w:tcPr>
          <w:p w:rsidR="00421CC7" w:rsidRDefault="00421CC7" w:rsidP="00BF01B4">
            <w:r>
              <w:t>A)</w:t>
            </w:r>
          </w:p>
        </w:tc>
        <w:tc>
          <w:tcPr>
            <w:tcW w:w="1345" w:type="dxa"/>
          </w:tcPr>
          <w:p w:rsidR="00421CC7" w:rsidRDefault="00421CC7" w:rsidP="00BF01B4">
            <w:r>
              <w:t>Difference Map</w:t>
            </w:r>
          </w:p>
        </w:tc>
        <w:tc>
          <w:tcPr>
            <w:tcW w:w="1710" w:type="dxa"/>
          </w:tcPr>
          <w:p w:rsidR="00421CC7" w:rsidRDefault="00421CC7" w:rsidP="00BF01B4">
            <w:pPr>
              <w:jc w:val="center"/>
            </w:pPr>
            <w:r>
              <w:t>Mean (m)</w:t>
            </w:r>
          </w:p>
        </w:tc>
        <w:tc>
          <w:tcPr>
            <w:tcW w:w="1620" w:type="dxa"/>
          </w:tcPr>
          <w:p w:rsidR="00421CC7" w:rsidRDefault="00421CC7" w:rsidP="00BF01B4">
            <w:pPr>
              <w:jc w:val="center"/>
            </w:pPr>
            <w:r>
              <w:t>Standard Deviation (m)</w:t>
            </w:r>
          </w:p>
        </w:tc>
        <w:tc>
          <w:tcPr>
            <w:tcW w:w="1530" w:type="dxa"/>
          </w:tcPr>
          <w:p w:rsidR="00421CC7" w:rsidRDefault="00421CC7" w:rsidP="00BF01B4">
            <w:pPr>
              <w:jc w:val="center"/>
            </w:pPr>
            <w:r>
              <w:t>Maximum (m)</w:t>
            </w:r>
          </w:p>
        </w:tc>
      </w:tr>
      <w:tr w:rsidR="00421CC7" w:rsidTr="00BF01B4">
        <w:tc>
          <w:tcPr>
            <w:tcW w:w="360" w:type="dxa"/>
            <w:vMerge w:val="restart"/>
            <w:shd w:val="clear" w:color="auto" w:fill="auto"/>
            <w:textDirection w:val="btLr"/>
          </w:tcPr>
          <w:p w:rsidR="00421CC7" w:rsidRDefault="00421CC7" w:rsidP="00BF01B4">
            <w:pPr>
              <w:ind w:left="113" w:right="113"/>
              <w:jc w:val="center"/>
            </w:pPr>
            <w:r>
              <w:t>SQUAMISH SURVEYS</w:t>
            </w:r>
          </w:p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>175 – 178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0.28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0.31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3.55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</w:tcPr>
          <w:p w:rsidR="00421CC7" w:rsidRDefault="00421CC7" w:rsidP="00BF01B4">
            <w:r>
              <w:t>178 – 180</w:t>
            </w:r>
          </w:p>
        </w:tc>
        <w:tc>
          <w:tcPr>
            <w:tcW w:w="171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0.21</w:t>
            </w:r>
          </w:p>
        </w:tc>
        <w:tc>
          <w:tcPr>
            <w:tcW w:w="162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0.12</w:t>
            </w:r>
          </w:p>
        </w:tc>
        <w:tc>
          <w:tcPr>
            <w:tcW w:w="153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1.27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>180 – 181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0.41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0.47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4.45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</w:tcPr>
          <w:p w:rsidR="00421CC7" w:rsidRDefault="00421CC7" w:rsidP="00BF01B4">
            <w:r>
              <w:t>181 – 182</w:t>
            </w:r>
          </w:p>
        </w:tc>
        <w:tc>
          <w:tcPr>
            <w:tcW w:w="171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0.17</w:t>
            </w:r>
          </w:p>
        </w:tc>
        <w:tc>
          <w:tcPr>
            <w:tcW w:w="162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0.14</w:t>
            </w:r>
          </w:p>
        </w:tc>
        <w:tc>
          <w:tcPr>
            <w:tcW w:w="153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1.78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>182 – 185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0.31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0.31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2.87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</w:tcPr>
          <w:p w:rsidR="00421CC7" w:rsidRDefault="00421CC7" w:rsidP="00BF01B4">
            <w:r>
              <w:t>185 – 189</w:t>
            </w:r>
          </w:p>
        </w:tc>
        <w:tc>
          <w:tcPr>
            <w:tcW w:w="171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0.17</w:t>
            </w:r>
          </w:p>
        </w:tc>
        <w:tc>
          <w:tcPr>
            <w:tcW w:w="162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0.18</w:t>
            </w:r>
          </w:p>
        </w:tc>
        <w:tc>
          <w:tcPr>
            <w:tcW w:w="153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5.23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 xml:space="preserve">189 – 192 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0.29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0.35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5.69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</w:tcPr>
          <w:p w:rsidR="00421CC7" w:rsidRDefault="00421CC7" w:rsidP="00BF01B4">
            <w:r>
              <w:t>192 – 202</w:t>
            </w:r>
          </w:p>
        </w:tc>
        <w:tc>
          <w:tcPr>
            <w:tcW w:w="171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</w:t>
            </w:r>
          </w:p>
        </w:tc>
        <w:tc>
          <w:tcPr>
            <w:tcW w:w="162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0.1</w:t>
            </w:r>
          </w:p>
        </w:tc>
        <w:tc>
          <w:tcPr>
            <w:tcW w:w="1530" w:type="dxa"/>
            <w:shd w:val="clear" w:color="auto" w:fill="auto"/>
          </w:tcPr>
          <w:p w:rsidR="00421CC7" w:rsidRDefault="00421CC7" w:rsidP="00BF01B4">
            <w:pPr>
              <w:jc w:val="center"/>
            </w:pPr>
            <w:r>
              <w:t>2.3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>202 – 203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0.42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0.47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7.63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 xml:space="preserve">203 – 208 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0.28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0.33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6.03</w:t>
            </w:r>
          </w:p>
        </w:tc>
      </w:tr>
      <w:tr w:rsidR="00421CC7" w:rsidTr="00BF01B4">
        <w:tc>
          <w:tcPr>
            <w:tcW w:w="360" w:type="dxa"/>
            <w:vMerge/>
            <w:shd w:val="clear" w:color="auto" w:fill="auto"/>
          </w:tcPr>
          <w:p w:rsidR="00421CC7" w:rsidRDefault="00421CC7" w:rsidP="00BF01B4"/>
        </w:tc>
        <w:tc>
          <w:tcPr>
            <w:tcW w:w="1345" w:type="dxa"/>
            <w:shd w:val="clear" w:color="auto" w:fill="FFD5D5"/>
          </w:tcPr>
          <w:p w:rsidR="00421CC7" w:rsidRDefault="00421CC7" w:rsidP="00BF01B4">
            <w:r>
              <w:t xml:space="preserve">208 – 217 </w:t>
            </w:r>
          </w:p>
        </w:tc>
        <w:tc>
          <w:tcPr>
            <w:tcW w:w="171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0.21</w:t>
            </w:r>
          </w:p>
        </w:tc>
        <w:tc>
          <w:tcPr>
            <w:tcW w:w="162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0.2</w:t>
            </w:r>
          </w:p>
        </w:tc>
        <w:tc>
          <w:tcPr>
            <w:tcW w:w="1530" w:type="dxa"/>
            <w:shd w:val="clear" w:color="auto" w:fill="FFD5D5"/>
          </w:tcPr>
          <w:p w:rsidR="00421CC7" w:rsidRDefault="00421CC7" w:rsidP="00BF01B4">
            <w:pPr>
              <w:jc w:val="center"/>
            </w:pPr>
            <w:r>
              <w:t>2.28</w:t>
            </w:r>
          </w:p>
        </w:tc>
      </w:tr>
    </w:tbl>
    <w:p w:rsidR="00421CC7" w:rsidRDefault="00421CC7"/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491"/>
        <w:gridCol w:w="1970"/>
        <w:gridCol w:w="1127"/>
        <w:gridCol w:w="1272"/>
        <w:gridCol w:w="1134"/>
        <w:gridCol w:w="1127"/>
        <w:gridCol w:w="1411"/>
        <w:gridCol w:w="1123"/>
      </w:tblGrid>
      <w:tr w:rsidR="001B6682" w:rsidTr="001B6682">
        <w:tc>
          <w:tcPr>
            <w:tcW w:w="491" w:type="dxa"/>
          </w:tcPr>
          <w:p w:rsidR="001B6682" w:rsidRDefault="00421CC7">
            <w:r>
              <w:t>B)</w:t>
            </w:r>
          </w:p>
        </w:tc>
        <w:tc>
          <w:tcPr>
            <w:tcW w:w="1970" w:type="dxa"/>
          </w:tcPr>
          <w:p w:rsidR="001B6682" w:rsidRDefault="001B6682"/>
        </w:tc>
        <w:tc>
          <w:tcPr>
            <w:tcW w:w="3533" w:type="dxa"/>
            <w:gridSpan w:val="3"/>
          </w:tcPr>
          <w:p w:rsidR="001B6682" w:rsidRDefault="001B6682" w:rsidP="001C4010">
            <w:pPr>
              <w:jc w:val="center"/>
            </w:pPr>
            <w:r>
              <w:t>Change in Channel</w:t>
            </w:r>
          </w:p>
        </w:tc>
        <w:tc>
          <w:tcPr>
            <w:tcW w:w="3661" w:type="dxa"/>
            <w:gridSpan w:val="3"/>
          </w:tcPr>
          <w:p w:rsidR="001B6682" w:rsidRDefault="001B6682" w:rsidP="001C4010">
            <w:pPr>
              <w:jc w:val="center"/>
            </w:pPr>
            <w:r>
              <w:t>Change on Canyon Flanks</w:t>
            </w:r>
          </w:p>
        </w:tc>
      </w:tr>
      <w:tr w:rsidR="001B6682" w:rsidTr="001B6682">
        <w:tc>
          <w:tcPr>
            <w:tcW w:w="491" w:type="dxa"/>
            <w:vMerge w:val="restart"/>
            <w:textDirection w:val="btLr"/>
            <w:vAlign w:val="center"/>
          </w:tcPr>
          <w:p w:rsidR="001B6682" w:rsidRDefault="001B6682" w:rsidP="001B6682">
            <w:pPr>
              <w:ind w:left="113" w:right="113"/>
              <w:jc w:val="center"/>
            </w:pPr>
            <w:r>
              <w:t>MONTEREY SURVEYS</w:t>
            </w:r>
          </w:p>
        </w:tc>
        <w:tc>
          <w:tcPr>
            <w:tcW w:w="1970" w:type="dxa"/>
          </w:tcPr>
          <w:p w:rsidR="001B6682" w:rsidRDefault="001B6682">
            <w:r>
              <w:t>Difference Map</w:t>
            </w:r>
          </w:p>
        </w:tc>
        <w:tc>
          <w:tcPr>
            <w:tcW w:w="1127" w:type="dxa"/>
          </w:tcPr>
          <w:p w:rsidR="001B6682" w:rsidRDefault="001B6682">
            <w:r>
              <w:t>Mean (m)</w:t>
            </w:r>
          </w:p>
        </w:tc>
        <w:tc>
          <w:tcPr>
            <w:tcW w:w="1272" w:type="dxa"/>
          </w:tcPr>
          <w:p w:rsidR="001B6682" w:rsidRDefault="001B6682">
            <w:r>
              <w:t>Standard Deviation (m)</w:t>
            </w:r>
          </w:p>
        </w:tc>
        <w:tc>
          <w:tcPr>
            <w:tcW w:w="1134" w:type="dxa"/>
          </w:tcPr>
          <w:p w:rsidR="001B6682" w:rsidRDefault="001B6682">
            <w:r>
              <w:t>Maximum (m)</w:t>
            </w:r>
          </w:p>
        </w:tc>
        <w:tc>
          <w:tcPr>
            <w:tcW w:w="1127" w:type="dxa"/>
          </w:tcPr>
          <w:p w:rsidR="001B6682" w:rsidRDefault="001B6682">
            <w:r>
              <w:t>Mean (m)</w:t>
            </w:r>
          </w:p>
        </w:tc>
        <w:tc>
          <w:tcPr>
            <w:tcW w:w="1411" w:type="dxa"/>
          </w:tcPr>
          <w:p w:rsidR="001B6682" w:rsidRDefault="001B6682">
            <w:r>
              <w:t>Standard Deviation (m)</w:t>
            </w:r>
          </w:p>
        </w:tc>
        <w:tc>
          <w:tcPr>
            <w:tcW w:w="1123" w:type="dxa"/>
          </w:tcPr>
          <w:p w:rsidR="001B6682" w:rsidRDefault="001B6682">
            <w:r>
              <w:t>Maximum (m)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2003084 - 2003256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0.78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0.58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3.71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0.31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0.18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1.39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2003256 - 2004324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1.03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1.01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8.15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0.16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0.11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0.84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2004324 - 2005035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0.74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0.62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8.75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0.17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0.15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0.97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2005035 - 2006054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1.27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1.07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7.93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0.09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0.77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2006054 - 2006272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0.82</w:t>
            </w:r>
          </w:p>
        </w:tc>
        <w:tc>
          <w:tcPr>
            <w:tcW w:w="1272" w:type="dxa"/>
          </w:tcPr>
          <w:p w:rsidR="001B6682" w:rsidRDefault="001B6682" w:rsidP="00EE6873">
            <w:pPr>
              <w:jc w:val="center"/>
            </w:pPr>
            <w:r>
              <w:t>0.69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4.53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0.07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0.06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0.63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2006272 - 2007121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1.02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0.87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5.45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0.09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0.07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0.86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2007121 - 2007257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0.78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0.73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5.33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0.19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0.14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1.53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2007257 - 2008079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1.19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0.94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5.38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0.12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0.12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1.56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2008079 - 2008243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0.69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0.66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5.81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0.11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0.07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0.9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2008243 - 2009028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0.91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0.74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9.77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0.09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0.07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0.63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2009028 - 2011216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1.06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0.92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10.89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0.06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0.05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0.49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2011216 - 2013067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1.09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0.86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8.11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0.10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0.07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0.73</w:t>
            </w:r>
          </w:p>
        </w:tc>
      </w:tr>
      <w:tr w:rsidR="001B6682" w:rsidTr="001B6682">
        <w:tc>
          <w:tcPr>
            <w:tcW w:w="491" w:type="dxa"/>
            <w:vMerge/>
          </w:tcPr>
          <w:p w:rsidR="001B6682" w:rsidRDefault="001B6682"/>
        </w:tc>
        <w:tc>
          <w:tcPr>
            <w:tcW w:w="1970" w:type="dxa"/>
          </w:tcPr>
          <w:p w:rsidR="001B6682" w:rsidRDefault="001B6682">
            <w:r>
              <w:t>2013067 - 2014087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1.06</w:t>
            </w:r>
          </w:p>
        </w:tc>
        <w:tc>
          <w:tcPr>
            <w:tcW w:w="1272" w:type="dxa"/>
          </w:tcPr>
          <w:p w:rsidR="001B6682" w:rsidRDefault="001B6682" w:rsidP="00E770BA">
            <w:pPr>
              <w:jc w:val="center"/>
            </w:pPr>
            <w:r>
              <w:t>0.91</w:t>
            </w:r>
          </w:p>
        </w:tc>
        <w:tc>
          <w:tcPr>
            <w:tcW w:w="1134" w:type="dxa"/>
          </w:tcPr>
          <w:p w:rsidR="001B6682" w:rsidRDefault="001B6682" w:rsidP="00E770BA">
            <w:pPr>
              <w:jc w:val="center"/>
            </w:pPr>
            <w:r>
              <w:t>6.09</w:t>
            </w:r>
          </w:p>
        </w:tc>
        <w:tc>
          <w:tcPr>
            <w:tcW w:w="1127" w:type="dxa"/>
          </w:tcPr>
          <w:p w:rsidR="001B6682" w:rsidRDefault="001B6682" w:rsidP="00E770BA">
            <w:pPr>
              <w:jc w:val="center"/>
            </w:pPr>
            <w:r>
              <w:t>0.29</w:t>
            </w:r>
          </w:p>
        </w:tc>
        <w:tc>
          <w:tcPr>
            <w:tcW w:w="1411" w:type="dxa"/>
          </w:tcPr>
          <w:p w:rsidR="001B6682" w:rsidRDefault="001B6682" w:rsidP="00E770BA">
            <w:pPr>
              <w:jc w:val="center"/>
            </w:pPr>
            <w:r>
              <w:t>0.22</w:t>
            </w:r>
          </w:p>
        </w:tc>
        <w:tc>
          <w:tcPr>
            <w:tcW w:w="1123" w:type="dxa"/>
          </w:tcPr>
          <w:p w:rsidR="001B6682" w:rsidRDefault="001B6682" w:rsidP="00E770BA">
            <w:pPr>
              <w:jc w:val="center"/>
            </w:pPr>
            <w:r>
              <w:t>1.18</w:t>
            </w:r>
          </w:p>
        </w:tc>
      </w:tr>
    </w:tbl>
    <w:p w:rsidR="00E770BA" w:rsidRDefault="00E770BA"/>
    <w:sectPr w:rsidR="00E770BA" w:rsidSect="001B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C5"/>
    <w:rsid w:val="001B6682"/>
    <w:rsid w:val="001C4010"/>
    <w:rsid w:val="00321B02"/>
    <w:rsid w:val="00421CC7"/>
    <w:rsid w:val="00514D49"/>
    <w:rsid w:val="00762EEE"/>
    <w:rsid w:val="007F62C5"/>
    <w:rsid w:val="0090247E"/>
    <w:rsid w:val="00936A44"/>
    <w:rsid w:val="00A40D7A"/>
    <w:rsid w:val="00AB3C3A"/>
    <w:rsid w:val="00B85E27"/>
    <w:rsid w:val="00C01D9E"/>
    <w:rsid w:val="00C16A42"/>
    <w:rsid w:val="00D96C12"/>
    <w:rsid w:val="00E770BA"/>
    <w:rsid w:val="00EE3451"/>
    <w:rsid w:val="00EE6873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1FB22-560A-40F0-AE8B-FCDA81F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A98-E5C5-4827-9F40-6C12EAA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</cp:revision>
  <dcterms:created xsi:type="dcterms:W3CDTF">2020-01-16T03:54:00Z</dcterms:created>
  <dcterms:modified xsi:type="dcterms:W3CDTF">2020-05-26T15:02:00Z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