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1533D" w14:textId="666DF2C7" w:rsidR="00E960F6" w:rsidRDefault="00654E8F" w:rsidP="005C3B58">
      <w:pPr>
        <w:pStyle w:val="SupplementaryMaterial"/>
      </w:pPr>
      <w:r w:rsidRPr="001549D3">
        <w:t>Supplementary Material</w:t>
      </w:r>
    </w:p>
    <w:p w14:paraId="23079FCD" w14:textId="77777777" w:rsidR="005C3B58" w:rsidRPr="005C3B58" w:rsidRDefault="005C3B58" w:rsidP="005C3B58">
      <w:pPr>
        <w:pStyle w:val="Titre"/>
      </w:pPr>
    </w:p>
    <w:p w14:paraId="572C2A8C" w14:textId="654985A3" w:rsidR="00313DBE" w:rsidRPr="00313DBE" w:rsidRDefault="00654E8F" w:rsidP="00313DBE">
      <w:pPr>
        <w:pStyle w:val="Titre1"/>
      </w:pPr>
      <w:r w:rsidRPr="00994A3D">
        <w:t>Supplementary Data</w:t>
      </w:r>
    </w:p>
    <w:p w14:paraId="39F1C726" w14:textId="77777777" w:rsidR="00313DBE" w:rsidRPr="00313DBE" w:rsidRDefault="00313DBE" w:rsidP="00313DBE">
      <w:pPr>
        <w:pStyle w:val="Titre2"/>
      </w:pPr>
      <w:r w:rsidRPr="00313DBE">
        <w:t xml:space="preserve">PCR amplification </w:t>
      </w:r>
    </w:p>
    <w:p w14:paraId="2ABCD8AC" w14:textId="0AB2C029" w:rsidR="00313DBE" w:rsidRPr="00313DBE" w:rsidRDefault="00313DBE" w:rsidP="00313DBE">
      <w:pPr>
        <w:pBdr>
          <w:top w:val="nil"/>
          <w:left w:val="nil"/>
          <w:bottom w:val="nil"/>
          <w:right w:val="nil"/>
          <w:between w:val="nil"/>
        </w:pBdr>
        <w:jc w:val="both"/>
        <w:rPr>
          <w:rFonts w:cs="Times New Roman"/>
          <w:szCs w:val="24"/>
        </w:rPr>
      </w:pPr>
      <w:r w:rsidRPr="00313DBE">
        <w:rPr>
          <w:rFonts w:cs="Times New Roman"/>
          <w:szCs w:val="24"/>
        </w:rPr>
        <w:t xml:space="preserve">Prokaryotic barcodes were generated using the 515F-Y (5′- GTGYCAGCMGCCGCGGTAA-3′) and 926R (5′- CCGYCAATTYMTTTRAGTTT-3′) primers </w:t>
      </w:r>
      <w:r w:rsidRPr="00313DBE">
        <w:rPr>
          <w:rFonts w:cs="Times New Roman"/>
          <w:szCs w:val="24"/>
        </w:rPr>
        <w:fldChar w:fldCharType="begin"/>
      </w:r>
      <w:r w:rsidRPr="00313DBE">
        <w:rPr>
          <w:rFonts w:cs="Times New Roman"/>
          <w:szCs w:val="24"/>
        </w:rPr>
        <w:instrText xml:space="preserve"> ADDIN ZOTERO_ITEM CSL_CITATION {"citationID":"gGmyXnV0","properties":{"formattedCitation":"(Parada et al., 2015)","plainCitation":"(Parada et al., 2015)","noteIndex":0},"citationItems":[{"id":5093,"uris":["http://zotero.org/groups/275018/items/NKGDWXHP"],"uri":["http://zotero.org/groups/275018/items/NKGDWXHP"],"itemData":{"id":5093,"type":"article-journal","abstract":"Microbial community analysis via high-throughput sequencing of ampliﬁed 16S rRNA genes is an essential microbiology tool. We found the popular primer pair 515F (515F-C) and 806R greatly underestimated (e.g. SAR11) or overestimated (e.g. Gammaproteobacteria) common marine taxa. We evaluated marine samples and mock communities (containing 11 or 27 marine 16S clones), showing alternative primers 515F-Y (5′-GTGYCAGCMGCCGCGG TAA) and 926R (5′-CCGYCAATTYMTTTRAGTTT) yield more accurate estimates of mock community abundances, produce longer amplicons that can differentiate taxa unresolvable with 515F-C/806R, and amplify eukaryotic 18S rRNA. Mock communities ampliﬁed with 515F-Y/926R yielded closer observed community composition versus expected (r2 = 0.95) compared with 515F-Y/806R (r2 </w:instrText>
      </w:r>
      <w:r w:rsidRPr="00313DBE">
        <w:rPr>
          <w:rFonts w:ascii="Cambria Math" w:hAnsi="Cambria Math" w:cs="Cambria Math"/>
          <w:szCs w:val="24"/>
        </w:rPr>
        <w:instrText>∼</w:instrText>
      </w:r>
      <w:r w:rsidRPr="00313DBE">
        <w:rPr>
          <w:rFonts w:cs="Times New Roman"/>
          <w:szCs w:val="24"/>
        </w:rPr>
        <w:instrText xml:space="preserve"> 0.5). Unexpectedly, biases with 515F-Y/806R against SAR11 in ﬁeld samples (</w:instrText>
      </w:r>
      <w:r w:rsidRPr="00313DBE">
        <w:rPr>
          <w:rFonts w:ascii="Cambria Math" w:hAnsi="Cambria Math" w:cs="Cambria Math"/>
          <w:szCs w:val="24"/>
        </w:rPr>
        <w:instrText>∼</w:instrText>
      </w:r>
      <w:r w:rsidRPr="00313DBE">
        <w:rPr>
          <w:rFonts w:cs="Times New Roman"/>
          <w:szCs w:val="24"/>
        </w:rPr>
        <w:instrText>4–10fold) were stronger than in mock communities (</w:instrText>
      </w:r>
      <w:r w:rsidRPr="00313DBE">
        <w:rPr>
          <w:rFonts w:ascii="Cambria Math" w:hAnsi="Cambria Math" w:cs="Cambria Math"/>
          <w:szCs w:val="24"/>
        </w:rPr>
        <w:instrText>∼</w:instrText>
      </w:r>
      <w:r w:rsidRPr="00313DBE">
        <w:rPr>
          <w:rFonts w:cs="Times New Roman"/>
          <w:szCs w:val="24"/>
        </w:rPr>
        <w:instrText xml:space="preserve">2fold). Correcting a mismatch to Thaumarchaea in the 515F-C increased their apparent abundance in ﬁeld samples, but not as much as using 926R rather than 806R. With plankton samples rich in eukaryotic DNA (&gt; 1 μm size fraction), 18S sequences averaged </w:instrText>
      </w:r>
      <w:r w:rsidRPr="00313DBE">
        <w:rPr>
          <w:rFonts w:ascii="Cambria Math" w:hAnsi="Cambria Math" w:cs="Cambria Math"/>
          <w:szCs w:val="24"/>
        </w:rPr>
        <w:instrText>∼</w:instrText>
      </w:r>
      <w:r w:rsidRPr="00313DBE">
        <w:rPr>
          <w:rFonts w:cs="Times New Roman"/>
          <w:szCs w:val="24"/>
        </w:rPr>
        <w:instrText xml:space="preserve">17% of all sequences. A single mismatch can strongly bias ampliﬁcation, but even perfectly matched primers can exhibit preferential ampliﬁcation. We show that beyond in silico predictions, testing with mock communities and ﬁeld samples is important in primer selection.","container-title":"Environmental Microbiology","DOI":"10.1111/1462-2920.13023","ISSN":"14622912","issue":"5","language":"en","page":"1403-1414","source":"Crossref","title":"Every base matters: assessing small subunit rRNA primers for marine microbiomes with mock communities, time series and global field samples: Primers for marine microbiome studies","title-short":"Every base matters","volume":"18","author":[{"family":"Parada","given":"Alma E."},{"family":"Needham","given":"David M."},{"family":"Fuhrman","given":"Jed A."}],"issued":{"date-parts":[["2015"]]}}}],"schema":"https://github.com/citation-style-language/schema/raw/master/csl-citation.json"} </w:instrText>
      </w:r>
      <w:r w:rsidRPr="00313DBE">
        <w:rPr>
          <w:rFonts w:cs="Times New Roman"/>
          <w:szCs w:val="24"/>
        </w:rPr>
        <w:fldChar w:fldCharType="separate"/>
      </w:r>
      <w:r w:rsidRPr="00313DBE">
        <w:rPr>
          <w:rFonts w:cs="Times New Roman"/>
          <w:szCs w:val="24"/>
        </w:rPr>
        <w:t>(Parada et al., 201</w:t>
      </w:r>
      <w:r w:rsidR="00D85979">
        <w:rPr>
          <w:rFonts w:cs="Times New Roman"/>
          <w:szCs w:val="24"/>
        </w:rPr>
        <w:t>6</w:t>
      </w:r>
      <w:r w:rsidRPr="00313DBE">
        <w:rPr>
          <w:rFonts w:cs="Times New Roman"/>
          <w:szCs w:val="24"/>
        </w:rPr>
        <w:t>)</w:t>
      </w:r>
      <w:r w:rsidRPr="00313DBE">
        <w:rPr>
          <w:rFonts w:cs="Times New Roman"/>
          <w:szCs w:val="24"/>
        </w:rPr>
        <w:fldChar w:fldCharType="end"/>
      </w:r>
      <w:r w:rsidRPr="00313DBE">
        <w:rPr>
          <w:rFonts w:cs="Times New Roman"/>
          <w:szCs w:val="24"/>
        </w:rPr>
        <w:t>, and the Phusion High Fidelity PCR Master Mix with GC buffer (</w:t>
      </w:r>
      <w:proofErr w:type="spellStart"/>
      <w:r w:rsidRPr="00313DBE">
        <w:rPr>
          <w:rFonts w:cs="Times New Roman"/>
          <w:szCs w:val="24"/>
        </w:rPr>
        <w:t>ThermoFisher</w:t>
      </w:r>
      <w:proofErr w:type="spellEnd"/>
      <w:r w:rsidRPr="00313DBE">
        <w:rPr>
          <w:rFonts w:cs="Times New Roman"/>
          <w:szCs w:val="24"/>
        </w:rPr>
        <w:t xml:space="preserve"> Scientific, Waltham, MA, USA). PCR mixtures (25 </w:t>
      </w:r>
      <w:proofErr w:type="spellStart"/>
      <w:r w:rsidRPr="00313DBE">
        <w:rPr>
          <w:rFonts w:cs="Times New Roman"/>
          <w:szCs w:val="24"/>
        </w:rPr>
        <w:t>μL</w:t>
      </w:r>
      <w:proofErr w:type="spellEnd"/>
      <w:r w:rsidRPr="00313DBE">
        <w:rPr>
          <w:rFonts w:cs="Times New Roman"/>
          <w:szCs w:val="24"/>
        </w:rPr>
        <w:t xml:space="preserve"> final volume) contained 2.5 ng or less of DNA template with 0.4 μM concentration of each primer, 3% of DMSO, and 1X Phusion Master Mix. PCR amplifications (98°C for 30 s; 25 cycles of 10 s at 98°C, 30 s at 53°C, 30 s at 72°C; and 72°C for 10 min) of all samples were carried out in triplicate in order to smooth the intra-sample variance while obtaining sufficient amounts of amplicons for Illumina sequencing.</w:t>
      </w:r>
    </w:p>
    <w:p w14:paraId="29D1151A" w14:textId="53CADE8F" w:rsidR="00313DBE" w:rsidRDefault="00313DBE" w:rsidP="00313DBE">
      <w:pPr>
        <w:pBdr>
          <w:top w:val="nil"/>
          <w:left w:val="nil"/>
          <w:bottom w:val="nil"/>
          <w:right w:val="nil"/>
          <w:between w:val="nil"/>
        </w:pBdr>
        <w:jc w:val="both"/>
        <w:rPr>
          <w:rFonts w:cs="Times New Roman"/>
          <w:szCs w:val="24"/>
        </w:rPr>
      </w:pPr>
      <w:r w:rsidRPr="00313DBE">
        <w:rPr>
          <w:rFonts w:cs="Times New Roman"/>
          <w:szCs w:val="24"/>
        </w:rPr>
        <w:t xml:space="preserve">PCR triplicates were pooled and cleaned up using 1X </w:t>
      </w:r>
      <w:proofErr w:type="spellStart"/>
      <w:r w:rsidRPr="00313DBE">
        <w:rPr>
          <w:rFonts w:cs="Times New Roman"/>
          <w:szCs w:val="24"/>
        </w:rPr>
        <w:t>AMPure</w:t>
      </w:r>
      <w:proofErr w:type="spellEnd"/>
      <w:r w:rsidRPr="00313DBE">
        <w:rPr>
          <w:rFonts w:cs="Times New Roman"/>
          <w:szCs w:val="24"/>
        </w:rPr>
        <w:t xml:space="preserve"> XP beads (Beckman Coulter, Brea, CA, USA). Aliquots of purified amplicons were then run on an Agilent Bioanalyzer using the DNA High Sensitivity </w:t>
      </w:r>
      <w:proofErr w:type="spellStart"/>
      <w:r w:rsidRPr="00313DBE">
        <w:rPr>
          <w:rFonts w:cs="Times New Roman"/>
          <w:szCs w:val="24"/>
        </w:rPr>
        <w:t>LabChip</w:t>
      </w:r>
      <w:proofErr w:type="spellEnd"/>
      <w:r w:rsidRPr="00313DBE">
        <w:rPr>
          <w:rFonts w:cs="Times New Roman"/>
          <w:szCs w:val="24"/>
        </w:rPr>
        <w:t xml:space="preserve"> kit (Agilent Technologies, Santa Clara, CA, USA) to check their lengths and quantified with a Qubit fluorometer (Invitrogen, Carlsbad, CA, USA).</w:t>
      </w:r>
    </w:p>
    <w:p w14:paraId="28C903AB" w14:textId="77777777" w:rsidR="00313DBE" w:rsidRPr="00313DBE" w:rsidRDefault="00313DBE" w:rsidP="00313DBE">
      <w:pPr>
        <w:pBdr>
          <w:top w:val="nil"/>
          <w:left w:val="nil"/>
          <w:bottom w:val="nil"/>
          <w:right w:val="nil"/>
          <w:between w:val="nil"/>
        </w:pBdr>
        <w:jc w:val="both"/>
        <w:rPr>
          <w:rFonts w:cs="Times New Roman"/>
          <w:szCs w:val="24"/>
        </w:rPr>
      </w:pPr>
    </w:p>
    <w:p w14:paraId="55235F62" w14:textId="77777777" w:rsidR="00313DBE" w:rsidRPr="00313DBE" w:rsidRDefault="00313DBE" w:rsidP="00313DBE">
      <w:pPr>
        <w:pStyle w:val="Titre2"/>
      </w:pPr>
      <w:bookmarkStart w:id="0" w:name="_heading=h.gjdgxs" w:colFirst="0" w:colLast="0"/>
      <w:bookmarkEnd w:id="0"/>
      <w:r w:rsidRPr="00313DBE">
        <w:t>Sequencing</w:t>
      </w:r>
    </w:p>
    <w:p w14:paraId="490F23BE" w14:textId="77777777" w:rsidR="00313DBE" w:rsidRPr="00313DBE" w:rsidRDefault="00313DBE" w:rsidP="00313DBE">
      <w:pPr>
        <w:pStyle w:val="Titre3"/>
      </w:pPr>
      <w:r w:rsidRPr="00313DBE">
        <w:t>Amplicon library preparation</w:t>
      </w:r>
    </w:p>
    <w:p w14:paraId="43AE6298" w14:textId="52B1BAB1" w:rsidR="00313DBE" w:rsidRPr="00313DBE" w:rsidRDefault="00313DBE" w:rsidP="00313DBE">
      <w:pPr>
        <w:pBdr>
          <w:top w:val="nil"/>
          <w:left w:val="nil"/>
          <w:bottom w:val="nil"/>
          <w:right w:val="nil"/>
          <w:between w:val="nil"/>
        </w:pBdr>
        <w:jc w:val="both"/>
        <w:rPr>
          <w:rFonts w:cs="Times New Roman"/>
          <w:szCs w:val="24"/>
        </w:rPr>
      </w:pPr>
      <w:r w:rsidRPr="00313DBE">
        <w:rPr>
          <w:rFonts w:cs="Times New Roman"/>
          <w:szCs w:val="24"/>
        </w:rPr>
        <w:t xml:space="preserve">One hundred ng of amplicons were directly end-repaired, A-tailed at the 3’end, and ligated to Illumina compatible adaptors using the </w:t>
      </w:r>
      <w:proofErr w:type="spellStart"/>
      <w:r w:rsidRPr="00313DBE">
        <w:rPr>
          <w:rFonts w:cs="Times New Roman"/>
          <w:szCs w:val="24"/>
        </w:rPr>
        <w:t>NEBNext</w:t>
      </w:r>
      <w:proofErr w:type="spellEnd"/>
      <w:r w:rsidRPr="00313DBE">
        <w:rPr>
          <w:rFonts w:cs="Times New Roman"/>
          <w:szCs w:val="24"/>
        </w:rPr>
        <w:t xml:space="preserve"> DNA Modules Products (New England Biolabs, MA, USA) and </w:t>
      </w:r>
      <w:proofErr w:type="spellStart"/>
      <w:r w:rsidRPr="00313DBE">
        <w:rPr>
          <w:rFonts w:cs="Times New Roman"/>
          <w:szCs w:val="24"/>
        </w:rPr>
        <w:t>NextFlex</w:t>
      </w:r>
      <w:proofErr w:type="spellEnd"/>
      <w:r w:rsidRPr="00313DBE">
        <w:rPr>
          <w:rFonts w:cs="Times New Roman"/>
          <w:szCs w:val="24"/>
        </w:rPr>
        <w:t xml:space="preserve"> DNA barcodes (</w:t>
      </w:r>
      <w:proofErr w:type="spellStart"/>
      <w:r w:rsidRPr="00313DBE">
        <w:rPr>
          <w:rFonts w:cs="Times New Roman"/>
          <w:szCs w:val="24"/>
        </w:rPr>
        <w:t>Bioo</w:t>
      </w:r>
      <w:proofErr w:type="spellEnd"/>
      <w:r w:rsidRPr="00313DBE">
        <w:rPr>
          <w:rFonts w:cs="Times New Roman"/>
          <w:szCs w:val="24"/>
        </w:rPr>
        <w:t xml:space="preserve"> Scientific Corporation) with a liquid handler. This was done on a </w:t>
      </w:r>
      <w:proofErr w:type="spellStart"/>
      <w:r w:rsidRPr="00313DBE">
        <w:rPr>
          <w:rFonts w:cs="Times New Roman"/>
          <w:szCs w:val="24"/>
        </w:rPr>
        <w:t>Biomek</w:t>
      </w:r>
      <w:proofErr w:type="spellEnd"/>
      <w:r w:rsidRPr="00313DBE">
        <w:rPr>
          <w:rFonts w:cs="Times New Roman"/>
          <w:szCs w:val="24"/>
        </w:rPr>
        <w:t xml:space="preserve"> FX Laboratory Automation Workstation (Beckmann Coulter Genomics), able to perform up to 96 reactions in parallel. After two consecutive 1x </w:t>
      </w:r>
      <w:proofErr w:type="spellStart"/>
      <w:r w:rsidRPr="00313DBE">
        <w:rPr>
          <w:rFonts w:cs="Times New Roman"/>
          <w:szCs w:val="24"/>
        </w:rPr>
        <w:t>AMPure</w:t>
      </w:r>
      <w:proofErr w:type="spellEnd"/>
      <w:r w:rsidRPr="00313DBE">
        <w:rPr>
          <w:rFonts w:cs="Times New Roman"/>
          <w:szCs w:val="24"/>
        </w:rPr>
        <w:t xml:space="preserve"> XP clean ups, the ligated product were amplified using Kapa </w:t>
      </w:r>
      <w:proofErr w:type="spellStart"/>
      <w:r w:rsidRPr="00313DBE">
        <w:rPr>
          <w:rFonts w:cs="Times New Roman"/>
          <w:szCs w:val="24"/>
        </w:rPr>
        <w:t>Hifi</w:t>
      </w:r>
      <w:proofErr w:type="spellEnd"/>
      <w:r w:rsidRPr="00313DBE">
        <w:rPr>
          <w:rFonts w:cs="Times New Roman"/>
          <w:szCs w:val="24"/>
        </w:rPr>
        <w:t xml:space="preserve"> </w:t>
      </w:r>
      <w:proofErr w:type="spellStart"/>
      <w:r w:rsidRPr="00313DBE">
        <w:rPr>
          <w:rFonts w:cs="Times New Roman"/>
          <w:szCs w:val="24"/>
        </w:rPr>
        <w:t>HotStart</w:t>
      </w:r>
      <w:proofErr w:type="spellEnd"/>
      <w:r w:rsidRPr="00313DBE">
        <w:rPr>
          <w:rFonts w:cs="Times New Roman"/>
          <w:szCs w:val="24"/>
        </w:rPr>
        <w:t xml:space="preserve"> NGS library Amplification kit (Kapa Biosystems, Wilmington, MA), followed by 1x </w:t>
      </w:r>
      <w:proofErr w:type="spellStart"/>
      <w:r w:rsidRPr="00313DBE">
        <w:rPr>
          <w:rFonts w:cs="Times New Roman"/>
          <w:szCs w:val="24"/>
        </w:rPr>
        <w:t>AMPure</w:t>
      </w:r>
      <w:proofErr w:type="spellEnd"/>
      <w:r w:rsidRPr="00313DBE">
        <w:rPr>
          <w:rFonts w:cs="Times New Roman"/>
          <w:szCs w:val="24"/>
        </w:rPr>
        <w:t xml:space="preserve"> XP purification.  </w:t>
      </w:r>
    </w:p>
    <w:p w14:paraId="140930DF" w14:textId="77777777" w:rsidR="00313DBE" w:rsidRPr="00313DBE" w:rsidRDefault="00313DBE" w:rsidP="00313DBE">
      <w:pPr>
        <w:pStyle w:val="Titre3"/>
      </w:pPr>
      <w:r w:rsidRPr="00313DBE">
        <w:t>Sequencing library quality control</w:t>
      </w:r>
    </w:p>
    <w:p w14:paraId="2776BD86" w14:textId="3A57C26F" w:rsidR="00313DBE" w:rsidRPr="00313DBE" w:rsidRDefault="00313DBE" w:rsidP="00313DBE">
      <w:pPr>
        <w:jc w:val="both"/>
        <w:rPr>
          <w:rFonts w:cs="Times New Roman"/>
          <w:szCs w:val="24"/>
        </w:rPr>
      </w:pPr>
      <w:r w:rsidRPr="00313DBE">
        <w:rPr>
          <w:rFonts w:cs="Times New Roman"/>
          <w:szCs w:val="24"/>
        </w:rPr>
        <w:t>Libraries were quantified by Quant-</w:t>
      </w:r>
      <w:proofErr w:type="spellStart"/>
      <w:r w:rsidRPr="00313DBE">
        <w:rPr>
          <w:rFonts w:cs="Times New Roman"/>
          <w:szCs w:val="24"/>
        </w:rPr>
        <w:t>iT</w:t>
      </w:r>
      <w:proofErr w:type="spellEnd"/>
      <w:r w:rsidRPr="00313DBE">
        <w:rPr>
          <w:rFonts w:cs="Times New Roman"/>
          <w:szCs w:val="24"/>
        </w:rPr>
        <w:t xml:space="preserve"> dsDNA HS assay kits using a </w:t>
      </w:r>
      <w:proofErr w:type="spellStart"/>
      <w:r w:rsidRPr="00313DBE">
        <w:rPr>
          <w:rFonts w:cs="Times New Roman"/>
          <w:szCs w:val="24"/>
        </w:rPr>
        <w:t>Fluoroskan</w:t>
      </w:r>
      <w:proofErr w:type="spellEnd"/>
      <w:r w:rsidRPr="00313DBE">
        <w:rPr>
          <w:rFonts w:cs="Times New Roman"/>
          <w:szCs w:val="24"/>
        </w:rPr>
        <w:t xml:space="preserve"> Ascent microplate fluorometer (</w:t>
      </w:r>
      <w:proofErr w:type="spellStart"/>
      <w:r w:rsidRPr="00313DBE">
        <w:rPr>
          <w:rFonts w:cs="Times New Roman"/>
          <w:szCs w:val="24"/>
        </w:rPr>
        <w:t>ThermoFisher</w:t>
      </w:r>
      <w:proofErr w:type="spellEnd"/>
      <w:r w:rsidRPr="00313DBE">
        <w:rPr>
          <w:rFonts w:cs="Times New Roman"/>
          <w:szCs w:val="24"/>
        </w:rPr>
        <w:t xml:space="preserve"> Scientific, Waltham, MA, USA) and then by qPCR with the KAPA Library Quantification Kit for Illumina Libraries (Kapa Biosystems, Wilmington, MA, USA) on a </w:t>
      </w:r>
      <w:proofErr w:type="spellStart"/>
      <w:r w:rsidRPr="00313DBE">
        <w:rPr>
          <w:rFonts w:cs="Times New Roman"/>
          <w:szCs w:val="24"/>
        </w:rPr>
        <w:t>MxPro</w:t>
      </w:r>
      <w:proofErr w:type="spellEnd"/>
      <w:r w:rsidRPr="00313DBE">
        <w:rPr>
          <w:rFonts w:cs="Times New Roman"/>
          <w:szCs w:val="24"/>
        </w:rPr>
        <w:t xml:space="preserve"> instrument (Agilent Technologies, Santa Clara, CA, USA). Library profiles were assessed using a high-throughput microfluidic capillary electrophoresis system (</w:t>
      </w:r>
      <w:proofErr w:type="spellStart"/>
      <w:r w:rsidRPr="00313DBE">
        <w:rPr>
          <w:rFonts w:cs="Times New Roman"/>
          <w:szCs w:val="24"/>
        </w:rPr>
        <w:t>LabChip</w:t>
      </w:r>
      <w:proofErr w:type="spellEnd"/>
      <w:r w:rsidRPr="00313DBE">
        <w:rPr>
          <w:rFonts w:cs="Times New Roman"/>
          <w:szCs w:val="24"/>
        </w:rPr>
        <w:t xml:space="preserve"> GX, Perkin Elmer, Waltham, MA, USA).</w:t>
      </w:r>
    </w:p>
    <w:p w14:paraId="11517F52" w14:textId="77777777" w:rsidR="00313DBE" w:rsidRPr="00313DBE" w:rsidRDefault="00313DBE" w:rsidP="00313DBE">
      <w:pPr>
        <w:pStyle w:val="Titre3"/>
      </w:pPr>
      <w:r w:rsidRPr="00313DBE">
        <w:lastRenderedPageBreak/>
        <w:t>Sequencing procedures</w:t>
      </w:r>
    </w:p>
    <w:p w14:paraId="7E8E24C2" w14:textId="77777777" w:rsidR="00313DBE" w:rsidRPr="00313DBE" w:rsidRDefault="00313DBE" w:rsidP="00313DBE">
      <w:pPr>
        <w:jc w:val="both"/>
        <w:rPr>
          <w:rFonts w:cs="Times New Roman"/>
          <w:szCs w:val="24"/>
        </w:rPr>
      </w:pPr>
      <w:r w:rsidRPr="00313DBE">
        <w:rPr>
          <w:rFonts w:cs="Times New Roman"/>
          <w:szCs w:val="24"/>
        </w:rPr>
        <w:t xml:space="preserve">Metabarcoding libraries were characterized by low diversity sequences at the beginning of the reads, partly due to the presence of the primer sequence used to amplify tags. Low-diversity libraries can interfere in correct cluster identification, resulting in a drastic loss of data output. Therefore, loading concentrations of the metabarcoding libraries were </w:t>
      </w:r>
      <w:proofErr w:type="spellStart"/>
      <w:r w:rsidRPr="00313DBE">
        <w:rPr>
          <w:rFonts w:cs="Times New Roman"/>
          <w:szCs w:val="24"/>
        </w:rPr>
        <w:t>normalised</w:t>
      </w:r>
      <w:proofErr w:type="spellEnd"/>
      <w:r w:rsidRPr="00313DBE">
        <w:rPr>
          <w:rFonts w:cs="Times New Roman"/>
          <w:szCs w:val="24"/>
        </w:rPr>
        <w:t xml:space="preserve"> to 8–9 </w:t>
      </w:r>
      <w:proofErr w:type="spellStart"/>
      <w:r w:rsidRPr="00313DBE">
        <w:rPr>
          <w:rFonts w:cs="Times New Roman"/>
          <w:szCs w:val="24"/>
        </w:rPr>
        <w:t>pM</w:t>
      </w:r>
      <w:proofErr w:type="spellEnd"/>
      <w:r w:rsidRPr="00313DBE">
        <w:rPr>
          <w:rFonts w:cs="Times New Roman"/>
          <w:szCs w:val="24"/>
        </w:rPr>
        <w:t xml:space="preserve"> (instead of 12–14 </w:t>
      </w:r>
      <w:proofErr w:type="spellStart"/>
      <w:r w:rsidRPr="00313DBE">
        <w:rPr>
          <w:rFonts w:cs="Times New Roman"/>
          <w:szCs w:val="24"/>
        </w:rPr>
        <w:t>pM</w:t>
      </w:r>
      <w:proofErr w:type="spellEnd"/>
      <w:r w:rsidRPr="00313DBE">
        <w:rPr>
          <w:rFonts w:cs="Times New Roman"/>
          <w:szCs w:val="24"/>
        </w:rPr>
        <w:t xml:space="preserve"> for standard libraries) and contained a 20% </w:t>
      </w:r>
      <w:proofErr w:type="spellStart"/>
      <w:r w:rsidRPr="00313DBE">
        <w:rPr>
          <w:rFonts w:cs="Times New Roman"/>
          <w:szCs w:val="24"/>
        </w:rPr>
        <w:t>PhiX</w:t>
      </w:r>
      <w:proofErr w:type="spellEnd"/>
      <w:r w:rsidRPr="00313DBE">
        <w:rPr>
          <w:rFonts w:cs="Times New Roman"/>
          <w:szCs w:val="24"/>
        </w:rPr>
        <w:t xml:space="preserve"> DNA spike-in (instead of 1%) in order to minimize the impacts on the run quality. Libraries were sequenced on HiSeq2500 instruments (Illumina, San Diego, CA, USA) in a 250 bp paired-end mode. </w:t>
      </w:r>
    </w:p>
    <w:p w14:paraId="2E251A9E" w14:textId="77777777" w:rsidR="00313DBE" w:rsidRPr="00313DBE" w:rsidRDefault="00313DBE" w:rsidP="00313DBE">
      <w:pPr>
        <w:jc w:val="both"/>
        <w:rPr>
          <w:rFonts w:cs="Times New Roman"/>
          <w:szCs w:val="24"/>
        </w:rPr>
      </w:pPr>
    </w:p>
    <w:p w14:paraId="607AE7DA" w14:textId="77777777" w:rsidR="00313DBE" w:rsidRPr="00313DBE" w:rsidRDefault="00313DBE" w:rsidP="00313DBE">
      <w:pPr>
        <w:pStyle w:val="Titre2"/>
      </w:pPr>
      <w:bookmarkStart w:id="1" w:name="_heading=h.51o2keka2unq" w:colFirst="0" w:colLast="0"/>
      <w:bookmarkEnd w:id="1"/>
      <w:r w:rsidRPr="00313DBE">
        <w:t>Sediment characterization</w:t>
      </w:r>
    </w:p>
    <w:p w14:paraId="661D88D5" w14:textId="77777777" w:rsidR="00313DBE" w:rsidRPr="00313DBE" w:rsidRDefault="00313DBE" w:rsidP="00313DBE">
      <w:pPr>
        <w:pStyle w:val="Titre3"/>
      </w:pPr>
      <w:r w:rsidRPr="00313DBE">
        <w:t xml:space="preserve">Granulometric distribution </w:t>
      </w:r>
    </w:p>
    <w:p w14:paraId="176A12C1" w14:textId="54692BC1" w:rsidR="00313DBE" w:rsidRPr="00313DBE" w:rsidRDefault="00313DBE" w:rsidP="00313DBE">
      <w:pPr>
        <w:jc w:val="both"/>
        <w:rPr>
          <w:rFonts w:cs="Times New Roman"/>
          <w:szCs w:val="24"/>
        </w:rPr>
      </w:pPr>
      <w:r w:rsidRPr="00313DBE">
        <w:rPr>
          <w:rFonts w:cs="Times New Roman"/>
          <w:szCs w:val="24"/>
        </w:rPr>
        <w:t xml:space="preserve">To determine granulometry of the sediments, the samples were processed using a Malvern </w:t>
      </w:r>
      <w:proofErr w:type="spellStart"/>
      <w:r w:rsidRPr="00313DBE">
        <w:rPr>
          <w:rFonts w:cs="Times New Roman"/>
          <w:szCs w:val="24"/>
        </w:rPr>
        <w:t>Mastersizer</w:t>
      </w:r>
      <w:proofErr w:type="spellEnd"/>
      <w:r w:rsidRPr="00313DBE">
        <w:rPr>
          <w:rFonts w:cs="Times New Roman"/>
          <w:szCs w:val="24"/>
        </w:rPr>
        <w:t xml:space="preserve"> 3000 and Hydro LV (Malvern </w:t>
      </w:r>
      <w:proofErr w:type="spellStart"/>
      <w:r w:rsidRPr="00313DBE">
        <w:rPr>
          <w:rFonts w:cs="Times New Roman"/>
          <w:szCs w:val="24"/>
        </w:rPr>
        <w:t>Panalytical</w:t>
      </w:r>
      <w:proofErr w:type="spellEnd"/>
      <w:r w:rsidRPr="00313DBE">
        <w:rPr>
          <w:rFonts w:cs="Times New Roman"/>
          <w:szCs w:val="24"/>
        </w:rPr>
        <w:t xml:space="preserve"> Ltd, Malvern, UK). For each sample, a spatula tip of matter was added to water and submitted to ultrasound treatment for 30 seconds at 100% of their power to break aggregates. The sample was then agitated  for 30 seconds without ultrasounds in order to </w:t>
      </w:r>
      <w:proofErr w:type="spellStart"/>
      <w:r w:rsidRPr="00313DBE">
        <w:rPr>
          <w:rFonts w:cs="Times New Roman"/>
          <w:szCs w:val="24"/>
        </w:rPr>
        <w:t>stabilise</w:t>
      </w:r>
      <w:proofErr w:type="spellEnd"/>
      <w:r w:rsidRPr="00313DBE">
        <w:rPr>
          <w:rFonts w:cs="Times New Roman"/>
          <w:szCs w:val="24"/>
        </w:rPr>
        <w:t xml:space="preserve"> it. Following this, at least 4 granulometric measurements were performed in water, under a 2000 rpm agitation, with the following parameters: Mie theory with a refractive index of 1.52 and absorption of 0.1, and an obscuration rate between 0.5 and 15%. The result kept was the most repeatable value obtained. Between each sample, the machine underwent an automatic cleaning process. </w:t>
      </w:r>
    </w:p>
    <w:p w14:paraId="5B5E26E4" w14:textId="77777777" w:rsidR="00313DBE" w:rsidRPr="00313DBE" w:rsidRDefault="00313DBE" w:rsidP="00313DBE">
      <w:pPr>
        <w:pStyle w:val="Titre3"/>
      </w:pPr>
      <w:r w:rsidRPr="00313DBE">
        <w:t xml:space="preserve">Humidity level and loss on ignition at 550°C </w:t>
      </w:r>
    </w:p>
    <w:p w14:paraId="58B52FA6" w14:textId="10AE4287" w:rsidR="00313DBE" w:rsidRDefault="00313DBE" w:rsidP="00994A3D">
      <w:pPr>
        <w:jc w:val="both"/>
        <w:rPr>
          <w:rFonts w:cs="Times New Roman"/>
          <w:szCs w:val="24"/>
        </w:rPr>
      </w:pPr>
      <w:r w:rsidRPr="00313DBE">
        <w:rPr>
          <w:rFonts w:cs="Times New Roman"/>
          <w:szCs w:val="24"/>
        </w:rPr>
        <w:t xml:space="preserve">Approximately 2g of sediments were placed into dry and clean crucibles that had been previously weighed. The filled crucibles were then weighed before and after being placed overnight in a 100°C oven. Finally they were placed in a 550°C oven for 4 hours and weighed once more. Based on the weights measured, humidity level and loss on ignition values were computed. </w:t>
      </w:r>
    </w:p>
    <w:p w14:paraId="083ADD6F" w14:textId="77777777" w:rsidR="00313DBE" w:rsidRDefault="00313DBE" w:rsidP="00994A3D">
      <w:pPr>
        <w:jc w:val="both"/>
        <w:rPr>
          <w:rFonts w:cs="Times New Roman"/>
          <w:szCs w:val="24"/>
        </w:rPr>
      </w:pPr>
    </w:p>
    <w:p w14:paraId="4D059444" w14:textId="77777777" w:rsidR="00994A3D" w:rsidRPr="00994A3D" w:rsidRDefault="00654E8F" w:rsidP="0001436A">
      <w:pPr>
        <w:pStyle w:val="Titre1"/>
      </w:pPr>
      <w:r w:rsidRPr="00994A3D">
        <w:t>Supplementary Figures and Tables</w:t>
      </w:r>
    </w:p>
    <w:p w14:paraId="63D7C2B0" w14:textId="04E8391E" w:rsidR="00994A3D" w:rsidRDefault="00994A3D" w:rsidP="0001436A">
      <w:pPr>
        <w:pStyle w:val="Titre2"/>
      </w:pPr>
      <w:r w:rsidRPr="0001436A">
        <w:t>Supplementary</w:t>
      </w:r>
      <w:r w:rsidRPr="001549D3">
        <w:t xml:space="preserve"> </w:t>
      </w:r>
      <w:r w:rsidR="0076794A">
        <w:t>Tables</w:t>
      </w:r>
    </w:p>
    <w:p w14:paraId="30D240ED" w14:textId="3426F35F" w:rsidR="0071008E" w:rsidRDefault="0071008E" w:rsidP="0076794A">
      <w:r w:rsidRPr="00A66554">
        <w:rPr>
          <w:b/>
        </w:rPr>
        <w:t>Supplementary Table S</w:t>
      </w:r>
      <w:r>
        <w:rPr>
          <w:b/>
        </w:rPr>
        <w:t>1</w:t>
      </w:r>
      <w:r>
        <w:t>:</w:t>
      </w:r>
      <w:r w:rsidR="00BC4A34">
        <w:t xml:space="preserve"> Metadata table for all samples in the dataset</w:t>
      </w:r>
      <w:r w:rsidR="008C270D">
        <w:t xml:space="preserve">, used </w:t>
      </w:r>
      <w:r w:rsidR="001B1B3D">
        <w:t xml:space="preserve">to produce the figures included in the paper following the bioinformatic scripts available on </w:t>
      </w:r>
      <w:proofErr w:type="spellStart"/>
      <w:r w:rsidR="001B1B3D">
        <w:t>github</w:t>
      </w:r>
      <w:proofErr w:type="spellEnd"/>
      <w:r w:rsidR="00BC4A34">
        <w:t>.</w:t>
      </w:r>
    </w:p>
    <w:p w14:paraId="625C5DC0" w14:textId="14868661" w:rsidR="0071008E" w:rsidRDefault="0071008E" w:rsidP="0076794A">
      <w:pPr>
        <w:rPr>
          <w:b/>
        </w:rPr>
      </w:pPr>
      <w:r w:rsidRPr="00A66554">
        <w:rPr>
          <w:b/>
        </w:rPr>
        <w:t>Supplementary Table S</w:t>
      </w:r>
      <w:r>
        <w:rPr>
          <w:b/>
        </w:rPr>
        <w:t>2</w:t>
      </w:r>
      <w:r>
        <w:t>:</w:t>
      </w:r>
      <w:r w:rsidR="005429D0">
        <w:t xml:space="preserve"> Number of reads by sample at every step of the bioinformatic processing workflow. </w:t>
      </w:r>
    </w:p>
    <w:p w14:paraId="5BE3ED5E" w14:textId="6CCA880D" w:rsidR="0076794A" w:rsidRDefault="005C7313" w:rsidP="0076794A">
      <w:r w:rsidRPr="00A66554">
        <w:rPr>
          <w:b/>
        </w:rPr>
        <w:t>Supplementary Table S3</w:t>
      </w:r>
      <w:r>
        <w:t xml:space="preserve">: </w:t>
      </w:r>
      <w:r w:rsidR="005C3B58">
        <w:t>Values of linear regression parameters for log(Bray-Curtis similarity) = f(geographic distance) computed for each sediment horizon</w:t>
      </w:r>
      <w:r w:rsidR="00CF2738">
        <w:t xml:space="preserve"> on the whole dataset</w:t>
      </w:r>
      <w:r w:rsidR="005C3B58">
        <w:t xml:space="preserve">. </w:t>
      </w:r>
    </w:p>
    <w:tbl>
      <w:tblPr>
        <w:tblW w:w="8700" w:type="dxa"/>
        <w:tblCellMar>
          <w:left w:w="70" w:type="dxa"/>
          <w:right w:w="70" w:type="dxa"/>
        </w:tblCellMar>
        <w:tblLook w:val="04A0" w:firstRow="1" w:lastRow="0" w:firstColumn="1" w:lastColumn="0" w:noHBand="0" w:noVBand="1"/>
      </w:tblPr>
      <w:tblGrid>
        <w:gridCol w:w="1740"/>
        <w:gridCol w:w="1740"/>
        <w:gridCol w:w="1740"/>
        <w:gridCol w:w="1740"/>
        <w:gridCol w:w="1740"/>
      </w:tblGrid>
      <w:tr w:rsidR="005C7313" w:rsidRPr="005C7313" w14:paraId="6FCE1DFA" w14:textId="77777777" w:rsidTr="005C7313">
        <w:trPr>
          <w:trHeight w:val="315"/>
        </w:trPr>
        <w:tc>
          <w:tcPr>
            <w:tcW w:w="1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32E8810"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Horizon</w:t>
            </w:r>
          </w:p>
        </w:tc>
        <w:tc>
          <w:tcPr>
            <w:tcW w:w="1740" w:type="dxa"/>
            <w:tcBorders>
              <w:top w:val="single" w:sz="4" w:space="0" w:color="000000"/>
              <w:left w:val="nil"/>
              <w:bottom w:val="single" w:sz="4" w:space="0" w:color="000000"/>
              <w:right w:val="single" w:sz="4" w:space="0" w:color="000000"/>
            </w:tcBorders>
            <w:shd w:val="clear" w:color="auto" w:fill="auto"/>
            <w:vAlign w:val="bottom"/>
            <w:hideMark/>
          </w:tcPr>
          <w:p w14:paraId="0B26A6D5" w14:textId="77777777" w:rsidR="005C7313" w:rsidRPr="005C7313" w:rsidRDefault="005C7313" w:rsidP="005C7313">
            <w:pPr>
              <w:spacing w:before="0" w:after="0"/>
              <w:jc w:val="center"/>
              <w:rPr>
                <w:rFonts w:eastAsia="Times New Roman" w:cs="Times New Roman"/>
                <w:color w:val="000000"/>
                <w:sz w:val="22"/>
                <w:szCs w:val="20"/>
                <w:lang w:val="fr-FR" w:eastAsia="fr-FR"/>
              </w:rPr>
            </w:pPr>
            <w:proofErr w:type="spellStart"/>
            <w:r w:rsidRPr="005C7313">
              <w:rPr>
                <w:rFonts w:eastAsia="Times New Roman" w:cs="Times New Roman"/>
                <w:color w:val="000000"/>
                <w:sz w:val="22"/>
                <w:szCs w:val="20"/>
                <w:lang w:val="fr-FR" w:eastAsia="fr-FR"/>
              </w:rPr>
              <w:t>Slope</w:t>
            </w:r>
            <w:proofErr w:type="spellEnd"/>
          </w:p>
        </w:tc>
        <w:tc>
          <w:tcPr>
            <w:tcW w:w="1740" w:type="dxa"/>
            <w:tcBorders>
              <w:top w:val="single" w:sz="4" w:space="0" w:color="000000"/>
              <w:left w:val="nil"/>
              <w:bottom w:val="single" w:sz="4" w:space="0" w:color="000000"/>
              <w:right w:val="single" w:sz="4" w:space="0" w:color="000000"/>
            </w:tcBorders>
            <w:shd w:val="clear" w:color="auto" w:fill="auto"/>
            <w:vAlign w:val="bottom"/>
            <w:hideMark/>
          </w:tcPr>
          <w:p w14:paraId="64DAE4C3"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Intercept</w:t>
            </w:r>
          </w:p>
        </w:tc>
        <w:tc>
          <w:tcPr>
            <w:tcW w:w="1740" w:type="dxa"/>
            <w:tcBorders>
              <w:top w:val="single" w:sz="4" w:space="0" w:color="000000"/>
              <w:left w:val="nil"/>
              <w:bottom w:val="single" w:sz="4" w:space="0" w:color="000000"/>
              <w:right w:val="single" w:sz="4" w:space="0" w:color="000000"/>
            </w:tcBorders>
            <w:shd w:val="clear" w:color="auto" w:fill="auto"/>
            <w:vAlign w:val="bottom"/>
            <w:hideMark/>
          </w:tcPr>
          <w:p w14:paraId="3C86ED33"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R</w:t>
            </w:r>
            <w:r w:rsidRPr="005C7313">
              <w:rPr>
                <w:rFonts w:eastAsia="Times New Roman" w:cs="Times New Roman"/>
                <w:color w:val="000000"/>
                <w:sz w:val="22"/>
                <w:szCs w:val="20"/>
                <w:vertAlign w:val="superscript"/>
                <w:lang w:val="fr-FR" w:eastAsia="fr-FR"/>
              </w:rPr>
              <w:t>2</w:t>
            </w:r>
          </w:p>
        </w:tc>
        <w:tc>
          <w:tcPr>
            <w:tcW w:w="1740" w:type="dxa"/>
            <w:tcBorders>
              <w:top w:val="single" w:sz="4" w:space="0" w:color="000000"/>
              <w:left w:val="nil"/>
              <w:bottom w:val="single" w:sz="4" w:space="0" w:color="000000"/>
              <w:right w:val="single" w:sz="4" w:space="0" w:color="000000"/>
            </w:tcBorders>
            <w:shd w:val="clear" w:color="auto" w:fill="auto"/>
            <w:vAlign w:val="bottom"/>
            <w:hideMark/>
          </w:tcPr>
          <w:p w14:paraId="1F4687A2"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p-value</w:t>
            </w:r>
          </w:p>
        </w:tc>
      </w:tr>
      <w:tr w:rsidR="005C7313" w:rsidRPr="005C7313" w14:paraId="643597A2" w14:textId="77777777" w:rsidTr="005C731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5160EEA3"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 xml:space="preserve">0 - 1 </w:t>
            </w:r>
            <w:proofErr w:type="spellStart"/>
            <w:r w:rsidRPr="005C7313">
              <w:rPr>
                <w:rFonts w:eastAsia="Times New Roman" w:cs="Times New Roman"/>
                <w:color w:val="000000"/>
                <w:sz w:val="22"/>
                <w:szCs w:val="20"/>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0EAFD5EF"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0.000446</w:t>
            </w:r>
          </w:p>
        </w:tc>
        <w:tc>
          <w:tcPr>
            <w:tcW w:w="1740" w:type="dxa"/>
            <w:tcBorders>
              <w:top w:val="nil"/>
              <w:left w:val="nil"/>
              <w:bottom w:val="single" w:sz="4" w:space="0" w:color="000000"/>
              <w:right w:val="single" w:sz="4" w:space="0" w:color="000000"/>
            </w:tcBorders>
            <w:shd w:val="clear" w:color="auto" w:fill="auto"/>
            <w:vAlign w:val="bottom"/>
            <w:hideMark/>
          </w:tcPr>
          <w:p w14:paraId="0AAEE8D3"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-1.49</w:t>
            </w:r>
          </w:p>
        </w:tc>
        <w:tc>
          <w:tcPr>
            <w:tcW w:w="1740" w:type="dxa"/>
            <w:tcBorders>
              <w:top w:val="nil"/>
              <w:left w:val="nil"/>
              <w:bottom w:val="single" w:sz="4" w:space="0" w:color="000000"/>
              <w:right w:val="single" w:sz="4" w:space="0" w:color="000000"/>
            </w:tcBorders>
            <w:shd w:val="clear" w:color="auto" w:fill="auto"/>
            <w:vAlign w:val="bottom"/>
            <w:hideMark/>
          </w:tcPr>
          <w:p w14:paraId="7326A690"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0.34</w:t>
            </w:r>
          </w:p>
        </w:tc>
        <w:tc>
          <w:tcPr>
            <w:tcW w:w="1740" w:type="dxa"/>
            <w:tcBorders>
              <w:top w:val="nil"/>
              <w:left w:val="nil"/>
              <w:bottom w:val="single" w:sz="4" w:space="0" w:color="000000"/>
              <w:right w:val="single" w:sz="4" w:space="0" w:color="000000"/>
            </w:tcBorders>
            <w:shd w:val="clear" w:color="auto" w:fill="auto"/>
            <w:vAlign w:val="bottom"/>
            <w:hideMark/>
          </w:tcPr>
          <w:p w14:paraId="2CD0E032"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&lt; 2.2e-16</w:t>
            </w:r>
          </w:p>
        </w:tc>
      </w:tr>
      <w:tr w:rsidR="005C7313" w:rsidRPr="005C7313" w14:paraId="4F5FDDE5" w14:textId="77777777" w:rsidTr="005C731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770707E7"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 xml:space="preserve">1 - 3 </w:t>
            </w:r>
            <w:proofErr w:type="spellStart"/>
            <w:r w:rsidRPr="005C7313">
              <w:rPr>
                <w:rFonts w:eastAsia="Times New Roman" w:cs="Times New Roman"/>
                <w:color w:val="000000"/>
                <w:sz w:val="22"/>
                <w:szCs w:val="20"/>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63C711E4"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0.000527</w:t>
            </w:r>
          </w:p>
        </w:tc>
        <w:tc>
          <w:tcPr>
            <w:tcW w:w="1740" w:type="dxa"/>
            <w:tcBorders>
              <w:top w:val="nil"/>
              <w:left w:val="nil"/>
              <w:bottom w:val="single" w:sz="4" w:space="0" w:color="000000"/>
              <w:right w:val="single" w:sz="4" w:space="0" w:color="000000"/>
            </w:tcBorders>
            <w:shd w:val="clear" w:color="auto" w:fill="auto"/>
            <w:vAlign w:val="bottom"/>
            <w:hideMark/>
          </w:tcPr>
          <w:p w14:paraId="67064419"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-1.68</w:t>
            </w:r>
          </w:p>
        </w:tc>
        <w:tc>
          <w:tcPr>
            <w:tcW w:w="1740" w:type="dxa"/>
            <w:tcBorders>
              <w:top w:val="nil"/>
              <w:left w:val="nil"/>
              <w:bottom w:val="single" w:sz="4" w:space="0" w:color="000000"/>
              <w:right w:val="single" w:sz="4" w:space="0" w:color="000000"/>
            </w:tcBorders>
            <w:shd w:val="clear" w:color="auto" w:fill="auto"/>
            <w:vAlign w:val="bottom"/>
            <w:hideMark/>
          </w:tcPr>
          <w:p w14:paraId="766F5EFA"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0.4</w:t>
            </w:r>
          </w:p>
        </w:tc>
        <w:tc>
          <w:tcPr>
            <w:tcW w:w="1740" w:type="dxa"/>
            <w:tcBorders>
              <w:top w:val="nil"/>
              <w:left w:val="nil"/>
              <w:bottom w:val="single" w:sz="4" w:space="0" w:color="000000"/>
              <w:right w:val="single" w:sz="4" w:space="0" w:color="000000"/>
            </w:tcBorders>
            <w:shd w:val="clear" w:color="auto" w:fill="auto"/>
            <w:vAlign w:val="bottom"/>
            <w:hideMark/>
          </w:tcPr>
          <w:p w14:paraId="299B8C3E"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&lt; 2.2e-16</w:t>
            </w:r>
          </w:p>
        </w:tc>
      </w:tr>
      <w:tr w:rsidR="005C7313" w:rsidRPr="005C7313" w14:paraId="0F865A48" w14:textId="77777777" w:rsidTr="005C731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2BD07CF3"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lastRenderedPageBreak/>
              <w:t xml:space="preserve">3 - 5 </w:t>
            </w:r>
            <w:proofErr w:type="spellStart"/>
            <w:r w:rsidRPr="005C7313">
              <w:rPr>
                <w:rFonts w:eastAsia="Times New Roman" w:cs="Times New Roman"/>
                <w:color w:val="000000"/>
                <w:sz w:val="22"/>
                <w:szCs w:val="20"/>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7856392F"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0.000499</w:t>
            </w:r>
          </w:p>
        </w:tc>
        <w:tc>
          <w:tcPr>
            <w:tcW w:w="1740" w:type="dxa"/>
            <w:tcBorders>
              <w:top w:val="nil"/>
              <w:left w:val="nil"/>
              <w:bottom w:val="single" w:sz="4" w:space="0" w:color="000000"/>
              <w:right w:val="single" w:sz="4" w:space="0" w:color="000000"/>
            </w:tcBorders>
            <w:shd w:val="clear" w:color="auto" w:fill="auto"/>
            <w:vAlign w:val="bottom"/>
            <w:hideMark/>
          </w:tcPr>
          <w:p w14:paraId="1EDCC825"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-2.07</w:t>
            </w:r>
          </w:p>
        </w:tc>
        <w:tc>
          <w:tcPr>
            <w:tcW w:w="1740" w:type="dxa"/>
            <w:tcBorders>
              <w:top w:val="nil"/>
              <w:left w:val="nil"/>
              <w:bottom w:val="single" w:sz="4" w:space="0" w:color="000000"/>
              <w:right w:val="single" w:sz="4" w:space="0" w:color="000000"/>
            </w:tcBorders>
            <w:shd w:val="clear" w:color="auto" w:fill="auto"/>
            <w:vAlign w:val="bottom"/>
            <w:hideMark/>
          </w:tcPr>
          <w:p w14:paraId="16F707E3"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0.24</w:t>
            </w:r>
          </w:p>
        </w:tc>
        <w:tc>
          <w:tcPr>
            <w:tcW w:w="1740" w:type="dxa"/>
            <w:tcBorders>
              <w:top w:val="nil"/>
              <w:left w:val="nil"/>
              <w:bottom w:val="single" w:sz="4" w:space="0" w:color="000000"/>
              <w:right w:val="single" w:sz="4" w:space="0" w:color="000000"/>
            </w:tcBorders>
            <w:shd w:val="clear" w:color="auto" w:fill="auto"/>
            <w:vAlign w:val="bottom"/>
            <w:hideMark/>
          </w:tcPr>
          <w:p w14:paraId="1DF65E24"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&lt; 2.2e-16</w:t>
            </w:r>
          </w:p>
        </w:tc>
      </w:tr>
      <w:tr w:rsidR="005C7313" w:rsidRPr="005C7313" w14:paraId="2B131EE8" w14:textId="77777777" w:rsidTr="005C731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30422F69"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 xml:space="preserve">5 - 10 </w:t>
            </w:r>
            <w:proofErr w:type="spellStart"/>
            <w:r w:rsidRPr="005C7313">
              <w:rPr>
                <w:rFonts w:eastAsia="Times New Roman" w:cs="Times New Roman"/>
                <w:color w:val="000000"/>
                <w:sz w:val="22"/>
                <w:szCs w:val="20"/>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76218BE9"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0.000657</w:t>
            </w:r>
          </w:p>
        </w:tc>
        <w:tc>
          <w:tcPr>
            <w:tcW w:w="1740" w:type="dxa"/>
            <w:tcBorders>
              <w:top w:val="nil"/>
              <w:left w:val="nil"/>
              <w:bottom w:val="single" w:sz="4" w:space="0" w:color="000000"/>
              <w:right w:val="single" w:sz="4" w:space="0" w:color="000000"/>
            </w:tcBorders>
            <w:shd w:val="clear" w:color="auto" w:fill="auto"/>
            <w:vAlign w:val="bottom"/>
            <w:hideMark/>
          </w:tcPr>
          <w:p w14:paraId="00014F67"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-2.03</w:t>
            </w:r>
          </w:p>
        </w:tc>
        <w:tc>
          <w:tcPr>
            <w:tcW w:w="1740" w:type="dxa"/>
            <w:tcBorders>
              <w:top w:val="nil"/>
              <w:left w:val="nil"/>
              <w:bottom w:val="single" w:sz="4" w:space="0" w:color="000000"/>
              <w:right w:val="single" w:sz="4" w:space="0" w:color="000000"/>
            </w:tcBorders>
            <w:shd w:val="clear" w:color="auto" w:fill="auto"/>
            <w:vAlign w:val="bottom"/>
            <w:hideMark/>
          </w:tcPr>
          <w:p w14:paraId="4D4FC94E"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0.29</w:t>
            </w:r>
          </w:p>
        </w:tc>
        <w:tc>
          <w:tcPr>
            <w:tcW w:w="1740" w:type="dxa"/>
            <w:tcBorders>
              <w:top w:val="nil"/>
              <w:left w:val="nil"/>
              <w:bottom w:val="single" w:sz="4" w:space="0" w:color="000000"/>
              <w:right w:val="single" w:sz="4" w:space="0" w:color="000000"/>
            </w:tcBorders>
            <w:shd w:val="clear" w:color="auto" w:fill="auto"/>
            <w:vAlign w:val="bottom"/>
            <w:hideMark/>
          </w:tcPr>
          <w:p w14:paraId="08EA9998"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&lt; 2.2e-16</w:t>
            </w:r>
          </w:p>
        </w:tc>
      </w:tr>
      <w:tr w:rsidR="005C7313" w:rsidRPr="005C7313" w14:paraId="76644FB9" w14:textId="77777777" w:rsidTr="005C731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17957716"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 xml:space="preserve">10 - 15 </w:t>
            </w:r>
            <w:proofErr w:type="spellStart"/>
            <w:r w:rsidRPr="005C7313">
              <w:rPr>
                <w:rFonts w:eastAsia="Times New Roman" w:cs="Times New Roman"/>
                <w:color w:val="000000"/>
                <w:sz w:val="22"/>
                <w:szCs w:val="20"/>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5C06416F"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0.000811</w:t>
            </w:r>
          </w:p>
        </w:tc>
        <w:tc>
          <w:tcPr>
            <w:tcW w:w="1740" w:type="dxa"/>
            <w:tcBorders>
              <w:top w:val="nil"/>
              <w:left w:val="nil"/>
              <w:bottom w:val="single" w:sz="4" w:space="0" w:color="000000"/>
              <w:right w:val="single" w:sz="4" w:space="0" w:color="000000"/>
            </w:tcBorders>
            <w:shd w:val="clear" w:color="auto" w:fill="auto"/>
            <w:vAlign w:val="bottom"/>
            <w:hideMark/>
          </w:tcPr>
          <w:p w14:paraId="7709333C"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-2.43</w:t>
            </w:r>
          </w:p>
        </w:tc>
        <w:tc>
          <w:tcPr>
            <w:tcW w:w="1740" w:type="dxa"/>
            <w:tcBorders>
              <w:top w:val="nil"/>
              <w:left w:val="nil"/>
              <w:bottom w:val="single" w:sz="4" w:space="0" w:color="000000"/>
              <w:right w:val="single" w:sz="4" w:space="0" w:color="000000"/>
            </w:tcBorders>
            <w:shd w:val="clear" w:color="auto" w:fill="auto"/>
            <w:vAlign w:val="bottom"/>
            <w:hideMark/>
          </w:tcPr>
          <w:p w14:paraId="36FF84ED"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0.17</w:t>
            </w:r>
          </w:p>
        </w:tc>
        <w:tc>
          <w:tcPr>
            <w:tcW w:w="1740" w:type="dxa"/>
            <w:tcBorders>
              <w:top w:val="nil"/>
              <w:left w:val="nil"/>
              <w:bottom w:val="single" w:sz="4" w:space="0" w:color="000000"/>
              <w:right w:val="single" w:sz="4" w:space="0" w:color="000000"/>
            </w:tcBorders>
            <w:shd w:val="clear" w:color="auto" w:fill="auto"/>
            <w:vAlign w:val="bottom"/>
            <w:hideMark/>
          </w:tcPr>
          <w:p w14:paraId="039B42F4"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2.805e-13</w:t>
            </w:r>
          </w:p>
        </w:tc>
      </w:tr>
      <w:tr w:rsidR="005C7313" w:rsidRPr="005C7313" w14:paraId="34B46801" w14:textId="77777777" w:rsidTr="005C731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0153582F"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 xml:space="preserve">15 - 30 </w:t>
            </w:r>
            <w:proofErr w:type="spellStart"/>
            <w:r w:rsidRPr="005C7313">
              <w:rPr>
                <w:rFonts w:eastAsia="Times New Roman" w:cs="Times New Roman"/>
                <w:color w:val="000000"/>
                <w:sz w:val="22"/>
                <w:szCs w:val="20"/>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756AACCE"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0.00255</w:t>
            </w:r>
          </w:p>
        </w:tc>
        <w:tc>
          <w:tcPr>
            <w:tcW w:w="1740" w:type="dxa"/>
            <w:tcBorders>
              <w:top w:val="nil"/>
              <w:left w:val="nil"/>
              <w:bottom w:val="single" w:sz="4" w:space="0" w:color="000000"/>
              <w:right w:val="single" w:sz="4" w:space="0" w:color="000000"/>
            </w:tcBorders>
            <w:shd w:val="clear" w:color="auto" w:fill="auto"/>
            <w:vAlign w:val="bottom"/>
            <w:hideMark/>
          </w:tcPr>
          <w:p w14:paraId="187461B6"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-0.680</w:t>
            </w:r>
          </w:p>
        </w:tc>
        <w:tc>
          <w:tcPr>
            <w:tcW w:w="1740" w:type="dxa"/>
            <w:tcBorders>
              <w:top w:val="nil"/>
              <w:left w:val="nil"/>
              <w:bottom w:val="single" w:sz="4" w:space="0" w:color="000000"/>
              <w:right w:val="single" w:sz="4" w:space="0" w:color="000000"/>
            </w:tcBorders>
            <w:shd w:val="clear" w:color="auto" w:fill="auto"/>
            <w:vAlign w:val="bottom"/>
            <w:hideMark/>
          </w:tcPr>
          <w:p w14:paraId="43D54055"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0.97</w:t>
            </w:r>
          </w:p>
        </w:tc>
        <w:tc>
          <w:tcPr>
            <w:tcW w:w="1740" w:type="dxa"/>
            <w:tcBorders>
              <w:top w:val="nil"/>
              <w:left w:val="nil"/>
              <w:bottom w:val="single" w:sz="4" w:space="0" w:color="000000"/>
              <w:right w:val="single" w:sz="4" w:space="0" w:color="000000"/>
            </w:tcBorders>
            <w:shd w:val="clear" w:color="auto" w:fill="auto"/>
            <w:vAlign w:val="bottom"/>
            <w:hideMark/>
          </w:tcPr>
          <w:p w14:paraId="6711E613" w14:textId="77777777" w:rsidR="005C7313" w:rsidRPr="005C7313" w:rsidRDefault="005C7313" w:rsidP="005C7313">
            <w:pPr>
              <w:spacing w:before="0" w:after="0"/>
              <w:jc w:val="center"/>
              <w:rPr>
                <w:rFonts w:eastAsia="Times New Roman" w:cs="Times New Roman"/>
                <w:color w:val="000000"/>
                <w:sz w:val="22"/>
                <w:szCs w:val="20"/>
                <w:lang w:val="fr-FR" w:eastAsia="fr-FR"/>
              </w:rPr>
            </w:pPr>
            <w:r w:rsidRPr="005C7313">
              <w:rPr>
                <w:rFonts w:eastAsia="Times New Roman" w:cs="Times New Roman"/>
                <w:color w:val="000000"/>
                <w:sz w:val="22"/>
                <w:szCs w:val="20"/>
                <w:lang w:val="fr-FR" w:eastAsia="fr-FR"/>
              </w:rPr>
              <w:t>&lt; 2.2e-16</w:t>
            </w:r>
          </w:p>
        </w:tc>
      </w:tr>
    </w:tbl>
    <w:p w14:paraId="014029BE" w14:textId="158E20A3" w:rsidR="005C7313" w:rsidRDefault="005C7313" w:rsidP="0076794A"/>
    <w:p w14:paraId="0886D30E" w14:textId="1F757EB6" w:rsidR="005C7313" w:rsidRDefault="005C7313" w:rsidP="00A66554">
      <w:pPr>
        <w:jc w:val="both"/>
      </w:pPr>
      <w:r w:rsidRPr="00A66554">
        <w:rPr>
          <w:b/>
        </w:rPr>
        <w:t>Supplementary Table S4</w:t>
      </w:r>
      <w:r>
        <w:t xml:space="preserve">: </w:t>
      </w:r>
      <w:r w:rsidR="00E07CC7">
        <w:t xml:space="preserve">Values of linear regression parameters for log(Bray-Curtis similarity) = f(geographic distance) computed for the </w:t>
      </w:r>
      <w:proofErr w:type="spellStart"/>
      <w:r w:rsidR="00E07CC7" w:rsidRPr="001001A9">
        <w:t>Alborán</w:t>
      </w:r>
      <w:proofErr w:type="spellEnd"/>
      <w:r w:rsidR="00E07CC7">
        <w:t xml:space="preserve"> Sea samples </w:t>
      </w:r>
      <w:r w:rsidR="00192653">
        <w:t>for each sediment horizon</w:t>
      </w:r>
      <w:r w:rsidR="00E07CC7">
        <w:t>.</w:t>
      </w:r>
    </w:p>
    <w:tbl>
      <w:tblPr>
        <w:tblW w:w="8700" w:type="dxa"/>
        <w:tblCellMar>
          <w:left w:w="70" w:type="dxa"/>
          <w:right w:w="70" w:type="dxa"/>
        </w:tblCellMar>
        <w:tblLook w:val="04A0" w:firstRow="1" w:lastRow="0" w:firstColumn="1" w:lastColumn="0" w:noHBand="0" w:noVBand="1"/>
      </w:tblPr>
      <w:tblGrid>
        <w:gridCol w:w="1740"/>
        <w:gridCol w:w="1740"/>
        <w:gridCol w:w="1740"/>
        <w:gridCol w:w="1740"/>
        <w:gridCol w:w="1740"/>
      </w:tblGrid>
      <w:tr w:rsidR="00A328D3" w:rsidRPr="00A328D3" w14:paraId="6144E2F0" w14:textId="77777777" w:rsidTr="00A328D3">
        <w:trPr>
          <w:trHeight w:val="315"/>
        </w:trPr>
        <w:tc>
          <w:tcPr>
            <w:tcW w:w="17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42E37B"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Horizon</w:t>
            </w:r>
          </w:p>
        </w:tc>
        <w:tc>
          <w:tcPr>
            <w:tcW w:w="1740" w:type="dxa"/>
            <w:tcBorders>
              <w:top w:val="single" w:sz="4" w:space="0" w:color="000000"/>
              <w:left w:val="nil"/>
              <w:bottom w:val="single" w:sz="4" w:space="0" w:color="000000"/>
              <w:right w:val="single" w:sz="4" w:space="0" w:color="000000"/>
            </w:tcBorders>
            <w:shd w:val="clear" w:color="auto" w:fill="auto"/>
            <w:vAlign w:val="bottom"/>
            <w:hideMark/>
          </w:tcPr>
          <w:p w14:paraId="691DCA3C" w14:textId="77777777" w:rsidR="00A328D3" w:rsidRPr="00A328D3" w:rsidRDefault="00A328D3" w:rsidP="00A328D3">
            <w:pPr>
              <w:spacing w:before="0" w:after="0"/>
              <w:jc w:val="center"/>
              <w:rPr>
                <w:rFonts w:eastAsia="Times New Roman" w:cs="Times New Roman"/>
                <w:color w:val="000000"/>
                <w:sz w:val="22"/>
                <w:lang w:val="fr-FR" w:eastAsia="fr-FR"/>
              </w:rPr>
            </w:pPr>
            <w:proofErr w:type="spellStart"/>
            <w:r w:rsidRPr="00A328D3">
              <w:rPr>
                <w:rFonts w:eastAsia="Times New Roman" w:cs="Times New Roman"/>
                <w:color w:val="000000"/>
                <w:sz w:val="22"/>
                <w:lang w:val="fr-FR" w:eastAsia="fr-FR"/>
              </w:rPr>
              <w:t>Slope</w:t>
            </w:r>
            <w:proofErr w:type="spellEnd"/>
          </w:p>
        </w:tc>
        <w:tc>
          <w:tcPr>
            <w:tcW w:w="1740" w:type="dxa"/>
            <w:tcBorders>
              <w:top w:val="single" w:sz="4" w:space="0" w:color="000000"/>
              <w:left w:val="nil"/>
              <w:bottom w:val="single" w:sz="4" w:space="0" w:color="000000"/>
              <w:right w:val="single" w:sz="4" w:space="0" w:color="000000"/>
            </w:tcBorders>
            <w:shd w:val="clear" w:color="auto" w:fill="auto"/>
            <w:vAlign w:val="bottom"/>
            <w:hideMark/>
          </w:tcPr>
          <w:p w14:paraId="36E456DC"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Intercept</w:t>
            </w:r>
          </w:p>
        </w:tc>
        <w:tc>
          <w:tcPr>
            <w:tcW w:w="1740" w:type="dxa"/>
            <w:tcBorders>
              <w:top w:val="single" w:sz="4" w:space="0" w:color="000000"/>
              <w:left w:val="nil"/>
              <w:bottom w:val="single" w:sz="4" w:space="0" w:color="000000"/>
              <w:right w:val="single" w:sz="4" w:space="0" w:color="000000"/>
            </w:tcBorders>
            <w:shd w:val="clear" w:color="auto" w:fill="auto"/>
            <w:vAlign w:val="bottom"/>
            <w:hideMark/>
          </w:tcPr>
          <w:p w14:paraId="70E50172"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R</w:t>
            </w:r>
            <w:r w:rsidRPr="00A328D3">
              <w:rPr>
                <w:rFonts w:eastAsia="Times New Roman" w:cs="Times New Roman"/>
                <w:color w:val="000000"/>
                <w:sz w:val="22"/>
                <w:vertAlign w:val="superscript"/>
                <w:lang w:val="fr-FR" w:eastAsia="fr-FR"/>
              </w:rPr>
              <w:t>2</w:t>
            </w:r>
          </w:p>
        </w:tc>
        <w:tc>
          <w:tcPr>
            <w:tcW w:w="1740" w:type="dxa"/>
            <w:tcBorders>
              <w:top w:val="single" w:sz="4" w:space="0" w:color="000000"/>
              <w:left w:val="nil"/>
              <w:bottom w:val="single" w:sz="4" w:space="0" w:color="000000"/>
              <w:right w:val="single" w:sz="4" w:space="0" w:color="000000"/>
            </w:tcBorders>
            <w:shd w:val="clear" w:color="auto" w:fill="auto"/>
            <w:vAlign w:val="bottom"/>
            <w:hideMark/>
          </w:tcPr>
          <w:p w14:paraId="1C757637"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p-value</w:t>
            </w:r>
          </w:p>
        </w:tc>
      </w:tr>
      <w:tr w:rsidR="00A328D3" w:rsidRPr="00A328D3" w14:paraId="18F682D5" w14:textId="77777777" w:rsidTr="00A328D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2AC2EB8D"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 xml:space="preserve">0 - 1 </w:t>
            </w:r>
            <w:proofErr w:type="spellStart"/>
            <w:r w:rsidRPr="00A328D3">
              <w:rPr>
                <w:rFonts w:eastAsia="Times New Roman" w:cs="Times New Roman"/>
                <w:color w:val="000000"/>
                <w:sz w:val="22"/>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12D35C50"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-0.030</w:t>
            </w:r>
          </w:p>
        </w:tc>
        <w:tc>
          <w:tcPr>
            <w:tcW w:w="1740" w:type="dxa"/>
            <w:tcBorders>
              <w:top w:val="nil"/>
              <w:left w:val="nil"/>
              <w:bottom w:val="single" w:sz="4" w:space="0" w:color="000000"/>
              <w:right w:val="single" w:sz="4" w:space="0" w:color="000000"/>
            </w:tcBorders>
            <w:shd w:val="clear" w:color="auto" w:fill="auto"/>
            <w:vAlign w:val="bottom"/>
            <w:hideMark/>
          </w:tcPr>
          <w:p w14:paraId="5189259B"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-0.411</w:t>
            </w:r>
          </w:p>
        </w:tc>
        <w:tc>
          <w:tcPr>
            <w:tcW w:w="1740" w:type="dxa"/>
            <w:tcBorders>
              <w:top w:val="nil"/>
              <w:left w:val="nil"/>
              <w:bottom w:val="single" w:sz="4" w:space="0" w:color="000000"/>
              <w:right w:val="single" w:sz="4" w:space="0" w:color="000000"/>
            </w:tcBorders>
            <w:shd w:val="clear" w:color="auto" w:fill="auto"/>
            <w:vAlign w:val="bottom"/>
            <w:hideMark/>
          </w:tcPr>
          <w:p w14:paraId="15747C29"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0.58</w:t>
            </w:r>
          </w:p>
        </w:tc>
        <w:tc>
          <w:tcPr>
            <w:tcW w:w="1740" w:type="dxa"/>
            <w:tcBorders>
              <w:top w:val="nil"/>
              <w:left w:val="nil"/>
              <w:bottom w:val="single" w:sz="4" w:space="0" w:color="000000"/>
              <w:right w:val="single" w:sz="4" w:space="0" w:color="000000"/>
            </w:tcBorders>
            <w:shd w:val="clear" w:color="auto" w:fill="auto"/>
            <w:vAlign w:val="bottom"/>
            <w:hideMark/>
          </w:tcPr>
          <w:p w14:paraId="30CBE3FF"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4.162e-08</w:t>
            </w:r>
          </w:p>
        </w:tc>
      </w:tr>
      <w:tr w:rsidR="00A328D3" w:rsidRPr="00A328D3" w14:paraId="3554F096" w14:textId="77777777" w:rsidTr="00A328D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4405ED03"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 xml:space="preserve">1 - 3 </w:t>
            </w:r>
            <w:proofErr w:type="spellStart"/>
            <w:r w:rsidRPr="00A328D3">
              <w:rPr>
                <w:rFonts w:eastAsia="Times New Roman" w:cs="Times New Roman"/>
                <w:color w:val="000000"/>
                <w:sz w:val="22"/>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32625871"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-0.034</w:t>
            </w:r>
          </w:p>
        </w:tc>
        <w:tc>
          <w:tcPr>
            <w:tcW w:w="1740" w:type="dxa"/>
            <w:tcBorders>
              <w:top w:val="nil"/>
              <w:left w:val="nil"/>
              <w:bottom w:val="single" w:sz="4" w:space="0" w:color="000000"/>
              <w:right w:val="single" w:sz="4" w:space="0" w:color="000000"/>
            </w:tcBorders>
            <w:shd w:val="clear" w:color="auto" w:fill="auto"/>
            <w:vAlign w:val="bottom"/>
            <w:hideMark/>
          </w:tcPr>
          <w:p w14:paraId="01E7C46A"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-0.453</w:t>
            </w:r>
          </w:p>
        </w:tc>
        <w:tc>
          <w:tcPr>
            <w:tcW w:w="1740" w:type="dxa"/>
            <w:tcBorders>
              <w:top w:val="nil"/>
              <w:left w:val="nil"/>
              <w:bottom w:val="single" w:sz="4" w:space="0" w:color="000000"/>
              <w:right w:val="single" w:sz="4" w:space="0" w:color="000000"/>
            </w:tcBorders>
            <w:shd w:val="clear" w:color="auto" w:fill="auto"/>
            <w:vAlign w:val="bottom"/>
            <w:hideMark/>
          </w:tcPr>
          <w:p w14:paraId="3366D66C"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0.46</w:t>
            </w:r>
          </w:p>
        </w:tc>
        <w:tc>
          <w:tcPr>
            <w:tcW w:w="1740" w:type="dxa"/>
            <w:tcBorders>
              <w:top w:val="nil"/>
              <w:left w:val="nil"/>
              <w:bottom w:val="single" w:sz="4" w:space="0" w:color="000000"/>
              <w:right w:val="single" w:sz="4" w:space="0" w:color="000000"/>
            </w:tcBorders>
            <w:shd w:val="clear" w:color="auto" w:fill="auto"/>
            <w:vAlign w:val="bottom"/>
            <w:hideMark/>
          </w:tcPr>
          <w:p w14:paraId="0B3CC4C2"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3.536e-06</w:t>
            </w:r>
          </w:p>
        </w:tc>
      </w:tr>
      <w:tr w:rsidR="00A328D3" w:rsidRPr="00A328D3" w14:paraId="1ED7DDC5" w14:textId="77777777" w:rsidTr="00A328D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169E877B"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 xml:space="preserve">3 - 5 </w:t>
            </w:r>
            <w:proofErr w:type="spellStart"/>
            <w:r w:rsidRPr="00A328D3">
              <w:rPr>
                <w:rFonts w:eastAsia="Times New Roman" w:cs="Times New Roman"/>
                <w:color w:val="000000"/>
                <w:sz w:val="22"/>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5AC03D1E"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-0.027</w:t>
            </w:r>
          </w:p>
        </w:tc>
        <w:tc>
          <w:tcPr>
            <w:tcW w:w="1740" w:type="dxa"/>
            <w:tcBorders>
              <w:top w:val="nil"/>
              <w:left w:val="nil"/>
              <w:bottom w:val="single" w:sz="4" w:space="0" w:color="000000"/>
              <w:right w:val="single" w:sz="4" w:space="0" w:color="000000"/>
            </w:tcBorders>
            <w:shd w:val="clear" w:color="auto" w:fill="auto"/>
            <w:vAlign w:val="bottom"/>
            <w:hideMark/>
          </w:tcPr>
          <w:p w14:paraId="1BF59406"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-0.382</w:t>
            </w:r>
          </w:p>
        </w:tc>
        <w:tc>
          <w:tcPr>
            <w:tcW w:w="1740" w:type="dxa"/>
            <w:tcBorders>
              <w:top w:val="nil"/>
              <w:left w:val="nil"/>
              <w:bottom w:val="single" w:sz="4" w:space="0" w:color="000000"/>
              <w:right w:val="single" w:sz="4" w:space="0" w:color="000000"/>
            </w:tcBorders>
            <w:shd w:val="clear" w:color="auto" w:fill="auto"/>
            <w:vAlign w:val="bottom"/>
            <w:hideMark/>
          </w:tcPr>
          <w:p w14:paraId="373C61C7"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0.76</w:t>
            </w:r>
          </w:p>
        </w:tc>
        <w:tc>
          <w:tcPr>
            <w:tcW w:w="1740" w:type="dxa"/>
            <w:tcBorders>
              <w:top w:val="nil"/>
              <w:left w:val="nil"/>
              <w:bottom w:val="single" w:sz="4" w:space="0" w:color="000000"/>
              <w:right w:val="single" w:sz="4" w:space="0" w:color="000000"/>
            </w:tcBorders>
            <w:shd w:val="clear" w:color="auto" w:fill="auto"/>
            <w:vAlign w:val="bottom"/>
            <w:hideMark/>
          </w:tcPr>
          <w:p w14:paraId="227FE098"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2.963e-12</w:t>
            </w:r>
          </w:p>
        </w:tc>
      </w:tr>
      <w:tr w:rsidR="00A328D3" w:rsidRPr="00A328D3" w14:paraId="3D64C9F6" w14:textId="77777777" w:rsidTr="00A328D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5A638B08"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 xml:space="preserve">5 - 10 </w:t>
            </w:r>
            <w:proofErr w:type="spellStart"/>
            <w:r w:rsidRPr="00A328D3">
              <w:rPr>
                <w:rFonts w:eastAsia="Times New Roman" w:cs="Times New Roman"/>
                <w:color w:val="000000"/>
                <w:sz w:val="22"/>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37D9A226"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-0.032</w:t>
            </w:r>
          </w:p>
        </w:tc>
        <w:tc>
          <w:tcPr>
            <w:tcW w:w="1740" w:type="dxa"/>
            <w:tcBorders>
              <w:top w:val="nil"/>
              <w:left w:val="nil"/>
              <w:bottom w:val="single" w:sz="4" w:space="0" w:color="000000"/>
              <w:right w:val="single" w:sz="4" w:space="0" w:color="000000"/>
            </w:tcBorders>
            <w:shd w:val="clear" w:color="auto" w:fill="auto"/>
            <w:vAlign w:val="bottom"/>
            <w:hideMark/>
          </w:tcPr>
          <w:p w14:paraId="332E6964"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-0.370</w:t>
            </w:r>
          </w:p>
        </w:tc>
        <w:tc>
          <w:tcPr>
            <w:tcW w:w="1740" w:type="dxa"/>
            <w:tcBorders>
              <w:top w:val="nil"/>
              <w:left w:val="nil"/>
              <w:bottom w:val="single" w:sz="4" w:space="0" w:color="000000"/>
              <w:right w:val="single" w:sz="4" w:space="0" w:color="000000"/>
            </w:tcBorders>
            <w:shd w:val="clear" w:color="auto" w:fill="auto"/>
            <w:vAlign w:val="bottom"/>
            <w:hideMark/>
          </w:tcPr>
          <w:p w14:paraId="168DF626"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0.91</w:t>
            </w:r>
          </w:p>
        </w:tc>
        <w:tc>
          <w:tcPr>
            <w:tcW w:w="1740" w:type="dxa"/>
            <w:tcBorders>
              <w:top w:val="nil"/>
              <w:left w:val="nil"/>
              <w:bottom w:val="single" w:sz="4" w:space="0" w:color="000000"/>
              <w:right w:val="single" w:sz="4" w:space="0" w:color="000000"/>
            </w:tcBorders>
            <w:shd w:val="clear" w:color="auto" w:fill="auto"/>
            <w:vAlign w:val="bottom"/>
            <w:hideMark/>
          </w:tcPr>
          <w:p w14:paraId="5F28DAF5"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&lt; 2.2e-16</w:t>
            </w:r>
          </w:p>
        </w:tc>
      </w:tr>
      <w:tr w:rsidR="00A328D3" w:rsidRPr="00A328D3" w14:paraId="7E2B47E6" w14:textId="77777777" w:rsidTr="00A328D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5EA4BDDA"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 xml:space="preserve">10 - 15 </w:t>
            </w:r>
            <w:proofErr w:type="spellStart"/>
            <w:r w:rsidRPr="00A328D3">
              <w:rPr>
                <w:rFonts w:eastAsia="Times New Roman" w:cs="Times New Roman"/>
                <w:color w:val="000000"/>
                <w:sz w:val="22"/>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71144C14"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-0.027</w:t>
            </w:r>
          </w:p>
        </w:tc>
        <w:tc>
          <w:tcPr>
            <w:tcW w:w="1740" w:type="dxa"/>
            <w:tcBorders>
              <w:top w:val="nil"/>
              <w:left w:val="nil"/>
              <w:bottom w:val="single" w:sz="4" w:space="0" w:color="000000"/>
              <w:right w:val="single" w:sz="4" w:space="0" w:color="000000"/>
            </w:tcBorders>
            <w:shd w:val="clear" w:color="auto" w:fill="auto"/>
            <w:vAlign w:val="bottom"/>
            <w:hideMark/>
          </w:tcPr>
          <w:p w14:paraId="32B78D15"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-0.451</w:t>
            </w:r>
          </w:p>
        </w:tc>
        <w:tc>
          <w:tcPr>
            <w:tcW w:w="1740" w:type="dxa"/>
            <w:tcBorders>
              <w:top w:val="nil"/>
              <w:left w:val="nil"/>
              <w:bottom w:val="single" w:sz="4" w:space="0" w:color="000000"/>
              <w:right w:val="single" w:sz="4" w:space="0" w:color="000000"/>
            </w:tcBorders>
            <w:shd w:val="clear" w:color="auto" w:fill="auto"/>
            <w:vAlign w:val="bottom"/>
            <w:hideMark/>
          </w:tcPr>
          <w:p w14:paraId="46AC352C"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0.64</w:t>
            </w:r>
          </w:p>
        </w:tc>
        <w:tc>
          <w:tcPr>
            <w:tcW w:w="1740" w:type="dxa"/>
            <w:tcBorders>
              <w:top w:val="nil"/>
              <w:left w:val="nil"/>
              <w:bottom w:val="single" w:sz="4" w:space="0" w:color="000000"/>
              <w:right w:val="single" w:sz="4" w:space="0" w:color="000000"/>
            </w:tcBorders>
            <w:shd w:val="clear" w:color="auto" w:fill="auto"/>
            <w:vAlign w:val="bottom"/>
            <w:hideMark/>
          </w:tcPr>
          <w:p w14:paraId="5780AAF4"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3.189e-09</w:t>
            </w:r>
          </w:p>
        </w:tc>
      </w:tr>
      <w:tr w:rsidR="00A328D3" w:rsidRPr="00A328D3" w14:paraId="29C008CA" w14:textId="77777777" w:rsidTr="00A328D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5D724D05"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 xml:space="preserve">15 - 30 </w:t>
            </w:r>
            <w:proofErr w:type="spellStart"/>
            <w:r w:rsidRPr="00A328D3">
              <w:rPr>
                <w:rFonts w:eastAsia="Times New Roman" w:cs="Times New Roman"/>
                <w:color w:val="000000"/>
                <w:sz w:val="22"/>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0501AC6F"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-0.022</w:t>
            </w:r>
          </w:p>
        </w:tc>
        <w:tc>
          <w:tcPr>
            <w:tcW w:w="1740" w:type="dxa"/>
            <w:tcBorders>
              <w:top w:val="nil"/>
              <w:left w:val="nil"/>
              <w:bottom w:val="single" w:sz="4" w:space="0" w:color="000000"/>
              <w:right w:val="single" w:sz="4" w:space="0" w:color="000000"/>
            </w:tcBorders>
            <w:shd w:val="clear" w:color="auto" w:fill="auto"/>
            <w:vAlign w:val="bottom"/>
            <w:hideMark/>
          </w:tcPr>
          <w:p w14:paraId="2C40DC37"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-0.541</w:t>
            </w:r>
          </w:p>
        </w:tc>
        <w:tc>
          <w:tcPr>
            <w:tcW w:w="1740" w:type="dxa"/>
            <w:tcBorders>
              <w:top w:val="nil"/>
              <w:left w:val="nil"/>
              <w:bottom w:val="single" w:sz="4" w:space="0" w:color="000000"/>
              <w:right w:val="single" w:sz="4" w:space="0" w:color="000000"/>
            </w:tcBorders>
            <w:shd w:val="clear" w:color="auto" w:fill="auto"/>
            <w:vAlign w:val="bottom"/>
            <w:hideMark/>
          </w:tcPr>
          <w:p w14:paraId="4F4D052B"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0.37</w:t>
            </w:r>
          </w:p>
        </w:tc>
        <w:tc>
          <w:tcPr>
            <w:tcW w:w="1740" w:type="dxa"/>
            <w:tcBorders>
              <w:top w:val="nil"/>
              <w:left w:val="nil"/>
              <w:bottom w:val="single" w:sz="4" w:space="0" w:color="000000"/>
              <w:right w:val="single" w:sz="4" w:space="0" w:color="000000"/>
            </w:tcBorders>
            <w:shd w:val="clear" w:color="auto" w:fill="auto"/>
            <w:vAlign w:val="bottom"/>
            <w:hideMark/>
          </w:tcPr>
          <w:p w14:paraId="58CC1EA2"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4.68e-05</w:t>
            </w:r>
          </w:p>
        </w:tc>
      </w:tr>
      <w:tr w:rsidR="00A328D3" w:rsidRPr="00A328D3" w14:paraId="413D8401" w14:textId="77777777" w:rsidTr="00A328D3">
        <w:trPr>
          <w:trHeight w:val="315"/>
        </w:trPr>
        <w:tc>
          <w:tcPr>
            <w:tcW w:w="1740" w:type="dxa"/>
            <w:tcBorders>
              <w:top w:val="nil"/>
              <w:left w:val="single" w:sz="4" w:space="0" w:color="000000"/>
              <w:bottom w:val="single" w:sz="4" w:space="0" w:color="000000"/>
              <w:right w:val="single" w:sz="4" w:space="0" w:color="000000"/>
            </w:tcBorders>
            <w:shd w:val="clear" w:color="auto" w:fill="auto"/>
            <w:vAlign w:val="bottom"/>
            <w:hideMark/>
          </w:tcPr>
          <w:p w14:paraId="471E025A"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 xml:space="preserve">30+ </w:t>
            </w:r>
            <w:proofErr w:type="spellStart"/>
            <w:r w:rsidRPr="00A328D3">
              <w:rPr>
                <w:rFonts w:eastAsia="Times New Roman" w:cs="Times New Roman"/>
                <w:color w:val="000000"/>
                <w:sz w:val="22"/>
                <w:lang w:val="fr-FR" w:eastAsia="fr-FR"/>
              </w:rPr>
              <w:t>cmbsf</w:t>
            </w:r>
            <w:proofErr w:type="spellEnd"/>
          </w:p>
        </w:tc>
        <w:tc>
          <w:tcPr>
            <w:tcW w:w="1740" w:type="dxa"/>
            <w:tcBorders>
              <w:top w:val="nil"/>
              <w:left w:val="nil"/>
              <w:bottom w:val="single" w:sz="4" w:space="0" w:color="000000"/>
              <w:right w:val="single" w:sz="4" w:space="0" w:color="000000"/>
            </w:tcBorders>
            <w:shd w:val="clear" w:color="auto" w:fill="auto"/>
            <w:vAlign w:val="bottom"/>
            <w:hideMark/>
          </w:tcPr>
          <w:p w14:paraId="654D0FC8"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-0.039</w:t>
            </w:r>
          </w:p>
        </w:tc>
        <w:tc>
          <w:tcPr>
            <w:tcW w:w="1740" w:type="dxa"/>
            <w:tcBorders>
              <w:top w:val="nil"/>
              <w:left w:val="nil"/>
              <w:bottom w:val="single" w:sz="4" w:space="0" w:color="000000"/>
              <w:right w:val="single" w:sz="4" w:space="0" w:color="000000"/>
            </w:tcBorders>
            <w:shd w:val="clear" w:color="auto" w:fill="auto"/>
            <w:vAlign w:val="bottom"/>
            <w:hideMark/>
          </w:tcPr>
          <w:p w14:paraId="58636ABC"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-0.475</w:t>
            </w:r>
          </w:p>
        </w:tc>
        <w:tc>
          <w:tcPr>
            <w:tcW w:w="1740" w:type="dxa"/>
            <w:tcBorders>
              <w:top w:val="nil"/>
              <w:left w:val="nil"/>
              <w:bottom w:val="single" w:sz="4" w:space="0" w:color="000000"/>
              <w:right w:val="single" w:sz="4" w:space="0" w:color="000000"/>
            </w:tcBorders>
            <w:shd w:val="clear" w:color="auto" w:fill="auto"/>
            <w:vAlign w:val="bottom"/>
            <w:hideMark/>
          </w:tcPr>
          <w:p w14:paraId="79028A88"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0.42</w:t>
            </w:r>
          </w:p>
        </w:tc>
        <w:tc>
          <w:tcPr>
            <w:tcW w:w="1740" w:type="dxa"/>
            <w:tcBorders>
              <w:top w:val="nil"/>
              <w:left w:val="nil"/>
              <w:bottom w:val="single" w:sz="4" w:space="0" w:color="000000"/>
              <w:right w:val="single" w:sz="4" w:space="0" w:color="000000"/>
            </w:tcBorders>
            <w:shd w:val="clear" w:color="auto" w:fill="auto"/>
            <w:vAlign w:val="bottom"/>
            <w:hideMark/>
          </w:tcPr>
          <w:p w14:paraId="7189743F" w14:textId="77777777" w:rsidR="00A328D3" w:rsidRPr="00A328D3" w:rsidRDefault="00A328D3" w:rsidP="00A328D3">
            <w:pPr>
              <w:spacing w:before="0" w:after="0"/>
              <w:jc w:val="center"/>
              <w:rPr>
                <w:rFonts w:eastAsia="Times New Roman" w:cs="Times New Roman"/>
                <w:color w:val="000000"/>
                <w:sz w:val="22"/>
                <w:lang w:val="fr-FR" w:eastAsia="fr-FR"/>
              </w:rPr>
            </w:pPr>
            <w:r w:rsidRPr="00A328D3">
              <w:rPr>
                <w:rFonts w:eastAsia="Times New Roman" w:cs="Times New Roman"/>
                <w:color w:val="000000"/>
                <w:sz w:val="22"/>
                <w:lang w:val="fr-FR" w:eastAsia="fr-FR"/>
              </w:rPr>
              <w:t>6.546e-08</w:t>
            </w:r>
          </w:p>
        </w:tc>
      </w:tr>
    </w:tbl>
    <w:p w14:paraId="0B4B7A5A" w14:textId="77777777" w:rsidR="00C32E98" w:rsidRDefault="00C32E98" w:rsidP="0076794A">
      <w:pPr>
        <w:rPr>
          <w:b/>
        </w:rPr>
      </w:pPr>
    </w:p>
    <w:p w14:paraId="76160507" w14:textId="69A192E1" w:rsidR="0071008E" w:rsidRDefault="0071008E" w:rsidP="0076794A">
      <w:r w:rsidRPr="00A66554">
        <w:rPr>
          <w:b/>
        </w:rPr>
        <w:t>Supplementary Table S</w:t>
      </w:r>
      <w:r>
        <w:rPr>
          <w:b/>
        </w:rPr>
        <w:t>5:</w:t>
      </w:r>
      <w:r w:rsidR="001413EB">
        <w:rPr>
          <w:b/>
        </w:rPr>
        <w:t xml:space="preserve"> </w:t>
      </w:r>
      <w:r w:rsidR="001413EB" w:rsidRPr="001413EB">
        <w:t xml:space="preserve">Table of correspondence </w:t>
      </w:r>
      <w:r w:rsidR="001413EB">
        <w:t>between sample names and ENA accession information.</w:t>
      </w:r>
    </w:p>
    <w:p w14:paraId="768CA6D0" w14:textId="77777777" w:rsidR="00C32E98" w:rsidRDefault="00C32E98" w:rsidP="0076794A"/>
    <w:p w14:paraId="34382E81" w14:textId="0A7CECFC" w:rsidR="0076794A" w:rsidRPr="0076794A" w:rsidRDefault="0076794A" w:rsidP="0076794A">
      <w:pPr>
        <w:pStyle w:val="Titre2"/>
      </w:pPr>
      <w:r>
        <w:t>Supplementary Figures</w:t>
      </w:r>
    </w:p>
    <w:p w14:paraId="6754D378" w14:textId="447FFD9C" w:rsidR="00994A3D" w:rsidRDefault="00994A3D" w:rsidP="00994A3D">
      <w:pPr>
        <w:keepNext/>
        <w:rPr>
          <w:rFonts w:cs="Times New Roman"/>
          <w:szCs w:val="24"/>
        </w:rPr>
      </w:pPr>
    </w:p>
    <w:p w14:paraId="3C419443" w14:textId="34AD64B2" w:rsidR="00994A3D" w:rsidRPr="001549D3" w:rsidRDefault="000D40AC" w:rsidP="000D40AC">
      <w:pPr>
        <w:keepNext/>
        <w:rPr>
          <w:rFonts w:cs="Times New Roman"/>
          <w:szCs w:val="24"/>
        </w:rPr>
      </w:pPr>
      <w:r>
        <w:rPr>
          <w:rFonts w:cs="Times New Roman"/>
          <w:noProof/>
          <w:szCs w:val="24"/>
        </w:rPr>
        <w:drawing>
          <wp:inline distT="0" distB="0" distL="0" distR="0" wp14:anchorId="7AFCDA33" wp14:editId="2F560F52">
            <wp:extent cx="6208395" cy="5587365"/>
            <wp:effectExtent l="0" t="0" r="1905"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1_ra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5587365"/>
                    </a:xfrm>
                    <a:prstGeom prst="rect">
                      <a:avLst/>
                    </a:prstGeom>
                  </pic:spPr>
                </pic:pic>
              </a:graphicData>
            </a:graphic>
          </wp:inline>
        </w:drawing>
      </w:r>
    </w:p>
    <w:p w14:paraId="7B65BC41" w14:textId="78957CD1" w:rsidR="00DE23E8" w:rsidRDefault="00A66554" w:rsidP="00A66554">
      <w:pPr>
        <w:spacing w:before="240"/>
        <w:jc w:val="both"/>
      </w:pPr>
      <w:r w:rsidRPr="00A66554">
        <w:rPr>
          <w:b/>
        </w:rPr>
        <w:t>Supplementary Figure S1</w:t>
      </w:r>
      <w:r w:rsidRPr="00A66554">
        <w:t>: Rarefaction curves for each sample in the metabarcoding dataset, arranged by sampling location and colored by sediment</w:t>
      </w:r>
      <w:r>
        <w:t xml:space="preserve"> horizon</w:t>
      </w:r>
      <w:r w:rsidRPr="00A66554">
        <w:t>.</w:t>
      </w:r>
    </w:p>
    <w:p w14:paraId="3CF36BC1" w14:textId="1BD7BC71" w:rsidR="00A66554" w:rsidRDefault="006D53DC" w:rsidP="00654E8F">
      <w:pPr>
        <w:spacing w:before="240"/>
      </w:pPr>
      <w:r>
        <w:rPr>
          <w:noProof/>
        </w:rPr>
        <w:lastRenderedPageBreak/>
        <w:drawing>
          <wp:inline distT="0" distB="0" distL="0" distR="0" wp14:anchorId="3E64F3D9" wp14:editId="3FAF171D">
            <wp:extent cx="6208395" cy="5815965"/>
            <wp:effectExtent l="0" t="0" r="190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S2_tax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5815965"/>
                    </a:xfrm>
                    <a:prstGeom prst="rect">
                      <a:avLst/>
                    </a:prstGeom>
                  </pic:spPr>
                </pic:pic>
              </a:graphicData>
            </a:graphic>
          </wp:inline>
        </w:drawing>
      </w:r>
    </w:p>
    <w:p w14:paraId="68604E65" w14:textId="5C796AF9" w:rsidR="006D53DC" w:rsidRDefault="006D53DC" w:rsidP="00A66554">
      <w:pPr>
        <w:widowControl w:val="0"/>
        <w:pBdr>
          <w:top w:val="nil"/>
          <w:left w:val="nil"/>
          <w:bottom w:val="nil"/>
          <w:right w:val="nil"/>
          <w:between w:val="nil"/>
        </w:pBdr>
        <w:jc w:val="both"/>
        <w:rPr>
          <w:b/>
        </w:rPr>
      </w:pPr>
      <w:r>
        <w:rPr>
          <w:b/>
          <w:noProof/>
        </w:rPr>
        <w:lastRenderedPageBreak/>
        <w:drawing>
          <wp:inline distT="0" distB="0" distL="0" distR="0" wp14:anchorId="3909AA59" wp14:editId="38B6AD27">
            <wp:extent cx="6208395" cy="6614160"/>
            <wp:effectExtent l="0" t="0" r="190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S2_alph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6614160"/>
                    </a:xfrm>
                    <a:prstGeom prst="rect">
                      <a:avLst/>
                    </a:prstGeom>
                  </pic:spPr>
                </pic:pic>
              </a:graphicData>
            </a:graphic>
          </wp:inline>
        </w:drawing>
      </w:r>
    </w:p>
    <w:p w14:paraId="0FF12D64" w14:textId="3B167A58" w:rsidR="00A66554" w:rsidRDefault="00A66554" w:rsidP="00A66554">
      <w:pPr>
        <w:widowControl w:val="0"/>
        <w:pBdr>
          <w:top w:val="nil"/>
          <w:left w:val="nil"/>
          <w:bottom w:val="nil"/>
          <w:right w:val="nil"/>
          <w:between w:val="nil"/>
        </w:pBdr>
        <w:jc w:val="both"/>
      </w:pPr>
      <w:r w:rsidRPr="00A66554">
        <w:rPr>
          <w:b/>
        </w:rPr>
        <w:t>Supplementary Figure S</w:t>
      </w:r>
      <w:r>
        <w:rPr>
          <w:b/>
        </w:rPr>
        <w:t>2</w:t>
      </w:r>
      <w:r w:rsidRPr="00A66554">
        <w:t xml:space="preserve">: </w:t>
      </w:r>
      <w:r w:rsidRPr="00A66554">
        <w:rPr>
          <w:b/>
        </w:rPr>
        <w:t>(A)</w:t>
      </w:r>
      <w:r w:rsidRPr="00A66554">
        <w:t xml:space="preserve"> Relative abundance profiles of the 16 most abundant phyla in the dataset grouped by sampling location with increasing horizon depth (depth below the seafloor). Please note that Proteobacteria and Crenarchaeota members are identified at the class level for clarity.</w:t>
      </w:r>
      <w:r>
        <w:t xml:space="preserve"> </w:t>
      </w:r>
      <w:r w:rsidRPr="00A66554">
        <w:rPr>
          <w:b/>
        </w:rPr>
        <w:t>(B)</w:t>
      </w:r>
      <w:r w:rsidRPr="00A66554">
        <w:t xml:space="preserve"> Estimated alpha diversity (Shannon index) in samples grouped by sampling location and ordered by sediment horizon.</w:t>
      </w:r>
    </w:p>
    <w:p w14:paraId="6A9210E3" w14:textId="79BA4B0A" w:rsidR="0023500B" w:rsidRDefault="0023500B" w:rsidP="00A66554">
      <w:pPr>
        <w:widowControl w:val="0"/>
        <w:pBdr>
          <w:top w:val="nil"/>
          <w:left w:val="nil"/>
          <w:bottom w:val="nil"/>
          <w:right w:val="nil"/>
          <w:between w:val="nil"/>
        </w:pBdr>
        <w:jc w:val="both"/>
        <w:rPr>
          <w:b/>
        </w:rPr>
      </w:pPr>
      <w:r>
        <w:rPr>
          <w:noProof/>
        </w:rPr>
        <w:lastRenderedPageBreak/>
        <w:drawing>
          <wp:inline distT="0" distB="0" distL="0" distR="0" wp14:anchorId="604C094B" wp14:editId="303B9447">
            <wp:extent cx="4986124" cy="3959524"/>
            <wp:effectExtent l="0" t="0" r="508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S3_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7208" cy="3976267"/>
                    </a:xfrm>
                    <a:prstGeom prst="rect">
                      <a:avLst/>
                    </a:prstGeom>
                  </pic:spPr>
                </pic:pic>
              </a:graphicData>
            </a:graphic>
          </wp:inline>
        </w:drawing>
      </w:r>
      <w:r w:rsidR="00835D1A">
        <w:rPr>
          <w:b/>
          <w:noProof/>
        </w:rPr>
        <w:drawing>
          <wp:inline distT="0" distB="0" distL="0" distR="0" wp14:anchorId="7ADDACD9" wp14:editId="2271A99D">
            <wp:extent cx="4063042" cy="3947097"/>
            <wp:effectExtent l="0" t="0" r="127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S3_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1754" cy="3965275"/>
                    </a:xfrm>
                    <a:prstGeom prst="rect">
                      <a:avLst/>
                    </a:prstGeom>
                  </pic:spPr>
                </pic:pic>
              </a:graphicData>
            </a:graphic>
          </wp:inline>
        </w:drawing>
      </w:r>
    </w:p>
    <w:p w14:paraId="4E5409BC" w14:textId="0D4D53BC" w:rsidR="00A66554" w:rsidRDefault="00A66554" w:rsidP="00A66554">
      <w:pPr>
        <w:widowControl w:val="0"/>
        <w:pBdr>
          <w:top w:val="nil"/>
          <w:left w:val="nil"/>
          <w:bottom w:val="nil"/>
          <w:right w:val="nil"/>
          <w:between w:val="nil"/>
        </w:pBdr>
        <w:jc w:val="both"/>
      </w:pPr>
      <w:r w:rsidRPr="00A66554">
        <w:rPr>
          <w:b/>
        </w:rPr>
        <w:t>Supplementary Figure S</w:t>
      </w:r>
      <w:r>
        <w:rPr>
          <w:b/>
        </w:rPr>
        <w:t>3</w:t>
      </w:r>
      <w:r w:rsidRPr="00A66554">
        <w:t xml:space="preserve">: Taxonomy of the 50 most abundant </w:t>
      </w:r>
      <w:proofErr w:type="spellStart"/>
      <w:r w:rsidRPr="00A66554">
        <w:t>Alborán</w:t>
      </w:r>
      <w:proofErr w:type="spellEnd"/>
      <w:r w:rsidRPr="00A66554">
        <w:t xml:space="preserve"> Sea biomarker ASVs for </w:t>
      </w:r>
      <w:r w:rsidRPr="00A66554">
        <w:rPr>
          <w:b/>
        </w:rPr>
        <w:t>(A)</w:t>
      </w:r>
      <w:r w:rsidRPr="00A66554">
        <w:t xml:space="preserve"> the overall subsurface biomarker set and </w:t>
      </w:r>
      <w:r w:rsidRPr="00A66554">
        <w:rPr>
          <w:b/>
        </w:rPr>
        <w:t>(B)</w:t>
      </w:r>
      <w:r w:rsidRPr="00A66554">
        <w:t xml:space="preserve"> the site-specific biomarker sets.</w:t>
      </w:r>
    </w:p>
    <w:p w14:paraId="00035AF1" w14:textId="2627FCF1" w:rsidR="00F659AF" w:rsidRDefault="00115E31" w:rsidP="00A66554">
      <w:pPr>
        <w:widowControl w:val="0"/>
        <w:pBdr>
          <w:top w:val="nil"/>
          <w:left w:val="nil"/>
          <w:bottom w:val="nil"/>
          <w:right w:val="nil"/>
          <w:between w:val="nil"/>
        </w:pBdr>
        <w:jc w:val="both"/>
      </w:pPr>
      <w:r>
        <w:rPr>
          <w:noProof/>
        </w:rPr>
        <w:lastRenderedPageBreak/>
        <w:drawing>
          <wp:inline distT="0" distB="0" distL="0" distR="0" wp14:anchorId="671F8317" wp14:editId="25BDF21E">
            <wp:extent cx="4802224" cy="7289320"/>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6058" cy="7295140"/>
                    </a:xfrm>
                    <a:prstGeom prst="rect">
                      <a:avLst/>
                    </a:prstGeom>
                  </pic:spPr>
                </pic:pic>
              </a:graphicData>
            </a:graphic>
          </wp:inline>
        </w:drawing>
      </w:r>
    </w:p>
    <w:p w14:paraId="7CAB1AD8" w14:textId="5A605D89" w:rsidR="00D71E7F" w:rsidRDefault="00D71E7F" w:rsidP="00A66554">
      <w:pPr>
        <w:widowControl w:val="0"/>
        <w:pBdr>
          <w:top w:val="nil"/>
          <w:left w:val="nil"/>
          <w:bottom w:val="nil"/>
          <w:right w:val="nil"/>
          <w:between w:val="nil"/>
        </w:pBdr>
        <w:jc w:val="both"/>
      </w:pPr>
      <w:r w:rsidRPr="00A66554">
        <w:rPr>
          <w:b/>
        </w:rPr>
        <w:t>Supplementary Figure S</w:t>
      </w:r>
      <w:r>
        <w:rPr>
          <w:b/>
        </w:rPr>
        <w:t>4</w:t>
      </w:r>
      <w:r w:rsidRPr="00D71E7F">
        <w:t xml:space="preserve">: Variation partitioning analysis of the data using Bray-Curtis dissimilarity. Partitioning according to </w:t>
      </w:r>
      <w:r>
        <w:rPr>
          <w:b/>
        </w:rPr>
        <w:t>(A</w:t>
      </w:r>
      <w:r w:rsidRPr="00D71E7F">
        <w:t xml:space="preserve">) spatial vs environmental components, </w:t>
      </w:r>
      <w:r>
        <w:rPr>
          <w:b/>
        </w:rPr>
        <w:t>(B</w:t>
      </w:r>
      <w:r w:rsidRPr="00D71E7F">
        <w:t xml:space="preserve">) spatial component, water depth, temperature, and sediment horizon, </w:t>
      </w:r>
      <w:r>
        <w:rPr>
          <w:b/>
        </w:rPr>
        <w:t>(C</w:t>
      </w:r>
      <w:r w:rsidRPr="00D71E7F">
        <w:t>) water depth, temperature, sediment horizon, and sediment composition.</w:t>
      </w:r>
      <w:r w:rsidR="00512816">
        <w:t xml:space="preserve"> The spatial component</w:t>
      </w:r>
      <w:r w:rsidR="002E6D4F">
        <w:t xml:space="preserve"> (</w:t>
      </w:r>
      <w:r w:rsidR="002E6D4F" w:rsidRPr="002E6D4F">
        <w:rPr>
          <w:b/>
        </w:rPr>
        <w:t>A, B</w:t>
      </w:r>
      <w:r w:rsidR="002E6D4F">
        <w:t>)</w:t>
      </w:r>
      <w:r w:rsidR="00512816">
        <w:t xml:space="preserve"> refers to a combination of latitude, longitude and squared latitude. Sediment composition</w:t>
      </w:r>
      <w:r w:rsidR="002E6D4F">
        <w:t xml:space="preserve"> (</w:t>
      </w:r>
      <w:r w:rsidR="002E6D4F" w:rsidRPr="00237A4F">
        <w:rPr>
          <w:b/>
        </w:rPr>
        <w:t>C</w:t>
      </w:r>
      <w:r w:rsidR="002E6D4F">
        <w:t>)</w:t>
      </w:r>
      <w:r w:rsidR="00512816">
        <w:t xml:space="preserve"> refers to the combination of humidity level, organic matter </w:t>
      </w:r>
      <w:r w:rsidR="00512816">
        <w:lastRenderedPageBreak/>
        <w:t>content, mean granulometry and particle size (heterogeneity). Finally, the environmental component</w:t>
      </w:r>
      <w:r w:rsidR="002E6D4F">
        <w:t xml:space="preserve"> in (</w:t>
      </w:r>
      <w:r w:rsidR="002E6D4F" w:rsidRPr="002E6D4F">
        <w:rPr>
          <w:b/>
        </w:rPr>
        <w:t>A</w:t>
      </w:r>
      <w:r w:rsidR="002E6D4F">
        <w:t>)</w:t>
      </w:r>
      <w:r w:rsidR="00512816">
        <w:t xml:space="preserve"> is calculated using all the sediment variables mentioned above, combined with water depth, temperature, distance from shore and horizon depth.</w:t>
      </w:r>
      <w:r w:rsidR="0057623B">
        <w:t xml:space="preserve"> </w:t>
      </w:r>
      <w:r w:rsidR="00930E5B">
        <w:t>Fractions are annotated with the obtained adjusted R square</w:t>
      </w:r>
      <w:r w:rsidR="00AB50B6">
        <w:t xml:space="preserve"> for each explanatory variable or matrix</w:t>
      </w:r>
      <w:r w:rsidR="00930E5B">
        <w:t>, for which significance was tested. Values</w:t>
      </w:r>
      <w:r w:rsidR="00744896">
        <w:t xml:space="preserve"> for the </w:t>
      </w:r>
      <w:r w:rsidR="00930E5B">
        <w:t xml:space="preserve">intersections are found by subtracting different models </w:t>
      </w:r>
      <w:r w:rsidR="00744896">
        <w:t xml:space="preserve">and underline the possible redundancy of the explanatory variables. They </w:t>
      </w:r>
      <w:r w:rsidR="00930E5B">
        <w:t>cannot be assigned significance</w:t>
      </w:r>
      <w:r w:rsidR="00744896">
        <w:t>, and negative values are a possible artefact of the analysis.</w:t>
      </w:r>
    </w:p>
    <w:p w14:paraId="5B5C86CE" w14:textId="3413EB3B" w:rsidR="00F659AF" w:rsidRDefault="001D4EA9" w:rsidP="00A66554">
      <w:pPr>
        <w:widowControl w:val="0"/>
        <w:pBdr>
          <w:top w:val="nil"/>
          <w:left w:val="nil"/>
          <w:bottom w:val="nil"/>
          <w:right w:val="nil"/>
          <w:between w:val="nil"/>
        </w:pBdr>
        <w:jc w:val="both"/>
      </w:pPr>
      <w:bookmarkStart w:id="2" w:name="_GoBack"/>
      <w:bookmarkEnd w:id="2"/>
      <w:r>
        <w:rPr>
          <w:noProof/>
        </w:rPr>
        <w:drawing>
          <wp:inline distT="0" distB="0" distL="0" distR="0" wp14:anchorId="7B340960" wp14:editId="5EE12FAE">
            <wp:extent cx="6208395" cy="6208395"/>
            <wp:effectExtent l="0" t="0" r="1905"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5_s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p>
    <w:p w14:paraId="20536EE2" w14:textId="456A65DA" w:rsidR="00F659AF" w:rsidRPr="00F659AF" w:rsidRDefault="00F659AF" w:rsidP="00A66554">
      <w:pPr>
        <w:widowControl w:val="0"/>
        <w:pBdr>
          <w:top w:val="nil"/>
          <w:left w:val="nil"/>
          <w:bottom w:val="nil"/>
          <w:right w:val="nil"/>
          <w:between w:val="nil"/>
        </w:pBdr>
        <w:jc w:val="both"/>
      </w:pPr>
      <w:r w:rsidRPr="00A66554">
        <w:rPr>
          <w:b/>
        </w:rPr>
        <w:t>Supplementary Figure S</w:t>
      </w:r>
      <w:r>
        <w:rPr>
          <w:b/>
        </w:rPr>
        <w:t>5</w:t>
      </w:r>
      <w:r w:rsidRPr="00F659AF">
        <w:t>: Evolution of sediment characteristics in the three depth zones targeted by the longitudinal sampling scheme. Only mean heterogeneity of particle sizes significantly differed between depth zones.</w:t>
      </w:r>
    </w:p>
    <w:sectPr w:rsidR="00F659AF" w:rsidRPr="00F659AF"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19B39" w14:textId="77777777" w:rsidR="004B6002" w:rsidRDefault="004B6002" w:rsidP="00117666">
      <w:pPr>
        <w:spacing w:after="0"/>
      </w:pPr>
      <w:r>
        <w:separator/>
      </w:r>
    </w:p>
  </w:endnote>
  <w:endnote w:type="continuationSeparator" w:id="0">
    <w:p w14:paraId="756CFAE6" w14:textId="77777777" w:rsidR="004B6002" w:rsidRDefault="004B600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AEF02" w14:textId="77777777" w:rsidR="004B6002" w:rsidRDefault="004B6002" w:rsidP="00117666">
      <w:pPr>
        <w:spacing w:after="0"/>
      </w:pPr>
      <w:r>
        <w:separator/>
      </w:r>
    </w:p>
  </w:footnote>
  <w:footnote w:type="continuationSeparator" w:id="0">
    <w:p w14:paraId="624BFB53" w14:textId="77777777" w:rsidR="004B6002" w:rsidRDefault="004B600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D40AC"/>
    <w:rsid w:val="00105FD9"/>
    <w:rsid w:val="00115E31"/>
    <w:rsid w:val="00117666"/>
    <w:rsid w:val="001413EB"/>
    <w:rsid w:val="001549D3"/>
    <w:rsid w:val="00160065"/>
    <w:rsid w:val="00177D84"/>
    <w:rsid w:val="00192653"/>
    <w:rsid w:val="001B1B3D"/>
    <w:rsid w:val="001D4EA9"/>
    <w:rsid w:val="002260D1"/>
    <w:rsid w:val="0023500B"/>
    <w:rsid w:val="00237A4F"/>
    <w:rsid w:val="00267D18"/>
    <w:rsid w:val="00274347"/>
    <w:rsid w:val="002868E2"/>
    <w:rsid w:val="002869C3"/>
    <w:rsid w:val="002936E4"/>
    <w:rsid w:val="002B4A57"/>
    <w:rsid w:val="002C74CA"/>
    <w:rsid w:val="002E6D4F"/>
    <w:rsid w:val="003123F4"/>
    <w:rsid w:val="00313DBE"/>
    <w:rsid w:val="003544FB"/>
    <w:rsid w:val="003D2F2D"/>
    <w:rsid w:val="00401590"/>
    <w:rsid w:val="00447801"/>
    <w:rsid w:val="00452E9C"/>
    <w:rsid w:val="004735C8"/>
    <w:rsid w:val="004947A6"/>
    <w:rsid w:val="004961FF"/>
    <w:rsid w:val="004B6002"/>
    <w:rsid w:val="00512816"/>
    <w:rsid w:val="00517A89"/>
    <w:rsid w:val="005250F2"/>
    <w:rsid w:val="005429D0"/>
    <w:rsid w:val="0057623B"/>
    <w:rsid w:val="00593EEA"/>
    <w:rsid w:val="005A5EEE"/>
    <w:rsid w:val="005C3B58"/>
    <w:rsid w:val="005C7313"/>
    <w:rsid w:val="006069E2"/>
    <w:rsid w:val="006375C7"/>
    <w:rsid w:val="00654E8F"/>
    <w:rsid w:val="00660D05"/>
    <w:rsid w:val="006820B1"/>
    <w:rsid w:val="006B7D14"/>
    <w:rsid w:val="006D53DC"/>
    <w:rsid w:val="00701727"/>
    <w:rsid w:val="0070566C"/>
    <w:rsid w:val="0071008E"/>
    <w:rsid w:val="00714C50"/>
    <w:rsid w:val="00725A7D"/>
    <w:rsid w:val="00744896"/>
    <w:rsid w:val="007501BE"/>
    <w:rsid w:val="0076794A"/>
    <w:rsid w:val="0077000B"/>
    <w:rsid w:val="0078433F"/>
    <w:rsid w:val="00790BB3"/>
    <w:rsid w:val="007C206C"/>
    <w:rsid w:val="00817DD6"/>
    <w:rsid w:val="00835D1A"/>
    <w:rsid w:val="0083759F"/>
    <w:rsid w:val="00857BE4"/>
    <w:rsid w:val="00885156"/>
    <w:rsid w:val="008C270D"/>
    <w:rsid w:val="008C3AE7"/>
    <w:rsid w:val="009151AA"/>
    <w:rsid w:val="00930E5B"/>
    <w:rsid w:val="0093429D"/>
    <w:rsid w:val="00943573"/>
    <w:rsid w:val="00964134"/>
    <w:rsid w:val="00970F7D"/>
    <w:rsid w:val="00994A3D"/>
    <w:rsid w:val="009C0E2B"/>
    <w:rsid w:val="009C2B12"/>
    <w:rsid w:val="00A174D9"/>
    <w:rsid w:val="00A328D3"/>
    <w:rsid w:val="00A66554"/>
    <w:rsid w:val="00AA4D24"/>
    <w:rsid w:val="00AB50B6"/>
    <w:rsid w:val="00AB6715"/>
    <w:rsid w:val="00AF5626"/>
    <w:rsid w:val="00B1671E"/>
    <w:rsid w:val="00B25EB8"/>
    <w:rsid w:val="00B37F4D"/>
    <w:rsid w:val="00B61638"/>
    <w:rsid w:val="00B82BE3"/>
    <w:rsid w:val="00BA7D52"/>
    <w:rsid w:val="00BC1C1E"/>
    <w:rsid w:val="00BC4A34"/>
    <w:rsid w:val="00BD475B"/>
    <w:rsid w:val="00C32E98"/>
    <w:rsid w:val="00C52A7B"/>
    <w:rsid w:val="00C56BAF"/>
    <w:rsid w:val="00C679AA"/>
    <w:rsid w:val="00C75972"/>
    <w:rsid w:val="00CD066B"/>
    <w:rsid w:val="00CE4FEE"/>
    <w:rsid w:val="00CF20AA"/>
    <w:rsid w:val="00CF2738"/>
    <w:rsid w:val="00D060CF"/>
    <w:rsid w:val="00D71E7F"/>
    <w:rsid w:val="00D85979"/>
    <w:rsid w:val="00DB59C3"/>
    <w:rsid w:val="00DC259A"/>
    <w:rsid w:val="00DE23E8"/>
    <w:rsid w:val="00E07CC7"/>
    <w:rsid w:val="00E47310"/>
    <w:rsid w:val="00E52377"/>
    <w:rsid w:val="00E537AD"/>
    <w:rsid w:val="00E64E17"/>
    <w:rsid w:val="00E866C9"/>
    <w:rsid w:val="00E960F6"/>
    <w:rsid w:val="00EA3D3C"/>
    <w:rsid w:val="00EC090A"/>
    <w:rsid w:val="00ED20B5"/>
    <w:rsid w:val="00F22155"/>
    <w:rsid w:val="00F46900"/>
    <w:rsid w:val="00F61D89"/>
    <w:rsid w:val="00F65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paragraph" w:styleId="Rvision">
    <w:name w:val="Revision"/>
    <w:hidden/>
    <w:uiPriority w:val="99"/>
    <w:semiHidden/>
    <w:rsid w:val="002E6D4F"/>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63473252">
      <w:bodyDiv w:val="1"/>
      <w:marLeft w:val="0"/>
      <w:marRight w:val="0"/>
      <w:marTop w:val="0"/>
      <w:marBottom w:val="0"/>
      <w:divBdr>
        <w:top w:val="none" w:sz="0" w:space="0" w:color="auto"/>
        <w:left w:val="none" w:sz="0" w:space="0" w:color="auto"/>
        <w:bottom w:val="none" w:sz="0" w:space="0" w:color="auto"/>
        <w:right w:val="none" w:sz="0" w:space="0" w:color="auto"/>
      </w:divBdr>
    </w:div>
    <w:div w:id="133367811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45CF54B-C177-7E45-9201-92933F6B1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13</TotalTime>
  <Pages>9</Pages>
  <Words>1574</Words>
  <Characters>8661</Characters>
  <Application>Microsoft Office Word</Application>
  <DocSecurity>0</DocSecurity>
  <Lines>72</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Blandine Trouche</cp:lastModifiedBy>
  <cp:revision>5</cp:revision>
  <cp:lastPrinted>2013-10-03T12:51:00Z</cp:lastPrinted>
  <dcterms:created xsi:type="dcterms:W3CDTF">2021-10-20T18:13:00Z</dcterms:created>
  <dcterms:modified xsi:type="dcterms:W3CDTF">2021-10-20T18:47:00Z</dcterms:modified>
</cp:coreProperties>
</file>