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08DA3" w14:textId="6208B30D" w:rsidR="00E91F05" w:rsidRPr="00E91F05" w:rsidRDefault="00E91F05" w:rsidP="000379B1">
      <w:pPr>
        <w:spacing w:line="360" w:lineRule="auto"/>
        <w:rPr>
          <w:b/>
          <w:sz w:val="24"/>
          <w:lang w:val="en-GB"/>
        </w:rPr>
      </w:pPr>
      <w:r w:rsidRPr="00E91F05">
        <w:rPr>
          <w:b/>
          <w:sz w:val="24"/>
          <w:lang w:val="en-GB"/>
        </w:rPr>
        <w:t>SUPPLEMENT</w:t>
      </w:r>
      <w:r>
        <w:rPr>
          <w:b/>
          <w:sz w:val="24"/>
          <w:lang w:val="en-GB"/>
        </w:rPr>
        <w:t xml:space="preserve"> TO</w:t>
      </w:r>
    </w:p>
    <w:p w14:paraId="020CA882" w14:textId="055F0FC1" w:rsidR="000379B1" w:rsidRPr="006A4268" w:rsidRDefault="000379B1" w:rsidP="000379B1">
      <w:pPr>
        <w:spacing w:line="360" w:lineRule="auto"/>
        <w:rPr>
          <w:b/>
          <w:sz w:val="24"/>
          <w:lang w:val="en-GB"/>
        </w:rPr>
      </w:pPr>
      <w:r w:rsidRPr="006A4268">
        <w:rPr>
          <w:b/>
          <w:sz w:val="24"/>
          <w:lang w:val="en-GB"/>
        </w:rPr>
        <w:t xml:space="preserve">Sea </w:t>
      </w:r>
      <w:r w:rsidR="000B71B9">
        <w:rPr>
          <w:b/>
          <w:sz w:val="24"/>
          <w:lang w:val="en-GB"/>
        </w:rPr>
        <w:t>L</w:t>
      </w:r>
      <w:r w:rsidRPr="006A4268">
        <w:rPr>
          <w:b/>
          <w:sz w:val="24"/>
          <w:lang w:val="en-GB"/>
        </w:rPr>
        <w:t xml:space="preserve">evel controls on Agulhas </w:t>
      </w:r>
      <w:r w:rsidR="000B71B9">
        <w:rPr>
          <w:b/>
          <w:sz w:val="24"/>
          <w:lang w:val="en-GB"/>
        </w:rPr>
        <w:t>L</w:t>
      </w:r>
      <w:r w:rsidRPr="006A4268">
        <w:rPr>
          <w:b/>
          <w:sz w:val="24"/>
          <w:lang w:val="en-GB"/>
        </w:rPr>
        <w:t xml:space="preserve">eakage </w:t>
      </w:r>
      <w:r w:rsidR="000B71B9">
        <w:rPr>
          <w:b/>
          <w:sz w:val="24"/>
          <w:lang w:val="en-GB"/>
        </w:rPr>
        <w:t>S</w:t>
      </w:r>
      <w:r w:rsidRPr="006A4268">
        <w:rPr>
          <w:b/>
          <w:sz w:val="24"/>
          <w:lang w:val="en-GB"/>
        </w:rPr>
        <w:t xml:space="preserve">alinity and the Atlantic </w:t>
      </w:r>
      <w:r w:rsidR="000B71B9">
        <w:rPr>
          <w:b/>
          <w:sz w:val="24"/>
          <w:lang w:val="en-GB"/>
        </w:rPr>
        <w:t>O</w:t>
      </w:r>
      <w:r w:rsidRPr="006A4268">
        <w:rPr>
          <w:b/>
          <w:sz w:val="24"/>
          <w:lang w:val="en-GB"/>
        </w:rPr>
        <w:t xml:space="preserve">verturning </w:t>
      </w:r>
      <w:r w:rsidR="000B71B9">
        <w:rPr>
          <w:b/>
          <w:sz w:val="24"/>
          <w:lang w:val="en-GB"/>
        </w:rPr>
        <w:t>C</w:t>
      </w:r>
      <w:r w:rsidRPr="006A4268">
        <w:rPr>
          <w:b/>
          <w:sz w:val="24"/>
          <w:lang w:val="en-GB"/>
        </w:rPr>
        <w:t>irculation</w:t>
      </w:r>
    </w:p>
    <w:p w14:paraId="3AA9367A" w14:textId="77777777" w:rsidR="000379B1" w:rsidRPr="00597CCD" w:rsidRDefault="000379B1" w:rsidP="000379B1">
      <w:pPr>
        <w:spacing w:line="360" w:lineRule="auto"/>
        <w:rPr>
          <w:sz w:val="24"/>
          <w:lang w:val="en-GB"/>
        </w:rPr>
      </w:pPr>
    </w:p>
    <w:p w14:paraId="5B8C3D88" w14:textId="22D30F9C" w:rsidR="000379B1" w:rsidRPr="00E248A0" w:rsidRDefault="000379B1" w:rsidP="000379B1">
      <w:pPr>
        <w:spacing w:line="360" w:lineRule="auto"/>
        <w:rPr>
          <w:sz w:val="24"/>
          <w:lang w:val="en-GB"/>
        </w:rPr>
      </w:pPr>
      <w:r w:rsidRPr="00E248A0">
        <w:rPr>
          <w:sz w:val="24"/>
          <w:lang w:val="en-GB"/>
        </w:rPr>
        <w:t>Sophie Nuber</w:t>
      </w:r>
      <w:r>
        <w:rPr>
          <w:sz w:val="24"/>
          <w:lang w:val="en-GB"/>
        </w:rPr>
        <w:t>*</w:t>
      </w:r>
      <w:r w:rsidRPr="00E248A0">
        <w:rPr>
          <w:sz w:val="24"/>
          <w:lang w:val="en-GB"/>
        </w:rPr>
        <w:t xml:space="preserve"> (1</w:t>
      </w:r>
      <w:r w:rsidR="00111429">
        <w:rPr>
          <w:sz w:val="24"/>
          <w:lang w:val="en-GB"/>
        </w:rPr>
        <w:t>, 2, 3</w:t>
      </w:r>
      <w:r w:rsidRPr="00E248A0">
        <w:rPr>
          <w:sz w:val="24"/>
          <w:lang w:val="en-GB"/>
        </w:rPr>
        <w:t>), James W. B. Rae (2), Morten B. Andersen (</w:t>
      </w:r>
      <w:r w:rsidR="00111429">
        <w:rPr>
          <w:sz w:val="24"/>
          <w:lang w:val="en-GB"/>
        </w:rPr>
        <w:t>1</w:t>
      </w:r>
      <w:r w:rsidRPr="00E248A0">
        <w:rPr>
          <w:sz w:val="24"/>
          <w:lang w:val="en-GB"/>
        </w:rPr>
        <w:t xml:space="preserve">), Xu Zhang (4), Bas de Boer (5), Matthew </w:t>
      </w:r>
      <w:r>
        <w:rPr>
          <w:sz w:val="24"/>
          <w:lang w:val="en-GB"/>
        </w:rPr>
        <w:t xml:space="preserve">D. </w:t>
      </w:r>
      <w:r w:rsidRPr="00E248A0">
        <w:rPr>
          <w:sz w:val="24"/>
          <w:lang w:val="en-GB"/>
        </w:rPr>
        <w:t xml:space="preserve">Dumont (2), </w:t>
      </w:r>
      <w:proofErr w:type="spellStart"/>
      <w:r w:rsidRPr="00E248A0">
        <w:rPr>
          <w:sz w:val="24"/>
          <w:lang w:val="en-GB"/>
        </w:rPr>
        <w:t>Yuchen</w:t>
      </w:r>
      <w:proofErr w:type="spellEnd"/>
      <w:r w:rsidRPr="00E248A0">
        <w:rPr>
          <w:sz w:val="24"/>
          <w:lang w:val="en-GB"/>
        </w:rPr>
        <w:t xml:space="preserve"> Sun (6), Huw T. </w:t>
      </w:r>
      <w:proofErr w:type="spellStart"/>
      <w:r w:rsidRPr="00E248A0">
        <w:rPr>
          <w:sz w:val="24"/>
          <w:lang w:val="en-GB"/>
        </w:rPr>
        <w:t>Mithan</w:t>
      </w:r>
      <w:proofErr w:type="spellEnd"/>
      <w:r w:rsidRPr="00E248A0">
        <w:rPr>
          <w:sz w:val="24"/>
          <w:lang w:val="en-GB"/>
        </w:rPr>
        <w:t xml:space="preserve"> (</w:t>
      </w:r>
      <w:r w:rsidR="00111429">
        <w:rPr>
          <w:sz w:val="24"/>
          <w:lang w:val="en-GB"/>
        </w:rPr>
        <w:t>3</w:t>
      </w:r>
      <w:r w:rsidRPr="00E248A0">
        <w:rPr>
          <w:sz w:val="24"/>
          <w:lang w:val="en-GB"/>
        </w:rPr>
        <w:t>), Ian R. Hall (</w:t>
      </w:r>
      <w:r w:rsidR="00111429">
        <w:rPr>
          <w:sz w:val="24"/>
          <w:lang w:val="en-GB"/>
        </w:rPr>
        <w:t>1</w:t>
      </w:r>
      <w:r w:rsidRPr="00E248A0">
        <w:rPr>
          <w:sz w:val="24"/>
          <w:lang w:val="en-GB"/>
        </w:rPr>
        <w:t>), Stephen Barke</w:t>
      </w:r>
      <w:r>
        <w:rPr>
          <w:sz w:val="24"/>
          <w:lang w:val="en-GB"/>
        </w:rPr>
        <w:t>r (</w:t>
      </w:r>
      <w:r w:rsidR="00111429">
        <w:rPr>
          <w:sz w:val="24"/>
          <w:lang w:val="en-GB"/>
        </w:rPr>
        <w:t>1</w:t>
      </w:r>
      <w:r w:rsidRPr="00E248A0">
        <w:rPr>
          <w:sz w:val="24"/>
          <w:lang w:val="en-GB"/>
        </w:rPr>
        <w:t>).</w:t>
      </w:r>
    </w:p>
    <w:p w14:paraId="548AD9FA" w14:textId="2306DE1C" w:rsidR="000379B1" w:rsidRDefault="00E91F05" w:rsidP="000379B1">
      <w:pPr>
        <w:pBdr>
          <w:bottom w:val="single" w:sz="12" w:space="1" w:color="auto"/>
        </w:pBdr>
        <w:spacing w:line="360" w:lineRule="auto"/>
        <w:rPr>
          <w:sz w:val="24"/>
          <w:lang w:val="en-GB"/>
        </w:rPr>
      </w:pPr>
      <w:r w:rsidRPr="00127184">
        <w:rPr>
          <w:sz w:val="24"/>
          <w:lang w:val="en-GB"/>
        </w:rPr>
        <w:t xml:space="preserve"> </w:t>
      </w:r>
      <w:r w:rsidR="000379B1" w:rsidRPr="00127184">
        <w:rPr>
          <w:sz w:val="24"/>
          <w:lang w:val="en-GB"/>
        </w:rPr>
        <w:t xml:space="preserve">(1) </w:t>
      </w:r>
      <w:r w:rsidR="00111429">
        <w:rPr>
          <w:sz w:val="24"/>
          <w:lang w:val="en-GB"/>
        </w:rPr>
        <w:t xml:space="preserve">Cardiff University, </w:t>
      </w:r>
      <w:r w:rsidR="000379B1" w:rsidRPr="00127184">
        <w:rPr>
          <w:sz w:val="24"/>
          <w:lang w:val="en-GB"/>
        </w:rPr>
        <w:t xml:space="preserve">(2) University of St. </w:t>
      </w:r>
      <w:r w:rsidR="000379B1">
        <w:rPr>
          <w:sz w:val="24"/>
          <w:lang w:val="en-GB"/>
        </w:rPr>
        <w:t xml:space="preserve">Andrews, (3) </w:t>
      </w:r>
      <w:r w:rsidR="00111429">
        <w:rPr>
          <w:sz w:val="24"/>
          <w:lang w:val="en-GB"/>
        </w:rPr>
        <w:t>National Taiwan University</w:t>
      </w:r>
      <w:r w:rsidR="000379B1">
        <w:rPr>
          <w:sz w:val="24"/>
          <w:lang w:val="en-GB"/>
        </w:rPr>
        <w:t>, (4) Institute of Tibet Plateau Research, Chinese Academy of Science, (5) Vrije Universiteit Amsterdam, (6) Alfred Wegener Institute</w:t>
      </w:r>
    </w:p>
    <w:p w14:paraId="5B470EDA" w14:textId="77777777" w:rsidR="00E91F05" w:rsidRDefault="00E91F05" w:rsidP="000379B1">
      <w:pPr>
        <w:pBdr>
          <w:bottom w:val="single" w:sz="12" w:space="1" w:color="auto"/>
        </w:pBdr>
        <w:spacing w:line="360" w:lineRule="auto"/>
        <w:rPr>
          <w:sz w:val="24"/>
          <w:lang w:val="en-GB"/>
        </w:rPr>
      </w:pPr>
    </w:p>
    <w:p w14:paraId="7D459BAA" w14:textId="77777777" w:rsidR="000379B1" w:rsidRDefault="000379B1" w:rsidP="000379B1">
      <w:pPr>
        <w:spacing w:line="360" w:lineRule="auto"/>
        <w:rPr>
          <w:sz w:val="24"/>
          <w:lang w:val="en-GB"/>
        </w:rPr>
      </w:pPr>
    </w:p>
    <w:p w14:paraId="08C5CA6E" w14:textId="09B6D99B" w:rsidR="003D7EE7" w:rsidRPr="003D7EE7" w:rsidRDefault="000379B1" w:rsidP="003D7EE7">
      <w:pPr>
        <w:spacing w:line="360" w:lineRule="auto"/>
        <w:rPr>
          <w:sz w:val="24"/>
          <w:lang w:val="en-GB"/>
        </w:rPr>
      </w:pPr>
      <w:r>
        <w:rPr>
          <w:sz w:val="24"/>
          <w:lang w:val="en-GB"/>
        </w:rPr>
        <w:t>METHODS</w:t>
      </w:r>
    </w:p>
    <w:p w14:paraId="0F51B87C" w14:textId="02DD8F0E" w:rsidR="000379B1" w:rsidRPr="00500535" w:rsidRDefault="000379B1" w:rsidP="000379B1">
      <w:pPr>
        <w:pStyle w:val="a4"/>
        <w:numPr>
          <w:ilvl w:val="0"/>
          <w:numId w:val="2"/>
        </w:numPr>
        <w:spacing w:line="360" w:lineRule="auto"/>
        <w:rPr>
          <w:i/>
          <w:sz w:val="24"/>
          <w:lang w:val="en-GB"/>
        </w:rPr>
      </w:pPr>
      <w:r w:rsidRPr="00500535">
        <w:rPr>
          <w:i/>
          <w:sz w:val="24"/>
          <w:lang w:val="en-GB"/>
        </w:rPr>
        <w:t xml:space="preserve">SST and relative salinity reconstruction using Mg/Ca and </w:t>
      </w:r>
      <w:r w:rsidRPr="00500535">
        <w:rPr>
          <w:rFonts w:ascii="Times New Roman" w:hAnsi="Times New Roman" w:cs="Times New Roman"/>
          <w:i/>
          <w:sz w:val="24"/>
          <w:szCs w:val="24"/>
          <w:lang w:val="en-GB"/>
        </w:rPr>
        <w:t>δ</w:t>
      </w:r>
      <w:r w:rsidRPr="00500535">
        <w:rPr>
          <w:rFonts w:cstheme="minorHAnsi"/>
          <w:i/>
          <w:sz w:val="24"/>
          <w:szCs w:val="24"/>
          <w:vertAlign w:val="superscript"/>
          <w:lang w:val="en-GB"/>
        </w:rPr>
        <w:t>18</w:t>
      </w:r>
      <w:r w:rsidRPr="00500535">
        <w:rPr>
          <w:rFonts w:cstheme="minorHAnsi"/>
          <w:i/>
          <w:sz w:val="24"/>
          <w:szCs w:val="24"/>
          <w:lang w:val="en-GB"/>
        </w:rPr>
        <w:t>O</w:t>
      </w:r>
      <w:r w:rsidRPr="00500535">
        <w:rPr>
          <w:rFonts w:cstheme="minorHAnsi"/>
          <w:i/>
          <w:sz w:val="24"/>
          <w:szCs w:val="24"/>
          <w:vertAlign w:val="subscript"/>
          <w:lang w:val="en-GB"/>
        </w:rPr>
        <w:t>sw</w:t>
      </w:r>
    </w:p>
    <w:p w14:paraId="2E4A8BC7" w14:textId="77777777" w:rsidR="00CD22CC" w:rsidRDefault="000379B1" w:rsidP="000379B1">
      <w:pPr>
        <w:spacing w:line="360" w:lineRule="auto"/>
        <w:rPr>
          <w:sz w:val="24"/>
        </w:rPr>
      </w:pPr>
      <w:proofErr w:type="spellStart"/>
      <w:r>
        <w:rPr>
          <w:sz w:val="24"/>
          <w:lang w:val="en-GB"/>
        </w:rPr>
        <w:t>Globigerinoides</w:t>
      </w:r>
      <w:proofErr w:type="spellEnd"/>
      <w:r>
        <w:rPr>
          <w:sz w:val="24"/>
          <w:lang w:val="en-GB"/>
        </w:rPr>
        <w:t xml:space="preserve"> </w:t>
      </w:r>
      <w:proofErr w:type="spellStart"/>
      <w:r w:rsidRPr="00586BB9">
        <w:rPr>
          <w:i/>
          <w:sz w:val="24"/>
          <w:lang w:val="en-GB"/>
        </w:rPr>
        <w:t>ruber</w:t>
      </w:r>
      <w:proofErr w:type="spellEnd"/>
      <w:r>
        <w:rPr>
          <w:sz w:val="24"/>
          <w:lang w:val="en-GB"/>
        </w:rPr>
        <w:t xml:space="preserve"> (G. </w:t>
      </w:r>
      <w:proofErr w:type="spellStart"/>
      <w:r w:rsidRPr="00917544">
        <w:rPr>
          <w:i/>
          <w:sz w:val="24"/>
          <w:lang w:val="en-GB"/>
        </w:rPr>
        <w:t>ruber</w:t>
      </w:r>
      <w:proofErr w:type="spellEnd"/>
      <w:r>
        <w:rPr>
          <w:sz w:val="24"/>
          <w:lang w:val="en-GB"/>
        </w:rPr>
        <w:t xml:space="preserve">) samples were picked from U1476, then crushed and homogenised. An aliquot of 5 foraminifera was analysed for </w:t>
      </w:r>
      <w:r>
        <w:rPr>
          <w:rFonts w:ascii="Times New Roman" w:hAnsi="Times New Roman" w:cs="Times New Roman"/>
          <w:sz w:val="24"/>
          <w:lang w:val="en-GB"/>
        </w:rPr>
        <w:t>δ</w:t>
      </w:r>
      <w:r w:rsidRPr="007C7C8A">
        <w:rPr>
          <w:sz w:val="24"/>
          <w:vertAlign w:val="superscript"/>
          <w:lang w:val="en-GB"/>
        </w:rPr>
        <w:t>18</w:t>
      </w:r>
      <w:r>
        <w:rPr>
          <w:sz w:val="24"/>
          <w:lang w:val="en-GB"/>
        </w:rPr>
        <w:t>O on a MAT253 with a Kiel IV preparation device at Cardiff University. The remaining samples were cleaned and dissolved in a fume hood equipped with HEPA filters under clean laboratory conditions according to Barker et al. (2003). Analysis of Mg/Ca was conducted partially on a Thermo Element XR at Cardiff University, partially on an Agilent Triple Quadrupole at the University of St. Andrews. The instruments were cross-calibrated using the same in-house standard. In both institutions, long term reproducibility of in-house standards yielded RSDs of 1-3%.</w:t>
      </w:r>
    </w:p>
    <w:p w14:paraId="3D88CDDA" w14:textId="6A893F34" w:rsidR="000379B1" w:rsidRPr="00CD22CC" w:rsidRDefault="000379B1" w:rsidP="000379B1">
      <w:pPr>
        <w:spacing w:line="360" w:lineRule="auto"/>
        <w:rPr>
          <w:sz w:val="24"/>
        </w:rPr>
      </w:pPr>
      <w:r>
        <w:rPr>
          <w:sz w:val="24"/>
          <w:lang w:val="en-GB"/>
        </w:rPr>
        <w:t xml:space="preserve">SST were calculated from G. </w:t>
      </w:r>
      <w:proofErr w:type="spellStart"/>
      <w:r w:rsidRPr="00A41C13">
        <w:rPr>
          <w:i/>
          <w:sz w:val="24"/>
          <w:lang w:val="en-GB"/>
        </w:rPr>
        <w:t>ruber</w:t>
      </w:r>
      <w:proofErr w:type="spellEnd"/>
      <w:r>
        <w:rPr>
          <w:sz w:val="24"/>
          <w:lang w:val="en-GB"/>
        </w:rPr>
        <w:t xml:space="preserve"> Mg/Ca using the transfer function and R-script from </w:t>
      </w:r>
      <w:proofErr w:type="spellStart"/>
      <w:r>
        <w:rPr>
          <w:sz w:val="24"/>
          <w:lang w:val="en-GB"/>
        </w:rPr>
        <w:t>Gray</w:t>
      </w:r>
      <w:proofErr w:type="spellEnd"/>
      <w:r>
        <w:rPr>
          <w:sz w:val="24"/>
          <w:lang w:val="en-GB"/>
        </w:rPr>
        <w:t xml:space="preserve"> &amp; Evans (2019)</w:t>
      </w:r>
    </w:p>
    <w:p w14:paraId="444E066D" w14:textId="77777777" w:rsidR="000379B1" w:rsidRDefault="000B5E14" w:rsidP="000379B1">
      <w:pPr>
        <w:spacing w:line="360" w:lineRule="auto"/>
        <w:rPr>
          <w:sz w:val="24"/>
          <w:lang w:val="en-GB"/>
        </w:rPr>
      </w:pPr>
      <m:oMathPara>
        <m:oMath>
          <m:f>
            <m:fPr>
              <m:ctrlPr>
                <w:rPr>
                  <w:rFonts w:ascii="Cambria Math" w:hAnsi="Cambria Math"/>
                  <w:i/>
                  <w:sz w:val="24"/>
                  <w:lang w:val="en-GB"/>
                </w:rPr>
              </m:ctrlPr>
            </m:fPr>
            <m:num>
              <m:r>
                <w:rPr>
                  <w:rFonts w:ascii="Cambria Math" w:hAnsi="Cambria Math"/>
                  <w:sz w:val="24"/>
                  <w:lang w:val="en-GB"/>
                </w:rPr>
                <m:t>Mg</m:t>
              </m:r>
            </m:num>
            <m:den>
              <m:r>
                <w:rPr>
                  <w:rFonts w:ascii="Cambria Math" w:hAnsi="Cambria Math"/>
                  <w:sz w:val="24"/>
                  <w:lang w:val="en-GB"/>
                </w:rPr>
                <m:t>Ca</m:t>
              </m:r>
            </m:den>
          </m:f>
          <m:r>
            <w:rPr>
              <w:rFonts w:ascii="Cambria Math" w:hAnsi="Cambria Math"/>
              <w:sz w:val="24"/>
              <w:lang w:val="en-GB"/>
            </w:rPr>
            <m:t xml:space="preserve">= </m:t>
          </m:r>
          <m:sSup>
            <m:sSupPr>
              <m:ctrlPr>
                <w:rPr>
                  <w:rFonts w:ascii="Cambria Math" w:hAnsi="Cambria Math"/>
                  <w:i/>
                  <w:sz w:val="24"/>
                  <w:lang w:val="en-GB"/>
                </w:rPr>
              </m:ctrlPr>
            </m:sSupPr>
            <m:e>
              <m:r>
                <w:rPr>
                  <w:rFonts w:ascii="Cambria Math" w:hAnsi="Cambria Math"/>
                  <w:sz w:val="24"/>
                  <w:lang w:val="en-GB"/>
                </w:rPr>
                <m:t>e</m:t>
              </m:r>
            </m:e>
            <m:sup>
              <m:r>
                <w:rPr>
                  <w:rFonts w:ascii="Cambria Math" w:hAnsi="Cambria Math"/>
                  <w:sz w:val="24"/>
                  <w:lang w:val="en-GB"/>
                </w:rPr>
                <m:t>0.060</m:t>
              </m:r>
              <m:d>
                <m:dPr>
                  <m:ctrlPr>
                    <w:rPr>
                      <w:rFonts w:ascii="Cambria Math" w:hAnsi="Cambria Math"/>
                      <w:i/>
                      <w:sz w:val="24"/>
                      <w:lang w:val="en-GB"/>
                    </w:rPr>
                  </m:ctrlPr>
                </m:dPr>
                <m:e>
                  <m:r>
                    <w:rPr>
                      <w:rFonts w:ascii="Cambria Math" w:hAnsi="Cambria Math"/>
                      <w:sz w:val="24"/>
                      <w:lang w:val="en-GB"/>
                    </w:rPr>
                    <m:t>±0.008</m:t>
                  </m:r>
                </m:e>
              </m:d>
              <m:r>
                <w:rPr>
                  <w:rFonts w:ascii="Cambria Math" w:hAnsi="Cambria Math"/>
                  <w:sz w:val="24"/>
                  <w:lang w:val="en-GB"/>
                </w:rPr>
                <m:t>xT+0.033</m:t>
              </m:r>
              <m:d>
                <m:dPr>
                  <m:ctrlPr>
                    <w:rPr>
                      <w:rFonts w:ascii="Cambria Math" w:hAnsi="Cambria Math"/>
                      <w:i/>
                      <w:sz w:val="24"/>
                      <w:lang w:val="en-GB"/>
                    </w:rPr>
                  </m:ctrlPr>
                </m:dPr>
                <m:e>
                  <m:r>
                    <w:rPr>
                      <w:rFonts w:ascii="Cambria Math" w:hAnsi="Cambria Math"/>
                      <w:sz w:val="24"/>
                      <w:lang w:val="en-GB"/>
                    </w:rPr>
                    <m:t>±0.022</m:t>
                  </m:r>
                </m:e>
              </m:d>
              <m:r>
                <w:rPr>
                  <w:rFonts w:ascii="Cambria Math" w:hAnsi="Cambria Math"/>
                  <w:sz w:val="24"/>
                  <w:lang w:val="en-GB"/>
                </w:rPr>
                <m:t>xS-0.83</m:t>
              </m:r>
              <m:d>
                <m:dPr>
                  <m:ctrlPr>
                    <w:rPr>
                      <w:rFonts w:ascii="Cambria Math" w:hAnsi="Cambria Math"/>
                      <w:i/>
                      <w:sz w:val="24"/>
                      <w:lang w:val="en-GB"/>
                    </w:rPr>
                  </m:ctrlPr>
                </m:dPr>
                <m:e>
                  <m:r>
                    <w:rPr>
                      <w:rFonts w:ascii="Cambria Math" w:hAnsi="Cambria Math"/>
                      <w:sz w:val="24"/>
                      <w:lang w:val="en-GB"/>
                    </w:rPr>
                    <m:t>±0.73</m:t>
                  </m:r>
                </m:e>
              </m:d>
              <m:r>
                <w:rPr>
                  <w:rFonts w:ascii="Cambria Math" w:hAnsi="Cambria Math"/>
                  <w:sz w:val="24"/>
                  <w:lang w:val="en-GB"/>
                </w:rPr>
                <m:t>x</m:t>
              </m:r>
              <m:d>
                <m:dPr>
                  <m:ctrlPr>
                    <w:rPr>
                      <w:rFonts w:ascii="Cambria Math" w:hAnsi="Cambria Math"/>
                      <w:i/>
                      <w:sz w:val="24"/>
                      <w:lang w:val="en-GB"/>
                    </w:rPr>
                  </m:ctrlPr>
                </m:dPr>
                <m:e>
                  <m:r>
                    <w:rPr>
                      <w:rFonts w:ascii="Cambria Math" w:hAnsi="Cambria Math"/>
                      <w:sz w:val="24"/>
                      <w:lang w:val="en-GB"/>
                    </w:rPr>
                    <m:t>pH-8</m:t>
                  </m:r>
                </m:e>
              </m:d>
              <m:r>
                <w:rPr>
                  <w:rFonts w:ascii="Cambria Math" w:hAnsi="Cambria Math"/>
                  <w:sz w:val="24"/>
                  <w:lang w:val="en-GB"/>
                </w:rPr>
                <m:t>-1.07(±0.80)</m:t>
              </m:r>
            </m:sup>
          </m:sSup>
        </m:oMath>
      </m:oMathPara>
    </w:p>
    <w:p w14:paraId="00596276" w14:textId="77777777" w:rsidR="000379B1" w:rsidRDefault="000379B1" w:rsidP="000379B1">
      <w:pPr>
        <w:spacing w:line="360" w:lineRule="auto"/>
        <w:rPr>
          <w:sz w:val="24"/>
          <w:lang w:val="en-GB"/>
        </w:rPr>
      </w:pPr>
      <w:r>
        <w:rPr>
          <w:sz w:val="24"/>
          <w:lang w:val="en-GB"/>
        </w:rPr>
        <w:t>where T is sea surface temperature, S is salinity, and pH is the negative decadic logarithm of H</w:t>
      </w:r>
      <w:r w:rsidRPr="001537FC">
        <w:rPr>
          <w:sz w:val="24"/>
          <w:vertAlign w:val="superscript"/>
          <w:lang w:val="en-GB"/>
        </w:rPr>
        <w:t>+</w:t>
      </w:r>
      <w:r>
        <w:rPr>
          <w:sz w:val="24"/>
          <w:lang w:val="en-GB"/>
        </w:rPr>
        <w:t xml:space="preserve"> ions. SST uncertainties were processed using Monte Carlo propagation analysis.</w:t>
      </w:r>
    </w:p>
    <w:p w14:paraId="0022FAB3" w14:textId="77777777" w:rsidR="000379B1" w:rsidRDefault="000379B1" w:rsidP="000379B1">
      <w:pPr>
        <w:spacing w:line="360" w:lineRule="auto"/>
        <w:rPr>
          <w:sz w:val="24"/>
          <w:lang w:val="en-GB"/>
        </w:rPr>
      </w:pPr>
      <w:r>
        <w:rPr>
          <w:sz w:val="24"/>
          <w:lang w:val="en-GB"/>
        </w:rPr>
        <w:lastRenderedPageBreak/>
        <w:t xml:space="preserve">Ice volume-corrected seawater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sz w:val="24"/>
          <w:lang w:val="en-GB"/>
        </w:rPr>
        <w:t xml:space="preserve">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-ivc</w:t>
      </w:r>
      <w:r>
        <w:rPr>
          <w:rFonts w:cstheme="minorHAnsi"/>
          <w:sz w:val="24"/>
          <w:szCs w:val="24"/>
          <w:lang w:val="en-GB"/>
        </w:rPr>
        <w:t>)</w:t>
      </w:r>
      <w:r>
        <w:rPr>
          <w:rFonts w:cstheme="minorHAnsi"/>
          <w:sz w:val="24"/>
          <w:szCs w:val="24"/>
          <w:vertAlign w:val="subscript"/>
          <w:lang w:val="en-GB"/>
        </w:rPr>
        <w:t xml:space="preserve"> </w:t>
      </w:r>
      <w:r>
        <w:rPr>
          <w:sz w:val="24"/>
          <w:lang w:val="en-GB"/>
        </w:rPr>
        <w:t xml:space="preserve">has been previously used as a proxy for changes in relative seawater salinity in the surface Indian Ocean (e.g. Kiefer et al., 2006). We therefore correct our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 xml:space="preserve">carbonate </w:t>
      </w:r>
      <w:r>
        <w:rPr>
          <w:sz w:val="24"/>
          <w:lang w:val="en-GB"/>
        </w:rPr>
        <w:t xml:space="preserve">according to </w:t>
      </w:r>
    </w:p>
    <w:p w14:paraId="58F8507C" w14:textId="77777777" w:rsidR="000379B1" w:rsidRDefault="000379B1" w:rsidP="000379B1">
      <w:pPr>
        <w:spacing w:line="360" w:lineRule="auto"/>
        <w:rPr>
          <w:sz w:val="24"/>
          <w:lang w:val="en-GB"/>
        </w:rPr>
      </w:pP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-ivc</w:t>
      </w:r>
      <w:r>
        <w:rPr>
          <w:sz w:val="24"/>
          <w:lang w:val="en-GB"/>
        </w:rPr>
        <w:t xml:space="preserve"> =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carbonate</w:t>
      </w:r>
      <w:r>
        <w:rPr>
          <w:sz w:val="24"/>
          <w:lang w:val="en-GB"/>
        </w:rPr>
        <w:t xml:space="preserve"> –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temperature</w:t>
      </w:r>
      <w:r>
        <w:rPr>
          <w:sz w:val="24"/>
          <w:lang w:val="en-GB"/>
        </w:rPr>
        <w:t xml:space="preserve"> –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ice volume</w:t>
      </w:r>
    </w:p>
    <w:p w14:paraId="49349ABF" w14:textId="52DCDCC1" w:rsidR="000379B1" w:rsidRPr="005B346D" w:rsidRDefault="000379B1" w:rsidP="000379B1">
      <w:pPr>
        <w:spacing w:line="360" w:lineRule="auto"/>
        <w:rPr>
          <w:sz w:val="24"/>
          <w:szCs w:val="24"/>
          <w:lang w:val="en-GB"/>
        </w:rPr>
      </w:pPr>
      <w:r>
        <w:rPr>
          <w:sz w:val="24"/>
          <w:lang w:val="en-GB"/>
        </w:rPr>
        <w:t xml:space="preserve">to reflect local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 xml:space="preserve">sw </w:t>
      </w:r>
      <w:r>
        <w:rPr>
          <w:sz w:val="24"/>
          <w:lang w:val="en-GB"/>
        </w:rPr>
        <w:t xml:space="preserve">and interpret the results as changes in relative salinity.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temperature</w:t>
      </w:r>
      <w:r>
        <w:rPr>
          <w:sz w:val="24"/>
          <w:lang w:val="en-GB"/>
        </w:rPr>
        <w:t xml:space="preserve"> was calculated from</w:t>
      </w:r>
      <w:r w:rsidR="004E3AA3">
        <w:rPr>
          <w:sz w:val="24"/>
          <w:lang w:val="en-GB"/>
        </w:rPr>
        <w:t xml:space="preserve"> Mg/Ca-based temperatures and</w:t>
      </w:r>
      <w:r>
        <w:rPr>
          <w:sz w:val="24"/>
          <w:lang w:val="en-GB"/>
        </w:rPr>
        <w:t xml:space="preserve">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 xml:space="preserve">G. </w:t>
      </w:r>
      <w:proofErr w:type="spellStart"/>
      <w:r w:rsidRPr="00917544">
        <w:rPr>
          <w:rFonts w:cstheme="minorHAnsi"/>
          <w:i/>
          <w:sz w:val="24"/>
          <w:szCs w:val="24"/>
          <w:vertAlign w:val="subscript"/>
          <w:lang w:val="en-GB"/>
        </w:rPr>
        <w:t>ruber</w:t>
      </w:r>
      <w:proofErr w:type="spellEnd"/>
      <w:r w:rsidRPr="00917544">
        <w:rPr>
          <w:i/>
          <w:sz w:val="24"/>
          <w:lang w:val="en-GB"/>
        </w:rPr>
        <w:t xml:space="preserve"> </w:t>
      </w:r>
      <w:r>
        <w:rPr>
          <w:sz w:val="24"/>
          <w:lang w:val="en-GB"/>
        </w:rPr>
        <w:t>using the transfer function of Bouvier-</w:t>
      </w:r>
      <w:proofErr w:type="spellStart"/>
      <w:r>
        <w:rPr>
          <w:sz w:val="24"/>
          <w:lang w:val="en-GB"/>
        </w:rPr>
        <w:t>Soumagnac</w:t>
      </w:r>
      <w:proofErr w:type="spellEnd"/>
      <w:r>
        <w:rPr>
          <w:sz w:val="24"/>
          <w:lang w:val="en-GB"/>
        </w:rPr>
        <w:t xml:space="preserve"> &amp; </w:t>
      </w:r>
      <w:proofErr w:type="spellStart"/>
      <w:r>
        <w:rPr>
          <w:sz w:val="24"/>
          <w:lang w:val="en-GB"/>
        </w:rPr>
        <w:t>Duplessy</w:t>
      </w:r>
      <w:proofErr w:type="spellEnd"/>
      <w:r>
        <w:rPr>
          <w:sz w:val="24"/>
          <w:lang w:val="en-GB"/>
        </w:rPr>
        <w:t xml:space="preserve"> (1985) for Indian Ocean planktonic foraminifera with a correction factor of +0.20 (Pearson, 2012). To determine the best correction curve for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 xml:space="preserve">ice volume </w:t>
      </w:r>
      <w:r>
        <w:rPr>
          <w:sz w:val="24"/>
          <w:lang w:val="en-GB"/>
        </w:rPr>
        <w:t xml:space="preserve">across the last 1.2Ma, we tested </w:t>
      </w:r>
      <w:r>
        <w:rPr>
          <w:sz w:val="24"/>
          <w:szCs w:val="24"/>
          <w:lang w:val="en-GB"/>
        </w:rPr>
        <w:t xml:space="preserve">the sensitivity of 4 different sea level reconstructions on the resulting </w:t>
      </w:r>
      <w:r>
        <w:rPr>
          <w:rFonts w:ascii="Times New Roman" w:hAnsi="Times New Roman" w:cs="Times New Roman"/>
          <w:sz w:val="24"/>
          <w:szCs w:val="24"/>
          <w:lang w:val="en-GB"/>
        </w:rPr>
        <w:t>δ</w:t>
      </w:r>
      <w:r w:rsidRPr="00C77156">
        <w:rPr>
          <w:sz w:val="24"/>
          <w:szCs w:val="24"/>
          <w:vertAlign w:val="superscript"/>
          <w:lang w:val="en-GB"/>
        </w:rPr>
        <w:t>18</w:t>
      </w:r>
      <w:r w:rsidRPr="003C7BCC">
        <w:rPr>
          <w:sz w:val="24"/>
          <w:szCs w:val="24"/>
          <w:lang w:val="en-GB"/>
        </w:rPr>
        <w:t>O</w:t>
      </w:r>
      <w:r>
        <w:rPr>
          <w:sz w:val="24"/>
          <w:szCs w:val="24"/>
          <w:vertAlign w:val="subscript"/>
          <w:lang w:val="en-GB"/>
        </w:rPr>
        <w:t>sw-ivc</w:t>
      </w:r>
      <w:r>
        <w:rPr>
          <w:sz w:val="24"/>
          <w:szCs w:val="24"/>
          <w:lang w:val="en-GB"/>
        </w:rPr>
        <w:t xml:space="preserve"> (Figure S6).</w:t>
      </w:r>
      <w:r w:rsidR="004E3AA3">
        <w:rPr>
          <w:sz w:val="24"/>
          <w:szCs w:val="24"/>
          <w:lang w:val="en-GB"/>
        </w:rPr>
        <w:t xml:space="preserve"> Reconstructions of</w:t>
      </w:r>
      <w:r>
        <w:rPr>
          <w:sz w:val="24"/>
          <w:szCs w:val="24"/>
          <w:lang w:val="en-GB"/>
        </w:rPr>
        <w:t xml:space="preserve">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ice volume</w:t>
      </w:r>
      <w:r>
        <w:rPr>
          <w:sz w:val="24"/>
          <w:lang w:val="en-GB"/>
        </w:rPr>
        <w:t xml:space="preserve"> from de Boer et al. (2014b) </w:t>
      </w:r>
      <w:r w:rsidR="004E3AA3">
        <w:rPr>
          <w:sz w:val="24"/>
          <w:lang w:val="en-GB"/>
        </w:rPr>
        <w:t xml:space="preserve">based on the LR04 stack </w:t>
      </w:r>
      <w:r>
        <w:rPr>
          <w:sz w:val="24"/>
          <w:lang w:val="en-GB"/>
        </w:rPr>
        <w:t xml:space="preserve">gave </w:t>
      </w:r>
      <w:r w:rsidR="004E3AA3">
        <w:rPr>
          <w:sz w:val="24"/>
          <w:lang w:val="en-GB"/>
        </w:rPr>
        <w:t xml:space="preserve">representative </w:t>
      </w:r>
      <w:r>
        <w:rPr>
          <w:sz w:val="24"/>
          <w:lang w:val="en-GB"/>
        </w:rPr>
        <w:t xml:space="preserve">results </w:t>
      </w:r>
      <w:r w:rsidR="004E3AA3">
        <w:rPr>
          <w:sz w:val="24"/>
          <w:lang w:val="en-GB"/>
        </w:rPr>
        <w:t xml:space="preserve">over the last ~500 </w:t>
      </w:r>
      <w:proofErr w:type="spellStart"/>
      <w:r w:rsidR="004E3AA3">
        <w:rPr>
          <w:sz w:val="24"/>
          <w:lang w:val="en-GB"/>
        </w:rPr>
        <w:t>kyr</w:t>
      </w:r>
      <w:proofErr w:type="spellEnd"/>
      <w:r w:rsidR="004E3AA3">
        <w:rPr>
          <w:sz w:val="24"/>
          <w:lang w:val="en-GB"/>
        </w:rPr>
        <w:t xml:space="preserve"> where different sea level reconstructions can be readily compared and also extends for the ~1.2 </w:t>
      </w:r>
      <w:proofErr w:type="spellStart"/>
      <w:r w:rsidR="004E3AA3">
        <w:rPr>
          <w:sz w:val="24"/>
          <w:lang w:val="en-GB"/>
        </w:rPr>
        <w:t>Myr</w:t>
      </w:r>
      <w:proofErr w:type="spellEnd"/>
      <w:r w:rsidR="004E3AA3">
        <w:rPr>
          <w:sz w:val="24"/>
          <w:lang w:val="en-GB"/>
        </w:rPr>
        <w:t xml:space="preserve"> duration of our record, </w:t>
      </w:r>
      <w:r>
        <w:rPr>
          <w:sz w:val="24"/>
          <w:lang w:val="en-GB"/>
        </w:rPr>
        <w:t>and was therefore used</w:t>
      </w:r>
      <w:r>
        <w:rPr>
          <w:rFonts w:cstheme="minorHAnsi"/>
          <w:sz w:val="24"/>
          <w:szCs w:val="24"/>
          <w:vertAlign w:val="subscript"/>
          <w:lang w:val="en-GB"/>
        </w:rPr>
        <w:t xml:space="preserve"> </w:t>
      </w:r>
      <w:r>
        <w:rPr>
          <w:sz w:val="24"/>
          <w:lang w:val="en-GB"/>
        </w:rPr>
        <w:t xml:space="preserve">to </w:t>
      </w:r>
      <w:r w:rsidR="009151BA">
        <w:rPr>
          <w:sz w:val="24"/>
          <w:lang w:val="en-GB"/>
        </w:rPr>
        <w:t xml:space="preserve">determine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-ivc</w:t>
      </w:r>
      <w:r>
        <w:rPr>
          <w:sz w:val="24"/>
          <w:lang w:val="en-GB"/>
        </w:rPr>
        <w:t>.</w:t>
      </w:r>
    </w:p>
    <w:p w14:paraId="02217352" w14:textId="366E83F0" w:rsidR="000379B1" w:rsidRDefault="000379B1" w:rsidP="000379B1">
      <w:pPr>
        <w:spacing w:line="360" w:lineRule="auto"/>
        <w:rPr>
          <w:sz w:val="24"/>
          <w:lang w:val="en-GB"/>
        </w:rPr>
      </w:pPr>
      <w:r>
        <w:rPr>
          <w:sz w:val="24"/>
          <w:lang w:val="en-GB"/>
        </w:rPr>
        <w:t xml:space="preserve">The resulting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 xml:space="preserve">-ivc </w:t>
      </w:r>
      <w:r>
        <w:rPr>
          <w:sz w:val="24"/>
          <w:lang w:val="en-GB"/>
        </w:rPr>
        <w:t xml:space="preserve">was detrended per glacial cycle using the respective glacial cycle’s mid-termination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-ivc</w:t>
      </w:r>
      <w:r>
        <w:rPr>
          <w:sz w:val="24"/>
          <w:lang w:val="en-GB"/>
        </w:rPr>
        <w:t xml:space="preserve">. We identified the mid-point of each termination as the middle between the </w:t>
      </w:r>
      <w:r w:rsidRPr="000B71B9">
        <w:rPr>
          <w:rFonts w:cstheme="minorHAnsi"/>
          <w:sz w:val="24"/>
          <w:lang w:val="en-GB"/>
        </w:rPr>
        <w:t>maximum and minimum δ</w:t>
      </w:r>
      <w:r w:rsidRPr="000B71B9">
        <w:rPr>
          <w:rFonts w:cstheme="minorHAnsi"/>
          <w:sz w:val="24"/>
          <w:vertAlign w:val="superscript"/>
          <w:lang w:val="en-GB"/>
        </w:rPr>
        <w:t>18</w:t>
      </w:r>
      <w:r w:rsidRPr="000B71B9">
        <w:rPr>
          <w:rFonts w:cstheme="minorHAnsi"/>
          <w:sz w:val="24"/>
          <w:lang w:val="en-GB"/>
        </w:rPr>
        <w:t>O</w:t>
      </w:r>
      <w:bookmarkStart w:id="0" w:name="_GoBack"/>
      <w:r w:rsidRPr="000B71B9">
        <w:rPr>
          <w:rFonts w:cstheme="minorHAnsi"/>
          <w:sz w:val="24"/>
          <w:vertAlign w:val="subscript"/>
          <w:lang w:val="en-GB"/>
        </w:rPr>
        <w:t>benthic</w:t>
      </w:r>
      <w:bookmarkEnd w:id="0"/>
      <w:r w:rsidRPr="000B71B9">
        <w:rPr>
          <w:rFonts w:cstheme="minorHAnsi"/>
          <w:sz w:val="24"/>
          <w:lang w:val="en-GB"/>
        </w:rPr>
        <w:t xml:space="preserve"> value</w:t>
      </w:r>
      <w:r w:rsidR="000B71B9" w:rsidRPr="000B71B9">
        <w:rPr>
          <w:rFonts w:cstheme="minorHAnsi"/>
          <w:sz w:val="24"/>
          <w:lang w:val="en-GB"/>
        </w:rPr>
        <w:t xml:space="preserve"> using the </w:t>
      </w:r>
      <w:r w:rsidR="000B71B9" w:rsidRPr="000B71B9">
        <w:rPr>
          <w:rFonts w:cstheme="minorHAnsi"/>
          <w:sz w:val="24"/>
          <w:lang w:val="en-GB"/>
        </w:rPr>
        <w:t>δ</w:t>
      </w:r>
      <w:r w:rsidR="000B71B9" w:rsidRPr="000B71B9">
        <w:rPr>
          <w:rFonts w:cstheme="minorHAnsi"/>
          <w:sz w:val="24"/>
          <w:vertAlign w:val="superscript"/>
          <w:lang w:val="en-GB"/>
        </w:rPr>
        <w:t>18</w:t>
      </w:r>
      <w:r w:rsidR="000B71B9" w:rsidRPr="000B71B9">
        <w:rPr>
          <w:rFonts w:cstheme="minorHAnsi"/>
          <w:sz w:val="24"/>
          <w:lang w:val="en-GB"/>
        </w:rPr>
        <w:t>O</w:t>
      </w:r>
      <w:r w:rsidR="000B71B9" w:rsidRPr="000B71B9">
        <w:rPr>
          <w:rFonts w:cstheme="minorHAnsi"/>
          <w:sz w:val="24"/>
          <w:vertAlign w:val="subscript"/>
          <w:lang w:val="en-GB"/>
        </w:rPr>
        <w:t>benthic</w:t>
      </w:r>
      <w:r w:rsidR="000B71B9" w:rsidRPr="000B71B9">
        <w:rPr>
          <w:rFonts w:cstheme="minorHAnsi"/>
          <w:sz w:val="24"/>
          <w:vertAlign w:val="subscript"/>
          <w:lang w:val="en-GB"/>
        </w:rPr>
        <w:t xml:space="preserve"> </w:t>
      </w:r>
      <w:r w:rsidR="000B71B9" w:rsidRPr="000B71B9">
        <w:rPr>
          <w:rFonts w:cstheme="minorHAnsi"/>
          <w:sz w:val="24"/>
          <w:lang w:val="en-GB"/>
        </w:rPr>
        <w:t>data from van der Lubbe et al. (2021)</w:t>
      </w:r>
      <w:r w:rsidRPr="000B71B9">
        <w:rPr>
          <w:rFonts w:cstheme="minorHAnsi"/>
          <w:sz w:val="24"/>
          <w:lang w:val="en-GB"/>
        </w:rPr>
        <w:t>. Then</w:t>
      </w:r>
      <w:r>
        <w:rPr>
          <w:sz w:val="24"/>
          <w:lang w:val="en-GB"/>
        </w:rPr>
        <w:t xml:space="preserve">, we defined the half-point of each glaciation as the middle between minimum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lang w:val="en-GB"/>
        </w:rPr>
        <w:t xml:space="preserve"> and the following maximum. We finally collected the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 xml:space="preserve">-ivc </w:t>
      </w:r>
      <w:r>
        <w:rPr>
          <w:sz w:val="24"/>
          <w:lang w:val="en-GB"/>
        </w:rPr>
        <w:t xml:space="preserve">value during each termination mid-point and subtracted it from all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 xml:space="preserve">-ivc </w:t>
      </w:r>
      <w:r>
        <w:rPr>
          <w:sz w:val="24"/>
          <w:lang w:val="en-GB"/>
        </w:rPr>
        <w:t>values within that glacial cycle. A glacial cycle was defined from one glacial half-point to the next, with the respective termination mid-point in the centre.</w:t>
      </w:r>
    </w:p>
    <w:p w14:paraId="5851D3C6" w14:textId="77777777" w:rsidR="000379B1" w:rsidRPr="00990BD8" w:rsidRDefault="000379B1" w:rsidP="000379B1">
      <w:pPr>
        <w:spacing w:line="360" w:lineRule="auto"/>
        <w:rPr>
          <w:i/>
          <w:sz w:val="24"/>
          <w:lang w:val="en-GB"/>
        </w:rPr>
      </w:pPr>
      <w:r w:rsidRPr="00B07946">
        <w:rPr>
          <w:sz w:val="24"/>
          <w:lang w:val="en-GB"/>
        </w:rPr>
        <w:t xml:space="preserve">The lead-time of </w:t>
      </w:r>
      <w:r w:rsidRPr="00B07946">
        <w:rPr>
          <w:rFonts w:ascii="Times New Roman" w:hAnsi="Times New Roman" w:cs="Times New Roman"/>
          <w:sz w:val="24"/>
          <w:szCs w:val="24"/>
          <w:lang w:val="en-GB"/>
        </w:rPr>
        <w:t>δ</w:t>
      </w:r>
      <w:r w:rsidRPr="00B07946">
        <w:rPr>
          <w:rFonts w:cstheme="minorHAnsi"/>
          <w:sz w:val="24"/>
          <w:szCs w:val="24"/>
          <w:vertAlign w:val="superscript"/>
          <w:lang w:val="en-GB"/>
        </w:rPr>
        <w:t>18</w:t>
      </w:r>
      <w:r w:rsidRPr="00B07946">
        <w:rPr>
          <w:rFonts w:cstheme="minorHAnsi"/>
          <w:sz w:val="24"/>
          <w:szCs w:val="24"/>
          <w:lang w:val="en-GB"/>
        </w:rPr>
        <w:t>O</w:t>
      </w:r>
      <w:r w:rsidRPr="00B07946">
        <w:rPr>
          <w:rFonts w:cstheme="minorHAnsi"/>
          <w:sz w:val="24"/>
          <w:szCs w:val="24"/>
          <w:vertAlign w:val="subscript"/>
          <w:lang w:val="en-GB"/>
        </w:rPr>
        <w:t>sw</w:t>
      </w:r>
      <w:r>
        <w:rPr>
          <w:rFonts w:cstheme="minorHAnsi"/>
          <w:sz w:val="24"/>
          <w:szCs w:val="24"/>
          <w:vertAlign w:val="subscript"/>
          <w:lang w:val="en-GB"/>
        </w:rPr>
        <w:t>-ivc</w:t>
      </w:r>
      <w:r w:rsidRPr="00B07946">
        <w:rPr>
          <w:rFonts w:cstheme="minorHAnsi"/>
          <w:sz w:val="24"/>
          <w:szCs w:val="24"/>
          <w:vertAlign w:val="subscript"/>
          <w:lang w:val="en-GB"/>
        </w:rPr>
        <w:t xml:space="preserve"> </w:t>
      </w:r>
      <w:r w:rsidRPr="00B07946">
        <w:rPr>
          <w:sz w:val="24"/>
          <w:lang w:val="en-GB"/>
        </w:rPr>
        <w:t xml:space="preserve">to </w:t>
      </w:r>
      <w:r w:rsidRPr="00B07946">
        <w:rPr>
          <w:rFonts w:ascii="Times New Roman" w:hAnsi="Times New Roman" w:cs="Times New Roman"/>
          <w:sz w:val="24"/>
          <w:szCs w:val="24"/>
          <w:lang w:val="en-GB"/>
        </w:rPr>
        <w:t>δ</w:t>
      </w:r>
      <w:r w:rsidRPr="00B07946">
        <w:rPr>
          <w:rFonts w:cstheme="minorHAnsi"/>
          <w:sz w:val="24"/>
          <w:szCs w:val="24"/>
          <w:vertAlign w:val="superscript"/>
          <w:lang w:val="en-GB"/>
        </w:rPr>
        <w:t>18</w:t>
      </w:r>
      <w:r w:rsidRPr="00B07946">
        <w:rPr>
          <w:rFonts w:cstheme="minorHAnsi"/>
          <w:sz w:val="24"/>
          <w:szCs w:val="24"/>
          <w:lang w:val="en-GB"/>
        </w:rPr>
        <w:t>O</w:t>
      </w:r>
      <w:r w:rsidRPr="00B07946">
        <w:rPr>
          <w:rFonts w:cstheme="minorHAnsi"/>
          <w:sz w:val="24"/>
          <w:szCs w:val="24"/>
          <w:vertAlign w:val="subscript"/>
          <w:lang w:val="en-GB"/>
        </w:rPr>
        <w:t xml:space="preserve">benthic </w:t>
      </w:r>
      <w:r w:rsidRPr="00B07946">
        <w:rPr>
          <w:sz w:val="24"/>
          <w:lang w:val="en-GB"/>
        </w:rPr>
        <w:t xml:space="preserve">was calculated by subtracting the </w:t>
      </w:r>
      <w:r>
        <w:rPr>
          <w:sz w:val="24"/>
          <w:lang w:val="en-GB"/>
        </w:rPr>
        <w:t>“</w:t>
      </w:r>
      <w:r w:rsidRPr="00B07946">
        <w:rPr>
          <w:sz w:val="24"/>
          <w:lang w:val="en-GB"/>
        </w:rPr>
        <w:t>termination</w:t>
      </w:r>
      <w:r>
        <w:rPr>
          <w:sz w:val="24"/>
          <w:lang w:val="en-GB"/>
        </w:rPr>
        <w:t>”</w:t>
      </w:r>
      <w:r w:rsidRPr="00B07946">
        <w:rPr>
          <w:sz w:val="24"/>
          <w:lang w:val="en-GB"/>
        </w:rPr>
        <w:t xml:space="preserve"> midpoint-time of </w:t>
      </w:r>
      <w:r w:rsidRPr="00B07946">
        <w:rPr>
          <w:rFonts w:ascii="Times New Roman" w:hAnsi="Times New Roman" w:cs="Times New Roman"/>
          <w:sz w:val="24"/>
          <w:szCs w:val="24"/>
          <w:lang w:val="en-GB"/>
        </w:rPr>
        <w:t>δ</w:t>
      </w:r>
      <w:r w:rsidRPr="00B07946">
        <w:rPr>
          <w:rFonts w:cstheme="minorHAnsi"/>
          <w:sz w:val="24"/>
          <w:szCs w:val="24"/>
          <w:vertAlign w:val="superscript"/>
          <w:lang w:val="en-GB"/>
        </w:rPr>
        <w:t>18</w:t>
      </w:r>
      <w:r w:rsidRPr="00B07946">
        <w:rPr>
          <w:rFonts w:cstheme="minorHAnsi"/>
          <w:sz w:val="24"/>
          <w:szCs w:val="24"/>
          <w:lang w:val="en-GB"/>
        </w:rPr>
        <w:t>O</w:t>
      </w:r>
      <w:r w:rsidRPr="00B07946">
        <w:rPr>
          <w:rFonts w:cstheme="minorHAnsi"/>
          <w:sz w:val="24"/>
          <w:szCs w:val="24"/>
          <w:vertAlign w:val="subscript"/>
          <w:lang w:val="en-GB"/>
        </w:rPr>
        <w:t>sw</w:t>
      </w:r>
      <w:r>
        <w:rPr>
          <w:rFonts w:cstheme="minorHAnsi"/>
          <w:sz w:val="24"/>
          <w:szCs w:val="24"/>
          <w:vertAlign w:val="subscript"/>
          <w:lang w:val="en-GB"/>
        </w:rPr>
        <w:t>-ivc</w:t>
      </w:r>
      <w:r w:rsidRPr="00B07946">
        <w:rPr>
          <w:sz w:val="24"/>
          <w:lang w:val="en-GB"/>
        </w:rPr>
        <w:t xml:space="preserve"> from the termination midpoint-time of </w:t>
      </w:r>
      <w:r w:rsidRPr="00B07946">
        <w:rPr>
          <w:rFonts w:ascii="Times New Roman" w:hAnsi="Times New Roman" w:cs="Times New Roman"/>
          <w:sz w:val="24"/>
          <w:szCs w:val="24"/>
          <w:lang w:val="en-GB"/>
        </w:rPr>
        <w:t>δ</w:t>
      </w:r>
      <w:r w:rsidRPr="00B07946">
        <w:rPr>
          <w:rFonts w:cstheme="minorHAnsi"/>
          <w:sz w:val="24"/>
          <w:szCs w:val="24"/>
          <w:vertAlign w:val="superscript"/>
          <w:lang w:val="en-GB"/>
        </w:rPr>
        <w:t>18</w:t>
      </w:r>
      <w:r w:rsidRPr="00B07946">
        <w:rPr>
          <w:rFonts w:cstheme="minorHAnsi"/>
          <w:sz w:val="24"/>
          <w:szCs w:val="24"/>
          <w:lang w:val="en-GB"/>
        </w:rPr>
        <w:t>O</w:t>
      </w:r>
      <w:r w:rsidRPr="00B07946">
        <w:rPr>
          <w:rFonts w:cstheme="minorHAnsi"/>
          <w:sz w:val="24"/>
          <w:szCs w:val="24"/>
          <w:vertAlign w:val="subscript"/>
          <w:lang w:val="en-GB"/>
        </w:rPr>
        <w:t>benthic</w:t>
      </w:r>
      <w:r w:rsidRPr="00B07946">
        <w:rPr>
          <w:sz w:val="24"/>
          <w:lang w:val="en-GB"/>
        </w:rPr>
        <w:t>.</w:t>
      </w:r>
      <w:r>
        <w:rPr>
          <w:sz w:val="24"/>
          <w:lang w:val="en-GB"/>
        </w:rPr>
        <w:t xml:space="preserve"> Using this method, we receive an average lead time of </w:t>
      </w:r>
      <w:r>
        <w:rPr>
          <w:rFonts w:ascii="Times New Roman" w:hAnsi="Times New Roman" w:cs="Times New Roman"/>
          <w:sz w:val="24"/>
          <w:lang w:val="en-GB"/>
        </w:rPr>
        <w:t>δ</w:t>
      </w:r>
      <w:r w:rsidRPr="00563A5D">
        <w:rPr>
          <w:sz w:val="24"/>
          <w:vertAlign w:val="superscript"/>
          <w:lang w:val="en-GB"/>
        </w:rPr>
        <w:t>18</w:t>
      </w:r>
      <w:r>
        <w:rPr>
          <w:sz w:val="24"/>
          <w:lang w:val="en-GB"/>
        </w:rPr>
        <w:t>O</w:t>
      </w:r>
      <w:r>
        <w:rPr>
          <w:sz w:val="24"/>
          <w:vertAlign w:val="subscript"/>
          <w:lang w:val="en-GB"/>
        </w:rPr>
        <w:t xml:space="preserve">sw-ivc </w:t>
      </w:r>
      <w:r>
        <w:rPr>
          <w:sz w:val="24"/>
          <w:lang w:val="en-GB"/>
        </w:rPr>
        <w:t xml:space="preserve">to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vertAlign w:val="subscript"/>
          <w:lang w:val="en-GB"/>
        </w:rPr>
        <w:t xml:space="preserve"> </w:t>
      </w:r>
      <w:r>
        <w:rPr>
          <w:sz w:val="24"/>
          <w:lang w:val="en-GB"/>
        </w:rPr>
        <w:t xml:space="preserve">of 15kyr. For comparison, we also performed a cross spectral analysis between </w:t>
      </w:r>
      <w:r>
        <w:rPr>
          <w:rFonts w:ascii="Times New Roman" w:hAnsi="Times New Roman" w:cs="Times New Roman"/>
          <w:sz w:val="24"/>
          <w:lang w:val="en-GB"/>
        </w:rPr>
        <w:t>δ</w:t>
      </w:r>
      <w:r w:rsidRPr="00563A5D">
        <w:rPr>
          <w:sz w:val="24"/>
          <w:vertAlign w:val="superscript"/>
          <w:lang w:val="en-GB"/>
        </w:rPr>
        <w:t>18</w:t>
      </w:r>
      <w:r>
        <w:rPr>
          <w:sz w:val="24"/>
          <w:lang w:val="en-GB"/>
        </w:rPr>
        <w:t>O</w:t>
      </w:r>
      <w:r>
        <w:rPr>
          <w:sz w:val="24"/>
          <w:vertAlign w:val="subscript"/>
          <w:lang w:val="en-GB"/>
        </w:rPr>
        <w:t xml:space="preserve">sw-ivc </w:t>
      </w:r>
      <w:r>
        <w:rPr>
          <w:sz w:val="24"/>
          <w:lang w:val="en-GB"/>
        </w:rPr>
        <w:t xml:space="preserve">and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lang w:val="en-GB"/>
        </w:rPr>
        <w:t xml:space="preserve">. Both records were first clipped to 1350kyr, then subsampled to 1kyr. The resulting cross spectral analysis calculated an average lead time of 18kyr in the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 xml:space="preserve">-ivc </w:t>
      </w:r>
      <w:r>
        <w:rPr>
          <w:sz w:val="24"/>
          <w:lang w:val="en-GB"/>
        </w:rPr>
        <w:t xml:space="preserve">to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 xml:space="preserve">benthic </w:t>
      </w:r>
      <w:r>
        <w:rPr>
          <w:sz w:val="24"/>
          <w:lang w:val="en-GB"/>
        </w:rPr>
        <w:t>at the 95% confidence interval.</w:t>
      </w:r>
    </w:p>
    <w:p w14:paraId="56363B9B" w14:textId="77777777" w:rsidR="000379B1" w:rsidRPr="00500535" w:rsidRDefault="000379B1" w:rsidP="000379B1">
      <w:pPr>
        <w:pStyle w:val="a4"/>
        <w:numPr>
          <w:ilvl w:val="0"/>
          <w:numId w:val="2"/>
        </w:numPr>
        <w:spacing w:line="360" w:lineRule="auto"/>
        <w:rPr>
          <w:i/>
          <w:sz w:val="24"/>
          <w:lang w:val="en-GB"/>
        </w:rPr>
      </w:pPr>
      <w:r w:rsidRPr="00500535">
        <w:rPr>
          <w:i/>
          <w:sz w:val="24"/>
          <w:lang w:val="en-GB"/>
        </w:rPr>
        <w:t xml:space="preserve">SST and </w:t>
      </w:r>
      <w:r w:rsidRPr="00500535">
        <w:rPr>
          <w:rFonts w:ascii="Times New Roman" w:hAnsi="Times New Roman" w:cs="Times New Roman"/>
          <w:sz w:val="24"/>
          <w:szCs w:val="24"/>
          <w:lang w:val="en-GB"/>
        </w:rPr>
        <w:t>δ</w:t>
      </w:r>
      <w:r w:rsidRPr="00500535">
        <w:rPr>
          <w:rFonts w:cstheme="minorHAnsi"/>
          <w:sz w:val="24"/>
          <w:szCs w:val="24"/>
          <w:vertAlign w:val="superscript"/>
          <w:lang w:val="en-GB"/>
        </w:rPr>
        <w:t>18</w:t>
      </w:r>
      <w:r w:rsidRPr="00500535">
        <w:rPr>
          <w:rFonts w:cstheme="minorHAnsi"/>
          <w:sz w:val="24"/>
          <w:szCs w:val="24"/>
          <w:lang w:val="en-GB"/>
        </w:rPr>
        <w:t>O</w:t>
      </w:r>
      <w:r w:rsidRPr="00500535">
        <w:rPr>
          <w:rFonts w:cstheme="minorHAnsi"/>
          <w:sz w:val="24"/>
          <w:szCs w:val="24"/>
          <w:vertAlign w:val="subscript"/>
          <w:lang w:val="en-GB"/>
        </w:rPr>
        <w:t>sw</w:t>
      </w:r>
      <w:r w:rsidRPr="00500535">
        <w:rPr>
          <w:i/>
          <w:sz w:val="24"/>
          <w:lang w:val="en-GB"/>
        </w:rPr>
        <w:t xml:space="preserve"> stack formation</w:t>
      </w:r>
    </w:p>
    <w:p w14:paraId="799990A2" w14:textId="53EBB6E8" w:rsidR="000379B1" w:rsidRDefault="000379B1" w:rsidP="000379B1">
      <w:pPr>
        <w:spacing w:line="360" w:lineRule="auto"/>
        <w:rPr>
          <w:sz w:val="24"/>
          <w:lang w:val="en-GB"/>
        </w:rPr>
      </w:pPr>
      <w:r>
        <w:rPr>
          <w:sz w:val="24"/>
          <w:lang w:val="en-GB"/>
        </w:rPr>
        <w:lastRenderedPageBreak/>
        <w:t>The data for the SST</w:t>
      </w:r>
      <w:r w:rsidR="000B71B9">
        <w:rPr>
          <w:sz w:val="24"/>
          <w:lang w:val="en-GB"/>
        </w:rPr>
        <w:t xml:space="preserve">,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-ivc</w:t>
      </w:r>
      <w:r w:rsidR="000B71B9">
        <w:rPr>
          <w:sz w:val="24"/>
          <w:lang w:val="en-GB"/>
        </w:rPr>
        <w:t xml:space="preserve">, and </w:t>
      </w:r>
      <w:r w:rsidR="000B71B9">
        <w:rPr>
          <w:rFonts w:ascii="Times New Roman" w:hAnsi="Times New Roman" w:cs="Times New Roman"/>
          <w:sz w:val="24"/>
          <w:lang w:val="en-GB"/>
        </w:rPr>
        <w:t>δ</w:t>
      </w:r>
      <w:r w:rsidR="000B71B9" w:rsidRPr="00563A5D">
        <w:rPr>
          <w:sz w:val="24"/>
          <w:vertAlign w:val="superscript"/>
          <w:lang w:val="en-GB"/>
        </w:rPr>
        <w:t>18</w:t>
      </w:r>
      <w:r w:rsidR="000B71B9">
        <w:rPr>
          <w:sz w:val="24"/>
          <w:lang w:val="en-GB"/>
        </w:rPr>
        <w:t>O</w:t>
      </w:r>
      <w:r w:rsidR="000B71B9" w:rsidRPr="00563A5D">
        <w:rPr>
          <w:sz w:val="24"/>
          <w:vertAlign w:val="subscript"/>
          <w:lang w:val="en-GB"/>
        </w:rPr>
        <w:t>benthic</w:t>
      </w:r>
      <w:r>
        <w:rPr>
          <w:sz w:val="24"/>
          <w:lang w:val="en-GB"/>
        </w:rPr>
        <w:t xml:space="preserve"> stacks was taken from 8 cores within the Indian Ocean. These include the Agulhas Bank Slice (Martinez-Mendez et al., 2010), MD96-2048 (Caley et al., 2012), U1476</w:t>
      </w:r>
      <w:r w:rsidR="000B71B9">
        <w:rPr>
          <w:sz w:val="24"/>
          <w:lang w:val="en-GB"/>
        </w:rPr>
        <w:t xml:space="preserve"> SST, </w:t>
      </w:r>
      <w:r w:rsidR="000B71B9">
        <w:rPr>
          <w:rFonts w:ascii="Times New Roman" w:hAnsi="Times New Roman" w:cs="Times New Roman"/>
          <w:sz w:val="24"/>
          <w:lang w:val="en-GB"/>
        </w:rPr>
        <w:t>δ</w:t>
      </w:r>
      <w:r w:rsidR="000B71B9" w:rsidRPr="00563A5D">
        <w:rPr>
          <w:sz w:val="24"/>
          <w:vertAlign w:val="superscript"/>
          <w:lang w:val="en-GB"/>
        </w:rPr>
        <w:t>18</w:t>
      </w:r>
      <w:r w:rsidR="000B71B9">
        <w:rPr>
          <w:sz w:val="24"/>
          <w:lang w:val="en-GB"/>
        </w:rPr>
        <w:t>O</w:t>
      </w:r>
      <w:r w:rsidR="000B71B9">
        <w:rPr>
          <w:sz w:val="24"/>
          <w:vertAlign w:val="subscript"/>
          <w:lang w:val="en-GB"/>
        </w:rPr>
        <w:t>sw-ivc</w:t>
      </w:r>
      <w:r>
        <w:rPr>
          <w:sz w:val="24"/>
          <w:lang w:val="en-GB"/>
        </w:rPr>
        <w:t xml:space="preserve"> (this study</w:t>
      </w:r>
      <w:r w:rsidR="000B71B9">
        <w:rPr>
          <w:sz w:val="24"/>
          <w:lang w:val="en-GB"/>
        </w:rPr>
        <w:t xml:space="preserve">) and U1476 </w:t>
      </w:r>
      <w:r w:rsidR="000B71B9">
        <w:rPr>
          <w:rFonts w:ascii="Times New Roman" w:hAnsi="Times New Roman" w:cs="Times New Roman"/>
          <w:sz w:val="24"/>
          <w:lang w:val="en-GB"/>
        </w:rPr>
        <w:t>δ</w:t>
      </w:r>
      <w:r w:rsidR="000B71B9" w:rsidRPr="00563A5D">
        <w:rPr>
          <w:sz w:val="24"/>
          <w:vertAlign w:val="superscript"/>
          <w:lang w:val="en-GB"/>
        </w:rPr>
        <w:t>18</w:t>
      </w:r>
      <w:r w:rsidR="000B71B9">
        <w:rPr>
          <w:sz w:val="24"/>
          <w:lang w:val="en-GB"/>
        </w:rPr>
        <w:t>O</w:t>
      </w:r>
      <w:r w:rsidR="000B71B9" w:rsidRPr="00563A5D">
        <w:rPr>
          <w:sz w:val="24"/>
          <w:vertAlign w:val="subscript"/>
          <w:lang w:val="en-GB"/>
        </w:rPr>
        <w:t>benthic</w:t>
      </w:r>
      <w:r w:rsidR="000B71B9">
        <w:rPr>
          <w:sz w:val="24"/>
          <w:vertAlign w:val="subscript"/>
          <w:lang w:val="en-GB"/>
        </w:rPr>
        <w:t xml:space="preserve"> </w:t>
      </w:r>
      <w:r w:rsidR="000B71B9">
        <w:rPr>
          <w:sz w:val="24"/>
          <w:lang w:val="en-GB"/>
        </w:rPr>
        <w:t>(van der Lubbe et al., 2021)</w:t>
      </w:r>
      <w:r>
        <w:rPr>
          <w:sz w:val="24"/>
          <w:lang w:val="en-GB"/>
        </w:rPr>
        <w:t>, WIND 28K (Kiefer et al., 2006), TY93-929/P (Barker et al., 2003), MD90-0963 (</w:t>
      </w:r>
      <w:proofErr w:type="spellStart"/>
      <w:r>
        <w:rPr>
          <w:sz w:val="24"/>
          <w:lang w:val="en-GB"/>
        </w:rPr>
        <w:t>Rostek</w:t>
      </w:r>
      <w:proofErr w:type="spellEnd"/>
      <w:r>
        <w:rPr>
          <w:sz w:val="24"/>
          <w:lang w:val="en-GB"/>
        </w:rPr>
        <w:t xml:space="preserve"> et al., 1997; </w:t>
      </w:r>
      <w:proofErr w:type="spellStart"/>
      <w:r>
        <w:rPr>
          <w:sz w:val="24"/>
          <w:lang w:val="en-GB"/>
        </w:rPr>
        <w:t>Bassinot</w:t>
      </w:r>
      <w:proofErr w:type="spellEnd"/>
      <w:r>
        <w:rPr>
          <w:sz w:val="24"/>
          <w:lang w:val="en-GB"/>
        </w:rPr>
        <w:t xml:space="preserve"> et al., 1994), GeoB10038-4 (</w:t>
      </w:r>
      <w:proofErr w:type="spellStart"/>
      <w:r>
        <w:rPr>
          <w:sz w:val="24"/>
          <w:lang w:val="en-GB"/>
        </w:rPr>
        <w:t>Mothadi</w:t>
      </w:r>
      <w:proofErr w:type="spellEnd"/>
      <w:r>
        <w:rPr>
          <w:sz w:val="24"/>
          <w:lang w:val="en-GB"/>
        </w:rPr>
        <w:t xml:space="preserve"> et al., 2010), and MD01-2378 (Xu et al., 2006; </w:t>
      </w:r>
      <w:proofErr w:type="spellStart"/>
      <w:r>
        <w:rPr>
          <w:sz w:val="24"/>
          <w:lang w:val="en-GB"/>
        </w:rPr>
        <w:t>Zuraida</w:t>
      </w:r>
      <w:proofErr w:type="spellEnd"/>
      <w:r>
        <w:rPr>
          <w:sz w:val="24"/>
          <w:lang w:val="en-GB"/>
        </w:rPr>
        <w:t xml:space="preserve"> et al., 2009). The SST,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 xml:space="preserve">-ivc, </w:t>
      </w:r>
      <w:r>
        <w:rPr>
          <w:sz w:val="24"/>
          <w:lang w:val="en-GB"/>
        </w:rPr>
        <w:t xml:space="preserve">and respective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lang w:val="en-GB"/>
        </w:rPr>
        <w:t xml:space="preserve"> stacks were created by first mitigating sampling bias through resampling each of the records at high frequency (10yrs) by linear interpolation. All the resampled records were then combined and a gaussian function (sigma = 8/5kyr) was used to smooth the combined data into a single continuous record with a sampling frequency of 100yrs. The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vertAlign w:val="subscript"/>
          <w:lang w:val="en-GB"/>
        </w:rPr>
        <w:t xml:space="preserve"> </w:t>
      </w:r>
      <w:r>
        <w:rPr>
          <w:sz w:val="24"/>
          <w:lang w:val="en-GB"/>
        </w:rPr>
        <w:t xml:space="preserve">stacks were created to allow lead-lag analysis between the SST and </w:t>
      </w:r>
      <w:r>
        <w:rPr>
          <w:rFonts w:ascii="Times New Roman" w:hAnsi="Times New Roman" w:cs="Times New Roman"/>
          <w:sz w:val="24"/>
          <w:szCs w:val="24"/>
          <w:lang w:val="en-GB"/>
        </w:rPr>
        <w:t>δ</w:t>
      </w:r>
      <w:r w:rsidRPr="00051C86">
        <w:rPr>
          <w:rFonts w:cstheme="minorHAnsi"/>
          <w:sz w:val="24"/>
          <w:szCs w:val="24"/>
          <w:vertAlign w:val="superscript"/>
          <w:lang w:val="en-GB"/>
        </w:rPr>
        <w:t>18</w:t>
      </w:r>
      <w:r>
        <w:rPr>
          <w:rFonts w:cstheme="minorHAnsi"/>
          <w:sz w:val="24"/>
          <w:szCs w:val="24"/>
          <w:lang w:val="en-GB"/>
        </w:rPr>
        <w:t>O</w:t>
      </w:r>
      <w:r w:rsidRPr="00051C86">
        <w:rPr>
          <w:rFonts w:cstheme="minorHAnsi"/>
          <w:sz w:val="24"/>
          <w:szCs w:val="24"/>
          <w:vertAlign w:val="subscript"/>
          <w:lang w:val="en-GB"/>
        </w:rPr>
        <w:t>sw</w:t>
      </w:r>
      <w:r>
        <w:rPr>
          <w:rFonts w:cstheme="minorHAnsi"/>
          <w:sz w:val="24"/>
          <w:szCs w:val="24"/>
          <w:vertAlign w:val="subscript"/>
          <w:lang w:val="en-GB"/>
        </w:rPr>
        <w:t xml:space="preserve">-ivc </w:t>
      </w:r>
      <w:r>
        <w:rPr>
          <w:sz w:val="24"/>
          <w:lang w:val="en-GB"/>
        </w:rPr>
        <w:t xml:space="preserve">stacks and their respective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vertAlign w:val="subscript"/>
          <w:lang w:val="en-GB"/>
        </w:rPr>
        <w:t xml:space="preserve"> </w:t>
      </w:r>
      <w:r>
        <w:rPr>
          <w:sz w:val="24"/>
          <w:lang w:val="en-GB"/>
        </w:rPr>
        <w:t xml:space="preserve">data. By making an Indian Ocean-specific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vertAlign w:val="subscript"/>
          <w:lang w:val="en-GB"/>
        </w:rPr>
        <w:t xml:space="preserve"> </w:t>
      </w:r>
      <w:r>
        <w:rPr>
          <w:sz w:val="24"/>
          <w:lang w:val="en-GB"/>
        </w:rPr>
        <w:t xml:space="preserve">stack, age-model errors are equal between surface and benthic stacks, which makes lead-lag analyses possible. </w:t>
      </w:r>
      <w:r w:rsidRPr="00B07A62">
        <w:rPr>
          <w:sz w:val="24"/>
          <w:lang w:val="en-GB"/>
        </w:rPr>
        <w:t xml:space="preserve"> </w:t>
      </w:r>
    </w:p>
    <w:p w14:paraId="78E60385" w14:textId="2D7D8441" w:rsidR="003D7EE7" w:rsidRPr="003D7EE7" w:rsidRDefault="000379B1" w:rsidP="003D7EE7">
      <w:pPr>
        <w:pStyle w:val="a4"/>
        <w:numPr>
          <w:ilvl w:val="0"/>
          <w:numId w:val="2"/>
        </w:numPr>
        <w:spacing w:line="360" w:lineRule="auto"/>
        <w:rPr>
          <w:i/>
          <w:sz w:val="24"/>
          <w:lang w:val="en-GB"/>
        </w:rPr>
      </w:pPr>
      <w:r w:rsidRPr="007B39E3">
        <w:rPr>
          <w:i/>
          <w:sz w:val="24"/>
          <w:lang w:val="en-GB"/>
        </w:rPr>
        <w:t>Indian Ocean source water analysis</w:t>
      </w:r>
    </w:p>
    <w:p w14:paraId="6D869F3D" w14:textId="351A1581" w:rsidR="003D7EE7" w:rsidRDefault="000379B1" w:rsidP="003D7EE7">
      <w:pPr>
        <w:spacing w:line="360" w:lineRule="auto"/>
        <w:rPr>
          <w:sz w:val="24"/>
          <w:lang w:val="en-GB"/>
        </w:rPr>
      </w:pPr>
      <w:r>
        <w:rPr>
          <w:sz w:val="24"/>
          <w:lang w:val="en-GB"/>
        </w:rPr>
        <w:t xml:space="preserve">To test whether the salinification process is also evident in Indian Ocean source waters, we additionally analysed SST core data from the western Pacific warm pool (ODP806) (de </w:t>
      </w:r>
      <w:proofErr w:type="spellStart"/>
      <w:r>
        <w:rPr>
          <w:sz w:val="24"/>
          <w:lang w:val="en-GB"/>
        </w:rPr>
        <w:t>Gardiel</w:t>
      </w:r>
      <w:proofErr w:type="spellEnd"/>
      <w:r>
        <w:rPr>
          <w:sz w:val="24"/>
          <w:lang w:val="en-GB"/>
        </w:rPr>
        <w:t xml:space="preserve">-Thoron et al., 2005) and the South China Sea (ODP1146) (Herbert et al., 2010) for lead-lag against their respective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vertAlign w:val="subscript"/>
          <w:lang w:val="en-GB"/>
        </w:rPr>
        <w:t xml:space="preserve"> </w:t>
      </w:r>
      <w:r>
        <w:rPr>
          <w:sz w:val="24"/>
          <w:lang w:val="en-GB"/>
        </w:rPr>
        <w:t xml:space="preserve">using cross spectral analysis. For the analysis, SST and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lang w:val="en-GB"/>
        </w:rPr>
        <w:t xml:space="preserve"> data from the cores was clipped to 6-1168kyr, then subsampled at 1kyr. The cross spectral analysis was conducted between the SST data and their respective </w:t>
      </w:r>
      <w:r>
        <w:rPr>
          <w:rFonts w:ascii="Times New Roman" w:hAnsi="Times New Roman" w:cs="Times New Roman"/>
          <w:sz w:val="24"/>
          <w:lang w:val="en-GB"/>
        </w:rPr>
        <w:t>δ</w:t>
      </w:r>
      <w:r w:rsidRPr="00563A5D">
        <w:rPr>
          <w:sz w:val="24"/>
          <w:vertAlign w:val="superscript"/>
          <w:lang w:val="en-GB"/>
        </w:rPr>
        <w:t>18</w:t>
      </w:r>
      <w:r>
        <w:rPr>
          <w:sz w:val="24"/>
          <w:lang w:val="en-GB"/>
        </w:rPr>
        <w:t>O</w:t>
      </w:r>
      <w:r w:rsidRPr="00563A5D">
        <w:rPr>
          <w:sz w:val="24"/>
          <w:vertAlign w:val="subscript"/>
          <w:lang w:val="en-GB"/>
        </w:rPr>
        <w:t>benthic</w:t>
      </w:r>
      <w:r>
        <w:rPr>
          <w:sz w:val="24"/>
          <w:vertAlign w:val="subscript"/>
          <w:lang w:val="en-GB"/>
        </w:rPr>
        <w:t xml:space="preserve"> </w:t>
      </w:r>
      <w:r>
        <w:rPr>
          <w:sz w:val="24"/>
          <w:lang w:val="en-GB"/>
        </w:rPr>
        <w:t>from the same core using the resampled data. Neither core ODP806 or ODP1146 showed a significant SST lead at the 95% confidence interval.</w:t>
      </w:r>
    </w:p>
    <w:p w14:paraId="44B7C98F" w14:textId="37CCE919" w:rsidR="003D7EE7" w:rsidRPr="003D7EE7" w:rsidRDefault="003D7EE7" w:rsidP="003D7EE7">
      <w:pPr>
        <w:pStyle w:val="a4"/>
        <w:numPr>
          <w:ilvl w:val="0"/>
          <w:numId w:val="2"/>
        </w:numPr>
        <w:spacing w:line="360" w:lineRule="auto"/>
        <w:rPr>
          <w:i/>
          <w:sz w:val="24"/>
          <w:lang w:val="en-GB"/>
        </w:rPr>
      </w:pPr>
      <w:r w:rsidRPr="003D7EE7">
        <w:rPr>
          <w:i/>
          <w:sz w:val="24"/>
          <w:lang w:val="en-GB"/>
        </w:rPr>
        <w:t>Age model</w:t>
      </w:r>
    </w:p>
    <w:p w14:paraId="4B173993" w14:textId="2C71685A" w:rsidR="003D7EE7" w:rsidRPr="003D7EE7" w:rsidRDefault="003D7EE7" w:rsidP="003D7EE7">
      <w:pPr>
        <w:spacing w:line="360" w:lineRule="auto"/>
        <w:rPr>
          <w:sz w:val="24"/>
          <w:lang w:val="en-GB"/>
        </w:rPr>
      </w:pPr>
      <w:r>
        <w:rPr>
          <w:sz w:val="24"/>
          <w:lang w:val="en-GB"/>
        </w:rPr>
        <w:t xml:space="preserve">The age model for U1476 was </w:t>
      </w:r>
      <w:r w:rsidR="002B5AF2">
        <w:rPr>
          <w:sz w:val="24"/>
          <w:lang w:val="en-GB"/>
        </w:rPr>
        <w:t>taken from</w:t>
      </w:r>
      <w:r>
        <w:rPr>
          <w:sz w:val="24"/>
          <w:lang w:val="en-GB"/>
        </w:rPr>
        <w:t xml:space="preserve"> </w:t>
      </w:r>
      <w:r w:rsidR="002B5AF2">
        <w:rPr>
          <w:sz w:val="24"/>
          <w:lang w:val="en-GB"/>
        </w:rPr>
        <w:t>van der Lubbe et al. (2021)</w:t>
      </w:r>
      <w:r>
        <w:rPr>
          <w:sz w:val="24"/>
          <w:lang w:val="en-GB"/>
        </w:rPr>
        <w:t xml:space="preserve"> </w:t>
      </w:r>
      <w:r w:rsidR="002B5AF2">
        <w:rPr>
          <w:sz w:val="24"/>
          <w:lang w:val="en-GB"/>
        </w:rPr>
        <w:t>who aligned</w:t>
      </w:r>
      <w:r>
        <w:rPr>
          <w:sz w:val="24"/>
          <w:lang w:val="en-GB"/>
        </w:rPr>
        <w:t xml:space="preserve"> U1476 </w:t>
      </w:r>
      <w:r w:rsidRPr="007075F5">
        <w:rPr>
          <w:rFonts w:ascii="Times New Roman" w:hAnsi="Times New Roman" w:cs="Times New Roman"/>
          <w:sz w:val="24"/>
          <w:szCs w:val="24"/>
          <w:lang w:val="en-GB"/>
        </w:rPr>
        <w:t>δ</w:t>
      </w:r>
      <w:r w:rsidRPr="007075F5">
        <w:rPr>
          <w:sz w:val="24"/>
          <w:szCs w:val="24"/>
          <w:vertAlign w:val="superscript"/>
          <w:lang w:val="en-GB"/>
        </w:rPr>
        <w:t>18</w:t>
      </w:r>
      <w:r w:rsidRPr="007075F5">
        <w:rPr>
          <w:sz w:val="24"/>
          <w:szCs w:val="24"/>
          <w:lang w:val="en-GB"/>
        </w:rPr>
        <w:t>O</w:t>
      </w:r>
      <w:r w:rsidRPr="007075F5">
        <w:rPr>
          <w:sz w:val="24"/>
          <w:szCs w:val="24"/>
          <w:vertAlign w:val="subscript"/>
          <w:lang w:val="en-GB"/>
        </w:rPr>
        <w:t>benthic</w:t>
      </w:r>
      <w:r>
        <w:rPr>
          <w:sz w:val="24"/>
          <w:lang w:val="en-GB"/>
        </w:rPr>
        <w:t xml:space="preserve"> to the</w:t>
      </w:r>
      <w:r w:rsidR="002B5AF2">
        <w:rPr>
          <w:sz w:val="24"/>
          <w:lang w:val="en-GB"/>
        </w:rPr>
        <w:t xml:space="preserve"> </w:t>
      </w:r>
      <w:r w:rsidRPr="007075F5">
        <w:rPr>
          <w:rFonts w:ascii="Times New Roman" w:hAnsi="Times New Roman" w:cs="Times New Roman"/>
          <w:sz w:val="24"/>
          <w:szCs w:val="24"/>
          <w:lang w:val="en-GB"/>
        </w:rPr>
        <w:t>δ</w:t>
      </w:r>
      <w:r w:rsidRPr="007075F5">
        <w:rPr>
          <w:sz w:val="24"/>
          <w:szCs w:val="24"/>
          <w:vertAlign w:val="superscript"/>
          <w:lang w:val="en-GB"/>
        </w:rPr>
        <w:t>18</w:t>
      </w:r>
      <w:r w:rsidRPr="007075F5">
        <w:rPr>
          <w:sz w:val="24"/>
          <w:szCs w:val="24"/>
          <w:lang w:val="en-GB"/>
        </w:rPr>
        <w:t>O</w:t>
      </w:r>
      <w:r w:rsidRPr="007075F5">
        <w:rPr>
          <w:sz w:val="24"/>
          <w:szCs w:val="24"/>
          <w:vertAlign w:val="subscript"/>
          <w:lang w:val="en-GB"/>
        </w:rPr>
        <w:t>benthic</w:t>
      </w:r>
      <w:r>
        <w:rPr>
          <w:sz w:val="24"/>
          <w:lang w:val="en-GB"/>
        </w:rPr>
        <w:t xml:space="preserve"> </w:t>
      </w:r>
      <w:r w:rsidR="002B5AF2">
        <w:rPr>
          <w:sz w:val="24"/>
          <w:lang w:val="en-GB"/>
        </w:rPr>
        <w:t xml:space="preserve">probability </w:t>
      </w:r>
      <w:r>
        <w:rPr>
          <w:sz w:val="24"/>
          <w:lang w:val="en-GB"/>
        </w:rPr>
        <w:t>stack (</w:t>
      </w:r>
      <w:proofErr w:type="spellStart"/>
      <w:r w:rsidR="002B5AF2">
        <w:rPr>
          <w:sz w:val="24"/>
          <w:lang w:val="en-GB"/>
        </w:rPr>
        <w:t>Ahn</w:t>
      </w:r>
      <w:proofErr w:type="spellEnd"/>
      <w:r w:rsidR="002B5AF2">
        <w:rPr>
          <w:sz w:val="24"/>
          <w:lang w:val="en-GB"/>
        </w:rPr>
        <w:t xml:space="preserve"> et al., 2017</w:t>
      </w:r>
      <w:r>
        <w:rPr>
          <w:sz w:val="24"/>
          <w:lang w:val="en-GB"/>
        </w:rPr>
        <w:t xml:space="preserve">). </w:t>
      </w:r>
    </w:p>
    <w:p w14:paraId="56A29F95" w14:textId="77777777" w:rsidR="000379B1" w:rsidRDefault="000379B1" w:rsidP="000379B1">
      <w:pPr>
        <w:pStyle w:val="a4"/>
        <w:numPr>
          <w:ilvl w:val="0"/>
          <w:numId w:val="2"/>
        </w:numPr>
        <w:spacing w:line="360" w:lineRule="auto"/>
        <w:rPr>
          <w:i/>
          <w:sz w:val="24"/>
          <w:lang w:val="en-GB"/>
        </w:rPr>
      </w:pPr>
      <w:r>
        <w:rPr>
          <w:i/>
          <w:sz w:val="24"/>
          <w:lang w:val="en-GB"/>
        </w:rPr>
        <w:t>ANICE-SELEN sea level-topography model</w:t>
      </w:r>
    </w:p>
    <w:p w14:paraId="37D0ECEC" w14:textId="68AB3B7C" w:rsidR="000379B1" w:rsidRDefault="000379B1" w:rsidP="000379B1">
      <w:pPr>
        <w:spacing w:line="360" w:lineRule="auto"/>
        <w:rPr>
          <w:sz w:val="24"/>
          <w:szCs w:val="24"/>
          <w:lang w:val="en-GB"/>
        </w:rPr>
      </w:pPr>
      <w:r>
        <w:rPr>
          <w:sz w:val="24"/>
          <w:szCs w:val="24"/>
          <w:lang w:val="en-GB"/>
        </w:rPr>
        <w:t xml:space="preserve">To gain understanding of the land surfacing and flooding rates around the Indonesian archipelago, we ran a time-transient simulation of RSL calculated in the ice-sheet model ANICE (de Boer et al., 2013), which was then fed into the topography model SELEN (de Boer et al., 2014a). </w:t>
      </w:r>
      <w:r w:rsidRPr="007075F5">
        <w:rPr>
          <w:sz w:val="24"/>
          <w:szCs w:val="24"/>
          <w:lang w:val="en-GB"/>
        </w:rPr>
        <w:t xml:space="preserve">ANICE uses an inverse forward modelling approach where </w:t>
      </w:r>
      <w:r w:rsidRPr="007075F5">
        <w:rPr>
          <w:rFonts w:ascii="Times New Roman" w:hAnsi="Times New Roman" w:cs="Times New Roman"/>
          <w:sz w:val="24"/>
          <w:szCs w:val="24"/>
          <w:lang w:val="en-GB"/>
        </w:rPr>
        <w:t>δ</w:t>
      </w:r>
      <w:r w:rsidRPr="007075F5">
        <w:rPr>
          <w:sz w:val="24"/>
          <w:szCs w:val="24"/>
          <w:vertAlign w:val="superscript"/>
          <w:lang w:val="en-GB"/>
        </w:rPr>
        <w:t>18</w:t>
      </w:r>
      <w:r w:rsidRPr="007075F5">
        <w:rPr>
          <w:sz w:val="24"/>
          <w:szCs w:val="24"/>
          <w:lang w:val="en-GB"/>
        </w:rPr>
        <w:t>O</w:t>
      </w:r>
      <w:r w:rsidRPr="007075F5">
        <w:rPr>
          <w:sz w:val="24"/>
          <w:szCs w:val="24"/>
          <w:vertAlign w:val="subscript"/>
          <w:lang w:val="en-GB"/>
        </w:rPr>
        <w:t>benthic</w:t>
      </w:r>
      <w:r w:rsidRPr="007075F5">
        <w:rPr>
          <w:sz w:val="24"/>
          <w:szCs w:val="24"/>
          <w:lang w:val="en-GB"/>
        </w:rPr>
        <w:t xml:space="preserve"> is split </w:t>
      </w:r>
      <w:r w:rsidRPr="007075F5">
        <w:rPr>
          <w:sz w:val="24"/>
          <w:szCs w:val="24"/>
          <w:lang w:val="en-GB"/>
        </w:rPr>
        <w:lastRenderedPageBreak/>
        <w:t>into ice volume and bottom water temperature components through global ice mass conservation calculations. The approach assumes that changes in NH mid latitude-to-subpolar surface-air temperatures (</w:t>
      </w:r>
      <w:r w:rsidRPr="007075F5">
        <w:rPr>
          <w:rFonts w:ascii="Times New Roman" w:hAnsi="Times New Roman" w:cs="Times New Roman"/>
          <w:sz w:val="24"/>
          <w:szCs w:val="24"/>
          <w:lang w:val="en-GB"/>
        </w:rPr>
        <w:t>Δ</w:t>
      </w:r>
      <w:r w:rsidRPr="007075F5">
        <w:rPr>
          <w:sz w:val="24"/>
          <w:szCs w:val="24"/>
          <w:lang w:val="en-GB"/>
        </w:rPr>
        <w:t>T</w:t>
      </w:r>
      <w:r w:rsidRPr="007075F5">
        <w:rPr>
          <w:sz w:val="24"/>
          <w:szCs w:val="24"/>
          <w:vertAlign w:val="subscript"/>
          <w:lang w:val="en-GB"/>
        </w:rPr>
        <w:t>NH</w:t>
      </w:r>
      <w:r w:rsidRPr="007075F5">
        <w:rPr>
          <w:sz w:val="24"/>
          <w:szCs w:val="24"/>
          <w:lang w:val="en-GB"/>
        </w:rPr>
        <w:t xml:space="preserve">) are strongly related to changes in ice volume and deep-water formation. Changes in </w:t>
      </w:r>
      <w:r w:rsidRPr="007075F5">
        <w:rPr>
          <w:rFonts w:ascii="Times New Roman" w:hAnsi="Times New Roman" w:cs="Times New Roman"/>
          <w:sz w:val="24"/>
          <w:szCs w:val="24"/>
          <w:lang w:val="en-GB"/>
        </w:rPr>
        <w:t>Δ</w:t>
      </w:r>
      <w:r w:rsidRPr="007075F5">
        <w:rPr>
          <w:sz w:val="24"/>
          <w:szCs w:val="24"/>
          <w:lang w:val="en-GB"/>
        </w:rPr>
        <w:t>T</w:t>
      </w:r>
      <w:r w:rsidRPr="007075F5">
        <w:rPr>
          <w:sz w:val="24"/>
          <w:szCs w:val="24"/>
          <w:vertAlign w:val="subscript"/>
          <w:lang w:val="en-GB"/>
        </w:rPr>
        <w:t>NH</w:t>
      </w:r>
      <w:r w:rsidRPr="007075F5">
        <w:rPr>
          <w:sz w:val="24"/>
          <w:szCs w:val="24"/>
          <w:lang w:val="en-GB"/>
        </w:rPr>
        <w:t xml:space="preserve"> are derived from the difference between modelled </w:t>
      </w:r>
      <w:r w:rsidRPr="007075F5">
        <w:rPr>
          <w:rFonts w:ascii="Times New Roman" w:hAnsi="Times New Roman" w:cs="Times New Roman"/>
          <w:sz w:val="24"/>
          <w:szCs w:val="24"/>
          <w:lang w:val="en-GB"/>
        </w:rPr>
        <w:t>δ</w:t>
      </w:r>
      <w:r w:rsidRPr="007075F5">
        <w:rPr>
          <w:sz w:val="24"/>
          <w:szCs w:val="24"/>
          <w:vertAlign w:val="superscript"/>
          <w:lang w:val="en-GB"/>
        </w:rPr>
        <w:t>18</w:t>
      </w:r>
      <w:r w:rsidRPr="007075F5">
        <w:rPr>
          <w:sz w:val="24"/>
          <w:szCs w:val="24"/>
          <w:lang w:val="en-GB"/>
        </w:rPr>
        <w:t xml:space="preserve">O at time t, and foraminiferal </w:t>
      </w:r>
      <w:r w:rsidRPr="007075F5">
        <w:rPr>
          <w:rFonts w:ascii="Times New Roman" w:hAnsi="Times New Roman" w:cs="Times New Roman"/>
          <w:sz w:val="24"/>
          <w:szCs w:val="24"/>
          <w:lang w:val="en-GB"/>
        </w:rPr>
        <w:t>δ</w:t>
      </w:r>
      <w:r w:rsidRPr="007075F5">
        <w:rPr>
          <w:sz w:val="24"/>
          <w:szCs w:val="24"/>
          <w:vertAlign w:val="superscript"/>
          <w:lang w:val="en-GB"/>
        </w:rPr>
        <w:t>18</w:t>
      </w:r>
      <w:r w:rsidRPr="007075F5">
        <w:rPr>
          <w:sz w:val="24"/>
          <w:szCs w:val="24"/>
          <w:lang w:val="en-GB"/>
        </w:rPr>
        <w:t>O</w:t>
      </w:r>
      <w:r w:rsidRPr="007075F5">
        <w:rPr>
          <w:sz w:val="24"/>
          <w:szCs w:val="24"/>
          <w:vertAlign w:val="subscript"/>
          <w:lang w:val="en-GB"/>
        </w:rPr>
        <w:t>benthic</w:t>
      </w:r>
      <w:r w:rsidRPr="007075F5">
        <w:rPr>
          <w:sz w:val="24"/>
          <w:szCs w:val="24"/>
          <w:lang w:val="en-GB"/>
        </w:rPr>
        <w:t xml:space="preserve"> at time t+100 years. The changes in </w:t>
      </w:r>
      <w:r w:rsidRPr="007075F5">
        <w:rPr>
          <w:rFonts w:ascii="Times New Roman" w:hAnsi="Times New Roman" w:cs="Times New Roman"/>
          <w:sz w:val="24"/>
          <w:szCs w:val="24"/>
          <w:lang w:val="en-GB"/>
        </w:rPr>
        <w:t>Δ</w:t>
      </w:r>
      <w:r w:rsidRPr="007075F5">
        <w:rPr>
          <w:sz w:val="24"/>
          <w:szCs w:val="24"/>
          <w:lang w:val="en-GB"/>
        </w:rPr>
        <w:t>T</w:t>
      </w:r>
      <w:r w:rsidRPr="007075F5">
        <w:rPr>
          <w:sz w:val="24"/>
          <w:szCs w:val="24"/>
          <w:vertAlign w:val="subscript"/>
          <w:lang w:val="en-GB"/>
        </w:rPr>
        <w:t>NH</w:t>
      </w:r>
      <w:r w:rsidRPr="007075F5">
        <w:rPr>
          <w:sz w:val="24"/>
          <w:szCs w:val="24"/>
          <w:lang w:val="en-GB"/>
        </w:rPr>
        <w:t xml:space="preserve"> are subsequently fed into a 3D ice sheet and deep-water temperature model whose outputs influence the determination of modelled </w:t>
      </w:r>
      <w:r w:rsidRPr="007075F5">
        <w:rPr>
          <w:rFonts w:ascii="Times New Roman" w:hAnsi="Times New Roman" w:cs="Times New Roman"/>
          <w:sz w:val="24"/>
          <w:szCs w:val="24"/>
          <w:lang w:val="en-GB"/>
        </w:rPr>
        <w:t>δ</w:t>
      </w:r>
      <w:r w:rsidRPr="007075F5">
        <w:rPr>
          <w:sz w:val="24"/>
          <w:szCs w:val="24"/>
          <w:vertAlign w:val="superscript"/>
          <w:lang w:val="en-GB"/>
        </w:rPr>
        <w:t>18</w:t>
      </w:r>
      <w:r w:rsidRPr="007075F5">
        <w:rPr>
          <w:sz w:val="24"/>
          <w:szCs w:val="24"/>
          <w:lang w:val="en-GB"/>
        </w:rPr>
        <w:t xml:space="preserve">O. Relative sea level is calculated in parallel from changes in the resulting ice volume component of </w:t>
      </w:r>
      <w:r w:rsidRPr="007075F5">
        <w:rPr>
          <w:rFonts w:ascii="Times New Roman" w:hAnsi="Times New Roman" w:cs="Times New Roman"/>
          <w:sz w:val="24"/>
          <w:szCs w:val="24"/>
          <w:lang w:val="en-GB"/>
        </w:rPr>
        <w:t>δ</w:t>
      </w:r>
      <w:r w:rsidRPr="007075F5">
        <w:rPr>
          <w:sz w:val="24"/>
          <w:szCs w:val="24"/>
          <w:vertAlign w:val="superscript"/>
          <w:lang w:val="en-GB"/>
        </w:rPr>
        <w:t>18</w:t>
      </w:r>
      <w:r w:rsidRPr="007075F5">
        <w:rPr>
          <w:sz w:val="24"/>
          <w:szCs w:val="24"/>
          <w:lang w:val="en-GB"/>
        </w:rPr>
        <w:t>O.</w:t>
      </w:r>
      <w:r>
        <w:rPr>
          <w:sz w:val="24"/>
          <w:szCs w:val="24"/>
          <w:lang w:val="en-GB"/>
        </w:rPr>
        <w:t xml:space="preserve"> The sea level height information was then fed into </w:t>
      </w:r>
      <w:r w:rsidRPr="003C7BCC">
        <w:rPr>
          <w:sz w:val="24"/>
          <w:szCs w:val="24"/>
          <w:lang w:val="en-GB"/>
        </w:rPr>
        <w:t xml:space="preserve">SELEN </w:t>
      </w:r>
      <w:r>
        <w:rPr>
          <w:sz w:val="24"/>
          <w:szCs w:val="24"/>
          <w:lang w:val="en-GB"/>
        </w:rPr>
        <w:t xml:space="preserve">which </w:t>
      </w:r>
      <w:r w:rsidRPr="003C7BCC">
        <w:rPr>
          <w:sz w:val="24"/>
          <w:szCs w:val="24"/>
          <w:lang w:val="en-GB"/>
        </w:rPr>
        <w:t xml:space="preserve">calculates above-sea level topography using ice sheet chronology and a solid Earth rheology model accounting for changes in RSL as well as </w:t>
      </w:r>
      <w:r w:rsidRPr="003C7BCC">
        <w:rPr>
          <w:sz w:val="24"/>
          <w:lang w:val="en-GB"/>
        </w:rPr>
        <w:t>gravitational changes linked to water and ice load, influences of earth’s rotation, glacial isostatic adjustment of the solid earth, and migration of coastlines across the globe</w:t>
      </w:r>
      <w:r w:rsidRPr="003C7BCC">
        <w:rPr>
          <w:sz w:val="24"/>
          <w:szCs w:val="24"/>
          <w:lang w:val="en-GB"/>
        </w:rPr>
        <w:t>.</w:t>
      </w:r>
      <w:r>
        <w:rPr>
          <w:sz w:val="24"/>
          <w:szCs w:val="24"/>
          <w:lang w:val="en-GB"/>
        </w:rPr>
        <w:t xml:space="preserve"> Model coupling is complete, such that SELEN informs the ANICE model about basal topography prior to the next timestep. To increase model-run efficiency, the fully coupled version was run for 599 </w:t>
      </w:r>
      <w:proofErr w:type="spellStart"/>
      <w:r>
        <w:rPr>
          <w:sz w:val="24"/>
          <w:szCs w:val="24"/>
          <w:lang w:val="en-GB"/>
        </w:rPr>
        <w:t>kyr</w:t>
      </w:r>
      <w:proofErr w:type="spellEnd"/>
      <w:r>
        <w:rPr>
          <w:sz w:val="24"/>
          <w:szCs w:val="24"/>
          <w:lang w:val="en-GB"/>
        </w:rPr>
        <w:t xml:space="preserve"> with a map every 1 </w:t>
      </w:r>
      <w:proofErr w:type="spellStart"/>
      <w:r>
        <w:rPr>
          <w:sz w:val="24"/>
          <w:szCs w:val="24"/>
          <w:lang w:val="en-GB"/>
        </w:rPr>
        <w:t>kyr</w:t>
      </w:r>
      <w:proofErr w:type="spellEnd"/>
      <w:r>
        <w:rPr>
          <w:sz w:val="24"/>
          <w:szCs w:val="24"/>
          <w:lang w:val="en-GB"/>
        </w:rPr>
        <w:t xml:space="preserve">, producing 598 global topography maps (see supplementary Figure S7). The spatial resolution per map is 1 pixel per </w:t>
      </w:r>
      <w:r>
        <w:rPr>
          <w:rFonts w:ascii="Times New Roman" w:hAnsi="Times New Roman" w:cs="Times New Roman"/>
          <w:sz w:val="24"/>
          <w:szCs w:val="24"/>
          <w:lang w:val="en-GB"/>
        </w:rPr>
        <w:t>⁓</w:t>
      </w:r>
      <w:r>
        <w:rPr>
          <w:sz w:val="24"/>
          <w:szCs w:val="24"/>
          <w:lang w:val="en-GB"/>
        </w:rPr>
        <w:t>5000 km</w:t>
      </w:r>
      <w:r w:rsidRPr="000219DA">
        <w:rPr>
          <w:sz w:val="24"/>
          <w:szCs w:val="24"/>
          <w:vertAlign w:val="superscript"/>
          <w:lang w:val="en-GB"/>
        </w:rPr>
        <w:t>2</w:t>
      </w:r>
      <w:r>
        <w:rPr>
          <w:sz w:val="24"/>
          <w:szCs w:val="24"/>
          <w:lang w:val="en-GB"/>
        </w:rPr>
        <w:t xml:space="preserve">. To cover a greater </w:t>
      </w:r>
      <w:r w:rsidR="00214A96">
        <w:rPr>
          <w:sz w:val="24"/>
          <w:szCs w:val="24"/>
          <w:lang w:val="en-GB"/>
        </w:rPr>
        <w:t xml:space="preserve">number </w:t>
      </w:r>
      <w:r>
        <w:rPr>
          <w:sz w:val="24"/>
          <w:szCs w:val="24"/>
          <w:lang w:val="en-GB"/>
        </w:rPr>
        <w:t>of glacial cycles in 600kyr</w:t>
      </w:r>
      <w:r w:rsidR="00214A96">
        <w:rPr>
          <w:sz w:val="24"/>
          <w:szCs w:val="24"/>
          <w:lang w:val="en-GB"/>
        </w:rPr>
        <w:t xml:space="preserve"> of model run time</w:t>
      </w:r>
      <w:r>
        <w:rPr>
          <w:sz w:val="24"/>
          <w:szCs w:val="24"/>
          <w:lang w:val="en-GB"/>
        </w:rPr>
        <w:t>, we chose to run 10 glacial cycles between 651kyr and 1250ky assuming that changes in the outline of continents and islands stay constant across the last 1.2Ma. Therefore, any correlations between changes in the land-ocean ratio and RSL should also be valid for younger glacial cycles.</w:t>
      </w:r>
    </w:p>
    <w:p w14:paraId="651DF2BF" w14:textId="0C15F7F7" w:rsidR="000379B1" w:rsidRPr="003C7BCC" w:rsidRDefault="000379B1" w:rsidP="000379B1">
      <w:pPr>
        <w:spacing w:line="360" w:lineRule="auto"/>
        <w:rPr>
          <w:sz w:val="24"/>
          <w:szCs w:val="24"/>
          <w:lang w:val="en-GB"/>
        </w:rPr>
      </w:pPr>
      <w:r>
        <w:rPr>
          <w:sz w:val="24"/>
          <w:szCs w:val="24"/>
          <w:lang w:val="en-GB"/>
        </w:rPr>
        <w:t>To calculate c</w:t>
      </w:r>
      <w:r w:rsidRPr="003C7BCC">
        <w:rPr>
          <w:sz w:val="24"/>
          <w:szCs w:val="24"/>
          <w:lang w:val="en-GB"/>
        </w:rPr>
        <w:t>hanges in above-sea level topogra</w:t>
      </w:r>
      <w:r>
        <w:rPr>
          <w:sz w:val="24"/>
          <w:szCs w:val="24"/>
          <w:lang w:val="en-GB"/>
        </w:rPr>
        <w:t xml:space="preserve">phy, all maps </w:t>
      </w:r>
      <w:r w:rsidRPr="003C7BCC">
        <w:rPr>
          <w:sz w:val="24"/>
          <w:szCs w:val="24"/>
          <w:lang w:val="en-GB"/>
        </w:rPr>
        <w:t>were pro</w:t>
      </w:r>
      <w:r>
        <w:rPr>
          <w:sz w:val="24"/>
          <w:szCs w:val="24"/>
          <w:lang w:val="en-GB"/>
        </w:rPr>
        <w:t>cessed</w:t>
      </w:r>
      <w:r w:rsidRPr="003C7BCC">
        <w:rPr>
          <w:sz w:val="24"/>
          <w:szCs w:val="24"/>
          <w:lang w:val="en-GB"/>
        </w:rPr>
        <w:t xml:space="preserve"> in </w:t>
      </w:r>
      <w:r w:rsidR="000D7A71">
        <w:rPr>
          <w:sz w:val="24"/>
          <w:szCs w:val="24"/>
          <w:lang w:val="en-GB"/>
        </w:rPr>
        <w:t>P</w:t>
      </w:r>
      <w:r w:rsidRPr="003C7BCC">
        <w:rPr>
          <w:sz w:val="24"/>
          <w:szCs w:val="24"/>
          <w:lang w:val="en-GB"/>
        </w:rPr>
        <w:t>ython</w:t>
      </w:r>
      <w:r>
        <w:rPr>
          <w:sz w:val="24"/>
          <w:szCs w:val="24"/>
          <w:lang w:val="en-GB"/>
        </w:rPr>
        <w:t xml:space="preserve"> and cut to the same size, zooming in on the Indonesian archipelago (Figure S4a)</w:t>
      </w:r>
      <w:r w:rsidRPr="003C7BCC">
        <w:rPr>
          <w:sz w:val="24"/>
          <w:szCs w:val="24"/>
          <w:lang w:val="en-GB"/>
        </w:rPr>
        <w:t xml:space="preserve">. </w:t>
      </w:r>
      <w:r>
        <w:rPr>
          <w:sz w:val="24"/>
          <w:szCs w:val="24"/>
          <w:lang w:val="en-GB"/>
        </w:rPr>
        <w:t>Each p</w:t>
      </w:r>
      <w:r w:rsidRPr="003C7BCC">
        <w:rPr>
          <w:sz w:val="24"/>
          <w:szCs w:val="24"/>
          <w:lang w:val="en-GB"/>
        </w:rPr>
        <w:t>ixel</w:t>
      </w:r>
      <w:r>
        <w:rPr>
          <w:sz w:val="24"/>
          <w:szCs w:val="24"/>
          <w:lang w:val="en-GB"/>
        </w:rPr>
        <w:t xml:space="preserve"> was</w:t>
      </w:r>
      <w:r w:rsidRPr="003C7BCC">
        <w:rPr>
          <w:sz w:val="24"/>
          <w:szCs w:val="24"/>
          <w:lang w:val="en-GB"/>
        </w:rPr>
        <w:t xml:space="preserve"> given a value of 0, 1, or </w:t>
      </w:r>
      <w:proofErr w:type="spellStart"/>
      <w:r w:rsidRPr="003C7BCC">
        <w:rPr>
          <w:sz w:val="24"/>
          <w:szCs w:val="24"/>
          <w:lang w:val="en-GB"/>
        </w:rPr>
        <w:t>NaN</w:t>
      </w:r>
      <w:proofErr w:type="spellEnd"/>
      <w:r w:rsidRPr="003C7BCC">
        <w:rPr>
          <w:sz w:val="24"/>
          <w:szCs w:val="24"/>
          <w:lang w:val="en-GB"/>
        </w:rPr>
        <w:t xml:space="preserve"> for ocean, land, or unidentifiable, respectively. Then, land-to-ocean rati</w:t>
      </w:r>
      <w:r>
        <w:rPr>
          <w:sz w:val="24"/>
          <w:szCs w:val="24"/>
          <w:lang w:val="en-GB"/>
        </w:rPr>
        <w:t>os were calculated for each map</w:t>
      </w:r>
      <w:r w:rsidRPr="003C7BCC">
        <w:rPr>
          <w:sz w:val="24"/>
          <w:szCs w:val="24"/>
          <w:lang w:val="en-GB"/>
        </w:rPr>
        <w:t xml:space="preserve"> as</w:t>
      </w:r>
    </w:p>
    <w:p w14:paraId="48F6817F" w14:textId="77777777" w:rsidR="000379B1" w:rsidRPr="003C7BCC" w:rsidRDefault="000B5E14" w:rsidP="000379B1">
      <w:pPr>
        <w:pStyle w:val="a4"/>
        <w:spacing w:line="360" w:lineRule="auto"/>
        <w:rPr>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land-ocean</m:t>
              </m:r>
            </m:sub>
          </m:sSub>
          <m:r>
            <w:rPr>
              <w:rFonts w:ascii="Cambria Math" w:hAnsi="Cambria Math"/>
              <w:sz w:val="24"/>
              <w:szCs w:val="24"/>
              <w:lang w:val="en-GB"/>
            </w:rPr>
            <m:t xml:space="preserve">= </m:t>
          </m:r>
          <m:f>
            <m:fPr>
              <m:ctrlPr>
                <w:rPr>
                  <w:rFonts w:ascii="Cambria Math" w:hAnsi="Cambria Math"/>
                  <w:i/>
                  <w:sz w:val="24"/>
                  <w:szCs w:val="24"/>
                  <w:lang w:val="en-GB"/>
                </w:rPr>
              </m:ctrlPr>
            </m:fPr>
            <m:num>
              <m:nary>
                <m:naryPr>
                  <m:chr m:val="∑"/>
                  <m:limLoc m:val="undOvr"/>
                  <m:subHide m:val="1"/>
                  <m:supHide m:val="1"/>
                  <m:ctrlPr>
                    <w:rPr>
                      <w:rFonts w:ascii="Cambria Math" w:hAnsi="Cambria Math"/>
                      <w:i/>
                      <w:sz w:val="24"/>
                      <w:szCs w:val="24"/>
                      <w:lang w:val="en-GB"/>
                    </w:rPr>
                  </m:ctrlPr>
                </m:naryPr>
                <m:sub/>
                <m:sup/>
                <m:e>
                  <m:sSub>
                    <m:sSubPr>
                      <m:ctrlPr>
                        <w:rPr>
                          <w:rFonts w:ascii="Cambria Math" w:hAnsi="Cambria Math"/>
                          <w:i/>
                          <w:sz w:val="24"/>
                          <w:szCs w:val="24"/>
                          <w:lang w:val="en-GB"/>
                        </w:rPr>
                      </m:ctrlPr>
                    </m:sSubPr>
                    <m:e>
                      <m:r>
                        <w:rPr>
                          <w:rFonts w:ascii="Cambria Math" w:hAnsi="Cambria Math"/>
                          <w:sz w:val="24"/>
                          <w:szCs w:val="24"/>
                          <w:lang w:val="en-GB"/>
                        </w:rPr>
                        <m:t>Pixel</m:t>
                      </m:r>
                    </m:e>
                    <m:sub>
                      <m:r>
                        <w:rPr>
                          <w:rFonts w:ascii="Cambria Math" w:hAnsi="Cambria Math"/>
                          <w:sz w:val="24"/>
                          <w:szCs w:val="24"/>
                          <w:lang w:val="en-GB"/>
                        </w:rPr>
                        <m:t>land</m:t>
                      </m:r>
                    </m:sub>
                  </m:sSub>
                </m:e>
              </m:nary>
            </m:num>
            <m:den>
              <m:nary>
                <m:naryPr>
                  <m:chr m:val="∑"/>
                  <m:limLoc m:val="undOvr"/>
                  <m:subHide m:val="1"/>
                  <m:supHide m:val="1"/>
                  <m:ctrlPr>
                    <w:rPr>
                      <w:rFonts w:ascii="Cambria Math" w:hAnsi="Cambria Math"/>
                      <w:i/>
                      <w:sz w:val="24"/>
                      <w:szCs w:val="24"/>
                      <w:lang w:val="en-GB"/>
                    </w:rPr>
                  </m:ctrlPr>
                </m:naryPr>
                <m:sub/>
                <m:sup/>
                <m:e>
                  <m:sSub>
                    <m:sSubPr>
                      <m:ctrlPr>
                        <w:rPr>
                          <w:rFonts w:ascii="Cambria Math" w:hAnsi="Cambria Math"/>
                          <w:i/>
                          <w:sz w:val="24"/>
                          <w:szCs w:val="24"/>
                          <w:lang w:val="en-GB"/>
                        </w:rPr>
                      </m:ctrlPr>
                    </m:sSubPr>
                    <m:e>
                      <m:r>
                        <w:rPr>
                          <w:rFonts w:ascii="Cambria Math" w:hAnsi="Cambria Math"/>
                          <w:sz w:val="24"/>
                          <w:szCs w:val="24"/>
                          <w:lang w:val="en-GB"/>
                        </w:rPr>
                        <m:t>Pixel</m:t>
                      </m:r>
                    </m:e>
                    <m:sub>
                      <m:r>
                        <w:rPr>
                          <w:rFonts w:ascii="Cambria Math" w:hAnsi="Cambria Math"/>
                          <w:sz w:val="24"/>
                          <w:szCs w:val="24"/>
                          <w:lang w:val="en-GB"/>
                        </w:rPr>
                        <m:t>ocean</m:t>
                      </m:r>
                    </m:sub>
                  </m:sSub>
                </m:e>
              </m:nary>
            </m:den>
          </m:f>
        </m:oMath>
      </m:oMathPara>
    </w:p>
    <w:p w14:paraId="33D2C57F" w14:textId="77777777" w:rsidR="000379B1" w:rsidRPr="003C7BCC" w:rsidRDefault="000379B1" w:rsidP="000379B1">
      <w:pPr>
        <w:spacing w:line="360" w:lineRule="auto"/>
        <w:rPr>
          <w:sz w:val="24"/>
          <w:szCs w:val="24"/>
          <w:lang w:val="en-GB"/>
        </w:rPr>
      </w:pPr>
      <w:r w:rsidRPr="003C7BCC">
        <w:rPr>
          <w:sz w:val="24"/>
          <w:szCs w:val="24"/>
          <w:lang w:val="en-GB"/>
        </w:rPr>
        <w:t>Changes in the ratio land-to-ocean ratio with respect to sea level stand [m] were calculated as</w:t>
      </w:r>
    </w:p>
    <w:p w14:paraId="37EF633E" w14:textId="77777777" w:rsidR="000379B1" w:rsidRPr="003C7BCC" w:rsidRDefault="000379B1" w:rsidP="000379B1">
      <w:pPr>
        <w:pStyle w:val="a4"/>
        <w:spacing w:line="360" w:lineRule="auto"/>
        <w:rPr>
          <w:sz w:val="24"/>
          <w:szCs w:val="24"/>
          <w:lang w:val="en-GB"/>
        </w:rPr>
      </w:pPr>
      <m:oMathPara>
        <m:oMath>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land-ocean</m:t>
              </m:r>
            </m:sub>
          </m:sSub>
          <m:r>
            <w:rPr>
              <w:rFonts w:ascii="Cambria Math" w:hAnsi="Cambria Math"/>
              <w:sz w:val="24"/>
              <w:szCs w:val="24"/>
              <w:lang w:val="en-GB"/>
            </w:rPr>
            <m:t xml:space="preserve">= </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land-ocean</m:t>
                  </m:r>
                </m:sub>
              </m:sSub>
              <m:d>
                <m:dPr>
                  <m:ctrlPr>
                    <w:rPr>
                      <w:rFonts w:ascii="Cambria Math" w:hAnsi="Cambria Math"/>
                      <w:i/>
                      <w:sz w:val="24"/>
                      <w:szCs w:val="24"/>
                      <w:lang w:val="en-GB"/>
                    </w:rPr>
                  </m:ctrlPr>
                </m:dPr>
                <m:e>
                  <m:r>
                    <w:rPr>
                      <w:rFonts w:ascii="Cambria Math" w:hAnsi="Cambria Math"/>
                      <w:sz w:val="24"/>
                      <w:szCs w:val="24"/>
                      <w:lang w:val="en-GB"/>
                    </w:rPr>
                    <m:t>RSL</m:t>
                  </m:r>
                  <m:d>
                    <m:dPr>
                      <m:ctrlPr>
                        <w:rPr>
                          <w:rFonts w:ascii="Cambria Math" w:hAnsi="Cambria Math"/>
                          <w:i/>
                          <w:sz w:val="24"/>
                          <w:szCs w:val="24"/>
                          <w:lang w:val="en-GB"/>
                        </w:rPr>
                      </m:ctrlPr>
                    </m:dPr>
                    <m:e>
                      <m:r>
                        <w:rPr>
                          <w:rFonts w:ascii="Cambria Math" w:hAnsi="Cambria Math"/>
                          <w:sz w:val="24"/>
                          <w:szCs w:val="24"/>
                          <w:lang w:val="en-GB"/>
                        </w:rPr>
                        <m:t>t+1</m:t>
                      </m:r>
                    </m:e>
                  </m:d>
                </m:e>
              </m:d>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land-ocean</m:t>
                  </m:r>
                </m:sub>
              </m:sSub>
              <m:r>
                <w:rPr>
                  <w:rFonts w:ascii="Cambria Math" w:hAnsi="Cambria Math"/>
                  <w:sz w:val="24"/>
                  <w:szCs w:val="24"/>
                  <w:lang w:val="en-GB"/>
                </w:rPr>
                <m:t>(RSL</m:t>
              </m:r>
              <m:d>
                <m:dPr>
                  <m:ctrlPr>
                    <w:rPr>
                      <w:rFonts w:ascii="Cambria Math" w:hAnsi="Cambria Math"/>
                      <w:i/>
                      <w:sz w:val="24"/>
                      <w:szCs w:val="24"/>
                      <w:lang w:val="en-GB"/>
                    </w:rPr>
                  </m:ctrlPr>
                </m:dPr>
                <m:e>
                  <m:r>
                    <w:rPr>
                      <w:rFonts w:ascii="Cambria Math" w:hAnsi="Cambria Math"/>
                      <w:sz w:val="24"/>
                      <w:szCs w:val="24"/>
                      <w:lang w:val="en-GB"/>
                    </w:rPr>
                    <m:t>t</m:t>
                  </m:r>
                </m:e>
              </m:d>
              <m:r>
                <w:rPr>
                  <w:rFonts w:ascii="Cambria Math" w:hAnsi="Cambria Math"/>
                  <w:sz w:val="24"/>
                  <w:szCs w:val="24"/>
                  <w:lang w:val="en-GB"/>
                </w:rPr>
                <m:t>)</m:t>
              </m:r>
            </m:num>
            <m:den>
              <m:r>
                <w:rPr>
                  <w:rFonts w:ascii="Cambria Math" w:hAnsi="Cambria Math"/>
                  <w:sz w:val="24"/>
                  <w:szCs w:val="24"/>
                  <w:lang w:val="en-GB"/>
                </w:rPr>
                <m:t>RSL</m:t>
              </m:r>
              <m:d>
                <m:dPr>
                  <m:ctrlPr>
                    <w:rPr>
                      <w:rFonts w:ascii="Cambria Math" w:hAnsi="Cambria Math"/>
                      <w:i/>
                      <w:sz w:val="24"/>
                      <w:szCs w:val="24"/>
                      <w:lang w:val="en-GB"/>
                    </w:rPr>
                  </m:ctrlPr>
                </m:dPr>
                <m:e>
                  <m:r>
                    <w:rPr>
                      <w:rFonts w:ascii="Cambria Math" w:hAnsi="Cambria Math"/>
                      <w:sz w:val="24"/>
                      <w:szCs w:val="24"/>
                      <w:lang w:val="en-GB"/>
                    </w:rPr>
                    <m:t>t+1</m:t>
                  </m:r>
                </m:e>
              </m:d>
              <m:r>
                <w:rPr>
                  <w:rFonts w:ascii="Cambria Math" w:hAnsi="Cambria Math"/>
                  <w:sz w:val="24"/>
                  <w:szCs w:val="24"/>
                  <w:lang w:val="en-GB"/>
                </w:rPr>
                <m:t>-RSL(t)</m:t>
              </m:r>
            </m:den>
          </m:f>
        </m:oMath>
      </m:oMathPara>
    </w:p>
    <w:p w14:paraId="75BF0DA6" w14:textId="77777777" w:rsidR="000379B1" w:rsidRPr="003C7BCC" w:rsidRDefault="000379B1" w:rsidP="000379B1">
      <w:pPr>
        <w:spacing w:line="360" w:lineRule="auto"/>
        <w:rPr>
          <w:sz w:val="24"/>
          <w:szCs w:val="24"/>
          <w:lang w:val="en-GB"/>
        </w:rPr>
      </w:pPr>
      <w:r w:rsidRPr="003C7BCC">
        <w:rPr>
          <w:sz w:val="24"/>
          <w:szCs w:val="24"/>
          <w:lang w:val="en-GB"/>
        </w:rPr>
        <w:lastRenderedPageBreak/>
        <w:t>To identify trends linked to rising and falling sea level, the data was grouped into ratios at times of rising, and ratios at times of falling sea level, respectively.</w:t>
      </w:r>
    </w:p>
    <w:p w14:paraId="3D7B8820" w14:textId="77777777" w:rsidR="000379B1" w:rsidRPr="00543774" w:rsidRDefault="000379B1" w:rsidP="000379B1">
      <w:pPr>
        <w:pStyle w:val="a4"/>
        <w:numPr>
          <w:ilvl w:val="0"/>
          <w:numId w:val="2"/>
        </w:numPr>
        <w:spacing w:line="360" w:lineRule="auto"/>
        <w:rPr>
          <w:i/>
          <w:sz w:val="24"/>
          <w:lang w:val="en-GB"/>
        </w:rPr>
      </w:pPr>
      <w:r>
        <w:rPr>
          <w:i/>
          <w:sz w:val="24"/>
          <w:lang w:val="en-GB"/>
        </w:rPr>
        <w:t>Salinity influence on AMOC in c</w:t>
      </w:r>
      <w:r w:rsidRPr="00543774">
        <w:rPr>
          <w:i/>
          <w:sz w:val="24"/>
          <w:lang w:val="en-GB"/>
        </w:rPr>
        <w:t>omprehensive climate model COSMOS</w:t>
      </w:r>
    </w:p>
    <w:p w14:paraId="2D90685E" w14:textId="77777777" w:rsidR="00CD22CC" w:rsidRPr="00CD22CC" w:rsidRDefault="00CD22CC" w:rsidP="00CD22CC">
      <w:pPr>
        <w:spacing w:line="360" w:lineRule="auto"/>
        <w:rPr>
          <w:sz w:val="24"/>
          <w:lang w:val="en-GB"/>
        </w:rPr>
      </w:pPr>
      <w:r w:rsidRPr="00CD22CC">
        <w:rPr>
          <w:sz w:val="24"/>
          <w:lang w:val="en-GB"/>
        </w:rPr>
        <w:t xml:space="preserve">Ocean circulation experiments were conducted in COSMOS (Zhang et al., 2013). For glacial state control settings see Zhang et al. (2013). Based on the equilibrium state of the Last Glacial Maximum, we disturbed the glacial ocean circulation by imposing a constant 0.15Sv freshwater perturbation over the ice-rafted debris belt in the North Atlantic for 500 years (LGM015) (see also Zhang et al., 2013).  This weakened AMOC state serves as a climate background comparable to early deglacial Heinrich stadial. We then investigated effects of additional salinity perturbations on the Agulhas plateau by removing freshwater from the region through enhanced evaporation. Two salt-water perturbation experiments with strengths of 0.05Sv (LGM015 SA_005) and 0.1Sv (LGM015 SA_01) were integrated for 800 years based on LGM015 (i.e. under the background climate of persistent freshwater input in the North Atlantic). In addition, LGM015 is continued for additional 800 years to provide a direct reference for AMOC changes in LGM015 SA_005 and LGM015 SA_01. </w:t>
      </w:r>
    </w:p>
    <w:p w14:paraId="7E65F72D" w14:textId="4CEC297B" w:rsidR="000379B1" w:rsidRDefault="000379B1" w:rsidP="000379B1">
      <w:pPr>
        <w:spacing w:line="360" w:lineRule="auto"/>
        <w:rPr>
          <w:sz w:val="24"/>
          <w:lang w:val="en-GB"/>
        </w:rPr>
      </w:pPr>
    </w:p>
    <w:p w14:paraId="2538D1CA" w14:textId="76025898" w:rsidR="00E91F05" w:rsidRDefault="00E91F05" w:rsidP="00E91F05">
      <w:pPr>
        <w:spacing w:line="360" w:lineRule="auto"/>
        <w:rPr>
          <w:rFonts w:cstheme="minorHAnsi"/>
          <w:sz w:val="24"/>
          <w:szCs w:val="24"/>
          <w:lang w:val="en-GB"/>
        </w:rPr>
      </w:pPr>
      <w:r w:rsidRPr="000B49EE">
        <w:rPr>
          <w:rFonts w:cstheme="minorHAnsi"/>
          <w:sz w:val="24"/>
          <w:szCs w:val="24"/>
          <w:lang w:val="en-GB"/>
        </w:rPr>
        <w:t>S</w:t>
      </w:r>
      <w:r>
        <w:rPr>
          <w:rFonts w:cstheme="minorHAnsi"/>
          <w:sz w:val="24"/>
          <w:szCs w:val="24"/>
          <w:lang w:val="en-GB"/>
        </w:rPr>
        <w:t>UPPLEMENTARY FIGURES</w:t>
      </w:r>
    </w:p>
    <w:p w14:paraId="0FD4FF56" w14:textId="77777777" w:rsidR="00E91F05" w:rsidRDefault="00E91F05" w:rsidP="00E91F05">
      <w:pPr>
        <w:spacing w:line="360" w:lineRule="auto"/>
        <w:rPr>
          <w:rFonts w:cstheme="minorHAnsi"/>
          <w:sz w:val="24"/>
          <w:szCs w:val="24"/>
          <w:lang w:val="en-GB"/>
        </w:rPr>
      </w:pPr>
    </w:p>
    <w:p w14:paraId="79544E9F" w14:textId="77777777" w:rsidR="00E91F05" w:rsidRPr="00575150" w:rsidRDefault="00E91F05" w:rsidP="00E91F05">
      <w:pPr>
        <w:spacing w:line="360" w:lineRule="auto"/>
        <w:rPr>
          <w:rFonts w:cstheme="minorHAnsi"/>
          <w:sz w:val="24"/>
          <w:szCs w:val="24"/>
          <w:lang w:val="en-GB"/>
        </w:rPr>
      </w:pPr>
      <w:r w:rsidRPr="00575150">
        <w:rPr>
          <w:rFonts w:cstheme="minorHAnsi"/>
          <w:noProof/>
          <w:sz w:val="24"/>
          <w:szCs w:val="24"/>
          <w:lang w:eastAsia="de-DE"/>
        </w:rPr>
        <w:drawing>
          <wp:inline distT="0" distB="0" distL="0" distR="0" wp14:anchorId="5CC62C7D" wp14:editId="39A590F3">
            <wp:extent cx="5760720" cy="1963814"/>
            <wp:effectExtent l="0" t="0" r="0" b="0"/>
            <wp:docPr id="9" name="Picture 9" descr="E:\U1476_d18Osw_sensitivity_dlocalVS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1476_d18Osw_sensitivity_dlocalVSdi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963814"/>
                    </a:xfrm>
                    <a:prstGeom prst="rect">
                      <a:avLst/>
                    </a:prstGeom>
                    <a:noFill/>
                    <a:ln>
                      <a:noFill/>
                    </a:ln>
                  </pic:spPr>
                </pic:pic>
              </a:graphicData>
            </a:graphic>
          </wp:inline>
        </w:drawing>
      </w:r>
    </w:p>
    <w:p w14:paraId="3259156F" w14:textId="77777777" w:rsidR="00E91F05" w:rsidRDefault="00E91F05" w:rsidP="00E91F05">
      <w:pPr>
        <w:spacing w:line="360" w:lineRule="auto"/>
        <w:rPr>
          <w:rFonts w:cstheme="minorHAnsi"/>
          <w:sz w:val="24"/>
          <w:szCs w:val="24"/>
          <w:lang w:val="en-GB"/>
        </w:rPr>
      </w:pPr>
      <w:r w:rsidRPr="00E91F05">
        <w:rPr>
          <w:rFonts w:cstheme="minorHAnsi"/>
          <w:sz w:val="24"/>
          <w:szCs w:val="24"/>
          <w:u w:val="single"/>
          <w:lang w:val="en-GB"/>
        </w:rPr>
        <w:t>Figure S1.</w:t>
      </w:r>
      <w:r>
        <w:rPr>
          <w:rFonts w:cstheme="minorHAnsi"/>
          <w:sz w:val="24"/>
          <w:szCs w:val="24"/>
          <w:lang w:val="en-GB"/>
        </w:rPr>
        <w:t xml:space="preserve"> Reconstructed </w:t>
      </w:r>
      <w:r>
        <w:rPr>
          <w:rFonts w:ascii="Times New Roman" w:hAnsi="Times New Roman" w:cs="Times New Roman"/>
          <w:sz w:val="24"/>
          <w:szCs w:val="24"/>
          <w:lang w:val="en-GB"/>
        </w:rPr>
        <w:t>δ</w:t>
      </w:r>
      <w:r w:rsidRPr="00FD1463">
        <w:rPr>
          <w:rFonts w:cstheme="minorHAnsi"/>
          <w:sz w:val="24"/>
          <w:szCs w:val="24"/>
          <w:vertAlign w:val="superscript"/>
          <w:lang w:val="en-GB"/>
        </w:rPr>
        <w:t>18</w:t>
      </w:r>
      <w:r>
        <w:rPr>
          <w:rFonts w:cstheme="minorHAnsi"/>
          <w:sz w:val="24"/>
          <w:szCs w:val="24"/>
          <w:lang w:val="en-GB"/>
        </w:rPr>
        <w:t>O</w:t>
      </w:r>
      <w:r w:rsidRPr="00FD1463">
        <w:rPr>
          <w:rFonts w:cstheme="minorHAnsi"/>
          <w:sz w:val="24"/>
          <w:szCs w:val="24"/>
          <w:vertAlign w:val="subscript"/>
          <w:lang w:val="en-GB"/>
        </w:rPr>
        <w:t>sw</w:t>
      </w:r>
      <w:r>
        <w:rPr>
          <w:rFonts w:cstheme="minorHAnsi"/>
          <w:sz w:val="24"/>
          <w:szCs w:val="24"/>
          <w:vertAlign w:val="subscript"/>
          <w:lang w:val="en-GB"/>
        </w:rPr>
        <w:t>-SST</w:t>
      </w:r>
      <w:r>
        <w:rPr>
          <w:rFonts w:cstheme="minorHAnsi"/>
          <w:sz w:val="24"/>
          <w:szCs w:val="24"/>
          <w:lang w:val="en-GB"/>
        </w:rPr>
        <w:t xml:space="preserve"> (SST corrected only) from U1476 (pink) and </w:t>
      </w:r>
      <w:r>
        <w:rPr>
          <w:rFonts w:ascii="Times New Roman" w:hAnsi="Times New Roman" w:cs="Times New Roman"/>
          <w:sz w:val="24"/>
          <w:szCs w:val="24"/>
          <w:lang w:val="en-GB"/>
        </w:rPr>
        <w:t>δ</w:t>
      </w:r>
      <w:r w:rsidRPr="00FD1463">
        <w:rPr>
          <w:rFonts w:cstheme="minorHAnsi"/>
          <w:sz w:val="24"/>
          <w:szCs w:val="24"/>
          <w:vertAlign w:val="superscript"/>
          <w:lang w:val="en-GB"/>
        </w:rPr>
        <w:t>18</w:t>
      </w:r>
      <w:r>
        <w:rPr>
          <w:rFonts w:cstheme="minorHAnsi"/>
          <w:sz w:val="24"/>
          <w:szCs w:val="24"/>
          <w:lang w:val="en-GB"/>
        </w:rPr>
        <w:t xml:space="preserve">O from global ice volume changes (de Boer et al., 2014). In each glacial cycle, the change in surface water </w:t>
      </w:r>
      <w:r>
        <w:rPr>
          <w:rFonts w:ascii="Times New Roman" w:hAnsi="Times New Roman" w:cs="Times New Roman"/>
          <w:sz w:val="24"/>
          <w:szCs w:val="24"/>
          <w:lang w:val="en-GB"/>
        </w:rPr>
        <w:t>δ</w:t>
      </w:r>
      <w:r w:rsidRPr="00FD1463">
        <w:rPr>
          <w:rFonts w:cstheme="minorHAnsi"/>
          <w:sz w:val="24"/>
          <w:szCs w:val="24"/>
          <w:vertAlign w:val="superscript"/>
          <w:lang w:val="en-GB"/>
        </w:rPr>
        <w:t>18</w:t>
      </w:r>
      <w:r>
        <w:rPr>
          <w:rFonts w:cstheme="minorHAnsi"/>
          <w:sz w:val="24"/>
          <w:szCs w:val="24"/>
          <w:lang w:val="en-GB"/>
        </w:rPr>
        <w:t>O</w:t>
      </w:r>
      <w:r w:rsidRPr="00FD1463">
        <w:rPr>
          <w:rFonts w:cstheme="minorHAnsi"/>
          <w:sz w:val="24"/>
          <w:szCs w:val="24"/>
          <w:vertAlign w:val="subscript"/>
          <w:lang w:val="en-GB"/>
        </w:rPr>
        <w:t>sw</w:t>
      </w:r>
      <w:r>
        <w:rPr>
          <w:rFonts w:cstheme="minorHAnsi"/>
          <w:sz w:val="24"/>
          <w:szCs w:val="24"/>
          <w:vertAlign w:val="subscript"/>
          <w:lang w:val="en-GB"/>
        </w:rPr>
        <w:t>-SST</w:t>
      </w:r>
      <w:r>
        <w:rPr>
          <w:rFonts w:cstheme="minorHAnsi"/>
          <w:sz w:val="24"/>
          <w:szCs w:val="24"/>
          <w:lang w:val="en-GB"/>
        </w:rPr>
        <w:t xml:space="preserve"> at U1476 exceeds global changes during peak glacial conditions. The average </w:t>
      </w:r>
      <w:r>
        <w:rPr>
          <w:rFonts w:cstheme="minorHAnsi"/>
          <w:sz w:val="24"/>
          <w:szCs w:val="24"/>
          <w:lang w:val="en-GB"/>
        </w:rPr>
        <w:lastRenderedPageBreak/>
        <w:t xml:space="preserve">glacial-interglacial difference across all glacial cycles is roughly 50% lower in the </w:t>
      </w:r>
      <w:r>
        <w:rPr>
          <w:rFonts w:ascii="Times New Roman" w:hAnsi="Times New Roman" w:cs="Times New Roman"/>
          <w:sz w:val="24"/>
          <w:szCs w:val="24"/>
          <w:lang w:val="en-GB"/>
        </w:rPr>
        <w:t>δ</w:t>
      </w:r>
      <w:r w:rsidRPr="00FD1463">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global ice volume</w:t>
      </w:r>
      <w:r>
        <w:rPr>
          <w:rFonts w:cstheme="minorHAnsi"/>
          <w:sz w:val="24"/>
          <w:szCs w:val="24"/>
          <w:lang w:val="en-GB"/>
        </w:rPr>
        <w:t xml:space="preserve"> than in the </w:t>
      </w:r>
      <w:r>
        <w:rPr>
          <w:rFonts w:ascii="Times New Roman" w:hAnsi="Times New Roman" w:cs="Times New Roman"/>
          <w:sz w:val="24"/>
          <w:szCs w:val="24"/>
          <w:lang w:val="en-GB"/>
        </w:rPr>
        <w:t>δ</w:t>
      </w:r>
      <w:r w:rsidRPr="00FD1463">
        <w:rPr>
          <w:rFonts w:cstheme="minorHAnsi"/>
          <w:sz w:val="24"/>
          <w:szCs w:val="24"/>
          <w:vertAlign w:val="superscript"/>
          <w:lang w:val="en-GB"/>
        </w:rPr>
        <w:t>18</w:t>
      </w:r>
      <w:r>
        <w:rPr>
          <w:rFonts w:cstheme="minorHAnsi"/>
          <w:sz w:val="24"/>
          <w:szCs w:val="24"/>
          <w:lang w:val="en-GB"/>
        </w:rPr>
        <w:t>O</w:t>
      </w:r>
      <w:r w:rsidRPr="00FD1463">
        <w:rPr>
          <w:rFonts w:cstheme="minorHAnsi"/>
          <w:sz w:val="24"/>
          <w:szCs w:val="24"/>
          <w:vertAlign w:val="subscript"/>
          <w:lang w:val="en-GB"/>
        </w:rPr>
        <w:t>sw</w:t>
      </w:r>
      <w:r>
        <w:rPr>
          <w:rFonts w:cstheme="minorHAnsi"/>
          <w:sz w:val="24"/>
          <w:szCs w:val="24"/>
          <w:vertAlign w:val="subscript"/>
          <w:lang w:val="en-GB"/>
        </w:rPr>
        <w:t>-SST</w:t>
      </w:r>
      <w:r>
        <w:rPr>
          <w:rFonts w:cstheme="minorHAnsi"/>
          <w:sz w:val="24"/>
          <w:szCs w:val="24"/>
          <w:lang w:val="en-GB"/>
        </w:rPr>
        <w:t>.</w:t>
      </w:r>
    </w:p>
    <w:p w14:paraId="1E981DEA" w14:textId="77777777" w:rsidR="00E91F05" w:rsidRDefault="00E91F05" w:rsidP="00E91F05">
      <w:pPr>
        <w:spacing w:line="360" w:lineRule="auto"/>
        <w:rPr>
          <w:rFonts w:cstheme="minorHAnsi"/>
          <w:sz w:val="24"/>
          <w:szCs w:val="24"/>
          <w:lang w:val="en-GB"/>
        </w:rPr>
      </w:pPr>
    </w:p>
    <w:p w14:paraId="4CC064A3" w14:textId="77777777" w:rsidR="00E91F05" w:rsidRPr="00386582" w:rsidRDefault="00E91F05" w:rsidP="00E91F05">
      <w:pPr>
        <w:spacing w:line="360" w:lineRule="auto"/>
        <w:rPr>
          <w:rFonts w:cstheme="minorHAnsi"/>
          <w:sz w:val="24"/>
          <w:szCs w:val="24"/>
          <w:lang w:val="en-GB"/>
        </w:rPr>
      </w:pPr>
      <w:r w:rsidRPr="00386582">
        <w:rPr>
          <w:rFonts w:cstheme="minorHAnsi"/>
          <w:noProof/>
          <w:sz w:val="24"/>
          <w:szCs w:val="24"/>
          <w:lang w:eastAsia="de-DE"/>
        </w:rPr>
        <w:drawing>
          <wp:inline distT="0" distB="0" distL="0" distR="0" wp14:anchorId="1FB69671" wp14:editId="3AB63090">
            <wp:extent cx="5760720" cy="4862856"/>
            <wp:effectExtent l="0" t="0" r="0" b="0"/>
            <wp:docPr id="4" name="Picture 4" descr="C:\Users\Sophie\Documents\PhD\U1476\U1476_AL_comp4_LEAD_450kyr_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Documents\PhD\U1476\U1476_AL_comp4_LEAD_450kyr_D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862856"/>
                    </a:xfrm>
                    <a:prstGeom prst="rect">
                      <a:avLst/>
                    </a:prstGeom>
                    <a:noFill/>
                    <a:ln>
                      <a:noFill/>
                    </a:ln>
                  </pic:spPr>
                </pic:pic>
              </a:graphicData>
            </a:graphic>
          </wp:inline>
        </w:drawing>
      </w:r>
    </w:p>
    <w:p w14:paraId="0BE197C3" w14:textId="69F9FB1E" w:rsidR="00E91F05" w:rsidRDefault="00E91F05" w:rsidP="00E91F05">
      <w:pPr>
        <w:spacing w:line="360" w:lineRule="auto"/>
        <w:rPr>
          <w:rFonts w:cstheme="minorHAnsi"/>
          <w:sz w:val="24"/>
          <w:szCs w:val="24"/>
          <w:lang w:val="en-GB"/>
        </w:rPr>
      </w:pPr>
      <w:r w:rsidRPr="00E91F05">
        <w:rPr>
          <w:rFonts w:cstheme="minorHAnsi"/>
          <w:sz w:val="24"/>
          <w:szCs w:val="24"/>
          <w:u w:val="single"/>
          <w:lang w:val="en-GB"/>
        </w:rPr>
        <w:t>Figure S2.</w:t>
      </w:r>
      <w:r w:rsidRPr="00F5563F">
        <w:rPr>
          <w:rFonts w:cstheme="minorHAnsi"/>
          <w:sz w:val="24"/>
          <w:szCs w:val="24"/>
          <w:lang w:val="en-GB"/>
        </w:rPr>
        <w:t xml:space="preserve"> Surface hydrography in the source regions of the ITF and the Indian Ocean. (a) </w:t>
      </w:r>
      <w:r>
        <w:rPr>
          <w:rFonts w:cstheme="minorHAnsi"/>
          <w:sz w:val="24"/>
          <w:szCs w:val="24"/>
          <w:lang w:val="en-GB"/>
        </w:rPr>
        <w:t xml:space="preserve">U1476 </w:t>
      </w:r>
      <w:r w:rsidRPr="000B49EE">
        <w:rPr>
          <w:rFonts w:cstheme="minorHAnsi"/>
          <w:sz w:val="24"/>
          <w:szCs w:val="24"/>
        </w:rPr>
        <w:t>δ</w:t>
      </w:r>
      <w:r w:rsidRPr="00F5563F">
        <w:rPr>
          <w:rFonts w:cstheme="minorHAnsi"/>
          <w:sz w:val="24"/>
          <w:szCs w:val="24"/>
          <w:vertAlign w:val="superscript"/>
          <w:lang w:val="en-GB"/>
        </w:rPr>
        <w:t>18</w:t>
      </w:r>
      <w:r w:rsidRPr="00F5563F">
        <w:rPr>
          <w:rFonts w:cstheme="minorHAnsi"/>
          <w:sz w:val="24"/>
          <w:szCs w:val="24"/>
          <w:lang w:val="en-GB"/>
        </w:rPr>
        <w:t>O</w:t>
      </w:r>
      <w:r w:rsidRPr="00F5563F">
        <w:rPr>
          <w:rFonts w:cstheme="minorHAnsi"/>
          <w:sz w:val="24"/>
          <w:szCs w:val="24"/>
          <w:vertAlign w:val="subscript"/>
          <w:lang w:val="en-GB"/>
        </w:rPr>
        <w:t>sw</w:t>
      </w:r>
      <w:r>
        <w:rPr>
          <w:rFonts w:cstheme="minorHAnsi"/>
          <w:sz w:val="24"/>
          <w:szCs w:val="24"/>
          <w:vertAlign w:val="subscript"/>
          <w:lang w:val="en-GB"/>
        </w:rPr>
        <w:t>-ivc</w:t>
      </w:r>
      <w:r w:rsidRPr="00F5563F">
        <w:rPr>
          <w:rFonts w:cstheme="minorHAnsi"/>
          <w:sz w:val="24"/>
          <w:szCs w:val="24"/>
          <w:lang w:val="en-GB"/>
        </w:rPr>
        <w:t xml:space="preserve"> (</w:t>
      </w:r>
      <w:r>
        <w:rPr>
          <w:rFonts w:cstheme="minorHAnsi"/>
          <w:sz w:val="24"/>
          <w:szCs w:val="24"/>
          <w:lang w:val="en-GB"/>
        </w:rPr>
        <w:t>dark green</w:t>
      </w:r>
      <w:r w:rsidRPr="00F5563F">
        <w:rPr>
          <w:rFonts w:cstheme="minorHAnsi"/>
          <w:sz w:val="24"/>
          <w:szCs w:val="24"/>
          <w:lang w:val="en-GB"/>
        </w:rPr>
        <w:t xml:space="preserve">), </w:t>
      </w:r>
      <w:r>
        <w:rPr>
          <w:rFonts w:cstheme="minorHAnsi"/>
          <w:sz w:val="24"/>
          <w:szCs w:val="24"/>
          <w:lang w:val="en-GB"/>
        </w:rPr>
        <w:t xml:space="preserve">U1476 </w:t>
      </w:r>
      <w:r w:rsidRPr="00F5563F">
        <w:rPr>
          <w:rFonts w:cstheme="minorHAnsi"/>
          <w:sz w:val="24"/>
          <w:szCs w:val="24"/>
          <w:lang w:val="en-GB"/>
        </w:rPr>
        <w:t>Mg/Ca-derived sea surface temperatures (</w:t>
      </w:r>
      <w:r>
        <w:rPr>
          <w:rFonts w:cstheme="minorHAnsi"/>
          <w:sz w:val="24"/>
          <w:szCs w:val="24"/>
          <w:lang w:val="en-GB"/>
        </w:rPr>
        <w:t>orange</w:t>
      </w:r>
      <w:r w:rsidRPr="00F5563F">
        <w:rPr>
          <w:rFonts w:cstheme="minorHAnsi"/>
          <w:sz w:val="24"/>
          <w:szCs w:val="24"/>
          <w:lang w:val="en-GB"/>
        </w:rPr>
        <w:t xml:space="preserve">), and </w:t>
      </w:r>
      <w:r>
        <w:rPr>
          <w:rFonts w:cstheme="minorHAnsi"/>
          <w:sz w:val="24"/>
          <w:szCs w:val="24"/>
          <w:lang w:val="en-GB"/>
        </w:rPr>
        <w:t xml:space="preserve">U1476 </w:t>
      </w:r>
      <w:r w:rsidRPr="000B49EE">
        <w:rPr>
          <w:rFonts w:cstheme="minorHAnsi"/>
          <w:sz w:val="24"/>
          <w:szCs w:val="24"/>
        </w:rPr>
        <w:t>δ</w:t>
      </w:r>
      <w:r w:rsidRPr="00F5563F">
        <w:rPr>
          <w:rFonts w:cstheme="minorHAnsi"/>
          <w:sz w:val="24"/>
          <w:szCs w:val="24"/>
          <w:vertAlign w:val="superscript"/>
          <w:lang w:val="en-GB"/>
        </w:rPr>
        <w:t>18</w:t>
      </w:r>
      <w:r w:rsidRPr="00F5563F">
        <w:rPr>
          <w:rFonts w:cstheme="minorHAnsi"/>
          <w:sz w:val="24"/>
          <w:szCs w:val="24"/>
          <w:lang w:val="en-GB"/>
        </w:rPr>
        <w:t>O</w:t>
      </w:r>
      <w:r w:rsidRPr="00421F77">
        <w:rPr>
          <w:rFonts w:cstheme="minorHAnsi"/>
          <w:sz w:val="24"/>
          <w:szCs w:val="24"/>
          <w:vertAlign w:val="subscript"/>
          <w:lang w:val="en-GB"/>
        </w:rPr>
        <w:t>benthic</w:t>
      </w:r>
      <w:r w:rsidRPr="00F5563F">
        <w:rPr>
          <w:rFonts w:cstheme="minorHAnsi"/>
          <w:sz w:val="24"/>
          <w:szCs w:val="24"/>
          <w:lang w:val="en-GB"/>
        </w:rPr>
        <w:t xml:space="preserve"> (</w:t>
      </w:r>
      <w:r>
        <w:rPr>
          <w:rFonts w:cstheme="minorHAnsi"/>
          <w:sz w:val="24"/>
          <w:szCs w:val="24"/>
          <w:lang w:val="en-GB"/>
        </w:rPr>
        <w:t xml:space="preserve">thin </w:t>
      </w:r>
      <w:r w:rsidRPr="00F5563F">
        <w:rPr>
          <w:rFonts w:cstheme="minorHAnsi"/>
          <w:sz w:val="24"/>
          <w:szCs w:val="24"/>
          <w:lang w:val="en-GB"/>
        </w:rPr>
        <w:t>blue</w:t>
      </w:r>
      <w:r>
        <w:rPr>
          <w:rFonts w:cstheme="minorHAnsi"/>
          <w:sz w:val="24"/>
          <w:szCs w:val="24"/>
          <w:lang w:val="en-GB"/>
        </w:rPr>
        <w:t xml:space="preserve"> line</w:t>
      </w:r>
      <w:r w:rsidRPr="00F5563F">
        <w:rPr>
          <w:rFonts w:cstheme="minorHAnsi"/>
          <w:sz w:val="24"/>
          <w:szCs w:val="24"/>
          <w:lang w:val="en-GB"/>
        </w:rPr>
        <w:t>)</w:t>
      </w:r>
      <w:r w:rsidR="002B5AF2">
        <w:rPr>
          <w:rFonts w:cstheme="minorHAnsi"/>
          <w:sz w:val="24"/>
          <w:szCs w:val="24"/>
          <w:lang w:val="en-GB"/>
        </w:rPr>
        <w:t xml:space="preserve"> (van der Lubbe et al., 2021)</w:t>
      </w:r>
      <w:r w:rsidRPr="00F5563F">
        <w:rPr>
          <w:rFonts w:cstheme="minorHAnsi"/>
          <w:sz w:val="24"/>
          <w:szCs w:val="24"/>
          <w:lang w:val="en-GB"/>
        </w:rPr>
        <w:t xml:space="preserve"> from the </w:t>
      </w:r>
      <w:r>
        <w:rPr>
          <w:rFonts w:cstheme="minorHAnsi"/>
          <w:sz w:val="24"/>
          <w:szCs w:val="24"/>
          <w:lang w:val="en-GB"/>
        </w:rPr>
        <w:t>western Indian Ocean.</w:t>
      </w:r>
      <w:r w:rsidRPr="00F5563F">
        <w:rPr>
          <w:rFonts w:cstheme="minorHAnsi"/>
          <w:sz w:val="24"/>
          <w:szCs w:val="24"/>
          <w:lang w:val="en-GB"/>
        </w:rPr>
        <w:t xml:space="preserve"> (b) Alkenone-derived sea surface temperatures</w:t>
      </w:r>
      <w:r>
        <w:rPr>
          <w:rFonts w:cstheme="minorHAnsi"/>
          <w:sz w:val="24"/>
          <w:szCs w:val="24"/>
          <w:lang w:val="en-GB"/>
        </w:rPr>
        <w:t xml:space="preserve"> (light pink) and </w:t>
      </w:r>
      <w:r w:rsidRPr="000B49EE">
        <w:rPr>
          <w:rFonts w:cstheme="minorHAnsi"/>
          <w:sz w:val="24"/>
          <w:szCs w:val="24"/>
        </w:rPr>
        <w:t>δ</w:t>
      </w:r>
      <w:r w:rsidRPr="00F5563F">
        <w:rPr>
          <w:rFonts w:cstheme="minorHAnsi"/>
          <w:sz w:val="24"/>
          <w:szCs w:val="24"/>
          <w:vertAlign w:val="superscript"/>
          <w:lang w:val="en-GB"/>
        </w:rPr>
        <w:t>18</w:t>
      </w:r>
      <w:r w:rsidRPr="00F5563F">
        <w:rPr>
          <w:rFonts w:cstheme="minorHAnsi"/>
          <w:sz w:val="24"/>
          <w:szCs w:val="24"/>
          <w:lang w:val="en-GB"/>
        </w:rPr>
        <w:t>O</w:t>
      </w:r>
      <w:r w:rsidRPr="00421F77">
        <w:rPr>
          <w:rFonts w:cstheme="minorHAnsi"/>
          <w:sz w:val="24"/>
          <w:szCs w:val="24"/>
          <w:vertAlign w:val="subscript"/>
          <w:lang w:val="en-GB"/>
        </w:rPr>
        <w:t>benthic</w:t>
      </w:r>
      <w:r w:rsidRPr="00F5563F">
        <w:rPr>
          <w:rFonts w:cstheme="minorHAnsi"/>
          <w:sz w:val="24"/>
          <w:szCs w:val="24"/>
          <w:lang w:val="en-GB"/>
        </w:rPr>
        <w:t xml:space="preserve"> </w:t>
      </w:r>
      <w:r>
        <w:rPr>
          <w:rFonts w:cstheme="minorHAnsi"/>
          <w:sz w:val="24"/>
          <w:szCs w:val="24"/>
          <w:lang w:val="en-GB"/>
        </w:rPr>
        <w:t xml:space="preserve">(thin blue line) </w:t>
      </w:r>
      <w:r w:rsidRPr="00F5563F">
        <w:rPr>
          <w:rFonts w:cstheme="minorHAnsi"/>
          <w:sz w:val="24"/>
          <w:szCs w:val="24"/>
          <w:lang w:val="en-GB"/>
        </w:rPr>
        <w:t>from the South China Sea</w:t>
      </w:r>
      <w:r>
        <w:rPr>
          <w:rFonts w:cstheme="minorHAnsi"/>
          <w:sz w:val="24"/>
          <w:szCs w:val="24"/>
          <w:lang w:val="en-GB"/>
        </w:rPr>
        <w:t xml:space="preserve"> (Herbert et al., 2010).</w:t>
      </w:r>
      <w:r w:rsidRPr="00F5563F">
        <w:rPr>
          <w:rFonts w:cstheme="minorHAnsi"/>
          <w:sz w:val="24"/>
          <w:szCs w:val="24"/>
          <w:lang w:val="en-GB"/>
        </w:rPr>
        <w:t xml:space="preserve"> (</w:t>
      </w:r>
      <w:r>
        <w:rPr>
          <w:rFonts w:cstheme="minorHAnsi"/>
          <w:sz w:val="24"/>
          <w:szCs w:val="24"/>
          <w:lang w:val="en-GB"/>
        </w:rPr>
        <w:t>c</w:t>
      </w:r>
      <w:r w:rsidRPr="00F5563F">
        <w:rPr>
          <w:rFonts w:cstheme="minorHAnsi"/>
          <w:sz w:val="24"/>
          <w:szCs w:val="24"/>
          <w:lang w:val="en-GB"/>
        </w:rPr>
        <w:t>) Mg/Ca-derived sea surface temperatures (</w:t>
      </w:r>
      <w:r>
        <w:rPr>
          <w:rFonts w:cstheme="minorHAnsi"/>
          <w:sz w:val="24"/>
          <w:szCs w:val="24"/>
          <w:lang w:val="en-GB"/>
        </w:rPr>
        <w:t>brown</w:t>
      </w:r>
      <w:r w:rsidRPr="00F5563F">
        <w:rPr>
          <w:rFonts w:cstheme="minorHAnsi"/>
          <w:sz w:val="24"/>
          <w:szCs w:val="24"/>
          <w:lang w:val="en-GB"/>
        </w:rPr>
        <w:t xml:space="preserve">) and </w:t>
      </w:r>
      <w:r w:rsidRPr="000B49EE">
        <w:rPr>
          <w:rFonts w:cstheme="minorHAnsi"/>
          <w:sz w:val="24"/>
          <w:szCs w:val="24"/>
        </w:rPr>
        <w:t>δ</w:t>
      </w:r>
      <w:r w:rsidRPr="00F5563F">
        <w:rPr>
          <w:rFonts w:cstheme="minorHAnsi"/>
          <w:sz w:val="24"/>
          <w:szCs w:val="24"/>
          <w:vertAlign w:val="superscript"/>
          <w:lang w:val="en-GB"/>
        </w:rPr>
        <w:t>18</w:t>
      </w:r>
      <w:r w:rsidRPr="00F5563F">
        <w:rPr>
          <w:rFonts w:cstheme="minorHAnsi"/>
          <w:sz w:val="24"/>
          <w:szCs w:val="24"/>
          <w:lang w:val="en-GB"/>
        </w:rPr>
        <w:t>O</w:t>
      </w:r>
      <w:r w:rsidRPr="00F5563F">
        <w:rPr>
          <w:rFonts w:cstheme="minorHAnsi"/>
          <w:sz w:val="24"/>
          <w:szCs w:val="24"/>
          <w:vertAlign w:val="subscript"/>
          <w:lang w:val="en-GB"/>
        </w:rPr>
        <w:t>benthic</w:t>
      </w:r>
      <w:r w:rsidRPr="00F5563F">
        <w:rPr>
          <w:rFonts w:cstheme="minorHAnsi"/>
          <w:sz w:val="24"/>
          <w:szCs w:val="24"/>
          <w:lang w:val="en-GB"/>
        </w:rPr>
        <w:t xml:space="preserve"> (</w:t>
      </w:r>
      <w:r>
        <w:rPr>
          <w:rFonts w:cstheme="minorHAnsi"/>
          <w:sz w:val="24"/>
          <w:szCs w:val="24"/>
          <w:lang w:val="en-GB"/>
        </w:rPr>
        <w:t xml:space="preserve">thin </w:t>
      </w:r>
      <w:r w:rsidRPr="00F5563F">
        <w:rPr>
          <w:rFonts w:cstheme="minorHAnsi"/>
          <w:sz w:val="24"/>
          <w:szCs w:val="24"/>
          <w:lang w:val="en-GB"/>
        </w:rPr>
        <w:t>blue</w:t>
      </w:r>
      <w:r>
        <w:rPr>
          <w:rFonts w:cstheme="minorHAnsi"/>
          <w:sz w:val="24"/>
          <w:szCs w:val="24"/>
          <w:lang w:val="en-GB"/>
        </w:rPr>
        <w:t xml:space="preserve"> line</w:t>
      </w:r>
      <w:r w:rsidRPr="00F5563F">
        <w:rPr>
          <w:rFonts w:cstheme="minorHAnsi"/>
          <w:sz w:val="24"/>
          <w:szCs w:val="24"/>
          <w:lang w:val="en-GB"/>
        </w:rPr>
        <w:t>) from the western Pacific warm pool</w:t>
      </w:r>
      <w:r>
        <w:rPr>
          <w:rFonts w:cstheme="minorHAnsi"/>
          <w:sz w:val="24"/>
          <w:szCs w:val="24"/>
          <w:lang w:val="en-GB"/>
        </w:rPr>
        <w:t xml:space="preserve"> (de </w:t>
      </w:r>
      <w:proofErr w:type="spellStart"/>
      <w:r>
        <w:rPr>
          <w:rFonts w:cstheme="minorHAnsi"/>
          <w:sz w:val="24"/>
          <w:szCs w:val="24"/>
          <w:lang w:val="en-GB"/>
        </w:rPr>
        <w:t>Gardiel</w:t>
      </w:r>
      <w:proofErr w:type="spellEnd"/>
      <w:r>
        <w:rPr>
          <w:rFonts w:cstheme="minorHAnsi"/>
          <w:sz w:val="24"/>
          <w:szCs w:val="24"/>
          <w:lang w:val="en-GB"/>
        </w:rPr>
        <w:t>-Thoron et al., 2012)</w:t>
      </w:r>
      <w:r w:rsidRPr="00F5563F">
        <w:rPr>
          <w:rFonts w:cstheme="minorHAnsi"/>
          <w:sz w:val="24"/>
          <w:szCs w:val="24"/>
          <w:lang w:val="en-GB"/>
        </w:rPr>
        <w:t>.</w:t>
      </w:r>
      <w:r>
        <w:rPr>
          <w:rFonts w:cstheme="minorHAnsi"/>
          <w:sz w:val="24"/>
          <w:szCs w:val="24"/>
          <w:lang w:val="en-GB"/>
        </w:rPr>
        <w:t xml:space="preserve"> Onset of U1476 glacial salinification highlighted in grey bars. Note that both South China Sea, and western Pacific warm pool records do not show a similarly consistent lead-lag pattern between their respective SST and </w:t>
      </w:r>
      <w:r w:rsidRPr="000B49EE">
        <w:rPr>
          <w:rFonts w:cstheme="minorHAnsi"/>
          <w:sz w:val="24"/>
          <w:szCs w:val="24"/>
        </w:rPr>
        <w:t>δ</w:t>
      </w:r>
      <w:r w:rsidRPr="00F5563F">
        <w:rPr>
          <w:rFonts w:cstheme="minorHAnsi"/>
          <w:sz w:val="24"/>
          <w:szCs w:val="24"/>
          <w:vertAlign w:val="superscript"/>
          <w:lang w:val="en-GB"/>
        </w:rPr>
        <w:t>18</w:t>
      </w:r>
      <w:r w:rsidRPr="00F5563F">
        <w:rPr>
          <w:rFonts w:cstheme="minorHAnsi"/>
          <w:sz w:val="24"/>
          <w:szCs w:val="24"/>
          <w:lang w:val="en-GB"/>
        </w:rPr>
        <w:t>O</w:t>
      </w:r>
      <w:r w:rsidRPr="00421F77">
        <w:rPr>
          <w:rFonts w:cstheme="minorHAnsi"/>
          <w:sz w:val="24"/>
          <w:szCs w:val="24"/>
          <w:vertAlign w:val="subscript"/>
          <w:lang w:val="en-GB"/>
        </w:rPr>
        <w:t>benthic</w:t>
      </w:r>
      <w:r>
        <w:rPr>
          <w:rFonts w:cstheme="minorHAnsi"/>
          <w:sz w:val="24"/>
          <w:szCs w:val="24"/>
          <w:lang w:val="en-GB"/>
        </w:rPr>
        <w:t xml:space="preserve"> data. </w:t>
      </w:r>
    </w:p>
    <w:p w14:paraId="6887BF72" w14:textId="77777777" w:rsidR="00E91F05" w:rsidRDefault="00E91F05" w:rsidP="00E91F05">
      <w:pPr>
        <w:spacing w:line="360" w:lineRule="auto"/>
        <w:rPr>
          <w:rFonts w:cstheme="minorHAnsi"/>
          <w:sz w:val="24"/>
          <w:szCs w:val="24"/>
          <w:lang w:val="en-GB"/>
        </w:rPr>
      </w:pPr>
    </w:p>
    <w:p w14:paraId="3AC86DAD" w14:textId="77777777" w:rsidR="00E91F05" w:rsidRDefault="00E91F05" w:rsidP="00E91F05">
      <w:pPr>
        <w:spacing w:line="360" w:lineRule="auto"/>
        <w:rPr>
          <w:rFonts w:cstheme="minorHAnsi"/>
          <w:sz w:val="24"/>
          <w:szCs w:val="24"/>
          <w:lang w:val="en-GB"/>
        </w:rPr>
      </w:pPr>
      <w:r w:rsidRPr="00F5563F">
        <w:rPr>
          <w:rFonts w:cstheme="minorHAnsi"/>
          <w:noProof/>
          <w:sz w:val="24"/>
          <w:szCs w:val="24"/>
          <w:lang w:eastAsia="de-DE"/>
        </w:rPr>
        <w:lastRenderedPageBreak/>
        <w:drawing>
          <wp:inline distT="0" distB="0" distL="0" distR="0" wp14:anchorId="7A71D109" wp14:editId="7B6D4678">
            <wp:extent cx="5760720" cy="1765935"/>
            <wp:effectExtent l="0" t="0" r="0" b="5715"/>
            <wp:docPr id="5" name="Picture 5" descr="E:\U1476_TM_compilation_DisFigure_U1476Supp_202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1476_TM_compilation_DisFigure_U1476Supp_20211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65935"/>
                    </a:xfrm>
                    <a:prstGeom prst="rect">
                      <a:avLst/>
                    </a:prstGeom>
                    <a:noFill/>
                    <a:ln>
                      <a:noFill/>
                    </a:ln>
                  </pic:spPr>
                </pic:pic>
              </a:graphicData>
            </a:graphic>
          </wp:inline>
        </w:drawing>
      </w:r>
    </w:p>
    <w:p w14:paraId="362469F4" w14:textId="77777777" w:rsidR="00E91F05" w:rsidRPr="000B49EE" w:rsidRDefault="00E91F05" w:rsidP="00E91F05">
      <w:pPr>
        <w:spacing w:line="360" w:lineRule="auto"/>
        <w:rPr>
          <w:rFonts w:cstheme="minorHAnsi"/>
          <w:sz w:val="24"/>
          <w:szCs w:val="24"/>
          <w:lang w:val="en-GB"/>
        </w:rPr>
      </w:pPr>
      <w:r w:rsidRPr="00E91F05">
        <w:rPr>
          <w:rFonts w:cstheme="minorHAnsi"/>
          <w:sz w:val="24"/>
          <w:szCs w:val="24"/>
          <w:u w:val="single"/>
          <w:lang w:val="en-GB"/>
        </w:rPr>
        <w:t>Figure S3.</w:t>
      </w:r>
      <w:r>
        <w:rPr>
          <w:rFonts w:cstheme="minorHAnsi"/>
          <w:sz w:val="24"/>
          <w:szCs w:val="24"/>
          <w:lang w:val="en-GB"/>
        </w:rPr>
        <w:t xml:space="preserve"> (a) U1476 ice volume-corrected </w:t>
      </w:r>
      <w:r>
        <w:rPr>
          <w:rFonts w:ascii="Times New Roman" w:hAnsi="Times New Roman" w:cs="Times New Roman"/>
          <w:sz w:val="24"/>
          <w:lang w:val="en-GB"/>
        </w:rPr>
        <w:t>δ</w:t>
      </w:r>
      <w:r w:rsidRPr="009944CB">
        <w:rPr>
          <w:sz w:val="24"/>
          <w:vertAlign w:val="superscript"/>
          <w:lang w:val="en-GB"/>
        </w:rPr>
        <w:t>18</w:t>
      </w:r>
      <w:r>
        <w:rPr>
          <w:sz w:val="24"/>
          <w:lang w:val="en-GB"/>
        </w:rPr>
        <w:t>O</w:t>
      </w:r>
      <w:r>
        <w:rPr>
          <w:sz w:val="24"/>
          <w:vertAlign w:val="subscript"/>
          <w:lang w:val="en-GB"/>
        </w:rPr>
        <w:t xml:space="preserve">sw </w:t>
      </w:r>
      <w:r>
        <w:rPr>
          <w:rFonts w:cstheme="minorHAnsi"/>
          <w:sz w:val="24"/>
          <w:szCs w:val="24"/>
          <w:lang w:val="en-GB"/>
        </w:rPr>
        <w:t xml:space="preserve">(green line) for the surface Ocean, with the onset of </w:t>
      </w:r>
      <w:r>
        <w:rPr>
          <w:rFonts w:ascii="Times New Roman" w:hAnsi="Times New Roman" w:cs="Times New Roman"/>
          <w:sz w:val="24"/>
          <w:lang w:val="en-GB"/>
        </w:rPr>
        <w:t>δ</w:t>
      </w:r>
      <w:r w:rsidRPr="009944CB">
        <w:rPr>
          <w:sz w:val="24"/>
          <w:vertAlign w:val="superscript"/>
          <w:lang w:val="en-GB"/>
        </w:rPr>
        <w:t>18</w:t>
      </w:r>
      <w:r>
        <w:rPr>
          <w:sz w:val="24"/>
          <w:lang w:val="en-GB"/>
        </w:rPr>
        <w:t>O</w:t>
      </w:r>
      <w:r>
        <w:rPr>
          <w:sz w:val="24"/>
          <w:vertAlign w:val="subscript"/>
          <w:lang w:val="en-GB"/>
        </w:rPr>
        <w:t xml:space="preserve">sw-ivc </w:t>
      </w:r>
      <w:r>
        <w:rPr>
          <w:rFonts w:cstheme="minorHAnsi"/>
          <w:sz w:val="24"/>
          <w:szCs w:val="24"/>
          <w:lang w:val="en-GB"/>
        </w:rPr>
        <w:t xml:space="preserve">increases indicated by green diamonds. (b) Relative sea level (de Boer et al., 2014) (pink line), with pink dots indicating the RSL-stands at times of onset of </w:t>
      </w:r>
      <w:r>
        <w:rPr>
          <w:rFonts w:ascii="Times New Roman" w:hAnsi="Times New Roman" w:cs="Times New Roman"/>
          <w:sz w:val="24"/>
          <w:lang w:val="en-GB"/>
        </w:rPr>
        <w:t>δ</w:t>
      </w:r>
      <w:r w:rsidRPr="009944CB">
        <w:rPr>
          <w:sz w:val="24"/>
          <w:vertAlign w:val="superscript"/>
          <w:lang w:val="en-GB"/>
        </w:rPr>
        <w:t>18</w:t>
      </w:r>
      <w:r>
        <w:rPr>
          <w:sz w:val="24"/>
          <w:lang w:val="en-GB"/>
        </w:rPr>
        <w:t>O</w:t>
      </w:r>
      <w:r>
        <w:rPr>
          <w:sz w:val="24"/>
          <w:vertAlign w:val="subscript"/>
          <w:lang w:val="en-GB"/>
        </w:rPr>
        <w:t xml:space="preserve">sw-ivc </w:t>
      </w:r>
      <w:r>
        <w:rPr>
          <w:rFonts w:cstheme="minorHAnsi"/>
          <w:sz w:val="24"/>
          <w:szCs w:val="24"/>
          <w:lang w:val="en-GB"/>
        </w:rPr>
        <w:t xml:space="preserve">increases (e.g. pink dots mark RSL at the time of the green diamonds in </w:t>
      </w:r>
      <w:r>
        <w:rPr>
          <w:rFonts w:ascii="Times New Roman" w:hAnsi="Times New Roman" w:cs="Times New Roman"/>
          <w:sz w:val="24"/>
          <w:lang w:val="en-GB"/>
        </w:rPr>
        <w:t>δ</w:t>
      </w:r>
      <w:r w:rsidRPr="009944CB">
        <w:rPr>
          <w:sz w:val="24"/>
          <w:vertAlign w:val="superscript"/>
          <w:lang w:val="en-GB"/>
        </w:rPr>
        <w:t>18</w:t>
      </w:r>
      <w:r>
        <w:rPr>
          <w:sz w:val="24"/>
          <w:lang w:val="en-GB"/>
        </w:rPr>
        <w:t>O</w:t>
      </w:r>
      <w:r>
        <w:rPr>
          <w:sz w:val="24"/>
          <w:vertAlign w:val="subscript"/>
          <w:lang w:val="en-GB"/>
        </w:rPr>
        <w:t>sw-ivc</w:t>
      </w:r>
      <w:r>
        <w:rPr>
          <w:rFonts w:cstheme="minorHAnsi"/>
          <w:sz w:val="24"/>
          <w:szCs w:val="24"/>
          <w:lang w:val="en-GB"/>
        </w:rPr>
        <w:t xml:space="preserve">). The average RSL-stand corresponding to increased </w:t>
      </w:r>
      <w:r>
        <w:rPr>
          <w:rFonts w:ascii="Times New Roman" w:hAnsi="Times New Roman" w:cs="Times New Roman"/>
          <w:sz w:val="24"/>
          <w:lang w:val="en-GB"/>
        </w:rPr>
        <w:t>δ</w:t>
      </w:r>
      <w:r w:rsidRPr="009944CB">
        <w:rPr>
          <w:sz w:val="24"/>
          <w:vertAlign w:val="superscript"/>
          <w:lang w:val="en-GB"/>
        </w:rPr>
        <w:t>18</w:t>
      </w:r>
      <w:r>
        <w:rPr>
          <w:sz w:val="24"/>
          <w:lang w:val="en-GB"/>
        </w:rPr>
        <w:t>O</w:t>
      </w:r>
      <w:r>
        <w:rPr>
          <w:sz w:val="24"/>
          <w:vertAlign w:val="subscript"/>
          <w:lang w:val="en-GB"/>
        </w:rPr>
        <w:t>sw-ivc</w:t>
      </w:r>
      <w:r w:rsidRPr="001B4F47">
        <w:rPr>
          <w:sz w:val="24"/>
          <w:lang w:val="en-GB"/>
        </w:rPr>
        <w:t xml:space="preserve"> </w:t>
      </w:r>
      <w:r>
        <w:rPr>
          <w:rFonts w:cstheme="minorHAnsi"/>
          <w:sz w:val="24"/>
          <w:szCs w:val="24"/>
          <w:lang w:val="en-GB"/>
        </w:rPr>
        <w:t xml:space="preserve">is indicated with a horizontal dashed pink line.  This yields very similar results to the analysis of the whole Indian Ocean stack shown in Figure 3. </w:t>
      </w:r>
    </w:p>
    <w:p w14:paraId="2E0182E5" w14:textId="77777777" w:rsidR="00E91F05" w:rsidRDefault="00E91F05" w:rsidP="00E91F05">
      <w:pPr>
        <w:spacing w:line="360" w:lineRule="auto"/>
        <w:rPr>
          <w:rFonts w:cstheme="minorHAnsi"/>
          <w:sz w:val="24"/>
          <w:szCs w:val="24"/>
          <w:lang w:val="en-GB"/>
        </w:rPr>
      </w:pPr>
    </w:p>
    <w:p w14:paraId="0B074916" w14:textId="77777777" w:rsidR="00E91F05" w:rsidRPr="006B1A3D" w:rsidRDefault="00E91F05" w:rsidP="00E91F05">
      <w:pPr>
        <w:spacing w:line="360" w:lineRule="auto"/>
        <w:rPr>
          <w:rFonts w:cstheme="minorHAnsi"/>
          <w:sz w:val="24"/>
          <w:szCs w:val="24"/>
          <w:lang w:val="en-GB"/>
        </w:rPr>
      </w:pPr>
      <w:r w:rsidRPr="006B1A3D">
        <w:rPr>
          <w:rFonts w:cstheme="minorHAnsi"/>
          <w:noProof/>
          <w:sz w:val="24"/>
          <w:szCs w:val="24"/>
          <w:lang w:eastAsia="de-DE"/>
        </w:rPr>
        <w:drawing>
          <wp:inline distT="0" distB="0" distL="0" distR="0" wp14:anchorId="2A3561B5" wp14:editId="5CF216D2">
            <wp:extent cx="5760720" cy="3598915"/>
            <wp:effectExtent l="0" t="0" r="0" b="1905"/>
            <wp:docPr id="1" name="Picture 1" descr="E:\CrossplotShapeCompare_RatioChangeVsRSL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ossplotShapeCompare_RatioChangeVsRSLnew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98915"/>
                    </a:xfrm>
                    <a:prstGeom prst="rect">
                      <a:avLst/>
                    </a:prstGeom>
                    <a:noFill/>
                    <a:ln>
                      <a:noFill/>
                    </a:ln>
                  </pic:spPr>
                </pic:pic>
              </a:graphicData>
            </a:graphic>
          </wp:inline>
        </w:drawing>
      </w:r>
    </w:p>
    <w:p w14:paraId="318B85D1" w14:textId="77777777" w:rsidR="00E91F05" w:rsidRDefault="00E91F05" w:rsidP="00E91F05">
      <w:pPr>
        <w:spacing w:line="360" w:lineRule="auto"/>
        <w:rPr>
          <w:rFonts w:cstheme="minorHAnsi"/>
          <w:sz w:val="24"/>
          <w:szCs w:val="24"/>
          <w:lang w:val="en-GB"/>
        </w:rPr>
      </w:pPr>
      <w:r w:rsidRPr="00E91F05">
        <w:rPr>
          <w:rFonts w:cstheme="minorHAnsi"/>
          <w:sz w:val="24"/>
          <w:szCs w:val="24"/>
          <w:u w:val="single"/>
          <w:lang w:val="en-GB"/>
        </w:rPr>
        <w:t>Figure S4.</w:t>
      </w:r>
      <w:r>
        <w:rPr>
          <w:rFonts w:cstheme="minorHAnsi"/>
          <w:sz w:val="24"/>
          <w:szCs w:val="24"/>
          <w:lang w:val="en-GB"/>
        </w:rPr>
        <w:t xml:space="preserve"> Changes in land surfacing in the Indonesian Archipelago as a function of changes in sea level. (a)</w:t>
      </w:r>
      <w:r w:rsidRPr="00740163">
        <w:rPr>
          <w:rFonts w:cstheme="minorHAnsi"/>
          <w:sz w:val="24"/>
          <w:szCs w:val="24"/>
          <w:lang w:val="en-GB"/>
        </w:rPr>
        <w:t xml:space="preserve"> </w:t>
      </w:r>
      <w:r>
        <w:rPr>
          <w:rFonts w:cstheme="minorHAnsi"/>
          <w:sz w:val="24"/>
          <w:szCs w:val="24"/>
          <w:lang w:val="en-GB"/>
        </w:rPr>
        <w:t xml:space="preserve">The pixels occurring within the orange polygon were used to calculate the land/sea ratio in each time-slice map created by the ANICE-SELEN model. (b) Change in land </w:t>
      </w:r>
      <w:r>
        <w:rPr>
          <w:rFonts w:cstheme="minorHAnsi"/>
          <w:sz w:val="24"/>
          <w:szCs w:val="24"/>
          <w:lang w:val="en-GB"/>
        </w:rPr>
        <w:lastRenderedPageBreak/>
        <w:t>to sea surface ratio in the Indonesian archipelago as modelled by the coupled ice sheet-topography model ANICE-SELEN for a subset of 9 glacial-interglacial cycles in respect to relative sea level. Changes occurring from falling and rising sea level are plotted in blue and orange respectively. (c) Slope of the land/sea surface ratio as a function of RSL to highlight specific sea levels at which the rate of land exposure during sea level fall, or land flooding during sea level rise, is particularly fast. This occurs at around 0-8m and 45-50m (highlighted with vertical grey shaded bars).</w:t>
      </w:r>
    </w:p>
    <w:p w14:paraId="50997EF0" w14:textId="77777777" w:rsidR="00E91F05" w:rsidRDefault="00E91F05" w:rsidP="00E91F05">
      <w:pPr>
        <w:spacing w:line="360" w:lineRule="auto"/>
        <w:rPr>
          <w:rFonts w:cstheme="minorHAnsi"/>
          <w:sz w:val="24"/>
          <w:szCs w:val="24"/>
          <w:lang w:val="en-GB"/>
        </w:rPr>
      </w:pPr>
    </w:p>
    <w:p w14:paraId="2BA79920" w14:textId="77777777" w:rsidR="00E91F05" w:rsidRDefault="00E91F05" w:rsidP="00E91F05">
      <w:pPr>
        <w:spacing w:line="360" w:lineRule="auto"/>
        <w:rPr>
          <w:rFonts w:cstheme="minorHAnsi"/>
          <w:sz w:val="24"/>
          <w:szCs w:val="24"/>
          <w:lang w:val="en-GB"/>
        </w:rPr>
      </w:pPr>
      <w:r w:rsidRPr="006B1A3D">
        <w:rPr>
          <w:rFonts w:cstheme="minorHAnsi"/>
          <w:noProof/>
          <w:sz w:val="24"/>
          <w:szCs w:val="24"/>
          <w:lang w:eastAsia="de-DE"/>
        </w:rPr>
        <w:drawing>
          <wp:inline distT="0" distB="0" distL="0" distR="0" wp14:anchorId="4E626DB9" wp14:editId="31184094">
            <wp:extent cx="5760720" cy="5117100"/>
            <wp:effectExtent l="0" t="0" r="0" b="7620"/>
            <wp:docPr id="7" name="Picture 7" descr="E:\Stack_data_929PGraph2_2021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ack_data_929PGraph2_20210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117100"/>
                    </a:xfrm>
                    <a:prstGeom prst="rect">
                      <a:avLst/>
                    </a:prstGeom>
                    <a:noFill/>
                    <a:ln>
                      <a:noFill/>
                    </a:ln>
                  </pic:spPr>
                </pic:pic>
              </a:graphicData>
            </a:graphic>
          </wp:inline>
        </w:drawing>
      </w:r>
    </w:p>
    <w:p w14:paraId="57AA3598" w14:textId="77777777" w:rsidR="00E91F05" w:rsidRDefault="00E91F05" w:rsidP="00E91F05">
      <w:pPr>
        <w:spacing w:line="360" w:lineRule="auto"/>
        <w:rPr>
          <w:rFonts w:cstheme="minorHAnsi"/>
          <w:sz w:val="24"/>
          <w:szCs w:val="24"/>
          <w:lang w:val="en-GB"/>
        </w:rPr>
      </w:pPr>
      <w:r w:rsidRPr="00E91F05">
        <w:rPr>
          <w:rFonts w:cstheme="minorHAnsi"/>
          <w:sz w:val="24"/>
          <w:szCs w:val="24"/>
          <w:u w:val="single"/>
          <w:lang w:val="en-GB"/>
        </w:rPr>
        <w:t>Figure S5.</w:t>
      </w:r>
      <w:r>
        <w:rPr>
          <w:rFonts w:cstheme="minorHAnsi"/>
          <w:sz w:val="24"/>
          <w:szCs w:val="24"/>
          <w:lang w:val="en-GB"/>
        </w:rPr>
        <w:t xml:space="preserve"> Consistent evolution of SST (a) and </w:t>
      </w:r>
      <w:r>
        <w:rPr>
          <w:rFonts w:ascii="Times New Roman" w:hAnsi="Times New Roman" w:cs="Times New Roman"/>
          <w:sz w:val="24"/>
          <w:szCs w:val="24"/>
          <w:lang w:val="en-GB"/>
        </w:rPr>
        <w:t>δ</w:t>
      </w:r>
      <w:r w:rsidRPr="00BE1E8E">
        <w:rPr>
          <w:rFonts w:cstheme="minorHAnsi"/>
          <w:sz w:val="24"/>
          <w:szCs w:val="24"/>
          <w:vertAlign w:val="superscript"/>
          <w:lang w:val="en-GB"/>
        </w:rPr>
        <w:t>18</w:t>
      </w:r>
      <w:r>
        <w:rPr>
          <w:rFonts w:cstheme="minorHAnsi"/>
          <w:sz w:val="24"/>
          <w:szCs w:val="24"/>
          <w:lang w:val="en-GB"/>
        </w:rPr>
        <w:t>O</w:t>
      </w:r>
      <w:r w:rsidRPr="00BE1E8E">
        <w:rPr>
          <w:rFonts w:cstheme="minorHAnsi"/>
          <w:sz w:val="24"/>
          <w:szCs w:val="24"/>
          <w:vertAlign w:val="subscript"/>
          <w:lang w:val="en-GB"/>
        </w:rPr>
        <w:t>sw-ivc</w:t>
      </w:r>
      <w:r>
        <w:rPr>
          <w:rFonts w:cstheme="minorHAnsi"/>
          <w:sz w:val="24"/>
          <w:szCs w:val="24"/>
          <w:lang w:val="en-GB"/>
        </w:rPr>
        <w:t xml:space="preserve"> (b) from the western Indian Ocean (U1476, green line) (this study), Arabian Sea (TY93-929/P, orange line) (Barker et al., 2003), and the whole Indian Ocean SST and </w:t>
      </w:r>
      <w:r>
        <w:rPr>
          <w:rFonts w:ascii="Times New Roman" w:hAnsi="Times New Roman" w:cs="Times New Roman"/>
          <w:sz w:val="24"/>
          <w:szCs w:val="24"/>
          <w:lang w:val="en-GB"/>
        </w:rPr>
        <w:t>δ</w:t>
      </w:r>
      <w:r w:rsidRPr="00BE1E8E">
        <w:rPr>
          <w:rFonts w:cstheme="minorHAnsi"/>
          <w:sz w:val="24"/>
          <w:szCs w:val="24"/>
          <w:vertAlign w:val="superscript"/>
          <w:lang w:val="en-GB"/>
        </w:rPr>
        <w:t>18</w:t>
      </w:r>
      <w:r>
        <w:rPr>
          <w:rFonts w:cstheme="minorHAnsi"/>
          <w:sz w:val="24"/>
          <w:szCs w:val="24"/>
          <w:lang w:val="en-GB"/>
        </w:rPr>
        <w:t>O</w:t>
      </w:r>
      <w:r w:rsidRPr="00BE1E8E">
        <w:rPr>
          <w:rFonts w:cstheme="minorHAnsi"/>
          <w:sz w:val="24"/>
          <w:szCs w:val="24"/>
          <w:vertAlign w:val="subscript"/>
          <w:lang w:val="en-GB"/>
        </w:rPr>
        <w:t>sw-ivc</w:t>
      </w:r>
      <w:r>
        <w:rPr>
          <w:rFonts w:cstheme="minorHAnsi"/>
          <w:sz w:val="24"/>
          <w:szCs w:val="24"/>
          <w:lang w:val="en-GB"/>
        </w:rPr>
        <w:t xml:space="preserve"> stacks (purple line) (this study). Raw benthic and planktic </w:t>
      </w:r>
      <w:r w:rsidRPr="006C55F6">
        <w:rPr>
          <w:rFonts w:cstheme="minorHAnsi"/>
          <w:color w:val="000000"/>
          <w:sz w:val="24"/>
          <w:szCs w:val="24"/>
          <w:lang w:val="en-GB"/>
        </w:rPr>
        <w:t>δ</w:t>
      </w:r>
      <w:r w:rsidRPr="006C55F6">
        <w:rPr>
          <w:rFonts w:cstheme="minorHAnsi"/>
          <w:color w:val="000000"/>
          <w:sz w:val="24"/>
          <w:szCs w:val="24"/>
          <w:vertAlign w:val="superscript"/>
          <w:lang w:val="en-GB"/>
        </w:rPr>
        <w:t>18</w:t>
      </w:r>
      <w:r w:rsidRPr="006C55F6">
        <w:rPr>
          <w:rFonts w:cstheme="minorHAnsi"/>
          <w:color w:val="000000"/>
          <w:sz w:val="24"/>
          <w:szCs w:val="24"/>
          <w:lang w:val="en-GB"/>
        </w:rPr>
        <w:t>O</w:t>
      </w:r>
      <w:r>
        <w:rPr>
          <w:rFonts w:cstheme="minorHAnsi"/>
          <w:sz w:val="24"/>
          <w:szCs w:val="24"/>
          <w:lang w:val="en-GB"/>
        </w:rPr>
        <w:t xml:space="preserve"> data are also shown (c) as a measure of chronological consistency. Grey </w:t>
      </w:r>
      <w:r>
        <w:rPr>
          <w:rFonts w:cstheme="minorHAnsi"/>
          <w:sz w:val="24"/>
          <w:szCs w:val="24"/>
          <w:lang w:val="en-GB"/>
        </w:rPr>
        <w:lastRenderedPageBreak/>
        <w:t xml:space="preserve">bars highlight the early increase in SST and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sidRPr="00A40329">
        <w:rPr>
          <w:rFonts w:cstheme="minorHAnsi"/>
          <w:sz w:val="24"/>
          <w:szCs w:val="24"/>
          <w:vertAlign w:val="subscript"/>
          <w:lang w:val="en-GB"/>
        </w:rPr>
        <w:t>sw-ivc</w:t>
      </w:r>
      <w:r>
        <w:rPr>
          <w:rFonts w:cstheme="minorHAnsi"/>
          <w:sz w:val="24"/>
          <w:szCs w:val="24"/>
          <w:lang w:val="en-GB"/>
        </w:rPr>
        <w:t xml:space="preserve"> prior to terminations as seen in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benthic</w:t>
      </w:r>
      <w:r>
        <w:rPr>
          <w:rFonts w:cstheme="minorHAnsi"/>
          <w:sz w:val="24"/>
          <w:szCs w:val="24"/>
          <w:lang w:val="en-GB"/>
        </w:rPr>
        <w:t>.</w:t>
      </w:r>
    </w:p>
    <w:p w14:paraId="37D6E14F" w14:textId="77777777" w:rsidR="00E91F05" w:rsidRDefault="00E91F05" w:rsidP="00E91F05">
      <w:pPr>
        <w:spacing w:line="360" w:lineRule="auto"/>
        <w:rPr>
          <w:rFonts w:cstheme="minorHAnsi"/>
          <w:sz w:val="24"/>
          <w:szCs w:val="24"/>
          <w:lang w:val="en-GB"/>
        </w:rPr>
      </w:pPr>
    </w:p>
    <w:p w14:paraId="498E6C6A" w14:textId="77777777" w:rsidR="00E91F05" w:rsidRPr="00985430" w:rsidRDefault="00E91F05" w:rsidP="00E91F05">
      <w:pPr>
        <w:spacing w:line="360" w:lineRule="auto"/>
        <w:rPr>
          <w:rFonts w:cstheme="minorHAnsi"/>
          <w:sz w:val="24"/>
          <w:szCs w:val="24"/>
          <w:lang w:val="en-GB"/>
        </w:rPr>
      </w:pPr>
      <w:r w:rsidRPr="00985430">
        <w:rPr>
          <w:rFonts w:cstheme="minorHAnsi"/>
          <w:noProof/>
          <w:sz w:val="24"/>
          <w:szCs w:val="24"/>
          <w:lang w:eastAsia="de-DE"/>
        </w:rPr>
        <w:drawing>
          <wp:inline distT="0" distB="0" distL="0" distR="0" wp14:anchorId="0A723699" wp14:editId="5AA55456">
            <wp:extent cx="5760720" cy="6545203"/>
            <wp:effectExtent l="0" t="0" r="0" b="8255"/>
            <wp:docPr id="3" name="Picture 3" descr="C:\Users\Sophie\Documents\PhD\U1476\U1476_d18Osw_sensitivityanaly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Documents\PhD\U1476\U1476_d18Osw_sensitivityanalysi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545203"/>
                    </a:xfrm>
                    <a:prstGeom prst="rect">
                      <a:avLst/>
                    </a:prstGeom>
                    <a:noFill/>
                    <a:ln>
                      <a:noFill/>
                    </a:ln>
                  </pic:spPr>
                </pic:pic>
              </a:graphicData>
            </a:graphic>
          </wp:inline>
        </w:drawing>
      </w:r>
    </w:p>
    <w:p w14:paraId="77E1FABE" w14:textId="6EBE0AFE" w:rsidR="00E91F05" w:rsidRDefault="00E91F05" w:rsidP="00E91F05">
      <w:pPr>
        <w:spacing w:line="360" w:lineRule="auto"/>
        <w:rPr>
          <w:rFonts w:cstheme="minorHAnsi"/>
          <w:sz w:val="24"/>
          <w:szCs w:val="24"/>
          <w:lang w:val="en-GB"/>
        </w:rPr>
      </w:pPr>
      <w:r w:rsidRPr="00E91F05">
        <w:rPr>
          <w:rFonts w:cstheme="minorHAnsi"/>
          <w:sz w:val="24"/>
          <w:szCs w:val="24"/>
          <w:u w:val="single"/>
          <w:lang w:val="en-GB"/>
        </w:rPr>
        <w:t>Figure S6.</w:t>
      </w:r>
      <w:r>
        <w:rPr>
          <w:rFonts w:cstheme="minorHAnsi"/>
          <w:sz w:val="24"/>
          <w:szCs w:val="24"/>
          <w:lang w:val="en-GB"/>
        </w:rPr>
        <w:t xml:space="preserve"> (a) Resulting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sidRPr="00A40329">
        <w:rPr>
          <w:rFonts w:cstheme="minorHAnsi"/>
          <w:sz w:val="24"/>
          <w:szCs w:val="24"/>
          <w:vertAlign w:val="subscript"/>
          <w:lang w:val="en-GB"/>
        </w:rPr>
        <w:t>sw-ivc</w:t>
      </w:r>
      <w:r>
        <w:rPr>
          <w:rFonts w:cstheme="minorHAnsi"/>
          <w:sz w:val="24"/>
          <w:szCs w:val="24"/>
          <w:lang w:val="en-GB"/>
        </w:rPr>
        <w:t xml:space="preserve"> records using 4 different RSL reconstructions for the ice volume correction. U1476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benthic</w:t>
      </w:r>
      <w:r w:rsidR="002B5AF2">
        <w:rPr>
          <w:rFonts w:cstheme="minorHAnsi"/>
          <w:sz w:val="24"/>
          <w:szCs w:val="24"/>
          <w:vertAlign w:val="subscript"/>
          <w:lang w:val="en-GB"/>
        </w:rPr>
        <w:t xml:space="preserve"> </w:t>
      </w:r>
      <w:r w:rsidR="002B5AF2">
        <w:rPr>
          <w:rFonts w:cstheme="minorHAnsi"/>
          <w:sz w:val="24"/>
          <w:szCs w:val="24"/>
          <w:lang w:val="en-GB"/>
        </w:rPr>
        <w:t xml:space="preserve">(van der Lubbe et al., 2021) </w:t>
      </w:r>
      <w:r>
        <w:rPr>
          <w:rFonts w:cstheme="minorHAnsi"/>
          <w:sz w:val="24"/>
          <w:szCs w:val="24"/>
          <w:lang w:val="en-GB"/>
        </w:rPr>
        <w:t xml:space="preserve">is plotted in b) for lead-lag comparison. Grey bars highlight the early increase in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sidRPr="00A40329">
        <w:rPr>
          <w:rFonts w:cstheme="minorHAnsi"/>
          <w:sz w:val="24"/>
          <w:szCs w:val="24"/>
          <w:vertAlign w:val="subscript"/>
          <w:lang w:val="en-GB"/>
        </w:rPr>
        <w:t>sw-ivc</w:t>
      </w:r>
      <w:r>
        <w:rPr>
          <w:rFonts w:cstheme="minorHAnsi"/>
          <w:sz w:val="24"/>
          <w:szCs w:val="24"/>
          <w:lang w:val="en-GB"/>
        </w:rPr>
        <w:t xml:space="preserve"> prior to terminations. The de Boer et al. (2014) ice volume correction allowed modelled ice volume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 xml:space="preserve">O to be used (dark </w:t>
      </w:r>
      <w:r>
        <w:rPr>
          <w:rFonts w:cstheme="minorHAnsi"/>
          <w:sz w:val="24"/>
          <w:szCs w:val="24"/>
          <w:lang w:val="en-GB"/>
        </w:rPr>
        <w:lastRenderedPageBreak/>
        <w:t xml:space="preserve">green). For other RSL reconstructions, a change of 1% in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Pr>
          <w:rFonts w:cstheme="minorHAnsi"/>
          <w:sz w:val="24"/>
          <w:szCs w:val="24"/>
          <w:vertAlign w:val="subscript"/>
          <w:lang w:val="en-GB"/>
        </w:rPr>
        <w:t>benthic</w:t>
      </w:r>
      <w:r>
        <w:rPr>
          <w:rFonts w:cstheme="minorHAnsi"/>
          <w:sz w:val="24"/>
          <w:szCs w:val="24"/>
          <w:lang w:val="en-GB"/>
        </w:rPr>
        <w:t xml:space="preserve"> per 120m RSL was assumed. The colour of each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sidRPr="00A40329">
        <w:rPr>
          <w:rFonts w:cstheme="minorHAnsi"/>
          <w:sz w:val="24"/>
          <w:szCs w:val="24"/>
          <w:vertAlign w:val="subscript"/>
          <w:lang w:val="en-GB"/>
        </w:rPr>
        <w:t>sw-ivc</w:t>
      </w:r>
      <w:r>
        <w:rPr>
          <w:rFonts w:cstheme="minorHAnsi"/>
          <w:sz w:val="24"/>
          <w:szCs w:val="24"/>
          <w:lang w:val="en-GB"/>
        </w:rPr>
        <w:t xml:space="preserve"> record corresponds with the referenced scenario below. (c) Absolute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sidRPr="00A40329">
        <w:rPr>
          <w:rFonts w:cstheme="minorHAnsi"/>
          <w:sz w:val="24"/>
          <w:szCs w:val="24"/>
          <w:vertAlign w:val="subscript"/>
          <w:lang w:val="en-GB"/>
        </w:rPr>
        <w:t>sw-ivc</w:t>
      </w:r>
      <w:r>
        <w:rPr>
          <w:rFonts w:cstheme="minorHAnsi"/>
          <w:sz w:val="24"/>
          <w:szCs w:val="24"/>
          <w:lang w:val="en-GB"/>
        </w:rPr>
        <w:t xml:space="preserve"> amplitude of the glacial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sidRPr="00A40329">
        <w:rPr>
          <w:rFonts w:cstheme="minorHAnsi"/>
          <w:sz w:val="24"/>
          <w:szCs w:val="24"/>
          <w:vertAlign w:val="subscript"/>
          <w:lang w:val="en-GB"/>
        </w:rPr>
        <w:t>sw-ivc</w:t>
      </w:r>
      <w:r>
        <w:rPr>
          <w:rFonts w:cstheme="minorHAnsi"/>
          <w:sz w:val="24"/>
          <w:szCs w:val="24"/>
          <w:lang w:val="en-GB"/>
        </w:rPr>
        <w:t xml:space="preserve"> maxima compared to the preceding minima for all 4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w:t>
      </w:r>
      <w:r w:rsidRPr="00A40329">
        <w:rPr>
          <w:rFonts w:cstheme="minorHAnsi"/>
          <w:sz w:val="24"/>
          <w:szCs w:val="24"/>
          <w:vertAlign w:val="subscript"/>
          <w:lang w:val="en-GB"/>
        </w:rPr>
        <w:t>sw-ivc</w:t>
      </w:r>
      <w:r>
        <w:rPr>
          <w:rFonts w:cstheme="minorHAnsi"/>
          <w:sz w:val="24"/>
          <w:szCs w:val="24"/>
          <w:lang w:val="en-GB"/>
        </w:rPr>
        <w:t xml:space="preserve"> scenarios. The colours of the bars correspond to the referenced scenarios in (a). Note that differences between different scenarios are small. (d) Corresponding ice volume </w:t>
      </w:r>
      <w:r>
        <w:rPr>
          <w:rFonts w:ascii="Times New Roman" w:hAnsi="Times New Roman" w:cs="Times New Roman"/>
          <w:sz w:val="24"/>
          <w:szCs w:val="24"/>
          <w:lang w:val="en-GB"/>
        </w:rPr>
        <w:t>δ</w:t>
      </w:r>
      <w:r w:rsidRPr="00A40329">
        <w:rPr>
          <w:rFonts w:cstheme="minorHAnsi"/>
          <w:sz w:val="24"/>
          <w:szCs w:val="24"/>
          <w:vertAlign w:val="superscript"/>
          <w:lang w:val="en-GB"/>
        </w:rPr>
        <w:t>18</w:t>
      </w:r>
      <w:r>
        <w:rPr>
          <w:rFonts w:cstheme="minorHAnsi"/>
          <w:sz w:val="24"/>
          <w:szCs w:val="24"/>
          <w:lang w:val="en-GB"/>
        </w:rPr>
        <w:t>O curves for the 4 RSL reconstructions. The colours of each line correspond with the referenced scenario in (a).</w:t>
      </w:r>
    </w:p>
    <w:p w14:paraId="335D3BDE" w14:textId="77777777" w:rsidR="00E91F05" w:rsidRDefault="00E91F05" w:rsidP="00E91F05">
      <w:pPr>
        <w:spacing w:line="360" w:lineRule="auto"/>
        <w:rPr>
          <w:rFonts w:cstheme="minorHAnsi"/>
          <w:sz w:val="24"/>
          <w:szCs w:val="24"/>
          <w:lang w:val="en-GB"/>
        </w:rPr>
      </w:pPr>
    </w:p>
    <w:p w14:paraId="1ACE7C68" w14:textId="77777777" w:rsidR="00E91F05" w:rsidRDefault="00E91F05" w:rsidP="00E91F05">
      <w:pPr>
        <w:spacing w:line="360" w:lineRule="auto"/>
        <w:rPr>
          <w:rFonts w:cstheme="minorHAnsi"/>
          <w:sz w:val="24"/>
          <w:szCs w:val="24"/>
          <w:lang w:val="en-GB"/>
        </w:rPr>
      </w:pPr>
      <w:r w:rsidRPr="00E07A32">
        <w:rPr>
          <w:rFonts w:cstheme="minorHAnsi"/>
          <w:noProof/>
          <w:sz w:val="24"/>
          <w:szCs w:val="24"/>
          <w:lang w:eastAsia="de-DE"/>
        </w:rPr>
        <w:drawing>
          <wp:inline distT="0" distB="0" distL="0" distR="0" wp14:anchorId="13A14F65" wp14:editId="2E6F9B9A">
            <wp:extent cx="5760720" cy="2660333"/>
            <wp:effectExtent l="0" t="0" r="0" b="6985"/>
            <wp:docPr id="2" name="Picture 2" descr="C:\Users\Sophie\Downloads\modeloutput_annotated_new_20210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Downloads\modeloutput_annotated_new_202107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60333"/>
                    </a:xfrm>
                    <a:prstGeom prst="rect">
                      <a:avLst/>
                    </a:prstGeom>
                    <a:noFill/>
                    <a:ln>
                      <a:noFill/>
                    </a:ln>
                  </pic:spPr>
                </pic:pic>
              </a:graphicData>
            </a:graphic>
          </wp:inline>
        </w:drawing>
      </w:r>
    </w:p>
    <w:p w14:paraId="1B00437B" w14:textId="52FCDE46" w:rsidR="00E91F05" w:rsidRPr="00E91F05" w:rsidRDefault="00E91F05" w:rsidP="000379B1">
      <w:pPr>
        <w:spacing w:line="360" w:lineRule="auto"/>
        <w:rPr>
          <w:rFonts w:cstheme="minorHAnsi"/>
          <w:sz w:val="24"/>
          <w:szCs w:val="24"/>
          <w:lang w:val="en-GB"/>
        </w:rPr>
      </w:pPr>
      <w:r w:rsidRPr="00E91F05">
        <w:rPr>
          <w:rFonts w:cstheme="minorHAnsi"/>
          <w:sz w:val="24"/>
          <w:szCs w:val="24"/>
          <w:u w:val="single"/>
          <w:lang w:val="en-GB"/>
        </w:rPr>
        <w:t>Figure S7.</w:t>
      </w:r>
      <w:r>
        <w:rPr>
          <w:rFonts w:cstheme="minorHAnsi"/>
          <w:sz w:val="24"/>
          <w:szCs w:val="24"/>
          <w:lang w:val="en-GB"/>
        </w:rPr>
        <w:t xml:space="preserve"> Example output maps from ANICE-SELEN coupled ice-sheet topography model showing coastline topography in the Indonesian archipelago during a representative interglacial (1067kyr) and representative glacial (873kyr).</w:t>
      </w:r>
    </w:p>
    <w:p w14:paraId="6D639701" w14:textId="77777777" w:rsidR="000379B1" w:rsidRPr="000F7795" w:rsidRDefault="000379B1" w:rsidP="000379B1">
      <w:pPr>
        <w:spacing w:line="360" w:lineRule="auto"/>
        <w:ind w:left="360"/>
        <w:rPr>
          <w:rFonts w:cstheme="minorHAnsi"/>
          <w:sz w:val="24"/>
          <w:szCs w:val="24"/>
          <w:lang w:val="en-GB"/>
        </w:rPr>
      </w:pPr>
    </w:p>
    <w:p w14:paraId="20A4EFF6" w14:textId="77777777" w:rsidR="000379B1" w:rsidRPr="000F7795" w:rsidRDefault="000379B1" w:rsidP="000379B1">
      <w:pPr>
        <w:spacing w:line="360" w:lineRule="auto"/>
        <w:rPr>
          <w:rFonts w:cstheme="minorHAnsi"/>
          <w:sz w:val="24"/>
          <w:szCs w:val="24"/>
          <w:lang w:val="en-GB"/>
        </w:rPr>
      </w:pPr>
      <w:r w:rsidRPr="000F7795">
        <w:rPr>
          <w:rFonts w:cstheme="minorHAnsi"/>
          <w:sz w:val="24"/>
          <w:szCs w:val="24"/>
          <w:lang w:val="en-GB"/>
        </w:rPr>
        <w:t>ADDITIONAL REFERENCES</w:t>
      </w:r>
    </w:p>
    <w:p w14:paraId="21C867CC" w14:textId="36350727" w:rsidR="00335F56" w:rsidRPr="00335F56" w:rsidRDefault="00335F56" w:rsidP="00335F56">
      <w:pPr>
        <w:pStyle w:val="Web"/>
        <w:numPr>
          <w:ilvl w:val="0"/>
          <w:numId w:val="1"/>
        </w:numPr>
        <w:spacing w:line="360" w:lineRule="auto"/>
        <w:rPr>
          <w:rFonts w:asciiTheme="minorHAnsi" w:hAnsiTheme="minorHAnsi" w:cstheme="minorHAnsi"/>
        </w:rPr>
      </w:pPr>
      <w:proofErr w:type="spellStart"/>
      <w:r w:rsidRPr="00335F56">
        <w:rPr>
          <w:rFonts w:asciiTheme="minorHAnsi" w:hAnsiTheme="minorHAnsi" w:cstheme="minorHAnsi"/>
          <w:color w:val="383838"/>
        </w:rPr>
        <w:t>Lauvset</w:t>
      </w:r>
      <w:proofErr w:type="spellEnd"/>
      <w:r w:rsidRPr="00335F56">
        <w:rPr>
          <w:rFonts w:asciiTheme="minorHAnsi" w:hAnsiTheme="minorHAnsi" w:cstheme="minorHAnsi"/>
          <w:color w:val="383838"/>
        </w:rPr>
        <w:t xml:space="preserve">, S. K., Lange, N., </w:t>
      </w:r>
      <w:proofErr w:type="spellStart"/>
      <w:r w:rsidRPr="00335F56">
        <w:rPr>
          <w:rFonts w:asciiTheme="minorHAnsi" w:hAnsiTheme="minorHAnsi" w:cstheme="minorHAnsi"/>
          <w:color w:val="383838"/>
        </w:rPr>
        <w:t>Tanhua</w:t>
      </w:r>
      <w:proofErr w:type="spellEnd"/>
      <w:r w:rsidRPr="00335F56">
        <w:rPr>
          <w:rFonts w:asciiTheme="minorHAnsi" w:hAnsiTheme="minorHAnsi" w:cstheme="minorHAnsi"/>
          <w:color w:val="383838"/>
        </w:rPr>
        <w:t xml:space="preserve">, T., </w:t>
      </w:r>
      <w:proofErr w:type="spellStart"/>
      <w:r w:rsidRPr="00335F56">
        <w:rPr>
          <w:rFonts w:asciiTheme="minorHAnsi" w:hAnsiTheme="minorHAnsi" w:cstheme="minorHAnsi"/>
          <w:color w:val="383838"/>
        </w:rPr>
        <w:t>Bittig</w:t>
      </w:r>
      <w:proofErr w:type="spellEnd"/>
      <w:r w:rsidRPr="00335F56">
        <w:rPr>
          <w:rFonts w:asciiTheme="minorHAnsi" w:hAnsiTheme="minorHAnsi" w:cstheme="minorHAnsi"/>
          <w:color w:val="383838"/>
        </w:rPr>
        <w:t xml:space="preserve">, H. C., Olsen, A. C., </w:t>
      </w:r>
      <w:proofErr w:type="spellStart"/>
      <w:r w:rsidRPr="00335F56">
        <w:rPr>
          <w:rFonts w:asciiTheme="minorHAnsi" w:hAnsiTheme="minorHAnsi" w:cstheme="minorHAnsi"/>
          <w:color w:val="383838"/>
        </w:rPr>
        <w:t>Kozyr</w:t>
      </w:r>
      <w:proofErr w:type="spellEnd"/>
      <w:r w:rsidRPr="00335F56">
        <w:rPr>
          <w:rFonts w:asciiTheme="minorHAnsi" w:hAnsiTheme="minorHAnsi" w:cstheme="minorHAnsi"/>
          <w:color w:val="383838"/>
        </w:rPr>
        <w:t xml:space="preserve">, A., </w:t>
      </w:r>
      <w:proofErr w:type="spellStart"/>
      <w:r w:rsidRPr="00335F56">
        <w:rPr>
          <w:rFonts w:asciiTheme="minorHAnsi" w:hAnsiTheme="minorHAnsi" w:cstheme="minorHAnsi"/>
          <w:color w:val="383838"/>
        </w:rPr>
        <w:t>Àlvarez</w:t>
      </w:r>
      <w:proofErr w:type="spellEnd"/>
      <w:r w:rsidRPr="00335F56">
        <w:rPr>
          <w:rFonts w:asciiTheme="minorHAnsi" w:hAnsiTheme="minorHAnsi" w:cstheme="minorHAnsi"/>
          <w:color w:val="383838"/>
        </w:rPr>
        <w:t xml:space="preserve">, M., Becker, S., Brown, P. J., Carter, B. R., </w:t>
      </w:r>
      <w:proofErr w:type="spellStart"/>
      <w:r w:rsidRPr="00335F56">
        <w:rPr>
          <w:rFonts w:asciiTheme="minorHAnsi" w:hAnsiTheme="minorHAnsi" w:cstheme="minorHAnsi"/>
          <w:color w:val="383838"/>
        </w:rPr>
        <w:t>Cotrim</w:t>
      </w:r>
      <w:proofErr w:type="spellEnd"/>
      <w:r w:rsidRPr="00335F56">
        <w:rPr>
          <w:rFonts w:asciiTheme="minorHAnsi" w:hAnsiTheme="minorHAnsi" w:cstheme="minorHAnsi"/>
          <w:color w:val="383838"/>
        </w:rPr>
        <w:t xml:space="preserve"> da Cunha, L., Feely, R. A., van </w:t>
      </w:r>
      <w:proofErr w:type="spellStart"/>
      <w:r w:rsidRPr="00335F56">
        <w:rPr>
          <w:rFonts w:asciiTheme="minorHAnsi" w:hAnsiTheme="minorHAnsi" w:cstheme="minorHAnsi"/>
          <w:color w:val="383838"/>
        </w:rPr>
        <w:t>Heuven</w:t>
      </w:r>
      <w:proofErr w:type="spellEnd"/>
      <w:r w:rsidRPr="00335F56">
        <w:rPr>
          <w:rFonts w:asciiTheme="minorHAnsi" w:hAnsiTheme="minorHAnsi" w:cstheme="minorHAnsi"/>
          <w:color w:val="383838"/>
        </w:rPr>
        <w:t xml:space="preserve">, S., </w:t>
      </w:r>
      <w:proofErr w:type="spellStart"/>
      <w:r w:rsidRPr="00335F56">
        <w:rPr>
          <w:rFonts w:asciiTheme="minorHAnsi" w:hAnsiTheme="minorHAnsi" w:cstheme="minorHAnsi"/>
          <w:color w:val="383838"/>
        </w:rPr>
        <w:t>Hoppema</w:t>
      </w:r>
      <w:proofErr w:type="spellEnd"/>
      <w:r w:rsidRPr="00335F56">
        <w:rPr>
          <w:rFonts w:asciiTheme="minorHAnsi" w:hAnsiTheme="minorHAnsi" w:cstheme="minorHAnsi"/>
          <w:color w:val="383838"/>
        </w:rPr>
        <w:t xml:space="preserve">, M., Ishii, M., </w:t>
      </w:r>
      <w:proofErr w:type="spellStart"/>
      <w:r w:rsidRPr="00335F56">
        <w:rPr>
          <w:rFonts w:asciiTheme="minorHAnsi" w:hAnsiTheme="minorHAnsi" w:cstheme="minorHAnsi"/>
          <w:color w:val="383838"/>
        </w:rPr>
        <w:t>Jeansson</w:t>
      </w:r>
      <w:proofErr w:type="spellEnd"/>
      <w:r w:rsidRPr="00335F56">
        <w:rPr>
          <w:rFonts w:asciiTheme="minorHAnsi" w:hAnsiTheme="minorHAnsi" w:cstheme="minorHAnsi"/>
          <w:color w:val="383838"/>
        </w:rPr>
        <w:t xml:space="preserve">, E., </w:t>
      </w:r>
      <w:proofErr w:type="spellStart"/>
      <w:r w:rsidRPr="00335F56">
        <w:rPr>
          <w:rFonts w:asciiTheme="minorHAnsi" w:hAnsiTheme="minorHAnsi" w:cstheme="minorHAnsi"/>
          <w:color w:val="383838"/>
        </w:rPr>
        <w:t>Jutterström</w:t>
      </w:r>
      <w:proofErr w:type="spellEnd"/>
      <w:r w:rsidRPr="00335F56">
        <w:rPr>
          <w:rFonts w:asciiTheme="minorHAnsi" w:hAnsiTheme="minorHAnsi" w:cstheme="minorHAnsi"/>
          <w:color w:val="383838"/>
        </w:rPr>
        <w:t xml:space="preserve">, S., Jones, S. D., Karlsen, M. K., Lo Monaco, C., Michaelis, P., Murata, A., Pérez, F. F., </w:t>
      </w:r>
      <w:proofErr w:type="spellStart"/>
      <w:r w:rsidRPr="00335F56">
        <w:rPr>
          <w:rFonts w:asciiTheme="minorHAnsi" w:hAnsiTheme="minorHAnsi" w:cstheme="minorHAnsi"/>
          <w:color w:val="383838"/>
        </w:rPr>
        <w:t>Pfeil</w:t>
      </w:r>
      <w:proofErr w:type="spellEnd"/>
      <w:r w:rsidRPr="00335F56">
        <w:rPr>
          <w:rFonts w:asciiTheme="minorHAnsi" w:hAnsiTheme="minorHAnsi" w:cstheme="minorHAnsi"/>
          <w:color w:val="383838"/>
        </w:rPr>
        <w:t xml:space="preserve">, B., </w:t>
      </w:r>
      <w:proofErr w:type="spellStart"/>
      <w:r w:rsidRPr="00335F56">
        <w:rPr>
          <w:rFonts w:asciiTheme="minorHAnsi" w:hAnsiTheme="minorHAnsi" w:cstheme="minorHAnsi"/>
          <w:color w:val="383838"/>
        </w:rPr>
        <w:t>Schirnick</w:t>
      </w:r>
      <w:proofErr w:type="spellEnd"/>
      <w:r w:rsidRPr="00335F56">
        <w:rPr>
          <w:rFonts w:asciiTheme="minorHAnsi" w:hAnsiTheme="minorHAnsi" w:cstheme="minorHAnsi"/>
          <w:color w:val="383838"/>
        </w:rPr>
        <w:t xml:space="preserve">, C., </w:t>
      </w:r>
      <w:proofErr w:type="spellStart"/>
      <w:r w:rsidRPr="00335F56">
        <w:rPr>
          <w:rFonts w:asciiTheme="minorHAnsi" w:hAnsiTheme="minorHAnsi" w:cstheme="minorHAnsi"/>
          <w:color w:val="383838"/>
        </w:rPr>
        <w:t>Steinfeldt</w:t>
      </w:r>
      <w:proofErr w:type="spellEnd"/>
      <w:r w:rsidRPr="00335F56">
        <w:rPr>
          <w:rFonts w:asciiTheme="minorHAnsi" w:hAnsiTheme="minorHAnsi" w:cstheme="minorHAnsi"/>
          <w:color w:val="383838"/>
        </w:rPr>
        <w:t xml:space="preserve">, R., Suzuki, T., Tilbrook, B., </w:t>
      </w:r>
      <w:proofErr w:type="spellStart"/>
      <w:r w:rsidRPr="00335F56">
        <w:rPr>
          <w:rFonts w:asciiTheme="minorHAnsi" w:hAnsiTheme="minorHAnsi" w:cstheme="minorHAnsi"/>
          <w:color w:val="383838"/>
        </w:rPr>
        <w:t>Velo</w:t>
      </w:r>
      <w:proofErr w:type="spellEnd"/>
      <w:r w:rsidRPr="00335F56">
        <w:rPr>
          <w:rFonts w:asciiTheme="minorHAnsi" w:hAnsiTheme="minorHAnsi" w:cstheme="minorHAnsi"/>
          <w:color w:val="383838"/>
        </w:rPr>
        <w:t xml:space="preserve">, A., </w:t>
      </w:r>
      <w:proofErr w:type="spellStart"/>
      <w:r w:rsidRPr="00335F56">
        <w:rPr>
          <w:rFonts w:asciiTheme="minorHAnsi" w:hAnsiTheme="minorHAnsi" w:cstheme="minorHAnsi"/>
          <w:color w:val="383838"/>
        </w:rPr>
        <w:t>Wanninkhof</w:t>
      </w:r>
      <w:proofErr w:type="spellEnd"/>
      <w:r w:rsidRPr="00335F56">
        <w:rPr>
          <w:rFonts w:asciiTheme="minorHAnsi" w:hAnsiTheme="minorHAnsi" w:cstheme="minorHAnsi"/>
          <w:color w:val="383838"/>
        </w:rPr>
        <w:t xml:space="preserve">, R., </w:t>
      </w:r>
      <w:proofErr w:type="spellStart"/>
      <w:r w:rsidRPr="00335F56">
        <w:rPr>
          <w:rFonts w:asciiTheme="minorHAnsi" w:hAnsiTheme="minorHAnsi" w:cstheme="minorHAnsi"/>
          <w:color w:val="383838"/>
        </w:rPr>
        <w:t>Woosley</w:t>
      </w:r>
      <w:proofErr w:type="spellEnd"/>
      <w:r w:rsidRPr="00335F56">
        <w:rPr>
          <w:rFonts w:asciiTheme="minorHAnsi" w:hAnsiTheme="minorHAnsi" w:cstheme="minorHAnsi"/>
          <w:color w:val="383838"/>
        </w:rPr>
        <w:t>, R. J., and Key, R. M.</w:t>
      </w:r>
      <w:r>
        <w:rPr>
          <w:rFonts w:asciiTheme="minorHAnsi" w:hAnsiTheme="minorHAnsi" w:cstheme="minorHAnsi"/>
          <w:color w:val="383838"/>
        </w:rPr>
        <w:t xml:space="preserve"> (2021).</w:t>
      </w:r>
      <w:r w:rsidRPr="00335F56">
        <w:rPr>
          <w:rFonts w:asciiTheme="minorHAnsi" w:hAnsiTheme="minorHAnsi" w:cstheme="minorHAnsi"/>
          <w:color w:val="383838"/>
        </w:rPr>
        <w:t> </w:t>
      </w:r>
      <w:r w:rsidRPr="00335F56">
        <w:rPr>
          <w:rStyle w:val="articletitle"/>
          <w:rFonts w:asciiTheme="minorHAnsi" w:hAnsiTheme="minorHAnsi" w:cstheme="minorHAnsi"/>
          <w:bCs/>
          <w:color w:val="383838"/>
        </w:rPr>
        <w:t xml:space="preserve">An updated version of the global interior ocean biogeochemical data product, </w:t>
      </w:r>
      <w:r w:rsidRPr="00335F56">
        <w:rPr>
          <w:rStyle w:val="articletitle"/>
          <w:rFonts w:asciiTheme="minorHAnsi" w:hAnsiTheme="minorHAnsi" w:cstheme="minorHAnsi"/>
          <w:bCs/>
          <w:color w:val="383838"/>
        </w:rPr>
        <w:lastRenderedPageBreak/>
        <w:t xml:space="preserve">GLODAPv2.2021. </w:t>
      </w:r>
      <w:r w:rsidRPr="00335F56">
        <w:rPr>
          <w:rStyle w:val="articletitle"/>
          <w:rFonts w:asciiTheme="minorHAnsi" w:hAnsiTheme="minorHAnsi" w:cstheme="minorHAnsi"/>
          <w:bCs/>
          <w:i/>
          <w:color w:val="383838"/>
        </w:rPr>
        <w:t>Earth Syst</w:t>
      </w:r>
      <w:r>
        <w:rPr>
          <w:rStyle w:val="articletitle"/>
          <w:rFonts w:asciiTheme="minorHAnsi" w:hAnsiTheme="minorHAnsi" w:cstheme="minorHAnsi"/>
          <w:bCs/>
          <w:i/>
          <w:color w:val="383838"/>
        </w:rPr>
        <w:t>em</w:t>
      </w:r>
      <w:r w:rsidRPr="00335F56">
        <w:rPr>
          <w:rStyle w:val="articletitle"/>
          <w:rFonts w:asciiTheme="minorHAnsi" w:hAnsiTheme="minorHAnsi" w:cstheme="minorHAnsi"/>
          <w:bCs/>
          <w:i/>
          <w:color w:val="383838"/>
        </w:rPr>
        <w:t xml:space="preserve"> Sci</w:t>
      </w:r>
      <w:r>
        <w:rPr>
          <w:rStyle w:val="articletitle"/>
          <w:rFonts w:asciiTheme="minorHAnsi" w:hAnsiTheme="minorHAnsi" w:cstheme="minorHAnsi"/>
          <w:bCs/>
          <w:i/>
          <w:color w:val="383838"/>
        </w:rPr>
        <w:t>ences</w:t>
      </w:r>
      <w:r w:rsidRPr="00335F56">
        <w:rPr>
          <w:rStyle w:val="articletitle"/>
          <w:rFonts w:asciiTheme="minorHAnsi" w:hAnsiTheme="minorHAnsi" w:cstheme="minorHAnsi"/>
          <w:bCs/>
          <w:i/>
          <w:color w:val="383838"/>
        </w:rPr>
        <w:t xml:space="preserve"> Data Discus</w:t>
      </w:r>
      <w:r>
        <w:rPr>
          <w:rStyle w:val="articletitle"/>
          <w:rFonts w:asciiTheme="minorHAnsi" w:hAnsiTheme="minorHAnsi" w:cstheme="minorHAnsi"/>
          <w:bCs/>
          <w:i/>
          <w:color w:val="383838"/>
        </w:rPr>
        <w:t>sion</w:t>
      </w:r>
      <w:r w:rsidRPr="00335F56">
        <w:rPr>
          <w:rStyle w:val="articletitle"/>
          <w:rFonts w:asciiTheme="minorHAnsi" w:hAnsiTheme="minorHAnsi" w:cstheme="minorHAnsi"/>
          <w:bCs/>
          <w:i/>
          <w:color w:val="383838"/>
        </w:rPr>
        <w:t>, 1-32.</w:t>
      </w:r>
      <w:r w:rsidRPr="00335F56">
        <w:rPr>
          <w:rStyle w:val="articletitle"/>
          <w:rFonts w:asciiTheme="minorHAnsi" w:hAnsiTheme="minorHAnsi" w:cstheme="minorHAnsi"/>
          <w:bCs/>
          <w:color w:val="383838"/>
        </w:rPr>
        <w:t> </w:t>
      </w:r>
      <w:hyperlink r:id="rId14" w:tgtFrame="_blank" w:history="1">
        <w:r w:rsidRPr="00335F56">
          <w:rPr>
            <w:rStyle w:val="af1"/>
            <w:rFonts w:asciiTheme="minorHAnsi" w:hAnsiTheme="minorHAnsi" w:cstheme="minorHAnsi"/>
            <w:bCs/>
            <w:color w:val="264F72"/>
          </w:rPr>
          <w:t>doi:10.5194/essd</w:t>
        </w:r>
        <w:r w:rsidRPr="00335F56">
          <w:rPr>
            <w:rStyle w:val="af1"/>
            <w:rFonts w:asciiTheme="minorHAnsi" w:hAnsiTheme="minorHAnsi" w:cstheme="minorHAnsi"/>
            <w:bCs/>
            <w:color w:val="264F72"/>
          </w:rPr>
          <w:noBreakHyphen/>
          <w:t>2021</w:t>
        </w:r>
        <w:r w:rsidRPr="00335F56">
          <w:rPr>
            <w:rStyle w:val="af1"/>
            <w:rFonts w:asciiTheme="minorHAnsi" w:hAnsiTheme="minorHAnsi" w:cstheme="minorHAnsi"/>
            <w:bCs/>
            <w:color w:val="264F72"/>
          </w:rPr>
          <w:noBreakHyphen/>
          <w:t>234</w:t>
        </w:r>
      </w:hyperlink>
      <w:r w:rsidRPr="00335F56">
        <w:rPr>
          <w:rStyle w:val="articletitle"/>
          <w:rFonts w:asciiTheme="minorHAnsi" w:hAnsiTheme="minorHAnsi" w:cstheme="minorHAnsi"/>
          <w:bCs/>
          <w:color w:val="383838"/>
        </w:rPr>
        <w:t>.</w:t>
      </w:r>
    </w:p>
    <w:p w14:paraId="729667BD" w14:textId="469E7A9D" w:rsidR="000379B1" w:rsidRPr="000F7795" w:rsidRDefault="000379B1" w:rsidP="000379B1">
      <w:pPr>
        <w:pStyle w:val="Web"/>
        <w:numPr>
          <w:ilvl w:val="0"/>
          <w:numId w:val="1"/>
        </w:numPr>
        <w:spacing w:line="360" w:lineRule="auto"/>
        <w:rPr>
          <w:rFonts w:asciiTheme="minorHAnsi" w:hAnsiTheme="minorHAnsi" w:cstheme="minorHAnsi"/>
        </w:rPr>
      </w:pPr>
      <w:r w:rsidRPr="000F7795">
        <w:rPr>
          <w:rFonts w:asciiTheme="minorHAnsi" w:hAnsiTheme="minorHAnsi" w:cstheme="minorHAnsi"/>
        </w:rPr>
        <w:t xml:space="preserve">Pierre, C., </w:t>
      </w:r>
      <w:proofErr w:type="spellStart"/>
      <w:r w:rsidRPr="000F7795">
        <w:rPr>
          <w:rFonts w:asciiTheme="minorHAnsi" w:hAnsiTheme="minorHAnsi" w:cstheme="minorHAnsi"/>
        </w:rPr>
        <w:t>Saliège</w:t>
      </w:r>
      <w:proofErr w:type="spellEnd"/>
      <w:r w:rsidRPr="000F7795">
        <w:rPr>
          <w:rFonts w:asciiTheme="minorHAnsi" w:hAnsiTheme="minorHAnsi" w:cstheme="minorHAnsi"/>
        </w:rPr>
        <w:t xml:space="preserve">, J. F., </w:t>
      </w:r>
      <w:proofErr w:type="spellStart"/>
      <w:r w:rsidRPr="000F7795">
        <w:rPr>
          <w:rFonts w:asciiTheme="minorHAnsi" w:hAnsiTheme="minorHAnsi" w:cstheme="minorHAnsi"/>
        </w:rPr>
        <w:t>Urrutiaguer</w:t>
      </w:r>
      <w:proofErr w:type="spellEnd"/>
      <w:r w:rsidRPr="000F7795">
        <w:rPr>
          <w:rFonts w:asciiTheme="minorHAnsi" w:hAnsiTheme="minorHAnsi" w:cstheme="minorHAnsi"/>
        </w:rPr>
        <w:t xml:space="preserve">, M. J., &amp; </w:t>
      </w:r>
      <w:proofErr w:type="spellStart"/>
      <w:r w:rsidRPr="000F7795">
        <w:rPr>
          <w:rFonts w:asciiTheme="minorHAnsi" w:hAnsiTheme="minorHAnsi" w:cstheme="minorHAnsi"/>
        </w:rPr>
        <w:t>Giraudeau</w:t>
      </w:r>
      <w:proofErr w:type="spellEnd"/>
      <w:r w:rsidRPr="000F7795">
        <w:rPr>
          <w:rFonts w:asciiTheme="minorHAnsi" w:hAnsiTheme="minorHAnsi" w:cstheme="minorHAnsi"/>
        </w:rPr>
        <w:t xml:space="preserve">, J. (2001). </w:t>
      </w:r>
      <w:r w:rsidRPr="000F7795">
        <w:rPr>
          <w:rFonts w:asciiTheme="minorHAnsi" w:hAnsiTheme="minorHAnsi" w:cstheme="minorHAnsi"/>
          <w:i/>
          <w:iCs/>
        </w:rPr>
        <w:t>Stable isotope record of benthic and planktonic foraminifera from ODP Site 175-1087 in the southern Cape Basin, Atlantic Ocean</w:t>
      </w:r>
      <w:r w:rsidRPr="000F7795">
        <w:rPr>
          <w:rFonts w:asciiTheme="minorHAnsi" w:hAnsiTheme="minorHAnsi" w:cstheme="minorHAnsi"/>
        </w:rPr>
        <w:t xml:space="preserve">. PANGAEA. </w:t>
      </w:r>
      <w:hyperlink r:id="rId15" w:history="1">
        <w:r w:rsidRPr="000F7795">
          <w:rPr>
            <w:rStyle w:val="af1"/>
            <w:rFonts w:asciiTheme="minorHAnsi" w:hAnsiTheme="minorHAnsi" w:cstheme="minorHAnsi"/>
          </w:rPr>
          <w:t>https://doi.org/10.1594/PANGAEA.701338</w:t>
        </w:r>
      </w:hyperlink>
    </w:p>
    <w:p w14:paraId="0F16A06B" w14:textId="77777777" w:rsidR="000379B1" w:rsidRPr="000F7795" w:rsidRDefault="000379B1" w:rsidP="000379B1">
      <w:pPr>
        <w:pStyle w:val="Web"/>
        <w:numPr>
          <w:ilvl w:val="0"/>
          <w:numId w:val="1"/>
        </w:numPr>
        <w:spacing w:line="360" w:lineRule="auto"/>
        <w:rPr>
          <w:rFonts w:asciiTheme="minorHAnsi" w:hAnsiTheme="minorHAnsi" w:cstheme="minorHAnsi"/>
        </w:rPr>
      </w:pPr>
      <w:r w:rsidRPr="000F7795">
        <w:rPr>
          <w:rFonts w:asciiTheme="minorHAnsi" w:hAnsiTheme="minorHAnsi" w:cstheme="minorHAnsi"/>
        </w:rPr>
        <w:t xml:space="preserve">Martinez-Mendez, G., Zahn, R., Hall, I. R., </w:t>
      </w:r>
      <w:proofErr w:type="spellStart"/>
      <w:r w:rsidRPr="000F7795">
        <w:rPr>
          <w:rFonts w:asciiTheme="minorHAnsi" w:hAnsiTheme="minorHAnsi" w:cstheme="minorHAnsi"/>
        </w:rPr>
        <w:t>Peeters</w:t>
      </w:r>
      <w:proofErr w:type="spellEnd"/>
      <w:r w:rsidRPr="000F7795">
        <w:rPr>
          <w:rFonts w:asciiTheme="minorHAnsi" w:hAnsiTheme="minorHAnsi" w:cstheme="minorHAnsi"/>
        </w:rPr>
        <w:t xml:space="preserve">, F. J. C., Pena, L. D., Cacho, I., &amp; </w:t>
      </w:r>
      <w:proofErr w:type="spellStart"/>
      <w:r w:rsidRPr="000F7795">
        <w:rPr>
          <w:rFonts w:asciiTheme="minorHAnsi" w:hAnsiTheme="minorHAnsi" w:cstheme="minorHAnsi"/>
        </w:rPr>
        <w:t>Negre</w:t>
      </w:r>
      <w:proofErr w:type="spellEnd"/>
      <w:r w:rsidRPr="000F7795">
        <w:rPr>
          <w:rFonts w:asciiTheme="minorHAnsi" w:hAnsiTheme="minorHAnsi" w:cstheme="minorHAnsi"/>
        </w:rPr>
        <w:t xml:space="preserve">, C. (2010). Contrasting multiproxy reconstructions of surface ocean hydrography in the Agulhas Corridor and implications for the Agulhas Leakage during the last 345,000 years. </w:t>
      </w:r>
      <w:proofErr w:type="spellStart"/>
      <w:r w:rsidRPr="000F7795">
        <w:rPr>
          <w:rFonts w:asciiTheme="minorHAnsi" w:hAnsiTheme="minorHAnsi" w:cstheme="minorHAnsi"/>
          <w:i/>
          <w:iCs/>
        </w:rPr>
        <w:t>Paleoceanography</w:t>
      </w:r>
      <w:proofErr w:type="spellEnd"/>
      <w:r w:rsidRPr="000F7795">
        <w:rPr>
          <w:rFonts w:asciiTheme="minorHAnsi" w:hAnsiTheme="minorHAnsi" w:cstheme="minorHAnsi"/>
        </w:rPr>
        <w:t xml:space="preserve">, </w:t>
      </w:r>
      <w:r w:rsidRPr="000F7795">
        <w:rPr>
          <w:rFonts w:asciiTheme="minorHAnsi" w:hAnsiTheme="minorHAnsi" w:cstheme="minorHAnsi"/>
          <w:i/>
          <w:iCs/>
        </w:rPr>
        <w:t>25</w:t>
      </w:r>
      <w:r w:rsidRPr="000F7795">
        <w:rPr>
          <w:rFonts w:asciiTheme="minorHAnsi" w:hAnsiTheme="minorHAnsi" w:cstheme="minorHAnsi"/>
        </w:rPr>
        <w:t xml:space="preserve">(4). </w:t>
      </w:r>
      <w:hyperlink r:id="rId16" w:history="1">
        <w:r w:rsidRPr="000F7795">
          <w:rPr>
            <w:rStyle w:val="af1"/>
            <w:rFonts w:asciiTheme="minorHAnsi" w:hAnsiTheme="minorHAnsi" w:cstheme="minorHAnsi"/>
          </w:rPr>
          <w:t>https://doi.org/10.1029/2009PA001879</w:t>
        </w:r>
      </w:hyperlink>
    </w:p>
    <w:p w14:paraId="7214EBEE" w14:textId="77777777" w:rsidR="000379B1" w:rsidRPr="000F7795" w:rsidRDefault="000379B1" w:rsidP="000379B1">
      <w:pPr>
        <w:pStyle w:val="Web"/>
        <w:numPr>
          <w:ilvl w:val="0"/>
          <w:numId w:val="1"/>
        </w:numPr>
        <w:spacing w:line="360" w:lineRule="auto"/>
        <w:rPr>
          <w:rFonts w:asciiTheme="minorHAnsi" w:hAnsiTheme="minorHAnsi" w:cstheme="minorHAnsi"/>
        </w:rPr>
      </w:pPr>
      <w:r w:rsidRPr="000F7795">
        <w:rPr>
          <w:rFonts w:asciiTheme="minorHAnsi" w:hAnsiTheme="minorHAnsi" w:cstheme="minorHAnsi"/>
        </w:rPr>
        <w:t xml:space="preserve">Kiefer, T., </w:t>
      </w:r>
      <w:proofErr w:type="spellStart"/>
      <w:r w:rsidRPr="000F7795">
        <w:rPr>
          <w:rFonts w:asciiTheme="minorHAnsi" w:hAnsiTheme="minorHAnsi" w:cstheme="minorHAnsi"/>
        </w:rPr>
        <w:t>McCave</w:t>
      </w:r>
      <w:proofErr w:type="spellEnd"/>
      <w:r w:rsidRPr="000F7795">
        <w:rPr>
          <w:rFonts w:asciiTheme="minorHAnsi" w:hAnsiTheme="minorHAnsi" w:cstheme="minorHAnsi"/>
        </w:rPr>
        <w:t xml:space="preserve">, I. N., &amp; </w:t>
      </w:r>
      <w:proofErr w:type="spellStart"/>
      <w:r w:rsidRPr="000F7795">
        <w:rPr>
          <w:rFonts w:asciiTheme="minorHAnsi" w:hAnsiTheme="minorHAnsi" w:cstheme="minorHAnsi"/>
        </w:rPr>
        <w:t>Elderfield</w:t>
      </w:r>
      <w:proofErr w:type="spellEnd"/>
      <w:r w:rsidRPr="000F7795">
        <w:rPr>
          <w:rFonts w:asciiTheme="minorHAnsi" w:hAnsiTheme="minorHAnsi" w:cstheme="minorHAnsi"/>
        </w:rPr>
        <w:t xml:space="preserve">, H. (2006). Antarctic control on tropical Indian Ocean sea surface temperature and hydrography. </w:t>
      </w:r>
      <w:r w:rsidRPr="000F7795">
        <w:rPr>
          <w:rFonts w:asciiTheme="minorHAnsi" w:hAnsiTheme="minorHAnsi" w:cstheme="minorHAnsi"/>
          <w:i/>
          <w:iCs/>
        </w:rPr>
        <w:t>Geophysical Research Letters</w:t>
      </w:r>
      <w:r w:rsidRPr="000F7795">
        <w:rPr>
          <w:rFonts w:asciiTheme="minorHAnsi" w:hAnsiTheme="minorHAnsi" w:cstheme="minorHAnsi"/>
        </w:rPr>
        <w:t xml:space="preserve">, </w:t>
      </w:r>
      <w:r w:rsidRPr="000F7795">
        <w:rPr>
          <w:rFonts w:asciiTheme="minorHAnsi" w:hAnsiTheme="minorHAnsi" w:cstheme="minorHAnsi"/>
          <w:i/>
          <w:iCs/>
        </w:rPr>
        <w:t>33</w:t>
      </w:r>
      <w:r w:rsidRPr="000F7795">
        <w:rPr>
          <w:rFonts w:asciiTheme="minorHAnsi" w:hAnsiTheme="minorHAnsi" w:cstheme="minorHAnsi"/>
        </w:rPr>
        <w:t xml:space="preserve">(24), L24612. </w:t>
      </w:r>
      <w:hyperlink r:id="rId17" w:history="1">
        <w:r w:rsidRPr="000F7795">
          <w:rPr>
            <w:rStyle w:val="af1"/>
            <w:rFonts w:asciiTheme="minorHAnsi" w:hAnsiTheme="minorHAnsi" w:cstheme="minorHAnsi"/>
          </w:rPr>
          <w:t>https://doi.org/10.1029/2006GL027097</w:t>
        </w:r>
      </w:hyperlink>
    </w:p>
    <w:p w14:paraId="27ABF91B" w14:textId="77777777" w:rsidR="000379B1" w:rsidRPr="000F7795" w:rsidRDefault="000379B1" w:rsidP="000379B1">
      <w:pPr>
        <w:pStyle w:val="Web"/>
        <w:numPr>
          <w:ilvl w:val="0"/>
          <w:numId w:val="1"/>
        </w:numPr>
        <w:spacing w:line="360" w:lineRule="auto"/>
        <w:rPr>
          <w:rFonts w:asciiTheme="minorHAnsi" w:hAnsiTheme="minorHAnsi" w:cstheme="minorHAnsi"/>
        </w:rPr>
      </w:pPr>
      <w:proofErr w:type="spellStart"/>
      <w:r w:rsidRPr="000F7795">
        <w:rPr>
          <w:rFonts w:asciiTheme="minorHAnsi" w:hAnsiTheme="minorHAnsi" w:cstheme="minorHAnsi"/>
        </w:rPr>
        <w:t>Rostek</w:t>
      </w:r>
      <w:proofErr w:type="spellEnd"/>
      <w:r w:rsidRPr="000F7795">
        <w:rPr>
          <w:rFonts w:asciiTheme="minorHAnsi" w:hAnsiTheme="minorHAnsi" w:cstheme="minorHAnsi"/>
        </w:rPr>
        <w:t xml:space="preserve">, F., Bard, E., Beaufort, L., </w:t>
      </w:r>
      <w:proofErr w:type="spellStart"/>
      <w:r w:rsidRPr="000F7795">
        <w:rPr>
          <w:rFonts w:asciiTheme="minorHAnsi" w:hAnsiTheme="minorHAnsi" w:cstheme="minorHAnsi"/>
        </w:rPr>
        <w:t>Sonzogni</w:t>
      </w:r>
      <w:proofErr w:type="spellEnd"/>
      <w:r w:rsidRPr="000F7795">
        <w:rPr>
          <w:rFonts w:asciiTheme="minorHAnsi" w:hAnsiTheme="minorHAnsi" w:cstheme="minorHAnsi"/>
        </w:rPr>
        <w:t xml:space="preserve">, C., &amp; </w:t>
      </w:r>
      <w:proofErr w:type="spellStart"/>
      <w:r w:rsidRPr="000F7795">
        <w:rPr>
          <w:rFonts w:asciiTheme="minorHAnsi" w:hAnsiTheme="minorHAnsi" w:cstheme="minorHAnsi"/>
        </w:rPr>
        <w:t>Ganssen</w:t>
      </w:r>
      <w:proofErr w:type="spellEnd"/>
      <w:r w:rsidRPr="000F7795">
        <w:rPr>
          <w:rFonts w:asciiTheme="minorHAnsi" w:hAnsiTheme="minorHAnsi" w:cstheme="minorHAnsi"/>
        </w:rPr>
        <w:t xml:space="preserve">, G. (1997). Sea surface temperature and productivity records for the last 240 </w:t>
      </w:r>
      <w:proofErr w:type="spellStart"/>
      <w:r w:rsidRPr="000F7795">
        <w:rPr>
          <w:rFonts w:asciiTheme="minorHAnsi" w:hAnsiTheme="minorHAnsi" w:cstheme="minorHAnsi"/>
        </w:rPr>
        <w:t>kyr</w:t>
      </w:r>
      <w:proofErr w:type="spellEnd"/>
      <w:r w:rsidRPr="000F7795">
        <w:rPr>
          <w:rFonts w:asciiTheme="minorHAnsi" w:hAnsiTheme="minorHAnsi" w:cstheme="minorHAnsi"/>
        </w:rPr>
        <w:t xml:space="preserve"> on the Arabian Sea. </w:t>
      </w:r>
      <w:r w:rsidRPr="000F7795">
        <w:rPr>
          <w:rFonts w:asciiTheme="minorHAnsi" w:hAnsiTheme="minorHAnsi" w:cstheme="minorHAnsi"/>
          <w:i/>
          <w:iCs/>
        </w:rPr>
        <w:t>Deep-Sea Research Part II: Topical Studies in Oceanography</w:t>
      </w:r>
      <w:r w:rsidRPr="000F7795">
        <w:rPr>
          <w:rFonts w:asciiTheme="minorHAnsi" w:hAnsiTheme="minorHAnsi" w:cstheme="minorHAnsi"/>
        </w:rPr>
        <w:t xml:space="preserve">, </w:t>
      </w:r>
      <w:r w:rsidRPr="000F7795">
        <w:rPr>
          <w:rFonts w:asciiTheme="minorHAnsi" w:hAnsiTheme="minorHAnsi" w:cstheme="minorHAnsi"/>
          <w:i/>
          <w:iCs/>
        </w:rPr>
        <w:t>44</w:t>
      </w:r>
      <w:r w:rsidRPr="000F7795">
        <w:rPr>
          <w:rFonts w:asciiTheme="minorHAnsi" w:hAnsiTheme="minorHAnsi" w:cstheme="minorHAnsi"/>
        </w:rPr>
        <w:t xml:space="preserve">(6–7), 1461–1480. </w:t>
      </w:r>
      <w:hyperlink r:id="rId18" w:history="1">
        <w:r w:rsidRPr="000F7795">
          <w:rPr>
            <w:rStyle w:val="af1"/>
            <w:rFonts w:asciiTheme="minorHAnsi" w:hAnsiTheme="minorHAnsi" w:cstheme="minorHAnsi"/>
          </w:rPr>
          <w:t>https://doi.org/10.1016/S0967-0645(97)00008-8</w:t>
        </w:r>
      </w:hyperlink>
    </w:p>
    <w:p w14:paraId="0B804D2A" w14:textId="77777777" w:rsidR="000379B1" w:rsidRPr="000F7795" w:rsidRDefault="000379B1" w:rsidP="000379B1">
      <w:pPr>
        <w:pStyle w:val="Web"/>
        <w:numPr>
          <w:ilvl w:val="0"/>
          <w:numId w:val="1"/>
        </w:numPr>
        <w:spacing w:line="360" w:lineRule="auto"/>
        <w:rPr>
          <w:rFonts w:asciiTheme="minorHAnsi" w:hAnsiTheme="minorHAnsi" w:cstheme="minorHAnsi"/>
        </w:rPr>
      </w:pPr>
      <w:proofErr w:type="spellStart"/>
      <w:r w:rsidRPr="000F7795">
        <w:rPr>
          <w:rFonts w:asciiTheme="minorHAnsi" w:hAnsiTheme="minorHAnsi" w:cstheme="minorHAnsi"/>
        </w:rPr>
        <w:t>Bassinot</w:t>
      </w:r>
      <w:proofErr w:type="spellEnd"/>
      <w:r w:rsidRPr="000F7795">
        <w:rPr>
          <w:rFonts w:asciiTheme="minorHAnsi" w:hAnsiTheme="minorHAnsi" w:cstheme="minorHAnsi"/>
        </w:rPr>
        <w:t xml:space="preserve">, F. C., Beaufort, L., Vincent, E., </w:t>
      </w:r>
      <w:proofErr w:type="spellStart"/>
      <w:r w:rsidRPr="000F7795">
        <w:rPr>
          <w:rFonts w:asciiTheme="minorHAnsi" w:hAnsiTheme="minorHAnsi" w:cstheme="minorHAnsi"/>
        </w:rPr>
        <w:t>Labeyrie</w:t>
      </w:r>
      <w:proofErr w:type="spellEnd"/>
      <w:r w:rsidRPr="000F7795">
        <w:rPr>
          <w:rFonts w:asciiTheme="minorHAnsi" w:hAnsiTheme="minorHAnsi" w:cstheme="minorHAnsi"/>
        </w:rPr>
        <w:t xml:space="preserve">, L. D., </w:t>
      </w:r>
      <w:proofErr w:type="spellStart"/>
      <w:r w:rsidRPr="000F7795">
        <w:rPr>
          <w:rFonts w:asciiTheme="minorHAnsi" w:hAnsiTheme="minorHAnsi" w:cstheme="minorHAnsi"/>
        </w:rPr>
        <w:t>Rostek</w:t>
      </w:r>
      <w:proofErr w:type="spellEnd"/>
      <w:r w:rsidRPr="000F7795">
        <w:rPr>
          <w:rFonts w:asciiTheme="minorHAnsi" w:hAnsiTheme="minorHAnsi" w:cstheme="minorHAnsi"/>
        </w:rPr>
        <w:t xml:space="preserve">, F., Müller, P. J., </w:t>
      </w:r>
      <w:proofErr w:type="spellStart"/>
      <w:r w:rsidRPr="000F7795">
        <w:rPr>
          <w:rFonts w:asciiTheme="minorHAnsi" w:hAnsiTheme="minorHAnsi" w:cstheme="minorHAnsi"/>
        </w:rPr>
        <w:t>Quidelleur</w:t>
      </w:r>
      <w:proofErr w:type="spellEnd"/>
      <w:r w:rsidRPr="000F7795">
        <w:rPr>
          <w:rFonts w:asciiTheme="minorHAnsi" w:hAnsiTheme="minorHAnsi" w:cstheme="minorHAnsi"/>
        </w:rPr>
        <w:t xml:space="preserve">, X., &amp; Lancelot, Y. (1994). Coarse fraction fluctuations in pelagic carbonate sediments from the tropical Indian Ocean: A 1500-kyr record of carbonate dissolution. </w:t>
      </w:r>
      <w:proofErr w:type="spellStart"/>
      <w:r w:rsidRPr="000F7795">
        <w:rPr>
          <w:rFonts w:asciiTheme="minorHAnsi" w:hAnsiTheme="minorHAnsi" w:cstheme="minorHAnsi"/>
          <w:i/>
          <w:iCs/>
        </w:rPr>
        <w:t>Paleoceanography</w:t>
      </w:r>
      <w:proofErr w:type="spellEnd"/>
      <w:r w:rsidRPr="000F7795">
        <w:rPr>
          <w:rFonts w:asciiTheme="minorHAnsi" w:hAnsiTheme="minorHAnsi" w:cstheme="minorHAnsi"/>
        </w:rPr>
        <w:t xml:space="preserve">, </w:t>
      </w:r>
      <w:r w:rsidRPr="000F7795">
        <w:rPr>
          <w:rFonts w:asciiTheme="minorHAnsi" w:hAnsiTheme="minorHAnsi" w:cstheme="minorHAnsi"/>
          <w:i/>
          <w:iCs/>
        </w:rPr>
        <w:t>9</w:t>
      </w:r>
      <w:r w:rsidRPr="000F7795">
        <w:rPr>
          <w:rFonts w:asciiTheme="minorHAnsi" w:hAnsiTheme="minorHAnsi" w:cstheme="minorHAnsi"/>
        </w:rPr>
        <w:t xml:space="preserve">(4), 579–600. </w:t>
      </w:r>
      <w:hyperlink r:id="rId19" w:history="1">
        <w:r w:rsidRPr="000F7795">
          <w:rPr>
            <w:rStyle w:val="af1"/>
            <w:rFonts w:asciiTheme="minorHAnsi" w:hAnsiTheme="minorHAnsi" w:cstheme="minorHAnsi"/>
          </w:rPr>
          <w:t>https://doi.org/10.1029/94PA00860</w:t>
        </w:r>
      </w:hyperlink>
    </w:p>
    <w:p w14:paraId="541CFB41" w14:textId="77777777" w:rsidR="000379B1" w:rsidRPr="000F7795" w:rsidRDefault="000379B1" w:rsidP="000379B1">
      <w:pPr>
        <w:pStyle w:val="Web"/>
        <w:numPr>
          <w:ilvl w:val="0"/>
          <w:numId w:val="1"/>
        </w:numPr>
        <w:spacing w:line="360" w:lineRule="auto"/>
        <w:rPr>
          <w:rFonts w:asciiTheme="minorHAnsi" w:hAnsiTheme="minorHAnsi" w:cstheme="minorHAnsi"/>
        </w:rPr>
      </w:pPr>
      <w:proofErr w:type="spellStart"/>
      <w:r w:rsidRPr="000F7795">
        <w:rPr>
          <w:rFonts w:asciiTheme="minorHAnsi" w:hAnsiTheme="minorHAnsi" w:cstheme="minorHAnsi"/>
        </w:rPr>
        <w:t>Mohtadi</w:t>
      </w:r>
      <w:proofErr w:type="spellEnd"/>
      <w:r w:rsidRPr="000F7795">
        <w:rPr>
          <w:rFonts w:asciiTheme="minorHAnsi" w:hAnsiTheme="minorHAnsi" w:cstheme="minorHAnsi"/>
        </w:rPr>
        <w:t xml:space="preserve">, M., </w:t>
      </w:r>
      <w:proofErr w:type="spellStart"/>
      <w:r w:rsidRPr="000F7795">
        <w:rPr>
          <w:rFonts w:asciiTheme="minorHAnsi" w:hAnsiTheme="minorHAnsi" w:cstheme="minorHAnsi"/>
        </w:rPr>
        <w:t>Lückge</w:t>
      </w:r>
      <w:proofErr w:type="spellEnd"/>
      <w:r w:rsidRPr="000F7795">
        <w:rPr>
          <w:rFonts w:asciiTheme="minorHAnsi" w:hAnsiTheme="minorHAnsi" w:cstheme="minorHAnsi"/>
        </w:rPr>
        <w:t xml:space="preserve">, A., Steinke, S., Groeneveld, J., </w:t>
      </w:r>
      <w:proofErr w:type="spellStart"/>
      <w:r w:rsidRPr="000F7795">
        <w:rPr>
          <w:rFonts w:asciiTheme="minorHAnsi" w:hAnsiTheme="minorHAnsi" w:cstheme="minorHAnsi"/>
        </w:rPr>
        <w:t>Hebbeln</w:t>
      </w:r>
      <w:proofErr w:type="spellEnd"/>
      <w:r w:rsidRPr="000F7795">
        <w:rPr>
          <w:rFonts w:asciiTheme="minorHAnsi" w:hAnsiTheme="minorHAnsi" w:cstheme="minorHAnsi"/>
        </w:rPr>
        <w:t xml:space="preserve">, D., &amp; Westphal, N. (2010). Late Pleistocene surface and thermocline conditions of the eastern tropical Indian Ocean. </w:t>
      </w:r>
      <w:r w:rsidRPr="000F7795">
        <w:rPr>
          <w:rFonts w:asciiTheme="minorHAnsi" w:hAnsiTheme="minorHAnsi" w:cstheme="minorHAnsi"/>
          <w:i/>
          <w:iCs/>
        </w:rPr>
        <w:t>Quaternary Science Reviews</w:t>
      </w:r>
      <w:r w:rsidRPr="000F7795">
        <w:rPr>
          <w:rFonts w:asciiTheme="minorHAnsi" w:hAnsiTheme="minorHAnsi" w:cstheme="minorHAnsi"/>
        </w:rPr>
        <w:t xml:space="preserve">, </w:t>
      </w:r>
      <w:r w:rsidRPr="000F7795">
        <w:rPr>
          <w:rFonts w:asciiTheme="minorHAnsi" w:hAnsiTheme="minorHAnsi" w:cstheme="minorHAnsi"/>
          <w:i/>
          <w:iCs/>
        </w:rPr>
        <w:t>29</w:t>
      </w:r>
      <w:r w:rsidRPr="000F7795">
        <w:rPr>
          <w:rFonts w:asciiTheme="minorHAnsi" w:hAnsiTheme="minorHAnsi" w:cstheme="minorHAnsi"/>
        </w:rPr>
        <w:t xml:space="preserve">(7), 887–896. </w:t>
      </w:r>
      <w:hyperlink r:id="rId20" w:history="1">
        <w:r w:rsidRPr="000F7795">
          <w:rPr>
            <w:rStyle w:val="af1"/>
            <w:rFonts w:asciiTheme="minorHAnsi" w:hAnsiTheme="minorHAnsi" w:cstheme="minorHAnsi"/>
          </w:rPr>
          <w:t>https://doi.org/https://doi.org/10.1016/j.quascirev.2009.12.006</w:t>
        </w:r>
      </w:hyperlink>
    </w:p>
    <w:p w14:paraId="76DFD2E3" w14:textId="77777777" w:rsidR="000379B1" w:rsidRPr="000F7795" w:rsidRDefault="000379B1" w:rsidP="000379B1">
      <w:pPr>
        <w:pStyle w:val="Web"/>
        <w:numPr>
          <w:ilvl w:val="0"/>
          <w:numId w:val="1"/>
        </w:numPr>
        <w:spacing w:line="360" w:lineRule="auto"/>
        <w:rPr>
          <w:rFonts w:asciiTheme="minorHAnsi" w:hAnsiTheme="minorHAnsi" w:cstheme="minorHAnsi"/>
        </w:rPr>
      </w:pPr>
      <w:r w:rsidRPr="000F7795">
        <w:rPr>
          <w:rFonts w:asciiTheme="minorHAnsi" w:hAnsiTheme="minorHAnsi" w:cstheme="minorHAnsi"/>
        </w:rPr>
        <w:t xml:space="preserve">Xu, J., </w:t>
      </w:r>
      <w:proofErr w:type="spellStart"/>
      <w:r w:rsidRPr="000F7795">
        <w:rPr>
          <w:rFonts w:asciiTheme="minorHAnsi" w:hAnsiTheme="minorHAnsi" w:cstheme="minorHAnsi"/>
        </w:rPr>
        <w:t>Holbourn</w:t>
      </w:r>
      <w:proofErr w:type="spellEnd"/>
      <w:r w:rsidRPr="000F7795">
        <w:rPr>
          <w:rFonts w:asciiTheme="minorHAnsi" w:hAnsiTheme="minorHAnsi" w:cstheme="minorHAnsi"/>
        </w:rPr>
        <w:t xml:space="preserve">, A., </w:t>
      </w:r>
      <w:proofErr w:type="spellStart"/>
      <w:r w:rsidRPr="000F7795">
        <w:rPr>
          <w:rFonts w:asciiTheme="minorHAnsi" w:hAnsiTheme="minorHAnsi" w:cstheme="minorHAnsi"/>
        </w:rPr>
        <w:t>Kuhnt</w:t>
      </w:r>
      <w:proofErr w:type="spellEnd"/>
      <w:r w:rsidRPr="000F7795">
        <w:rPr>
          <w:rFonts w:asciiTheme="minorHAnsi" w:hAnsiTheme="minorHAnsi" w:cstheme="minorHAnsi"/>
        </w:rPr>
        <w:t xml:space="preserve">, W., Jian, Z., &amp; Kawamura, H. (2008). Changes in the thermocline structure of the Indonesian outflow during Terminations I and II. </w:t>
      </w:r>
      <w:r w:rsidRPr="000F7795">
        <w:rPr>
          <w:rFonts w:asciiTheme="minorHAnsi" w:hAnsiTheme="minorHAnsi" w:cstheme="minorHAnsi"/>
          <w:i/>
          <w:iCs/>
        </w:rPr>
        <w:t>Earth and Planetary Science Letters</w:t>
      </w:r>
      <w:r w:rsidRPr="000F7795">
        <w:rPr>
          <w:rFonts w:asciiTheme="minorHAnsi" w:hAnsiTheme="minorHAnsi" w:cstheme="minorHAnsi"/>
        </w:rPr>
        <w:t xml:space="preserve">, </w:t>
      </w:r>
      <w:r w:rsidRPr="000F7795">
        <w:rPr>
          <w:rFonts w:asciiTheme="minorHAnsi" w:hAnsiTheme="minorHAnsi" w:cstheme="minorHAnsi"/>
          <w:i/>
          <w:iCs/>
        </w:rPr>
        <w:t>273</w:t>
      </w:r>
      <w:r w:rsidRPr="000F7795">
        <w:rPr>
          <w:rFonts w:asciiTheme="minorHAnsi" w:hAnsiTheme="minorHAnsi" w:cstheme="minorHAnsi"/>
        </w:rPr>
        <w:t xml:space="preserve">(1–2), 152–162. </w:t>
      </w:r>
      <w:hyperlink r:id="rId21" w:history="1">
        <w:r w:rsidRPr="000F7795">
          <w:rPr>
            <w:rStyle w:val="af1"/>
            <w:rFonts w:asciiTheme="minorHAnsi" w:hAnsiTheme="minorHAnsi" w:cstheme="minorHAnsi"/>
          </w:rPr>
          <w:t>https://doi.org/10.1016/j.epsl.2008.06.029</w:t>
        </w:r>
      </w:hyperlink>
    </w:p>
    <w:p w14:paraId="03AA4C59" w14:textId="77777777" w:rsidR="000379B1" w:rsidRPr="000F7795" w:rsidRDefault="000379B1" w:rsidP="000379B1">
      <w:pPr>
        <w:pStyle w:val="a4"/>
        <w:numPr>
          <w:ilvl w:val="0"/>
          <w:numId w:val="1"/>
        </w:numPr>
        <w:spacing w:line="360" w:lineRule="auto"/>
        <w:rPr>
          <w:rFonts w:cstheme="minorHAnsi"/>
          <w:sz w:val="24"/>
          <w:szCs w:val="24"/>
          <w:lang w:val="en-GB"/>
        </w:rPr>
      </w:pPr>
      <w:r w:rsidRPr="000F7795">
        <w:rPr>
          <w:rFonts w:cstheme="minorHAnsi"/>
          <w:sz w:val="24"/>
          <w:szCs w:val="24"/>
        </w:rPr>
        <w:t xml:space="preserve">Zuraida, R., Holbourn, A., Nürnberg, D., Kuhnt, W., Dürkop, A., &amp; Erichsen, A. (2009). Evidence for Indonesian Throughflow slowdown during Heinrich events 3 to 5. </w:t>
      </w:r>
      <w:r w:rsidRPr="000F7795">
        <w:rPr>
          <w:rFonts w:cstheme="minorHAnsi"/>
          <w:i/>
          <w:iCs/>
          <w:sz w:val="24"/>
          <w:szCs w:val="24"/>
        </w:rPr>
        <w:t>Paleoceanography</w:t>
      </w:r>
      <w:r w:rsidRPr="000F7795">
        <w:rPr>
          <w:rFonts w:cstheme="minorHAnsi"/>
          <w:sz w:val="24"/>
          <w:szCs w:val="24"/>
        </w:rPr>
        <w:t xml:space="preserve">, </w:t>
      </w:r>
      <w:r w:rsidRPr="000F7795">
        <w:rPr>
          <w:rFonts w:cstheme="minorHAnsi"/>
          <w:i/>
          <w:iCs/>
          <w:sz w:val="24"/>
          <w:szCs w:val="24"/>
        </w:rPr>
        <w:t>24</w:t>
      </w:r>
      <w:r w:rsidRPr="000F7795">
        <w:rPr>
          <w:rFonts w:cstheme="minorHAnsi"/>
          <w:sz w:val="24"/>
          <w:szCs w:val="24"/>
        </w:rPr>
        <w:t xml:space="preserve">(2), n/a-n/a. </w:t>
      </w:r>
      <w:hyperlink r:id="rId22" w:history="1">
        <w:r w:rsidRPr="000F7795">
          <w:rPr>
            <w:rStyle w:val="af1"/>
            <w:rFonts w:cstheme="minorHAnsi"/>
            <w:sz w:val="24"/>
            <w:szCs w:val="24"/>
          </w:rPr>
          <w:t>https://doi.org/10.1029/2008PA001653</w:t>
        </w:r>
      </w:hyperlink>
    </w:p>
    <w:p w14:paraId="373FABCE" w14:textId="77777777" w:rsidR="000379B1" w:rsidRPr="000F7795" w:rsidRDefault="000379B1" w:rsidP="000379B1">
      <w:pPr>
        <w:pStyle w:val="a4"/>
        <w:numPr>
          <w:ilvl w:val="0"/>
          <w:numId w:val="1"/>
        </w:numPr>
        <w:spacing w:line="360" w:lineRule="auto"/>
        <w:rPr>
          <w:rFonts w:cstheme="minorHAnsi"/>
          <w:sz w:val="24"/>
          <w:szCs w:val="24"/>
          <w:lang w:val="en-GB"/>
        </w:rPr>
      </w:pPr>
      <w:r w:rsidRPr="000F7795">
        <w:rPr>
          <w:rFonts w:cstheme="minorHAnsi"/>
          <w:sz w:val="24"/>
          <w:szCs w:val="24"/>
          <w:lang w:val="en-GB"/>
        </w:rPr>
        <w:lastRenderedPageBreak/>
        <w:t xml:space="preserve">Herbert, T. D., Peterson, L. C., Lawrence, K. T., &amp; Liu, Z. (2010). Tropical ocean temperatures over the past 3.5 million years. Science, 328(5985), 1530–1534. </w:t>
      </w:r>
      <w:hyperlink r:id="rId23" w:history="1">
        <w:r w:rsidRPr="000F7795">
          <w:rPr>
            <w:rStyle w:val="af1"/>
            <w:rFonts w:cstheme="minorHAnsi"/>
            <w:sz w:val="24"/>
            <w:szCs w:val="24"/>
            <w:lang w:val="en-GB"/>
          </w:rPr>
          <w:t>https://doi.org/10.1126/science.1185435</w:t>
        </w:r>
      </w:hyperlink>
    </w:p>
    <w:p w14:paraId="20AEBD87" w14:textId="77777777" w:rsidR="000379B1" w:rsidRPr="000F7795" w:rsidRDefault="000379B1" w:rsidP="000379B1">
      <w:pPr>
        <w:pStyle w:val="a4"/>
        <w:numPr>
          <w:ilvl w:val="0"/>
          <w:numId w:val="1"/>
        </w:numPr>
        <w:spacing w:line="360" w:lineRule="auto"/>
        <w:rPr>
          <w:rFonts w:cstheme="minorHAnsi"/>
          <w:sz w:val="24"/>
          <w:szCs w:val="24"/>
          <w:lang w:val="en-GB"/>
        </w:rPr>
      </w:pPr>
      <w:r w:rsidRPr="000F7795">
        <w:rPr>
          <w:rFonts w:cstheme="minorHAnsi"/>
          <w:sz w:val="24"/>
          <w:szCs w:val="24"/>
          <w:lang w:val="en-GB"/>
        </w:rPr>
        <w:t xml:space="preserve">De </w:t>
      </w:r>
      <w:proofErr w:type="spellStart"/>
      <w:r w:rsidRPr="000F7795">
        <w:rPr>
          <w:rFonts w:cstheme="minorHAnsi"/>
          <w:sz w:val="24"/>
          <w:szCs w:val="24"/>
          <w:lang w:val="en-GB"/>
        </w:rPr>
        <w:t>Garidel</w:t>
      </w:r>
      <w:proofErr w:type="spellEnd"/>
      <w:r w:rsidRPr="000F7795">
        <w:rPr>
          <w:rFonts w:cstheme="minorHAnsi"/>
          <w:sz w:val="24"/>
          <w:szCs w:val="24"/>
          <w:lang w:val="en-GB"/>
        </w:rPr>
        <w:t xml:space="preserve">-Thoron, T., Rosenthal, Y., </w:t>
      </w:r>
      <w:proofErr w:type="spellStart"/>
      <w:r w:rsidRPr="000F7795">
        <w:rPr>
          <w:rFonts w:cstheme="minorHAnsi"/>
          <w:sz w:val="24"/>
          <w:szCs w:val="24"/>
          <w:lang w:val="en-GB"/>
        </w:rPr>
        <w:t>Bassinot</w:t>
      </w:r>
      <w:proofErr w:type="spellEnd"/>
      <w:r w:rsidRPr="000F7795">
        <w:rPr>
          <w:rFonts w:cstheme="minorHAnsi"/>
          <w:sz w:val="24"/>
          <w:szCs w:val="24"/>
          <w:lang w:val="en-GB"/>
        </w:rPr>
        <w:t xml:space="preserve">, F., &amp; Beaufort, L. (2005). Stable sea surface temperatures in the western Pacific warm pool over the past 1.75 million years. Nature, 433(7023), 294–298. </w:t>
      </w:r>
      <w:hyperlink r:id="rId24" w:history="1">
        <w:r w:rsidRPr="000F7795">
          <w:rPr>
            <w:rStyle w:val="af1"/>
            <w:rFonts w:cstheme="minorHAnsi"/>
            <w:sz w:val="24"/>
            <w:szCs w:val="24"/>
            <w:lang w:val="en-GB"/>
          </w:rPr>
          <w:t>https://doi.org/10.1038/nature03189</w:t>
        </w:r>
      </w:hyperlink>
    </w:p>
    <w:p w14:paraId="6AA9A6A7" w14:textId="77777777" w:rsidR="000379B1" w:rsidRPr="000F7795" w:rsidRDefault="000379B1" w:rsidP="000379B1">
      <w:pPr>
        <w:pStyle w:val="a4"/>
        <w:numPr>
          <w:ilvl w:val="0"/>
          <w:numId w:val="1"/>
        </w:numPr>
        <w:spacing w:line="360" w:lineRule="auto"/>
        <w:rPr>
          <w:rFonts w:cstheme="minorHAnsi"/>
          <w:sz w:val="24"/>
          <w:szCs w:val="24"/>
          <w:lang w:val="en-GB"/>
        </w:rPr>
      </w:pPr>
      <w:r w:rsidRPr="000F7795">
        <w:rPr>
          <w:rFonts w:cstheme="minorHAnsi"/>
          <w:sz w:val="24"/>
          <w:szCs w:val="24"/>
          <w:lang w:val="en-GB"/>
        </w:rPr>
        <w:t>de Boer, B., Lourens, L. J., &amp; Van De Wal, R. S. W. (2014</w:t>
      </w:r>
      <w:r>
        <w:rPr>
          <w:rFonts w:cstheme="minorHAnsi"/>
          <w:sz w:val="24"/>
          <w:szCs w:val="24"/>
          <w:lang w:val="en-GB"/>
        </w:rPr>
        <w:t>b</w:t>
      </w:r>
      <w:r w:rsidRPr="000F7795">
        <w:rPr>
          <w:rFonts w:cstheme="minorHAnsi"/>
          <w:sz w:val="24"/>
          <w:szCs w:val="24"/>
          <w:lang w:val="en-GB"/>
        </w:rPr>
        <w:t xml:space="preserve">). Persistent 400,000-year variability of </w:t>
      </w:r>
      <w:proofErr w:type="spellStart"/>
      <w:r w:rsidRPr="000F7795">
        <w:rPr>
          <w:rFonts w:cstheme="minorHAnsi"/>
          <w:sz w:val="24"/>
          <w:szCs w:val="24"/>
          <w:lang w:val="en-GB"/>
        </w:rPr>
        <w:t>antarctic</w:t>
      </w:r>
      <w:proofErr w:type="spellEnd"/>
      <w:r w:rsidRPr="000F7795">
        <w:rPr>
          <w:rFonts w:cstheme="minorHAnsi"/>
          <w:sz w:val="24"/>
          <w:szCs w:val="24"/>
          <w:lang w:val="en-GB"/>
        </w:rPr>
        <w:t xml:space="preserve"> ice volume and the carbon cycle is revealed throughout the </w:t>
      </w:r>
      <w:proofErr w:type="spellStart"/>
      <w:r w:rsidRPr="000F7795">
        <w:rPr>
          <w:rFonts w:cstheme="minorHAnsi"/>
          <w:sz w:val="24"/>
          <w:szCs w:val="24"/>
          <w:lang w:val="en-GB"/>
        </w:rPr>
        <w:t>plio-pleistocene</w:t>
      </w:r>
      <w:proofErr w:type="spellEnd"/>
      <w:r w:rsidRPr="000F7795">
        <w:rPr>
          <w:rFonts w:cstheme="minorHAnsi"/>
          <w:sz w:val="24"/>
          <w:szCs w:val="24"/>
          <w:lang w:val="en-GB"/>
        </w:rPr>
        <w:t xml:space="preserve">. Nature Communications, 5. </w:t>
      </w:r>
      <w:hyperlink r:id="rId25" w:history="1">
        <w:r w:rsidRPr="000F7795">
          <w:rPr>
            <w:rStyle w:val="af1"/>
            <w:rFonts w:cstheme="minorHAnsi"/>
            <w:sz w:val="24"/>
            <w:szCs w:val="24"/>
            <w:lang w:val="en-GB"/>
          </w:rPr>
          <w:t>https://doi.org/10.1038/ncomms3999</w:t>
        </w:r>
      </w:hyperlink>
    </w:p>
    <w:p w14:paraId="096B40DE" w14:textId="77777777" w:rsidR="000379B1" w:rsidRPr="000F7795" w:rsidRDefault="000379B1" w:rsidP="000379B1">
      <w:pPr>
        <w:pStyle w:val="a4"/>
        <w:numPr>
          <w:ilvl w:val="0"/>
          <w:numId w:val="1"/>
        </w:numPr>
        <w:spacing w:line="360" w:lineRule="auto"/>
        <w:rPr>
          <w:rFonts w:cstheme="minorHAnsi"/>
          <w:sz w:val="24"/>
          <w:szCs w:val="24"/>
          <w:lang w:val="en-GB"/>
        </w:rPr>
      </w:pPr>
      <w:proofErr w:type="spellStart"/>
      <w:r w:rsidRPr="000F7795">
        <w:rPr>
          <w:rFonts w:cstheme="minorHAnsi"/>
          <w:sz w:val="24"/>
          <w:szCs w:val="24"/>
          <w:lang w:val="en-GB"/>
        </w:rPr>
        <w:t>Gray</w:t>
      </w:r>
      <w:proofErr w:type="spellEnd"/>
      <w:r w:rsidRPr="000F7795">
        <w:rPr>
          <w:rFonts w:cstheme="minorHAnsi"/>
          <w:sz w:val="24"/>
          <w:szCs w:val="24"/>
          <w:lang w:val="en-GB"/>
        </w:rPr>
        <w:t xml:space="preserve">, W. R., &amp; Evans, D. (2019). Nonthermal Influences on Mg/Ca in Planktonic Foraminifera: A Review of Culture Studies and Application to the Last Glacial Maximum. </w:t>
      </w:r>
      <w:proofErr w:type="spellStart"/>
      <w:r w:rsidRPr="000F7795">
        <w:rPr>
          <w:rFonts w:cstheme="minorHAnsi"/>
          <w:sz w:val="24"/>
          <w:szCs w:val="24"/>
          <w:lang w:val="en-GB"/>
        </w:rPr>
        <w:t>Paleoceanography</w:t>
      </w:r>
      <w:proofErr w:type="spellEnd"/>
      <w:r w:rsidRPr="000F7795">
        <w:rPr>
          <w:rFonts w:cstheme="minorHAnsi"/>
          <w:sz w:val="24"/>
          <w:szCs w:val="24"/>
          <w:lang w:val="en-GB"/>
        </w:rPr>
        <w:t xml:space="preserve"> and Paleoclimatology, 34(3), 306–315. </w:t>
      </w:r>
      <w:hyperlink r:id="rId26" w:history="1">
        <w:r w:rsidRPr="000F7795">
          <w:rPr>
            <w:rStyle w:val="af1"/>
            <w:rFonts w:cstheme="minorHAnsi"/>
            <w:sz w:val="24"/>
            <w:szCs w:val="24"/>
            <w:lang w:val="en-GB"/>
          </w:rPr>
          <w:t>https://doi.org/10.1029/2018PA003517</w:t>
        </w:r>
      </w:hyperlink>
    </w:p>
    <w:p w14:paraId="72A44336" w14:textId="77777777" w:rsidR="000379B1" w:rsidRPr="000F7795" w:rsidRDefault="000379B1" w:rsidP="000379B1">
      <w:pPr>
        <w:pStyle w:val="a4"/>
        <w:numPr>
          <w:ilvl w:val="0"/>
          <w:numId w:val="1"/>
        </w:numPr>
        <w:spacing w:line="360" w:lineRule="auto"/>
        <w:rPr>
          <w:rFonts w:cstheme="minorHAnsi"/>
          <w:sz w:val="24"/>
          <w:szCs w:val="24"/>
          <w:lang w:val="en-GB"/>
        </w:rPr>
      </w:pPr>
      <w:r w:rsidRPr="000F7795">
        <w:rPr>
          <w:rFonts w:cstheme="minorHAnsi"/>
          <w:sz w:val="24"/>
          <w:szCs w:val="24"/>
          <w:lang w:val="en-GB"/>
        </w:rPr>
        <w:t>Bouvier-</w:t>
      </w:r>
      <w:proofErr w:type="spellStart"/>
      <w:r w:rsidRPr="000F7795">
        <w:rPr>
          <w:rFonts w:cstheme="minorHAnsi"/>
          <w:sz w:val="24"/>
          <w:szCs w:val="24"/>
          <w:lang w:val="en-GB"/>
        </w:rPr>
        <w:t>Soumagnac</w:t>
      </w:r>
      <w:proofErr w:type="spellEnd"/>
      <w:r w:rsidRPr="000F7795">
        <w:rPr>
          <w:rFonts w:cstheme="minorHAnsi"/>
          <w:sz w:val="24"/>
          <w:szCs w:val="24"/>
          <w:lang w:val="en-GB"/>
        </w:rPr>
        <w:t xml:space="preserve">, Y., &amp; </w:t>
      </w:r>
      <w:proofErr w:type="spellStart"/>
      <w:r w:rsidRPr="000F7795">
        <w:rPr>
          <w:rFonts w:cstheme="minorHAnsi"/>
          <w:sz w:val="24"/>
          <w:szCs w:val="24"/>
          <w:lang w:val="en-GB"/>
        </w:rPr>
        <w:t>Duplessy</w:t>
      </w:r>
      <w:proofErr w:type="spellEnd"/>
      <w:r w:rsidRPr="000F7795">
        <w:rPr>
          <w:rFonts w:cstheme="minorHAnsi"/>
          <w:sz w:val="24"/>
          <w:szCs w:val="24"/>
          <w:lang w:val="en-GB"/>
        </w:rPr>
        <w:t xml:space="preserve">, J.-C. (1985). Carbon and oxygen isotopic composition of planktonic foraminifera from laboratory culture, plankton tows and Recent sediment; implications for the reconstruction of paleoclimatic conditions and of the global carbon cycle. Journal of Foraminiferal Research, 15(4), 302–320. </w:t>
      </w:r>
      <w:hyperlink r:id="rId27" w:history="1">
        <w:r w:rsidRPr="000F7795">
          <w:rPr>
            <w:rStyle w:val="af1"/>
            <w:rFonts w:cstheme="minorHAnsi"/>
            <w:sz w:val="24"/>
            <w:szCs w:val="24"/>
            <w:lang w:val="en-GB"/>
          </w:rPr>
          <w:t>http://dx.doi.org/10.2113/gsjfr.15.4</w:t>
        </w:r>
      </w:hyperlink>
    </w:p>
    <w:p w14:paraId="50ED4C8F" w14:textId="77777777" w:rsidR="00FB7DDB" w:rsidRPr="00FB7DDB" w:rsidRDefault="000379B1" w:rsidP="00FB7DDB">
      <w:pPr>
        <w:pStyle w:val="a4"/>
        <w:numPr>
          <w:ilvl w:val="0"/>
          <w:numId w:val="1"/>
        </w:numPr>
        <w:spacing w:line="360" w:lineRule="auto"/>
        <w:rPr>
          <w:rStyle w:val="af1"/>
          <w:rFonts w:cstheme="minorHAnsi"/>
          <w:color w:val="auto"/>
          <w:sz w:val="24"/>
          <w:szCs w:val="24"/>
          <w:u w:val="none"/>
          <w:lang w:val="en-GB"/>
        </w:rPr>
      </w:pPr>
      <w:r w:rsidRPr="000F7795">
        <w:rPr>
          <w:rFonts w:cstheme="minorHAnsi"/>
          <w:sz w:val="24"/>
          <w:szCs w:val="24"/>
          <w:lang w:val="en-GB"/>
        </w:rPr>
        <w:t xml:space="preserve">Pearson, P. N. (2012). Oxygen Isotopes in Foraminifera: Overview and Historical Review. The Paleontological Society Papers, 18, 1–38. </w:t>
      </w:r>
      <w:hyperlink r:id="rId28" w:history="1">
        <w:r w:rsidRPr="000F7795">
          <w:rPr>
            <w:rStyle w:val="af1"/>
            <w:rFonts w:cstheme="minorHAnsi"/>
            <w:sz w:val="24"/>
            <w:szCs w:val="24"/>
            <w:lang w:val="en-GB"/>
          </w:rPr>
          <w:t>https://doi.org/10.1017/s1089332600002539</w:t>
        </w:r>
      </w:hyperlink>
    </w:p>
    <w:p w14:paraId="4705A9A7" w14:textId="15B93DC5" w:rsidR="00E25A53" w:rsidRDefault="00E25A53" w:rsidP="00E25A53">
      <w:pPr>
        <w:pStyle w:val="a4"/>
        <w:numPr>
          <w:ilvl w:val="0"/>
          <w:numId w:val="1"/>
        </w:numPr>
        <w:spacing w:before="100" w:beforeAutospacing="1" w:after="100" w:afterAutospacing="1" w:line="360" w:lineRule="auto"/>
        <w:rPr>
          <w:rFonts w:eastAsia="Times New Roman" w:cstheme="minorHAnsi"/>
          <w:sz w:val="24"/>
          <w:szCs w:val="24"/>
          <w:lang w:val="en-GB" w:eastAsia="zh-TW"/>
        </w:rPr>
      </w:pPr>
      <w:proofErr w:type="spellStart"/>
      <w:r w:rsidRPr="00E25A53">
        <w:rPr>
          <w:rFonts w:eastAsia="Times New Roman" w:cstheme="minorHAnsi"/>
          <w:sz w:val="24"/>
          <w:szCs w:val="24"/>
          <w:lang w:val="en-GB" w:eastAsia="zh-TW"/>
        </w:rPr>
        <w:t>Ahn</w:t>
      </w:r>
      <w:proofErr w:type="spellEnd"/>
      <w:r w:rsidRPr="00E25A53">
        <w:rPr>
          <w:rFonts w:eastAsia="Times New Roman" w:cstheme="minorHAnsi"/>
          <w:sz w:val="24"/>
          <w:szCs w:val="24"/>
          <w:lang w:val="en-GB" w:eastAsia="zh-TW"/>
        </w:rPr>
        <w:t xml:space="preserve">, S., </w:t>
      </w:r>
      <w:proofErr w:type="spellStart"/>
      <w:r w:rsidRPr="00E25A53">
        <w:rPr>
          <w:rFonts w:eastAsia="Times New Roman" w:cstheme="minorHAnsi"/>
          <w:sz w:val="24"/>
          <w:szCs w:val="24"/>
          <w:lang w:val="en-GB" w:eastAsia="zh-TW"/>
        </w:rPr>
        <w:t>Khider</w:t>
      </w:r>
      <w:proofErr w:type="spellEnd"/>
      <w:r w:rsidRPr="00E25A53">
        <w:rPr>
          <w:rFonts w:eastAsia="Times New Roman" w:cstheme="minorHAnsi"/>
          <w:sz w:val="24"/>
          <w:szCs w:val="24"/>
          <w:lang w:val="en-GB" w:eastAsia="zh-TW"/>
        </w:rPr>
        <w:t xml:space="preserve">, D., </w:t>
      </w:r>
      <w:proofErr w:type="spellStart"/>
      <w:r w:rsidRPr="00E25A53">
        <w:rPr>
          <w:rFonts w:eastAsia="Times New Roman" w:cstheme="minorHAnsi"/>
          <w:sz w:val="24"/>
          <w:szCs w:val="24"/>
          <w:lang w:val="en-GB" w:eastAsia="zh-TW"/>
        </w:rPr>
        <w:t>Lisiecki</w:t>
      </w:r>
      <w:proofErr w:type="spellEnd"/>
      <w:r w:rsidRPr="00E25A53">
        <w:rPr>
          <w:rFonts w:eastAsia="Times New Roman" w:cstheme="minorHAnsi"/>
          <w:sz w:val="24"/>
          <w:szCs w:val="24"/>
          <w:lang w:val="en-GB" w:eastAsia="zh-TW"/>
        </w:rPr>
        <w:t xml:space="preserve">, L. E., &amp; Lawrence, C. E. (2017). A probabilistic Pliocene–Pleistocene stack of benthic δ18O using a profile hidden Markov model. </w:t>
      </w:r>
      <w:r w:rsidRPr="00E25A53">
        <w:rPr>
          <w:rFonts w:eastAsia="Times New Roman" w:cstheme="minorHAnsi"/>
          <w:i/>
          <w:iCs/>
          <w:sz w:val="24"/>
          <w:szCs w:val="24"/>
          <w:lang w:val="en-GB" w:eastAsia="zh-TW"/>
        </w:rPr>
        <w:t>Dynamics and Statistics of the Climate System</w:t>
      </w:r>
      <w:r w:rsidRPr="00E25A53">
        <w:rPr>
          <w:rFonts w:eastAsia="Times New Roman" w:cstheme="minorHAnsi"/>
          <w:sz w:val="24"/>
          <w:szCs w:val="24"/>
          <w:lang w:val="en-GB" w:eastAsia="zh-TW"/>
        </w:rPr>
        <w:t xml:space="preserve">, </w:t>
      </w:r>
      <w:r w:rsidRPr="00E25A53">
        <w:rPr>
          <w:rFonts w:eastAsia="Times New Roman" w:cstheme="minorHAnsi"/>
          <w:i/>
          <w:iCs/>
          <w:sz w:val="24"/>
          <w:szCs w:val="24"/>
          <w:lang w:val="en-GB" w:eastAsia="zh-TW"/>
        </w:rPr>
        <w:t>2</w:t>
      </w:r>
      <w:r w:rsidRPr="00E25A53">
        <w:rPr>
          <w:rFonts w:eastAsia="Times New Roman" w:cstheme="minorHAnsi"/>
          <w:sz w:val="24"/>
          <w:szCs w:val="24"/>
          <w:lang w:val="en-GB" w:eastAsia="zh-TW"/>
        </w:rPr>
        <w:t xml:space="preserve">(1). </w:t>
      </w:r>
      <w:hyperlink r:id="rId29" w:history="1">
        <w:r w:rsidRPr="001732E7">
          <w:rPr>
            <w:rStyle w:val="af1"/>
            <w:rFonts w:eastAsia="Times New Roman" w:cstheme="minorHAnsi"/>
            <w:sz w:val="24"/>
            <w:szCs w:val="24"/>
            <w:lang w:val="en-GB" w:eastAsia="zh-TW"/>
          </w:rPr>
          <w:t>https://doi.org/10.1093/climsys/dzx002</w:t>
        </w:r>
      </w:hyperlink>
    </w:p>
    <w:p w14:paraId="56C975F7" w14:textId="22FC6043" w:rsidR="000379B1" w:rsidRPr="00E25A53" w:rsidRDefault="000379B1" w:rsidP="00E25A53">
      <w:pPr>
        <w:pStyle w:val="a4"/>
        <w:numPr>
          <w:ilvl w:val="0"/>
          <w:numId w:val="1"/>
        </w:numPr>
        <w:spacing w:before="100" w:beforeAutospacing="1" w:after="100" w:afterAutospacing="1" w:line="360" w:lineRule="auto"/>
        <w:rPr>
          <w:rStyle w:val="af1"/>
          <w:rFonts w:eastAsia="Times New Roman" w:cstheme="minorHAnsi"/>
          <w:color w:val="auto"/>
          <w:sz w:val="24"/>
          <w:szCs w:val="24"/>
          <w:u w:val="none"/>
          <w:lang w:val="en-GB" w:eastAsia="zh-TW"/>
        </w:rPr>
      </w:pPr>
      <w:r w:rsidRPr="00E25A53">
        <w:rPr>
          <w:rFonts w:cstheme="minorHAnsi"/>
          <w:sz w:val="24"/>
          <w:szCs w:val="24"/>
          <w:lang w:val="en-GB"/>
        </w:rPr>
        <w:t xml:space="preserve">de Boer, B., van de Wal, R. S. W., Lourens, L. J., </w:t>
      </w:r>
      <w:proofErr w:type="spellStart"/>
      <w:r w:rsidRPr="00E25A53">
        <w:rPr>
          <w:rFonts w:cstheme="minorHAnsi"/>
          <w:sz w:val="24"/>
          <w:szCs w:val="24"/>
          <w:lang w:val="en-GB"/>
        </w:rPr>
        <w:t>Bintanja</w:t>
      </w:r>
      <w:proofErr w:type="spellEnd"/>
      <w:r w:rsidRPr="00E25A53">
        <w:rPr>
          <w:rFonts w:cstheme="minorHAnsi"/>
          <w:sz w:val="24"/>
          <w:szCs w:val="24"/>
          <w:lang w:val="en-GB"/>
        </w:rPr>
        <w:t xml:space="preserve">, R., &amp; </w:t>
      </w:r>
      <w:proofErr w:type="spellStart"/>
      <w:r w:rsidRPr="00E25A53">
        <w:rPr>
          <w:rFonts w:cstheme="minorHAnsi"/>
          <w:sz w:val="24"/>
          <w:szCs w:val="24"/>
          <w:lang w:val="en-GB"/>
        </w:rPr>
        <w:t>Reerink</w:t>
      </w:r>
      <w:proofErr w:type="spellEnd"/>
      <w:r w:rsidRPr="00E25A53">
        <w:rPr>
          <w:rFonts w:cstheme="minorHAnsi"/>
          <w:sz w:val="24"/>
          <w:szCs w:val="24"/>
          <w:lang w:val="en-GB"/>
        </w:rPr>
        <w:t xml:space="preserve">, T. J. (2013). A continuous simulation of global ice volume over the past 1 million years with 3-D ice-sheet models. Climate Dynamics, 41(5), 1365–1384. </w:t>
      </w:r>
      <w:hyperlink r:id="rId30" w:history="1">
        <w:r w:rsidRPr="00E25A53">
          <w:rPr>
            <w:rStyle w:val="af1"/>
            <w:rFonts w:cstheme="minorHAnsi"/>
            <w:sz w:val="24"/>
            <w:szCs w:val="24"/>
            <w:lang w:val="en-GB"/>
          </w:rPr>
          <w:t>https://doi.org/10.1007/s00382-012-1562-2</w:t>
        </w:r>
      </w:hyperlink>
    </w:p>
    <w:p w14:paraId="1C324C83" w14:textId="77777777" w:rsidR="008A2E16" w:rsidRDefault="008A2E16"/>
    <w:sectPr w:rsidR="008A2E16" w:rsidSect="00127184">
      <w:headerReference w:type="default" r:id="rId31"/>
      <w:pgSz w:w="11906" w:h="16838"/>
      <w:pgMar w:top="1417" w:right="1417" w:bottom="1134"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BDD24" w16cex:dateUtc="2021-10-21T11:35:00Z"/>
  <w16cex:commentExtensible w16cex:durableId="2518EDE3" w16cex:dateUtc="2021-10-19T06:10:00Z"/>
  <w16cex:commentExtensible w16cex:durableId="251BDAD3" w16cex:dateUtc="2021-10-21T11:25:00Z"/>
  <w16cex:commentExtensible w16cex:durableId="2518F053" w16cex:dateUtc="2021-10-19T06:20:00Z"/>
  <w16cex:commentExtensible w16cex:durableId="251BDAE8" w16cex:dateUtc="2021-10-21T11:26:00Z"/>
  <w16cex:commentExtensible w16cex:durableId="2519071A" w16cex:dateUtc="2021-10-19T07:58:00Z"/>
  <w16cex:commentExtensible w16cex:durableId="25190572" w16cex:dateUtc="2021-10-19T07:50:00Z"/>
  <w16cex:commentExtensible w16cex:durableId="251906A9" w16cex:dateUtc="2021-10-19T07:56:00Z"/>
  <w16cex:commentExtensible w16cex:durableId="2519084E" w16cex:dateUtc="2021-10-19T08:03:00Z"/>
  <w16cex:commentExtensible w16cex:durableId="25190CA9" w16cex:dateUtc="2021-10-19T08:21:00Z"/>
  <w16cex:commentExtensible w16cex:durableId="25190CEE" w16cex:dateUtc="2021-10-19T08: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CF2E0" w14:textId="77777777" w:rsidR="000B5E14" w:rsidRDefault="000B5E14">
      <w:pPr>
        <w:spacing w:after="0" w:line="240" w:lineRule="auto"/>
      </w:pPr>
      <w:r>
        <w:separator/>
      </w:r>
    </w:p>
  </w:endnote>
  <w:endnote w:type="continuationSeparator" w:id="0">
    <w:p w14:paraId="7E1AAF69" w14:textId="77777777" w:rsidR="000B5E14" w:rsidRDefault="000B5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DE1EB" w14:textId="77777777" w:rsidR="000B5E14" w:rsidRDefault="000B5E14">
      <w:pPr>
        <w:spacing w:after="0" w:line="240" w:lineRule="auto"/>
      </w:pPr>
      <w:r>
        <w:separator/>
      </w:r>
    </w:p>
  </w:footnote>
  <w:footnote w:type="continuationSeparator" w:id="0">
    <w:p w14:paraId="1F77E04A" w14:textId="77777777" w:rsidR="000B5E14" w:rsidRDefault="000B5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916641"/>
      <w:docPartObj>
        <w:docPartGallery w:val="Page Numbers (Top of Page)"/>
        <w:docPartUnique/>
      </w:docPartObj>
    </w:sdtPr>
    <w:sdtEndPr>
      <w:rPr>
        <w:noProof/>
      </w:rPr>
    </w:sdtEndPr>
    <w:sdtContent>
      <w:p w14:paraId="16283F7F" w14:textId="77777777" w:rsidR="002F075B" w:rsidRDefault="000379B1">
        <w:pPr>
          <w:pStyle w:val="ad"/>
          <w:jc w:val="right"/>
        </w:pPr>
        <w:r>
          <w:fldChar w:fldCharType="begin"/>
        </w:r>
        <w:r>
          <w:instrText xml:space="preserve"> PAGE   \* MERGEFORMAT </w:instrText>
        </w:r>
        <w:r>
          <w:fldChar w:fldCharType="separate"/>
        </w:r>
        <w:r>
          <w:rPr>
            <w:noProof/>
          </w:rPr>
          <w:t>7</w:t>
        </w:r>
        <w:r>
          <w:rPr>
            <w:noProof/>
          </w:rPr>
          <w:fldChar w:fldCharType="end"/>
        </w:r>
      </w:p>
    </w:sdtContent>
  </w:sdt>
  <w:p w14:paraId="21189BEB" w14:textId="77777777" w:rsidR="002F075B" w:rsidRDefault="000B5E1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C47"/>
    <w:multiLevelType w:val="hybridMultilevel"/>
    <w:tmpl w:val="2EACCD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0B3382"/>
    <w:multiLevelType w:val="hybridMultilevel"/>
    <w:tmpl w:val="98989F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516544A"/>
    <w:multiLevelType w:val="hybridMultilevel"/>
    <w:tmpl w:val="D27677E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9B1"/>
    <w:rsid w:val="00010F80"/>
    <w:rsid w:val="000379B1"/>
    <w:rsid w:val="00065145"/>
    <w:rsid w:val="000773F8"/>
    <w:rsid w:val="000A78FD"/>
    <w:rsid w:val="000B5E14"/>
    <w:rsid w:val="000B71B9"/>
    <w:rsid w:val="000D7A71"/>
    <w:rsid w:val="00111429"/>
    <w:rsid w:val="00117474"/>
    <w:rsid w:val="001200ED"/>
    <w:rsid w:val="00160EC6"/>
    <w:rsid w:val="002133F3"/>
    <w:rsid w:val="00214A96"/>
    <w:rsid w:val="00214DB9"/>
    <w:rsid w:val="0024560D"/>
    <w:rsid w:val="002A63BE"/>
    <w:rsid w:val="002B5AF2"/>
    <w:rsid w:val="002F10D3"/>
    <w:rsid w:val="00335F56"/>
    <w:rsid w:val="00376EAA"/>
    <w:rsid w:val="003B3DFE"/>
    <w:rsid w:val="003D7EE7"/>
    <w:rsid w:val="004001AB"/>
    <w:rsid w:val="004E3AA3"/>
    <w:rsid w:val="00547301"/>
    <w:rsid w:val="00560B6A"/>
    <w:rsid w:val="005F501A"/>
    <w:rsid w:val="005F6917"/>
    <w:rsid w:val="00634ADB"/>
    <w:rsid w:val="00690485"/>
    <w:rsid w:val="006A4268"/>
    <w:rsid w:val="006C6123"/>
    <w:rsid w:val="007009D3"/>
    <w:rsid w:val="00746CE2"/>
    <w:rsid w:val="0075142C"/>
    <w:rsid w:val="00752519"/>
    <w:rsid w:val="00801CFC"/>
    <w:rsid w:val="008715FA"/>
    <w:rsid w:val="008900B9"/>
    <w:rsid w:val="008A0606"/>
    <w:rsid w:val="008A2E16"/>
    <w:rsid w:val="008E2A49"/>
    <w:rsid w:val="009151BA"/>
    <w:rsid w:val="00950606"/>
    <w:rsid w:val="009560F8"/>
    <w:rsid w:val="00970238"/>
    <w:rsid w:val="009A22D5"/>
    <w:rsid w:val="009F69CD"/>
    <w:rsid w:val="00A1521A"/>
    <w:rsid w:val="00A5130A"/>
    <w:rsid w:val="00B73DF1"/>
    <w:rsid w:val="00B9579E"/>
    <w:rsid w:val="00BD6BEF"/>
    <w:rsid w:val="00CD22CC"/>
    <w:rsid w:val="00D30F9D"/>
    <w:rsid w:val="00D51ADD"/>
    <w:rsid w:val="00DA1E2D"/>
    <w:rsid w:val="00DA6DC2"/>
    <w:rsid w:val="00DB7B9C"/>
    <w:rsid w:val="00DD541F"/>
    <w:rsid w:val="00E25A53"/>
    <w:rsid w:val="00E91F05"/>
    <w:rsid w:val="00E93D90"/>
    <w:rsid w:val="00EA26B1"/>
    <w:rsid w:val="00EC2391"/>
    <w:rsid w:val="00EC2718"/>
    <w:rsid w:val="00EC4E85"/>
    <w:rsid w:val="00F076D6"/>
    <w:rsid w:val="00F27632"/>
    <w:rsid w:val="00F35CCF"/>
    <w:rsid w:val="00FB7DD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81B29"/>
  <w15:chartTrackingRefBased/>
  <w15:docId w15:val="{19ED413F-29B6-442F-80B9-30457C19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79B1"/>
    <w:rPr>
      <w:rFonts w:eastAsiaTheme="minorHAnsi"/>
      <w:lang w:val="de-D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0379B1"/>
  </w:style>
  <w:style w:type="paragraph" w:styleId="a4">
    <w:name w:val="List Paragraph"/>
    <w:basedOn w:val="a"/>
    <w:uiPriority w:val="34"/>
    <w:qFormat/>
    <w:rsid w:val="000379B1"/>
    <w:pPr>
      <w:ind w:left="720"/>
      <w:contextualSpacing/>
    </w:pPr>
  </w:style>
  <w:style w:type="character" w:styleId="a5">
    <w:name w:val="annotation reference"/>
    <w:basedOn w:val="a0"/>
    <w:uiPriority w:val="99"/>
    <w:semiHidden/>
    <w:unhideWhenUsed/>
    <w:rsid w:val="000379B1"/>
    <w:rPr>
      <w:sz w:val="18"/>
      <w:szCs w:val="18"/>
    </w:rPr>
  </w:style>
  <w:style w:type="paragraph" w:styleId="a6">
    <w:name w:val="annotation text"/>
    <w:basedOn w:val="a"/>
    <w:link w:val="a7"/>
    <w:uiPriority w:val="99"/>
    <w:unhideWhenUsed/>
    <w:rsid w:val="000379B1"/>
    <w:pPr>
      <w:spacing w:line="240" w:lineRule="auto"/>
    </w:pPr>
    <w:rPr>
      <w:sz w:val="24"/>
      <w:szCs w:val="24"/>
    </w:rPr>
  </w:style>
  <w:style w:type="character" w:customStyle="1" w:styleId="a7">
    <w:name w:val="註解文字 字元"/>
    <w:basedOn w:val="a0"/>
    <w:link w:val="a6"/>
    <w:uiPriority w:val="99"/>
    <w:rsid w:val="000379B1"/>
    <w:rPr>
      <w:rFonts w:eastAsiaTheme="minorHAnsi"/>
      <w:sz w:val="24"/>
      <w:szCs w:val="24"/>
      <w:lang w:val="de-DE" w:eastAsia="en-US"/>
    </w:rPr>
  </w:style>
  <w:style w:type="paragraph" w:styleId="a8">
    <w:name w:val="annotation subject"/>
    <w:basedOn w:val="a6"/>
    <w:next w:val="a6"/>
    <w:link w:val="a9"/>
    <w:uiPriority w:val="99"/>
    <w:semiHidden/>
    <w:unhideWhenUsed/>
    <w:rsid w:val="000379B1"/>
    <w:rPr>
      <w:b/>
      <w:bCs/>
      <w:sz w:val="20"/>
      <w:szCs w:val="20"/>
    </w:rPr>
  </w:style>
  <w:style w:type="character" w:customStyle="1" w:styleId="a9">
    <w:name w:val="註解主旨 字元"/>
    <w:basedOn w:val="a7"/>
    <w:link w:val="a8"/>
    <w:uiPriority w:val="99"/>
    <w:semiHidden/>
    <w:rsid w:val="000379B1"/>
    <w:rPr>
      <w:rFonts w:eastAsiaTheme="minorHAnsi"/>
      <w:b/>
      <w:bCs/>
      <w:sz w:val="20"/>
      <w:szCs w:val="20"/>
      <w:lang w:val="de-DE" w:eastAsia="en-US"/>
    </w:rPr>
  </w:style>
  <w:style w:type="paragraph" w:styleId="aa">
    <w:name w:val="Balloon Text"/>
    <w:basedOn w:val="a"/>
    <w:link w:val="ab"/>
    <w:uiPriority w:val="99"/>
    <w:semiHidden/>
    <w:unhideWhenUsed/>
    <w:rsid w:val="000379B1"/>
    <w:pPr>
      <w:spacing w:after="0" w:line="240" w:lineRule="auto"/>
    </w:pPr>
    <w:rPr>
      <w:rFonts w:ascii="Lucida Grande" w:hAnsi="Lucida Grande" w:cs="Lucida Grande"/>
      <w:sz w:val="18"/>
      <w:szCs w:val="18"/>
    </w:rPr>
  </w:style>
  <w:style w:type="character" w:customStyle="1" w:styleId="ab">
    <w:name w:val="註解方塊文字 字元"/>
    <w:basedOn w:val="a0"/>
    <w:link w:val="aa"/>
    <w:uiPriority w:val="99"/>
    <w:semiHidden/>
    <w:rsid w:val="000379B1"/>
    <w:rPr>
      <w:rFonts w:ascii="Lucida Grande" w:eastAsiaTheme="minorHAnsi" w:hAnsi="Lucida Grande" w:cs="Lucida Grande"/>
      <w:sz w:val="18"/>
      <w:szCs w:val="18"/>
      <w:lang w:val="de-DE" w:eastAsia="en-US"/>
    </w:rPr>
  </w:style>
  <w:style w:type="character" w:styleId="ac">
    <w:name w:val="Placeholder Text"/>
    <w:basedOn w:val="a0"/>
    <w:uiPriority w:val="99"/>
    <w:semiHidden/>
    <w:rsid w:val="000379B1"/>
    <w:rPr>
      <w:color w:val="808080"/>
    </w:rPr>
  </w:style>
  <w:style w:type="paragraph" w:styleId="ad">
    <w:name w:val="header"/>
    <w:basedOn w:val="a"/>
    <w:link w:val="ae"/>
    <w:uiPriority w:val="99"/>
    <w:unhideWhenUsed/>
    <w:rsid w:val="000379B1"/>
    <w:pPr>
      <w:tabs>
        <w:tab w:val="center" w:pos="4513"/>
        <w:tab w:val="right" w:pos="9026"/>
      </w:tabs>
      <w:spacing w:after="0" w:line="240" w:lineRule="auto"/>
    </w:pPr>
  </w:style>
  <w:style w:type="character" w:customStyle="1" w:styleId="ae">
    <w:name w:val="頁首 字元"/>
    <w:basedOn w:val="a0"/>
    <w:link w:val="ad"/>
    <w:uiPriority w:val="99"/>
    <w:rsid w:val="000379B1"/>
    <w:rPr>
      <w:rFonts w:eastAsiaTheme="minorHAnsi"/>
      <w:lang w:val="de-DE" w:eastAsia="en-US"/>
    </w:rPr>
  </w:style>
  <w:style w:type="paragraph" w:styleId="af">
    <w:name w:val="footer"/>
    <w:basedOn w:val="a"/>
    <w:link w:val="af0"/>
    <w:uiPriority w:val="99"/>
    <w:unhideWhenUsed/>
    <w:rsid w:val="000379B1"/>
    <w:pPr>
      <w:tabs>
        <w:tab w:val="center" w:pos="4513"/>
        <w:tab w:val="right" w:pos="9026"/>
      </w:tabs>
      <w:spacing w:after="0" w:line="240" w:lineRule="auto"/>
    </w:pPr>
  </w:style>
  <w:style w:type="character" w:customStyle="1" w:styleId="af0">
    <w:name w:val="頁尾 字元"/>
    <w:basedOn w:val="a0"/>
    <w:link w:val="af"/>
    <w:uiPriority w:val="99"/>
    <w:rsid w:val="000379B1"/>
    <w:rPr>
      <w:rFonts w:eastAsiaTheme="minorHAnsi"/>
      <w:lang w:val="de-DE" w:eastAsia="en-US"/>
    </w:rPr>
  </w:style>
  <w:style w:type="character" w:styleId="af1">
    <w:name w:val="Hyperlink"/>
    <w:basedOn w:val="a0"/>
    <w:uiPriority w:val="99"/>
    <w:unhideWhenUsed/>
    <w:rsid w:val="000379B1"/>
    <w:rPr>
      <w:color w:val="0563C1" w:themeColor="hyperlink"/>
      <w:u w:val="single"/>
    </w:rPr>
  </w:style>
  <w:style w:type="character" w:styleId="af2">
    <w:name w:val="Unresolved Mention"/>
    <w:basedOn w:val="a0"/>
    <w:uiPriority w:val="99"/>
    <w:semiHidden/>
    <w:unhideWhenUsed/>
    <w:rsid w:val="000379B1"/>
    <w:rPr>
      <w:color w:val="605E5C"/>
      <w:shd w:val="clear" w:color="auto" w:fill="E1DFDD"/>
    </w:rPr>
  </w:style>
  <w:style w:type="paragraph" w:styleId="Web">
    <w:name w:val="Normal (Web)"/>
    <w:basedOn w:val="a"/>
    <w:uiPriority w:val="99"/>
    <w:unhideWhenUsed/>
    <w:rsid w:val="000379B1"/>
    <w:pPr>
      <w:spacing w:before="100" w:beforeAutospacing="1" w:after="100" w:afterAutospacing="1" w:line="240" w:lineRule="auto"/>
    </w:pPr>
    <w:rPr>
      <w:rFonts w:ascii="Times New Roman" w:eastAsia="Times New Roman" w:hAnsi="Times New Roman" w:cs="Times New Roman"/>
      <w:sz w:val="24"/>
      <w:szCs w:val="24"/>
      <w:lang w:val="en-GB" w:eastAsia="zh-TW"/>
    </w:rPr>
  </w:style>
  <w:style w:type="character" w:customStyle="1" w:styleId="articletitle">
    <w:name w:val="articletitle"/>
    <w:basedOn w:val="a0"/>
    <w:rsid w:val="00335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8267">
      <w:bodyDiv w:val="1"/>
      <w:marLeft w:val="0"/>
      <w:marRight w:val="0"/>
      <w:marTop w:val="0"/>
      <w:marBottom w:val="0"/>
      <w:divBdr>
        <w:top w:val="none" w:sz="0" w:space="0" w:color="auto"/>
        <w:left w:val="none" w:sz="0" w:space="0" w:color="auto"/>
        <w:bottom w:val="none" w:sz="0" w:space="0" w:color="auto"/>
        <w:right w:val="none" w:sz="0" w:space="0" w:color="auto"/>
      </w:divBdr>
    </w:div>
    <w:div w:id="777259521">
      <w:bodyDiv w:val="1"/>
      <w:marLeft w:val="0"/>
      <w:marRight w:val="0"/>
      <w:marTop w:val="0"/>
      <w:marBottom w:val="0"/>
      <w:divBdr>
        <w:top w:val="none" w:sz="0" w:space="0" w:color="auto"/>
        <w:left w:val="none" w:sz="0" w:space="0" w:color="auto"/>
        <w:bottom w:val="none" w:sz="0" w:space="0" w:color="auto"/>
        <w:right w:val="none" w:sz="0" w:space="0" w:color="auto"/>
      </w:divBdr>
    </w:div>
    <w:div w:id="195778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S0967-0645(97)00008-8" TargetMode="External"/><Relationship Id="rId26" Type="http://schemas.openxmlformats.org/officeDocument/2006/relationships/hyperlink" Target="https://doi.org/10.1029/2018PA003517" TargetMode="External"/><Relationship Id="rId3" Type="http://schemas.openxmlformats.org/officeDocument/2006/relationships/settings" Target="settings.xml"/><Relationship Id="rId21" Type="http://schemas.openxmlformats.org/officeDocument/2006/relationships/hyperlink" Target="https://doi.org/10.1016/j.epsl.2008.06.029"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29/2006GL027097" TargetMode="External"/><Relationship Id="rId25" Type="http://schemas.openxmlformats.org/officeDocument/2006/relationships/hyperlink" Target="https://doi.org/10.1038/ncomms399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29/2009PA001879" TargetMode="External"/><Relationship Id="rId20" Type="http://schemas.openxmlformats.org/officeDocument/2006/relationships/hyperlink" Target="https://doi.org/https://doi.org/10.1016/j.quascirev.2009.12.006" TargetMode="External"/><Relationship Id="rId29" Type="http://schemas.openxmlformats.org/officeDocument/2006/relationships/hyperlink" Target="https://doi.org/10.1093/climsys/dzx0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38/nature0318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594/PANGAEA.701338" TargetMode="External"/><Relationship Id="rId23" Type="http://schemas.openxmlformats.org/officeDocument/2006/relationships/hyperlink" Target="https://doi.org/10.1126/science.1185435" TargetMode="External"/><Relationship Id="rId28" Type="http://schemas.openxmlformats.org/officeDocument/2006/relationships/hyperlink" Target="https://doi.org/10.1017/s1089332600002539" TargetMode="External"/><Relationship Id="rId10" Type="http://schemas.openxmlformats.org/officeDocument/2006/relationships/image" Target="media/image4.jpeg"/><Relationship Id="rId19" Type="http://schemas.openxmlformats.org/officeDocument/2006/relationships/hyperlink" Target="https://doi.org/10.1029/94PA00860"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5194/essd-2021-234" TargetMode="External"/><Relationship Id="rId22" Type="http://schemas.openxmlformats.org/officeDocument/2006/relationships/hyperlink" Target="https://doi.org/10.1029/2008PA001653" TargetMode="External"/><Relationship Id="rId27" Type="http://schemas.openxmlformats.org/officeDocument/2006/relationships/hyperlink" Target="http://dx.doi.org/10.2113/gsjfr.15.4" TargetMode="External"/><Relationship Id="rId30" Type="http://schemas.openxmlformats.org/officeDocument/2006/relationships/hyperlink" Target="https://doi.org/10.1007/s00382-012-1562-2" TargetMode="External"/><Relationship Id="rId8" Type="http://schemas.openxmlformats.org/officeDocument/2006/relationships/image" Target="media/image2.jpeg"/><Relationship Id="rId51" Type="http://schemas.microsoft.com/office/2018/08/relationships/commentsExtensible" Target="commentsExtensi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23</TotalTime>
  <Pages>12</Pages>
  <Words>3042</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Nuber</dc:creator>
  <cp:keywords/>
  <dc:description/>
  <cp:lastModifiedBy>User</cp:lastModifiedBy>
  <cp:revision>8</cp:revision>
  <dcterms:created xsi:type="dcterms:W3CDTF">2021-10-25T09:03:00Z</dcterms:created>
  <dcterms:modified xsi:type="dcterms:W3CDTF">2021-11-01T04:51:00Z</dcterms:modified>
</cp:coreProperties>
</file>