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DE6E6" w14:textId="21911F96" w:rsidR="0075749E" w:rsidRPr="001075EB" w:rsidRDefault="0075749E" w:rsidP="0075749E">
      <w:pPr>
        <w:pStyle w:val="Heading1"/>
        <w:jc w:val="center"/>
        <w:rPr>
          <w:rFonts w:ascii="Times New Roman" w:hAnsi="Times New Roman" w:cs="Times New Roman"/>
          <w:b/>
          <w:bCs/>
          <w:color w:val="000000" w:themeColor="text1"/>
          <w:sz w:val="24"/>
          <w:szCs w:val="24"/>
        </w:rPr>
      </w:pPr>
      <w:bookmarkStart w:id="0" w:name="_Toc70004273"/>
      <w:bookmarkStart w:id="1" w:name="_Toc66366107"/>
      <w:r w:rsidRPr="001075EB">
        <w:rPr>
          <w:rFonts w:ascii="Times New Roman" w:hAnsi="Times New Roman" w:cs="Times New Roman"/>
          <w:b/>
          <w:bCs/>
          <w:color w:val="000000" w:themeColor="text1"/>
          <w:sz w:val="24"/>
          <w:szCs w:val="24"/>
        </w:rPr>
        <w:t xml:space="preserve">Transition toward nitrogen deprivation in the diatom </w:t>
      </w:r>
      <w:r w:rsidRPr="001075EB">
        <w:rPr>
          <w:rFonts w:ascii="Times New Roman" w:hAnsi="Times New Roman" w:cs="Times New Roman"/>
          <w:b/>
          <w:bCs/>
          <w:i/>
          <w:color w:val="000000" w:themeColor="text1"/>
          <w:sz w:val="24"/>
          <w:szCs w:val="24"/>
        </w:rPr>
        <w:t>Phaeodactylum tricornutum</w:t>
      </w:r>
      <w:r w:rsidRPr="001075EB">
        <w:rPr>
          <w:rFonts w:ascii="Times New Roman" w:hAnsi="Times New Roman" w:cs="Times New Roman"/>
          <w:b/>
          <w:bCs/>
          <w:color w:val="000000" w:themeColor="text1"/>
          <w:sz w:val="24"/>
          <w:szCs w:val="24"/>
        </w:rPr>
        <w:t xml:space="preserve"> highlights chloroplast stand-by and deep metabolic reshuffling</w:t>
      </w:r>
      <w:bookmarkEnd w:id="0"/>
    </w:p>
    <w:p w14:paraId="0880066F" w14:textId="43F235FC" w:rsidR="0075749E" w:rsidRPr="001075EB" w:rsidRDefault="0075749E" w:rsidP="0075749E">
      <w:pPr>
        <w:jc w:val="center"/>
        <w:rPr>
          <w:rFonts w:ascii="Times New Roman" w:hAnsi="Times New Roman" w:cs="Times New Roman"/>
          <w:color w:val="000000" w:themeColor="text1"/>
          <w:sz w:val="24"/>
          <w:szCs w:val="24"/>
          <w:lang w:val="en-US"/>
        </w:rPr>
      </w:pPr>
      <w:r w:rsidRPr="001075EB">
        <w:rPr>
          <w:rFonts w:ascii="Times New Roman" w:hAnsi="Times New Roman" w:cs="Times New Roman"/>
          <w:color w:val="000000" w:themeColor="text1"/>
          <w:sz w:val="24"/>
          <w:szCs w:val="24"/>
          <w:lang w:val="en-US"/>
        </w:rPr>
        <w:t>Scarsini M.</w:t>
      </w:r>
      <w:r w:rsidRPr="001075EB">
        <w:rPr>
          <w:rFonts w:ascii="Times New Roman" w:hAnsi="Times New Roman" w:cs="Times New Roman"/>
          <w:color w:val="000000" w:themeColor="text1"/>
          <w:sz w:val="24"/>
          <w:szCs w:val="24"/>
          <w:vertAlign w:val="superscript"/>
          <w:lang w:val="en-US"/>
        </w:rPr>
        <w:t>1</w:t>
      </w:r>
      <w:r w:rsidRPr="001075EB">
        <w:rPr>
          <w:rFonts w:ascii="Times New Roman" w:hAnsi="Times New Roman" w:cs="Times New Roman"/>
          <w:color w:val="000000" w:themeColor="text1"/>
          <w:sz w:val="24"/>
          <w:szCs w:val="24"/>
          <w:lang w:val="en-US"/>
        </w:rPr>
        <w:t xml:space="preserve">, </w:t>
      </w:r>
      <w:proofErr w:type="spellStart"/>
      <w:r w:rsidRPr="001075EB">
        <w:rPr>
          <w:rFonts w:ascii="Times New Roman" w:hAnsi="Times New Roman" w:cs="Times New Roman"/>
          <w:color w:val="000000" w:themeColor="text1"/>
          <w:sz w:val="24"/>
          <w:szCs w:val="24"/>
          <w:lang w:val="en-US"/>
        </w:rPr>
        <w:t>Thiriet</w:t>
      </w:r>
      <w:proofErr w:type="spellEnd"/>
      <w:r w:rsidRPr="001075EB">
        <w:rPr>
          <w:rFonts w:ascii="Times New Roman" w:hAnsi="Times New Roman" w:cs="Times New Roman"/>
          <w:color w:val="000000" w:themeColor="text1"/>
          <w:sz w:val="24"/>
          <w:szCs w:val="24"/>
          <w:lang w:val="en-US"/>
        </w:rPr>
        <w:t>-Rupert S.</w:t>
      </w:r>
      <w:r w:rsidRPr="001075EB">
        <w:rPr>
          <w:rFonts w:ascii="Times New Roman" w:hAnsi="Times New Roman" w:cs="Times New Roman"/>
          <w:color w:val="000000" w:themeColor="text1"/>
          <w:sz w:val="24"/>
          <w:szCs w:val="24"/>
          <w:vertAlign w:val="superscript"/>
          <w:lang w:val="en-US"/>
        </w:rPr>
        <w:t>1,2</w:t>
      </w:r>
      <w:r w:rsidRPr="001075EB">
        <w:rPr>
          <w:rFonts w:ascii="Times New Roman" w:hAnsi="Times New Roman" w:cs="Times New Roman"/>
          <w:color w:val="000000" w:themeColor="text1"/>
          <w:sz w:val="24"/>
          <w:szCs w:val="24"/>
          <w:lang w:val="en-US"/>
        </w:rPr>
        <w:t>, Veidl B.</w:t>
      </w:r>
      <w:r w:rsidRPr="001075EB">
        <w:rPr>
          <w:rFonts w:ascii="Times New Roman" w:hAnsi="Times New Roman" w:cs="Times New Roman"/>
          <w:color w:val="000000" w:themeColor="text1"/>
          <w:sz w:val="24"/>
          <w:szCs w:val="24"/>
          <w:vertAlign w:val="superscript"/>
          <w:lang w:val="en-US"/>
        </w:rPr>
        <w:t>1</w:t>
      </w:r>
      <w:r w:rsidRPr="001075EB">
        <w:rPr>
          <w:rFonts w:ascii="Times New Roman" w:hAnsi="Times New Roman" w:cs="Times New Roman"/>
          <w:color w:val="000000" w:themeColor="text1"/>
          <w:sz w:val="24"/>
          <w:szCs w:val="24"/>
          <w:lang w:val="en-US"/>
        </w:rPr>
        <w:t xml:space="preserve">, </w:t>
      </w:r>
      <w:proofErr w:type="spellStart"/>
      <w:r w:rsidRPr="001075EB">
        <w:rPr>
          <w:rFonts w:ascii="Times New Roman" w:hAnsi="Times New Roman" w:cs="Times New Roman"/>
          <w:color w:val="000000" w:themeColor="text1"/>
          <w:sz w:val="24"/>
          <w:szCs w:val="24"/>
          <w:lang w:val="en-US"/>
        </w:rPr>
        <w:t>Mondeguer</w:t>
      </w:r>
      <w:proofErr w:type="spellEnd"/>
      <w:r w:rsidRPr="001075EB">
        <w:rPr>
          <w:rFonts w:ascii="Times New Roman" w:hAnsi="Times New Roman" w:cs="Times New Roman"/>
          <w:color w:val="000000" w:themeColor="text1"/>
          <w:sz w:val="24"/>
          <w:szCs w:val="24"/>
          <w:lang w:val="en-US"/>
        </w:rPr>
        <w:t xml:space="preserve"> F.</w:t>
      </w:r>
      <w:r w:rsidRPr="001075EB">
        <w:rPr>
          <w:rFonts w:ascii="Times New Roman" w:hAnsi="Times New Roman" w:cs="Times New Roman"/>
          <w:color w:val="000000" w:themeColor="text1"/>
          <w:sz w:val="24"/>
          <w:szCs w:val="24"/>
          <w:vertAlign w:val="superscript"/>
          <w:lang w:val="en-US"/>
        </w:rPr>
        <w:t>3</w:t>
      </w:r>
      <w:r w:rsidRPr="001075EB">
        <w:rPr>
          <w:rFonts w:ascii="Times New Roman" w:hAnsi="Times New Roman" w:cs="Times New Roman"/>
          <w:color w:val="000000" w:themeColor="text1"/>
          <w:sz w:val="24"/>
          <w:szCs w:val="24"/>
          <w:lang w:val="en-US"/>
        </w:rPr>
        <w:t>, Hu H.</w:t>
      </w:r>
      <w:r w:rsidRPr="001075EB">
        <w:rPr>
          <w:rFonts w:ascii="Times New Roman" w:hAnsi="Times New Roman" w:cs="Times New Roman"/>
          <w:color w:val="000000" w:themeColor="text1"/>
          <w:sz w:val="24"/>
          <w:szCs w:val="24"/>
          <w:vertAlign w:val="superscript"/>
          <w:lang w:val="en-US"/>
        </w:rPr>
        <w:t>4</w:t>
      </w:r>
      <w:r w:rsidRPr="001075EB">
        <w:rPr>
          <w:rFonts w:ascii="Times New Roman" w:hAnsi="Times New Roman" w:cs="Times New Roman"/>
          <w:color w:val="000000" w:themeColor="text1"/>
          <w:sz w:val="24"/>
          <w:szCs w:val="24"/>
          <w:lang w:val="en-US"/>
        </w:rPr>
        <w:t>, Marchand J.</w:t>
      </w:r>
      <w:r w:rsidRPr="001075EB">
        <w:rPr>
          <w:rFonts w:ascii="Times New Roman" w:hAnsi="Times New Roman" w:cs="Times New Roman"/>
          <w:color w:val="000000" w:themeColor="text1"/>
          <w:sz w:val="24"/>
          <w:szCs w:val="24"/>
          <w:vertAlign w:val="superscript"/>
          <w:lang w:val="en-US"/>
        </w:rPr>
        <w:t>1</w:t>
      </w:r>
      <w:r w:rsidRPr="001075EB">
        <w:rPr>
          <w:rFonts w:ascii="Times New Roman" w:hAnsi="Times New Roman" w:cs="Times New Roman"/>
          <w:color w:val="000000" w:themeColor="text1"/>
          <w:sz w:val="24"/>
          <w:szCs w:val="24"/>
          <w:lang w:val="en-US"/>
        </w:rPr>
        <w:t xml:space="preserve"> and Schoefs B.</w:t>
      </w:r>
      <w:r w:rsidRPr="001075EB">
        <w:rPr>
          <w:rFonts w:ascii="Times New Roman" w:hAnsi="Times New Roman" w:cs="Times New Roman"/>
          <w:color w:val="000000" w:themeColor="text1"/>
          <w:sz w:val="24"/>
          <w:szCs w:val="24"/>
          <w:vertAlign w:val="superscript"/>
          <w:lang w:val="en-US"/>
        </w:rPr>
        <w:t>1</w:t>
      </w:r>
    </w:p>
    <w:p w14:paraId="3755D05D" w14:textId="77777777" w:rsidR="0075749E" w:rsidRPr="001075EB" w:rsidRDefault="0075749E" w:rsidP="0075749E">
      <w:pPr>
        <w:autoSpaceDE w:val="0"/>
        <w:autoSpaceDN w:val="0"/>
        <w:adjustRightInd w:val="0"/>
        <w:spacing w:line="240" w:lineRule="auto"/>
        <w:jc w:val="center"/>
        <w:rPr>
          <w:rFonts w:ascii="Times New Roman" w:eastAsiaTheme="minorHAnsi" w:hAnsi="Times New Roman" w:cs="Times New Roman"/>
          <w:b/>
          <w:bCs/>
          <w:color w:val="000000" w:themeColor="text1"/>
          <w:sz w:val="24"/>
          <w:szCs w:val="24"/>
          <w:lang w:val="en-US" w:eastAsia="en-US"/>
        </w:rPr>
      </w:pPr>
    </w:p>
    <w:p w14:paraId="6AD41EBA" w14:textId="77777777" w:rsidR="0075749E" w:rsidRPr="001075EB" w:rsidRDefault="0075749E" w:rsidP="0075749E">
      <w:pPr>
        <w:autoSpaceDE w:val="0"/>
        <w:autoSpaceDN w:val="0"/>
        <w:adjustRightInd w:val="0"/>
        <w:spacing w:line="240" w:lineRule="auto"/>
        <w:jc w:val="center"/>
        <w:rPr>
          <w:rFonts w:ascii="Times New Roman" w:eastAsiaTheme="minorHAnsi" w:hAnsi="Times New Roman" w:cs="Times New Roman"/>
          <w:b/>
          <w:bCs/>
          <w:color w:val="000000" w:themeColor="text1"/>
          <w:sz w:val="24"/>
          <w:szCs w:val="24"/>
          <w:lang w:val="en-US" w:eastAsia="en-US"/>
        </w:rPr>
      </w:pPr>
    </w:p>
    <w:p w14:paraId="62A1BEC9" w14:textId="77777777" w:rsidR="0075749E" w:rsidRPr="001075EB" w:rsidRDefault="0075749E" w:rsidP="0075749E">
      <w:pPr>
        <w:autoSpaceDE w:val="0"/>
        <w:autoSpaceDN w:val="0"/>
        <w:adjustRightInd w:val="0"/>
        <w:spacing w:line="240" w:lineRule="auto"/>
        <w:jc w:val="center"/>
        <w:rPr>
          <w:rFonts w:ascii="Times New Roman" w:eastAsiaTheme="minorHAnsi" w:hAnsi="Times New Roman" w:cs="Times New Roman"/>
          <w:b/>
          <w:bCs/>
          <w:color w:val="000000" w:themeColor="text1"/>
          <w:sz w:val="24"/>
          <w:szCs w:val="24"/>
          <w:lang w:val="en-US" w:eastAsia="en-US"/>
        </w:rPr>
      </w:pPr>
    </w:p>
    <w:p w14:paraId="413468EA" w14:textId="7C981B65" w:rsidR="0075749E" w:rsidRPr="001075EB" w:rsidRDefault="0075749E" w:rsidP="00E26717">
      <w:pPr>
        <w:autoSpaceDE w:val="0"/>
        <w:autoSpaceDN w:val="0"/>
        <w:adjustRightInd w:val="0"/>
        <w:spacing w:line="240" w:lineRule="auto"/>
        <w:jc w:val="center"/>
        <w:rPr>
          <w:rFonts w:ascii="Times New Roman" w:eastAsiaTheme="minorHAnsi" w:hAnsi="Times New Roman" w:cs="Times New Roman"/>
          <w:b/>
          <w:bCs/>
          <w:color w:val="000000" w:themeColor="text1"/>
          <w:sz w:val="24"/>
          <w:szCs w:val="24"/>
          <w:lang w:val="en-US" w:eastAsia="en-US"/>
        </w:rPr>
      </w:pPr>
      <w:r w:rsidRPr="001075EB">
        <w:rPr>
          <w:rFonts w:ascii="Times New Roman" w:eastAsiaTheme="minorHAnsi" w:hAnsi="Times New Roman" w:cs="Times New Roman"/>
          <w:b/>
          <w:bCs/>
          <w:color w:val="000000" w:themeColor="text1"/>
          <w:sz w:val="24"/>
          <w:szCs w:val="24"/>
          <w:lang w:val="en-US" w:eastAsia="en-US"/>
        </w:rPr>
        <w:t>Supplementary Data</w:t>
      </w:r>
    </w:p>
    <w:p w14:paraId="6303F037" w14:textId="44897D12" w:rsidR="00663E81" w:rsidRPr="001075EB" w:rsidRDefault="00663E81" w:rsidP="00663E81">
      <w:pPr>
        <w:spacing w:line="240" w:lineRule="auto"/>
        <w:jc w:val="center"/>
        <w:rPr>
          <w:rFonts w:ascii="Times New Roman" w:hAnsi="Times New Roman" w:cs="Times New Roman"/>
          <w:b/>
          <w:bCs/>
          <w:color w:val="000000" w:themeColor="text1"/>
          <w:sz w:val="24"/>
          <w:szCs w:val="24"/>
        </w:rPr>
      </w:pPr>
      <w:r w:rsidRPr="001075EB">
        <w:rPr>
          <w:rFonts w:ascii="Times New Roman" w:eastAsiaTheme="minorHAnsi" w:hAnsi="Times New Roman" w:cs="Times New Roman"/>
          <w:color w:val="000000" w:themeColor="text1"/>
          <w:sz w:val="24"/>
          <w:szCs w:val="24"/>
          <w:lang w:val="en-US" w:eastAsia="en-US"/>
        </w:rPr>
        <w:t>Information S1</w:t>
      </w:r>
    </w:p>
    <w:p w14:paraId="12A9A091" w14:textId="59F1FA5B" w:rsidR="0075749E" w:rsidRPr="001075EB" w:rsidRDefault="0075749E" w:rsidP="00E26717">
      <w:pPr>
        <w:autoSpaceDE w:val="0"/>
        <w:autoSpaceDN w:val="0"/>
        <w:adjustRightInd w:val="0"/>
        <w:spacing w:line="240" w:lineRule="auto"/>
        <w:jc w:val="center"/>
        <w:rPr>
          <w:rFonts w:ascii="Times New Roman" w:eastAsiaTheme="minorHAnsi" w:hAnsi="Times New Roman" w:cs="Times New Roman"/>
          <w:color w:val="000000" w:themeColor="text1"/>
          <w:sz w:val="24"/>
          <w:szCs w:val="24"/>
          <w:lang w:val="en-US" w:eastAsia="en-US"/>
        </w:rPr>
      </w:pPr>
      <w:r w:rsidRPr="001075EB">
        <w:rPr>
          <w:rFonts w:ascii="Times New Roman" w:eastAsiaTheme="minorHAnsi" w:hAnsi="Times New Roman" w:cs="Times New Roman"/>
          <w:color w:val="000000" w:themeColor="text1"/>
          <w:sz w:val="24"/>
          <w:szCs w:val="24"/>
          <w:lang w:val="en-US" w:eastAsia="en-US"/>
        </w:rPr>
        <w:t>Fig</w:t>
      </w:r>
      <w:r w:rsidR="00663E81" w:rsidRPr="001075EB">
        <w:rPr>
          <w:rFonts w:ascii="Times New Roman" w:eastAsiaTheme="minorHAnsi" w:hAnsi="Times New Roman" w:cs="Times New Roman"/>
          <w:color w:val="000000" w:themeColor="text1"/>
          <w:sz w:val="24"/>
          <w:szCs w:val="24"/>
          <w:lang w:val="en-US" w:eastAsia="en-US"/>
        </w:rPr>
        <w:t>ure</w:t>
      </w:r>
      <w:r w:rsidRPr="001075EB">
        <w:rPr>
          <w:rFonts w:ascii="Times New Roman" w:eastAsiaTheme="minorHAnsi" w:hAnsi="Times New Roman" w:cs="Times New Roman"/>
          <w:color w:val="000000" w:themeColor="text1"/>
          <w:sz w:val="24"/>
          <w:szCs w:val="24"/>
          <w:lang w:val="en-US" w:eastAsia="en-US"/>
        </w:rPr>
        <w:t>s S</w:t>
      </w:r>
      <w:r w:rsidR="00E26717" w:rsidRPr="001075EB">
        <w:rPr>
          <w:rFonts w:ascii="Times New Roman" w:eastAsiaTheme="minorHAnsi" w:hAnsi="Times New Roman" w:cs="Times New Roman"/>
          <w:color w:val="000000" w:themeColor="text1"/>
          <w:sz w:val="24"/>
          <w:szCs w:val="24"/>
          <w:lang w:val="en-US" w:eastAsia="en-US"/>
        </w:rPr>
        <w:t>1</w:t>
      </w:r>
      <w:r w:rsidRPr="001075EB">
        <w:rPr>
          <w:rFonts w:ascii="Times New Roman" w:eastAsiaTheme="minorHAnsi" w:hAnsi="Times New Roman" w:cs="Times New Roman"/>
          <w:color w:val="000000" w:themeColor="text1"/>
          <w:sz w:val="24"/>
          <w:szCs w:val="24"/>
          <w:lang w:val="en-US" w:eastAsia="en-US"/>
        </w:rPr>
        <w:t>-S</w:t>
      </w:r>
      <w:r w:rsidR="00E26717" w:rsidRPr="001075EB">
        <w:rPr>
          <w:rFonts w:ascii="Times New Roman" w:eastAsiaTheme="minorHAnsi" w:hAnsi="Times New Roman" w:cs="Times New Roman"/>
          <w:color w:val="000000" w:themeColor="text1"/>
          <w:sz w:val="24"/>
          <w:szCs w:val="24"/>
          <w:lang w:val="en-US" w:eastAsia="en-US"/>
        </w:rPr>
        <w:t>21</w:t>
      </w:r>
    </w:p>
    <w:p w14:paraId="373789AC" w14:textId="594D1A93" w:rsidR="0075749E" w:rsidRPr="001075EB" w:rsidRDefault="0075749E" w:rsidP="00E26717">
      <w:pPr>
        <w:spacing w:line="240" w:lineRule="auto"/>
        <w:jc w:val="center"/>
        <w:rPr>
          <w:rFonts w:ascii="Times New Roman" w:eastAsiaTheme="minorHAnsi" w:hAnsi="Times New Roman" w:cs="Times New Roman"/>
          <w:color w:val="000000" w:themeColor="text1"/>
          <w:sz w:val="24"/>
          <w:szCs w:val="24"/>
          <w:lang w:val="en-US" w:eastAsia="en-US"/>
        </w:rPr>
      </w:pPr>
      <w:r w:rsidRPr="001075EB">
        <w:rPr>
          <w:rFonts w:ascii="Times New Roman" w:eastAsiaTheme="minorHAnsi" w:hAnsi="Times New Roman" w:cs="Times New Roman"/>
          <w:color w:val="000000" w:themeColor="text1"/>
          <w:sz w:val="24"/>
          <w:szCs w:val="24"/>
          <w:lang w:val="en-US" w:eastAsia="en-US"/>
        </w:rPr>
        <w:t>Table S</w:t>
      </w:r>
      <w:r w:rsidR="00E26717" w:rsidRPr="001075EB">
        <w:rPr>
          <w:rFonts w:ascii="Times New Roman" w:eastAsiaTheme="minorHAnsi" w:hAnsi="Times New Roman" w:cs="Times New Roman"/>
          <w:color w:val="000000" w:themeColor="text1"/>
          <w:sz w:val="24"/>
          <w:szCs w:val="24"/>
          <w:lang w:val="en-US" w:eastAsia="en-US"/>
        </w:rPr>
        <w:t>1-S3</w:t>
      </w:r>
    </w:p>
    <w:p w14:paraId="4B771D26" w14:textId="77777777" w:rsidR="00663E81" w:rsidRPr="001075EB" w:rsidRDefault="00663E81" w:rsidP="00E26717">
      <w:pPr>
        <w:spacing w:line="240" w:lineRule="auto"/>
        <w:jc w:val="center"/>
        <w:rPr>
          <w:rFonts w:ascii="Times New Roman" w:eastAsiaTheme="minorHAnsi" w:hAnsi="Times New Roman" w:cs="Times New Roman"/>
          <w:color w:val="000000" w:themeColor="text1"/>
          <w:sz w:val="24"/>
          <w:szCs w:val="24"/>
          <w:lang w:val="en-US" w:eastAsia="en-US"/>
        </w:rPr>
        <w:sectPr w:rsidR="00663E81" w:rsidRPr="001075EB" w:rsidSect="004344A4">
          <w:pgSz w:w="11906" w:h="16838" w:code="9"/>
          <w:pgMar w:top="1440" w:right="1440" w:bottom="1440" w:left="1440" w:header="720" w:footer="720" w:gutter="0"/>
          <w:cols w:space="720"/>
          <w:vAlign w:val="center"/>
          <w:docGrid w:linePitch="299"/>
        </w:sectPr>
      </w:pPr>
    </w:p>
    <w:p w14:paraId="04E5F5F4" w14:textId="4F2F1403" w:rsidR="00663E81" w:rsidRPr="001075EB" w:rsidRDefault="00663E81" w:rsidP="0035667F">
      <w:pPr>
        <w:pStyle w:val="Heading3"/>
        <w:rPr>
          <w:rFonts w:ascii="Times New Roman" w:hAnsi="Times New Roman" w:cs="Times New Roman"/>
          <w:b/>
          <w:bCs/>
          <w:color w:val="000000" w:themeColor="text1"/>
          <w:sz w:val="24"/>
          <w:szCs w:val="24"/>
        </w:rPr>
      </w:pPr>
      <w:r w:rsidRPr="001075EB">
        <w:rPr>
          <w:rFonts w:ascii="Times New Roman" w:hAnsi="Times New Roman" w:cs="Times New Roman"/>
          <w:b/>
          <w:bCs/>
          <w:color w:val="000000" w:themeColor="text1"/>
          <w:sz w:val="24"/>
          <w:szCs w:val="24"/>
        </w:rPr>
        <w:lastRenderedPageBreak/>
        <w:t>Supplementary Information S1</w:t>
      </w:r>
    </w:p>
    <w:p w14:paraId="2CC9CAAD" w14:textId="350230DD" w:rsidR="00813CB5" w:rsidRPr="001075EB" w:rsidRDefault="0090765F" w:rsidP="0035667F">
      <w:pPr>
        <w:jc w:val="both"/>
        <w:rPr>
          <w:rFonts w:ascii="Times New Roman" w:hAnsi="Times New Roman" w:cs="Times New Roman"/>
          <w:color w:val="000000" w:themeColor="text1"/>
          <w:sz w:val="24"/>
          <w:szCs w:val="24"/>
        </w:rPr>
      </w:pPr>
      <w:r w:rsidRPr="001075EB">
        <w:rPr>
          <w:rFonts w:ascii="Times New Roman" w:hAnsi="Times New Roman" w:cs="Times New Roman"/>
          <w:b/>
          <w:bCs/>
          <w:color w:val="000000" w:themeColor="text1"/>
          <w:sz w:val="24"/>
          <w:szCs w:val="24"/>
        </w:rPr>
        <w:t xml:space="preserve">Detailed information on metabolomic analyses - </w:t>
      </w:r>
      <w:r w:rsidRPr="001075EB">
        <w:rPr>
          <w:rFonts w:ascii="Times New Roman" w:hAnsi="Times New Roman" w:cs="Times New Roman"/>
          <w:color w:val="000000" w:themeColor="text1"/>
          <w:sz w:val="24"/>
          <w:szCs w:val="24"/>
        </w:rPr>
        <w:t xml:space="preserve">LCHRMS/MS analyses were performed with an Agilent 1290 Infinity II LC system coupled to a high-resolution time-of-flight mass spectrometer (Q-Tof 6550 </w:t>
      </w:r>
      <w:proofErr w:type="spellStart"/>
      <w:r w:rsidRPr="001075EB">
        <w:rPr>
          <w:rFonts w:ascii="Times New Roman" w:hAnsi="Times New Roman" w:cs="Times New Roman"/>
          <w:color w:val="000000" w:themeColor="text1"/>
          <w:sz w:val="24"/>
          <w:szCs w:val="24"/>
        </w:rPr>
        <w:t>iFunnel</w:t>
      </w:r>
      <w:proofErr w:type="spellEnd"/>
      <w:r w:rsidRPr="001075EB">
        <w:rPr>
          <w:rFonts w:ascii="Times New Roman" w:hAnsi="Times New Roman" w:cs="Times New Roman"/>
          <w:color w:val="000000" w:themeColor="text1"/>
          <w:sz w:val="24"/>
          <w:szCs w:val="24"/>
        </w:rPr>
        <w:t xml:space="preserve">, Agilent technologies, CA, USA) equipped with a Dual Jet Stream® electrospray ionization (ESI) source (positive mode). </w:t>
      </w:r>
      <w:r w:rsidR="00663E81" w:rsidRPr="001075EB">
        <w:rPr>
          <w:rFonts w:ascii="Times New Roman" w:hAnsi="Times New Roman" w:cs="Times New Roman"/>
          <w:color w:val="000000" w:themeColor="text1"/>
          <w:sz w:val="24"/>
          <w:szCs w:val="24"/>
        </w:rPr>
        <w:t xml:space="preserve">The operation parameters were the following: </w:t>
      </w:r>
      <w:bookmarkStart w:id="2" w:name="_Hlk74663346"/>
      <w:r w:rsidR="00663E81" w:rsidRPr="001075EB">
        <w:rPr>
          <w:rFonts w:ascii="Times New Roman" w:hAnsi="Times New Roman" w:cs="Times New Roman"/>
          <w:color w:val="000000" w:themeColor="text1"/>
          <w:sz w:val="24"/>
          <w:szCs w:val="24"/>
        </w:rPr>
        <w:t>capillary voltage</w:t>
      </w:r>
      <w:bookmarkEnd w:id="2"/>
      <w:r w:rsidR="00663E81" w:rsidRPr="001075EB">
        <w:rPr>
          <w:rFonts w:ascii="Times New Roman" w:hAnsi="Times New Roman" w:cs="Times New Roman"/>
          <w:color w:val="000000" w:themeColor="text1"/>
          <w:sz w:val="24"/>
          <w:szCs w:val="24"/>
        </w:rPr>
        <w:t xml:space="preserve"> at 3900 V, </w:t>
      </w:r>
      <w:proofErr w:type="spellStart"/>
      <w:r w:rsidR="00663E81" w:rsidRPr="001075EB">
        <w:rPr>
          <w:rFonts w:ascii="Times New Roman" w:hAnsi="Times New Roman" w:cs="Times New Roman"/>
          <w:color w:val="000000" w:themeColor="text1"/>
          <w:sz w:val="24"/>
          <w:szCs w:val="24"/>
        </w:rPr>
        <w:t>fragmentor</w:t>
      </w:r>
      <w:proofErr w:type="spellEnd"/>
      <w:r w:rsidR="00663E81" w:rsidRPr="001075EB">
        <w:rPr>
          <w:rFonts w:ascii="Times New Roman" w:hAnsi="Times New Roman" w:cs="Times New Roman"/>
          <w:color w:val="000000" w:themeColor="text1"/>
          <w:sz w:val="24"/>
          <w:szCs w:val="24"/>
        </w:rPr>
        <w:t xml:space="preserve"> voltage at 150 V and skimmer at 60 V. The sheath gas was at 350 °C (12 mL min</w:t>
      </w:r>
      <w:r w:rsidR="00663E81" w:rsidRPr="001075EB">
        <w:rPr>
          <w:rFonts w:ascii="Times New Roman" w:hAnsi="Times New Roman" w:cs="Times New Roman"/>
          <w:color w:val="000000" w:themeColor="text1"/>
          <w:sz w:val="24"/>
          <w:szCs w:val="24"/>
          <w:vertAlign w:val="superscript"/>
        </w:rPr>
        <w:t>−1</w:t>
      </w:r>
      <w:r w:rsidR="00663E81" w:rsidRPr="001075EB">
        <w:rPr>
          <w:rFonts w:ascii="Times New Roman" w:hAnsi="Times New Roman" w:cs="Times New Roman"/>
          <w:color w:val="000000" w:themeColor="text1"/>
          <w:sz w:val="24"/>
          <w:szCs w:val="24"/>
        </w:rPr>
        <w:t>), the drying gas at 175 °C (5 mL min</w:t>
      </w:r>
      <w:r w:rsidR="00663E81" w:rsidRPr="001075EB">
        <w:rPr>
          <w:rFonts w:ascii="Times New Roman" w:hAnsi="Times New Roman" w:cs="Times New Roman"/>
          <w:color w:val="000000" w:themeColor="text1"/>
          <w:sz w:val="24"/>
          <w:szCs w:val="24"/>
          <w:vertAlign w:val="superscript"/>
        </w:rPr>
        <w:t>−1</w:t>
      </w:r>
      <w:r w:rsidR="00663E81" w:rsidRPr="001075EB">
        <w:rPr>
          <w:rFonts w:ascii="Times New Roman" w:hAnsi="Times New Roman" w:cs="Times New Roman"/>
          <w:color w:val="000000" w:themeColor="text1"/>
          <w:sz w:val="24"/>
          <w:szCs w:val="24"/>
        </w:rPr>
        <w:t xml:space="preserve">) and the nebulizer at 43 psi. Nitrogen was used as the collision gas. Mass spectra were acquired in full scan analysis over an m/z range of 50–1700 using the extended dynamic range and storage in centroid mode. The instrument resolution was 15,000 FWHM (Full Width at Half Maximum) at m/z 118.0862 and 30,000 FWHM at m/z 922.0098. To ensure the desired mass resolution, continuous internal calibration (Tuning Mix) was performed during analyses by using the signals at m/z 121.0509 (protonated purine) and m/z 922.0098 [protonated </w:t>
      </w:r>
      <w:proofErr w:type="spellStart"/>
      <w:r w:rsidR="00663E81" w:rsidRPr="001075EB">
        <w:rPr>
          <w:rFonts w:ascii="Times New Roman" w:hAnsi="Times New Roman" w:cs="Times New Roman"/>
          <w:color w:val="000000" w:themeColor="text1"/>
          <w:sz w:val="24"/>
          <w:szCs w:val="24"/>
        </w:rPr>
        <w:t>hexakis</w:t>
      </w:r>
      <w:proofErr w:type="spellEnd"/>
      <w:r w:rsidR="00663E81" w:rsidRPr="001075EB">
        <w:rPr>
          <w:rFonts w:ascii="Times New Roman" w:hAnsi="Times New Roman" w:cs="Times New Roman"/>
          <w:color w:val="000000" w:themeColor="text1"/>
          <w:sz w:val="24"/>
          <w:szCs w:val="24"/>
        </w:rPr>
        <w:t>(1H,1H,3H–</w:t>
      </w:r>
      <w:proofErr w:type="spellStart"/>
      <w:r w:rsidR="00663E81" w:rsidRPr="001075EB">
        <w:rPr>
          <w:rFonts w:ascii="Times New Roman" w:hAnsi="Times New Roman" w:cs="Times New Roman"/>
          <w:color w:val="000000" w:themeColor="text1"/>
          <w:sz w:val="24"/>
          <w:szCs w:val="24"/>
        </w:rPr>
        <w:t>tetrafluoropropoxy</w:t>
      </w:r>
      <w:proofErr w:type="spellEnd"/>
      <w:r w:rsidR="00663E81" w:rsidRPr="001075EB">
        <w:rPr>
          <w:rFonts w:ascii="Times New Roman" w:hAnsi="Times New Roman" w:cs="Times New Roman"/>
          <w:color w:val="000000" w:themeColor="text1"/>
          <w:sz w:val="24"/>
          <w:szCs w:val="24"/>
        </w:rPr>
        <w:t xml:space="preserve">) </w:t>
      </w:r>
      <w:proofErr w:type="spellStart"/>
      <w:r w:rsidR="00663E81" w:rsidRPr="001075EB">
        <w:rPr>
          <w:rFonts w:ascii="Times New Roman" w:hAnsi="Times New Roman" w:cs="Times New Roman"/>
          <w:color w:val="000000" w:themeColor="text1"/>
          <w:sz w:val="24"/>
          <w:szCs w:val="24"/>
        </w:rPr>
        <w:t>phosphazine</w:t>
      </w:r>
      <w:proofErr w:type="spellEnd"/>
      <w:r w:rsidR="00663E81" w:rsidRPr="001075EB">
        <w:rPr>
          <w:rFonts w:ascii="Times New Roman" w:hAnsi="Times New Roman" w:cs="Times New Roman"/>
          <w:color w:val="000000" w:themeColor="text1"/>
          <w:sz w:val="24"/>
          <w:szCs w:val="24"/>
        </w:rPr>
        <w:t xml:space="preserve"> (HP-921)] in the positive ion mode. For all samples analyzed, three replicates of each analytical sample were injected in the same batch and the order of sample injection was randomized to avoid sample bias. </w:t>
      </w:r>
    </w:p>
    <w:p w14:paraId="6DE55692" w14:textId="26E4A63A" w:rsidR="00663E81" w:rsidRPr="001075EB" w:rsidRDefault="00663E81" w:rsidP="0035667F">
      <w:pPr>
        <w:jc w:val="both"/>
        <w:rPr>
          <w:rFonts w:ascii="Times New Roman" w:hAnsi="Times New Roman" w:cs="Times New Roman"/>
          <w:color w:val="000000" w:themeColor="text1"/>
          <w:sz w:val="24"/>
          <w:szCs w:val="24"/>
        </w:rPr>
      </w:pPr>
      <w:r w:rsidRPr="001075EB">
        <w:rPr>
          <w:rFonts w:ascii="Times New Roman" w:hAnsi="Times New Roman" w:cs="Times New Roman"/>
          <w:color w:val="000000" w:themeColor="text1"/>
          <w:sz w:val="24"/>
          <w:szCs w:val="24"/>
        </w:rPr>
        <w:t>Two quality controls were performed: (1) measured data from a certified reference materials of seven equimolar concentrations phycotoxins (</w:t>
      </w:r>
      <w:proofErr w:type="spellStart"/>
      <w:r w:rsidRPr="001075EB">
        <w:rPr>
          <w:rFonts w:ascii="Times New Roman" w:hAnsi="Times New Roman" w:cs="Times New Roman"/>
          <w:color w:val="000000" w:themeColor="text1"/>
          <w:sz w:val="24"/>
          <w:szCs w:val="24"/>
        </w:rPr>
        <w:t>Zendong</w:t>
      </w:r>
      <w:proofErr w:type="spellEnd"/>
      <w:r w:rsidRPr="001075EB">
        <w:rPr>
          <w:rFonts w:ascii="Times New Roman" w:hAnsi="Times New Roman" w:cs="Times New Roman"/>
          <w:color w:val="000000" w:themeColor="text1"/>
          <w:sz w:val="24"/>
          <w:szCs w:val="24"/>
        </w:rPr>
        <w:t xml:space="preserve"> et al., 2017) including okadaic acid (OA), dinophysistoxin-1 (DTX1), </w:t>
      </w:r>
      <w:proofErr w:type="spellStart"/>
      <w:r w:rsidRPr="001075EB">
        <w:rPr>
          <w:rFonts w:ascii="Times New Roman" w:hAnsi="Times New Roman" w:cs="Times New Roman"/>
          <w:color w:val="000000" w:themeColor="text1"/>
          <w:sz w:val="24"/>
          <w:szCs w:val="24"/>
        </w:rPr>
        <w:t>yessotoxin</w:t>
      </w:r>
      <w:proofErr w:type="spellEnd"/>
      <w:r w:rsidRPr="001075EB">
        <w:rPr>
          <w:rFonts w:ascii="Times New Roman" w:hAnsi="Times New Roman" w:cs="Times New Roman"/>
          <w:color w:val="000000" w:themeColor="text1"/>
          <w:sz w:val="24"/>
          <w:szCs w:val="24"/>
        </w:rPr>
        <w:t xml:space="preserve"> (YTX), azaspiracid-1 (AZA1), 13-desmethyl </w:t>
      </w:r>
      <w:proofErr w:type="spellStart"/>
      <w:r w:rsidRPr="001075EB">
        <w:rPr>
          <w:rFonts w:ascii="Times New Roman" w:hAnsi="Times New Roman" w:cs="Times New Roman"/>
          <w:color w:val="000000" w:themeColor="text1"/>
          <w:sz w:val="24"/>
          <w:szCs w:val="24"/>
        </w:rPr>
        <w:t>spirolide</w:t>
      </w:r>
      <w:proofErr w:type="spellEnd"/>
      <w:r w:rsidRPr="001075EB">
        <w:rPr>
          <w:rFonts w:ascii="Times New Roman" w:hAnsi="Times New Roman" w:cs="Times New Roman"/>
          <w:color w:val="000000" w:themeColor="text1"/>
          <w:sz w:val="24"/>
          <w:szCs w:val="24"/>
        </w:rPr>
        <w:t xml:space="preserve"> C (</w:t>
      </w:r>
      <w:proofErr w:type="spellStart"/>
      <w:r w:rsidRPr="001075EB">
        <w:rPr>
          <w:rFonts w:ascii="Times New Roman" w:hAnsi="Times New Roman" w:cs="Times New Roman"/>
          <w:color w:val="000000" w:themeColor="text1"/>
          <w:sz w:val="24"/>
          <w:szCs w:val="24"/>
        </w:rPr>
        <w:t>desMeC</w:t>
      </w:r>
      <w:proofErr w:type="spellEnd"/>
      <w:r w:rsidRPr="001075EB">
        <w:rPr>
          <w:rFonts w:ascii="Times New Roman" w:hAnsi="Times New Roman" w:cs="Times New Roman"/>
          <w:color w:val="000000" w:themeColor="text1"/>
          <w:sz w:val="24"/>
          <w:szCs w:val="24"/>
        </w:rPr>
        <w:t xml:space="preserve">), </w:t>
      </w:r>
      <w:proofErr w:type="spellStart"/>
      <w:r w:rsidRPr="001075EB">
        <w:rPr>
          <w:rFonts w:ascii="Times New Roman" w:hAnsi="Times New Roman" w:cs="Times New Roman"/>
          <w:color w:val="000000" w:themeColor="text1"/>
          <w:sz w:val="24"/>
          <w:szCs w:val="24"/>
        </w:rPr>
        <w:t>gymnodimine</w:t>
      </w:r>
      <w:proofErr w:type="spellEnd"/>
      <w:r w:rsidRPr="001075EB">
        <w:rPr>
          <w:rFonts w:ascii="Times New Roman" w:hAnsi="Times New Roman" w:cs="Times New Roman"/>
          <w:color w:val="000000" w:themeColor="text1"/>
          <w:sz w:val="24"/>
          <w:szCs w:val="24"/>
        </w:rPr>
        <w:t xml:space="preserve"> (GYM), pectenotoxin-2 (PTX2) purchased from National Research Council Canada; (2) equal volumes of each sample were pooled together each sample and periodically analyzed throughout the samples analytical run. This will ensure that none or minimal metabolic information was lost.</w:t>
      </w:r>
    </w:p>
    <w:p w14:paraId="10084998" w14:textId="59CDA485" w:rsidR="00813CB5" w:rsidRPr="001075EB" w:rsidRDefault="00663E81" w:rsidP="0035667F">
      <w:pPr>
        <w:jc w:val="both"/>
        <w:rPr>
          <w:rFonts w:ascii="Times New Roman" w:hAnsi="Times New Roman" w:cs="Times New Roman"/>
          <w:color w:val="000000" w:themeColor="text1"/>
          <w:sz w:val="24"/>
          <w:szCs w:val="24"/>
        </w:rPr>
      </w:pPr>
      <w:r w:rsidRPr="001075EB">
        <w:rPr>
          <w:rFonts w:ascii="Times New Roman" w:hAnsi="Times New Roman" w:cs="Times New Roman"/>
          <w:color w:val="000000" w:themeColor="text1"/>
          <w:sz w:val="24"/>
          <w:szCs w:val="24"/>
        </w:rPr>
        <w:t>Without additional preparation, aliquots (5 μL) of each sample were separated on a column “</w:t>
      </w:r>
      <w:proofErr w:type="spellStart"/>
      <w:r w:rsidRPr="001075EB">
        <w:rPr>
          <w:rFonts w:ascii="Times New Roman" w:hAnsi="Times New Roman" w:cs="Times New Roman"/>
          <w:color w:val="000000" w:themeColor="text1"/>
          <w:sz w:val="24"/>
          <w:szCs w:val="24"/>
        </w:rPr>
        <w:t>Acquity</w:t>
      </w:r>
      <w:proofErr w:type="spellEnd"/>
      <w:r w:rsidRPr="001075EB">
        <w:rPr>
          <w:rFonts w:ascii="Times New Roman" w:hAnsi="Times New Roman" w:cs="Times New Roman"/>
          <w:color w:val="000000" w:themeColor="text1"/>
          <w:sz w:val="24"/>
          <w:szCs w:val="24"/>
        </w:rPr>
        <w:t xml:space="preserve"> UPLC HSST3” (Waters) (2.1x150 mm, 1.7 </w:t>
      </w:r>
      <w:proofErr w:type="spellStart"/>
      <w:r w:rsidRPr="001075EB">
        <w:rPr>
          <w:rFonts w:ascii="Times New Roman" w:hAnsi="Times New Roman" w:cs="Times New Roman"/>
          <w:color w:val="000000" w:themeColor="text1"/>
          <w:sz w:val="24"/>
          <w:szCs w:val="24"/>
        </w:rPr>
        <w:t>μm</w:t>
      </w:r>
      <w:proofErr w:type="spellEnd"/>
      <w:r w:rsidRPr="001075EB">
        <w:rPr>
          <w:rFonts w:ascii="Times New Roman" w:hAnsi="Times New Roman" w:cs="Times New Roman"/>
          <w:color w:val="000000" w:themeColor="text1"/>
          <w:sz w:val="24"/>
          <w:szCs w:val="24"/>
        </w:rPr>
        <w:t>), and the products were eluted at a flow rate of 200 μL min</w:t>
      </w:r>
      <w:r w:rsidRPr="001075EB">
        <w:rPr>
          <w:rFonts w:ascii="Times New Roman" w:hAnsi="Times New Roman" w:cs="Times New Roman"/>
          <w:color w:val="000000" w:themeColor="text1"/>
          <w:sz w:val="24"/>
          <w:szCs w:val="24"/>
          <w:vertAlign w:val="superscript"/>
        </w:rPr>
        <w:t>−1</w:t>
      </w:r>
      <w:r w:rsidRPr="001075EB">
        <w:rPr>
          <w:rFonts w:ascii="Times New Roman" w:hAnsi="Times New Roman" w:cs="Times New Roman"/>
          <w:color w:val="000000" w:themeColor="text1"/>
          <w:sz w:val="24"/>
          <w:szCs w:val="24"/>
        </w:rPr>
        <w:t xml:space="preserve"> using a gradient composed of solvents A (water-formic acid 100:0.001 v/v) and B (acetonitrile-formic acid 100:0.001 v/v), according to the following procedure: 0–3 min, 100% A; 3–8 min 0%–50% B; 8–13 min 50% B; 13–20 min 50–95% B;20–30 min, 95% B, 30–31 min 95–0% B, 31–36 min 100% B.</w:t>
      </w:r>
      <w:r w:rsidR="0090765F" w:rsidRPr="001075EB">
        <w:rPr>
          <w:rFonts w:ascii="Times New Roman" w:hAnsi="Times New Roman" w:cs="Times New Roman"/>
          <w:color w:val="000000" w:themeColor="text1"/>
          <w:sz w:val="24"/>
          <w:szCs w:val="24"/>
        </w:rPr>
        <w:t xml:space="preserve"> In this study, several pre-processing steps (feature finding, alignment, filtration and normalization) were used to reduce the large </w:t>
      </w:r>
      <w:proofErr w:type="gramStart"/>
      <w:r w:rsidR="0090765F" w:rsidRPr="001075EB">
        <w:rPr>
          <w:rFonts w:ascii="Times New Roman" w:hAnsi="Times New Roman" w:cs="Times New Roman"/>
          <w:color w:val="000000" w:themeColor="text1"/>
          <w:sz w:val="24"/>
          <w:szCs w:val="24"/>
        </w:rPr>
        <w:t>number</w:t>
      </w:r>
      <w:proofErr w:type="gramEnd"/>
      <w:r w:rsidR="0090765F" w:rsidRPr="001075EB">
        <w:rPr>
          <w:rFonts w:ascii="Times New Roman" w:hAnsi="Times New Roman" w:cs="Times New Roman"/>
          <w:color w:val="000000" w:themeColor="text1"/>
          <w:sz w:val="24"/>
          <w:szCs w:val="24"/>
        </w:rPr>
        <w:t xml:space="preserve"> of data to an operational size and to obtain an adequate set of compounds before applying multivariate analysis. </w:t>
      </w:r>
    </w:p>
    <w:p w14:paraId="70765D7F" w14:textId="78D4366B" w:rsidR="0090765F" w:rsidRPr="001075EB" w:rsidRDefault="00813CB5" w:rsidP="0035667F">
      <w:pPr>
        <w:jc w:val="both"/>
        <w:rPr>
          <w:rFonts w:ascii="Times New Roman" w:hAnsi="Times New Roman" w:cs="Times New Roman"/>
          <w:color w:val="000000" w:themeColor="text1"/>
          <w:sz w:val="24"/>
          <w:szCs w:val="24"/>
        </w:rPr>
      </w:pPr>
      <w:r w:rsidRPr="001075EB">
        <w:rPr>
          <w:rFonts w:ascii="Times New Roman" w:hAnsi="Times New Roman" w:cs="Times New Roman"/>
          <w:color w:val="000000" w:themeColor="text1"/>
          <w:sz w:val="24"/>
          <w:szCs w:val="24"/>
        </w:rPr>
        <w:t>Before</w:t>
      </w:r>
      <w:r w:rsidR="0090765F" w:rsidRPr="001075EB">
        <w:rPr>
          <w:rFonts w:ascii="Times New Roman" w:hAnsi="Times New Roman" w:cs="Times New Roman"/>
          <w:color w:val="000000" w:themeColor="text1"/>
          <w:sz w:val="24"/>
          <w:szCs w:val="24"/>
        </w:rPr>
        <w:t xml:space="preserve"> process all the data obtained by QTOF-MS in full scan MS mode, acquired data was pre‐processed by the Agilent metabolomics software platform using </w:t>
      </w:r>
      <w:proofErr w:type="spellStart"/>
      <w:r w:rsidR="0090765F" w:rsidRPr="001075EB">
        <w:rPr>
          <w:rFonts w:ascii="Times New Roman" w:hAnsi="Times New Roman" w:cs="Times New Roman"/>
          <w:color w:val="000000" w:themeColor="text1"/>
          <w:sz w:val="24"/>
          <w:szCs w:val="24"/>
        </w:rPr>
        <w:t>Profinder</w:t>
      </w:r>
      <w:proofErr w:type="spellEnd"/>
      <w:r w:rsidR="0090765F" w:rsidRPr="001075EB">
        <w:rPr>
          <w:rFonts w:ascii="Times New Roman" w:hAnsi="Times New Roman" w:cs="Times New Roman"/>
          <w:color w:val="000000" w:themeColor="text1"/>
          <w:sz w:val="24"/>
          <w:szCs w:val="24"/>
        </w:rPr>
        <w:t xml:space="preserve"> (version B.10.0). A specific methodology was set to be as representative as possible of the total number of ions in samples. The parameters for pre‐processing were established based on the batch recursive feature extraction (RFE) for small molecules option. RFE included a molecular feature extraction (MFE) and then used mass and retention time (Rt) from the results to perform a targeted feature extraction referred to as Find by Ion (Step 8 of 8). The RFE was programmed based on: (1) extraction parameters for in input data: Rt (0.000–30.500 min), peak filter with height ≥ 300 counts, ion species (positive ions +H and +Na). (2) alignment parameters: Rt tolerance (0.10 min); mass tolerance (±10 ppm + 2.00 </w:t>
      </w:r>
      <w:proofErr w:type="spellStart"/>
      <w:r w:rsidR="0090765F" w:rsidRPr="001075EB">
        <w:rPr>
          <w:rFonts w:ascii="Times New Roman" w:hAnsi="Times New Roman" w:cs="Times New Roman"/>
          <w:color w:val="000000" w:themeColor="text1"/>
          <w:sz w:val="24"/>
          <w:szCs w:val="24"/>
        </w:rPr>
        <w:t>mDa</w:t>
      </w:r>
      <w:proofErr w:type="spellEnd"/>
      <w:r w:rsidR="0090765F" w:rsidRPr="001075EB">
        <w:rPr>
          <w:rFonts w:ascii="Times New Roman" w:hAnsi="Times New Roman" w:cs="Times New Roman"/>
          <w:color w:val="000000" w:themeColor="text1"/>
          <w:sz w:val="24"/>
          <w:szCs w:val="24"/>
        </w:rPr>
        <w:t xml:space="preserve">). (3) MFE filters: absolute height </w:t>
      </w:r>
      <w:r w:rsidR="0090765F" w:rsidRPr="001075EB">
        <w:rPr>
          <w:rFonts w:ascii="Times New Roman" w:hAnsi="Times New Roman" w:cs="Times New Roman"/>
          <w:color w:val="000000" w:themeColor="text1"/>
          <w:sz w:val="24"/>
          <w:szCs w:val="24"/>
        </w:rPr>
        <w:lastRenderedPageBreak/>
        <w:t xml:space="preserve">(≥3000 counts), score (≥0.00%); (3) extraction ion chromatogram (EIC) tolerance (symmetric ppm ± 15 and ±0.5 min); (6) EIC peak integration and filtering (Agile2: Agilent integrate algorithm), </w:t>
      </w:r>
      <w:proofErr w:type="spellStart"/>
      <w:r w:rsidR="0090765F" w:rsidRPr="001075EB">
        <w:rPr>
          <w:rFonts w:ascii="Times New Roman" w:hAnsi="Times New Roman" w:cs="Times New Roman"/>
          <w:color w:val="000000" w:themeColor="text1"/>
          <w:sz w:val="24"/>
          <w:szCs w:val="24"/>
        </w:rPr>
        <w:t>FbI</w:t>
      </w:r>
      <w:proofErr w:type="spellEnd"/>
      <w:r w:rsidR="0090765F" w:rsidRPr="001075EB">
        <w:rPr>
          <w:rFonts w:ascii="Times New Roman" w:hAnsi="Times New Roman" w:cs="Times New Roman"/>
          <w:color w:val="000000" w:themeColor="text1"/>
          <w:sz w:val="24"/>
          <w:szCs w:val="24"/>
        </w:rPr>
        <w:t xml:space="preserve"> filters: absolute height (≥2000 counts); (8) </w:t>
      </w:r>
      <w:proofErr w:type="spellStart"/>
      <w:r w:rsidR="0090765F" w:rsidRPr="001075EB">
        <w:rPr>
          <w:rFonts w:ascii="Times New Roman" w:hAnsi="Times New Roman" w:cs="Times New Roman"/>
          <w:color w:val="000000" w:themeColor="text1"/>
          <w:sz w:val="24"/>
          <w:szCs w:val="24"/>
        </w:rPr>
        <w:t>FbI</w:t>
      </w:r>
      <w:proofErr w:type="spellEnd"/>
      <w:r w:rsidR="0090765F" w:rsidRPr="001075EB">
        <w:rPr>
          <w:rFonts w:ascii="Times New Roman" w:hAnsi="Times New Roman" w:cs="Times New Roman"/>
          <w:color w:val="000000" w:themeColor="text1"/>
          <w:sz w:val="24"/>
          <w:szCs w:val="24"/>
        </w:rPr>
        <w:t xml:space="preserve"> post processing filters (absolute height [≥1000 counts], score </w:t>
      </w:r>
      <w:proofErr w:type="spellStart"/>
      <w:r w:rsidR="0090765F" w:rsidRPr="001075EB">
        <w:rPr>
          <w:rFonts w:ascii="Times New Roman" w:hAnsi="Times New Roman" w:cs="Times New Roman"/>
          <w:color w:val="000000" w:themeColor="text1"/>
          <w:sz w:val="24"/>
          <w:szCs w:val="24"/>
        </w:rPr>
        <w:t>Tgt</w:t>
      </w:r>
      <w:proofErr w:type="spellEnd"/>
      <w:r w:rsidR="0090765F" w:rsidRPr="001075EB">
        <w:rPr>
          <w:rFonts w:ascii="Times New Roman" w:hAnsi="Times New Roman" w:cs="Times New Roman"/>
          <w:color w:val="000000" w:themeColor="text1"/>
          <w:sz w:val="24"/>
          <w:szCs w:val="24"/>
        </w:rPr>
        <w:t xml:space="preserve"> [≥50.00%]). A compound must satisfy the checked </w:t>
      </w:r>
      <w:proofErr w:type="spellStart"/>
      <w:r w:rsidR="0090765F" w:rsidRPr="001075EB">
        <w:rPr>
          <w:rFonts w:ascii="Times New Roman" w:hAnsi="Times New Roman" w:cs="Times New Roman"/>
          <w:color w:val="000000" w:themeColor="text1"/>
          <w:sz w:val="24"/>
          <w:szCs w:val="24"/>
        </w:rPr>
        <w:t>FbI</w:t>
      </w:r>
      <w:proofErr w:type="spellEnd"/>
      <w:r w:rsidR="0090765F" w:rsidRPr="001075EB">
        <w:rPr>
          <w:rFonts w:ascii="Times New Roman" w:hAnsi="Times New Roman" w:cs="Times New Roman"/>
          <w:color w:val="000000" w:themeColor="text1"/>
          <w:sz w:val="24"/>
          <w:szCs w:val="24"/>
        </w:rPr>
        <w:t xml:space="preserve"> in at least 2 files, in at least one sample group. Thus, out of a total of 15,073 ions the different sorting allowed to obtain a set of 6311 ions. This entity filtering allowed creating a higher quality data set so that the subsequent multivariate analysis could be more meaningful.</w:t>
      </w:r>
    </w:p>
    <w:p w14:paraId="07EDB791" w14:textId="33519305" w:rsidR="0090765F" w:rsidRPr="001075EB" w:rsidRDefault="0090765F" w:rsidP="0035667F">
      <w:pPr>
        <w:jc w:val="both"/>
        <w:rPr>
          <w:rFonts w:ascii="Times New Roman" w:hAnsi="Times New Roman" w:cs="Times New Roman"/>
          <w:color w:val="000000" w:themeColor="text1"/>
          <w:sz w:val="24"/>
          <w:szCs w:val="24"/>
        </w:rPr>
      </w:pPr>
      <w:r w:rsidRPr="001075EB">
        <w:rPr>
          <w:rFonts w:ascii="Times New Roman" w:hAnsi="Times New Roman" w:cs="Times New Roman"/>
          <w:color w:val="000000" w:themeColor="text1"/>
          <w:sz w:val="24"/>
          <w:szCs w:val="24"/>
        </w:rPr>
        <w:t>After pre‐processing data, data was exported to Mass profiler professional (MPP version 15.0, Agilent Technologies, Santa Clara, CA, USA) for processing and</w:t>
      </w:r>
      <w:r w:rsidR="00813CB5" w:rsidRPr="001075EB">
        <w:rPr>
          <w:rFonts w:ascii="Times New Roman" w:hAnsi="Times New Roman" w:cs="Times New Roman"/>
          <w:color w:val="000000" w:themeColor="text1"/>
          <w:sz w:val="24"/>
          <w:szCs w:val="24"/>
        </w:rPr>
        <w:t xml:space="preserve"> </w:t>
      </w:r>
      <w:r w:rsidRPr="001075EB">
        <w:rPr>
          <w:rFonts w:ascii="Times New Roman" w:hAnsi="Times New Roman" w:cs="Times New Roman"/>
          <w:color w:val="000000" w:themeColor="text1"/>
          <w:sz w:val="24"/>
          <w:szCs w:val="24"/>
        </w:rPr>
        <w:t xml:space="preserve">analysis. The parameters of Mass Profiler Professional were set as follows: Experiment type: Combined (Identified + Unidentified); Organism: None; Workflow type: Data Import Wizard. Total data set: 6263 - II Experiment - All Entities (Created from Significance Testing and Fold Change workflow step): </w:t>
      </w:r>
    </w:p>
    <w:p w14:paraId="45A7F4D7" w14:textId="77777777" w:rsidR="0090765F" w:rsidRPr="001075EB" w:rsidRDefault="0090765F" w:rsidP="0035667F">
      <w:pPr>
        <w:ind w:left="567" w:hanging="283"/>
        <w:jc w:val="both"/>
        <w:rPr>
          <w:rFonts w:ascii="Times New Roman" w:hAnsi="Times New Roman" w:cs="Times New Roman"/>
          <w:color w:val="000000" w:themeColor="text1"/>
          <w:sz w:val="24"/>
          <w:szCs w:val="24"/>
        </w:rPr>
      </w:pPr>
      <w:r w:rsidRPr="001075EB">
        <w:rPr>
          <w:rFonts w:ascii="Times New Roman" w:hAnsi="Times New Roman" w:cs="Times New Roman"/>
          <w:color w:val="000000" w:themeColor="text1"/>
          <w:sz w:val="24"/>
          <w:szCs w:val="24"/>
        </w:rPr>
        <w:t>-</w:t>
      </w:r>
      <w:r w:rsidRPr="001075EB">
        <w:rPr>
          <w:rFonts w:ascii="Times New Roman" w:hAnsi="Times New Roman" w:cs="Times New Roman"/>
          <w:color w:val="000000" w:themeColor="text1"/>
          <w:sz w:val="24"/>
          <w:szCs w:val="24"/>
        </w:rPr>
        <w:tab/>
        <w:t>5427-Filtered on Flags (Entities retained in which at least 1 out of 27 sample has Present [P] or Marginal [M] Flag)</w:t>
      </w:r>
    </w:p>
    <w:p w14:paraId="5768BAAA" w14:textId="77777777" w:rsidR="0090765F" w:rsidRPr="001075EB" w:rsidRDefault="0090765F" w:rsidP="0035667F">
      <w:pPr>
        <w:ind w:left="567" w:hanging="283"/>
        <w:jc w:val="both"/>
        <w:rPr>
          <w:rFonts w:ascii="Times New Roman" w:hAnsi="Times New Roman" w:cs="Times New Roman"/>
          <w:color w:val="000000" w:themeColor="text1"/>
          <w:sz w:val="24"/>
          <w:szCs w:val="24"/>
        </w:rPr>
      </w:pPr>
      <w:r w:rsidRPr="001075EB">
        <w:rPr>
          <w:rFonts w:ascii="Times New Roman" w:hAnsi="Times New Roman" w:cs="Times New Roman"/>
          <w:color w:val="000000" w:themeColor="text1"/>
          <w:sz w:val="24"/>
          <w:szCs w:val="24"/>
        </w:rPr>
        <w:t>-</w:t>
      </w:r>
      <w:r w:rsidRPr="001075EB">
        <w:rPr>
          <w:rFonts w:ascii="Times New Roman" w:hAnsi="Times New Roman" w:cs="Times New Roman"/>
          <w:color w:val="000000" w:themeColor="text1"/>
          <w:sz w:val="24"/>
          <w:szCs w:val="24"/>
        </w:rPr>
        <w:tab/>
        <w:t>5427-Filtered by frequency (where at least 100.0 percent of samples in any 1 out of 6 conditions has flag [P])</w:t>
      </w:r>
    </w:p>
    <w:p w14:paraId="67CDEE70" w14:textId="77777777" w:rsidR="0090765F" w:rsidRPr="001075EB" w:rsidRDefault="0090765F" w:rsidP="0035667F">
      <w:pPr>
        <w:ind w:left="567" w:hanging="283"/>
        <w:jc w:val="both"/>
        <w:rPr>
          <w:rFonts w:ascii="Times New Roman" w:hAnsi="Times New Roman" w:cs="Times New Roman"/>
          <w:color w:val="000000" w:themeColor="text1"/>
          <w:sz w:val="24"/>
          <w:szCs w:val="24"/>
        </w:rPr>
      </w:pPr>
      <w:r w:rsidRPr="001075EB">
        <w:rPr>
          <w:rFonts w:ascii="Times New Roman" w:hAnsi="Times New Roman" w:cs="Times New Roman"/>
          <w:color w:val="000000" w:themeColor="text1"/>
          <w:sz w:val="24"/>
          <w:szCs w:val="24"/>
        </w:rPr>
        <w:t>-</w:t>
      </w:r>
      <w:r w:rsidRPr="001075EB">
        <w:rPr>
          <w:rFonts w:ascii="Times New Roman" w:hAnsi="Times New Roman" w:cs="Times New Roman"/>
          <w:color w:val="000000" w:themeColor="text1"/>
          <w:sz w:val="24"/>
          <w:szCs w:val="24"/>
        </w:rPr>
        <w:tab/>
        <w:t>4418-Oneway ANOVA, p (P-value cut-off ) &lt;0.05</w:t>
      </w:r>
    </w:p>
    <w:p w14:paraId="624120FE" w14:textId="77777777" w:rsidR="0090765F" w:rsidRPr="001075EB" w:rsidRDefault="0090765F" w:rsidP="0035667F">
      <w:pPr>
        <w:ind w:left="567" w:hanging="283"/>
        <w:jc w:val="both"/>
        <w:rPr>
          <w:rFonts w:ascii="Times New Roman" w:hAnsi="Times New Roman" w:cs="Times New Roman"/>
          <w:color w:val="000000" w:themeColor="text1"/>
          <w:sz w:val="24"/>
          <w:szCs w:val="24"/>
        </w:rPr>
      </w:pPr>
      <w:r w:rsidRPr="001075EB">
        <w:rPr>
          <w:rFonts w:ascii="Times New Roman" w:hAnsi="Times New Roman" w:cs="Times New Roman"/>
          <w:color w:val="000000" w:themeColor="text1"/>
          <w:sz w:val="24"/>
          <w:szCs w:val="24"/>
        </w:rPr>
        <w:t>-</w:t>
      </w:r>
      <w:r w:rsidRPr="001075EB">
        <w:rPr>
          <w:rFonts w:ascii="Times New Roman" w:hAnsi="Times New Roman" w:cs="Times New Roman"/>
          <w:color w:val="000000" w:themeColor="text1"/>
          <w:sz w:val="24"/>
          <w:szCs w:val="24"/>
        </w:rPr>
        <w:tab/>
        <w:t>4267-Fold change &gt;= 2.0 – (Pairing option: All conditions against control)</w:t>
      </w:r>
    </w:p>
    <w:p w14:paraId="12371BA6" w14:textId="779B9619" w:rsidR="00663E81" w:rsidRPr="001075EB" w:rsidRDefault="00663E81" w:rsidP="00663E81">
      <w:pPr>
        <w:spacing w:line="480" w:lineRule="auto"/>
        <w:jc w:val="both"/>
        <w:rPr>
          <w:rFonts w:ascii="Times New Roman" w:hAnsi="Times New Roman" w:cs="Times New Roman"/>
          <w:color w:val="000000" w:themeColor="text1"/>
          <w:sz w:val="24"/>
          <w:szCs w:val="24"/>
        </w:rPr>
      </w:pPr>
    </w:p>
    <w:p w14:paraId="0C7A16E2" w14:textId="77777777" w:rsidR="00663E81" w:rsidRPr="001075EB" w:rsidRDefault="00663E81" w:rsidP="00663E81">
      <w:pPr>
        <w:rPr>
          <w:rFonts w:ascii="Times New Roman" w:hAnsi="Times New Roman" w:cs="Times New Roman"/>
          <w:color w:val="000000" w:themeColor="text1"/>
          <w:sz w:val="24"/>
          <w:szCs w:val="24"/>
        </w:rPr>
      </w:pPr>
    </w:p>
    <w:p w14:paraId="7E015B1B" w14:textId="1511159E" w:rsidR="00663E81" w:rsidRPr="001075EB" w:rsidRDefault="00663E81" w:rsidP="00E26717">
      <w:pPr>
        <w:spacing w:line="240" w:lineRule="auto"/>
        <w:jc w:val="center"/>
        <w:rPr>
          <w:rFonts w:ascii="Times New Roman" w:eastAsiaTheme="minorHAnsi" w:hAnsi="Times New Roman" w:cs="Times New Roman"/>
          <w:color w:val="000000" w:themeColor="text1"/>
          <w:sz w:val="24"/>
          <w:szCs w:val="24"/>
          <w:lang w:val="en-US" w:eastAsia="en-US"/>
        </w:rPr>
      </w:pPr>
    </w:p>
    <w:p w14:paraId="4FAB999F" w14:textId="77777777" w:rsidR="005F3B35" w:rsidRPr="001075EB" w:rsidRDefault="0075749E">
      <w:pPr>
        <w:spacing w:line="240" w:lineRule="auto"/>
        <w:rPr>
          <w:rFonts w:ascii="Times New Roman" w:hAnsi="Times New Roman" w:cs="Times New Roman"/>
          <w:b/>
          <w:bCs/>
          <w:color w:val="000000" w:themeColor="text1"/>
          <w:sz w:val="24"/>
          <w:szCs w:val="24"/>
        </w:rPr>
        <w:sectPr w:rsidR="005F3B35" w:rsidRPr="001075EB" w:rsidSect="004344A4">
          <w:pgSz w:w="11906" w:h="16838" w:code="9"/>
          <w:pgMar w:top="1440" w:right="1440" w:bottom="1440" w:left="1440" w:header="720" w:footer="720" w:gutter="0"/>
          <w:cols w:space="720"/>
          <w:docGrid w:linePitch="299"/>
        </w:sectPr>
      </w:pPr>
      <w:r w:rsidRPr="001075EB">
        <w:rPr>
          <w:rFonts w:ascii="Times New Roman" w:hAnsi="Times New Roman" w:cs="Times New Roman"/>
          <w:b/>
          <w:bCs/>
          <w:color w:val="000000" w:themeColor="text1"/>
          <w:sz w:val="24"/>
          <w:szCs w:val="24"/>
        </w:rPr>
        <w:br w:type="page"/>
      </w:r>
    </w:p>
    <w:p w14:paraId="486CD78C" w14:textId="1804B2D0" w:rsidR="0075749E" w:rsidRPr="001075EB" w:rsidRDefault="0075749E" w:rsidP="0075749E">
      <w:pPr>
        <w:pStyle w:val="Heading3"/>
        <w:spacing w:line="480" w:lineRule="auto"/>
        <w:rPr>
          <w:rFonts w:ascii="Times New Roman" w:hAnsi="Times New Roman" w:cs="Times New Roman"/>
          <w:b/>
          <w:bCs/>
          <w:color w:val="000000" w:themeColor="text1"/>
          <w:sz w:val="24"/>
          <w:szCs w:val="24"/>
        </w:rPr>
      </w:pPr>
      <w:bookmarkStart w:id="3" w:name="_Toc66366108"/>
      <w:bookmarkEnd w:id="1"/>
      <w:r w:rsidRPr="001075EB">
        <w:rPr>
          <w:rFonts w:ascii="Times New Roman" w:hAnsi="Times New Roman" w:cs="Times New Roman"/>
          <w:b/>
          <w:bCs/>
          <w:color w:val="000000" w:themeColor="text1"/>
          <w:sz w:val="24"/>
          <w:szCs w:val="24"/>
        </w:rPr>
        <w:lastRenderedPageBreak/>
        <w:t>Supplementary Fig</w:t>
      </w:r>
      <w:r w:rsidR="00454F6B" w:rsidRPr="001075EB">
        <w:rPr>
          <w:rFonts w:ascii="Times New Roman" w:hAnsi="Times New Roman" w:cs="Times New Roman"/>
          <w:b/>
          <w:bCs/>
          <w:color w:val="000000" w:themeColor="text1"/>
          <w:sz w:val="24"/>
          <w:szCs w:val="24"/>
        </w:rPr>
        <w:t>ure</w:t>
      </w:r>
      <w:r w:rsidRPr="001075EB">
        <w:rPr>
          <w:rFonts w:ascii="Times New Roman" w:hAnsi="Times New Roman" w:cs="Times New Roman"/>
          <w:b/>
          <w:bCs/>
          <w:color w:val="000000" w:themeColor="text1"/>
          <w:sz w:val="24"/>
          <w:szCs w:val="24"/>
        </w:rPr>
        <w:t xml:space="preserve"> S1</w:t>
      </w:r>
    </w:p>
    <w:bookmarkEnd w:id="3"/>
    <w:p w14:paraId="046293FC" w14:textId="1C14AE60" w:rsidR="007E4FE8" w:rsidRPr="001075EB" w:rsidRDefault="0002302F" w:rsidP="007E4FE8">
      <w:pPr>
        <w:keepNext/>
        <w:spacing w:line="480" w:lineRule="auto"/>
        <w:rPr>
          <w:rFonts w:ascii="Times New Roman" w:hAnsi="Times New Roman" w:cs="Times New Roman"/>
          <w:color w:val="000000" w:themeColor="text1"/>
          <w:sz w:val="24"/>
          <w:szCs w:val="24"/>
        </w:rPr>
      </w:pPr>
      <w:r w:rsidRPr="001075EB">
        <w:rPr>
          <w:rFonts w:ascii="Times New Roman" w:hAnsi="Times New Roman" w:cs="Times New Roman"/>
          <w:noProof/>
          <w:color w:val="000000" w:themeColor="text1"/>
          <w:sz w:val="24"/>
          <w:szCs w:val="24"/>
          <w:lang w:val="fr-FR" w:eastAsia="fr-FR"/>
        </w:rPr>
        <w:drawing>
          <wp:inline distT="0" distB="0" distL="0" distR="0" wp14:anchorId="426C555C" wp14:editId="600E3503">
            <wp:extent cx="5939790" cy="2660650"/>
            <wp:effectExtent l="0" t="0" r="381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2660650"/>
                    </a:xfrm>
                    <a:prstGeom prst="rect">
                      <a:avLst/>
                    </a:prstGeom>
                    <a:noFill/>
                    <a:ln>
                      <a:noFill/>
                    </a:ln>
                  </pic:spPr>
                </pic:pic>
              </a:graphicData>
            </a:graphic>
          </wp:inline>
        </w:drawing>
      </w:r>
    </w:p>
    <w:p w14:paraId="1A70D90B" w14:textId="32ECECB0" w:rsidR="00454F6B" w:rsidRPr="00DE42B9" w:rsidRDefault="00F744C5" w:rsidP="0088309C">
      <w:pPr>
        <w:pStyle w:val="Caption"/>
        <w:jc w:val="both"/>
        <w:rPr>
          <w:rFonts w:ascii="Times New Roman" w:hAnsi="Times New Roman" w:cs="Times New Roman"/>
          <w:color w:val="000000" w:themeColor="text1"/>
          <w:sz w:val="20"/>
          <w:szCs w:val="20"/>
        </w:rPr>
        <w:sectPr w:rsidR="00454F6B" w:rsidRPr="00DE42B9" w:rsidSect="004344A4">
          <w:pgSz w:w="11906" w:h="16838" w:code="9"/>
          <w:pgMar w:top="1440" w:right="1440" w:bottom="1440" w:left="1440" w:header="720" w:footer="720" w:gutter="0"/>
          <w:cols w:space="720"/>
          <w:vAlign w:val="center"/>
          <w:docGrid w:linePitch="299"/>
        </w:sectPr>
      </w:pPr>
      <w:r w:rsidRPr="00DE42B9">
        <w:rPr>
          <w:rFonts w:ascii="Times New Roman" w:hAnsi="Times New Roman" w:cs="Times New Roman"/>
          <w:b/>
          <w:bCs/>
          <w:i w:val="0"/>
          <w:iCs w:val="0"/>
          <w:color w:val="000000" w:themeColor="text1"/>
          <w:sz w:val="20"/>
          <w:szCs w:val="20"/>
        </w:rPr>
        <w:t>Schematics</w:t>
      </w:r>
      <w:r w:rsidR="007E4FE8" w:rsidRPr="00DE42B9">
        <w:rPr>
          <w:rFonts w:ascii="Times New Roman" w:hAnsi="Times New Roman" w:cs="Times New Roman"/>
          <w:b/>
          <w:bCs/>
          <w:i w:val="0"/>
          <w:iCs w:val="0"/>
          <w:color w:val="000000" w:themeColor="text1"/>
          <w:sz w:val="20"/>
          <w:szCs w:val="20"/>
        </w:rPr>
        <w:t xml:space="preserve"> of the </w:t>
      </w:r>
      <w:r w:rsidRPr="00DE42B9">
        <w:rPr>
          <w:rFonts w:ascii="Times New Roman" w:hAnsi="Times New Roman" w:cs="Times New Roman"/>
          <w:b/>
          <w:bCs/>
          <w:i w:val="0"/>
          <w:iCs w:val="0"/>
          <w:color w:val="000000" w:themeColor="text1"/>
          <w:sz w:val="20"/>
          <w:szCs w:val="20"/>
        </w:rPr>
        <w:t>cultivation</w:t>
      </w:r>
      <w:r w:rsidR="007E4FE8" w:rsidRPr="00DE42B9">
        <w:rPr>
          <w:rFonts w:ascii="Times New Roman" w:hAnsi="Times New Roman" w:cs="Times New Roman"/>
          <w:b/>
          <w:bCs/>
          <w:i w:val="0"/>
          <w:iCs w:val="0"/>
          <w:color w:val="000000" w:themeColor="text1"/>
          <w:sz w:val="20"/>
          <w:szCs w:val="20"/>
        </w:rPr>
        <w:t xml:space="preserve"> setup. </w:t>
      </w:r>
      <w:r w:rsidR="0088309C" w:rsidRPr="00DE42B9">
        <w:rPr>
          <w:rFonts w:ascii="Times New Roman" w:hAnsi="Times New Roman" w:cs="Times New Roman"/>
          <w:i w:val="0"/>
          <w:iCs w:val="0"/>
          <w:color w:val="000000" w:themeColor="text1"/>
          <w:sz w:val="20"/>
          <w:szCs w:val="20"/>
        </w:rPr>
        <w:t>(1) FMT 150 PBR central unit: it is composed of the cultivation chamber with all the electronic circuits for the PBR-computer interface. It also contains the led panel, the bubbling system, temperature control unit, the integrated densitometer and fluorometer for chlorophyll fluorescence analysis. In the upper part of the central unit, three sensors are visible (2) and are the dedicated sensors for temperature/pH, oxygen and DIC monitoring. On the left of the PBR is located the gas managing system (3). Gas mixing system GMS 150 used to precisely prepare the air/CO</w:t>
      </w:r>
      <w:r w:rsidR="0088309C" w:rsidRPr="00DE42B9">
        <w:rPr>
          <w:rFonts w:ascii="Times New Roman" w:hAnsi="Times New Roman" w:cs="Times New Roman"/>
          <w:i w:val="0"/>
          <w:iCs w:val="0"/>
          <w:color w:val="000000" w:themeColor="text1"/>
          <w:sz w:val="20"/>
          <w:szCs w:val="20"/>
          <w:vertAlign w:val="subscript"/>
        </w:rPr>
        <w:t>2</w:t>
      </w:r>
      <w:r w:rsidR="0088309C" w:rsidRPr="00DE42B9">
        <w:rPr>
          <w:rFonts w:ascii="Times New Roman" w:hAnsi="Times New Roman" w:cs="Times New Roman"/>
          <w:i w:val="0"/>
          <w:iCs w:val="0"/>
          <w:color w:val="000000" w:themeColor="text1"/>
          <w:sz w:val="20"/>
          <w:szCs w:val="20"/>
        </w:rPr>
        <w:t xml:space="preserve"> mixture before injection in the PBR bubbling system through the bubbling loop (5). Air and CO</w:t>
      </w:r>
      <w:r w:rsidR="0088309C" w:rsidRPr="00DE42B9">
        <w:rPr>
          <w:rFonts w:ascii="Times New Roman" w:hAnsi="Times New Roman" w:cs="Times New Roman"/>
          <w:i w:val="0"/>
          <w:iCs w:val="0"/>
          <w:color w:val="000000" w:themeColor="text1"/>
          <w:sz w:val="20"/>
          <w:szCs w:val="20"/>
          <w:vertAlign w:val="subscript"/>
        </w:rPr>
        <w:t>2</w:t>
      </w:r>
      <w:r w:rsidR="0088309C" w:rsidRPr="00DE42B9">
        <w:rPr>
          <w:rFonts w:ascii="Times New Roman" w:hAnsi="Times New Roman" w:cs="Times New Roman"/>
          <w:i w:val="0"/>
          <w:iCs w:val="0"/>
          <w:color w:val="000000" w:themeColor="text1"/>
          <w:sz w:val="20"/>
          <w:szCs w:val="20"/>
        </w:rPr>
        <w:t xml:space="preserve"> are supplied on the mixing system from bottles through the dedicated inlets (4). A solenoid valve (6) is electronically controlled by the system in order to interrupt the bubbling when requested (</w:t>
      </w:r>
      <w:proofErr w:type="gramStart"/>
      <w:r w:rsidR="0088309C" w:rsidRPr="00DE42B9">
        <w:rPr>
          <w:rFonts w:ascii="Times New Roman" w:hAnsi="Times New Roman" w:cs="Times New Roman"/>
          <w:color w:val="000000" w:themeColor="text1"/>
          <w:sz w:val="20"/>
          <w:szCs w:val="20"/>
        </w:rPr>
        <w:t>e.g.</w:t>
      </w:r>
      <w:proofErr w:type="gramEnd"/>
      <w:r w:rsidR="0088309C" w:rsidRPr="00DE42B9">
        <w:rPr>
          <w:rFonts w:ascii="Times New Roman" w:hAnsi="Times New Roman" w:cs="Times New Roman"/>
          <w:i w:val="0"/>
          <w:iCs w:val="0"/>
          <w:color w:val="000000" w:themeColor="text1"/>
          <w:sz w:val="20"/>
          <w:szCs w:val="20"/>
        </w:rPr>
        <w:t xml:space="preserve"> optical density reading). An air filter (7) is added to avoid potential impurities of the air/CO</w:t>
      </w:r>
      <w:r w:rsidR="0088309C" w:rsidRPr="00DE42B9">
        <w:rPr>
          <w:rFonts w:ascii="Times New Roman" w:hAnsi="Times New Roman" w:cs="Times New Roman"/>
          <w:i w:val="0"/>
          <w:iCs w:val="0"/>
          <w:color w:val="000000" w:themeColor="text1"/>
          <w:sz w:val="20"/>
          <w:szCs w:val="20"/>
          <w:vertAlign w:val="subscript"/>
        </w:rPr>
        <w:t>2</w:t>
      </w:r>
      <w:r w:rsidR="0088309C" w:rsidRPr="00DE42B9">
        <w:rPr>
          <w:rFonts w:ascii="Times New Roman" w:hAnsi="Times New Roman" w:cs="Times New Roman"/>
          <w:i w:val="0"/>
          <w:iCs w:val="0"/>
          <w:color w:val="000000" w:themeColor="text1"/>
          <w:sz w:val="20"/>
          <w:szCs w:val="20"/>
        </w:rPr>
        <w:t xml:space="preserve"> mixture to reach downstream compartments. A bottle containing ultrapure sterile water where the air/CO</w:t>
      </w:r>
      <w:r w:rsidR="0088309C" w:rsidRPr="00DE42B9">
        <w:rPr>
          <w:rFonts w:ascii="Times New Roman" w:hAnsi="Times New Roman" w:cs="Times New Roman"/>
          <w:i w:val="0"/>
          <w:iCs w:val="0"/>
          <w:color w:val="000000" w:themeColor="text1"/>
          <w:sz w:val="20"/>
          <w:szCs w:val="20"/>
          <w:vertAlign w:val="subscript"/>
        </w:rPr>
        <w:t>2</w:t>
      </w:r>
      <w:r w:rsidR="0088309C" w:rsidRPr="00DE42B9">
        <w:rPr>
          <w:rFonts w:ascii="Times New Roman" w:hAnsi="Times New Roman" w:cs="Times New Roman"/>
          <w:i w:val="0"/>
          <w:iCs w:val="0"/>
          <w:color w:val="000000" w:themeColor="text1"/>
          <w:sz w:val="20"/>
          <w:szCs w:val="20"/>
        </w:rPr>
        <w:t xml:space="preserve"> mixture to humidify it prior to enter the cultivation vessel (8). A sampling catheter (9). On the right side of the PBR is located the medium managing system. A peristaltic pump (10) to provide fresh medium supply to the culture when requested; it is electronically interfaced with the system. A switch valve (11) to switch between a medium supply and another. Medium supply bottles (12)-(13): containing the two types of medium supply used in this experiment (bottle size not in scale). Waste batch (14) to collect the PBR flowthrough. Adapted from the manufacturer hardware manual (https://psi.cz/). The illustration does not show the computer used to control the PBR and collect.</w:t>
      </w:r>
    </w:p>
    <w:p w14:paraId="301F4FA3" w14:textId="77777777" w:rsidR="00454F6B" w:rsidRPr="001075EB" w:rsidRDefault="00454F6B" w:rsidP="00454F6B">
      <w:pPr>
        <w:pStyle w:val="Heading3"/>
        <w:spacing w:line="480" w:lineRule="auto"/>
        <w:rPr>
          <w:rFonts w:ascii="Times New Roman" w:hAnsi="Times New Roman" w:cs="Times New Roman"/>
          <w:b/>
          <w:bCs/>
          <w:color w:val="000000" w:themeColor="text1"/>
          <w:sz w:val="24"/>
          <w:szCs w:val="24"/>
        </w:rPr>
      </w:pPr>
      <w:r w:rsidRPr="001075EB">
        <w:rPr>
          <w:rFonts w:ascii="Times New Roman" w:hAnsi="Times New Roman" w:cs="Times New Roman"/>
          <w:b/>
          <w:bCs/>
          <w:color w:val="000000" w:themeColor="text1"/>
          <w:sz w:val="24"/>
          <w:szCs w:val="24"/>
        </w:rPr>
        <w:lastRenderedPageBreak/>
        <w:t>Supplementary Figure S2</w:t>
      </w:r>
    </w:p>
    <w:p w14:paraId="4894AAAC" w14:textId="4D6B6BDC" w:rsidR="00454F6B" w:rsidRPr="001075EB" w:rsidRDefault="005672A9" w:rsidP="00454F6B">
      <w:pPr>
        <w:keepNext/>
        <w:spacing w:line="240" w:lineRule="auto"/>
        <w:rPr>
          <w:rFonts w:ascii="Times New Roman" w:hAnsi="Times New Roman" w:cs="Times New Roman"/>
          <w:color w:val="000000" w:themeColor="text1"/>
          <w:sz w:val="24"/>
          <w:szCs w:val="24"/>
        </w:rPr>
      </w:pPr>
      <w:r w:rsidRPr="001075EB">
        <w:rPr>
          <w:rFonts w:ascii="Times New Roman" w:hAnsi="Times New Roman" w:cs="Times New Roman"/>
          <w:b/>
          <w:bCs/>
          <w:noProof/>
          <w:color w:val="000000" w:themeColor="text1"/>
          <w:sz w:val="24"/>
          <w:szCs w:val="24"/>
          <w:lang w:val="fr-FR" w:eastAsia="fr-FR"/>
        </w:rPr>
        <w:drawing>
          <wp:inline distT="0" distB="0" distL="0" distR="0" wp14:anchorId="48DD3E2F" wp14:editId="59CE9F70">
            <wp:extent cx="8203326" cy="21336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690" t="8790" r="10880" b="62355"/>
                    <a:stretch/>
                  </pic:blipFill>
                  <pic:spPr bwMode="auto">
                    <a:xfrm>
                      <a:off x="0" y="0"/>
                      <a:ext cx="8206293" cy="2134372"/>
                    </a:xfrm>
                    <a:prstGeom prst="rect">
                      <a:avLst/>
                    </a:prstGeom>
                    <a:noFill/>
                    <a:ln>
                      <a:noFill/>
                    </a:ln>
                    <a:extLst>
                      <a:ext uri="{53640926-AAD7-44D8-BBD7-CCE9431645EC}">
                        <a14:shadowObscured xmlns:a14="http://schemas.microsoft.com/office/drawing/2010/main"/>
                      </a:ext>
                    </a:extLst>
                  </pic:spPr>
                </pic:pic>
              </a:graphicData>
            </a:graphic>
          </wp:inline>
        </w:drawing>
      </w:r>
    </w:p>
    <w:p w14:paraId="1A458F0E" w14:textId="678CD559" w:rsidR="00B76877" w:rsidRPr="00DE42B9" w:rsidRDefault="00454F6B" w:rsidP="00454F6B">
      <w:pPr>
        <w:pStyle w:val="Caption"/>
        <w:jc w:val="both"/>
        <w:rPr>
          <w:rFonts w:ascii="Times New Roman" w:eastAsia="Arial Unicode MS" w:hAnsi="Times New Roman" w:cs="Times New Roman"/>
          <w:i w:val="0"/>
          <w:iCs w:val="0"/>
          <w:color w:val="000000" w:themeColor="text1"/>
          <w:sz w:val="20"/>
          <w:szCs w:val="20"/>
          <w:lang w:val="en-GB"/>
        </w:rPr>
        <w:sectPr w:rsidR="00B76877" w:rsidRPr="00DE42B9" w:rsidSect="004344A4">
          <w:pgSz w:w="16838" w:h="11906" w:orient="landscape" w:code="9"/>
          <w:pgMar w:top="1440" w:right="1440" w:bottom="1440" w:left="1440" w:header="720" w:footer="720" w:gutter="0"/>
          <w:cols w:space="720"/>
          <w:vAlign w:val="center"/>
          <w:docGrid w:linePitch="299"/>
        </w:sectPr>
      </w:pPr>
      <w:r w:rsidRPr="00DE42B9">
        <w:rPr>
          <w:rFonts w:ascii="Times New Roman" w:hAnsi="Times New Roman" w:cs="Times New Roman"/>
          <w:b/>
          <w:bCs/>
          <w:i w:val="0"/>
          <w:iCs w:val="0"/>
          <w:color w:val="000000" w:themeColor="text1"/>
          <w:sz w:val="20"/>
          <w:szCs w:val="20"/>
        </w:rPr>
        <w:t xml:space="preserve">Calibration curves for carbohydrates, lipids and proteins quantification. </w:t>
      </w:r>
      <w:r w:rsidR="005672A9" w:rsidRPr="00DE42B9">
        <w:rPr>
          <w:rFonts w:ascii="Times New Roman" w:hAnsi="Times New Roman" w:cs="Times New Roman"/>
          <w:i w:val="0"/>
          <w:iCs w:val="0"/>
          <w:color w:val="000000" w:themeColor="text1"/>
          <w:sz w:val="20"/>
          <w:szCs w:val="20"/>
        </w:rPr>
        <w:t>(A)</w:t>
      </w:r>
      <w:r w:rsidR="005672A9" w:rsidRPr="00DE42B9">
        <w:rPr>
          <w:rFonts w:ascii="Times New Roman" w:hAnsi="Times New Roman" w:cs="Times New Roman"/>
          <w:b/>
          <w:bCs/>
          <w:i w:val="0"/>
          <w:iCs w:val="0"/>
          <w:color w:val="000000" w:themeColor="text1"/>
          <w:sz w:val="20"/>
          <w:szCs w:val="20"/>
        </w:rPr>
        <w:t xml:space="preserve"> </w:t>
      </w:r>
      <w:r w:rsidRPr="00DE42B9">
        <w:rPr>
          <w:rFonts w:ascii="Times New Roman" w:hAnsi="Times New Roman" w:cs="Times New Roman"/>
          <w:i w:val="0"/>
          <w:iCs w:val="0"/>
          <w:color w:val="000000" w:themeColor="text1"/>
          <w:sz w:val="20"/>
          <w:szCs w:val="20"/>
          <w:lang w:val="en-GB"/>
        </w:rPr>
        <w:t xml:space="preserve">The calibration curve has been prepared with a sequential dilution of an aqueous solution of glucose. Total carbohydrate quantification has been done following the phenol-sulfuric acid method described by Nielsen (2017). </w:t>
      </w:r>
      <w:r w:rsidR="005672A9" w:rsidRPr="00DE42B9">
        <w:rPr>
          <w:rFonts w:ascii="Times New Roman" w:hAnsi="Times New Roman" w:cs="Times New Roman"/>
          <w:i w:val="0"/>
          <w:iCs w:val="0"/>
          <w:color w:val="000000" w:themeColor="text1"/>
          <w:sz w:val="20"/>
          <w:szCs w:val="20"/>
          <w:lang w:val="en-GB"/>
        </w:rPr>
        <w:t xml:space="preserve">(B) </w:t>
      </w:r>
      <w:r w:rsidRPr="00DE42B9">
        <w:rPr>
          <w:rFonts w:ascii="Times New Roman" w:hAnsi="Times New Roman" w:cs="Times New Roman"/>
          <w:i w:val="0"/>
          <w:iCs w:val="0"/>
          <w:color w:val="000000" w:themeColor="text1"/>
          <w:sz w:val="20"/>
          <w:szCs w:val="20"/>
        </w:rPr>
        <w:t>The calibration curve has been generated preparing a sequential dilution of glyceryl trioleate (Sigma-Aldrich T7140-500MG, purity ≥99%) in 25% DMSO (v/v in ultrapure water). Fluorescence spectra were recorded with a Perkin Elmer LS-55 (PerkinElmer</w:t>
      </w:r>
      <w:r w:rsidRPr="00DE42B9">
        <w:rPr>
          <w:rFonts w:ascii="MS Gothic" w:eastAsia="MS Gothic" w:hAnsi="MS Gothic" w:cs="MS Gothic" w:hint="eastAsia"/>
          <w:i w:val="0"/>
          <w:iCs w:val="0"/>
          <w:color w:val="000000" w:themeColor="text1"/>
          <w:sz w:val="20"/>
          <w:szCs w:val="20"/>
          <w:vertAlign w:val="superscript"/>
        </w:rPr>
        <w:t>Ⓡ</w:t>
      </w:r>
      <w:r w:rsidRPr="00DE42B9">
        <w:rPr>
          <w:rFonts w:ascii="Times New Roman" w:hAnsi="Times New Roman" w:cs="Times New Roman"/>
          <w:i w:val="0"/>
          <w:iCs w:val="0"/>
          <w:color w:val="000000" w:themeColor="text1"/>
          <w:sz w:val="20"/>
          <w:szCs w:val="20"/>
        </w:rPr>
        <w:t xml:space="preserve">, Excitation wavelength: 530nm, Emission: 545-800nm). </w:t>
      </w:r>
      <w:r w:rsidR="005672A9" w:rsidRPr="00DE42B9">
        <w:rPr>
          <w:rFonts w:ascii="Times New Roman" w:hAnsi="Times New Roman" w:cs="Times New Roman"/>
          <w:i w:val="0"/>
          <w:iCs w:val="0"/>
          <w:color w:val="000000" w:themeColor="text1"/>
          <w:sz w:val="20"/>
          <w:szCs w:val="20"/>
        </w:rPr>
        <w:t xml:space="preserve">(C) </w:t>
      </w:r>
      <w:r w:rsidRPr="00DE42B9">
        <w:rPr>
          <w:rFonts w:ascii="Times New Roman" w:hAnsi="Times New Roman" w:cs="Times New Roman"/>
          <w:i w:val="0"/>
          <w:iCs w:val="0"/>
          <w:color w:val="000000" w:themeColor="text1"/>
          <w:sz w:val="20"/>
          <w:szCs w:val="20"/>
          <w:lang w:val="en-GB"/>
        </w:rPr>
        <w:t>Calibration curve has been made with a serial dilution of b</w:t>
      </w:r>
      <w:r w:rsidRPr="00DE42B9">
        <w:rPr>
          <w:rFonts w:ascii="Times New Roman" w:eastAsia="Arial Unicode MS" w:hAnsi="Times New Roman" w:cs="Times New Roman"/>
          <w:i w:val="0"/>
          <w:iCs w:val="0"/>
          <w:color w:val="000000" w:themeColor="text1"/>
          <w:sz w:val="20"/>
          <w:szCs w:val="20"/>
          <w:lang w:val="en-GB"/>
        </w:rPr>
        <w:t xml:space="preserve">ovine serum albumin (BSA, Sigma-Aldrich, purity ≥98%). Bradford method </w:t>
      </w:r>
      <w:r w:rsidR="00C7390D" w:rsidRPr="00DE42B9">
        <w:rPr>
          <w:rFonts w:ascii="Times New Roman" w:eastAsia="Arial Unicode MS" w:hAnsi="Times New Roman" w:cs="Times New Roman"/>
          <w:i w:val="0"/>
          <w:iCs w:val="0"/>
          <w:color w:val="000000" w:themeColor="text1"/>
          <w:sz w:val="20"/>
          <w:szCs w:val="20"/>
          <w:lang w:val="en-GB"/>
        </w:rPr>
        <w:fldChar w:fldCharType="begin"/>
      </w:r>
      <w:r w:rsidR="00C7390D" w:rsidRPr="00DE42B9">
        <w:rPr>
          <w:rFonts w:ascii="Times New Roman" w:eastAsia="Arial Unicode MS" w:hAnsi="Times New Roman" w:cs="Times New Roman"/>
          <w:i w:val="0"/>
          <w:iCs w:val="0"/>
          <w:color w:val="000000" w:themeColor="text1"/>
          <w:sz w:val="20"/>
          <w:szCs w:val="20"/>
          <w:lang w:val="en-GB"/>
        </w:rPr>
        <w:instrText xml:space="preserve"> ADDIN EN.CITE &lt;EndNote&gt;&lt;Cite&gt;&lt;Author&gt;Bradford&lt;/Author&gt;&lt;Year&gt;1976&lt;/Year&gt;&lt;RecNum&gt;13300&lt;/RecNum&gt;&lt;DisplayText&gt;(Bradford, 1976)&lt;/DisplayText&gt;&lt;record&gt;&lt;rec-number&gt;13300&lt;/rec-number&gt;&lt;foreign-keys&gt;&lt;key app="EN" db-id="9efww95sirratne9w0tv95fpzxp2w52rz959" timestamp="1447250325"&gt;13300&lt;/key&gt;&lt;/foreign-keys&gt;&lt;ref-type name="Journal Article"&gt;17&lt;/ref-type&gt;&lt;contributors&gt;&lt;authors&gt;&lt;author&gt;Bradford, M. M.&lt;/author&gt;&lt;/authors&gt;&lt;/contributors&gt;&lt;titles&gt;&lt;title&gt;A rapid and sensitive method for the quantitation of microgram quantities of protein utilizing the principle of protein-dye binding&lt;/title&gt;&lt;secondary-title&gt;Analytical Biochemistry&lt;/secondary-title&gt;&lt;/titles&gt;&lt;periodical&gt;&lt;full-title&gt;Analytical Biochemistry&lt;/full-title&gt;&lt;/periodical&gt;&lt;pages&gt;248-254&lt;/pages&gt;&lt;volume&gt;72&lt;/volume&gt;&lt;section&gt;248&lt;/section&gt;&lt;reprint-edition&gt;IN FILE&lt;/reprint-edition&gt;&lt;keywords&gt;&lt;keyword&gt;00485&lt;/keyword&gt;&lt;keyword&gt;binding&lt;/keyword&gt;&lt;keyword&gt;protein&lt;/keyword&gt;&lt;/keywords&gt;&lt;dates&gt;&lt;year&gt;1976&lt;/year&gt;&lt;/dates&gt;&lt;urls&gt;&lt;/urls&gt;&lt;/record&gt;&lt;/Cite&gt;&lt;/EndNote&gt;</w:instrText>
      </w:r>
      <w:r w:rsidR="00C7390D" w:rsidRPr="00DE42B9">
        <w:rPr>
          <w:rFonts w:ascii="Times New Roman" w:eastAsia="Arial Unicode MS" w:hAnsi="Times New Roman" w:cs="Times New Roman"/>
          <w:i w:val="0"/>
          <w:iCs w:val="0"/>
          <w:color w:val="000000" w:themeColor="text1"/>
          <w:sz w:val="20"/>
          <w:szCs w:val="20"/>
          <w:lang w:val="en-GB"/>
        </w:rPr>
        <w:fldChar w:fldCharType="separate"/>
      </w:r>
      <w:r w:rsidR="00C7390D" w:rsidRPr="00DE42B9">
        <w:rPr>
          <w:rFonts w:ascii="Times New Roman" w:eastAsia="Arial Unicode MS" w:hAnsi="Times New Roman" w:cs="Times New Roman"/>
          <w:i w:val="0"/>
          <w:iCs w:val="0"/>
          <w:noProof/>
          <w:color w:val="000000" w:themeColor="text1"/>
          <w:sz w:val="20"/>
          <w:szCs w:val="20"/>
          <w:lang w:val="en-GB"/>
        </w:rPr>
        <w:t>(Bradford, 1976)</w:t>
      </w:r>
      <w:r w:rsidR="00C7390D" w:rsidRPr="00DE42B9">
        <w:rPr>
          <w:rFonts w:ascii="Times New Roman" w:eastAsia="Arial Unicode MS" w:hAnsi="Times New Roman" w:cs="Times New Roman"/>
          <w:i w:val="0"/>
          <w:iCs w:val="0"/>
          <w:color w:val="000000" w:themeColor="text1"/>
          <w:sz w:val="20"/>
          <w:szCs w:val="20"/>
          <w:lang w:val="en-GB"/>
        </w:rPr>
        <w:fldChar w:fldCharType="end"/>
      </w:r>
      <w:r w:rsidR="00C7390D" w:rsidRPr="00DE42B9">
        <w:rPr>
          <w:rFonts w:ascii="Times New Roman" w:eastAsia="Arial Unicode MS" w:hAnsi="Times New Roman" w:cs="Times New Roman"/>
          <w:i w:val="0"/>
          <w:iCs w:val="0"/>
          <w:color w:val="000000" w:themeColor="text1"/>
          <w:sz w:val="20"/>
          <w:szCs w:val="20"/>
          <w:lang w:val="en-GB"/>
        </w:rPr>
        <w:t xml:space="preserve"> </w:t>
      </w:r>
      <w:r w:rsidRPr="00DE42B9">
        <w:rPr>
          <w:rFonts w:ascii="Times New Roman" w:eastAsia="Arial Unicode MS" w:hAnsi="Times New Roman" w:cs="Times New Roman"/>
          <w:i w:val="0"/>
          <w:iCs w:val="0"/>
          <w:color w:val="000000" w:themeColor="text1"/>
          <w:sz w:val="20"/>
          <w:szCs w:val="20"/>
          <w:lang w:val="en-GB"/>
        </w:rPr>
        <w:t xml:space="preserve">has been used for BSA quantification  and </w:t>
      </w:r>
      <w:proofErr w:type="spellStart"/>
      <w:r w:rsidRPr="00DE42B9">
        <w:rPr>
          <w:rFonts w:ascii="Times New Roman" w:eastAsia="Arial Unicode MS" w:hAnsi="Times New Roman" w:cs="Times New Roman"/>
          <w:i w:val="0"/>
          <w:iCs w:val="0"/>
          <w:color w:val="000000" w:themeColor="text1"/>
          <w:sz w:val="20"/>
          <w:szCs w:val="20"/>
          <w:lang w:val="en-GB"/>
        </w:rPr>
        <w:t>xMark</w:t>
      </w:r>
      <w:proofErr w:type="spellEnd"/>
      <w:r w:rsidRPr="00DE42B9">
        <w:rPr>
          <w:rFonts w:ascii="Times New Roman" w:eastAsia="Arial Unicode MS" w:hAnsi="Times New Roman" w:cs="Times New Roman"/>
          <w:i w:val="0"/>
          <w:iCs w:val="0"/>
          <w:color w:val="000000" w:themeColor="text1"/>
          <w:sz w:val="20"/>
          <w:szCs w:val="20"/>
          <w:lang w:val="en-GB"/>
        </w:rPr>
        <w:t xml:space="preserve"> (Bio-Rad) spectrophotometer was used for the measurements.</w:t>
      </w:r>
    </w:p>
    <w:p w14:paraId="798DCDCB" w14:textId="6350C97C" w:rsidR="00B76877" w:rsidRPr="001075EB" w:rsidRDefault="00B76877" w:rsidP="00B76877">
      <w:pPr>
        <w:pStyle w:val="Heading3"/>
        <w:spacing w:line="480" w:lineRule="auto"/>
        <w:rPr>
          <w:rFonts w:ascii="Times New Roman" w:hAnsi="Times New Roman" w:cs="Times New Roman"/>
          <w:b/>
          <w:bCs/>
          <w:color w:val="000000" w:themeColor="text1"/>
          <w:sz w:val="24"/>
          <w:szCs w:val="24"/>
        </w:rPr>
      </w:pPr>
      <w:r w:rsidRPr="001075EB">
        <w:rPr>
          <w:rFonts w:ascii="Times New Roman" w:hAnsi="Times New Roman" w:cs="Times New Roman"/>
          <w:b/>
          <w:bCs/>
          <w:color w:val="000000" w:themeColor="text1"/>
          <w:sz w:val="24"/>
          <w:szCs w:val="24"/>
        </w:rPr>
        <w:lastRenderedPageBreak/>
        <w:t>Supplementary Fig</w:t>
      </w:r>
      <w:r w:rsidR="00B62555" w:rsidRPr="001075EB">
        <w:rPr>
          <w:rFonts w:ascii="Times New Roman" w:hAnsi="Times New Roman" w:cs="Times New Roman"/>
          <w:b/>
          <w:bCs/>
          <w:color w:val="000000" w:themeColor="text1"/>
          <w:sz w:val="24"/>
          <w:szCs w:val="24"/>
        </w:rPr>
        <w:t>ure</w:t>
      </w:r>
      <w:r w:rsidRPr="001075EB">
        <w:rPr>
          <w:rFonts w:ascii="Times New Roman" w:hAnsi="Times New Roman" w:cs="Times New Roman"/>
          <w:b/>
          <w:bCs/>
          <w:color w:val="000000" w:themeColor="text1"/>
          <w:sz w:val="24"/>
          <w:szCs w:val="24"/>
        </w:rPr>
        <w:t xml:space="preserve"> S3</w:t>
      </w:r>
    </w:p>
    <w:p w14:paraId="501CF069" w14:textId="77777777" w:rsidR="00B76877" w:rsidRPr="001075EB" w:rsidRDefault="00B76877" w:rsidP="00B76877">
      <w:pPr>
        <w:keepNext/>
        <w:spacing w:line="480" w:lineRule="auto"/>
        <w:rPr>
          <w:rFonts w:ascii="Times New Roman" w:hAnsi="Times New Roman" w:cs="Times New Roman"/>
          <w:color w:val="000000" w:themeColor="text1"/>
          <w:sz w:val="24"/>
          <w:szCs w:val="24"/>
        </w:rPr>
      </w:pPr>
      <w:bookmarkStart w:id="4" w:name="_d63szqoljn95" w:colFirst="0" w:colLast="0"/>
      <w:bookmarkEnd w:id="4"/>
      <w:r w:rsidRPr="001075EB">
        <w:rPr>
          <w:rFonts w:ascii="Times New Roman" w:hAnsi="Times New Roman" w:cs="Times New Roman"/>
          <w:noProof/>
          <w:color w:val="000000" w:themeColor="text1"/>
          <w:sz w:val="24"/>
          <w:szCs w:val="24"/>
          <w:lang w:val="fr-FR" w:eastAsia="fr-FR"/>
        </w:rPr>
        <w:drawing>
          <wp:inline distT="114300" distB="114300" distL="114300" distR="114300" wp14:anchorId="09EDFFF1" wp14:editId="0A807B60">
            <wp:extent cx="5943600" cy="4254500"/>
            <wp:effectExtent l="0" t="0" r="0" b="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
                    <a:srcRect l="10256" t="7482" r="8012" b="9750"/>
                    <a:stretch>
                      <a:fillRect/>
                    </a:stretch>
                  </pic:blipFill>
                  <pic:spPr>
                    <a:xfrm>
                      <a:off x="0" y="0"/>
                      <a:ext cx="5943600" cy="4254500"/>
                    </a:xfrm>
                    <a:prstGeom prst="rect">
                      <a:avLst/>
                    </a:prstGeom>
                    <a:ln/>
                  </pic:spPr>
                </pic:pic>
              </a:graphicData>
            </a:graphic>
          </wp:inline>
        </w:drawing>
      </w:r>
    </w:p>
    <w:p w14:paraId="013FDC2B" w14:textId="77777777" w:rsidR="00B76877" w:rsidRPr="00DE42B9" w:rsidRDefault="00B76877" w:rsidP="00DB5BD7">
      <w:pPr>
        <w:pStyle w:val="Caption"/>
        <w:jc w:val="both"/>
        <w:rPr>
          <w:rFonts w:ascii="Times New Roman" w:hAnsi="Times New Roman" w:cs="Times New Roman"/>
          <w:i w:val="0"/>
          <w:iCs w:val="0"/>
          <w:color w:val="000000" w:themeColor="text1"/>
          <w:sz w:val="20"/>
          <w:szCs w:val="20"/>
        </w:rPr>
      </w:pPr>
      <w:r w:rsidRPr="00DE42B9">
        <w:rPr>
          <w:rFonts w:ascii="Times New Roman" w:hAnsi="Times New Roman" w:cs="Times New Roman"/>
          <w:b/>
          <w:bCs/>
          <w:i w:val="0"/>
          <w:iCs w:val="0"/>
          <w:color w:val="000000" w:themeColor="text1"/>
          <w:sz w:val="20"/>
          <w:szCs w:val="20"/>
        </w:rPr>
        <w:t>Major organic macromolecules cellular quota and dissolved inorganic carbon in the culture medium according to the intracellular nitrogen.</w:t>
      </w:r>
      <w:r w:rsidRPr="00DE42B9">
        <w:rPr>
          <w:rFonts w:ascii="Times New Roman" w:hAnsi="Times New Roman" w:cs="Times New Roman"/>
          <w:i w:val="0"/>
          <w:iCs w:val="0"/>
          <w:color w:val="000000" w:themeColor="text1"/>
          <w:sz w:val="20"/>
          <w:szCs w:val="20"/>
        </w:rPr>
        <w:t xml:space="preserve"> Intracellular nitrogen (N-int) was considered as the parameter that guides the cell physiological and biochemical responses. Simple plots have been generated to observe the correlation between N-int and biochemical parameters. A similar pattern is observed in all the plots where an evolution during the time course of the experiment is observed. Two main groups are observed, with a transition on 5 and 6 DRNS. Each point has been marked with the respective time point after DNRS. All the graphs clearly show two major groups with the in between point corresponding to day 5 after DNRS, several times day 6 can be considered in between. All the information given by these graphs is grouped in the PCA (Fig.1).</w:t>
      </w:r>
    </w:p>
    <w:p w14:paraId="0C4D3079" w14:textId="0E2771CD" w:rsidR="00454F6B" w:rsidRPr="001075EB" w:rsidRDefault="00454F6B" w:rsidP="00454F6B">
      <w:pPr>
        <w:pStyle w:val="Caption"/>
        <w:jc w:val="both"/>
        <w:rPr>
          <w:rFonts w:ascii="Times New Roman" w:hAnsi="Times New Roman" w:cs="Times New Roman"/>
          <w:i w:val="0"/>
          <w:iCs w:val="0"/>
          <w:color w:val="000000" w:themeColor="text1"/>
          <w:sz w:val="24"/>
          <w:szCs w:val="24"/>
        </w:rPr>
      </w:pPr>
    </w:p>
    <w:p w14:paraId="72E7401C" w14:textId="77777777" w:rsidR="00B76877" w:rsidRPr="001075EB" w:rsidRDefault="00B76877" w:rsidP="00454F6B">
      <w:pPr>
        <w:pStyle w:val="Caption"/>
        <w:rPr>
          <w:rFonts w:ascii="Times New Roman" w:hAnsi="Times New Roman" w:cs="Times New Roman"/>
          <w:b/>
          <w:bCs/>
          <w:i w:val="0"/>
          <w:iCs w:val="0"/>
          <w:color w:val="000000" w:themeColor="text1"/>
          <w:sz w:val="24"/>
          <w:szCs w:val="24"/>
        </w:rPr>
        <w:sectPr w:rsidR="00B76877" w:rsidRPr="001075EB" w:rsidSect="004344A4">
          <w:pgSz w:w="11906" w:h="16838" w:code="9"/>
          <w:pgMar w:top="1440" w:right="1440" w:bottom="1440" w:left="1440" w:header="720" w:footer="720" w:gutter="0"/>
          <w:cols w:space="720"/>
          <w:vAlign w:val="center"/>
          <w:docGrid w:linePitch="299"/>
        </w:sectPr>
      </w:pPr>
    </w:p>
    <w:p w14:paraId="2C93572D" w14:textId="560CB101" w:rsidR="00B76877" w:rsidRPr="001075EB" w:rsidRDefault="00B76877" w:rsidP="00B76877">
      <w:pPr>
        <w:pStyle w:val="Heading3"/>
        <w:spacing w:line="480" w:lineRule="auto"/>
        <w:rPr>
          <w:rFonts w:ascii="Times New Roman" w:hAnsi="Times New Roman" w:cs="Times New Roman"/>
          <w:b/>
          <w:bCs/>
          <w:color w:val="000000" w:themeColor="text1"/>
          <w:sz w:val="24"/>
          <w:szCs w:val="24"/>
        </w:rPr>
      </w:pPr>
      <w:r w:rsidRPr="001075EB">
        <w:rPr>
          <w:rFonts w:ascii="Times New Roman" w:hAnsi="Times New Roman" w:cs="Times New Roman"/>
          <w:b/>
          <w:bCs/>
          <w:color w:val="000000" w:themeColor="text1"/>
          <w:sz w:val="24"/>
          <w:szCs w:val="24"/>
        </w:rPr>
        <w:lastRenderedPageBreak/>
        <w:t>Supplementary Fig</w:t>
      </w:r>
      <w:r w:rsidR="00B62555" w:rsidRPr="001075EB">
        <w:rPr>
          <w:rFonts w:ascii="Times New Roman" w:hAnsi="Times New Roman" w:cs="Times New Roman"/>
          <w:b/>
          <w:bCs/>
          <w:color w:val="000000" w:themeColor="text1"/>
          <w:sz w:val="24"/>
          <w:szCs w:val="24"/>
        </w:rPr>
        <w:t>ure</w:t>
      </w:r>
      <w:r w:rsidRPr="001075EB">
        <w:rPr>
          <w:rFonts w:ascii="Times New Roman" w:hAnsi="Times New Roman" w:cs="Times New Roman"/>
          <w:b/>
          <w:bCs/>
          <w:color w:val="000000" w:themeColor="text1"/>
          <w:sz w:val="24"/>
          <w:szCs w:val="24"/>
        </w:rPr>
        <w:t xml:space="preserve"> S4</w:t>
      </w:r>
    </w:p>
    <w:p w14:paraId="2B842D7E" w14:textId="55A0C315" w:rsidR="00B76877" w:rsidRPr="001075EB" w:rsidRDefault="00B76877" w:rsidP="00B76877">
      <w:pPr>
        <w:keepNext/>
        <w:spacing w:line="480" w:lineRule="auto"/>
        <w:jc w:val="both"/>
        <w:rPr>
          <w:rFonts w:ascii="Times New Roman" w:hAnsi="Times New Roman" w:cs="Times New Roman"/>
          <w:color w:val="000000" w:themeColor="text1"/>
          <w:sz w:val="24"/>
          <w:szCs w:val="24"/>
        </w:rPr>
      </w:pPr>
      <w:r w:rsidRPr="001075EB">
        <w:rPr>
          <w:rFonts w:ascii="Times New Roman" w:hAnsi="Times New Roman" w:cs="Times New Roman"/>
          <w:noProof/>
          <w:color w:val="000000" w:themeColor="text1"/>
          <w:sz w:val="24"/>
          <w:szCs w:val="24"/>
          <w:lang w:val="fr-FR" w:eastAsia="fr-FR"/>
        </w:rPr>
        <w:drawing>
          <wp:inline distT="0" distB="0" distL="0" distR="0" wp14:anchorId="4154733D" wp14:editId="0357AD52">
            <wp:extent cx="5943600" cy="2266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266950"/>
                    </a:xfrm>
                    <a:prstGeom prst="rect">
                      <a:avLst/>
                    </a:prstGeom>
                    <a:noFill/>
                    <a:ln>
                      <a:noFill/>
                    </a:ln>
                  </pic:spPr>
                </pic:pic>
              </a:graphicData>
            </a:graphic>
          </wp:inline>
        </w:drawing>
      </w:r>
    </w:p>
    <w:p w14:paraId="08D213F1" w14:textId="708A8980" w:rsidR="00B76877" w:rsidRPr="00DE42B9" w:rsidRDefault="00B76877" w:rsidP="00B76877">
      <w:pPr>
        <w:pStyle w:val="Caption"/>
        <w:jc w:val="both"/>
        <w:rPr>
          <w:rFonts w:ascii="Times New Roman" w:hAnsi="Times New Roman" w:cs="Times New Roman"/>
          <w:i w:val="0"/>
          <w:iCs w:val="0"/>
          <w:color w:val="000000" w:themeColor="text1"/>
          <w:sz w:val="20"/>
          <w:szCs w:val="20"/>
        </w:rPr>
      </w:pPr>
      <w:r w:rsidRPr="00DE42B9">
        <w:rPr>
          <w:rFonts w:ascii="Times New Roman" w:hAnsi="Times New Roman" w:cs="Times New Roman"/>
          <w:b/>
          <w:bCs/>
          <w:i w:val="0"/>
          <w:iCs w:val="0"/>
          <w:color w:val="000000" w:themeColor="text1"/>
          <w:sz w:val="20"/>
          <w:szCs w:val="20"/>
        </w:rPr>
        <w:t>Dissolved oxygen in the culture medium and its correlation with the change in DIC and photosynthetic parameters.</w:t>
      </w:r>
      <w:r w:rsidRPr="00DE42B9">
        <w:rPr>
          <w:rFonts w:ascii="Times New Roman" w:hAnsi="Times New Roman" w:cs="Times New Roman"/>
          <w:i w:val="0"/>
          <w:iCs w:val="0"/>
          <w:color w:val="000000" w:themeColor="text1"/>
          <w:sz w:val="20"/>
          <w:szCs w:val="20"/>
        </w:rPr>
        <w:t xml:space="preserve"> In photosynthetic organisms oxygen is both produced by photosynthesis and consumed by respiration. The oxygen input from the bubbling system being constant, the dissolved oxygen in the medium depends from the combined activity of respiration and photosynthetic. (A) Change in average daily dissolved oxygen during the time course of the experiment. The average value was calculated during 24h and omitting the period of dark exploited to relax the reaction centers of the photosystems. (B) Linear correlation between dissolved oxygen and change in DIC. </w:t>
      </w:r>
    </w:p>
    <w:p w14:paraId="54AD380B" w14:textId="503741E1" w:rsidR="00454F6B" w:rsidRPr="001075EB" w:rsidRDefault="00454F6B" w:rsidP="00454F6B">
      <w:pPr>
        <w:pStyle w:val="Caption"/>
        <w:rPr>
          <w:rFonts w:ascii="Times New Roman" w:hAnsi="Times New Roman" w:cs="Times New Roman"/>
          <w:b/>
          <w:bCs/>
          <w:i w:val="0"/>
          <w:iCs w:val="0"/>
          <w:color w:val="000000" w:themeColor="text1"/>
          <w:sz w:val="24"/>
          <w:szCs w:val="24"/>
        </w:rPr>
      </w:pPr>
    </w:p>
    <w:p w14:paraId="144BF0F0" w14:textId="77777777" w:rsidR="00454F6B" w:rsidRPr="001075EB" w:rsidRDefault="00454F6B" w:rsidP="00454F6B">
      <w:pPr>
        <w:spacing w:line="240" w:lineRule="auto"/>
        <w:rPr>
          <w:rFonts w:ascii="Times New Roman" w:hAnsi="Times New Roman" w:cs="Times New Roman"/>
          <w:b/>
          <w:bCs/>
          <w:color w:val="000000" w:themeColor="text1"/>
          <w:sz w:val="24"/>
          <w:szCs w:val="24"/>
        </w:rPr>
      </w:pPr>
      <w:r w:rsidRPr="001075EB">
        <w:rPr>
          <w:rFonts w:ascii="Times New Roman" w:hAnsi="Times New Roman" w:cs="Times New Roman"/>
          <w:b/>
          <w:bCs/>
          <w:color w:val="000000" w:themeColor="text1"/>
          <w:sz w:val="24"/>
          <w:szCs w:val="24"/>
        </w:rPr>
        <w:br w:type="page"/>
      </w:r>
    </w:p>
    <w:p w14:paraId="7ECBBE23" w14:textId="21597BC8" w:rsidR="00B43AB4" w:rsidRPr="001075EB" w:rsidRDefault="00B43AB4" w:rsidP="0011176D">
      <w:pPr>
        <w:keepNext/>
        <w:spacing w:line="480" w:lineRule="auto"/>
        <w:jc w:val="both"/>
        <w:rPr>
          <w:rFonts w:ascii="Times New Roman" w:hAnsi="Times New Roman" w:cs="Times New Roman"/>
          <w:color w:val="000000" w:themeColor="text1"/>
          <w:sz w:val="24"/>
          <w:szCs w:val="24"/>
        </w:rPr>
        <w:sectPr w:rsidR="00B43AB4" w:rsidRPr="001075EB" w:rsidSect="004344A4">
          <w:pgSz w:w="11906" w:h="16838" w:code="9"/>
          <w:pgMar w:top="1440" w:right="1440" w:bottom="1440" w:left="1440" w:header="720" w:footer="720" w:gutter="0"/>
          <w:cols w:space="720"/>
          <w:vAlign w:val="center"/>
          <w:docGrid w:linePitch="299"/>
        </w:sectPr>
      </w:pPr>
    </w:p>
    <w:p w14:paraId="0D309AD7" w14:textId="454F8F1C" w:rsidR="0011176D" w:rsidRPr="001075EB" w:rsidRDefault="0011176D" w:rsidP="0011176D">
      <w:pPr>
        <w:pStyle w:val="Heading3"/>
        <w:spacing w:line="480" w:lineRule="auto"/>
        <w:rPr>
          <w:rFonts w:ascii="Times New Roman" w:hAnsi="Times New Roman" w:cs="Times New Roman"/>
          <w:b/>
          <w:bCs/>
          <w:color w:val="000000" w:themeColor="text1"/>
          <w:sz w:val="24"/>
          <w:szCs w:val="24"/>
        </w:rPr>
      </w:pPr>
      <w:r w:rsidRPr="001075EB">
        <w:rPr>
          <w:rFonts w:ascii="Times New Roman" w:hAnsi="Times New Roman" w:cs="Times New Roman"/>
          <w:b/>
          <w:bCs/>
          <w:color w:val="000000" w:themeColor="text1"/>
          <w:sz w:val="24"/>
          <w:szCs w:val="24"/>
        </w:rPr>
        <w:lastRenderedPageBreak/>
        <w:t>Supplementary Fig</w:t>
      </w:r>
      <w:r w:rsidR="00B62555" w:rsidRPr="001075EB">
        <w:rPr>
          <w:rFonts w:ascii="Times New Roman" w:hAnsi="Times New Roman" w:cs="Times New Roman"/>
          <w:b/>
          <w:bCs/>
          <w:color w:val="000000" w:themeColor="text1"/>
          <w:sz w:val="24"/>
          <w:szCs w:val="24"/>
        </w:rPr>
        <w:t>ure</w:t>
      </w:r>
      <w:r w:rsidRPr="001075EB">
        <w:rPr>
          <w:rFonts w:ascii="Times New Roman" w:hAnsi="Times New Roman" w:cs="Times New Roman"/>
          <w:b/>
          <w:bCs/>
          <w:color w:val="000000" w:themeColor="text1"/>
          <w:sz w:val="24"/>
          <w:szCs w:val="24"/>
        </w:rPr>
        <w:t xml:space="preserve"> S</w:t>
      </w:r>
      <w:r w:rsidR="00B76877" w:rsidRPr="001075EB">
        <w:rPr>
          <w:rFonts w:ascii="Times New Roman" w:hAnsi="Times New Roman" w:cs="Times New Roman"/>
          <w:b/>
          <w:bCs/>
          <w:color w:val="000000" w:themeColor="text1"/>
          <w:sz w:val="24"/>
          <w:szCs w:val="24"/>
        </w:rPr>
        <w:t>5</w:t>
      </w:r>
    </w:p>
    <w:p w14:paraId="43B36CC7" w14:textId="1AA1B4B6" w:rsidR="007E4FE8" w:rsidRPr="001075EB" w:rsidRDefault="008E40FB" w:rsidP="007E4FE8">
      <w:pPr>
        <w:keepNext/>
        <w:spacing w:line="480" w:lineRule="auto"/>
        <w:jc w:val="both"/>
        <w:rPr>
          <w:rFonts w:ascii="Times New Roman" w:hAnsi="Times New Roman" w:cs="Times New Roman"/>
          <w:color w:val="000000" w:themeColor="text1"/>
          <w:sz w:val="24"/>
          <w:szCs w:val="24"/>
        </w:rPr>
      </w:pPr>
      <w:r w:rsidRPr="001075EB">
        <w:rPr>
          <w:rFonts w:ascii="Times New Roman" w:hAnsi="Times New Roman" w:cs="Times New Roman"/>
          <w:noProof/>
          <w:color w:val="000000" w:themeColor="text1"/>
          <w:sz w:val="24"/>
          <w:szCs w:val="24"/>
          <w:lang w:val="fr-FR" w:eastAsia="fr-FR"/>
        </w:rPr>
        <w:drawing>
          <wp:inline distT="0" distB="0" distL="0" distR="0" wp14:anchorId="550D9004" wp14:editId="46F9DF09">
            <wp:extent cx="5943600" cy="4301749"/>
            <wp:effectExtent l="0" t="0" r="0" b="3810"/>
            <wp:docPr id="1" name="Picture 1" descr="C:\Users\Benoit Schoefs\AppData\Local\Temp\DIC-DIO-Pho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oit Schoefs\AppData\Local\Temp\DIC-DIO-Photo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301749"/>
                    </a:xfrm>
                    <a:prstGeom prst="rect">
                      <a:avLst/>
                    </a:prstGeom>
                    <a:noFill/>
                    <a:ln>
                      <a:noFill/>
                    </a:ln>
                  </pic:spPr>
                </pic:pic>
              </a:graphicData>
            </a:graphic>
          </wp:inline>
        </w:drawing>
      </w:r>
    </w:p>
    <w:p w14:paraId="73255273" w14:textId="227E80BD" w:rsidR="00CE6761" w:rsidRPr="00DE42B9" w:rsidRDefault="007E4FE8" w:rsidP="001974C5">
      <w:pPr>
        <w:pStyle w:val="Caption"/>
        <w:jc w:val="both"/>
        <w:rPr>
          <w:rFonts w:ascii="Times New Roman" w:hAnsi="Times New Roman" w:cs="Times New Roman"/>
          <w:i w:val="0"/>
          <w:iCs w:val="0"/>
          <w:color w:val="000000" w:themeColor="text1"/>
          <w:sz w:val="20"/>
          <w:szCs w:val="20"/>
        </w:rPr>
      </w:pPr>
      <w:r w:rsidRPr="00DE42B9">
        <w:rPr>
          <w:rFonts w:ascii="Times New Roman" w:hAnsi="Times New Roman" w:cs="Times New Roman"/>
          <w:b/>
          <w:bCs/>
          <w:i w:val="0"/>
          <w:iCs w:val="0"/>
          <w:color w:val="000000" w:themeColor="text1"/>
          <w:sz w:val="20"/>
          <w:szCs w:val="20"/>
        </w:rPr>
        <w:t xml:space="preserve">Correlation </w:t>
      </w:r>
      <w:r w:rsidR="00840FFA" w:rsidRPr="00DE42B9">
        <w:rPr>
          <w:rFonts w:ascii="Times New Roman" w:hAnsi="Times New Roman" w:cs="Times New Roman"/>
          <w:b/>
          <w:bCs/>
          <w:i w:val="0"/>
          <w:iCs w:val="0"/>
          <w:color w:val="000000" w:themeColor="text1"/>
          <w:sz w:val="20"/>
          <w:szCs w:val="20"/>
        </w:rPr>
        <w:t>between</w:t>
      </w:r>
      <w:r w:rsidRPr="00DE42B9">
        <w:rPr>
          <w:rFonts w:ascii="Times New Roman" w:hAnsi="Times New Roman" w:cs="Times New Roman"/>
          <w:b/>
          <w:bCs/>
          <w:i w:val="0"/>
          <w:iCs w:val="0"/>
          <w:color w:val="000000" w:themeColor="text1"/>
          <w:sz w:val="20"/>
          <w:szCs w:val="20"/>
        </w:rPr>
        <w:t xml:space="preserve"> DIC</w:t>
      </w:r>
      <w:r w:rsidR="00840FFA" w:rsidRPr="00DE42B9">
        <w:rPr>
          <w:rFonts w:ascii="Times New Roman" w:hAnsi="Times New Roman" w:cs="Times New Roman"/>
          <w:b/>
          <w:bCs/>
          <w:i w:val="0"/>
          <w:iCs w:val="0"/>
          <w:color w:val="000000" w:themeColor="text1"/>
          <w:sz w:val="20"/>
          <w:szCs w:val="20"/>
        </w:rPr>
        <w:t>, DIO and</w:t>
      </w:r>
      <w:r w:rsidRPr="00DE42B9">
        <w:rPr>
          <w:rFonts w:ascii="Times New Roman" w:hAnsi="Times New Roman" w:cs="Times New Roman"/>
          <w:b/>
          <w:bCs/>
          <w:i w:val="0"/>
          <w:iCs w:val="0"/>
          <w:color w:val="000000" w:themeColor="text1"/>
          <w:sz w:val="20"/>
          <w:szCs w:val="20"/>
        </w:rPr>
        <w:t xml:space="preserve"> two photosynthetic activity parameters.</w:t>
      </w:r>
      <w:r w:rsidRPr="00DE42B9">
        <w:rPr>
          <w:rFonts w:ascii="Times New Roman" w:hAnsi="Times New Roman" w:cs="Times New Roman"/>
          <w:i w:val="0"/>
          <w:iCs w:val="0"/>
          <w:color w:val="000000" w:themeColor="text1"/>
          <w:sz w:val="20"/>
          <w:szCs w:val="20"/>
        </w:rPr>
        <w:t xml:space="preserve"> </w:t>
      </w:r>
      <w:r w:rsidR="0011176D" w:rsidRPr="00DE42B9">
        <w:rPr>
          <w:rFonts w:ascii="Times New Roman" w:hAnsi="Times New Roman" w:cs="Times New Roman"/>
          <w:i w:val="0"/>
          <w:iCs w:val="0"/>
          <w:color w:val="000000" w:themeColor="text1"/>
          <w:sz w:val="20"/>
          <w:szCs w:val="20"/>
        </w:rPr>
        <w:t xml:space="preserve">Photosynthetic organisms, including </w:t>
      </w:r>
      <w:r w:rsidR="0011176D" w:rsidRPr="00DE42B9">
        <w:rPr>
          <w:rFonts w:ascii="Times New Roman" w:hAnsi="Times New Roman" w:cs="Times New Roman"/>
          <w:iCs w:val="0"/>
          <w:color w:val="000000" w:themeColor="text1"/>
          <w:sz w:val="20"/>
          <w:szCs w:val="20"/>
        </w:rPr>
        <w:t>P. tricornutum</w:t>
      </w:r>
      <w:r w:rsidR="0011176D" w:rsidRPr="00DE42B9">
        <w:rPr>
          <w:rFonts w:ascii="Times New Roman" w:hAnsi="Times New Roman" w:cs="Times New Roman"/>
          <w:i w:val="0"/>
          <w:iCs w:val="0"/>
          <w:color w:val="000000" w:themeColor="text1"/>
          <w:sz w:val="20"/>
          <w:szCs w:val="20"/>
        </w:rPr>
        <w:t>, integrate inorganic carbon into organic molecules to the process of the photosynthesis. Changes in DIC</w:t>
      </w:r>
      <w:r w:rsidR="00840FFA" w:rsidRPr="00DE42B9">
        <w:rPr>
          <w:rFonts w:ascii="Times New Roman" w:hAnsi="Times New Roman" w:cs="Times New Roman"/>
          <w:i w:val="0"/>
          <w:iCs w:val="0"/>
          <w:color w:val="000000" w:themeColor="text1"/>
          <w:sz w:val="20"/>
          <w:szCs w:val="20"/>
        </w:rPr>
        <w:t xml:space="preserve"> and DIO</w:t>
      </w:r>
      <w:r w:rsidR="0011176D" w:rsidRPr="00DE42B9">
        <w:rPr>
          <w:rFonts w:ascii="Times New Roman" w:hAnsi="Times New Roman" w:cs="Times New Roman"/>
          <w:i w:val="0"/>
          <w:iCs w:val="0"/>
          <w:color w:val="000000" w:themeColor="text1"/>
          <w:sz w:val="20"/>
          <w:szCs w:val="20"/>
        </w:rPr>
        <w:t xml:space="preserve"> may thus be correlated with the photosynthetic activity. To verify this statement linear correlations were performed between DIC</w:t>
      </w:r>
      <w:r w:rsidR="00840FFA" w:rsidRPr="00DE42B9">
        <w:rPr>
          <w:rFonts w:ascii="Times New Roman" w:hAnsi="Times New Roman" w:cs="Times New Roman"/>
          <w:i w:val="0"/>
          <w:iCs w:val="0"/>
          <w:color w:val="000000" w:themeColor="text1"/>
          <w:sz w:val="20"/>
          <w:szCs w:val="20"/>
        </w:rPr>
        <w:t xml:space="preserve"> </w:t>
      </w:r>
      <w:r w:rsidR="0011176D" w:rsidRPr="00DE42B9">
        <w:rPr>
          <w:rFonts w:ascii="Times New Roman" w:hAnsi="Times New Roman" w:cs="Times New Roman"/>
          <w:i w:val="0"/>
          <w:iCs w:val="0"/>
          <w:color w:val="000000" w:themeColor="text1"/>
          <w:sz w:val="20"/>
          <w:szCs w:val="20"/>
        </w:rPr>
        <w:t xml:space="preserve">and two different photosynthetic parameters. The first one is the maximum photochemical efficiency of PSII in LAS which serve as proxy to evaluate how much energy is directed trough the photochemistry and thus carbon fixation. The second one is the relative photosynthetic electron transport rate which gives information on the activity of the photosynthetic electron transport chain which generates energy exchange molecules later used by the CBB cycle. </w:t>
      </w:r>
      <w:r w:rsidRPr="00DE42B9">
        <w:rPr>
          <w:rFonts w:ascii="Times New Roman" w:hAnsi="Times New Roman" w:cs="Times New Roman"/>
          <w:i w:val="0"/>
          <w:iCs w:val="0"/>
          <w:color w:val="000000" w:themeColor="text1"/>
          <w:sz w:val="20"/>
          <w:szCs w:val="20"/>
        </w:rPr>
        <w:t xml:space="preserve">(A) </w:t>
      </w:r>
      <w:r w:rsidR="002728C5" w:rsidRPr="00DE42B9">
        <w:rPr>
          <w:rFonts w:ascii="Times New Roman" w:hAnsi="Times New Roman" w:cs="Times New Roman"/>
          <w:i w:val="0"/>
          <w:iCs w:val="0"/>
          <w:color w:val="000000" w:themeColor="text1"/>
          <w:sz w:val="20"/>
          <w:szCs w:val="20"/>
        </w:rPr>
        <w:t>C</w:t>
      </w:r>
      <w:r w:rsidRPr="00DE42B9">
        <w:rPr>
          <w:rFonts w:ascii="Times New Roman" w:hAnsi="Times New Roman" w:cs="Times New Roman"/>
          <w:i w:val="0"/>
          <w:iCs w:val="0"/>
          <w:color w:val="000000" w:themeColor="text1"/>
          <w:sz w:val="20"/>
          <w:szCs w:val="20"/>
        </w:rPr>
        <w:t>orrelation between ΦII and the change in DIC. (B)</w:t>
      </w:r>
      <w:r w:rsidR="002728C5" w:rsidRPr="00DE42B9">
        <w:rPr>
          <w:rFonts w:ascii="Times New Roman" w:hAnsi="Times New Roman" w:cs="Times New Roman"/>
          <w:i w:val="0"/>
          <w:iCs w:val="0"/>
          <w:color w:val="000000" w:themeColor="text1"/>
          <w:sz w:val="20"/>
          <w:szCs w:val="20"/>
        </w:rPr>
        <w:t xml:space="preserve"> C</w:t>
      </w:r>
      <w:r w:rsidRPr="00DE42B9">
        <w:rPr>
          <w:rFonts w:ascii="Times New Roman" w:hAnsi="Times New Roman" w:cs="Times New Roman"/>
          <w:i w:val="0"/>
          <w:iCs w:val="0"/>
          <w:color w:val="000000" w:themeColor="text1"/>
          <w:sz w:val="20"/>
          <w:szCs w:val="20"/>
        </w:rPr>
        <w:t xml:space="preserve">orrelation between </w:t>
      </w:r>
      <w:proofErr w:type="spellStart"/>
      <w:r w:rsidRPr="00DE42B9">
        <w:rPr>
          <w:rFonts w:ascii="Times New Roman" w:hAnsi="Times New Roman" w:cs="Times New Roman"/>
          <w:i w:val="0"/>
          <w:iCs w:val="0"/>
          <w:color w:val="000000" w:themeColor="text1"/>
          <w:sz w:val="20"/>
          <w:szCs w:val="20"/>
        </w:rPr>
        <w:t>rETR</w:t>
      </w:r>
      <w:proofErr w:type="spellEnd"/>
      <w:r w:rsidRPr="00DE42B9">
        <w:rPr>
          <w:rFonts w:ascii="Times New Roman" w:hAnsi="Times New Roman" w:cs="Times New Roman"/>
          <w:i w:val="0"/>
          <w:iCs w:val="0"/>
          <w:color w:val="000000" w:themeColor="text1"/>
          <w:sz w:val="20"/>
          <w:szCs w:val="20"/>
        </w:rPr>
        <w:t xml:space="preserve"> and the change in DIC.</w:t>
      </w:r>
      <w:r w:rsidR="00B76877" w:rsidRPr="00DE42B9">
        <w:rPr>
          <w:rFonts w:ascii="Times New Roman" w:hAnsi="Times New Roman" w:cs="Times New Roman"/>
          <w:i w:val="0"/>
          <w:iCs w:val="0"/>
          <w:color w:val="000000" w:themeColor="text1"/>
          <w:sz w:val="20"/>
          <w:szCs w:val="20"/>
        </w:rPr>
        <w:t xml:space="preserve"> (C) Linear correlation between dissolved oxygen and average daily </w:t>
      </w:r>
      <w:proofErr w:type="spellStart"/>
      <w:r w:rsidR="00B76877" w:rsidRPr="00DE42B9">
        <w:rPr>
          <w:rFonts w:ascii="Times New Roman" w:hAnsi="Times New Roman" w:cs="Times New Roman"/>
          <w:i w:val="0"/>
          <w:iCs w:val="0"/>
          <w:color w:val="000000" w:themeColor="text1"/>
          <w:sz w:val="20"/>
          <w:szCs w:val="20"/>
        </w:rPr>
        <w:t>rETR</w:t>
      </w:r>
      <w:proofErr w:type="spellEnd"/>
      <w:r w:rsidR="00B76877" w:rsidRPr="00DE42B9">
        <w:rPr>
          <w:rFonts w:ascii="Times New Roman" w:hAnsi="Times New Roman" w:cs="Times New Roman"/>
          <w:i w:val="0"/>
          <w:iCs w:val="0"/>
          <w:color w:val="000000" w:themeColor="text1"/>
          <w:sz w:val="20"/>
          <w:szCs w:val="20"/>
        </w:rPr>
        <w:t>. (D) Linear correlation between dissolved oxygen</w:t>
      </w:r>
      <w:r w:rsidR="00C7390D" w:rsidRPr="00DE42B9">
        <w:rPr>
          <w:rFonts w:ascii="Times New Roman" w:hAnsi="Times New Roman" w:cs="Times New Roman"/>
          <w:i w:val="0"/>
          <w:iCs w:val="0"/>
          <w:color w:val="000000" w:themeColor="text1"/>
          <w:sz w:val="20"/>
          <w:szCs w:val="20"/>
        </w:rPr>
        <w:t xml:space="preserve"> and </w:t>
      </w:r>
      <w:proofErr w:type="spellStart"/>
      <w:r w:rsidR="00C7390D" w:rsidRPr="00DE42B9">
        <w:rPr>
          <w:rFonts w:ascii="Times New Roman" w:hAnsi="Times New Roman" w:cs="Times New Roman"/>
          <w:i w:val="0"/>
          <w:iCs w:val="0"/>
          <w:color w:val="000000" w:themeColor="text1"/>
          <w:sz w:val="20"/>
          <w:szCs w:val="20"/>
        </w:rPr>
        <w:t>rETR</w:t>
      </w:r>
      <w:proofErr w:type="spellEnd"/>
      <w:r w:rsidR="00C7390D" w:rsidRPr="00DE42B9">
        <w:rPr>
          <w:rFonts w:ascii="Times New Roman" w:hAnsi="Times New Roman" w:cs="Times New Roman"/>
          <w:i w:val="0"/>
          <w:iCs w:val="0"/>
          <w:color w:val="000000" w:themeColor="text1"/>
          <w:sz w:val="20"/>
          <w:szCs w:val="20"/>
        </w:rPr>
        <w:t>.</w:t>
      </w:r>
    </w:p>
    <w:p w14:paraId="409DBAC2" w14:textId="7E128701" w:rsidR="00C7390D" w:rsidRPr="001075EB" w:rsidRDefault="00C7390D" w:rsidP="00C7390D">
      <w:pPr>
        <w:rPr>
          <w:rFonts w:ascii="Times New Roman" w:hAnsi="Times New Roman" w:cs="Times New Roman"/>
          <w:sz w:val="24"/>
          <w:szCs w:val="24"/>
        </w:rPr>
      </w:pPr>
    </w:p>
    <w:p w14:paraId="27D22C19" w14:textId="77777777" w:rsidR="00C7390D" w:rsidRPr="001075EB" w:rsidRDefault="00C7390D" w:rsidP="00C7390D">
      <w:pPr>
        <w:rPr>
          <w:rFonts w:ascii="Times New Roman" w:hAnsi="Times New Roman" w:cs="Times New Roman"/>
          <w:sz w:val="24"/>
          <w:szCs w:val="24"/>
        </w:rPr>
        <w:sectPr w:rsidR="00C7390D" w:rsidRPr="001075EB" w:rsidSect="004344A4">
          <w:pgSz w:w="11906" w:h="16838" w:code="9"/>
          <w:pgMar w:top="1440" w:right="1440" w:bottom="1440" w:left="1440" w:header="720" w:footer="720" w:gutter="0"/>
          <w:cols w:space="720"/>
          <w:vAlign w:val="center"/>
          <w:docGrid w:linePitch="299"/>
        </w:sectPr>
      </w:pPr>
    </w:p>
    <w:p w14:paraId="02CFA648" w14:textId="17780D0A" w:rsidR="0011176D" w:rsidRPr="001075EB" w:rsidRDefault="0011176D" w:rsidP="0011176D">
      <w:pPr>
        <w:pStyle w:val="Heading3"/>
        <w:spacing w:line="480" w:lineRule="auto"/>
        <w:rPr>
          <w:rFonts w:ascii="Times New Roman" w:hAnsi="Times New Roman" w:cs="Times New Roman"/>
          <w:b/>
          <w:bCs/>
          <w:color w:val="000000" w:themeColor="text1"/>
          <w:sz w:val="24"/>
          <w:szCs w:val="24"/>
        </w:rPr>
      </w:pPr>
      <w:r w:rsidRPr="001075EB">
        <w:rPr>
          <w:rFonts w:ascii="Times New Roman" w:hAnsi="Times New Roman" w:cs="Times New Roman"/>
          <w:b/>
          <w:bCs/>
          <w:color w:val="000000" w:themeColor="text1"/>
          <w:sz w:val="24"/>
          <w:szCs w:val="24"/>
        </w:rPr>
        <w:lastRenderedPageBreak/>
        <w:t>Supplementary Fig</w:t>
      </w:r>
      <w:r w:rsidR="00B62555" w:rsidRPr="001075EB">
        <w:rPr>
          <w:rFonts w:ascii="Times New Roman" w:hAnsi="Times New Roman" w:cs="Times New Roman"/>
          <w:b/>
          <w:bCs/>
          <w:color w:val="000000" w:themeColor="text1"/>
          <w:sz w:val="24"/>
          <w:szCs w:val="24"/>
        </w:rPr>
        <w:t>ure</w:t>
      </w:r>
      <w:r w:rsidRPr="001075EB">
        <w:rPr>
          <w:rFonts w:ascii="Times New Roman" w:hAnsi="Times New Roman" w:cs="Times New Roman"/>
          <w:b/>
          <w:bCs/>
          <w:color w:val="000000" w:themeColor="text1"/>
          <w:sz w:val="24"/>
          <w:szCs w:val="24"/>
        </w:rPr>
        <w:t xml:space="preserve"> S</w:t>
      </w:r>
      <w:r w:rsidR="001974C5" w:rsidRPr="001075EB">
        <w:rPr>
          <w:rFonts w:ascii="Times New Roman" w:hAnsi="Times New Roman" w:cs="Times New Roman"/>
          <w:b/>
          <w:bCs/>
          <w:color w:val="000000" w:themeColor="text1"/>
          <w:sz w:val="24"/>
          <w:szCs w:val="24"/>
        </w:rPr>
        <w:t>6</w:t>
      </w:r>
    </w:p>
    <w:p w14:paraId="764301EF" w14:textId="56050DB5" w:rsidR="007E4FE8" w:rsidRPr="001075EB" w:rsidRDefault="009A78AC" w:rsidP="007E4FE8">
      <w:pPr>
        <w:keepNext/>
        <w:spacing w:line="480" w:lineRule="auto"/>
        <w:jc w:val="both"/>
        <w:rPr>
          <w:rFonts w:ascii="Times New Roman" w:hAnsi="Times New Roman" w:cs="Times New Roman"/>
          <w:color w:val="000000" w:themeColor="text1"/>
          <w:sz w:val="24"/>
          <w:szCs w:val="24"/>
        </w:rPr>
      </w:pPr>
      <w:r w:rsidRPr="001075EB">
        <w:rPr>
          <w:rFonts w:ascii="Times New Roman" w:hAnsi="Times New Roman" w:cs="Times New Roman"/>
          <w:noProof/>
          <w:color w:val="000000" w:themeColor="text1"/>
          <w:sz w:val="24"/>
          <w:szCs w:val="24"/>
          <w:lang w:val="fr-FR" w:eastAsia="fr-FR"/>
        </w:rPr>
        <w:drawing>
          <wp:inline distT="0" distB="0" distL="0" distR="0" wp14:anchorId="5381A364" wp14:editId="229F5823">
            <wp:extent cx="5943600" cy="42989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298950"/>
                    </a:xfrm>
                    <a:prstGeom prst="rect">
                      <a:avLst/>
                    </a:prstGeom>
                    <a:noFill/>
                    <a:ln>
                      <a:noFill/>
                    </a:ln>
                  </pic:spPr>
                </pic:pic>
              </a:graphicData>
            </a:graphic>
          </wp:inline>
        </w:drawing>
      </w:r>
    </w:p>
    <w:p w14:paraId="2A64D6E4" w14:textId="77777777" w:rsidR="001974C5" w:rsidRPr="00DE42B9" w:rsidRDefault="007E4FE8" w:rsidP="00FB1F98">
      <w:pPr>
        <w:pStyle w:val="Caption"/>
        <w:jc w:val="both"/>
        <w:rPr>
          <w:rFonts w:ascii="Times New Roman" w:hAnsi="Times New Roman" w:cs="Times New Roman"/>
          <w:i w:val="0"/>
          <w:iCs w:val="0"/>
          <w:color w:val="000000" w:themeColor="text1"/>
          <w:sz w:val="20"/>
          <w:szCs w:val="20"/>
        </w:rPr>
      </w:pPr>
      <w:r w:rsidRPr="00DE42B9">
        <w:rPr>
          <w:rFonts w:ascii="Times New Roman" w:hAnsi="Times New Roman" w:cs="Times New Roman"/>
          <w:b/>
          <w:bCs/>
          <w:i w:val="0"/>
          <w:iCs w:val="0"/>
          <w:color w:val="000000" w:themeColor="text1"/>
          <w:sz w:val="20"/>
          <w:szCs w:val="20"/>
        </w:rPr>
        <w:t>Cell response to a small pulse of inorganic nitrogen.</w:t>
      </w:r>
      <w:r w:rsidR="0011176D" w:rsidRPr="00DE42B9">
        <w:rPr>
          <w:rFonts w:ascii="Times New Roman" w:hAnsi="Times New Roman" w:cs="Times New Roman"/>
          <w:color w:val="000000" w:themeColor="text1"/>
          <w:sz w:val="20"/>
          <w:szCs w:val="20"/>
        </w:rPr>
        <w:t xml:space="preserve"> </w:t>
      </w:r>
      <w:r w:rsidR="0011176D" w:rsidRPr="00DE42B9">
        <w:rPr>
          <w:rFonts w:ascii="Times New Roman" w:hAnsi="Times New Roman" w:cs="Times New Roman"/>
          <w:i w:val="0"/>
          <w:iCs w:val="0"/>
          <w:color w:val="000000" w:themeColor="text1"/>
          <w:sz w:val="20"/>
          <w:szCs w:val="20"/>
        </w:rPr>
        <w:t>After 31 days of nitrogen limited growing conditions, an amount of nitrate was introduced in the photobioreactor in order to increase the inorganic nitrogen availability to 0.37 mM. The cells directly reacted to the increased nitrogen availability The biochemical a physiological response have been recorded and results are reported in the following figure.</w:t>
      </w:r>
      <w:r w:rsidRPr="00DE42B9">
        <w:rPr>
          <w:rFonts w:ascii="Times New Roman" w:hAnsi="Times New Roman" w:cs="Times New Roman"/>
          <w:i w:val="0"/>
          <w:iCs w:val="0"/>
          <w:color w:val="000000" w:themeColor="text1"/>
          <w:sz w:val="20"/>
          <w:szCs w:val="20"/>
        </w:rPr>
        <w:t xml:space="preserve"> </w:t>
      </w:r>
      <w:r w:rsidR="0011176D" w:rsidRPr="00DE42B9">
        <w:rPr>
          <w:rFonts w:ascii="Times New Roman" w:hAnsi="Times New Roman" w:cs="Times New Roman"/>
          <w:i w:val="0"/>
          <w:iCs w:val="0"/>
          <w:color w:val="000000" w:themeColor="text1"/>
          <w:sz w:val="20"/>
          <w:szCs w:val="20"/>
        </w:rPr>
        <w:t>(</w:t>
      </w:r>
      <w:r w:rsidRPr="00DE42B9">
        <w:rPr>
          <w:rFonts w:ascii="Times New Roman" w:hAnsi="Times New Roman" w:cs="Times New Roman"/>
          <w:i w:val="0"/>
          <w:iCs w:val="0"/>
          <w:color w:val="000000" w:themeColor="text1"/>
          <w:sz w:val="20"/>
          <w:szCs w:val="20"/>
        </w:rPr>
        <w:t>A</w:t>
      </w:r>
      <w:r w:rsidR="0011176D" w:rsidRPr="00DE42B9">
        <w:rPr>
          <w:rFonts w:ascii="Times New Roman" w:hAnsi="Times New Roman" w:cs="Times New Roman"/>
          <w:i w:val="0"/>
          <w:iCs w:val="0"/>
          <w:color w:val="000000" w:themeColor="text1"/>
          <w:sz w:val="20"/>
          <w:szCs w:val="20"/>
        </w:rPr>
        <w:t>)</w:t>
      </w:r>
      <w:r w:rsidRPr="00DE42B9">
        <w:rPr>
          <w:rFonts w:ascii="Times New Roman" w:hAnsi="Times New Roman" w:cs="Times New Roman"/>
          <w:i w:val="0"/>
          <w:iCs w:val="0"/>
          <w:color w:val="000000" w:themeColor="text1"/>
          <w:sz w:val="20"/>
          <w:szCs w:val="20"/>
        </w:rPr>
        <w:t xml:space="preserve"> Cell division rate response to the nitrogen pulse. </w:t>
      </w:r>
      <w:r w:rsidR="0011176D" w:rsidRPr="00DE42B9">
        <w:rPr>
          <w:rFonts w:ascii="Times New Roman" w:hAnsi="Times New Roman" w:cs="Times New Roman"/>
          <w:i w:val="0"/>
          <w:iCs w:val="0"/>
          <w:color w:val="000000" w:themeColor="text1"/>
          <w:sz w:val="20"/>
          <w:szCs w:val="20"/>
        </w:rPr>
        <w:t>(</w:t>
      </w:r>
      <w:r w:rsidRPr="00DE42B9">
        <w:rPr>
          <w:rFonts w:ascii="Times New Roman" w:hAnsi="Times New Roman" w:cs="Times New Roman"/>
          <w:i w:val="0"/>
          <w:iCs w:val="0"/>
          <w:color w:val="000000" w:themeColor="text1"/>
          <w:sz w:val="20"/>
          <w:szCs w:val="20"/>
        </w:rPr>
        <w:t>B</w:t>
      </w:r>
      <w:r w:rsidR="0011176D" w:rsidRPr="00DE42B9">
        <w:rPr>
          <w:rFonts w:ascii="Times New Roman" w:hAnsi="Times New Roman" w:cs="Times New Roman"/>
          <w:i w:val="0"/>
          <w:iCs w:val="0"/>
          <w:color w:val="000000" w:themeColor="text1"/>
          <w:sz w:val="20"/>
          <w:szCs w:val="20"/>
        </w:rPr>
        <w:t>)</w:t>
      </w:r>
      <w:r w:rsidRPr="00DE42B9">
        <w:rPr>
          <w:rFonts w:ascii="Times New Roman" w:hAnsi="Times New Roman" w:cs="Times New Roman"/>
          <w:i w:val="0"/>
          <w:iCs w:val="0"/>
          <w:color w:val="000000" w:themeColor="text1"/>
          <w:sz w:val="20"/>
          <w:szCs w:val="20"/>
        </w:rPr>
        <w:t xml:space="preserve"> Change in carbohydrate and neutral lipid cell content in response to the nitrogen pulse. </w:t>
      </w:r>
      <w:r w:rsidR="0011176D" w:rsidRPr="00DE42B9">
        <w:rPr>
          <w:rFonts w:ascii="Times New Roman" w:hAnsi="Times New Roman" w:cs="Times New Roman"/>
          <w:i w:val="0"/>
          <w:iCs w:val="0"/>
          <w:color w:val="000000" w:themeColor="text1"/>
          <w:sz w:val="20"/>
          <w:szCs w:val="20"/>
        </w:rPr>
        <w:t>(</w:t>
      </w:r>
      <w:r w:rsidRPr="00DE42B9">
        <w:rPr>
          <w:rFonts w:ascii="Times New Roman" w:hAnsi="Times New Roman" w:cs="Times New Roman"/>
          <w:i w:val="0"/>
          <w:iCs w:val="0"/>
          <w:color w:val="000000" w:themeColor="text1"/>
          <w:sz w:val="20"/>
          <w:szCs w:val="20"/>
        </w:rPr>
        <w:t>C</w:t>
      </w:r>
      <w:r w:rsidR="0011176D" w:rsidRPr="00DE42B9">
        <w:rPr>
          <w:rFonts w:ascii="Times New Roman" w:hAnsi="Times New Roman" w:cs="Times New Roman"/>
          <w:i w:val="0"/>
          <w:iCs w:val="0"/>
          <w:color w:val="000000" w:themeColor="text1"/>
          <w:sz w:val="20"/>
          <w:szCs w:val="20"/>
        </w:rPr>
        <w:t>)</w:t>
      </w:r>
      <w:r w:rsidRPr="00DE42B9">
        <w:rPr>
          <w:rFonts w:ascii="Times New Roman" w:hAnsi="Times New Roman" w:cs="Times New Roman"/>
          <w:i w:val="0"/>
          <w:iCs w:val="0"/>
          <w:color w:val="000000" w:themeColor="text1"/>
          <w:sz w:val="20"/>
          <w:szCs w:val="20"/>
        </w:rPr>
        <w:t xml:space="preserve"> Change in total pigment cell content in response to the nitrogen pulse. </w:t>
      </w:r>
      <w:r w:rsidR="00B43AB4" w:rsidRPr="00DE42B9">
        <w:rPr>
          <w:rFonts w:ascii="Times New Roman" w:hAnsi="Times New Roman" w:cs="Times New Roman"/>
          <w:i w:val="0"/>
          <w:iCs w:val="0"/>
          <w:color w:val="000000" w:themeColor="text1"/>
          <w:sz w:val="20"/>
          <w:szCs w:val="20"/>
        </w:rPr>
        <w:t>(</w:t>
      </w:r>
      <w:r w:rsidRPr="00DE42B9">
        <w:rPr>
          <w:rFonts w:ascii="Times New Roman" w:hAnsi="Times New Roman" w:cs="Times New Roman"/>
          <w:i w:val="0"/>
          <w:iCs w:val="0"/>
          <w:color w:val="000000" w:themeColor="text1"/>
          <w:sz w:val="20"/>
          <w:szCs w:val="20"/>
        </w:rPr>
        <w:t>D</w:t>
      </w:r>
      <w:r w:rsidR="00B43AB4" w:rsidRPr="00DE42B9">
        <w:rPr>
          <w:rFonts w:ascii="Times New Roman" w:hAnsi="Times New Roman" w:cs="Times New Roman"/>
          <w:i w:val="0"/>
          <w:iCs w:val="0"/>
          <w:color w:val="000000" w:themeColor="text1"/>
          <w:sz w:val="20"/>
          <w:szCs w:val="20"/>
        </w:rPr>
        <w:t>)</w:t>
      </w:r>
      <w:r w:rsidRPr="00DE42B9">
        <w:rPr>
          <w:rFonts w:ascii="Times New Roman" w:hAnsi="Times New Roman" w:cs="Times New Roman"/>
          <w:i w:val="0"/>
          <w:iCs w:val="0"/>
          <w:color w:val="000000" w:themeColor="text1"/>
          <w:sz w:val="20"/>
          <w:szCs w:val="20"/>
        </w:rPr>
        <w:t xml:space="preserve"> Change in soluble protein cell content in response to the nitrogen pulse.</w:t>
      </w:r>
    </w:p>
    <w:p w14:paraId="587BE8A2" w14:textId="77777777" w:rsidR="001974C5" w:rsidRPr="001075EB" w:rsidRDefault="001974C5" w:rsidP="001974C5">
      <w:pPr>
        <w:rPr>
          <w:rFonts w:ascii="Times New Roman" w:hAnsi="Times New Roman" w:cs="Times New Roman"/>
          <w:color w:val="000000" w:themeColor="text1"/>
          <w:sz w:val="24"/>
          <w:szCs w:val="24"/>
        </w:rPr>
        <w:sectPr w:rsidR="001974C5" w:rsidRPr="001075EB" w:rsidSect="004344A4">
          <w:pgSz w:w="11906" w:h="16838" w:code="9"/>
          <w:pgMar w:top="1440" w:right="1440" w:bottom="1440" w:left="1440" w:header="720" w:footer="720" w:gutter="0"/>
          <w:cols w:space="720"/>
          <w:vAlign w:val="center"/>
          <w:docGrid w:linePitch="299"/>
        </w:sectPr>
      </w:pPr>
    </w:p>
    <w:p w14:paraId="34D105A0" w14:textId="67C45E02" w:rsidR="001974C5" w:rsidRPr="001075EB" w:rsidRDefault="001974C5" w:rsidP="001974C5">
      <w:pPr>
        <w:pStyle w:val="Heading3"/>
        <w:spacing w:line="480" w:lineRule="auto"/>
        <w:rPr>
          <w:rFonts w:ascii="Times New Roman" w:hAnsi="Times New Roman" w:cs="Times New Roman"/>
          <w:b/>
          <w:bCs/>
          <w:color w:val="000000" w:themeColor="text1"/>
          <w:sz w:val="24"/>
          <w:szCs w:val="24"/>
        </w:rPr>
      </w:pPr>
      <w:r w:rsidRPr="001075EB">
        <w:rPr>
          <w:rFonts w:ascii="Times New Roman" w:hAnsi="Times New Roman" w:cs="Times New Roman"/>
          <w:b/>
          <w:bCs/>
          <w:color w:val="000000" w:themeColor="text1"/>
          <w:sz w:val="24"/>
          <w:szCs w:val="24"/>
        </w:rPr>
        <w:lastRenderedPageBreak/>
        <w:t>Supplementary Fig</w:t>
      </w:r>
      <w:r w:rsidR="00B62555" w:rsidRPr="001075EB">
        <w:rPr>
          <w:rFonts w:ascii="Times New Roman" w:hAnsi="Times New Roman" w:cs="Times New Roman"/>
          <w:b/>
          <w:bCs/>
          <w:color w:val="000000" w:themeColor="text1"/>
          <w:sz w:val="24"/>
          <w:szCs w:val="24"/>
        </w:rPr>
        <w:t>ure</w:t>
      </w:r>
      <w:r w:rsidRPr="001075EB">
        <w:rPr>
          <w:rFonts w:ascii="Times New Roman" w:hAnsi="Times New Roman" w:cs="Times New Roman"/>
          <w:b/>
          <w:bCs/>
          <w:color w:val="000000" w:themeColor="text1"/>
          <w:sz w:val="24"/>
          <w:szCs w:val="24"/>
        </w:rPr>
        <w:t xml:space="preserve"> S7</w:t>
      </w:r>
    </w:p>
    <w:p w14:paraId="51D19A19" w14:textId="77777777" w:rsidR="001974C5" w:rsidRPr="001075EB" w:rsidRDefault="001974C5" w:rsidP="001974C5">
      <w:pPr>
        <w:keepNext/>
        <w:spacing w:line="480" w:lineRule="auto"/>
        <w:rPr>
          <w:rFonts w:ascii="Times New Roman" w:hAnsi="Times New Roman" w:cs="Times New Roman"/>
          <w:color w:val="000000" w:themeColor="text1"/>
          <w:sz w:val="24"/>
          <w:szCs w:val="24"/>
        </w:rPr>
      </w:pPr>
      <w:r w:rsidRPr="001075EB">
        <w:rPr>
          <w:rFonts w:ascii="Times New Roman" w:hAnsi="Times New Roman" w:cs="Times New Roman"/>
          <w:noProof/>
          <w:color w:val="000000" w:themeColor="text1"/>
          <w:sz w:val="24"/>
          <w:szCs w:val="24"/>
          <w:lang w:val="fr-FR" w:eastAsia="fr-FR"/>
        </w:rPr>
        <w:drawing>
          <wp:inline distT="114300" distB="114300" distL="114300" distR="114300" wp14:anchorId="4BA073A9" wp14:editId="6581FF05">
            <wp:extent cx="5943600" cy="4953000"/>
            <wp:effectExtent l="0" t="0" r="9525"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943600" cy="4953000"/>
                    </a:xfrm>
                    <a:prstGeom prst="rect">
                      <a:avLst/>
                    </a:prstGeom>
                    <a:ln/>
                  </pic:spPr>
                </pic:pic>
              </a:graphicData>
            </a:graphic>
          </wp:inline>
        </w:drawing>
      </w:r>
    </w:p>
    <w:p w14:paraId="71119C27" w14:textId="77777777" w:rsidR="001974C5" w:rsidRPr="00DE42B9" w:rsidRDefault="001974C5" w:rsidP="001974C5">
      <w:pPr>
        <w:pStyle w:val="Caption"/>
        <w:jc w:val="both"/>
        <w:rPr>
          <w:rFonts w:ascii="Times New Roman" w:hAnsi="Times New Roman" w:cs="Times New Roman"/>
          <w:i w:val="0"/>
          <w:iCs w:val="0"/>
          <w:color w:val="000000" w:themeColor="text1"/>
          <w:sz w:val="20"/>
          <w:szCs w:val="20"/>
        </w:rPr>
      </w:pPr>
      <w:r w:rsidRPr="00DE42B9">
        <w:rPr>
          <w:rFonts w:ascii="Times New Roman" w:hAnsi="Times New Roman" w:cs="Times New Roman"/>
          <w:b/>
          <w:bCs/>
          <w:i w:val="0"/>
          <w:iCs w:val="0"/>
          <w:color w:val="000000" w:themeColor="text1"/>
          <w:sz w:val="20"/>
          <w:szCs w:val="20"/>
        </w:rPr>
        <w:t xml:space="preserve">Nitrogen uptake and assimilation pathway in </w:t>
      </w:r>
      <w:r w:rsidRPr="00DE42B9">
        <w:rPr>
          <w:rFonts w:ascii="Times New Roman" w:hAnsi="Times New Roman" w:cs="Times New Roman"/>
          <w:b/>
          <w:bCs/>
          <w:color w:val="000000" w:themeColor="text1"/>
          <w:sz w:val="20"/>
          <w:szCs w:val="20"/>
        </w:rPr>
        <w:t>P. tricornutum</w:t>
      </w:r>
      <w:r w:rsidRPr="00DE42B9">
        <w:rPr>
          <w:rFonts w:ascii="Times New Roman" w:hAnsi="Times New Roman" w:cs="Times New Roman"/>
          <w:b/>
          <w:bCs/>
          <w:i w:val="0"/>
          <w:iCs w:val="0"/>
          <w:color w:val="000000" w:themeColor="text1"/>
          <w:sz w:val="20"/>
          <w:szCs w:val="20"/>
        </w:rPr>
        <w:t xml:space="preserve"> with detailed daily heatmap showing the change in gene expression during the time course of the experiment.</w:t>
      </w:r>
      <w:r w:rsidRPr="00DE42B9">
        <w:rPr>
          <w:rFonts w:ascii="Times New Roman" w:hAnsi="Times New Roman" w:cs="Times New Roman"/>
          <w:i w:val="0"/>
          <w:iCs w:val="0"/>
          <w:color w:val="000000" w:themeColor="text1"/>
          <w:sz w:val="20"/>
          <w:szCs w:val="20"/>
        </w:rPr>
        <w:t xml:space="preserve"> NRT, nitrate transporter; VNRT, vacuolar nitrate transporter; NR, nitrate reductase; NAR1, nitrite transporter; Nir, nitrite reductase;  NAD(P)H-Nir, nitrite reductase NAD(P)H dependent; GSII/III, glutamate-ammonia ligase; GOGAT, glutamate synthase; ACOAT, acetylornithine aminotransferase; AGPR, N-acetyl-gamma-glutamyl-phosphate reductase; GACT, glutamate N-acetyltransferase; AKG, </w:t>
      </w:r>
      <w:proofErr w:type="spellStart"/>
      <w:r w:rsidRPr="00DE42B9">
        <w:rPr>
          <w:rFonts w:ascii="Times New Roman" w:hAnsi="Times New Roman" w:cs="Times New Roman"/>
          <w:i w:val="0"/>
          <w:iCs w:val="0"/>
          <w:color w:val="000000" w:themeColor="text1"/>
          <w:sz w:val="20"/>
          <w:szCs w:val="20"/>
        </w:rPr>
        <w:t>acetylglutamate</w:t>
      </w:r>
      <w:proofErr w:type="spellEnd"/>
      <w:r w:rsidRPr="00DE42B9">
        <w:rPr>
          <w:rFonts w:ascii="Times New Roman" w:hAnsi="Times New Roman" w:cs="Times New Roman"/>
          <w:i w:val="0"/>
          <w:iCs w:val="0"/>
          <w:color w:val="000000" w:themeColor="text1"/>
          <w:sz w:val="20"/>
          <w:szCs w:val="20"/>
        </w:rPr>
        <w:t xml:space="preserve"> kinase; ALT, L-alanine transaminase; AST, aspartate aminotransferase; PLAAOx, periplasmic L-amino acid oxidase; FORM, formamidase; GDH, glutamate dehydrogenase; CP, carbamoyl phosphate; </w:t>
      </w:r>
      <w:proofErr w:type="spellStart"/>
      <w:r w:rsidRPr="00DE42B9">
        <w:rPr>
          <w:rFonts w:ascii="Times New Roman" w:hAnsi="Times New Roman" w:cs="Times New Roman"/>
          <w:i w:val="0"/>
          <w:iCs w:val="0"/>
          <w:color w:val="000000" w:themeColor="text1"/>
          <w:sz w:val="20"/>
          <w:szCs w:val="20"/>
        </w:rPr>
        <w:t>pgCPS</w:t>
      </w:r>
      <w:proofErr w:type="spellEnd"/>
      <w:r w:rsidRPr="00DE42B9">
        <w:rPr>
          <w:rFonts w:ascii="Times New Roman" w:hAnsi="Times New Roman" w:cs="Times New Roman"/>
          <w:i w:val="0"/>
          <w:iCs w:val="0"/>
          <w:color w:val="000000" w:themeColor="text1"/>
          <w:sz w:val="20"/>
          <w:szCs w:val="20"/>
        </w:rPr>
        <w:t xml:space="preserve">, carbamoyl phosphate synthetase; </w:t>
      </w:r>
      <w:proofErr w:type="spellStart"/>
      <w:r w:rsidRPr="00DE42B9">
        <w:rPr>
          <w:rFonts w:ascii="Times New Roman" w:hAnsi="Times New Roman" w:cs="Times New Roman"/>
          <w:i w:val="0"/>
          <w:iCs w:val="0"/>
          <w:color w:val="000000" w:themeColor="text1"/>
          <w:sz w:val="20"/>
          <w:szCs w:val="20"/>
        </w:rPr>
        <w:t>unCPS</w:t>
      </w:r>
      <w:proofErr w:type="spellEnd"/>
      <w:r w:rsidRPr="00DE42B9">
        <w:rPr>
          <w:rFonts w:ascii="Times New Roman" w:hAnsi="Times New Roman" w:cs="Times New Roman"/>
          <w:i w:val="0"/>
          <w:iCs w:val="0"/>
          <w:color w:val="000000" w:themeColor="text1"/>
          <w:sz w:val="20"/>
          <w:szCs w:val="20"/>
        </w:rPr>
        <w:t xml:space="preserve">, carbamoyl phosphate synthase mitochondrial, UT, urea transporter; URE, urease; CL, cyanate lyase, HR, Hydroxylamine reductase; GDH, glutamate dehydrogenase; OCD, ornithine </w:t>
      </w:r>
      <w:proofErr w:type="spellStart"/>
      <w:r w:rsidRPr="00DE42B9">
        <w:rPr>
          <w:rFonts w:ascii="Times New Roman" w:hAnsi="Times New Roman" w:cs="Times New Roman"/>
          <w:i w:val="0"/>
          <w:iCs w:val="0"/>
          <w:color w:val="000000" w:themeColor="text1"/>
          <w:sz w:val="20"/>
          <w:szCs w:val="20"/>
        </w:rPr>
        <w:t>cyclodeaminase</w:t>
      </w:r>
      <w:proofErr w:type="spellEnd"/>
      <w:r w:rsidRPr="00DE42B9">
        <w:rPr>
          <w:rFonts w:ascii="Times New Roman" w:hAnsi="Times New Roman" w:cs="Times New Roman"/>
          <w:i w:val="0"/>
          <w:iCs w:val="0"/>
          <w:color w:val="000000" w:themeColor="text1"/>
          <w:sz w:val="20"/>
          <w:szCs w:val="20"/>
        </w:rPr>
        <w:t xml:space="preserve">; ODC, ornithine decarboxylase; P5CS, pyrroline-5-carboxylate synthase; P5CR, pyrroline-5-carboxylate reductase; OTC, ornithine </w:t>
      </w:r>
      <w:proofErr w:type="spellStart"/>
      <w:r w:rsidRPr="00DE42B9">
        <w:rPr>
          <w:rFonts w:ascii="Times New Roman" w:hAnsi="Times New Roman" w:cs="Times New Roman"/>
          <w:i w:val="0"/>
          <w:iCs w:val="0"/>
          <w:color w:val="000000" w:themeColor="text1"/>
          <w:sz w:val="20"/>
          <w:szCs w:val="20"/>
        </w:rPr>
        <w:t>transcarbamylase</w:t>
      </w:r>
      <w:proofErr w:type="spellEnd"/>
      <w:r w:rsidRPr="00DE42B9">
        <w:rPr>
          <w:rFonts w:ascii="Times New Roman" w:hAnsi="Times New Roman" w:cs="Times New Roman"/>
          <w:i w:val="0"/>
          <w:iCs w:val="0"/>
          <w:color w:val="000000" w:themeColor="text1"/>
          <w:sz w:val="20"/>
          <w:szCs w:val="20"/>
        </w:rPr>
        <w:t xml:space="preserve">; ARG, arginase; ASL, </w:t>
      </w:r>
      <w:proofErr w:type="spellStart"/>
      <w:r w:rsidRPr="00DE42B9">
        <w:rPr>
          <w:rFonts w:ascii="Times New Roman" w:hAnsi="Times New Roman" w:cs="Times New Roman"/>
          <w:i w:val="0"/>
          <w:iCs w:val="0"/>
          <w:color w:val="000000" w:themeColor="text1"/>
          <w:sz w:val="20"/>
          <w:szCs w:val="20"/>
        </w:rPr>
        <w:t>argininosuccinate</w:t>
      </w:r>
      <w:proofErr w:type="spellEnd"/>
      <w:r w:rsidRPr="00DE42B9">
        <w:rPr>
          <w:rFonts w:ascii="Times New Roman" w:hAnsi="Times New Roman" w:cs="Times New Roman"/>
          <w:i w:val="0"/>
          <w:iCs w:val="0"/>
          <w:color w:val="000000" w:themeColor="text1"/>
          <w:sz w:val="20"/>
          <w:szCs w:val="20"/>
        </w:rPr>
        <w:t xml:space="preserve"> lyase; </w:t>
      </w:r>
      <w:proofErr w:type="spellStart"/>
      <w:r w:rsidRPr="00DE42B9">
        <w:rPr>
          <w:rFonts w:ascii="Times New Roman" w:hAnsi="Times New Roman" w:cs="Times New Roman"/>
          <w:i w:val="0"/>
          <w:iCs w:val="0"/>
          <w:color w:val="000000" w:themeColor="text1"/>
          <w:sz w:val="20"/>
          <w:szCs w:val="20"/>
        </w:rPr>
        <w:t>ASuS</w:t>
      </w:r>
      <w:proofErr w:type="spellEnd"/>
      <w:r w:rsidRPr="00DE42B9">
        <w:rPr>
          <w:rFonts w:ascii="Times New Roman" w:hAnsi="Times New Roman" w:cs="Times New Roman"/>
          <w:i w:val="0"/>
          <w:iCs w:val="0"/>
          <w:color w:val="000000" w:themeColor="text1"/>
          <w:sz w:val="20"/>
          <w:szCs w:val="20"/>
        </w:rPr>
        <w:t xml:space="preserve">, </w:t>
      </w:r>
      <w:proofErr w:type="spellStart"/>
      <w:r w:rsidRPr="00DE42B9">
        <w:rPr>
          <w:rFonts w:ascii="Times New Roman" w:hAnsi="Times New Roman" w:cs="Times New Roman"/>
          <w:i w:val="0"/>
          <w:iCs w:val="0"/>
          <w:color w:val="000000" w:themeColor="text1"/>
          <w:sz w:val="20"/>
          <w:szCs w:val="20"/>
        </w:rPr>
        <w:t>argininosuccinate</w:t>
      </w:r>
      <w:proofErr w:type="spellEnd"/>
      <w:r w:rsidRPr="00DE42B9">
        <w:rPr>
          <w:rFonts w:ascii="Times New Roman" w:hAnsi="Times New Roman" w:cs="Times New Roman"/>
          <w:i w:val="0"/>
          <w:iCs w:val="0"/>
          <w:color w:val="000000" w:themeColor="text1"/>
          <w:sz w:val="20"/>
          <w:szCs w:val="20"/>
        </w:rPr>
        <w:t xml:space="preserve"> hydratase</w:t>
      </w:r>
    </w:p>
    <w:p w14:paraId="544300C9" w14:textId="374D8AC2" w:rsidR="001974C5" w:rsidRPr="001075EB" w:rsidRDefault="001974C5" w:rsidP="001974C5">
      <w:pPr>
        <w:rPr>
          <w:rFonts w:ascii="Times New Roman" w:hAnsi="Times New Roman" w:cs="Times New Roman"/>
          <w:color w:val="000000" w:themeColor="text1"/>
          <w:sz w:val="24"/>
          <w:szCs w:val="24"/>
        </w:rPr>
        <w:sectPr w:rsidR="001974C5" w:rsidRPr="001075EB" w:rsidSect="004344A4">
          <w:pgSz w:w="11906" w:h="16838" w:code="9"/>
          <w:pgMar w:top="1440" w:right="1440" w:bottom="1440" w:left="1440" w:header="720" w:footer="720" w:gutter="0"/>
          <w:cols w:space="720"/>
          <w:vAlign w:val="center"/>
          <w:docGrid w:linePitch="299"/>
        </w:sectPr>
      </w:pPr>
    </w:p>
    <w:p w14:paraId="29820AFE" w14:textId="40A7B322" w:rsidR="001974C5" w:rsidRPr="001075EB" w:rsidRDefault="001974C5" w:rsidP="001974C5">
      <w:pPr>
        <w:pStyle w:val="Heading3"/>
        <w:spacing w:line="480" w:lineRule="auto"/>
        <w:rPr>
          <w:rFonts w:ascii="Times New Roman" w:hAnsi="Times New Roman" w:cs="Times New Roman"/>
          <w:noProof/>
          <w:color w:val="000000" w:themeColor="text1"/>
          <w:sz w:val="24"/>
          <w:szCs w:val="24"/>
        </w:rPr>
      </w:pPr>
      <w:r w:rsidRPr="001075EB">
        <w:rPr>
          <w:rFonts w:ascii="Times New Roman" w:hAnsi="Times New Roman" w:cs="Times New Roman"/>
          <w:b/>
          <w:bCs/>
          <w:color w:val="000000" w:themeColor="text1"/>
          <w:sz w:val="24"/>
          <w:szCs w:val="24"/>
        </w:rPr>
        <w:lastRenderedPageBreak/>
        <w:t>Supplementary Fig</w:t>
      </w:r>
      <w:r w:rsidR="00B62555" w:rsidRPr="001075EB">
        <w:rPr>
          <w:rFonts w:ascii="Times New Roman" w:hAnsi="Times New Roman" w:cs="Times New Roman"/>
          <w:b/>
          <w:bCs/>
          <w:color w:val="000000" w:themeColor="text1"/>
          <w:sz w:val="24"/>
          <w:szCs w:val="24"/>
        </w:rPr>
        <w:t>ure</w:t>
      </w:r>
      <w:r w:rsidRPr="001075EB">
        <w:rPr>
          <w:rFonts w:ascii="Times New Roman" w:hAnsi="Times New Roman" w:cs="Times New Roman"/>
          <w:b/>
          <w:bCs/>
          <w:color w:val="000000" w:themeColor="text1"/>
          <w:sz w:val="24"/>
          <w:szCs w:val="24"/>
        </w:rPr>
        <w:t xml:space="preserve"> S8</w:t>
      </w:r>
    </w:p>
    <w:p w14:paraId="7CEC824B" w14:textId="77777777" w:rsidR="001974C5" w:rsidRPr="001075EB" w:rsidRDefault="001974C5" w:rsidP="001974C5">
      <w:pPr>
        <w:keepNext/>
        <w:jc w:val="center"/>
        <w:rPr>
          <w:rFonts w:ascii="Times New Roman" w:hAnsi="Times New Roman" w:cs="Times New Roman"/>
          <w:color w:val="000000" w:themeColor="text1"/>
          <w:sz w:val="24"/>
          <w:szCs w:val="24"/>
        </w:rPr>
      </w:pPr>
      <w:r w:rsidRPr="001075EB">
        <w:rPr>
          <w:rFonts w:ascii="Times New Roman" w:hAnsi="Times New Roman" w:cs="Times New Roman"/>
          <w:noProof/>
          <w:color w:val="000000" w:themeColor="text1"/>
          <w:sz w:val="24"/>
          <w:szCs w:val="24"/>
          <w:lang w:val="fr-FR" w:eastAsia="fr-FR"/>
        </w:rPr>
        <w:drawing>
          <wp:inline distT="0" distB="0" distL="0" distR="0" wp14:anchorId="02D7CA37" wp14:editId="2B7564C4">
            <wp:extent cx="8020147" cy="223986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32183" cy="2243222"/>
                    </a:xfrm>
                    <a:prstGeom prst="rect">
                      <a:avLst/>
                    </a:prstGeom>
                  </pic:spPr>
                </pic:pic>
              </a:graphicData>
            </a:graphic>
          </wp:inline>
        </w:drawing>
      </w:r>
    </w:p>
    <w:p w14:paraId="184F7727" w14:textId="77777777" w:rsidR="001974C5" w:rsidRPr="00DE42B9" w:rsidRDefault="001974C5" w:rsidP="001974C5">
      <w:pPr>
        <w:keepNext/>
        <w:jc w:val="center"/>
        <w:rPr>
          <w:rFonts w:ascii="Times New Roman" w:hAnsi="Times New Roman" w:cs="Times New Roman"/>
          <w:color w:val="000000" w:themeColor="text1"/>
          <w:sz w:val="20"/>
          <w:szCs w:val="20"/>
        </w:rPr>
      </w:pPr>
    </w:p>
    <w:p w14:paraId="3B9AC90B" w14:textId="77777777" w:rsidR="001974C5" w:rsidRPr="00DE42B9" w:rsidRDefault="001974C5" w:rsidP="00C7390D">
      <w:pPr>
        <w:pStyle w:val="Caption"/>
        <w:rPr>
          <w:rFonts w:ascii="Times New Roman" w:hAnsi="Times New Roman" w:cs="Times New Roman"/>
          <w:i w:val="0"/>
          <w:iCs w:val="0"/>
          <w:color w:val="000000" w:themeColor="text1"/>
          <w:sz w:val="20"/>
          <w:szCs w:val="20"/>
        </w:rPr>
        <w:sectPr w:rsidR="001974C5" w:rsidRPr="00DE42B9" w:rsidSect="004344A4">
          <w:pgSz w:w="16838" w:h="11906" w:orient="landscape" w:code="9"/>
          <w:pgMar w:top="1440" w:right="1440" w:bottom="1440" w:left="1440" w:header="720" w:footer="720" w:gutter="0"/>
          <w:cols w:space="720"/>
          <w:vAlign w:val="center"/>
          <w:docGrid w:linePitch="299"/>
        </w:sectPr>
      </w:pPr>
      <w:r w:rsidRPr="00DE42B9">
        <w:rPr>
          <w:rFonts w:ascii="Times New Roman" w:hAnsi="Times New Roman" w:cs="Times New Roman"/>
          <w:b/>
          <w:bCs/>
          <w:i w:val="0"/>
          <w:iCs w:val="0"/>
          <w:color w:val="000000" w:themeColor="text1"/>
          <w:sz w:val="20"/>
          <w:szCs w:val="20"/>
        </w:rPr>
        <w:t xml:space="preserve">Serine (SER) and glycine (GLY) biosynthesis.  </w:t>
      </w:r>
      <w:r w:rsidRPr="00DE42B9">
        <w:rPr>
          <w:rFonts w:ascii="Times New Roman" w:hAnsi="Times New Roman" w:cs="Times New Roman"/>
          <w:i w:val="0"/>
          <w:iCs w:val="0"/>
          <w:color w:val="000000" w:themeColor="text1"/>
          <w:sz w:val="20"/>
          <w:szCs w:val="20"/>
        </w:rPr>
        <w:t>RuBP, Ribulose 1,5-bisphosphate.</w:t>
      </w:r>
    </w:p>
    <w:p w14:paraId="3C1F757A" w14:textId="53E34F3C" w:rsidR="001974C5" w:rsidRPr="001075EB" w:rsidRDefault="001974C5" w:rsidP="001974C5">
      <w:pPr>
        <w:pStyle w:val="Heading3"/>
        <w:spacing w:line="480" w:lineRule="auto"/>
        <w:rPr>
          <w:rFonts w:ascii="Times New Roman" w:hAnsi="Times New Roman" w:cs="Times New Roman"/>
          <w:b/>
          <w:bCs/>
          <w:color w:val="000000" w:themeColor="text1"/>
          <w:sz w:val="24"/>
          <w:szCs w:val="24"/>
        </w:rPr>
      </w:pPr>
      <w:r w:rsidRPr="001075EB">
        <w:rPr>
          <w:rFonts w:ascii="Times New Roman" w:hAnsi="Times New Roman" w:cs="Times New Roman"/>
          <w:b/>
          <w:bCs/>
          <w:color w:val="000000" w:themeColor="text1"/>
          <w:sz w:val="24"/>
          <w:szCs w:val="24"/>
        </w:rPr>
        <w:lastRenderedPageBreak/>
        <w:t>Supplementary Fig</w:t>
      </w:r>
      <w:r w:rsidR="00B62555" w:rsidRPr="001075EB">
        <w:rPr>
          <w:rFonts w:ascii="Times New Roman" w:hAnsi="Times New Roman" w:cs="Times New Roman"/>
          <w:b/>
          <w:bCs/>
          <w:color w:val="000000" w:themeColor="text1"/>
          <w:sz w:val="24"/>
          <w:szCs w:val="24"/>
        </w:rPr>
        <w:t>ure</w:t>
      </w:r>
      <w:r w:rsidRPr="001075EB">
        <w:rPr>
          <w:rFonts w:ascii="Times New Roman" w:hAnsi="Times New Roman" w:cs="Times New Roman"/>
          <w:b/>
          <w:bCs/>
          <w:color w:val="000000" w:themeColor="text1"/>
          <w:sz w:val="24"/>
          <w:szCs w:val="24"/>
        </w:rPr>
        <w:t xml:space="preserve"> S9</w:t>
      </w:r>
    </w:p>
    <w:p w14:paraId="1DEA91EE" w14:textId="77777777" w:rsidR="001974C5" w:rsidRPr="001075EB" w:rsidRDefault="001974C5" w:rsidP="001974C5">
      <w:pPr>
        <w:keepNext/>
        <w:jc w:val="center"/>
        <w:rPr>
          <w:rFonts w:ascii="Times New Roman" w:hAnsi="Times New Roman" w:cs="Times New Roman"/>
          <w:color w:val="000000" w:themeColor="text1"/>
          <w:sz w:val="24"/>
          <w:szCs w:val="24"/>
        </w:rPr>
      </w:pPr>
      <w:r w:rsidRPr="001075EB">
        <w:rPr>
          <w:rFonts w:ascii="Times New Roman" w:hAnsi="Times New Roman" w:cs="Times New Roman"/>
          <w:noProof/>
          <w:color w:val="000000" w:themeColor="text1"/>
          <w:sz w:val="24"/>
          <w:szCs w:val="24"/>
          <w:lang w:val="fr-FR" w:eastAsia="fr-FR"/>
        </w:rPr>
        <w:drawing>
          <wp:inline distT="0" distB="0" distL="0" distR="0" wp14:anchorId="51A7834E" wp14:editId="2265187C">
            <wp:extent cx="7137400" cy="3670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37400" cy="3670300"/>
                    </a:xfrm>
                    <a:prstGeom prst="rect">
                      <a:avLst/>
                    </a:prstGeom>
                  </pic:spPr>
                </pic:pic>
              </a:graphicData>
            </a:graphic>
          </wp:inline>
        </w:drawing>
      </w:r>
    </w:p>
    <w:p w14:paraId="4AED0B50" w14:textId="77777777" w:rsidR="001974C5" w:rsidRPr="00DE42B9" w:rsidRDefault="001974C5" w:rsidP="001974C5">
      <w:pPr>
        <w:pStyle w:val="Caption"/>
        <w:jc w:val="both"/>
        <w:rPr>
          <w:rFonts w:ascii="Times New Roman" w:hAnsi="Times New Roman" w:cs="Times New Roman"/>
          <w:i w:val="0"/>
          <w:iCs w:val="0"/>
          <w:color w:val="000000" w:themeColor="text1"/>
          <w:sz w:val="20"/>
          <w:szCs w:val="20"/>
          <w:lang w:val="it-IT"/>
        </w:rPr>
        <w:sectPr w:rsidR="001974C5" w:rsidRPr="00DE42B9" w:rsidSect="004344A4">
          <w:pgSz w:w="16838" w:h="11906" w:orient="landscape" w:code="9"/>
          <w:pgMar w:top="1440" w:right="1440" w:bottom="1440" w:left="1440" w:header="720" w:footer="720" w:gutter="0"/>
          <w:cols w:space="720"/>
          <w:vAlign w:val="center"/>
          <w:docGrid w:linePitch="299"/>
        </w:sectPr>
      </w:pPr>
      <w:r w:rsidRPr="00DE42B9">
        <w:rPr>
          <w:rFonts w:ascii="Times New Roman" w:hAnsi="Times New Roman" w:cs="Times New Roman"/>
          <w:b/>
          <w:bCs/>
          <w:i w:val="0"/>
          <w:iCs w:val="0"/>
          <w:color w:val="000000" w:themeColor="text1"/>
          <w:sz w:val="20"/>
          <w:szCs w:val="20"/>
          <w:lang w:val="it-IT"/>
        </w:rPr>
        <w:t xml:space="preserve">Glutamate (GLU), glutamine (GLN), alanine (ALA) and aspartate (ASP) biosynthesis.  </w:t>
      </w:r>
      <w:r w:rsidRPr="00DE42B9">
        <w:rPr>
          <w:rFonts w:ascii="Times New Roman" w:hAnsi="Times New Roman" w:cs="Times New Roman"/>
          <w:i w:val="0"/>
          <w:iCs w:val="0"/>
          <w:color w:val="000000" w:themeColor="text1"/>
          <w:sz w:val="20"/>
          <w:szCs w:val="20"/>
          <w:lang w:val="it-IT"/>
        </w:rPr>
        <w:t>GOGAT, Glutamate synthase; GS, glutamine synthase; GDH, glutamate dehydrogenase; A-AL, aspartate ammonia ligase; AS, asparagine synthase; ANSI, asparaginase; OA,</w:t>
      </w:r>
      <w:r w:rsidRPr="00DE42B9">
        <w:rPr>
          <w:rFonts w:ascii="Times New Roman" w:hAnsi="Times New Roman" w:cs="Times New Roman"/>
          <w:color w:val="000000" w:themeColor="text1"/>
          <w:sz w:val="20"/>
          <w:szCs w:val="20"/>
          <w:lang w:val="it-IT"/>
        </w:rPr>
        <w:t xml:space="preserve"> </w:t>
      </w:r>
      <w:r w:rsidRPr="00DE42B9">
        <w:rPr>
          <w:rFonts w:ascii="Times New Roman" w:hAnsi="Times New Roman" w:cs="Times New Roman"/>
          <w:i w:val="0"/>
          <w:iCs w:val="0"/>
          <w:color w:val="000000" w:themeColor="text1"/>
          <w:sz w:val="20"/>
          <w:szCs w:val="20"/>
          <w:lang w:val="it-IT"/>
        </w:rPr>
        <w:t>omega-amidase; AAT, aspartate transaminase; ADSS, Adenylosuccinate synthetase; ADSL, Adenylosuccinate lyase; ASS,</w:t>
      </w:r>
      <w:r w:rsidRPr="00DE42B9">
        <w:rPr>
          <w:rFonts w:ascii="Times New Roman" w:hAnsi="Times New Roman" w:cs="Times New Roman"/>
          <w:color w:val="000000" w:themeColor="text1"/>
          <w:sz w:val="20"/>
          <w:szCs w:val="20"/>
          <w:lang w:val="it-IT"/>
        </w:rPr>
        <w:t xml:space="preserve"> </w:t>
      </w:r>
      <w:r w:rsidRPr="00DE42B9">
        <w:rPr>
          <w:rFonts w:ascii="Times New Roman" w:hAnsi="Times New Roman" w:cs="Times New Roman"/>
          <w:i w:val="0"/>
          <w:iCs w:val="0"/>
          <w:color w:val="000000" w:themeColor="text1"/>
          <w:sz w:val="20"/>
          <w:szCs w:val="20"/>
          <w:lang w:val="it-IT"/>
        </w:rPr>
        <w:t>citrulline-aspartate ligase; ASL, arginosuccinate lyase; ALT, Alanine transaminase.</w:t>
      </w:r>
    </w:p>
    <w:p w14:paraId="485E6968" w14:textId="538C4C07" w:rsidR="00335836" w:rsidRPr="001075EB" w:rsidRDefault="00335836" w:rsidP="00335836">
      <w:pPr>
        <w:pStyle w:val="Heading3"/>
        <w:spacing w:line="480" w:lineRule="auto"/>
        <w:rPr>
          <w:rFonts w:ascii="Times New Roman" w:hAnsi="Times New Roman" w:cs="Times New Roman"/>
          <w:noProof/>
          <w:color w:val="000000" w:themeColor="text1"/>
          <w:sz w:val="24"/>
          <w:szCs w:val="24"/>
        </w:rPr>
      </w:pPr>
      <w:r w:rsidRPr="001075EB">
        <w:rPr>
          <w:rFonts w:ascii="Times New Roman" w:hAnsi="Times New Roman" w:cs="Times New Roman"/>
          <w:b/>
          <w:bCs/>
          <w:color w:val="000000" w:themeColor="text1"/>
          <w:sz w:val="24"/>
          <w:szCs w:val="24"/>
        </w:rPr>
        <w:lastRenderedPageBreak/>
        <w:t>Supplementary Fig</w:t>
      </w:r>
      <w:r w:rsidR="00B62555" w:rsidRPr="001075EB">
        <w:rPr>
          <w:rFonts w:ascii="Times New Roman" w:hAnsi="Times New Roman" w:cs="Times New Roman"/>
          <w:b/>
          <w:bCs/>
          <w:color w:val="000000" w:themeColor="text1"/>
          <w:sz w:val="24"/>
          <w:szCs w:val="24"/>
        </w:rPr>
        <w:t>ure</w:t>
      </w:r>
      <w:r w:rsidRPr="001075EB">
        <w:rPr>
          <w:rFonts w:ascii="Times New Roman" w:hAnsi="Times New Roman" w:cs="Times New Roman"/>
          <w:b/>
          <w:bCs/>
          <w:color w:val="000000" w:themeColor="text1"/>
          <w:sz w:val="24"/>
          <w:szCs w:val="24"/>
        </w:rPr>
        <w:t xml:space="preserve"> S10</w:t>
      </w:r>
    </w:p>
    <w:p w14:paraId="68FE9CEF" w14:textId="77777777" w:rsidR="00335836" w:rsidRPr="001075EB" w:rsidRDefault="00335836" w:rsidP="00335836">
      <w:pPr>
        <w:keepNext/>
        <w:spacing w:line="480" w:lineRule="auto"/>
        <w:rPr>
          <w:rFonts w:ascii="Times New Roman" w:hAnsi="Times New Roman" w:cs="Times New Roman"/>
          <w:color w:val="000000" w:themeColor="text1"/>
          <w:sz w:val="24"/>
          <w:szCs w:val="24"/>
        </w:rPr>
      </w:pPr>
      <w:r w:rsidRPr="001075EB">
        <w:rPr>
          <w:rFonts w:ascii="Times New Roman" w:hAnsi="Times New Roman" w:cs="Times New Roman"/>
          <w:noProof/>
          <w:color w:val="000000" w:themeColor="text1"/>
          <w:sz w:val="24"/>
          <w:szCs w:val="24"/>
          <w:lang w:val="fr-FR" w:eastAsia="fr-FR"/>
        </w:rPr>
        <w:drawing>
          <wp:inline distT="114300" distB="114300" distL="114300" distR="114300" wp14:anchorId="07998A95" wp14:editId="28662137">
            <wp:extent cx="5943600" cy="5588000"/>
            <wp:effectExtent l="0" t="0" r="0" b="0"/>
            <wp:docPr id="2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
                    <a:srcRect/>
                    <a:stretch>
                      <a:fillRect/>
                    </a:stretch>
                  </pic:blipFill>
                  <pic:spPr>
                    <a:xfrm>
                      <a:off x="0" y="0"/>
                      <a:ext cx="5943600" cy="5588000"/>
                    </a:xfrm>
                    <a:prstGeom prst="rect">
                      <a:avLst/>
                    </a:prstGeom>
                    <a:ln/>
                  </pic:spPr>
                </pic:pic>
              </a:graphicData>
            </a:graphic>
          </wp:inline>
        </w:drawing>
      </w:r>
    </w:p>
    <w:p w14:paraId="0AD77B15" w14:textId="77777777" w:rsidR="00335836" w:rsidRPr="00DE42B9" w:rsidRDefault="00335836" w:rsidP="00335836">
      <w:pPr>
        <w:pStyle w:val="Caption"/>
        <w:jc w:val="both"/>
        <w:rPr>
          <w:rFonts w:ascii="Times New Roman" w:hAnsi="Times New Roman" w:cs="Times New Roman"/>
          <w:color w:val="000000" w:themeColor="text1"/>
          <w:sz w:val="20"/>
          <w:szCs w:val="20"/>
        </w:rPr>
      </w:pPr>
      <w:r w:rsidRPr="00DE42B9">
        <w:rPr>
          <w:rFonts w:ascii="Times New Roman" w:hAnsi="Times New Roman" w:cs="Times New Roman"/>
          <w:b/>
          <w:bCs/>
          <w:i w:val="0"/>
          <w:iCs w:val="0"/>
          <w:color w:val="000000" w:themeColor="text1"/>
          <w:sz w:val="20"/>
          <w:szCs w:val="20"/>
        </w:rPr>
        <w:t xml:space="preserve">Pathways of BCAA degradation in </w:t>
      </w:r>
      <w:r w:rsidRPr="00DE42B9">
        <w:rPr>
          <w:rFonts w:ascii="Times New Roman" w:hAnsi="Times New Roman" w:cs="Times New Roman"/>
          <w:b/>
          <w:bCs/>
          <w:color w:val="000000" w:themeColor="text1"/>
          <w:sz w:val="20"/>
          <w:szCs w:val="20"/>
        </w:rPr>
        <w:t>P. tricornutum</w:t>
      </w:r>
      <w:r w:rsidRPr="00DE42B9">
        <w:rPr>
          <w:rFonts w:ascii="Times New Roman" w:hAnsi="Times New Roman" w:cs="Times New Roman"/>
          <w:b/>
          <w:bCs/>
          <w:i w:val="0"/>
          <w:iCs w:val="0"/>
          <w:color w:val="000000" w:themeColor="text1"/>
          <w:sz w:val="20"/>
          <w:szCs w:val="20"/>
        </w:rPr>
        <w:t xml:space="preserve"> with the heatmap reporting the change in gene expression change during the time course of the experiment.</w:t>
      </w:r>
      <w:r w:rsidRPr="00DE42B9">
        <w:rPr>
          <w:rFonts w:ascii="Times New Roman" w:hAnsi="Times New Roman" w:cs="Times New Roman"/>
          <w:i w:val="0"/>
          <w:iCs w:val="0"/>
          <w:color w:val="000000" w:themeColor="text1"/>
          <w:sz w:val="20"/>
          <w:szCs w:val="20"/>
        </w:rPr>
        <w:t xml:space="preserve"> Modified from Pan et al., 2018. BCAT, branched-chain amino acid transaminase; BCKDH, branched-chain a-keto acid dehydrogenase; DHLTA, </w:t>
      </w:r>
      <w:proofErr w:type="spellStart"/>
      <w:r w:rsidRPr="00DE42B9">
        <w:rPr>
          <w:rFonts w:ascii="Times New Roman" w:hAnsi="Times New Roman" w:cs="Times New Roman"/>
          <w:i w:val="0"/>
          <w:iCs w:val="0"/>
          <w:color w:val="000000" w:themeColor="text1"/>
          <w:sz w:val="20"/>
          <w:szCs w:val="20"/>
        </w:rPr>
        <w:t>dihydrolipoyllysine</w:t>
      </w:r>
      <w:proofErr w:type="spellEnd"/>
      <w:r w:rsidRPr="00DE42B9">
        <w:rPr>
          <w:rFonts w:ascii="Times New Roman" w:hAnsi="Times New Roman" w:cs="Times New Roman"/>
          <w:i w:val="0"/>
          <w:iCs w:val="0"/>
          <w:color w:val="000000" w:themeColor="text1"/>
          <w:sz w:val="20"/>
          <w:szCs w:val="20"/>
        </w:rPr>
        <w:t xml:space="preserve">-residue (2-methylpropanoyl) transferase; IVD, </w:t>
      </w:r>
      <w:proofErr w:type="spellStart"/>
      <w:r w:rsidRPr="00DE42B9">
        <w:rPr>
          <w:rFonts w:ascii="Times New Roman" w:hAnsi="Times New Roman" w:cs="Times New Roman"/>
          <w:i w:val="0"/>
          <w:iCs w:val="0"/>
          <w:color w:val="000000" w:themeColor="text1"/>
          <w:sz w:val="20"/>
          <w:szCs w:val="20"/>
        </w:rPr>
        <w:t>isovaleryl</w:t>
      </w:r>
      <w:proofErr w:type="spellEnd"/>
      <w:r w:rsidRPr="00DE42B9">
        <w:rPr>
          <w:rFonts w:ascii="Times New Roman" w:hAnsi="Times New Roman" w:cs="Times New Roman"/>
          <w:i w:val="0"/>
          <w:iCs w:val="0"/>
          <w:color w:val="000000" w:themeColor="text1"/>
          <w:sz w:val="20"/>
          <w:szCs w:val="20"/>
        </w:rPr>
        <w:t xml:space="preserve">-CoA dehydro- </w:t>
      </w:r>
      <w:proofErr w:type="spellStart"/>
      <w:r w:rsidRPr="00DE42B9">
        <w:rPr>
          <w:rFonts w:ascii="Times New Roman" w:hAnsi="Times New Roman" w:cs="Times New Roman"/>
          <w:i w:val="0"/>
          <w:iCs w:val="0"/>
          <w:color w:val="000000" w:themeColor="text1"/>
          <w:sz w:val="20"/>
          <w:szCs w:val="20"/>
        </w:rPr>
        <w:t>genase</w:t>
      </w:r>
      <w:proofErr w:type="spellEnd"/>
      <w:r w:rsidRPr="00DE42B9">
        <w:rPr>
          <w:rFonts w:ascii="Times New Roman" w:hAnsi="Times New Roman" w:cs="Times New Roman"/>
          <w:i w:val="0"/>
          <w:iCs w:val="0"/>
          <w:color w:val="000000" w:themeColor="text1"/>
          <w:sz w:val="20"/>
          <w:szCs w:val="20"/>
        </w:rPr>
        <w:t xml:space="preserve">; MCC, </w:t>
      </w:r>
      <w:proofErr w:type="spellStart"/>
      <w:r w:rsidRPr="00DE42B9">
        <w:rPr>
          <w:rFonts w:ascii="Times New Roman" w:hAnsi="Times New Roman" w:cs="Times New Roman"/>
          <w:i w:val="0"/>
          <w:iCs w:val="0"/>
          <w:color w:val="000000" w:themeColor="text1"/>
          <w:sz w:val="20"/>
          <w:szCs w:val="20"/>
        </w:rPr>
        <w:t>methylcrotonyl</w:t>
      </w:r>
      <w:proofErr w:type="spellEnd"/>
      <w:r w:rsidRPr="00DE42B9">
        <w:rPr>
          <w:rFonts w:ascii="Times New Roman" w:hAnsi="Times New Roman" w:cs="Times New Roman"/>
          <w:i w:val="0"/>
          <w:iCs w:val="0"/>
          <w:color w:val="000000" w:themeColor="text1"/>
          <w:sz w:val="20"/>
          <w:szCs w:val="20"/>
        </w:rPr>
        <w:t xml:space="preserve">-CoA carboxylase; MGCHS, </w:t>
      </w:r>
      <w:proofErr w:type="spellStart"/>
      <w:r w:rsidRPr="00DE42B9">
        <w:rPr>
          <w:rFonts w:ascii="Times New Roman" w:hAnsi="Times New Roman" w:cs="Times New Roman"/>
          <w:i w:val="0"/>
          <w:iCs w:val="0"/>
          <w:color w:val="000000" w:themeColor="text1"/>
          <w:sz w:val="20"/>
          <w:szCs w:val="20"/>
        </w:rPr>
        <w:t>methylglutaconyl</w:t>
      </w:r>
      <w:proofErr w:type="spellEnd"/>
      <w:r w:rsidRPr="00DE42B9">
        <w:rPr>
          <w:rFonts w:ascii="Times New Roman" w:hAnsi="Times New Roman" w:cs="Times New Roman"/>
          <w:i w:val="0"/>
          <w:iCs w:val="0"/>
          <w:color w:val="000000" w:themeColor="text1"/>
          <w:sz w:val="20"/>
          <w:szCs w:val="20"/>
        </w:rPr>
        <w:t xml:space="preserve">-CoA hydratase; HCL, </w:t>
      </w:r>
      <w:proofErr w:type="spellStart"/>
      <w:r w:rsidRPr="00DE42B9">
        <w:rPr>
          <w:rFonts w:ascii="Times New Roman" w:hAnsi="Times New Roman" w:cs="Times New Roman"/>
          <w:i w:val="0"/>
          <w:iCs w:val="0"/>
          <w:color w:val="000000" w:themeColor="text1"/>
          <w:sz w:val="20"/>
          <w:szCs w:val="20"/>
        </w:rPr>
        <w:t>hydroxymethylglutaryl</w:t>
      </w:r>
      <w:proofErr w:type="spellEnd"/>
      <w:r w:rsidRPr="00DE42B9">
        <w:rPr>
          <w:rFonts w:ascii="Times New Roman" w:hAnsi="Times New Roman" w:cs="Times New Roman"/>
          <w:i w:val="0"/>
          <w:iCs w:val="0"/>
          <w:color w:val="000000" w:themeColor="text1"/>
          <w:sz w:val="20"/>
          <w:szCs w:val="20"/>
        </w:rPr>
        <w:t xml:space="preserve">-CoA lyase; IPMS, 2-isopropylmalate synthase; IPMDH, </w:t>
      </w:r>
      <w:proofErr w:type="spellStart"/>
      <w:r w:rsidRPr="00DE42B9">
        <w:rPr>
          <w:rFonts w:ascii="Times New Roman" w:hAnsi="Times New Roman" w:cs="Times New Roman"/>
          <w:i w:val="0"/>
          <w:iCs w:val="0"/>
          <w:color w:val="000000" w:themeColor="text1"/>
          <w:sz w:val="20"/>
          <w:szCs w:val="20"/>
        </w:rPr>
        <w:t>isopropylmalate</w:t>
      </w:r>
      <w:proofErr w:type="spellEnd"/>
      <w:r w:rsidRPr="00DE42B9">
        <w:rPr>
          <w:rFonts w:ascii="Times New Roman" w:hAnsi="Times New Roman" w:cs="Times New Roman"/>
          <w:i w:val="0"/>
          <w:iCs w:val="0"/>
          <w:color w:val="000000" w:themeColor="text1"/>
          <w:sz w:val="20"/>
          <w:szCs w:val="20"/>
        </w:rPr>
        <w:t xml:space="preserve"> dehydratase; </w:t>
      </w:r>
      <w:proofErr w:type="spellStart"/>
      <w:r w:rsidRPr="00DE42B9">
        <w:rPr>
          <w:rFonts w:ascii="Times New Roman" w:hAnsi="Times New Roman" w:cs="Times New Roman"/>
          <w:i w:val="0"/>
          <w:iCs w:val="0"/>
          <w:color w:val="000000" w:themeColor="text1"/>
          <w:sz w:val="20"/>
          <w:szCs w:val="20"/>
        </w:rPr>
        <w:t>IPMDCase</w:t>
      </w:r>
      <w:proofErr w:type="spellEnd"/>
      <w:r w:rsidRPr="00DE42B9">
        <w:rPr>
          <w:rFonts w:ascii="Times New Roman" w:hAnsi="Times New Roman" w:cs="Times New Roman"/>
          <w:i w:val="0"/>
          <w:iCs w:val="0"/>
          <w:color w:val="000000" w:themeColor="text1"/>
          <w:sz w:val="20"/>
          <w:szCs w:val="20"/>
        </w:rPr>
        <w:t xml:space="preserve">, 3-isopropylmalate dehydrogenase; MCD, 2-methylacyl-CoA dehydrogenase; ECHS, enoyl-CoA hydratase; HAD, 3- </w:t>
      </w:r>
      <w:proofErr w:type="spellStart"/>
      <w:r w:rsidRPr="00DE42B9">
        <w:rPr>
          <w:rFonts w:ascii="Times New Roman" w:hAnsi="Times New Roman" w:cs="Times New Roman"/>
          <w:i w:val="0"/>
          <w:iCs w:val="0"/>
          <w:color w:val="000000" w:themeColor="text1"/>
          <w:sz w:val="20"/>
          <w:szCs w:val="20"/>
        </w:rPr>
        <w:t>hydroxyacyl</w:t>
      </w:r>
      <w:proofErr w:type="spellEnd"/>
      <w:r w:rsidRPr="00DE42B9">
        <w:rPr>
          <w:rFonts w:ascii="Times New Roman" w:hAnsi="Times New Roman" w:cs="Times New Roman"/>
          <w:i w:val="0"/>
          <w:iCs w:val="0"/>
          <w:color w:val="000000" w:themeColor="text1"/>
          <w:sz w:val="20"/>
          <w:szCs w:val="20"/>
        </w:rPr>
        <w:t xml:space="preserve">-CoA dehydrogenase; ACAT, acetyl-CoA C-acyltransferase; ACD, acyl-CoA dehydrogenase; HIBCH, 3-hydroxyisobutyryl-CoA hydrolase; HIBADH, 3-hydroxyi- </w:t>
      </w:r>
      <w:proofErr w:type="spellStart"/>
      <w:r w:rsidRPr="00DE42B9">
        <w:rPr>
          <w:rFonts w:ascii="Times New Roman" w:hAnsi="Times New Roman" w:cs="Times New Roman"/>
          <w:i w:val="0"/>
          <w:iCs w:val="0"/>
          <w:color w:val="000000" w:themeColor="text1"/>
          <w:sz w:val="20"/>
          <w:szCs w:val="20"/>
        </w:rPr>
        <w:t>sobutyrate</w:t>
      </w:r>
      <w:proofErr w:type="spellEnd"/>
      <w:r w:rsidRPr="00DE42B9">
        <w:rPr>
          <w:rFonts w:ascii="Times New Roman" w:hAnsi="Times New Roman" w:cs="Times New Roman"/>
          <w:i w:val="0"/>
          <w:iCs w:val="0"/>
          <w:color w:val="000000" w:themeColor="text1"/>
          <w:sz w:val="20"/>
          <w:szCs w:val="20"/>
        </w:rPr>
        <w:t xml:space="preserve"> dehydrogenase; MMSDH, methylmalonate-semialdehyde dehydrogenase; ALDH, aldehyde dehydrogenase; PCC, propionyl-CoA carboxylase; MCM, </w:t>
      </w:r>
      <w:proofErr w:type="spellStart"/>
      <w:r w:rsidRPr="00DE42B9">
        <w:rPr>
          <w:rFonts w:ascii="Times New Roman" w:hAnsi="Times New Roman" w:cs="Times New Roman"/>
          <w:i w:val="0"/>
          <w:iCs w:val="0"/>
          <w:color w:val="000000" w:themeColor="text1"/>
          <w:sz w:val="20"/>
          <w:szCs w:val="20"/>
        </w:rPr>
        <w:t>methylmalonyl</w:t>
      </w:r>
      <w:proofErr w:type="spellEnd"/>
      <w:r w:rsidRPr="00DE42B9">
        <w:rPr>
          <w:rFonts w:ascii="Times New Roman" w:hAnsi="Times New Roman" w:cs="Times New Roman"/>
          <w:i w:val="0"/>
          <w:iCs w:val="0"/>
          <w:color w:val="000000" w:themeColor="text1"/>
          <w:sz w:val="20"/>
          <w:szCs w:val="20"/>
        </w:rPr>
        <w:t xml:space="preserve">-CoA mutase; MCEE, </w:t>
      </w:r>
      <w:proofErr w:type="spellStart"/>
      <w:r w:rsidRPr="00DE42B9">
        <w:rPr>
          <w:rFonts w:ascii="Times New Roman" w:hAnsi="Times New Roman" w:cs="Times New Roman"/>
          <w:i w:val="0"/>
          <w:iCs w:val="0"/>
          <w:color w:val="000000" w:themeColor="text1"/>
          <w:sz w:val="20"/>
          <w:szCs w:val="20"/>
        </w:rPr>
        <w:t>methylmalonyl</w:t>
      </w:r>
      <w:proofErr w:type="spellEnd"/>
      <w:r w:rsidRPr="00DE42B9">
        <w:rPr>
          <w:rFonts w:ascii="Times New Roman" w:hAnsi="Times New Roman" w:cs="Times New Roman"/>
          <w:i w:val="0"/>
          <w:iCs w:val="0"/>
          <w:color w:val="000000" w:themeColor="text1"/>
          <w:sz w:val="20"/>
          <w:szCs w:val="20"/>
        </w:rPr>
        <w:t>-CoA epimerase.</w:t>
      </w:r>
    </w:p>
    <w:p w14:paraId="489780D7" w14:textId="77777777" w:rsidR="00335836" w:rsidRPr="001075EB" w:rsidRDefault="00335836" w:rsidP="00FB1F98">
      <w:pPr>
        <w:pStyle w:val="Caption"/>
        <w:jc w:val="both"/>
        <w:rPr>
          <w:rFonts w:ascii="Times New Roman" w:hAnsi="Times New Roman" w:cs="Times New Roman"/>
          <w:i w:val="0"/>
          <w:iCs w:val="0"/>
          <w:color w:val="000000" w:themeColor="text1"/>
          <w:sz w:val="24"/>
          <w:szCs w:val="24"/>
        </w:rPr>
        <w:sectPr w:rsidR="00335836" w:rsidRPr="001075EB" w:rsidSect="004344A4">
          <w:pgSz w:w="11906" w:h="16838" w:code="9"/>
          <w:pgMar w:top="1440" w:right="1440" w:bottom="1440" w:left="1440" w:header="720" w:footer="720" w:gutter="0"/>
          <w:cols w:space="720"/>
          <w:vAlign w:val="center"/>
          <w:docGrid w:linePitch="299"/>
        </w:sectPr>
      </w:pPr>
    </w:p>
    <w:p w14:paraId="2636031C" w14:textId="715DA88B" w:rsidR="00335836" w:rsidRPr="001075EB" w:rsidRDefault="00335836" w:rsidP="00335836">
      <w:pPr>
        <w:pStyle w:val="Heading3"/>
        <w:spacing w:line="480" w:lineRule="auto"/>
        <w:rPr>
          <w:rFonts w:ascii="Times New Roman" w:hAnsi="Times New Roman" w:cs="Times New Roman"/>
          <w:b/>
          <w:bCs/>
          <w:color w:val="000000" w:themeColor="text1"/>
          <w:sz w:val="24"/>
          <w:szCs w:val="24"/>
        </w:rPr>
      </w:pPr>
      <w:r w:rsidRPr="001075EB">
        <w:rPr>
          <w:rFonts w:ascii="Times New Roman" w:hAnsi="Times New Roman" w:cs="Times New Roman"/>
          <w:b/>
          <w:bCs/>
          <w:color w:val="000000" w:themeColor="text1"/>
          <w:sz w:val="24"/>
          <w:szCs w:val="24"/>
        </w:rPr>
        <w:lastRenderedPageBreak/>
        <w:t>Supplementary Fig</w:t>
      </w:r>
      <w:r w:rsidR="00B62555" w:rsidRPr="001075EB">
        <w:rPr>
          <w:rFonts w:ascii="Times New Roman" w:hAnsi="Times New Roman" w:cs="Times New Roman"/>
          <w:b/>
          <w:bCs/>
          <w:color w:val="000000" w:themeColor="text1"/>
          <w:sz w:val="24"/>
          <w:szCs w:val="24"/>
        </w:rPr>
        <w:t>ure</w:t>
      </w:r>
      <w:r w:rsidRPr="001075EB">
        <w:rPr>
          <w:rFonts w:ascii="Times New Roman" w:hAnsi="Times New Roman" w:cs="Times New Roman"/>
          <w:b/>
          <w:bCs/>
          <w:color w:val="000000" w:themeColor="text1"/>
          <w:sz w:val="24"/>
          <w:szCs w:val="24"/>
        </w:rPr>
        <w:t xml:space="preserve"> S11</w:t>
      </w:r>
    </w:p>
    <w:p w14:paraId="012205A5" w14:textId="77777777" w:rsidR="00335836" w:rsidRPr="001075EB" w:rsidRDefault="00335836" w:rsidP="00335836">
      <w:pPr>
        <w:keepNext/>
        <w:spacing w:line="480" w:lineRule="auto"/>
        <w:rPr>
          <w:rFonts w:ascii="Times New Roman" w:hAnsi="Times New Roman" w:cs="Times New Roman"/>
          <w:color w:val="000000" w:themeColor="text1"/>
          <w:sz w:val="24"/>
          <w:szCs w:val="24"/>
        </w:rPr>
      </w:pPr>
      <w:r w:rsidRPr="001075EB">
        <w:rPr>
          <w:rFonts w:ascii="Times New Roman" w:hAnsi="Times New Roman" w:cs="Times New Roman"/>
          <w:noProof/>
          <w:color w:val="000000" w:themeColor="text1"/>
          <w:sz w:val="24"/>
          <w:szCs w:val="24"/>
          <w:lang w:val="fr-FR" w:eastAsia="fr-FR"/>
        </w:rPr>
        <w:drawing>
          <wp:inline distT="114300" distB="114300" distL="114300" distR="114300" wp14:anchorId="4E988C9C" wp14:editId="4D572DE3">
            <wp:extent cx="5943600" cy="5537200"/>
            <wp:effectExtent l="0" t="0" r="0" b="0"/>
            <wp:docPr id="2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6"/>
                    <a:srcRect/>
                    <a:stretch>
                      <a:fillRect/>
                    </a:stretch>
                  </pic:blipFill>
                  <pic:spPr>
                    <a:xfrm>
                      <a:off x="0" y="0"/>
                      <a:ext cx="5943600" cy="5537200"/>
                    </a:xfrm>
                    <a:prstGeom prst="rect">
                      <a:avLst/>
                    </a:prstGeom>
                    <a:ln/>
                  </pic:spPr>
                </pic:pic>
              </a:graphicData>
            </a:graphic>
          </wp:inline>
        </w:drawing>
      </w:r>
    </w:p>
    <w:p w14:paraId="66B52433" w14:textId="77777777" w:rsidR="00292A47" w:rsidRPr="00DE42B9" w:rsidRDefault="00335836" w:rsidP="00335836">
      <w:pPr>
        <w:pStyle w:val="Caption"/>
        <w:jc w:val="both"/>
        <w:rPr>
          <w:rFonts w:ascii="Times New Roman" w:hAnsi="Times New Roman" w:cs="Times New Roman"/>
          <w:i w:val="0"/>
          <w:iCs w:val="0"/>
          <w:color w:val="000000" w:themeColor="text1"/>
          <w:sz w:val="20"/>
          <w:szCs w:val="20"/>
        </w:rPr>
        <w:sectPr w:rsidR="00292A47" w:rsidRPr="00DE42B9" w:rsidSect="004344A4">
          <w:pgSz w:w="11906" w:h="16838" w:code="9"/>
          <w:pgMar w:top="1440" w:right="1440" w:bottom="1440" w:left="1440" w:header="720" w:footer="720" w:gutter="0"/>
          <w:cols w:space="720"/>
          <w:vAlign w:val="center"/>
          <w:docGrid w:linePitch="299"/>
        </w:sectPr>
      </w:pPr>
      <w:r w:rsidRPr="00DE42B9">
        <w:rPr>
          <w:rFonts w:ascii="Times New Roman" w:hAnsi="Times New Roman" w:cs="Times New Roman"/>
          <w:b/>
          <w:bCs/>
          <w:i w:val="0"/>
          <w:iCs w:val="0"/>
          <w:color w:val="000000" w:themeColor="text1"/>
          <w:sz w:val="20"/>
          <w:szCs w:val="20"/>
        </w:rPr>
        <w:t xml:space="preserve">Lipid biosynthesis and remodeling pathways in </w:t>
      </w:r>
      <w:r w:rsidRPr="00DE42B9">
        <w:rPr>
          <w:rFonts w:ascii="Times New Roman" w:hAnsi="Times New Roman" w:cs="Times New Roman"/>
          <w:b/>
          <w:bCs/>
          <w:color w:val="000000" w:themeColor="text1"/>
          <w:sz w:val="20"/>
          <w:szCs w:val="20"/>
        </w:rPr>
        <w:t>P. tricornutum</w:t>
      </w:r>
      <w:r w:rsidRPr="00DE42B9">
        <w:rPr>
          <w:rFonts w:ascii="Times New Roman" w:hAnsi="Times New Roman" w:cs="Times New Roman"/>
          <w:b/>
          <w:bCs/>
          <w:i w:val="0"/>
          <w:iCs w:val="0"/>
          <w:color w:val="000000" w:themeColor="text1"/>
          <w:sz w:val="20"/>
          <w:szCs w:val="20"/>
        </w:rPr>
        <w:t xml:space="preserve"> as reported in the main text.</w:t>
      </w:r>
      <w:r w:rsidRPr="00DE42B9">
        <w:rPr>
          <w:rFonts w:ascii="Times New Roman" w:hAnsi="Times New Roman" w:cs="Times New Roman"/>
          <w:i w:val="0"/>
          <w:iCs w:val="0"/>
          <w:color w:val="000000" w:themeColor="text1"/>
          <w:sz w:val="20"/>
          <w:szCs w:val="20"/>
        </w:rPr>
        <w:t xml:space="preserve"> The heatmap reports the daily change in gene expression during the time course of the experiment. PDC, pyruvate dehydrogenase complex; ACC, acetyl-CoA carboxylase; MCAT, </w:t>
      </w:r>
      <w:proofErr w:type="spellStart"/>
      <w:r w:rsidRPr="00DE42B9">
        <w:rPr>
          <w:rFonts w:ascii="Times New Roman" w:hAnsi="Times New Roman" w:cs="Times New Roman"/>
          <w:i w:val="0"/>
          <w:iCs w:val="0"/>
          <w:color w:val="000000" w:themeColor="text1"/>
          <w:sz w:val="20"/>
          <w:szCs w:val="20"/>
        </w:rPr>
        <w:t>malonyl-CoA:ACP</w:t>
      </w:r>
      <w:proofErr w:type="spellEnd"/>
      <w:r w:rsidRPr="00DE42B9">
        <w:rPr>
          <w:rFonts w:ascii="Times New Roman" w:hAnsi="Times New Roman" w:cs="Times New Roman"/>
          <w:i w:val="0"/>
          <w:iCs w:val="0"/>
          <w:color w:val="000000" w:themeColor="text1"/>
          <w:sz w:val="20"/>
          <w:szCs w:val="20"/>
        </w:rPr>
        <w:t xml:space="preserve"> transacylase; FAB, fatty acid biosynthesis; PGK, phosphoglycerate kinase; GPAT, glycerol-3-phosphate: acyl-ACP acyltransferase; LPAT, </w:t>
      </w:r>
      <w:proofErr w:type="spellStart"/>
      <w:r w:rsidRPr="00DE42B9">
        <w:rPr>
          <w:rFonts w:ascii="Times New Roman" w:hAnsi="Times New Roman" w:cs="Times New Roman"/>
          <w:i w:val="0"/>
          <w:iCs w:val="0"/>
          <w:color w:val="000000" w:themeColor="text1"/>
          <w:sz w:val="20"/>
          <w:szCs w:val="20"/>
        </w:rPr>
        <w:t>lysophosphatidate</w:t>
      </w:r>
      <w:proofErr w:type="spellEnd"/>
      <w:r w:rsidRPr="00DE42B9">
        <w:rPr>
          <w:rFonts w:ascii="Times New Roman" w:hAnsi="Times New Roman" w:cs="Times New Roman"/>
          <w:i w:val="0"/>
          <w:iCs w:val="0"/>
          <w:color w:val="000000" w:themeColor="text1"/>
          <w:sz w:val="20"/>
          <w:szCs w:val="20"/>
        </w:rPr>
        <w:t xml:space="preserve"> acyltransferase; PAP, </w:t>
      </w:r>
      <w:proofErr w:type="spellStart"/>
      <w:r w:rsidRPr="00DE42B9">
        <w:rPr>
          <w:rFonts w:ascii="Times New Roman" w:hAnsi="Times New Roman" w:cs="Times New Roman"/>
          <w:i w:val="0"/>
          <w:iCs w:val="0"/>
          <w:color w:val="000000" w:themeColor="text1"/>
          <w:sz w:val="20"/>
          <w:szCs w:val="20"/>
        </w:rPr>
        <w:t>phosphatidate</w:t>
      </w:r>
      <w:proofErr w:type="spellEnd"/>
      <w:r w:rsidRPr="00DE42B9">
        <w:rPr>
          <w:rFonts w:ascii="Times New Roman" w:hAnsi="Times New Roman" w:cs="Times New Roman"/>
          <w:i w:val="0"/>
          <w:iCs w:val="0"/>
          <w:color w:val="000000" w:themeColor="text1"/>
          <w:sz w:val="20"/>
          <w:szCs w:val="20"/>
        </w:rPr>
        <w:t xml:space="preserve"> phosphatase; CDS, </w:t>
      </w:r>
      <w:proofErr w:type="spellStart"/>
      <w:r w:rsidRPr="00DE42B9">
        <w:rPr>
          <w:rFonts w:ascii="Times New Roman" w:hAnsi="Times New Roman" w:cs="Times New Roman"/>
          <w:i w:val="0"/>
          <w:iCs w:val="0"/>
          <w:color w:val="000000" w:themeColor="text1"/>
          <w:sz w:val="20"/>
          <w:szCs w:val="20"/>
        </w:rPr>
        <w:t>phosphatidate</w:t>
      </w:r>
      <w:proofErr w:type="spellEnd"/>
      <w:r w:rsidRPr="00DE42B9">
        <w:rPr>
          <w:rFonts w:ascii="Times New Roman" w:hAnsi="Times New Roman" w:cs="Times New Roman"/>
          <w:i w:val="0"/>
          <w:iCs w:val="0"/>
          <w:color w:val="000000" w:themeColor="text1"/>
          <w:sz w:val="20"/>
          <w:szCs w:val="20"/>
        </w:rPr>
        <w:t xml:space="preserve"> cytidylyltransferase; PGPS, CDP-diacylglycerol--glycerol-3-phosphate 3-phosphatidyltransferase, PLC, phospholipase C; SQD1, UDP-</w:t>
      </w:r>
      <w:proofErr w:type="spellStart"/>
      <w:r w:rsidRPr="00DE42B9">
        <w:rPr>
          <w:rFonts w:ascii="Times New Roman" w:hAnsi="Times New Roman" w:cs="Times New Roman"/>
          <w:i w:val="0"/>
          <w:iCs w:val="0"/>
          <w:color w:val="000000" w:themeColor="text1"/>
          <w:sz w:val="20"/>
          <w:szCs w:val="20"/>
        </w:rPr>
        <w:t>sulfoquinovose</w:t>
      </w:r>
      <w:proofErr w:type="spellEnd"/>
      <w:r w:rsidRPr="00DE42B9">
        <w:rPr>
          <w:rFonts w:ascii="Times New Roman" w:hAnsi="Times New Roman" w:cs="Times New Roman"/>
          <w:i w:val="0"/>
          <w:iCs w:val="0"/>
          <w:color w:val="000000" w:themeColor="text1"/>
          <w:sz w:val="20"/>
          <w:szCs w:val="20"/>
        </w:rPr>
        <w:t xml:space="preserve"> synthase; SQD2, glycosyl transferase; UPG/PGM, UDP-glucose-pyrophosphorylase/phosphoglucomutase; UGE, UDP-galactose 4-epimerase; MGD, MGDG synthase; DGD, DGDG synthase; EPT, ethanolamine phosphotransferase; PLD, phospholipase D; PLA, phospholipase A; LPCAT, </w:t>
      </w:r>
      <w:proofErr w:type="spellStart"/>
      <w:r w:rsidRPr="00DE42B9">
        <w:rPr>
          <w:rFonts w:ascii="Times New Roman" w:hAnsi="Times New Roman" w:cs="Times New Roman"/>
          <w:i w:val="0"/>
          <w:iCs w:val="0"/>
          <w:color w:val="000000" w:themeColor="text1"/>
          <w:sz w:val="20"/>
          <w:szCs w:val="20"/>
        </w:rPr>
        <w:t>lysophosphatidylcholine</w:t>
      </w:r>
      <w:proofErr w:type="spellEnd"/>
      <w:r w:rsidRPr="00DE42B9">
        <w:rPr>
          <w:rFonts w:ascii="Times New Roman" w:hAnsi="Times New Roman" w:cs="Times New Roman"/>
          <w:i w:val="0"/>
          <w:iCs w:val="0"/>
          <w:color w:val="000000" w:themeColor="text1"/>
          <w:sz w:val="20"/>
          <w:szCs w:val="20"/>
        </w:rPr>
        <w:t xml:space="preserve"> acyltransferase; PDAT, </w:t>
      </w:r>
      <w:proofErr w:type="spellStart"/>
      <w:r w:rsidRPr="00DE42B9">
        <w:rPr>
          <w:rFonts w:ascii="Times New Roman" w:hAnsi="Times New Roman" w:cs="Times New Roman"/>
          <w:i w:val="0"/>
          <w:iCs w:val="0"/>
          <w:color w:val="000000" w:themeColor="text1"/>
          <w:sz w:val="20"/>
          <w:szCs w:val="20"/>
        </w:rPr>
        <w:t>phospholipid:diacylglycerol</w:t>
      </w:r>
      <w:proofErr w:type="spellEnd"/>
      <w:r w:rsidRPr="00DE42B9">
        <w:rPr>
          <w:rFonts w:ascii="Times New Roman" w:hAnsi="Times New Roman" w:cs="Times New Roman"/>
          <w:i w:val="0"/>
          <w:iCs w:val="0"/>
          <w:color w:val="000000" w:themeColor="text1"/>
          <w:sz w:val="20"/>
          <w:szCs w:val="20"/>
        </w:rPr>
        <w:t xml:space="preserve"> acyltransferase; DGAT, acyl </w:t>
      </w:r>
      <w:proofErr w:type="spellStart"/>
      <w:r w:rsidRPr="00DE42B9">
        <w:rPr>
          <w:rFonts w:ascii="Times New Roman" w:hAnsi="Times New Roman" w:cs="Times New Roman"/>
          <w:i w:val="0"/>
          <w:iCs w:val="0"/>
          <w:color w:val="000000" w:themeColor="text1"/>
          <w:sz w:val="20"/>
          <w:szCs w:val="20"/>
        </w:rPr>
        <w:t>CoA:diacylglycerol</w:t>
      </w:r>
      <w:proofErr w:type="spellEnd"/>
      <w:r w:rsidRPr="00DE42B9">
        <w:rPr>
          <w:rFonts w:ascii="Times New Roman" w:hAnsi="Times New Roman" w:cs="Times New Roman"/>
          <w:i w:val="0"/>
          <w:iCs w:val="0"/>
          <w:color w:val="000000" w:themeColor="text1"/>
          <w:sz w:val="20"/>
          <w:szCs w:val="20"/>
        </w:rPr>
        <w:t xml:space="preserve"> acyltransferase; ACP, acyl carrier protein.</w:t>
      </w:r>
    </w:p>
    <w:p w14:paraId="4E3AA40D" w14:textId="25F34507" w:rsidR="00292A47" w:rsidRPr="001075EB" w:rsidRDefault="00292A47" w:rsidP="00292A47">
      <w:pPr>
        <w:pStyle w:val="Heading3"/>
        <w:spacing w:line="480" w:lineRule="auto"/>
        <w:rPr>
          <w:rFonts w:ascii="Times New Roman" w:hAnsi="Times New Roman" w:cs="Times New Roman"/>
          <w:b/>
          <w:bCs/>
          <w:color w:val="000000" w:themeColor="text1"/>
          <w:sz w:val="24"/>
          <w:szCs w:val="24"/>
        </w:rPr>
      </w:pPr>
      <w:r w:rsidRPr="001075EB">
        <w:rPr>
          <w:rFonts w:ascii="Times New Roman" w:hAnsi="Times New Roman" w:cs="Times New Roman"/>
          <w:b/>
          <w:bCs/>
          <w:color w:val="000000" w:themeColor="text1"/>
          <w:sz w:val="24"/>
          <w:szCs w:val="24"/>
        </w:rPr>
        <w:lastRenderedPageBreak/>
        <w:t>Supplementary Fig</w:t>
      </w:r>
      <w:r w:rsidR="00B62555" w:rsidRPr="001075EB">
        <w:rPr>
          <w:rFonts w:ascii="Times New Roman" w:hAnsi="Times New Roman" w:cs="Times New Roman"/>
          <w:b/>
          <w:bCs/>
          <w:color w:val="000000" w:themeColor="text1"/>
          <w:sz w:val="24"/>
          <w:szCs w:val="24"/>
        </w:rPr>
        <w:t>ure</w:t>
      </w:r>
      <w:r w:rsidRPr="001075EB">
        <w:rPr>
          <w:rFonts w:ascii="Times New Roman" w:hAnsi="Times New Roman" w:cs="Times New Roman"/>
          <w:b/>
          <w:bCs/>
          <w:color w:val="000000" w:themeColor="text1"/>
          <w:sz w:val="24"/>
          <w:szCs w:val="24"/>
        </w:rPr>
        <w:t xml:space="preserve"> S12</w:t>
      </w:r>
    </w:p>
    <w:p w14:paraId="3AB4534D" w14:textId="77777777" w:rsidR="00292A47" w:rsidRPr="001075EB" w:rsidRDefault="00292A47" w:rsidP="00A650C8">
      <w:pPr>
        <w:keepNext/>
        <w:spacing w:line="480" w:lineRule="auto"/>
        <w:jc w:val="center"/>
        <w:rPr>
          <w:rFonts w:ascii="Times New Roman" w:hAnsi="Times New Roman" w:cs="Times New Roman"/>
          <w:color w:val="000000" w:themeColor="text1"/>
          <w:sz w:val="24"/>
          <w:szCs w:val="24"/>
        </w:rPr>
      </w:pPr>
      <w:r w:rsidRPr="001075EB">
        <w:rPr>
          <w:rFonts w:ascii="Times New Roman" w:hAnsi="Times New Roman" w:cs="Times New Roman"/>
          <w:noProof/>
          <w:color w:val="000000" w:themeColor="text1"/>
          <w:sz w:val="24"/>
          <w:szCs w:val="24"/>
          <w:lang w:val="fr-FR" w:eastAsia="fr-FR"/>
        </w:rPr>
        <w:drawing>
          <wp:inline distT="114300" distB="114300" distL="114300" distR="114300" wp14:anchorId="357F774A" wp14:editId="00169B42">
            <wp:extent cx="8093192" cy="4126232"/>
            <wp:effectExtent l="0" t="0" r="3175" b="762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8097632" cy="4128496"/>
                    </a:xfrm>
                    <a:prstGeom prst="rect">
                      <a:avLst/>
                    </a:prstGeom>
                    <a:ln/>
                  </pic:spPr>
                </pic:pic>
              </a:graphicData>
            </a:graphic>
          </wp:inline>
        </w:drawing>
      </w:r>
    </w:p>
    <w:p w14:paraId="32EC7CE0" w14:textId="77777777" w:rsidR="00292A47" w:rsidRPr="00DE42B9" w:rsidRDefault="00292A47" w:rsidP="00292A47">
      <w:pPr>
        <w:pStyle w:val="Caption"/>
        <w:jc w:val="both"/>
        <w:rPr>
          <w:rFonts w:ascii="Times New Roman" w:hAnsi="Times New Roman" w:cs="Times New Roman"/>
          <w:i w:val="0"/>
          <w:iCs w:val="0"/>
          <w:color w:val="000000" w:themeColor="text1"/>
          <w:sz w:val="20"/>
          <w:szCs w:val="20"/>
        </w:rPr>
      </w:pPr>
      <w:r w:rsidRPr="00DE42B9">
        <w:rPr>
          <w:rFonts w:ascii="Times New Roman" w:hAnsi="Times New Roman" w:cs="Times New Roman"/>
          <w:b/>
          <w:bCs/>
          <w:i w:val="0"/>
          <w:iCs w:val="0"/>
          <w:color w:val="000000" w:themeColor="text1"/>
          <w:sz w:val="20"/>
          <w:szCs w:val="20"/>
        </w:rPr>
        <w:t xml:space="preserve">Detailed glycolytic pathways heatmap reporting the detailed gene expression change in the two organelles. </w:t>
      </w:r>
      <w:r w:rsidRPr="00DE42B9">
        <w:rPr>
          <w:rFonts w:ascii="Times New Roman" w:hAnsi="Times New Roman" w:cs="Times New Roman"/>
          <w:i w:val="0"/>
          <w:iCs w:val="0"/>
          <w:color w:val="000000" w:themeColor="text1"/>
          <w:sz w:val="20"/>
          <w:szCs w:val="20"/>
        </w:rPr>
        <w:t xml:space="preserve">PGM, phosphoglucomutase; GPI, glucose-6-phosphate isomerase; PFK, phosphofructokinase; FBA, fructose bisphosphate aldolase; GAPD, glyceraldehyde-3-phosphate dehydrogenase; PGK, phosphoglycerate kinase; PGAM, phosphoglycerate mutase; ENO, enolase; PK, pyruvate kinase; PPDK, Pyruvate, phosphate </w:t>
      </w:r>
      <w:proofErr w:type="spellStart"/>
      <w:r w:rsidRPr="00DE42B9">
        <w:rPr>
          <w:rFonts w:ascii="Times New Roman" w:hAnsi="Times New Roman" w:cs="Times New Roman"/>
          <w:i w:val="0"/>
          <w:iCs w:val="0"/>
          <w:color w:val="000000" w:themeColor="text1"/>
          <w:sz w:val="20"/>
          <w:szCs w:val="20"/>
        </w:rPr>
        <w:t>dikinase</w:t>
      </w:r>
      <w:proofErr w:type="spellEnd"/>
      <w:r w:rsidRPr="00DE42B9">
        <w:rPr>
          <w:rFonts w:ascii="Times New Roman" w:hAnsi="Times New Roman" w:cs="Times New Roman"/>
          <w:i w:val="0"/>
          <w:iCs w:val="0"/>
          <w:color w:val="000000" w:themeColor="text1"/>
          <w:sz w:val="20"/>
          <w:szCs w:val="20"/>
        </w:rPr>
        <w:t xml:space="preserve">; FBP, fructose-1,6-bisphosphatase; RPE2, ribulose-phosphate 3-epimerase; TKT, transketolase; RPI, ribose-5-phosphate isomerase; ALDO, </w:t>
      </w:r>
      <w:proofErr w:type="spellStart"/>
      <w:r w:rsidRPr="00DE42B9">
        <w:rPr>
          <w:rFonts w:ascii="Times New Roman" w:hAnsi="Times New Roman" w:cs="Times New Roman"/>
          <w:i w:val="0"/>
          <w:iCs w:val="0"/>
          <w:color w:val="000000" w:themeColor="text1"/>
          <w:sz w:val="20"/>
          <w:szCs w:val="20"/>
        </w:rPr>
        <w:t>transaldolase</w:t>
      </w:r>
      <w:proofErr w:type="spellEnd"/>
      <w:r w:rsidRPr="00DE42B9">
        <w:rPr>
          <w:rFonts w:ascii="Times New Roman" w:hAnsi="Times New Roman" w:cs="Times New Roman"/>
          <w:i w:val="0"/>
          <w:iCs w:val="0"/>
          <w:color w:val="000000" w:themeColor="text1"/>
          <w:sz w:val="20"/>
          <w:szCs w:val="20"/>
        </w:rPr>
        <w:t>; TPT, plastidic triose-phosphate/phosphate translocator, PYRT, pyruvate transporters; MPC, mitochondrial pyruvate carrier.</w:t>
      </w:r>
    </w:p>
    <w:p w14:paraId="36BFEF26" w14:textId="42A2481C" w:rsidR="00335836" w:rsidRPr="001075EB" w:rsidRDefault="00335836" w:rsidP="00335836">
      <w:pPr>
        <w:pStyle w:val="Caption"/>
        <w:jc w:val="both"/>
        <w:rPr>
          <w:rFonts w:ascii="Times New Roman" w:hAnsi="Times New Roman" w:cs="Times New Roman"/>
          <w:i w:val="0"/>
          <w:iCs w:val="0"/>
          <w:color w:val="000000" w:themeColor="text1"/>
          <w:sz w:val="24"/>
          <w:szCs w:val="24"/>
        </w:rPr>
        <w:sectPr w:rsidR="00335836" w:rsidRPr="001075EB" w:rsidSect="004344A4">
          <w:pgSz w:w="16838" w:h="11906" w:orient="landscape" w:code="9"/>
          <w:pgMar w:top="1440" w:right="1440" w:bottom="1440" w:left="1440" w:header="720" w:footer="720" w:gutter="0"/>
          <w:cols w:space="720"/>
          <w:vAlign w:val="center"/>
          <w:docGrid w:linePitch="299"/>
        </w:sectPr>
      </w:pPr>
    </w:p>
    <w:p w14:paraId="7C4666BC" w14:textId="13B04ABA" w:rsidR="00335836" w:rsidRPr="001075EB" w:rsidRDefault="00335836" w:rsidP="00335836">
      <w:pPr>
        <w:pStyle w:val="Heading3"/>
        <w:spacing w:line="480" w:lineRule="auto"/>
        <w:rPr>
          <w:rFonts w:ascii="Times New Roman" w:hAnsi="Times New Roman" w:cs="Times New Roman"/>
          <w:color w:val="000000" w:themeColor="text1"/>
          <w:sz w:val="24"/>
          <w:szCs w:val="24"/>
        </w:rPr>
      </w:pPr>
      <w:r w:rsidRPr="001075EB">
        <w:rPr>
          <w:rFonts w:ascii="Times New Roman" w:hAnsi="Times New Roman" w:cs="Times New Roman"/>
          <w:b/>
          <w:bCs/>
          <w:color w:val="000000" w:themeColor="text1"/>
          <w:sz w:val="24"/>
          <w:szCs w:val="24"/>
        </w:rPr>
        <w:lastRenderedPageBreak/>
        <w:t>Supplementary Fig</w:t>
      </w:r>
      <w:r w:rsidR="00B62555" w:rsidRPr="001075EB">
        <w:rPr>
          <w:rFonts w:ascii="Times New Roman" w:hAnsi="Times New Roman" w:cs="Times New Roman"/>
          <w:b/>
          <w:bCs/>
          <w:color w:val="000000" w:themeColor="text1"/>
          <w:sz w:val="24"/>
          <w:szCs w:val="24"/>
        </w:rPr>
        <w:t>ure</w:t>
      </w:r>
      <w:r w:rsidRPr="001075EB">
        <w:rPr>
          <w:rFonts w:ascii="Times New Roman" w:hAnsi="Times New Roman" w:cs="Times New Roman"/>
          <w:b/>
          <w:bCs/>
          <w:color w:val="000000" w:themeColor="text1"/>
          <w:sz w:val="24"/>
          <w:szCs w:val="24"/>
        </w:rPr>
        <w:t xml:space="preserve"> S1</w:t>
      </w:r>
      <w:r w:rsidR="00292A47" w:rsidRPr="001075EB">
        <w:rPr>
          <w:rFonts w:ascii="Times New Roman" w:hAnsi="Times New Roman" w:cs="Times New Roman"/>
          <w:b/>
          <w:bCs/>
          <w:color w:val="000000" w:themeColor="text1"/>
          <w:sz w:val="24"/>
          <w:szCs w:val="24"/>
        </w:rPr>
        <w:t>3</w:t>
      </w:r>
    </w:p>
    <w:p w14:paraId="33E023A6" w14:textId="77777777" w:rsidR="00335836" w:rsidRPr="001075EB" w:rsidRDefault="00335836" w:rsidP="00335836">
      <w:pPr>
        <w:keepNext/>
        <w:spacing w:line="480" w:lineRule="auto"/>
        <w:rPr>
          <w:rFonts w:ascii="Times New Roman" w:hAnsi="Times New Roman" w:cs="Times New Roman"/>
          <w:color w:val="000000" w:themeColor="text1"/>
          <w:sz w:val="24"/>
          <w:szCs w:val="24"/>
        </w:rPr>
      </w:pPr>
      <w:r w:rsidRPr="001075EB">
        <w:rPr>
          <w:rFonts w:ascii="Times New Roman" w:hAnsi="Times New Roman" w:cs="Times New Roman"/>
          <w:noProof/>
          <w:color w:val="000000" w:themeColor="text1"/>
          <w:sz w:val="24"/>
          <w:szCs w:val="24"/>
          <w:lang w:val="fr-FR" w:eastAsia="fr-FR"/>
        </w:rPr>
        <w:drawing>
          <wp:inline distT="114300" distB="114300" distL="114300" distR="114300" wp14:anchorId="5FB49276" wp14:editId="594D191B">
            <wp:extent cx="8112238" cy="4411016"/>
            <wp:effectExtent l="0" t="0" r="3175" b="889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8138533" cy="4425314"/>
                    </a:xfrm>
                    <a:prstGeom prst="rect">
                      <a:avLst/>
                    </a:prstGeom>
                    <a:ln/>
                  </pic:spPr>
                </pic:pic>
              </a:graphicData>
            </a:graphic>
          </wp:inline>
        </w:drawing>
      </w:r>
    </w:p>
    <w:p w14:paraId="20191170" w14:textId="69ED8513" w:rsidR="00335836" w:rsidRPr="00DE42B9" w:rsidRDefault="00335836" w:rsidP="00335836">
      <w:pPr>
        <w:pStyle w:val="Caption"/>
        <w:jc w:val="both"/>
        <w:rPr>
          <w:rFonts w:ascii="Times New Roman" w:hAnsi="Times New Roman" w:cs="Times New Roman"/>
          <w:i w:val="0"/>
          <w:iCs w:val="0"/>
          <w:color w:val="000000" w:themeColor="text1"/>
          <w:sz w:val="20"/>
          <w:szCs w:val="20"/>
        </w:rPr>
        <w:sectPr w:rsidR="00335836" w:rsidRPr="00DE42B9" w:rsidSect="004344A4">
          <w:pgSz w:w="16838" w:h="11906" w:orient="landscape" w:code="9"/>
          <w:pgMar w:top="1440" w:right="1440" w:bottom="1440" w:left="1440" w:header="720" w:footer="720" w:gutter="0"/>
          <w:cols w:space="720"/>
          <w:vAlign w:val="center"/>
          <w:docGrid w:linePitch="299"/>
        </w:sectPr>
      </w:pPr>
      <w:r w:rsidRPr="00DE42B9">
        <w:rPr>
          <w:rFonts w:ascii="Times New Roman" w:hAnsi="Times New Roman" w:cs="Times New Roman"/>
          <w:b/>
          <w:bCs/>
          <w:i w:val="0"/>
          <w:iCs w:val="0"/>
          <w:color w:val="000000" w:themeColor="text1"/>
          <w:sz w:val="20"/>
          <w:szCs w:val="20"/>
        </w:rPr>
        <w:t>Tricarboxylic acid cycle with detailed daily heatmap showing the change in gene expression during the time course of the experiment.</w:t>
      </w:r>
      <w:r w:rsidRPr="00DE42B9">
        <w:rPr>
          <w:rFonts w:ascii="Times New Roman" w:hAnsi="Times New Roman" w:cs="Times New Roman"/>
          <w:i w:val="0"/>
          <w:iCs w:val="0"/>
          <w:color w:val="000000" w:themeColor="text1"/>
          <w:sz w:val="20"/>
          <w:szCs w:val="20"/>
        </w:rPr>
        <w:t xml:space="preserve"> PC, pyruvate carboxylase; ME, malic enzyme; PDH, pyruvate dehydrogenase; DLDH, </w:t>
      </w:r>
      <w:proofErr w:type="spellStart"/>
      <w:r w:rsidRPr="00DE42B9">
        <w:rPr>
          <w:rFonts w:ascii="Times New Roman" w:hAnsi="Times New Roman" w:cs="Times New Roman"/>
          <w:i w:val="0"/>
          <w:iCs w:val="0"/>
          <w:color w:val="000000" w:themeColor="text1"/>
          <w:sz w:val="20"/>
          <w:szCs w:val="20"/>
        </w:rPr>
        <w:t>dihydrolipoyl</w:t>
      </w:r>
      <w:proofErr w:type="spellEnd"/>
      <w:r w:rsidRPr="00DE42B9">
        <w:rPr>
          <w:rFonts w:ascii="Times New Roman" w:hAnsi="Times New Roman" w:cs="Times New Roman"/>
          <w:i w:val="0"/>
          <w:iCs w:val="0"/>
          <w:color w:val="000000" w:themeColor="text1"/>
          <w:sz w:val="20"/>
          <w:szCs w:val="20"/>
        </w:rPr>
        <w:t xml:space="preserve"> dehydrogenase; DHLTA, dihydrolipoamide s-acetyltransferase; MDH, malate dehydrogenase; CS, citrate synthase; </w:t>
      </w:r>
      <w:proofErr w:type="spellStart"/>
      <w:r w:rsidRPr="00DE42B9">
        <w:rPr>
          <w:rFonts w:ascii="Times New Roman" w:hAnsi="Times New Roman" w:cs="Times New Roman"/>
          <w:i w:val="0"/>
          <w:iCs w:val="0"/>
          <w:color w:val="000000" w:themeColor="text1"/>
          <w:sz w:val="20"/>
          <w:szCs w:val="20"/>
        </w:rPr>
        <w:t>AcTase</w:t>
      </w:r>
      <w:proofErr w:type="spellEnd"/>
      <w:r w:rsidRPr="00DE42B9">
        <w:rPr>
          <w:rFonts w:ascii="Times New Roman" w:hAnsi="Times New Roman" w:cs="Times New Roman"/>
          <w:i w:val="0"/>
          <w:iCs w:val="0"/>
          <w:color w:val="000000" w:themeColor="text1"/>
          <w:sz w:val="20"/>
          <w:szCs w:val="20"/>
        </w:rPr>
        <w:t xml:space="preserve">, aconitase; IDH, isocitrate dehydrogenase; OGD, oxoglutarate dehydrogenase; SCS, succinate CoA ligase; SDH, succinate dehydrogenase; FUM, fumarase. </w:t>
      </w:r>
    </w:p>
    <w:p w14:paraId="7E925B66" w14:textId="3C7B8662" w:rsidR="00335836" w:rsidRPr="001075EB" w:rsidRDefault="00335836" w:rsidP="00335836">
      <w:pPr>
        <w:pStyle w:val="Heading3"/>
        <w:spacing w:line="480" w:lineRule="auto"/>
        <w:rPr>
          <w:rFonts w:ascii="Times New Roman" w:hAnsi="Times New Roman" w:cs="Times New Roman"/>
          <w:b/>
          <w:bCs/>
          <w:color w:val="000000" w:themeColor="text1"/>
          <w:sz w:val="24"/>
          <w:szCs w:val="24"/>
        </w:rPr>
      </w:pPr>
      <w:r w:rsidRPr="001075EB">
        <w:rPr>
          <w:rFonts w:ascii="Times New Roman" w:hAnsi="Times New Roman" w:cs="Times New Roman"/>
          <w:b/>
          <w:bCs/>
          <w:color w:val="000000" w:themeColor="text1"/>
          <w:sz w:val="24"/>
          <w:szCs w:val="24"/>
        </w:rPr>
        <w:lastRenderedPageBreak/>
        <w:t>Supplementary Fig</w:t>
      </w:r>
      <w:r w:rsidR="00B62555" w:rsidRPr="001075EB">
        <w:rPr>
          <w:rFonts w:ascii="Times New Roman" w:hAnsi="Times New Roman" w:cs="Times New Roman"/>
          <w:b/>
          <w:bCs/>
          <w:color w:val="000000" w:themeColor="text1"/>
          <w:sz w:val="24"/>
          <w:szCs w:val="24"/>
        </w:rPr>
        <w:t>ure</w:t>
      </w:r>
      <w:r w:rsidRPr="001075EB">
        <w:rPr>
          <w:rFonts w:ascii="Times New Roman" w:hAnsi="Times New Roman" w:cs="Times New Roman"/>
          <w:b/>
          <w:bCs/>
          <w:color w:val="000000" w:themeColor="text1"/>
          <w:sz w:val="24"/>
          <w:szCs w:val="24"/>
        </w:rPr>
        <w:t xml:space="preserve"> S1</w:t>
      </w:r>
      <w:r w:rsidR="00292A47" w:rsidRPr="001075EB">
        <w:rPr>
          <w:rFonts w:ascii="Times New Roman" w:hAnsi="Times New Roman" w:cs="Times New Roman"/>
          <w:b/>
          <w:bCs/>
          <w:color w:val="000000" w:themeColor="text1"/>
          <w:sz w:val="24"/>
          <w:szCs w:val="24"/>
        </w:rPr>
        <w:t>4</w:t>
      </w:r>
    </w:p>
    <w:p w14:paraId="4FC95868" w14:textId="77777777" w:rsidR="00335836" w:rsidRPr="001075EB" w:rsidRDefault="00335836" w:rsidP="00335836">
      <w:pPr>
        <w:keepNext/>
        <w:spacing w:line="480" w:lineRule="auto"/>
        <w:rPr>
          <w:rFonts w:ascii="Times New Roman" w:hAnsi="Times New Roman" w:cs="Times New Roman"/>
          <w:color w:val="000000" w:themeColor="text1"/>
          <w:sz w:val="24"/>
          <w:szCs w:val="24"/>
        </w:rPr>
      </w:pPr>
      <w:r w:rsidRPr="001075EB">
        <w:rPr>
          <w:rFonts w:ascii="Times New Roman" w:hAnsi="Times New Roman" w:cs="Times New Roman"/>
          <w:noProof/>
          <w:color w:val="000000" w:themeColor="text1"/>
          <w:sz w:val="24"/>
          <w:szCs w:val="24"/>
          <w:lang w:val="fr-FR" w:eastAsia="fr-FR"/>
        </w:rPr>
        <w:drawing>
          <wp:inline distT="0" distB="0" distL="0" distR="0" wp14:anchorId="20E14659" wp14:editId="7D548F2F">
            <wp:extent cx="5943600" cy="4943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943475"/>
                    </a:xfrm>
                    <a:prstGeom prst="rect">
                      <a:avLst/>
                    </a:prstGeom>
                    <a:noFill/>
                    <a:ln>
                      <a:noFill/>
                    </a:ln>
                  </pic:spPr>
                </pic:pic>
              </a:graphicData>
            </a:graphic>
          </wp:inline>
        </w:drawing>
      </w:r>
    </w:p>
    <w:p w14:paraId="20DF3A35" w14:textId="4538938B" w:rsidR="00AF27BC" w:rsidRPr="00DE42B9" w:rsidRDefault="00335836" w:rsidP="00292A47">
      <w:pPr>
        <w:pStyle w:val="Caption"/>
        <w:jc w:val="both"/>
        <w:rPr>
          <w:rFonts w:ascii="Times New Roman" w:hAnsi="Times New Roman" w:cs="Times New Roman"/>
          <w:color w:val="000000" w:themeColor="text1"/>
          <w:sz w:val="20"/>
          <w:szCs w:val="20"/>
        </w:rPr>
        <w:sectPr w:rsidR="00AF27BC" w:rsidRPr="00DE42B9" w:rsidSect="004344A4">
          <w:pgSz w:w="11906" w:h="16838" w:code="9"/>
          <w:pgMar w:top="1440" w:right="1440" w:bottom="1440" w:left="1440" w:header="720" w:footer="720" w:gutter="0"/>
          <w:cols w:space="720"/>
          <w:vAlign w:val="center"/>
          <w:docGrid w:linePitch="299"/>
        </w:sectPr>
      </w:pPr>
      <w:r w:rsidRPr="00DE42B9">
        <w:rPr>
          <w:rFonts w:ascii="Times New Roman" w:hAnsi="Times New Roman" w:cs="Times New Roman"/>
          <w:b/>
          <w:bCs/>
          <w:i w:val="0"/>
          <w:iCs w:val="0"/>
          <w:color w:val="000000" w:themeColor="text1"/>
          <w:sz w:val="20"/>
          <w:szCs w:val="20"/>
        </w:rPr>
        <w:t xml:space="preserve">Glycolysis/gluconeogenesis, pentose phosphate pathway and chrysolaminarin metabolism in </w:t>
      </w:r>
      <w:proofErr w:type="spellStart"/>
      <w:r w:rsidRPr="00DE42B9">
        <w:rPr>
          <w:rFonts w:ascii="Times New Roman" w:hAnsi="Times New Roman" w:cs="Times New Roman"/>
          <w:b/>
          <w:bCs/>
          <w:color w:val="000000" w:themeColor="text1"/>
          <w:sz w:val="20"/>
          <w:szCs w:val="20"/>
        </w:rPr>
        <w:t>P.tricornutum</w:t>
      </w:r>
      <w:proofErr w:type="spellEnd"/>
      <w:r w:rsidRPr="00DE42B9">
        <w:rPr>
          <w:rFonts w:ascii="Times New Roman" w:hAnsi="Times New Roman" w:cs="Times New Roman"/>
          <w:b/>
          <w:bCs/>
          <w:i w:val="0"/>
          <w:iCs w:val="0"/>
          <w:color w:val="000000" w:themeColor="text1"/>
          <w:sz w:val="20"/>
          <w:szCs w:val="20"/>
        </w:rPr>
        <w:t xml:space="preserve"> with the detailed daily heatmap reporting the change in gene expression during the time course of the experiment.</w:t>
      </w:r>
      <w:r w:rsidRPr="00DE42B9">
        <w:rPr>
          <w:rFonts w:ascii="Times New Roman" w:hAnsi="Times New Roman" w:cs="Times New Roman"/>
          <w:i w:val="0"/>
          <w:iCs w:val="0"/>
          <w:color w:val="000000" w:themeColor="text1"/>
          <w:sz w:val="20"/>
          <w:szCs w:val="20"/>
        </w:rPr>
        <w:t xml:space="preserve"> BG, beta-glucosidase, GLK, glucokinase; GPI, glucose-6-phosphate isomerase; FBP, fructose-1,6-bisphosphatase; PFK, phosphofructokinase; FBA, fructose bisphosphate aldolase; GAPD, glyceraldehyde-3-phosphate dehydrogenase; PGK, phosphoglycerate kinase; PGAM, phosphoglycerate mutase; ENO, enolase; PK, pyruvate kinase; TIM, triosephosphate isomerase; G6PDH, glucose 6-phosphate dehydrogenase; PGL, 6-phosphogluconolactonase, 6PGDH, </w:t>
      </w:r>
      <w:proofErr w:type="spellStart"/>
      <w:r w:rsidRPr="00DE42B9">
        <w:rPr>
          <w:rFonts w:ascii="Times New Roman" w:hAnsi="Times New Roman" w:cs="Times New Roman"/>
          <w:i w:val="0"/>
          <w:iCs w:val="0"/>
          <w:color w:val="000000" w:themeColor="text1"/>
          <w:sz w:val="20"/>
          <w:szCs w:val="20"/>
        </w:rPr>
        <w:t>phosphogluconate</w:t>
      </w:r>
      <w:proofErr w:type="spellEnd"/>
      <w:r w:rsidRPr="00DE42B9">
        <w:rPr>
          <w:rFonts w:ascii="Times New Roman" w:hAnsi="Times New Roman" w:cs="Times New Roman"/>
          <w:i w:val="0"/>
          <w:iCs w:val="0"/>
          <w:color w:val="000000" w:themeColor="text1"/>
          <w:sz w:val="20"/>
          <w:szCs w:val="20"/>
        </w:rPr>
        <w:t xml:space="preserve"> dehydrogenase; RPE2, ribulose-phosphate 3-epimerase; TKT, transketolase; TALDO, </w:t>
      </w:r>
      <w:proofErr w:type="spellStart"/>
      <w:r w:rsidRPr="00DE42B9">
        <w:rPr>
          <w:rFonts w:ascii="Times New Roman" w:hAnsi="Times New Roman" w:cs="Times New Roman"/>
          <w:i w:val="0"/>
          <w:iCs w:val="0"/>
          <w:color w:val="000000" w:themeColor="text1"/>
          <w:sz w:val="20"/>
          <w:szCs w:val="20"/>
        </w:rPr>
        <w:t>transaldolase</w:t>
      </w:r>
      <w:proofErr w:type="spellEnd"/>
      <w:r w:rsidRPr="00DE42B9">
        <w:rPr>
          <w:rFonts w:ascii="Times New Roman" w:hAnsi="Times New Roman" w:cs="Times New Roman"/>
          <w:i w:val="0"/>
          <w:iCs w:val="0"/>
          <w:color w:val="000000" w:themeColor="text1"/>
          <w:sz w:val="20"/>
          <w:szCs w:val="20"/>
        </w:rPr>
        <w:t xml:space="preserve">; UPG/PGM, UDP-glucose-pyrophosphorylase/phosphoglucomutase; PGM, phosphoglucomutase; UGP, UTP--glucose-1-phosphate </w:t>
      </w:r>
      <w:proofErr w:type="spellStart"/>
      <w:r w:rsidRPr="00DE42B9">
        <w:rPr>
          <w:rFonts w:ascii="Times New Roman" w:hAnsi="Times New Roman" w:cs="Times New Roman"/>
          <w:i w:val="0"/>
          <w:iCs w:val="0"/>
          <w:color w:val="000000" w:themeColor="text1"/>
          <w:sz w:val="20"/>
          <w:szCs w:val="20"/>
        </w:rPr>
        <w:t>uridylyltransferase</w:t>
      </w:r>
      <w:proofErr w:type="spellEnd"/>
      <w:r w:rsidRPr="00DE42B9">
        <w:rPr>
          <w:rFonts w:ascii="Times New Roman" w:hAnsi="Times New Roman" w:cs="Times New Roman"/>
          <w:i w:val="0"/>
          <w:iCs w:val="0"/>
          <w:color w:val="000000" w:themeColor="text1"/>
          <w:sz w:val="20"/>
          <w:szCs w:val="20"/>
        </w:rPr>
        <w:t>; BGS, 1,3-beta-glucan synthase; TGS, 1,6-β-</w:t>
      </w:r>
      <w:proofErr w:type="spellStart"/>
      <w:r w:rsidRPr="00DE42B9">
        <w:rPr>
          <w:rFonts w:ascii="Times New Roman" w:hAnsi="Times New Roman" w:cs="Times New Roman"/>
          <w:i w:val="0"/>
          <w:iCs w:val="0"/>
          <w:color w:val="000000" w:themeColor="text1"/>
          <w:sz w:val="20"/>
          <w:szCs w:val="20"/>
        </w:rPr>
        <w:t>transglycosylases</w:t>
      </w:r>
      <w:proofErr w:type="spellEnd"/>
      <w:r w:rsidRPr="00DE42B9">
        <w:rPr>
          <w:rFonts w:ascii="Times New Roman" w:hAnsi="Times New Roman" w:cs="Times New Roman"/>
          <w:i w:val="0"/>
          <w:iCs w:val="0"/>
          <w:color w:val="000000" w:themeColor="text1"/>
          <w:sz w:val="20"/>
          <w:szCs w:val="20"/>
        </w:rPr>
        <w:t xml:space="preserve">; Exo-BGA, </w:t>
      </w:r>
      <w:proofErr w:type="spellStart"/>
      <w:r w:rsidRPr="00DE42B9">
        <w:rPr>
          <w:rFonts w:ascii="Times New Roman" w:hAnsi="Times New Roman" w:cs="Times New Roman"/>
          <w:i w:val="0"/>
          <w:iCs w:val="0"/>
          <w:color w:val="000000" w:themeColor="text1"/>
          <w:sz w:val="20"/>
          <w:szCs w:val="20"/>
        </w:rPr>
        <w:t>exo</w:t>
      </w:r>
      <w:proofErr w:type="spellEnd"/>
      <w:r w:rsidRPr="00DE42B9">
        <w:rPr>
          <w:rFonts w:ascii="Times New Roman" w:hAnsi="Times New Roman" w:cs="Times New Roman"/>
          <w:i w:val="0"/>
          <w:iCs w:val="0"/>
          <w:color w:val="000000" w:themeColor="text1"/>
          <w:sz w:val="20"/>
          <w:szCs w:val="20"/>
        </w:rPr>
        <w:t>-beta-</w:t>
      </w:r>
      <w:proofErr w:type="spellStart"/>
      <w:r w:rsidRPr="00DE42B9">
        <w:rPr>
          <w:rFonts w:ascii="Times New Roman" w:hAnsi="Times New Roman" w:cs="Times New Roman"/>
          <w:i w:val="0"/>
          <w:iCs w:val="0"/>
          <w:color w:val="000000" w:themeColor="text1"/>
          <w:sz w:val="20"/>
          <w:szCs w:val="20"/>
        </w:rPr>
        <w:t>glucanase</w:t>
      </w:r>
      <w:proofErr w:type="spellEnd"/>
      <w:r w:rsidRPr="00DE42B9">
        <w:rPr>
          <w:rFonts w:ascii="Times New Roman" w:hAnsi="Times New Roman" w:cs="Times New Roman"/>
          <w:i w:val="0"/>
          <w:iCs w:val="0"/>
          <w:color w:val="000000" w:themeColor="text1"/>
          <w:sz w:val="20"/>
          <w:szCs w:val="20"/>
        </w:rPr>
        <w:t>; Endo-BGA, endo-beta-</w:t>
      </w:r>
      <w:proofErr w:type="spellStart"/>
      <w:r w:rsidRPr="00DE42B9">
        <w:rPr>
          <w:rFonts w:ascii="Times New Roman" w:hAnsi="Times New Roman" w:cs="Times New Roman"/>
          <w:i w:val="0"/>
          <w:iCs w:val="0"/>
          <w:color w:val="000000" w:themeColor="text1"/>
          <w:sz w:val="20"/>
          <w:szCs w:val="20"/>
        </w:rPr>
        <w:t>glucanase</w:t>
      </w:r>
      <w:proofErr w:type="spellEnd"/>
      <w:r w:rsidRPr="00DE42B9">
        <w:rPr>
          <w:rFonts w:ascii="Times New Roman" w:hAnsi="Times New Roman" w:cs="Times New Roman"/>
          <w:i w:val="0"/>
          <w:iCs w:val="0"/>
          <w:color w:val="000000" w:themeColor="text1"/>
          <w:sz w:val="20"/>
          <w:szCs w:val="20"/>
        </w:rPr>
        <w:t>.</w:t>
      </w:r>
    </w:p>
    <w:p w14:paraId="064598A0" w14:textId="5F70B899" w:rsidR="00ED7769" w:rsidRPr="001075EB" w:rsidRDefault="00ED7769" w:rsidP="00ED7769">
      <w:pPr>
        <w:pStyle w:val="Heading3"/>
        <w:spacing w:line="480" w:lineRule="auto"/>
        <w:rPr>
          <w:rFonts w:ascii="Times New Roman" w:hAnsi="Times New Roman" w:cs="Times New Roman"/>
          <w:b/>
          <w:bCs/>
          <w:color w:val="000000" w:themeColor="text1"/>
          <w:sz w:val="24"/>
          <w:szCs w:val="24"/>
        </w:rPr>
      </w:pPr>
      <w:r w:rsidRPr="001075EB">
        <w:rPr>
          <w:rFonts w:ascii="Times New Roman" w:hAnsi="Times New Roman" w:cs="Times New Roman"/>
          <w:b/>
          <w:bCs/>
          <w:color w:val="000000" w:themeColor="text1"/>
          <w:sz w:val="24"/>
          <w:szCs w:val="24"/>
        </w:rPr>
        <w:lastRenderedPageBreak/>
        <w:t>Supplementary Table S</w:t>
      </w:r>
      <w:r w:rsidR="00D63AB4" w:rsidRPr="001075EB">
        <w:rPr>
          <w:rFonts w:ascii="Times New Roman" w:hAnsi="Times New Roman" w:cs="Times New Roman"/>
          <w:b/>
          <w:bCs/>
          <w:color w:val="000000" w:themeColor="text1"/>
          <w:sz w:val="24"/>
          <w:szCs w:val="24"/>
        </w:rPr>
        <w:t>1</w:t>
      </w:r>
    </w:p>
    <w:p w14:paraId="36FCD6B1" w14:textId="4BF0EAED" w:rsidR="00ED7769" w:rsidRPr="00DE42B9" w:rsidRDefault="00D63AB4" w:rsidP="00ED7769">
      <w:pPr>
        <w:pStyle w:val="Caption"/>
        <w:keepNext/>
        <w:jc w:val="both"/>
        <w:rPr>
          <w:rFonts w:ascii="Times New Roman" w:hAnsi="Times New Roman" w:cs="Times New Roman"/>
          <w:i w:val="0"/>
          <w:iCs w:val="0"/>
          <w:color w:val="000000" w:themeColor="text1"/>
          <w:sz w:val="20"/>
          <w:szCs w:val="20"/>
        </w:rPr>
      </w:pPr>
      <w:r w:rsidRPr="00DE42B9">
        <w:rPr>
          <w:rFonts w:ascii="Times New Roman" w:hAnsi="Times New Roman" w:cs="Times New Roman"/>
          <w:b/>
          <w:bCs/>
          <w:i w:val="0"/>
          <w:iCs w:val="0"/>
          <w:color w:val="000000" w:themeColor="text1"/>
          <w:sz w:val="20"/>
          <w:szCs w:val="20"/>
        </w:rPr>
        <w:t>L</w:t>
      </w:r>
      <w:r w:rsidR="00ED7769" w:rsidRPr="00DE42B9">
        <w:rPr>
          <w:rFonts w:ascii="Times New Roman" w:hAnsi="Times New Roman" w:cs="Times New Roman"/>
          <w:b/>
          <w:bCs/>
          <w:i w:val="0"/>
          <w:iCs w:val="0"/>
          <w:color w:val="000000" w:themeColor="text1"/>
          <w:sz w:val="20"/>
          <w:szCs w:val="20"/>
        </w:rPr>
        <w:t xml:space="preserve">ist of publications reporting information on nitrogen starvation response in </w:t>
      </w:r>
      <w:r w:rsidR="00ED7769" w:rsidRPr="00DE42B9">
        <w:rPr>
          <w:rFonts w:ascii="Times New Roman" w:hAnsi="Times New Roman" w:cs="Times New Roman"/>
          <w:b/>
          <w:bCs/>
          <w:color w:val="000000" w:themeColor="text1"/>
          <w:sz w:val="20"/>
          <w:szCs w:val="20"/>
        </w:rPr>
        <w:t>P. tricornutum</w:t>
      </w:r>
      <w:r w:rsidR="00ED7769" w:rsidRPr="00DE42B9">
        <w:rPr>
          <w:rFonts w:ascii="Times New Roman" w:hAnsi="Times New Roman" w:cs="Times New Roman"/>
          <w:b/>
          <w:bCs/>
          <w:i w:val="0"/>
          <w:iCs w:val="0"/>
          <w:color w:val="000000" w:themeColor="text1"/>
          <w:sz w:val="20"/>
          <w:szCs w:val="20"/>
        </w:rPr>
        <w:t xml:space="preserve">. </w:t>
      </w:r>
      <w:r w:rsidR="00ED7769" w:rsidRPr="00DE42B9">
        <w:rPr>
          <w:rFonts w:ascii="Times New Roman" w:hAnsi="Times New Roman" w:cs="Times New Roman"/>
          <w:i w:val="0"/>
          <w:iCs w:val="0"/>
          <w:color w:val="000000" w:themeColor="text1"/>
          <w:sz w:val="20"/>
          <w:szCs w:val="20"/>
        </w:rPr>
        <w:t xml:space="preserve">(a) </w:t>
      </w:r>
      <w:r w:rsidR="00ED7769" w:rsidRPr="00DE42B9">
        <w:rPr>
          <w:rFonts w:ascii="Times New Roman" w:hAnsi="Times New Roman" w:cs="Times New Roman"/>
          <w:color w:val="000000" w:themeColor="text1"/>
          <w:sz w:val="20"/>
          <w:szCs w:val="20"/>
        </w:rPr>
        <w:t xml:space="preserve">P. tricornutum </w:t>
      </w:r>
      <w:r w:rsidR="00ED7769" w:rsidRPr="00DE42B9">
        <w:rPr>
          <w:rFonts w:ascii="Times New Roman" w:hAnsi="Times New Roman" w:cs="Times New Roman"/>
          <w:i w:val="0"/>
          <w:iCs w:val="0"/>
          <w:color w:val="000000" w:themeColor="text1"/>
          <w:sz w:val="20"/>
          <w:szCs w:val="20"/>
        </w:rPr>
        <w:t xml:space="preserve">culture collection ID and ecotype, information is reported according to each reference. (b) Type of treatment that has been performed. N- treatment refers to an exposure of the </w:t>
      </w:r>
      <w:r w:rsidR="00ED7769" w:rsidRPr="00DE42B9">
        <w:rPr>
          <w:rFonts w:ascii="Times New Roman" w:hAnsi="Times New Roman" w:cs="Times New Roman"/>
          <w:color w:val="000000" w:themeColor="text1"/>
          <w:sz w:val="20"/>
          <w:szCs w:val="20"/>
        </w:rPr>
        <w:t xml:space="preserve">P. tricornutum </w:t>
      </w:r>
      <w:r w:rsidR="00ED7769" w:rsidRPr="00DE42B9">
        <w:rPr>
          <w:rFonts w:ascii="Times New Roman" w:hAnsi="Times New Roman" w:cs="Times New Roman"/>
          <w:i w:val="0"/>
          <w:iCs w:val="0"/>
          <w:color w:val="000000" w:themeColor="text1"/>
          <w:sz w:val="20"/>
          <w:szCs w:val="20"/>
        </w:rPr>
        <w:t>strain to N starvation; N+</w:t>
      </w:r>
      <w:r w:rsidR="00E86AEB" w:rsidRPr="00DE42B9">
        <w:rPr>
          <w:rFonts w:ascii="Times New Roman" w:hAnsi="Times New Roman" w:cs="Times New Roman"/>
          <w:i w:val="0"/>
          <w:iCs w:val="0"/>
          <w:color w:val="000000" w:themeColor="text1"/>
          <w:sz w:val="20"/>
          <w:szCs w:val="20"/>
        </w:rPr>
        <w:t xml:space="preserve"> to N- comparison refers to the</w:t>
      </w:r>
      <w:r w:rsidR="00ED7769" w:rsidRPr="00DE42B9">
        <w:rPr>
          <w:rFonts w:ascii="Times New Roman" w:hAnsi="Times New Roman" w:cs="Times New Roman"/>
          <w:i w:val="0"/>
          <w:iCs w:val="0"/>
          <w:color w:val="000000" w:themeColor="text1"/>
          <w:sz w:val="20"/>
          <w:szCs w:val="20"/>
        </w:rPr>
        <w:t xml:space="preserve"> comparisons between N availability and N limitation; N+ to N- transfer refers to a transfer of cells from nitrogen replated to nitrogen starved conditions; N+ to N- transition refers to a transition from N repleted to N starved conditions. Comparisons between different nitrogen sources and N and P combined limitation are specified. (c) Different nitrogen concentration used for N+ and N- treatment reported in the corresponding reference. (d) Type of culture used in the reference publication: batch in flask of photobioreactor (PBR) or continuous in PBR (chemostat or turbidostat are specified). (e) Type of medium used: ASP-2 </w:t>
      </w:r>
      <w:r w:rsidR="00C7390D" w:rsidRPr="00DE42B9">
        <w:rPr>
          <w:rFonts w:ascii="Times New Roman" w:hAnsi="Times New Roman" w:cs="Times New Roman"/>
          <w:i w:val="0"/>
          <w:iCs w:val="0"/>
          <w:color w:val="000000" w:themeColor="text1"/>
          <w:sz w:val="20"/>
          <w:szCs w:val="20"/>
        </w:rPr>
        <w:fldChar w:fldCharType="begin"/>
      </w:r>
      <w:r w:rsidR="00E86AEB" w:rsidRPr="00DE42B9">
        <w:rPr>
          <w:rFonts w:ascii="Times New Roman" w:hAnsi="Times New Roman" w:cs="Times New Roman"/>
          <w:i w:val="0"/>
          <w:iCs w:val="0"/>
          <w:color w:val="000000" w:themeColor="text1"/>
          <w:sz w:val="20"/>
          <w:szCs w:val="20"/>
        </w:rPr>
        <w:instrText xml:space="preserve"> ADDIN EN.CITE &lt;EndNote&gt;&lt;Cite&gt;&lt;Author&gt;Provasoli&lt;/Author&gt;&lt;Year&gt;1957&lt;/Year&gt;&lt;RecNum&gt;284721&lt;/RecNum&gt;&lt;DisplayText&gt;(Provasoli&lt;style face="italic"&gt; et al.&lt;/style&gt;, 1957)&lt;/DisplayText&gt;&lt;record&gt;&lt;rec-number&gt;284721&lt;/rec-number&gt;&lt;foreign-keys&gt;&lt;key app="EN" db-id="9efww95sirratne9w0tv95fpzxp2w52rz959" timestamp="1625645122"&gt;284721&lt;/key&gt;&lt;/foreign-keys&gt;&lt;ref-type name="Journal Article"&gt;17&lt;/ref-type&gt;&lt;contributors&gt;&lt;authors&gt;&lt;author&gt;Provasoli, L.&lt;/author&gt;&lt;author&gt;McLaughlin, J. J. A.&lt;/author&gt;&lt;author&gt;Droop, M. R.&lt;/author&gt;&lt;/authors&gt;&lt;/contributors&gt;&lt;titles&gt;&lt;title&gt;The development of artificial media for marine algae&lt;/title&gt;&lt;secondary-title&gt;Archiv für Mikrobiologie&lt;/secondary-title&gt;&lt;/titles&gt;&lt;periodical&gt;&lt;full-title&gt;Archiv fur Mikrobiologie&lt;/full-title&gt;&lt;/periodical&gt;&lt;pages&gt;392-428&lt;/pages&gt;&lt;volume&gt;25&lt;/volume&gt;&lt;number&gt;4&lt;/number&gt;&lt;section&gt;392&lt;/section&gt;&lt;dates&gt;&lt;year&gt;1957&lt;/year&gt;&lt;pub-dates&gt;&lt;date&gt;1957/12/01&lt;/date&gt;&lt;/pub-dates&gt;&lt;/dates&gt;&lt;isbn&gt;1432-072X&lt;/isbn&gt;&lt;urls&gt;&lt;related-urls&gt;&lt;url&gt;https://doi.org/10.1007/BF00446694&lt;/url&gt;&lt;/related-urls&gt;&lt;/urls&gt;&lt;electronic-resource-num&gt;10.1007/BF00446694&lt;/electronic-resource-num&gt;&lt;/record&gt;&lt;/Cite&gt;&lt;/EndNote&gt;</w:instrText>
      </w:r>
      <w:r w:rsidR="00C7390D" w:rsidRPr="00DE42B9">
        <w:rPr>
          <w:rFonts w:ascii="Times New Roman" w:hAnsi="Times New Roman" w:cs="Times New Roman"/>
          <w:i w:val="0"/>
          <w:iCs w:val="0"/>
          <w:color w:val="000000" w:themeColor="text1"/>
          <w:sz w:val="20"/>
          <w:szCs w:val="20"/>
        </w:rPr>
        <w:fldChar w:fldCharType="separate"/>
      </w:r>
      <w:r w:rsidR="00C7390D" w:rsidRPr="00DE42B9">
        <w:rPr>
          <w:rFonts w:ascii="Times New Roman" w:hAnsi="Times New Roman" w:cs="Times New Roman"/>
          <w:i w:val="0"/>
          <w:iCs w:val="0"/>
          <w:noProof/>
          <w:color w:val="000000" w:themeColor="text1"/>
          <w:sz w:val="20"/>
          <w:szCs w:val="20"/>
        </w:rPr>
        <w:t>(Provasoli</w:t>
      </w:r>
      <w:r w:rsidR="00C7390D" w:rsidRPr="00DE42B9">
        <w:rPr>
          <w:rFonts w:ascii="Times New Roman" w:hAnsi="Times New Roman" w:cs="Times New Roman"/>
          <w:iCs w:val="0"/>
          <w:noProof/>
          <w:color w:val="000000" w:themeColor="text1"/>
          <w:sz w:val="20"/>
          <w:szCs w:val="20"/>
        </w:rPr>
        <w:t xml:space="preserve"> et al.</w:t>
      </w:r>
      <w:r w:rsidR="00C7390D" w:rsidRPr="00DE42B9">
        <w:rPr>
          <w:rFonts w:ascii="Times New Roman" w:hAnsi="Times New Roman" w:cs="Times New Roman"/>
          <w:i w:val="0"/>
          <w:iCs w:val="0"/>
          <w:noProof/>
          <w:color w:val="000000" w:themeColor="text1"/>
          <w:sz w:val="20"/>
          <w:szCs w:val="20"/>
        </w:rPr>
        <w:t>, 1957)</w:t>
      </w:r>
      <w:r w:rsidR="00C7390D" w:rsidRPr="00DE42B9">
        <w:rPr>
          <w:rFonts w:ascii="Times New Roman" w:hAnsi="Times New Roman" w:cs="Times New Roman"/>
          <w:i w:val="0"/>
          <w:iCs w:val="0"/>
          <w:color w:val="000000" w:themeColor="text1"/>
          <w:sz w:val="20"/>
          <w:szCs w:val="20"/>
        </w:rPr>
        <w:fldChar w:fldCharType="end"/>
      </w:r>
      <w:r w:rsidR="00ED7769" w:rsidRPr="00DE42B9">
        <w:rPr>
          <w:rFonts w:ascii="Times New Roman" w:hAnsi="Times New Roman" w:cs="Times New Roman"/>
          <w:i w:val="0"/>
          <w:iCs w:val="0"/>
          <w:color w:val="000000" w:themeColor="text1"/>
          <w:sz w:val="20"/>
          <w:szCs w:val="20"/>
        </w:rPr>
        <w:t xml:space="preserve">; f/2 medium </w:t>
      </w:r>
      <w:r w:rsidR="00C7390D" w:rsidRPr="00DE42B9">
        <w:rPr>
          <w:rFonts w:ascii="Times New Roman" w:hAnsi="Times New Roman" w:cs="Times New Roman"/>
          <w:i w:val="0"/>
          <w:iCs w:val="0"/>
          <w:color w:val="000000" w:themeColor="text1"/>
          <w:sz w:val="20"/>
          <w:szCs w:val="20"/>
        </w:rPr>
        <w:fldChar w:fldCharType="begin"/>
      </w:r>
      <w:r w:rsidR="00C7390D" w:rsidRPr="00DE42B9">
        <w:rPr>
          <w:rFonts w:ascii="Times New Roman" w:hAnsi="Times New Roman" w:cs="Times New Roman"/>
          <w:i w:val="0"/>
          <w:iCs w:val="0"/>
          <w:color w:val="000000" w:themeColor="text1"/>
          <w:sz w:val="20"/>
          <w:szCs w:val="20"/>
        </w:rPr>
        <w:instrText xml:space="preserve"> ADDIN EN.CITE &lt;EndNote&gt;&lt;Cite&gt;&lt;Author&gt;Guillard&lt;/Author&gt;&lt;Year&gt;1962&lt;/Year&gt;&lt;RecNum&gt;228538&lt;/RecNum&gt;&lt;DisplayText&gt;(Guillard and Ryther, 1962)&lt;/DisplayText&gt;&lt;record&gt;&lt;rec-number&gt;228538&lt;/rec-number&gt;&lt;foreign-keys&gt;&lt;key app="EN" db-id="9efww95sirratne9w0tv95fpzxp2w52rz959" timestamp="1465393677"&gt;228538&lt;/key&gt;&lt;/foreign-keys&gt;&lt;ref-type name="Journal Article"&gt;17&lt;/ref-type&gt;&lt;contributors&gt;&lt;authors&gt;&lt;author&gt;Guillard, R.R.&lt;/author&gt;&lt;author&gt;Ryther, J.H.&lt;/author&gt;&lt;/authors&gt;&lt;/contributors&gt;&lt;titles&gt;&lt;title&gt;&lt;style face="normal" font="default" size="100%"&gt;Studies of marine planktonic diatoms: I. &lt;/style&gt;&lt;style face="italic" font="default" size="100%"&gt;Cyclotella nana&lt;/style&gt;&lt;style face="normal" font="default" size="100%"&gt; and &lt;/style&gt;&lt;style face="italic" font="default" size="100%"&gt;Detonula confervacea&lt;/style&gt;&lt;style face="normal" font="default" size="100%"&gt; (Cleve)&lt;/style&gt;&lt;/title&gt;&lt;secondary-title&gt;Canadian Journal of Microbiology&lt;/secondary-title&gt;&lt;/titles&gt;&lt;periodical&gt;&lt;full-title&gt;CANADIAN JOURNAL OF MICROBIOLOGY&lt;/full-title&gt;&lt;/periodical&gt;&lt;pages&gt;229-239&lt;/pages&gt;&lt;volume&gt;8&lt;/volume&gt;&lt;section&gt;229&lt;/section&gt;&lt;dates&gt;&lt;year&gt;1962&lt;/year&gt;&lt;/dates&gt;&lt;urls&gt;&lt;/urls&gt;&lt;/record&gt;&lt;/Cite&gt;&lt;/EndNote&gt;</w:instrText>
      </w:r>
      <w:r w:rsidR="00C7390D" w:rsidRPr="00DE42B9">
        <w:rPr>
          <w:rFonts w:ascii="Times New Roman" w:hAnsi="Times New Roman" w:cs="Times New Roman"/>
          <w:i w:val="0"/>
          <w:iCs w:val="0"/>
          <w:color w:val="000000" w:themeColor="text1"/>
          <w:sz w:val="20"/>
          <w:szCs w:val="20"/>
        </w:rPr>
        <w:fldChar w:fldCharType="separate"/>
      </w:r>
      <w:r w:rsidR="00C7390D" w:rsidRPr="00DE42B9">
        <w:rPr>
          <w:rFonts w:ascii="Times New Roman" w:hAnsi="Times New Roman" w:cs="Times New Roman"/>
          <w:i w:val="0"/>
          <w:iCs w:val="0"/>
          <w:noProof/>
          <w:color w:val="000000" w:themeColor="text1"/>
          <w:sz w:val="20"/>
          <w:szCs w:val="20"/>
        </w:rPr>
        <w:t>(Guillard and Ryther, 1962)</w:t>
      </w:r>
      <w:r w:rsidR="00C7390D" w:rsidRPr="00DE42B9">
        <w:rPr>
          <w:rFonts w:ascii="Times New Roman" w:hAnsi="Times New Roman" w:cs="Times New Roman"/>
          <w:i w:val="0"/>
          <w:iCs w:val="0"/>
          <w:color w:val="000000" w:themeColor="text1"/>
          <w:sz w:val="20"/>
          <w:szCs w:val="20"/>
        </w:rPr>
        <w:fldChar w:fldCharType="end"/>
      </w:r>
      <w:r w:rsidR="00ED7769" w:rsidRPr="00DE42B9">
        <w:rPr>
          <w:rFonts w:ascii="Times New Roman" w:hAnsi="Times New Roman" w:cs="Times New Roman"/>
          <w:i w:val="0"/>
          <w:iCs w:val="0"/>
          <w:color w:val="000000" w:themeColor="text1"/>
          <w:sz w:val="20"/>
          <w:szCs w:val="20"/>
        </w:rPr>
        <w:t xml:space="preserve">; ASW, artificial sea water; ESAW, enriched ASW; RSE medium. Particular medium types and variants is specified. </w:t>
      </w:r>
      <w:proofErr w:type="spellStart"/>
      <w:r w:rsidR="00ED7769" w:rsidRPr="00DE42B9">
        <w:rPr>
          <w:rFonts w:ascii="Times New Roman" w:hAnsi="Times New Roman" w:cs="Times New Roman"/>
          <w:i w:val="0"/>
          <w:iCs w:val="0"/>
          <w:color w:val="000000" w:themeColor="text1"/>
          <w:sz w:val="20"/>
          <w:szCs w:val="20"/>
        </w:rPr>
        <w:t>Walne</w:t>
      </w:r>
      <w:proofErr w:type="spellEnd"/>
      <w:r w:rsidR="00ED7769" w:rsidRPr="00DE42B9">
        <w:rPr>
          <w:rFonts w:ascii="Times New Roman" w:hAnsi="Times New Roman" w:cs="Times New Roman"/>
          <w:i w:val="0"/>
          <w:iCs w:val="0"/>
          <w:color w:val="000000" w:themeColor="text1"/>
          <w:sz w:val="20"/>
          <w:szCs w:val="20"/>
        </w:rPr>
        <w:t xml:space="preserve"> solution </w:t>
      </w:r>
      <w:r w:rsidR="00E86AEB" w:rsidRPr="00DE42B9">
        <w:rPr>
          <w:rFonts w:ascii="Times New Roman" w:hAnsi="Times New Roman" w:cs="Times New Roman"/>
          <w:i w:val="0"/>
          <w:iCs w:val="0"/>
          <w:color w:val="000000" w:themeColor="text1"/>
          <w:sz w:val="20"/>
          <w:szCs w:val="20"/>
        </w:rPr>
        <w:fldChar w:fldCharType="begin"/>
      </w:r>
      <w:r w:rsidR="00E86AEB" w:rsidRPr="00DE42B9">
        <w:rPr>
          <w:rFonts w:ascii="Times New Roman" w:hAnsi="Times New Roman" w:cs="Times New Roman"/>
          <w:i w:val="0"/>
          <w:iCs w:val="0"/>
          <w:color w:val="000000" w:themeColor="text1"/>
          <w:sz w:val="20"/>
          <w:szCs w:val="20"/>
        </w:rPr>
        <w:instrText xml:space="preserve"> ADDIN EN.CITE &lt;EndNote&gt;&lt;Cite&gt;&lt;Author&gt;Walne&lt;/Author&gt;&lt;Year&gt;1966&lt;/Year&gt;&lt;RecNum&gt;284722&lt;/RecNum&gt;&lt;DisplayText&gt;(Walne, 1966)&lt;/DisplayText&gt;&lt;record&gt;&lt;rec-number&gt;284722&lt;/rec-number&gt;&lt;foreign-keys&gt;&lt;key app="EN" db-id="9efww95sirratne9w0tv95fpzxp2w52rz959" timestamp="1625645937"&gt;284722&lt;/key&gt;&lt;/foreign-keys&gt;&lt;ref-type name="Journal Article"&gt;17&lt;/ref-type&gt;&lt;contributors&gt;&lt;authors&gt;&lt;author&gt;Walne, P.R.&lt;/author&gt;&lt;/authors&gt;&lt;/contributors&gt;&lt;titles&gt;&lt;title&gt;&lt;style face="normal" font="default" size="100%"&gt;Experiments in the large-scale culture of the larvae of &lt;/style&gt;&lt;style face="italic" font="default" size="100%"&gt;Ostrea edulis&lt;/style&gt;&lt;style face="normal" font="default" size="100%"&gt; L.&lt;/style&gt;&lt;/title&gt;&lt;secondary-title&gt;Fishery Investigations&lt;/secondary-title&gt;&lt;/titles&gt;&lt;periodical&gt;&lt;full-title&gt;Fishery Investigations&lt;/full-title&gt;&lt;/periodical&gt;&lt;pages&gt;1-55&lt;/pages&gt;&lt;volume&gt;25&lt;/volume&gt;&lt;section&gt;1&lt;/section&gt;&lt;dates&gt;&lt;year&gt;1966&lt;/year&gt;&lt;/dates&gt;&lt;urls&gt;&lt;/urls&gt;&lt;/record&gt;&lt;/Cite&gt;&lt;/EndNote&gt;</w:instrText>
      </w:r>
      <w:r w:rsidR="00E86AEB" w:rsidRPr="00DE42B9">
        <w:rPr>
          <w:rFonts w:ascii="Times New Roman" w:hAnsi="Times New Roman" w:cs="Times New Roman"/>
          <w:i w:val="0"/>
          <w:iCs w:val="0"/>
          <w:color w:val="000000" w:themeColor="text1"/>
          <w:sz w:val="20"/>
          <w:szCs w:val="20"/>
        </w:rPr>
        <w:fldChar w:fldCharType="separate"/>
      </w:r>
      <w:r w:rsidR="00E86AEB" w:rsidRPr="00DE42B9">
        <w:rPr>
          <w:rFonts w:ascii="Times New Roman" w:hAnsi="Times New Roman" w:cs="Times New Roman"/>
          <w:i w:val="0"/>
          <w:iCs w:val="0"/>
          <w:noProof/>
          <w:color w:val="000000" w:themeColor="text1"/>
          <w:sz w:val="20"/>
          <w:szCs w:val="20"/>
        </w:rPr>
        <w:t>(Walne, 1966)</w:t>
      </w:r>
      <w:r w:rsidR="00E86AEB" w:rsidRPr="00DE42B9">
        <w:rPr>
          <w:rFonts w:ascii="Times New Roman" w:hAnsi="Times New Roman" w:cs="Times New Roman"/>
          <w:i w:val="0"/>
          <w:iCs w:val="0"/>
          <w:color w:val="000000" w:themeColor="text1"/>
          <w:sz w:val="20"/>
          <w:szCs w:val="20"/>
        </w:rPr>
        <w:fldChar w:fldCharType="end"/>
      </w:r>
      <w:r w:rsidR="00AA6408" w:rsidRPr="00DE42B9">
        <w:rPr>
          <w:rFonts w:ascii="Times New Roman" w:hAnsi="Times New Roman" w:cs="Times New Roman"/>
          <w:i w:val="0"/>
          <w:iCs w:val="0"/>
          <w:color w:val="000000" w:themeColor="text1"/>
          <w:sz w:val="20"/>
          <w:szCs w:val="20"/>
        </w:rPr>
        <w:t>. For f/4 medium composition refer to the respective publication</w:t>
      </w:r>
      <w:r w:rsidR="00ED7769" w:rsidRPr="00DE42B9">
        <w:rPr>
          <w:rFonts w:ascii="Times New Roman" w:hAnsi="Times New Roman" w:cs="Times New Roman"/>
          <w:i w:val="0"/>
          <w:iCs w:val="0"/>
          <w:color w:val="000000" w:themeColor="text1"/>
          <w:sz w:val="20"/>
          <w:szCs w:val="20"/>
        </w:rPr>
        <w:t>. (f) Light cycle and light intensity, not always the information is available. (g) Temperature, not always the information is available. (h) Carbon source. Mainly through air bubbling, air flux and CO</w:t>
      </w:r>
      <w:r w:rsidR="00ED7769" w:rsidRPr="00DE42B9">
        <w:rPr>
          <w:rFonts w:ascii="Times New Roman" w:hAnsi="Times New Roman" w:cs="Times New Roman"/>
          <w:i w:val="0"/>
          <w:iCs w:val="0"/>
          <w:color w:val="000000" w:themeColor="text1"/>
          <w:sz w:val="20"/>
          <w:szCs w:val="20"/>
          <w:vertAlign w:val="subscript"/>
        </w:rPr>
        <w:t xml:space="preserve">2 </w:t>
      </w:r>
      <w:r w:rsidR="00ED7769" w:rsidRPr="00DE42B9">
        <w:rPr>
          <w:rFonts w:ascii="Times New Roman" w:hAnsi="Times New Roman" w:cs="Times New Roman"/>
          <w:i w:val="0"/>
          <w:iCs w:val="0"/>
          <w:color w:val="000000" w:themeColor="text1"/>
          <w:sz w:val="20"/>
          <w:szCs w:val="20"/>
        </w:rPr>
        <w:t>percentage are reported when available (CO</w:t>
      </w:r>
      <w:r w:rsidR="00ED7769" w:rsidRPr="00DE42B9">
        <w:rPr>
          <w:rFonts w:ascii="Times New Roman" w:hAnsi="Times New Roman" w:cs="Times New Roman"/>
          <w:i w:val="0"/>
          <w:iCs w:val="0"/>
          <w:color w:val="000000" w:themeColor="text1"/>
          <w:sz w:val="20"/>
          <w:szCs w:val="20"/>
          <w:vertAlign w:val="subscript"/>
        </w:rPr>
        <w:t xml:space="preserve">2 </w:t>
      </w:r>
      <w:r w:rsidR="00ED7769" w:rsidRPr="00DE42B9">
        <w:rPr>
          <w:rFonts w:ascii="Times New Roman" w:hAnsi="Times New Roman" w:cs="Times New Roman"/>
          <w:i w:val="0"/>
          <w:iCs w:val="0"/>
          <w:color w:val="000000" w:themeColor="text1"/>
          <w:sz w:val="20"/>
          <w:szCs w:val="20"/>
        </w:rPr>
        <w:t xml:space="preserve">in the air was 409.8 ppm in 2019). The table is not exhaustive and may omit some publications and relative information. </w:t>
      </w:r>
    </w:p>
    <w:tbl>
      <w:tblPr>
        <w:tblStyle w:val="TableGrid"/>
        <w:tblW w:w="13320" w:type="dxa"/>
        <w:jc w:val="center"/>
        <w:tblLook w:val="04A0" w:firstRow="1" w:lastRow="0" w:firstColumn="1" w:lastColumn="0" w:noHBand="0" w:noVBand="1"/>
      </w:tblPr>
      <w:tblGrid>
        <w:gridCol w:w="1296"/>
        <w:gridCol w:w="1510"/>
        <w:gridCol w:w="1588"/>
        <w:gridCol w:w="1939"/>
        <w:gridCol w:w="1596"/>
        <w:gridCol w:w="1198"/>
        <w:gridCol w:w="1399"/>
        <w:gridCol w:w="1442"/>
        <w:gridCol w:w="1352"/>
      </w:tblGrid>
      <w:tr w:rsidR="009169DC" w:rsidRPr="001075EB" w14:paraId="117C0663" w14:textId="77777777" w:rsidTr="00AC39BB">
        <w:trPr>
          <w:jc w:val="center"/>
        </w:trPr>
        <w:tc>
          <w:tcPr>
            <w:tcW w:w="1296" w:type="dxa"/>
          </w:tcPr>
          <w:p w14:paraId="1CC5105B" w14:textId="77777777" w:rsidR="00ED7769" w:rsidRPr="00DE42B9" w:rsidRDefault="00ED7769" w:rsidP="00C7390D">
            <w:pPr>
              <w:rPr>
                <w:rFonts w:ascii="Times New Roman" w:hAnsi="Times New Roman" w:cs="Times New Roman"/>
                <w:b/>
                <w:bCs/>
                <w:color w:val="000000" w:themeColor="text1"/>
                <w:sz w:val="20"/>
                <w:szCs w:val="20"/>
              </w:rPr>
            </w:pPr>
            <w:r w:rsidRPr="00DE42B9">
              <w:rPr>
                <w:rFonts w:ascii="Times New Roman" w:hAnsi="Times New Roman" w:cs="Times New Roman"/>
                <w:b/>
                <w:bCs/>
                <w:color w:val="000000" w:themeColor="text1"/>
                <w:sz w:val="20"/>
                <w:szCs w:val="20"/>
              </w:rPr>
              <w:t>Reference</w:t>
            </w:r>
          </w:p>
        </w:tc>
        <w:tc>
          <w:tcPr>
            <w:tcW w:w="1510" w:type="dxa"/>
          </w:tcPr>
          <w:p w14:paraId="4F11348C" w14:textId="77777777" w:rsidR="00ED7769" w:rsidRPr="00DE42B9" w:rsidRDefault="00ED7769" w:rsidP="00C7390D">
            <w:pPr>
              <w:rPr>
                <w:rFonts w:ascii="Times New Roman" w:hAnsi="Times New Roman" w:cs="Times New Roman"/>
                <w:b/>
                <w:bCs/>
                <w:color w:val="000000" w:themeColor="text1"/>
                <w:sz w:val="20"/>
                <w:szCs w:val="20"/>
              </w:rPr>
            </w:pPr>
            <w:r w:rsidRPr="00DE42B9">
              <w:rPr>
                <w:rFonts w:ascii="Times New Roman" w:hAnsi="Times New Roman" w:cs="Times New Roman"/>
                <w:b/>
                <w:bCs/>
                <w:color w:val="000000" w:themeColor="text1"/>
                <w:sz w:val="20"/>
                <w:szCs w:val="20"/>
              </w:rPr>
              <w:t>(a)</w:t>
            </w:r>
          </w:p>
          <w:p w14:paraId="6219AF41" w14:textId="77777777" w:rsidR="00ED7769" w:rsidRPr="00DE42B9" w:rsidRDefault="00ED7769" w:rsidP="00C7390D">
            <w:pPr>
              <w:rPr>
                <w:rFonts w:ascii="Times New Roman" w:hAnsi="Times New Roman" w:cs="Times New Roman"/>
                <w:b/>
                <w:bCs/>
                <w:color w:val="000000" w:themeColor="text1"/>
                <w:sz w:val="20"/>
                <w:szCs w:val="20"/>
              </w:rPr>
            </w:pPr>
            <w:r w:rsidRPr="00DE42B9">
              <w:rPr>
                <w:rFonts w:ascii="Times New Roman" w:hAnsi="Times New Roman" w:cs="Times New Roman"/>
                <w:b/>
                <w:bCs/>
                <w:color w:val="000000" w:themeColor="text1"/>
                <w:sz w:val="20"/>
                <w:szCs w:val="20"/>
              </w:rPr>
              <w:t>Strain (ecotype)</w:t>
            </w:r>
          </w:p>
        </w:tc>
        <w:tc>
          <w:tcPr>
            <w:tcW w:w="1588" w:type="dxa"/>
          </w:tcPr>
          <w:p w14:paraId="0E654CFF" w14:textId="77777777" w:rsidR="00ED7769" w:rsidRPr="00DE42B9" w:rsidRDefault="00ED7769" w:rsidP="00C7390D">
            <w:pPr>
              <w:rPr>
                <w:rFonts w:ascii="Times New Roman" w:hAnsi="Times New Roman" w:cs="Times New Roman"/>
                <w:b/>
                <w:bCs/>
                <w:color w:val="000000" w:themeColor="text1"/>
                <w:sz w:val="20"/>
                <w:szCs w:val="20"/>
              </w:rPr>
            </w:pPr>
            <w:r w:rsidRPr="00DE42B9">
              <w:rPr>
                <w:rFonts w:ascii="Times New Roman" w:hAnsi="Times New Roman" w:cs="Times New Roman"/>
                <w:b/>
                <w:bCs/>
                <w:color w:val="000000" w:themeColor="text1"/>
                <w:sz w:val="20"/>
                <w:szCs w:val="20"/>
              </w:rPr>
              <w:t>(b)</w:t>
            </w:r>
          </w:p>
          <w:p w14:paraId="5F479A31" w14:textId="77777777" w:rsidR="00ED7769" w:rsidRPr="00DE42B9" w:rsidRDefault="00ED7769" w:rsidP="00C7390D">
            <w:pPr>
              <w:rPr>
                <w:rFonts w:ascii="Times New Roman" w:hAnsi="Times New Roman" w:cs="Times New Roman"/>
                <w:b/>
                <w:bCs/>
                <w:color w:val="000000" w:themeColor="text1"/>
                <w:sz w:val="20"/>
                <w:szCs w:val="20"/>
              </w:rPr>
            </w:pPr>
            <w:r w:rsidRPr="00DE42B9">
              <w:rPr>
                <w:rFonts w:ascii="Times New Roman" w:hAnsi="Times New Roman" w:cs="Times New Roman"/>
                <w:b/>
                <w:bCs/>
                <w:color w:val="000000" w:themeColor="text1"/>
                <w:sz w:val="20"/>
                <w:szCs w:val="20"/>
              </w:rPr>
              <w:t>Type of N- treatment</w:t>
            </w:r>
          </w:p>
        </w:tc>
        <w:tc>
          <w:tcPr>
            <w:tcW w:w="1939" w:type="dxa"/>
          </w:tcPr>
          <w:p w14:paraId="58F3358C" w14:textId="77777777" w:rsidR="00ED7769" w:rsidRPr="00DE42B9" w:rsidRDefault="00ED7769" w:rsidP="00C7390D">
            <w:pPr>
              <w:rPr>
                <w:rFonts w:ascii="Times New Roman" w:hAnsi="Times New Roman" w:cs="Times New Roman"/>
                <w:b/>
                <w:bCs/>
                <w:color w:val="000000" w:themeColor="text1"/>
                <w:sz w:val="20"/>
                <w:szCs w:val="20"/>
              </w:rPr>
            </w:pPr>
            <w:r w:rsidRPr="00DE42B9">
              <w:rPr>
                <w:rFonts w:ascii="Times New Roman" w:hAnsi="Times New Roman" w:cs="Times New Roman"/>
                <w:b/>
                <w:bCs/>
                <w:color w:val="000000" w:themeColor="text1"/>
                <w:sz w:val="20"/>
                <w:szCs w:val="20"/>
              </w:rPr>
              <w:t>(c)</w:t>
            </w:r>
          </w:p>
          <w:p w14:paraId="055A1D58" w14:textId="77777777" w:rsidR="00ED7769" w:rsidRPr="00DE42B9" w:rsidRDefault="00ED7769" w:rsidP="00C7390D">
            <w:pPr>
              <w:rPr>
                <w:rFonts w:ascii="Times New Roman" w:hAnsi="Times New Roman" w:cs="Times New Roman"/>
                <w:b/>
                <w:bCs/>
                <w:color w:val="000000" w:themeColor="text1"/>
                <w:sz w:val="20"/>
                <w:szCs w:val="20"/>
              </w:rPr>
            </w:pPr>
            <w:r w:rsidRPr="00DE42B9">
              <w:rPr>
                <w:rFonts w:ascii="Times New Roman" w:hAnsi="Times New Roman" w:cs="Times New Roman"/>
                <w:b/>
                <w:bCs/>
                <w:color w:val="000000" w:themeColor="text1"/>
                <w:sz w:val="20"/>
                <w:szCs w:val="20"/>
              </w:rPr>
              <w:t>N-</w:t>
            </w:r>
            <w:proofErr w:type="spellStart"/>
            <w:r w:rsidRPr="00DE42B9">
              <w:rPr>
                <w:rFonts w:ascii="Times New Roman" w:hAnsi="Times New Roman" w:cs="Times New Roman"/>
                <w:b/>
                <w:bCs/>
                <w:color w:val="000000" w:themeColor="text1"/>
                <w:sz w:val="20"/>
                <w:szCs w:val="20"/>
              </w:rPr>
              <w:t>ext</w:t>
            </w:r>
            <w:proofErr w:type="spellEnd"/>
            <w:r w:rsidRPr="00DE42B9">
              <w:rPr>
                <w:rFonts w:ascii="Times New Roman" w:hAnsi="Times New Roman" w:cs="Times New Roman"/>
                <w:b/>
                <w:bCs/>
                <w:color w:val="000000" w:themeColor="text1"/>
                <w:sz w:val="20"/>
                <w:szCs w:val="20"/>
              </w:rPr>
              <w:t xml:space="preserve"> concentration when starved</w:t>
            </w:r>
          </w:p>
        </w:tc>
        <w:tc>
          <w:tcPr>
            <w:tcW w:w="1596" w:type="dxa"/>
          </w:tcPr>
          <w:p w14:paraId="6D247881" w14:textId="77777777" w:rsidR="00ED7769" w:rsidRPr="00DE42B9" w:rsidRDefault="00ED7769" w:rsidP="00C7390D">
            <w:pPr>
              <w:rPr>
                <w:rFonts w:ascii="Times New Roman" w:hAnsi="Times New Roman" w:cs="Times New Roman"/>
                <w:b/>
                <w:bCs/>
                <w:color w:val="000000" w:themeColor="text1"/>
                <w:sz w:val="20"/>
                <w:szCs w:val="20"/>
              </w:rPr>
            </w:pPr>
            <w:r w:rsidRPr="00DE42B9">
              <w:rPr>
                <w:rFonts w:ascii="Times New Roman" w:hAnsi="Times New Roman" w:cs="Times New Roman"/>
                <w:b/>
                <w:bCs/>
                <w:color w:val="000000" w:themeColor="text1"/>
                <w:sz w:val="20"/>
                <w:szCs w:val="20"/>
              </w:rPr>
              <w:t>(d)</w:t>
            </w:r>
          </w:p>
          <w:p w14:paraId="2B2FEE44" w14:textId="77777777" w:rsidR="00ED7769" w:rsidRPr="00DE42B9" w:rsidRDefault="00ED7769" w:rsidP="00C7390D">
            <w:pPr>
              <w:rPr>
                <w:rFonts w:ascii="Times New Roman" w:hAnsi="Times New Roman" w:cs="Times New Roman"/>
                <w:b/>
                <w:bCs/>
                <w:color w:val="000000" w:themeColor="text1"/>
                <w:sz w:val="20"/>
                <w:szCs w:val="20"/>
              </w:rPr>
            </w:pPr>
            <w:r w:rsidRPr="00DE42B9">
              <w:rPr>
                <w:rFonts w:ascii="Times New Roman" w:hAnsi="Times New Roman" w:cs="Times New Roman"/>
                <w:b/>
                <w:bCs/>
                <w:color w:val="000000" w:themeColor="text1"/>
                <w:sz w:val="20"/>
                <w:szCs w:val="20"/>
              </w:rPr>
              <w:t>Type of culture</w:t>
            </w:r>
          </w:p>
        </w:tc>
        <w:tc>
          <w:tcPr>
            <w:tcW w:w="1198" w:type="dxa"/>
          </w:tcPr>
          <w:p w14:paraId="68D474DA" w14:textId="77777777" w:rsidR="00ED7769" w:rsidRPr="00DE42B9" w:rsidRDefault="00ED7769" w:rsidP="00C7390D">
            <w:pPr>
              <w:rPr>
                <w:rFonts w:ascii="Times New Roman" w:hAnsi="Times New Roman" w:cs="Times New Roman"/>
                <w:b/>
                <w:bCs/>
                <w:color w:val="000000" w:themeColor="text1"/>
                <w:sz w:val="20"/>
                <w:szCs w:val="20"/>
              </w:rPr>
            </w:pPr>
            <w:r w:rsidRPr="00DE42B9">
              <w:rPr>
                <w:rFonts w:ascii="Times New Roman" w:hAnsi="Times New Roman" w:cs="Times New Roman"/>
                <w:b/>
                <w:bCs/>
                <w:color w:val="000000" w:themeColor="text1"/>
                <w:sz w:val="20"/>
                <w:szCs w:val="20"/>
              </w:rPr>
              <w:t>(e)</w:t>
            </w:r>
          </w:p>
          <w:p w14:paraId="3993BA58" w14:textId="77777777" w:rsidR="00ED7769" w:rsidRPr="00DE42B9" w:rsidRDefault="00ED7769" w:rsidP="00C7390D">
            <w:pPr>
              <w:rPr>
                <w:rFonts w:ascii="Times New Roman" w:hAnsi="Times New Roman" w:cs="Times New Roman"/>
                <w:b/>
                <w:bCs/>
                <w:color w:val="000000" w:themeColor="text1"/>
                <w:sz w:val="20"/>
                <w:szCs w:val="20"/>
              </w:rPr>
            </w:pPr>
            <w:r w:rsidRPr="00DE42B9">
              <w:rPr>
                <w:rFonts w:ascii="Times New Roman" w:hAnsi="Times New Roman" w:cs="Times New Roman"/>
                <w:b/>
                <w:bCs/>
                <w:color w:val="000000" w:themeColor="text1"/>
                <w:sz w:val="20"/>
                <w:szCs w:val="20"/>
              </w:rPr>
              <w:t>Type of medium</w:t>
            </w:r>
          </w:p>
        </w:tc>
        <w:tc>
          <w:tcPr>
            <w:tcW w:w="1399" w:type="dxa"/>
          </w:tcPr>
          <w:p w14:paraId="73609210" w14:textId="77777777" w:rsidR="00ED7769" w:rsidRPr="00DE42B9" w:rsidRDefault="00ED7769" w:rsidP="00C7390D">
            <w:pPr>
              <w:rPr>
                <w:rFonts w:ascii="Times New Roman" w:hAnsi="Times New Roman" w:cs="Times New Roman"/>
                <w:b/>
                <w:bCs/>
                <w:color w:val="000000" w:themeColor="text1"/>
                <w:sz w:val="20"/>
                <w:szCs w:val="20"/>
              </w:rPr>
            </w:pPr>
            <w:r w:rsidRPr="00DE42B9">
              <w:rPr>
                <w:rFonts w:ascii="Times New Roman" w:hAnsi="Times New Roman" w:cs="Times New Roman"/>
                <w:b/>
                <w:bCs/>
                <w:color w:val="000000" w:themeColor="text1"/>
                <w:sz w:val="20"/>
                <w:szCs w:val="20"/>
              </w:rPr>
              <w:t>(f)</w:t>
            </w:r>
          </w:p>
          <w:p w14:paraId="5AD076AF" w14:textId="77777777" w:rsidR="00ED7769" w:rsidRPr="00DE42B9" w:rsidRDefault="00ED7769" w:rsidP="00C7390D">
            <w:pPr>
              <w:rPr>
                <w:rFonts w:ascii="Times New Roman" w:hAnsi="Times New Roman" w:cs="Times New Roman"/>
                <w:b/>
                <w:bCs/>
                <w:color w:val="000000" w:themeColor="text1"/>
                <w:sz w:val="20"/>
                <w:szCs w:val="20"/>
              </w:rPr>
            </w:pPr>
            <w:r w:rsidRPr="00DE42B9">
              <w:rPr>
                <w:rFonts w:ascii="Times New Roman" w:hAnsi="Times New Roman" w:cs="Times New Roman"/>
                <w:b/>
                <w:bCs/>
                <w:color w:val="000000" w:themeColor="text1"/>
                <w:sz w:val="20"/>
                <w:szCs w:val="20"/>
              </w:rPr>
              <w:t>Light cycle</w:t>
            </w:r>
          </w:p>
          <w:p w14:paraId="0A65EF9E" w14:textId="35CE6A51" w:rsidR="00ED7769" w:rsidRPr="00DE42B9" w:rsidRDefault="00ED7769" w:rsidP="00C7390D">
            <w:pPr>
              <w:rPr>
                <w:rFonts w:ascii="Times New Roman" w:hAnsi="Times New Roman" w:cs="Times New Roman"/>
                <w:b/>
                <w:bCs/>
                <w:color w:val="000000" w:themeColor="text1"/>
                <w:sz w:val="20"/>
                <w:szCs w:val="20"/>
              </w:rPr>
            </w:pPr>
            <w:r w:rsidRPr="00DE42B9">
              <w:rPr>
                <w:rFonts w:ascii="Times New Roman" w:hAnsi="Times New Roman" w:cs="Times New Roman"/>
                <w:b/>
                <w:bCs/>
                <w:color w:val="000000" w:themeColor="text1"/>
                <w:sz w:val="20"/>
                <w:szCs w:val="20"/>
              </w:rPr>
              <w:t xml:space="preserve">(Intensity </w:t>
            </w:r>
            <w:proofErr w:type="spellStart"/>
            <w:r w:rsidRPr="00DE42B9">
              <w:rPr>
                <w:rFonts w:ascii="Times New Roman" w:hAnsi="Times New Roman" w:cs="Times New Roman"/>
                <w:b/>
                <w:bCs/>
                <w:color w:val="000000" w:themeColor="text1"/>
                <w:sz w:val="20"/>
                <w:szCs w:val="20"/>
              </w:rPr>
              <w:t>μmole</w:t>
            </w:r>
            <w:r w:rsidR="00DE42B9">
              <w:rPr>
                <w:rFonts w:ascii="Times New Roman" w:hAnsi="Times New Roman" w:cs="Times New Roman"/>
                <w:b/>
                <w:bCs/>
                <w:color w:val="000000" w:themeColor="text1"/>
                <w:sz w:val="20"/>
                <w:szCs w:val="20"/>
              </w:rPr>
              <w:t>s</w:t>
            </w:r>
            <w:proofErr w:type="spellEnd"/>
            <w:r w:rsidR="00DE42B9">
              <w:rPr>
                <w:rFonts w:ascii="Times New Roman" w:hAnsi="Times New Roman" w:cs="Times New Roman"/>
                <w:b/>
                <w:bCs/>
                <w:color w:val="000000" w:themeColor="text1"/>
                <w:sz w:val="20"/>
                <w:szCs w:val="20"/>
              </w:rPr>
              <w:t xml:space="preserve"> of</w:t>
            </w:r>
            <w:r w:rsidRPr="00DE42B9">
              <w:rPr>
                <w:rFonts w:ascii="Times New Roman" w:hAnsi="Times New Roman" w:cs="Times New Roman"/>
                <w:b/>
                <w:bCs/>
                <w:color w:val="000000" w:themeColor="text1"/>
                <w:sz w:val="20"/>
                <w:szCs w:val="20"/>
              </w:rPr>
              <w:t xml:space="preserve"> photons m</w:t>
            </w:r>
            <w:r w:rsidRPr="00DE42B9">
              <w:rPr>
                <w:rFonts w:ascii="Times New Roman" w:hAnsi="Times New Roman" w:cs="Times New Roman"/>
                <w:b/>
                <w:bCs/>
                <w:color w:val="000000" w:themeColor="text1"/>
                <w:sz w:val="20"/>
                <w:szCs w:val="20"/>
                <w:vertAlign w:val="superscript"/>
              </w:rPr>
              <w:t>-2</w:t>
            </w:r>
            <w:r w:rsidRPr="00DE42B9">
              <w:rPr>
                <w:rFonts w:ascii="Times New Roman" w:hAnsi="Times New Roman" w:cs="Times New Roman"/>
                <w:b/>
                <w:bCs/>
                <w:color w:val="000000" w:themeColor="text1"/>
                <w:sz w:val="20"/>
                <w:szCs w:val="20"/>
              </w:rPr>
              <w:t>s</w:t>
            </w:r>
            <w:r w:rsidRPr="00DE42B9">
              <w:rPr>
                <w:rFonts w:ascii="Times New Roman" w:hAnsi="Times New Roman" w:cs="Times New Roman"/>
                <w:b/>
                <w:bCs/>
                <w:color w:val="000000" w:themeColor="text1"/>
                <w:sz w:val="20"/>
                <w:szCs w:val="20"/>
                <w:vertAlign w:val="superscript"/>
              </w:rPr>
              <w:t>-1</w:t>
            </w:r>
            <w:r w:rsidRPr="00DE42B9">
              <w:rPr>
                <w:rFonts w:ascii="Times New Roman" w:hAnsi="Times New Roman" w:cs="Times New Roman"/>
                <w:b/>
                <w:bCs/>
                <w:color w:val="000000" w:themeColor="text1"/>
                <w:sz w:val="20"/>
                <w:szCs w:val="20"/>
              </w:rPr>
              <w:t>)</w:t>
            </w:r>
          </w:p>
        </w:tc>
        <w:tc>
          <w:tcPr>
            <w:tcW w:w="1442" w:type="dxa"/>
          </w:tcPr>
          <w:p w14:paraId="03A6444A" w14:textId="77777777" w:rsidR="00ED7769" w:rsidRPr="00DE42B9" w:rsidRDefault="00ED7769" w:rsidP="00C7390D">
            <w:pPr>
              <w:rPr>
                <w:rFonts w:ascii="Times New Roman" w:hAnsi="Times New Roman" w:cs="Times New Roman"/>
                <w:b/>
                <w:bCs/>
                <w:color w:val="000000" w:themeColor="text1"/>
                <w:sz w:val="20"/>
                <w:szCs w:val="20"/>
              </w:rPr>
            </w:pPr>
            <w:r w:rsidRPr="00DE42B9">
              <w:rPr>
                <w:rFonts w:ascii="Times New Roman" w:hAnsi="Times New Roman" w:cs="Times New Roman"/>
                <w:b/>
                <w:bCs/>
                <w:color w:val="000000" w:themeColor="text1"/>
                <w:sz w:val="20"/>
                <w:szCs w:val="20"/>
              </w:rPr>
              <w:t>(g)</w:t>
            </w:r>
          </w:p>
          <w:p w14:paraId="1C966DBA" w14:textId="77777777" w:rsidR="00ED7769" w:rsidRPr="00DE42B9" w:rsidRDefault="00ED7769" w:rsidP="00C7390D">
            <w:pPr>
              <w:rPr>
                <w:rFonts w:ascii="Times New Roman" w:hAnsi="Times New Roman" w:cs="Times New Roman"/>
                <w:b/>
                <w:bCs/>
                <w:color w:val="000000" w:themeColor="text1"/>
                <w:sz w:val="20"/>
                <w:szCs w:val="20"/>
              </w:rPr>
            </w:pPr>
            <w:r w:rsidRPr="00DE42B9">
              <w:rPr>
                <w:rFonts w:ascii="Times New Roman" w:hAnsi="Times New Roman" w:cs="Times New Roman"/>
                <w:b/>
                <w:bCs/>
                <w:color w:val="000000" w:themeColor="text1"/>
                <w:sz w:val="20"/>
                <w:szCs w:val="20"/>
              </w:rPr>
              <w:t>Temperature</w:t>
            </w:r>
          </w:p>
        </w:tc>
        <w:tc>
          <w:tcPr>
            <w:tcW w:w="1352" w:type="dxa"/>
          </w:tcPr>
          <w:p w14:paraId="51FC3DCE" w14:textId="77777777" w:rsidR="00ED7769" w:rsidRPr="00DE42B9" w:rsidRDefault="00ED7769" w:rsidP="00C7390D">
            <w:pPr>
              <w:rPr>
                <w:rFonts w:ascii="Times New Roman" w:hAnsi="Times New Roman" w:cs="Times New Roman"/>
                <w:b/>
                <w:bCs/>
                <w:color w:val="000000" w:themeColor="text1"/>
                <w:sz w:val="20"/>
                <w:szCs w:val="20"/>
              </w:rPr>
            </w:pPr>
            <w:r w:rsidRPr="00DE42B9">
              <w:rPr>
                <w:rFonts w:ascii="Times New Roman" w:hAnsi="Times New Roman" w:cs="Times New Roman"/>
                <w:b/>
                <w:bCs/>
                <w:color w:val="000000" w:themeColor="text1"/>
                <w:sz w:val="20"/>
                <w:szCs w:val="20"/>
              </w:rPr>
              <w:t>(h)</w:t>
            </w:r>
          </w:p>
          <w:p w14:paraId="54DBDB61" w14:textId="77777777" w:rsidR="00ED7769" w:rsidRPr="00DE42B9" w:rsidRDefault="00ED7769" w:rsidP="00C7390D">
            <w:pPr>
              <w:rPr>
                <w:rFonts w:ascii="Times New Roman" w:hAnsi="Times New Roman" w:cs="Times New Roman"/>
                <w:b/>
                <w:bCs/>
                <w:color w:val="000000" w:themeColor="text1"/>
                <w:sz w:val="20"/>
                <w:szCs w:val="20"/>
              </w:rPr>
            </w:pPr>
            <w:r w:rsidRPr="00DE42B9">
              <w:rPr>
                <w:rFonts w:ascii="Times New Roman" w:hAnsi="Times New Roman" w:cs="Times New Roman"/>
                <w:b/>
                <w:bCs/>
                <w:color w:val="000000" w:themeColor="text1"/>
                <w:sz w:val="20"/>
                <w:szCs w:val="20"/>
              </w:rPr>
              <w:t>Carbon source</w:t>
            </w:r>
          </w:p>
        </w:tc>
      </w:tr>
      <w:tr w:rsidR="009169DC" w:rsidRPr="001075EB" w14:paraId="7D05A3D4" w14:textId="77777777" w:rsidTr="00AC39BB">
        <w:trPr>
          <w:jc w:val="center"/>
        </w:trPr>
        <w:tc>
          <w:tcPr>
            <w:tcW w:w="1296" w:type="dxa"/>
          </w:tcPr>
          <w:p w14:paraId="5E0DB7E3" w14:textId="554675F5" w:rsidR="00ED7769" w:rsidRPr="00DE42B9" w:rsidRDefault="0055497B" w:rsidP="0055497B">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fldChar w:fldCharType="begin"/>
            </w:r>
            <w:r w:rsidRPr="00DE42B9">
              <w:rPr>
                <w:rFonts w:ascii="Times New Roman" w:hAnsi="Times New Roman" w:cs="Times New Roman"/>
                <w:color w:val="000000" w:themeColor="text1"/>
                <w:sz w:val="20"/>
                <w:szCs w:val="20"/>
              </w:rPr>
              <w:instrText xml:space="preserve"> ADDIN EN.CITE &lt;EndNote&gt;&lt;Cite AuthorYear="1"&gt;&lt;Author&gt;Larson&lt;/Author&gt;&lt;Year&gt;1996&lt;/Year&gt;&lt;RecNum&gt;253052&lt;/RecNum&gt;&lt;DisplayText&gt;Larson and Rees (1996)&lt;/DisplayText&gt;&lt;record&gt;&lt;rec-number&gt;253052&lt;/rec-number&gt;&lt;foreign-keys&gt;&lt;key app="EN" db-id="9efww95sirratne9w0tv95fpzxp2w52rz959" timestamp="1535665905"&gt;253052&lt;/key&gt;&lt;/foreign-keys&gt;&lt;ref-type name="Journal Article"&gt;17&lt;/ref-type&gt;&lt;contributors&gt;&lt;authors&gt;&lt;author&gt;Larson, Tony R.&lt;/author&gt;&lt;author&gt;Rees, T. Alwyn V.&lt;/author&gt;&lt;/authors&gt;&lt;/contributors&gt;&lt;titles&gt;&lt;title&gt;&lt;style face="normal" font="default" size="100%"&gt;Changes in cell composition and lipid metabolism mediated by sodium and nitrogen availability in the marine diatom &lt;/style&gt;&lt;style face="italic" font="default" size="100%"&gt;Phaeodactylum tricornutum&lt;/style&gt;&lt;style face="normal" font="default" size="100%"&gt; (Bacillariophyceae)&lt;/style&gt;&lt;/title&gt;&lt;secondary-title&gt;Journal of Phycology&lt;/secondary-title&gt;&lt;/titles&gt;&lt;periodical&gt;&lt;full-title&gt;Journal of Phycology&lt;/full-title&gt;&lt;/periodical&gt;&lt;pages&gt;388-393&lt;/pages&gt;&lt;volume&gt;32&lt;/volume&gt;&lt;number&gt;3&lt;/number&gt;&lt;section&gt;388&lt;/section&gt;&lt;keywords&gt;&lt;keyword&gt;42507&lt;/keyword&gt;&lt;/keywords&gt;&lt;dates&gt;&lt;year&gt;1996&lt;/year&gt;&lt;/dates&gt;&lt;urls&gt;&lt;related-urls&gt;&lt;url&gt;https://onlinelibrary.wiley.com/doi/abs/10.1111/j.0022-3646.1996.00388.x&lt;/url&gt;&lt;/related-urls&gt;&lt;/urls&gt;&lt;electronic-resource-num&gt;doi:10.1111/j.0022-3646.1996.00388.x&lt;/electronic-resource-num&gt;&lt;/record&gt;&lt;/Cite&gt;&lt;/EndNote&gt;</w:instrText>
            </w:r>
            <w:r w:rsidRPr="00DE42B9">
              <w:rPr>
                <w:rFonts w:ascii="Times New Roman" w:hAnsi="Times New Roman" w:cs="Times New Roman"/>
                <w:color w:val="000000" w:themeColor="text1"/>
                <w:sz w:val="20"/>
                <w:szCs w:val="20"/>
              </w:rPr>
              <w:fldChar w:fldCharType="separate"/>
            </w:r>
            <w:r w:rsidRPr="00DE42B9">
              <w:rPr>
                <w:rFonts w:ascii="Times New Roman" w:hAnsi="Times New Roman" w:cs="Times New Roman"/>
                <w:noProof/>
                <w:color w:val="000000" w:themeColor="text1"/>
                <w:sz w:val="20"/>
                <w:szCs w:val="20"/>
              </w:rPr>
              <w:t>Larson and Rees (1996)</w:t>
            </w:r>
            <w:r w:rsidRPr="00DE42B9">
              <w:rPr>
                <w:rFonts w:ascii="Times New Roman" w:hAnsi="Times New Roman" w:cs="Times New Roman"/>
                <w:color w:val="000000" w:themeColor="text1"/>
                <w:sz w:val="20"/>
                <w:szCs w:val="20"/>
              </w:rPr>
              <w:fldChar w:fldCharType="end"/>
            </w:r>
          </w:p>
        </w:tc>
        <w:tc>
          <w:tcPr>
            <w:tcW w:w="1510" w:type="dxa"/>
          </w:tcPr>
          <w:p w14:paraId="4F547AF2"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CCAP1052/6 (Pt4)</w:t>
            </w:r>
          </w:p>
        </w:tc>
        <w:tc>
          <w:tcPr>
            <w:tcW w:w="1588" w:type="dxa"/>
          </w:tcPr>
          <w:p w14:paraId="76FD7CF0"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N+ and N-</w:t>
            </w:r>
          </w:p>
          <w:p w14:paraId="75AEFA05"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comparison</w:t>
            </w:r>
          </w:p>
        </w:tc>
        <w:tc>
          <w:tcPr>
            <w:tcW w:w="1939" w:type="dxa"/>
          </w:tcPr>
          <w:p w14:paraId="54BA9551"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- 10 mM (N+)</w:t>
            </w:r>
          </w:p>
          <w:p w14:paraId="14FF15E0"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- 0 mM (N-)</w:t>
            </w:r>
          </w:p>
        </w:tc>
        <w:tc>
          <w:tcPr>
            <w:tcW w:w="1596" w:type="dxa"/>
          </w:tcPr>
          <w:p w14:paraId="18F6F6DD"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Batch</w:t>
            </w:r>
          </w:p>
          <w:p w14:paraId="55693082"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(Flask)</w:t>
            </w:r>
          </w:p>
        </w:tc>
        <w:tc>
          <w:tcPr>
            <w:tcW w:w="1198" w:type="dxa"/>
          </w:tcPr>
          <w:p w14:paraId="3F76DC38"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ASP-2</w:t>
            </w:r>
          </w:p>
        </w:tc>
        <w:tc>
          <w:tcPr>
            <w:tcW w:w="1399" w:type="dxa"/>
          </w:tcPr>
          <w:p w14:paraId="4DEB26E3"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N/A</w:t>
            </w:r>
          </w:p>
          <w:p w14:paraId="513FA470"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Not light limited</w:t>
            </w:r>
          </w:p>
        </w:tc>
        <w:tc>
          <w:tcPr>
            <w:tcW w:w="1442" w:type="dxa"/>
          </w:tcPr>
          <w:p w14:paraId="11942B97"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N/A</w:t>
            </w:r>
          </w:p>
        </w:tc>
        <w:tc>
          <w:tcPr>
            <w:tcW w:w="1352" w:type="dxa"/>
          </w:tcPr>
          <w:p w14:paraId="7C58FD98" w14:textId="209AE9DB" w:rsidR="00ED7769" w:rsidRPr="00DE42B9" w:rsidRDefault="003A542D"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Natural diffusion</w:t>
            </w:r>
          </w:p>
        </w:tc>
      </w:tr>
      <w:tr w:rsidR="009169DC" w:rsidRPr="001075EB" w14:paraId="4FB2F3DF" w14:textId="77777777" w:rsidTr="00AC39BB">
        <w:trPr>
          <w:jc w:val="center"/>
        </w:trPr>
        <w:tc>
          <w:tcPr>
            <w:tcW w:w="1296" w:type="dxa"/>
          </w:tcPr>
          <w:p w14:paraId="5C6B06B5" w14:textId="496A2FAF" w:rsidR="00ED7769" w:rsidRPr="00DE42B9" w:rsidRDefault="0055497B" w:rsidP="0055497B">
            <w:pPr>
              <w:jc w:val="both"/>
              <w:rPr>
                <w:rFonts w:ascii="Times New Roman" w:hAnsi="Times New Roman" w:cs="Times New Roman"/>
                <w:color w:val="000000" w:themeColor="text1"/>
                <w:sz w:val="20"/>
                <w:szCs w:val="20"/>
                <w:lang w:val="fr-FR"/>
              </w:rPr>
            </w:pPr>
            <w:r w:rsidRPr="00DE42B9">
              <w:rPr>
                <w:rFonts w:ascii="Times New Roman" w:hAnsi="Times New Roman" w:cs="Times New Roman"/>
                <w:color w:val="000000" w:themeColor="text1"/>
                <w:sz w:val="20"/>
                <w:szCs w:val="20"/>
              </w:rPr>
              <w:fldChar w:fldCharType="begin"/>
            </w:r>
            <w:r w:rsidRPr="00DE42B9">
              <w:rPr>
                <w:rFonts w:ascii="Times New Roman" w:hAnsi="Times New Roman" w:cs="Times New Roman"/>
                <w:color w:val="000000" w:themeColor="text1"/>
                <w:sz w:val="20"/>
                <w:szCs w:val="20"/>
              </w:rPr>
              <w:instrText xml:space="preserve"> ADDIN EN.CITE &lt;EndNote&gt;&lt;Cite AuthorYear="1"&gt;&lt;Author&gt;Valenzuela&lt;/Author&gt;&lt;Year&gt;2012&lt;/Year&gt;&lt;RecNum&gt;228512&lt;/RecNum&gt;&lt;DisplayText&gt;Valenzuela&lt;style face="italic"&gt; et al.&lt;/style&gt; (2012)&lt;/DisplayText&gt;&lt;record&gt;&lt;rec-number&gt;228512&lt;/rec-number&gt;&lt;foreign-keys&gt;&lt;key app="EN" db-id="9efww95sirratne9w0tv95fpzxp2w52rz959" timestamp="1465162862"&gt;228512&lt;/key&gt;&lt;/foreign-keys&gt;&lt;ref-type name="Journal Article"&gt;17&lt;/ref-type&gt;&lt;contributors&gt;&lt;authors&gt;&lt;author&gt;Valenzuela, J.&lt;/author&gt;&lt;author&gt;Mazurie, A.&lt;/author&gt;&lt;author&gt;Carlson, R.P.&lt;/author&gt;&lt;author&gt;Gerlach, R.&lt;/author&gt;&lt;author&gt;Cooksey, K.E.&lt;/author&gt;&lt;author&gt;Peyton, B. M.&lt;/author&gt;&lt;author&gt;Fields, M.W.&lt;/author&gt;&lt;/authors&gt;&lt;/contributors&gt;&lt;titles&gt;&lt;title&gt;&lt;style face="normal" font="default" size="100%"&gt;Potential role of multiple carbon fixation pathways during lipid accumulation in &lt;/style&gt;&lt;style face="italic" font="default" size="100%"&gt;Phaeodactylum tricornutum&lt;/style&gt;&lt;/title&gt;&lt;secondary-title&gt;Biotechnology for Biofuels&lt;/secondary-title&gt;&lt;/titles&gt;&lt;periodical&gt;&lt;full-title&gt;Biotechnology for Biofuels&lt;/full-title&gt;&lt;/periodical&gt;&lt;pages&gt;40&lt;/pages&gt;&lt;volume&gt;5&lt;/volume&gt;&lt;section&gt;40&lt;/section&gt;&lt;keywords&gt;&lt;keyword&gt;38215&lt;/keyword&gt;&lt;/keywords&gt;&lt;dates&gt;&lt;year&gt;2012&lt;/year&gt;&lt;/dates&gt;&lt;urls&gt;&lt;/urls&gt;&lt;/record&gt;&lt;/Cite&gt;&lt;/EndNote&gt;</w:instrText>
            </w:r>
            <w:r w:rsidRPr="00DE42B9">
              <w:rPr>
                <w:rFonts w:ascii="Times New Roman" w:hAnsi="Times New Roman" w:cs="Times New Roman"/>
                <w:color w:val="000000" w:themeColor="text1"/>
                <w:sz w:val="20"/>
                <w:szCs w:val="20"/>
              </w:rPr>
              <w:fldChar w:fldCharType="separate"/>
            </w:r>
            <w:r w:rsidRPr="00DE42B9">
              <w:rPr>
                <w:rFonts w:ascii="Times New Roman" w:hAnsi="Times New Roman" w:cs="Times New Roman"/>
                <w:noProof/>
                <w:color w:val="000000" w:themeColor="text1"/>
                <w:sz w:val="20"/>
                <w:szCs w:val="20"/>
              </w:rPr>
              <w:t>Valenzuela</w:t>
            </w:r>
            <w:r w:rsidRPr="00DE42B9">
              <w:rPr>
                <w:rFonts w:ascii="Times New Roman" w:hAnsi="Times New Roman" w:cs="Times New Roman"/>
                <w:i/>
                <w:noProof/>
                <w:color w:val="000000" w:themeColor="text1"/>
                <w:sz w:val="20"/>
                <w:szCs w:val="20"/>
              </w:rPr>
              <w:t xml:space="preserve"> et al.</w:t>
            </w:r>
            <w:r w:rsidRPr="00DE42B9">
              <w:rPr>
                <w:rFonts w:ascii="Times New Roman" w:hAnsi="Times New Roman" w:cs="Times New Roman"/>
                <w:noProof/>
                <w:color w:val="000000" w:themeColor="text1"/>
                <w:sz w:val="20"/>
                <w:szCs w:val="20"/>
              </w:rPr>
              <w:t xml:space="preserve"> (2012)</w:t>
            </w:r>
            <w:r w:rsidRPr="00DE42B9">
              <w:rPr>
                <w:rFonts w:ascii="Times New Roman" w:hAnsi="Times New Roman" w:cs="Times New Roman"/>
                <w:color w:val="000000" w:themeColor="text1"/>
                <w:sz w:val="20"/>
                <w:szCs w:val="20"/>
              </w:rPr>
              <w:fldChar w:fldCharType="end"/>
            </w:r>
          </w:p>
        </w:tc>
        <w:tc>
          <w:tcPr>
            <w:tcW w:w="1510" w:type="dxa"/>
          </w:tcPr>
          <w:p w14:paraId="10ED2FFD"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CCMP2561</w:t>
            </w:r>
          </w:p>
          <w:p w14:paraId="7656B567"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(Pt1)</w:t>
            </w:r>
          </w:p>
        </w:tc>
        <w:tc>
          <w:tcPr>
            <w:tcW w:w="1588" w:type="dxa"/>
          </w:tcPr>
          <w:p w14:paraId="777A2EF8"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N+/P+ to N-/P- transition</w:t>
            </w:r>
          </w:p>
        </w:tc>
        <w:tc>
          <w:tcPr>
            <w:tcW w:w="1939" w:type="dxa"/>
          </w:tcPr>
          <w:p w14:paraId="2568D85B"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 xml:space="preserve">From 580 </w:t>
            </w:r>
            <w:proofErr w:type="spellStart"/>
            <w:r w:rsidRPr="00DE42B9">
              <w:rPr>
                <w:rFonts w:ascii="Times New Roman" w:hAnsi="Times New Roman" w:cs="Times New Roman"/>
                <w:color w:val="000000" w:themeColor="text1"/>
                <w:sz w:val="20"/>
                <w:szCs w:val="20"/>
              </w:rPr>
              <w:t>μM</w:t>
            </w:r>
            <w:proofErr w:type="spellEnd"/>
            <w:r w:rsidRPr="00DE42B9">
              <w:rPr>
                <w:rFonts w:ascii="Times New Roman" w:hAnsi="Times New Roman" w:cs="Times New Roman"/>
                <w:color w:val="000000" w:themeColor="text1"/>
                <w:sz w:val="20"/>
                <w:szCs w:val="20"/>
              </w:rPr>
              <w:t xml:space="preserve"> to</w:t>
            </w:r>
          </w:p>
          <w:p w14:paraId="4240E311"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 xml:space="preserve">0 </w:t>
            </w:r>
            <w:proofErr w:type="spellStart"/>
            <w:r w:rsidRPr="00DE42B9">
              <w:rPr>
                <w:rFonts w:ascii="Times New Roman" w:hAnsi="Times New Roman" w:cs="Times New Roman"/>
                <w:color w:val="000000" w:themeColor="text1"/>
                <w:sz w:val="20"/>
                <w:szCs w:val="20"/>
              </w:rPr>
              <w:t>μM</w:t>
            </w:r>
            <w:proofErr w:type="spellEnd"/>
          </w:p>
        </w:tc>
        <w:tc>
          <w:tcPr>
            <w:tcW w:w="1596" w:type="dxa"/>
          </w:tcPr>
          <w:p w14:paraId="4E53CC01"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Batch</w:t>
            </w:r>
          </w:p>
          <w:p w14:paraId="7FC6317A"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(PBR)</w:t>
            </w:r>
          </w:p>
        </w:tc>
        <w:tc>
          <w:tcPr>
            <w:tcW w:w="1198" w:type="dxa"/>
          </w:tcPr>
          <w:p w14:paraId="716523D5"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ASP-2</w:t>
            </w:r>
          </w:p>
        </w:tc>
        <w:tc>
          <w:tcPr>
            <w:tcW w:w="1399" w:type="dxa"/>
          </w:tcPr>
          <w:p w14:paraId="501C8ECD"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14:10</w:t>
            </w:r>
          </w:p>
          <w:p w14:paraId="729F2204"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(450)</w:t>
            </w:r>
          </w:p>
        </w:tc>
        <w:tc>
          <w:tcPr>
            <w:tcW w:w="1442" w:type="dxa"/>
          </w:tcPr>
          <w:p w14:paraId="5DE8E199"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20°C</w:t>
            </w:r>
          </w:p>
        </w:tc>
        <w:tc>
          <w:tcPr>
            <w:tcW w:w="1352" w:type="dxa"/>
          </w:tcPr>
          <w:p w14:paraId="4A238505"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0.40 L min</w:t>
            </w:r>
            <w:r w:rsidRPr="00DE42B9">
              <w:rPr>
                <w:rFonts w:ascii="Times New Roman" w:hAnsi="Times New Roman" w:cs="Times New Roman"/>
                <w:color w:val="000000" w:themeColor="text1"/>
                <w:sz w:val="20"/>
                <w:szCs w:val="20"/>
                <w:vertAlign w:val="superscript"/>
              </w:rPr>
              <w:t>-1</w:t>
            </w:r>
            <w:r w:rsidRPr="00DE42B9">
              <w:rPr>
                <w:rFonts w:ascii="Times New Roman" w:hAnsi="Times New Roman" w:cs="Times New Roman"/>
                <w:color w:val="000000" w:themeColor="text1"/>
                <w:sz w:val="20"/>
                <w:szCs w:val="20"/>
              </w:rPr>
              <w:t xml:space="preserve"> Air bubbling</w:t>
            </w:r>
          </w:p>
        </w:tc>
      </w:tr>
      <w:tr w:rsidR="009169DC" w:rsidRPr="001075EB" w14:paraId="3BE7F4A5" w14:textId="77777777" w:rsidTr="00AC39BB">
        <w:trPr>
          <w:jc w:val="center"/>
        </w:trPr>
        <w:tc>
          <w:tcPr>
            <w:tcW w:w="1296" w:type="dxa"/>
          </w:tcPr>
          <w:p w14:paraId="1F4290CC" w14:textId="0918B21F" w:rsidR="00ED7769" w:rsidRPr="00DE42B9" w:rsidRDefault="0055497B" w:rsidP="0055497B">
            <w:pPr>
              <w:rPr>
                <w:rFonts w:ascii="Times New Roman" w:hAnsi="Times New Roman" w:cs="Times New Roman"/>
                <w:color w:val="000000" w:themeColor="text1"/>
                <w:sz w:val="20"/>
                <w:szCs w:val="20"/>
                <w:lang w:val="fr-FR"/>
              </w:rPr>
            </w:pPr>
            <w:r w:rsidRPr="00DE42B9">
              <w:rPr>
                <w:rFonts w:ascii="Times New Roman" w:hAnsi="Times New Roman" w:cs="Times New Roman"/>
                <w:color w:val="000000" w:themeColor="text1"/>
                <w:sz w:val="20"/>
                <w:szCs w:val="20"/>
              </w:rPr>
              <w:fldChar w:fldCharType="begin"/>
            </w:r>
            <w:r w:rsidRPr="00DE42B9">
              <w:rPr>
                <w:rFonts w:ascii="Times New Roman" w:hAnsi="Times New Roman" w:cs="Times New Roman"/>
                <w:color w:val="000000" w:themeColor="text1"/>
                <w:sz w:val="20"/>
                <w:szCs w:val="20"/>
              </w:rPr>
              <w:instrText xml:space="preserve"> ADDIN EN.CITE &lt;EndNote&gt;&lt;Cite AuthorYear="1"&gt;&lt;Author&gt;Yang&lt;/Author&gt;&lt;Year&gt;2013&lt;/Year&gt;&lt;RecNum&gt;228523&lt;/RecNum&gt;&lt;DisplayText&gt;Yang&lt;style face="italic"&gt; et al.&lt;/style&gt; (2013)&lt;/DisplayText&gt;&lt;record&gt;&lt;rec-number&gt;228523&lt;/rec-number&gt;&lt;foreign-keys&gt;&lt;key app="EN" db-id="9efww95sirratne9w0tv95fpzxp2w52rz959" timestamp="1465205294"&gt;228523&lt;/key&gt;&lt;/foreign-keys&gt;&lt;ref-type name="Journal Article"&gt;17&lt;/ref-type&gt;&lt;contributors&gt;&lt;authors&gt;&lt;author&gt;Yang, Z.-K.&lt;/author&gt;&lt;author&gt;Niu, Y.F.&lt;/author&gt;&lt;author&gt;Ma, Y.H.&lt;/author&gt;&lt;author&gt;Xue, J.&lt;/author&gt;&lt;author&gt;Zhang, M.H.&lt;/author&gt;&lt;author&gt;Yang, W.D.&lt;/author&gt;&lt;author&gt;Liu, J.S.&lt;/author&gt;&lt;author&gt;Lu, S.H.&lt;/author&gt;&lt;author&gt;Guan, Y.&lt;/author&gt;&lt;author&gt;Li, H.Y.&lt;/author&gt;&lt;/authors&gt;&lt;/contributors&gt;&lt;titles&gt;&lt;title&gt;Molecular and cellular mechanisms of neutral lipid accumulation in diatom following nitrogen deprivation&lt;/title&gt;&lt;secondary-title&gt;Biotechnology for Biofuels&lt;/secondary-title&gt;&lt;/titles&gt;&lt;periodical&gt;&lt;full-title&gt;Biotechnology for Biofuels&lt;/full-title&gt;&lt;/periodical&gt;&lt;pages&gt;67&lt;/pages&gt;&lt;volume&gt;6&lt;/volume&gt;&lt;section&gt;67&lt;/section&gt;&lt;keywords&gt;&lt;keyword&gt;38220&lt;/keyword&gt;&lt;/keywords&gt;&lt;dates&gt;&lt;year&gt;2013&lt;/year&gt;&lt;/dates&gt;&lt;urls&gt;&lt;/urls&gt;&lt;/record&gt;&lt;/Cite&gt;&lt;/EndNote&gt;</w:instrText>
            </w:r>
            <w:r w:rsidRPr="00DE42B9">
              <w:rPr>
                <w:rFonts w:ascii="Times New Roman" w:hAnsi="Times New Roman" w:cs="Times New Roman"/>
                <w:color w:val="000000" w:themeColor="text1"/>
                <w:sz w:val="20"/>
                <w:szCs w:val="20"/>
              </w:rPr>
              <w:fldChar w:fldCharType="separate"/>
            </w:r>
            <w:r w:rsidRPr="00DE42B9">
              <w:rPr>
                <w:rFonts w:ascii="Times New Roman" w:hAnsi="Times New Roman" w:cs="Times New Roman"/>
                <w:noProof/>
                <w:color w:val="000000" w:themeColor="text1"/>
                <w:sz w:val="20"/>
                <w:szCs w:val="20"/>
              </w:rPr>
              <w:t>Yang</w:t>
            </w:r>
            <w:r w:rsidRPr="00DE42B9">
              <w:rPr>
                <w:rFonts w:ascii="Times New Roman" w:hAnsi="Times New Roman" w:cs="Times New Roman"/>
                <w:i/>
                <w:noProof/>
                <w:color w:val="000000" w:themeColor="text1"/>
                <w:sz w:val="20"/>
                <w:szCs w:val="20"/>
              </w:rPr>
              <w:t xml:space="preserve"> et al.</w:t>
            </w:r>
            <w:r w:rsidRPr="00DE42B9">
              <w:rPr>
                <w:rFonts w:ascii="Times New Roman" w:hAnsi="Times New Roman" w:cs="Times New Roman"/>
                <w:noProof/>
                <w:color w:val="000000" w:themeColor="text1"/>
                <w:sz w:val="20"/>
                <w:szCs w:val="20"/>
              </w:rPr>
              <w:t xml:space="preserve"> (2013)</w:t>
            </w:r>
            <w:r w:rsidRPr="00DE42B9">
              <w:rPr>
                <w:rFonts w:ascii="Times New Roman" w:hAnsi="Times New Roman" w:cs="Times New Roman"/>
                <w:color w:val="000000" w:themeColor="text1"/>
                <w:sz w:val="20"/>
                <w:szCs w:val="20"/>
              </w:rPr>
              <w:fldChar w:fldCharType="end"/>
            </w:r>
          </w:p>
        </w:tc>
        <w:tc>
          <w:tcPr>
            <w:tcW w:w="1510" w:type="dxa"/>
          </w:tcPr>
          <w:p w14:paraId="57B9B355"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FACHB-863</w:t>
            </w:r>
          </w:p>
          <w:p w14:paraId="0A2199D3"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w:t>
            </w:r>
          </w:p>
        </w:tc>
        <w:tc>
          <w:tcPr>
            <w:tcW w:w="1588" w:type="dxa"/>
          </w:tcPr>
          <w:p w14:paraId="4616F43E"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 xml:space="preserve">N+  to N- </w:t>
            </w:r>
          </w:p>
          <w:p w14:paraId="79A4B806"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Transfer</w:t>
            </w:r>
          </w:p>
        </w:tc>
        <w:tc>
          <w:tcPr>
            <w:tcW w:w="1939" w:type="dxa"/>
          </w:tcPr>
          <w:p w14:paraId="3F34C5A7"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- 75 mg/L (N+)</w:t>
            </w:r>
          </w:p>
          <w:p w14:paraId="668F5ABA"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- 0 mg/L (N-)</w:t>
            </w:r>
          </w:p>
        </w:tc>
        <w:tc>
          <w:tcPr>
            <w:tcW w:w="1596" w:type="dxa"/>
          </w:tcPr>
          <w:p w14:paraId="24988137"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Batch</w:t>
            </w:r>
          </w:p>
          <w:p w14:paraId="09A1E730"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(Flask)</w:t>
            </w:r>
          </w:p>
        </w:tc>
        <w:tc>
          <w:tcPr>
            <w:tcW w:w="1198" w:type="dxa"/>
          </w:tcPr>
          <w:p w14:paraId="232EC580"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f/2 - Si</w:t>
            </w:r>
          </w:p>
        </w:tc>
        <w:tc>
          <w:tcPr>
            <w:tcW w:w="1399" w:type="dxa"/>
          </w:tcPr>
          <w:p w14:paraId="545B87A8"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12:12</w:t>
            </w:r>
          </w:p>
          <w:p w14:paraId="56700ECC"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(200)</w:t>
            </w:r>
          </w:p>
        </w:tc>
        <w:tc>
          <w:tcPr>
            <w:tcW w:w="1442" w:type="dxa"/>
          </w:tcPr>
          <w:p w14:paraId="23F48EFD"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21°C</w:t>
            </w:r>
          </w:p>
        </w:tc>
        <w:tc>
          <w:tcPr>
            <w:tcW w:w="1352" w:type="dxa"/>
          </w:tcPr>
          <w:p w14:paraId="781E4272" w14:textId="6C4EC328" w:rsidR="00ED7769" w:rsidRPr="00DE42B9" w:rsidRDefault="003A542D"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Natural diffusion</w:t>
            </w:r>
          </w:p>
        </w:tc>
      </w:tr>
      <w:tr w:rsidR="009169DC" w:rsidRPr="001075EB" w14:paraId="7D106255" w14:textId="77777777" w:rsidTr="00AC39BB">
        <w:trPr>
          <w:jc w:val="center"/>
        </w:trPr>
        <w:tc>
          <w:tcPr>
            <w:tcW w:w="1296" w:type="dxa"/>
          </w:tcPr>
          <w:p w14:paraId="4CA120B4" w14:textId="5C137F96" w:rsidR="00ED7769" w:rsidRPr="00DE42B9" w:rsidRDefault="0055497B" w:rsidP="0055497B">
            <w:pPr>
              <w:rPr>
                <w:rFonts w:ascii="Times New Roman" w:hAnsi="Times New Roman" w:cs="Times New Roman"/>
                <w:color w:val="000000" w:themeColor="text1"/>
                <w:sz w:val="20"/>
                <w:szCs w:val="20"/>
                <w:lang w:val="fr-FR"/>
              </w:rPr>
            </w:pPr>
            <w:r w:rsidRPr="00DE42B9">
              <w:rPr>
                <w:rFonts w:ascii="Times New Roman" w:hAnsi="Times New Roman" w:cs="Times New Roman"/>
                <w:color w:val="000000" w:themeColor="text1"/>
                <w:sz w:val="20"/>
                <w:szCs w:val="20"/>
              </w:rPr>
              <w:fldChar w:fldCharType="begin"/>
            </w:r>
            <w:r w:rsidRPr="00DE42B9">
              <w:rPr>
                <w:rFonts w:ascii="Times New Roman" w:hAnsi="Times New Roman" w:cs="Times New Roman"/>
                <w:color w:val="000000" w:themeColor="text1"/>
                <w:sz w:val="20"/>
                <w:szCs w:val="20"/>
              </w:rPr>
              <w:instrText xml:space="preserve"> ADDIN EN.CITE &lt;EndNote&gt;&lt;Cite AuthorYear="1"&gt;&lt;Author&gt;Ge&lt;/Author&gt;&lt;Year&gt;2014&lt;/Year&gt;&lt;RecNum&gt;228354&lt;/RecNum&gt;&lt;DisplayText&gt;Ge&lt;style face="italic"&gt; et al.&lt;/style&gt; (2014)&lt;/DisplayText&gt;&lt;record&gt;&lt;rec-number&gt;228354&lt;/rec-number&gt;&lt;foreign-keys&gt;&lt;key app="EN" db-id="9efww95sirratne9w0tv95fpzxp2w52rz959" timestamp="1464542218"&gt;228354&lt;/key&gt;&lt;/foreign-keys&gt;&lt;ref-type name="Journal Article"&gt;17&lt;/ref-type&gt;&lt;contributors&gt;&lt;authors&gt;&lt;author&gt;Ge, F.&lt;/author&gt;&lt;author&gt;Huang, W.&lt;/author&gt;&lt;author&gt;Chen, Z.&lt;/author&gt;&lt;author&gt;Zhang, C.&lt;/author&gt;&lt;author&gt;Xiong, Q.&lt;/author&gt;&lt;author&gt;Bowler, C.&lt;/author&gt;&lt;author&gt;Yang, J.&lt;/author&gt;&lt;author&gt;Xu, J.&lt;/author&gt;&lt;author&gt;Hu, H.&lt;/author&gt;&lt;/authors&gt;&lt;/contributors&gt;&lt;titles&gt;&lt;title&gt;&lt;style face="normal" font="default" size="100%"&gt;Methylcrotonyl-CoA carboxylase regulates triacylglycerol accumulation in the model diatom &lt;/style&gt;&lt;style face="italic" font="default" size="100%"&gt;Phaeodactylum tricornutum&lt;/style&gt;&lt;/title&gt;&lt;secondary-title&gt;Plant Cell&lt;/secondary-title&gt;&lt;/titles&gt;&lt;periodical&gt;&lt;full-title&gt;Plant Cell&lt;/full-title&gt;&lt;/periodical&gt;&lt;pages&gt;1681-1697&lt;/pages&gt;&lt;volume&gt;26&lt;/volume&gt;&lt;section&gt;1681&lt;/section&gt;&lt;keywords&gt;&lt;keyword&gt;38179&lt;/keyword&gt;&lt;/keywords&gt;&lt;dates&gt;&lt;year&gt;2014&lt;/year&gt;&lt;/dates&gt;&lt;urls&gt;&lt;/urls&gt;&lt;/record&gt;&lt;/Cite&gt;&lt;/EndNote&gt;</w:instrText>
            </w:r>
            <w:r w:rsidRPr="00DE42B9">
              <w:rPr>
                <w:rFonts w:ascii="Times New Roman" w:hAnsi="Times New Roman" w:cs="Times New Roman"/>
                <w:color w:val="000000" w:themeColor="text1"/>
                <w:sz w:val="20"/>
                <w:szCs w:val="20"/>
              </w:rPr>
              <w:fldChar w:fldCharType="separate"/>
            </w:r>
            <w:r w:rsidRPr="00DE42B9">
              <w:rPr>
                <w:rFonts w:ascii="Times New Roman" w:hAnsi="Times New Roman" w:cs="Times New Roman"/>
                <w:noProof/>
                <w:color w:val="000000" w:themeColor="text1"/>
                <w:sz w:val="20"/>
                <w:szCs w:val="20"/>
              </w:rPr>
              <w:t>Ge</w:t>
            </w:r>
            <w:r w:rsidRPr="00DE42B9">
              <w:rPr>
                <w:rFonts w:ascii="Times New Roman" w:hAnsi="Times New Roman" w:cs="Times New Roman"/>
                <w:i/>
                <w:noProof/>
                <w:color w:val="000000" w:themeColor="text1"/>
                <w:sz w:val="20"/>
                <w:szCs w:val="20"/>
              </w:rPr>
              <w:t xml:space="preserve"> et al.</w:t>
            </w:r>
            <w:r w:rsidRPr="00DE42B9">
              <w:rPr>
                <w:rFonts w:ascii="Times New Roman" w:hAnsi="Times New Roman" w:cs="Times New Roman"/>
                <w:noProof/>
                <w:color w:val="000000" w:themeColor="text1"/>
                <w:sz w:val="20"/>
                <w:szCs w:val="20"/>
              </w:rPr>
              <w:t xml:space="preserve"> (2014)</w:t>
            </w:r>
            <w:r w:rsidRPr="00DE42B9">
              <w:rPr>
                <w:rFonts w:ascii="Times New Roman" w:hAnsi="Times New Roman" w:cs="Times New Roman"/>
                <w:color w:val="000000" w:themeColor="text1"/>
                <w:sz w:val="20"/>
                <w:szCs w:val="20"/>
              </w:rPr>
              <w:fldChar w:fldCharType="end"/>
            </w:r>
          </w:p>
        </w:tc>
        <w:tc>
          <w:tcPr>
            <w:tcW w:w="1510" w:type="dxa"/>
          </w:tcPr>
          <w:p w14:paraId="5C706D29"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CCMP2561</w:t>
            </w:r>
          </w:p>
          <w:p w14:paraId="60189A94"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(Pt1)</w:t>
            </w:r>
          </w:p>
        </w:tc>
        <w:tc>
          <w:tcPr>
            <w:tcW w:w="1588" w:type="dxa"/>
          </w:tcPr>
          <w:p w14:paraId="2AEF140E"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 xml:space="preserve">N+  to N- </w:t>
            </w:r>
          </w:p>
          <w:p w14:paraId="30E13354"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Transfer</w:t>
            </w:r>
          </w:p>
        </w:tc>
        <w:tc>
          <w:tcPr>
            <w:tcW w:w="1939" w:type="dxa"/>
          </w:tcPr>
          <w:p w14:paraId="4A7AF9FA"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 xml:space="preserve">- 300 </w:t>
            </w:r>
            <w:proofErr w:type="spellStart"/>
            <w:r w:rsidRPr="00DE42B9">
              <w:rPr>
                <w:rFonts w:ascii="Times New Roman" w:hAnsi="Times New Roman" w:cs="Times New Roman"/>
                <w:color w:val="000000" w:themeColor="text1"/>
                <w:sz w:val="20"/>
                <w:szCs w:val="20"/>
              </w:rPr>
              <w:t>μM</w:t>
            </w:r>
            <w:proofErr w:type="spellEnd"/>
          </w:p>
          <w:p w14:paraId="6AD4CB34"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 xml:space="preserve">- 500 </w:t>
            </w:r>
            <w:proofErr w:type="spellStart"/>
            <w:r w:rsidRPr="00DE42B9">
              <w:rPr>
                <w:rFonts w:ascii="Times New Roman" w:hAnsi="Times New Roman" w:cs="Times New Roman"/>
                <w:color w:val="000000" w:themeColor="text1"/>
                <w:sz w:val="20"/>
                <w:szCs w:val="20"/>
              </w:rPr>
              <w:t>μM</w:t>
            </w:r>
            <w:proofErr w:type="spellEnd"/>
          </w:p>
          <w:p w14:paraId="00846C80"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 xml:space="preserve">- 700 </w:t>
            </w:r>
            <w:proofErr w:type="spellStart"/>
            <w:r w:rsidRPr="00DE42B9">
              <w:rPr>
                <w:rFonts w:ascii="Times New Roman" w:hAnsi="Times New Roman" w:cs="Times New Roman"/>
                <w:color w:val="000000" w:themeColor="text1"/>
                <w:sz w:val="20"/>
                <w:szCs w:val="20"/>
              </w:rPr>
              <w:t>μM</w:t>
            </w:r>
            <w:proofErr w:type="spellEnd"/>
          </w:p>
        </w:tc>
        <w:tc>
          <w:tcPr>
            <w:tcW w:w="1596" w:type="dxa"/>
          </w:tcPr>
          <w:p w14:paraId="73431F79"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Batch</w:t>
            </w:r>
          </w:p>
          <w:p w14:paraId="711B4EE7" w14:textId="77777777" w:rsidR="00ED7769" w:rsidRPr="00DE42B9" w:rsidRDefault="00ED7769" w:rsidP="00C7390D">
            <w:pPr>
              <w:rPr>
                <w:rFonts w:ascii="Times New Roman" w:hAnsi="Times New Roman" w:cs="Times New Roman"/>
                <w:color w:val="000000" w:themeColor="text1"/>
                <w:sz w:val="20"/>
                <w:szCs w:val="20"/>
              </w:rPr>
            </w:pPr>
          </w:p>
        </w:tc>
        <w:tc>
          <w:tcPr>
            <w:tcW w:w="1198" w:type="dxa"/>
          </w:tcPr>
          <w:p w14:paraId="3FAEF984"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f/2</w:t>
            </w:r>
          </w:p>
        </w:tc>
        <w:tc>
          <w:tcPr>
            <w:tcW w:w="1399" w:type="dxa"/>
          </w:tcPr>
          <w:p w14:paraId="36A711B3"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Continuous</w:t>
            </w:r>
          </w:p>
          <w:p w14:paraId="425EC436"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(100)</w:t>
            </w:r>
          </w:p>
        </w:tc>
        <w:tc>
          <w:tcPr>
            <w:tcW w:w="1442" w:type="dxa"/>
          </w:tcPr>
          <w:p w14:paraId="489A30B2"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22°C</w:t>
            </w:r>
          </w:p>
        </w:tc>
        <w:tc>
          <w:tcPr>
            <w:tcW w:w="1352" w:type="dxa"/>
          </w:tcPr>
          <w:p w14:paraId="5E4AF7C6"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Air bubbling</w:t>
            </w:r>
          </w:p>
        </w:tc>
      </w:tr>
      <w:tr w:rsidR="009169DC" w:rsidRPr="001075EB" w14:paraId="33B3F0B9" w14:textId="77777777" w:rsidTr="00AC39BB">
        <w:trPr>
          <w:jc w:val="center"/>
        </w:trPr>
        <w:tc>
          <w:tcPr>
            <w:tcW w:w="1296" w:type="dxa"/>
          </w:tcPr>
          <w:p w14:paraId="78995D4C" w14:textId="0C6BA3C5" w:rsidR="00ED7769" w:rsidRPr="00DE42B9" w:rsidRDefault="0055497B" w:rsidP="0055497B">
            <w:pPr>
              <w:rPr>
                <w:rFonts w:ascii="Times New Roman" w:hAnsi="Times New Roman" w:cs="Times New Roman"/>
                <w:color w:val="000000" w:themeColor="text1"/>
                <w:sz w:val="20"/>
                <w:szCs w:val="20"/>
                <w:lang w:val="fr-FR"/>
              </w:rPr>
            </w:pPr>
            <w:r w:rsidRPr="00DE42B9">
              <w:rPr>
                <w:rFonts w:ascii="Times New Roman" w:hAnsi="Times New Roman" w:cs="Times New Roman"/>
                <w:color w:val="000000" w:themeColor="text1"/>
                <w:sz w:val="20"/>
                <w:szCs w:val="20"/>
              </w:rPr>
              <w:fldChar w:fldCharType="begin"/>
            </w:r>
            <w:r w:rsidRPr="00DE42B9">
              <w:rPr>
                <w:rFonts w:ascii="Times New Roman" w:hAnsi="Times New Roman" w:cs="Times New Roman"/>
                <w:color w:val="000000" w:themeColor="text1"/>
                <w:sz w:val="20"/>
                <w:szCs w:val="20"/>
              </w:rPr>
              <w:instrText xml:space="preserve"> ADDIN EN.CITE &lt;EndNote&gt;&lt;Cite AuthorYear="1"&gt;&lt;Author&gt;Levitan&lt;/Author&gt;&lt;Year&gt;2015&lt;/Year&gt;&lt;RecNum&gt;246139&lt;/RecNum&gt;&lt;DisplayText&gt;Levitan&lt;style face="italic"&gt; et al.&lt;/style&gt; (2015a)&lt;/DisplayText&gt;&lt;record&gt;&lt;rec-number&gt;246139&lt;/rec-number&gt;&lt;foreign-keys&gt;&lt;key app="EN" db-id="9efww95sirratne9w0tv95fpzxp2w52rz959" timestamp="1518078009"&gt;246139&lt;/key&gt;&lt;/foreign-keys&gt;&lt;ref-type name="Journal Article"&gt;17&lt;/ref-type&gt;&lt;contributors&gt;&lt;authors&gt;&lt;author&gt;Levitan, O.&lt;/author&gt;&lt;author&gt;Dinamarca, J.&lt;/author&gt;&lt;author&gt;Zelzion, E.&lt;/author&gt;&lt;author&gt;Gorbunov, M. Y.&lt;/author&gt;&lt;author&gt;Falkowski, P. G.&lt;/author&gt;&lt;/authors&gt;&lt;/contributors&gt;&lt;titles&gt;&lt;title&gt;&lt;style face="normal" font="default" size="100%"&gt;An RNA interference knock-down of nitrate reductase enhances lipid biosynthesis in the diatom &lt;/style&gt;&lt;style face="italic" font="default" size="100%"&gt;Phaeodactylum tricornutum&lt;/style&gt;&lt;/title&gt;&lt;secondary-title&gt;Plant Journal&lt;/secondary-title&gt;&lt;/titles&gt;&lt;periodical&gt;&lt;full-title&gt;Plant Journal&lt;/full-title&gt;&lt;/periodical&gt;&lt;pages&gt;963-973&lt;/pages&gt;&lt;volume&gt;84&lt;/volume&gt;&lt;number&gt;5&lt;/number&gt;&lt;section&gt;963&lt;/section&gt;&lt;dates&gt;&lt;year&gt;2015&lt;/year&gt;&lt;pub-dates&gt;&lt;date&gt;Dec&lt;/date&gt;&lt;/pub-dates&gt;&lt;/dates&gt;&lt;isbn&gt;0960-7412&lt;/isbn&gt;&lt;accession-num&gt;WOS:000368267900010&lt;/accession-num&gt;&lt;urls&gt;&lt;related-urls&gt;&lt;url&gt;&amp;lt;Go to ISI&amp;gt;://WOS:000368267900010&lt;/url&gt;&lt;/related-urls&gt;&lt;/urls&gt;&lt;electronic-resource-num&gt;10.1111/tpj.13052&lt;/electronic-resource-num&gt;&lt;/record&gt;&lt;/Cite&gt;&lt;/EndNote&gt;</w:instrText>
            </w:r>
            <w:r w:rsidRPr="00DE42B9">
              <w:rPr>
                <w:rFonts w:ascii="Times New Roman" w:hAnsi="Times New Roman" w:cs="Times New Roman"/>
                <w:color w:val="000000" w:themeColor="text1"/>
                <w:sz w:val="20"/>
                <w:szCs w:val="20"/>
              </w:rPr>
              <w:fldChar w:fldCharType="separate"/>
            </w:r>
            <w:r w:rsidRPr="00DE42B9">
              <w:rPr>
                <w:rFonts w:ascii="Times New Roman" w:hAnsi="Times New Roman" w:cs="Times New Roman"/>
                <w:noProof/>
                <w:color w:val="000000" w:themeColor="text1"/>
                <w:sz w:val="20"/>
                <w:szCs w:val="20"/>
              </w:rPr>
              <w:t>Levitan</w:t>
            </w:r>
            <w:r w:rsidRPr="00DE42B9">
              <w:rPr>
                <w:rFonts w:ascii="Times New Roman" w:hAnsi="Times New Roman" w:cs="Times New Roman"/>
                <w:i/>
                <w:noProof/>
                <w:color w:val="000000" w:themeColor="text1"/>
                <w:sz w:val="20"/>
                <w:szCs w:val="20"/>
              </w:rPr>
              <w:t xml:space="preserve"> et al.</w:t>
            </w:r>
            <w:r w:rsidRPr="00DE42B9">
              <w:rPr>
                <w:rFonts w:ascii="Times New Roman" w:hAnsi="Times New Roman" w:cs="Times New Roman"/>
                <w:noProof/>
                <w:color w:val="000000" w:themeColor="text1"/>
                <w:sz w:val="20"/>
                <w:szCs w:val="20"/>
              </w:rPr>
              <w:t xml:space="preserve"> (2015a)</w:t>
            </w:r>
            <w:r w:rsidRPr="00DE42B9">
              <w:rPr>
                <w:rFonts w:ascii="Times New Roman" w:hAnsi="Times New Roman" w:cs="Times New Roman"/>
                <w:color w:val="000000" w:themeColor="text1"/>
                <w:sz w:val="20"/>
                <w:szCs w:val="20"/>
              </w:rPr>
              <w:fldChar w:fldCharType="end"/>
            </w:r>
          </w:p>
        </w:tc>
        <w:tc>
          <w:tcPr>
            <w:tcW w:w="1510" w:type="dxa"/>
          </w:tcPr>
          <w:p w14:paraId="2E9D27B8"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Strain 8.6</w:t>
            </w:r>
          </w:p>
          <w:p w14:paraId="5E09821A"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(Pt1)</w:t>
            </w:r>
          </w:p>
        </w:tc>
        <w:tc>
          <w:tcPr>
            <w:tcW w:w="1588" w:type="dxa"/>
          </w:tcPr>
          <w:p w14:paraId="2DD10B7E"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N+ and N-</w:t>
            </w:r>
          </w:p>
          <w:p w14:paraId="47B2B7C4"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comparison</w:t>
            </w:r>
          </w:p>
        </w:tc>
        <w:tc>
          <w:tcPr>
            <w:tcW w:w="1939" w:type="dxa"/>
          </w:tcPr>
          <w:p w14:paraId="2E40AF9F"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 xml:space="preserve">- 880 </w:t>
            </w:r>
            <w:proofErr w:type="spellStart"/>
            <w:r w:rsidRPr="00DE42B9">
              <w:rPr>
                <w:rFonts w:ascii="Times New Roman" w:hAnsi="Times New Roman" w:cs="Times New Roman"/>
                <w:color w:val="000000" w:themeColor="text1"/>
                <w:sz w:val="20"/>
                <w:szCs w:val="20"/>
              </w:rPr>
              <w:t>μM</w:t>
            </w:r>
            <w:proofErr w:type="spellEnd"/>
            <w:r w:rsidRPr="00DE42B9">
              <w:rPr>
                <w:rFonts w:ascii="Times New Roman" w:hAnsi="Times New Roman" w:cs="Times New Roman"/>
                <w:color w:val="000000" w:themeColor="text1"/>
                <w:sz w:val="20"/>
                <w:szCs w:val="20"/>
              </w:rPr>
              <w:t xml:space="preserve"> (N+)</w:t>
            </w:r>
          </w:p>
          <w:p w14:paraId="029E434D"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 xml:space="preserve">- 0 </w:t>
            </w:r>
            <w:proofErr w:type="spellStart"/>
            <w:r w:rsidRPr="00DE42B9">
              <w:rPr>
                <w:rFonts w:ascii="Times New Roman" w:hAnsi="Times New Roman" w:cs="Times New Roman"/>
                <w:color w:val="000000" w:themeColor="text1"/>
                <w:sz w:val="20"/>
                <w:szCs w:val="20"/>
              </w:rPr>
              <w:t>μM</w:t>
            </w:r>
            <w:proofErr w:type="spellEnd"/>
            <w:r w:rsidRPr="00DE42B9">
              <w:rPr>
                <w:rFonts w:ascii="Times New Roman" w:hAnsi="Times New Roman" w:cs="Times New Roman"/>
                <w:color w:val="000000" w:themeColor="text1"/>
                <w:sz w:val="20"/>
                <w:szCs w:val="20"/>
              </w:rPr>
              <w:t xml:space="preserve"> (N-)</w:t>
            </w:r>
          </w:p>
        </w:tc>
        <w:tc>
          <w:tcPr>
            <w:tcW w:w="1596" w:type="dxa"/>
          </w:tcPr>
          <w:p w14:paraId="0C88A0F7"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Batch</w:t>
            </w:r>
          </w:p>
          <w:p w14:paraId="7093DBDA"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(Flask)</w:t>
            </w:r>
          </w:p>
        </w:tc>
        <w:tc>
          <w:tcPr>
            <w:tcW w:w="1198" w:type="dxa"/>
          </w:tcPr>
          <w:p w14:paraId="73662CE6"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ASW + f/2 nutrients</w:t>
            </w:r>
          </w:p>
        </w:tc>
        <w:tc>
          <w:tcPr>
            <w:tcW w:w="1399" w:type="dxa"/>
          </w:tcPr>
          <w:p w14:paraId="31D56812"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Continuous</w:t>
            </w:r>
          </w:p>
          <w:p w14:paraId="63063F65"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(120–150)</w:t>
            </w:r>
          </w:p>
        </w:tc>
        <w:tc>
          <w:tcPr>
            <w:tcW w:w="1442" w:type="dxa"/>
          </w:tcPr>
          <w:p w14:paraId="01BB0320"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18°C</w:t>
            </w:r>
          </w:p>
        </w:tc>
        <w:tc>
          <w:tcPr>
            <w:tcW w:w="1352" w:type="dxa"/>
          </w:tcPr>
          <w:p w14:paraId="7E7398A5"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Air bubbling</w:t>
            </w:r>
          </w:p>
        </w:tc>
      </w:tr>
      <w:tr w:rsidR="009169DC" w:rsidRPr="001075EB" w14:paraId="4A87818E" w14:textId="77777777" w:rsidTr="00AC39BB">
        <w:trPr>
          <w:jc w:val="center"/>
        </w:trPr>
        <w:tc>
          <w:tcPr>
            <w:tcW w:w="1296" w:type="dxa"/>
          </w:tcPr>
          <w:p w14:paraId="1926C0A7" w14:textId="6D92FB3E" w:rsidR="00ED7769" w:rsidRPr="00DE42B9" w:rsidRDefault="0055497B" w:rsidP="0055497B">
            <w:pPr>
              <w:rPr>
                <w:rFonts w:ascii="Times New Roman" w:hAnsi="Times New Roman" w:cs="Times New Roman"/>
                <w:color w:val="000000" w:themeColor="text1"/>
                <w:sz w:val="20"/>
                <w:szCs w:val="20"/>
                <w:lang w:val="fr-FR"/>
              </w:rPr>
            </w:pPr>
            <w:r w:rsidRPr="00DE42B9">
              <w:rPr>
                <w:rFonts w:ascii="Times New Roman" w:hAnsi="Times New Roman" w:cs="Times New Roman"/>
                <w:color w:val="000000" w:themeColor="text1"/>
                <w:sz w:val="20"/>
                <w:szCs w:val="20"/>
              </w:rPr>
              <w:fldChar w:fldCharType="begin"/>
            </w:r>
            <w:r w:rsidRPr="00DE42B9">
              <w:rPr>
                <w:rFonts w:ascii="Times New Roman" w:hAnsi="Times New Roman" w:cs="Times New Roman"/>
                <w:color w:val="000000" w:themeColor="text1"/>
                <w:sz w:val="20"/>
                <w:szCs w:val="20"/>
              </w:rPr>
              <w:instrText xml:space="preserve"> ADDIN EN.CITE &lt;EndNote&gt;&lt;Cite AuthorYear="1"&gt;&lt;Author&gt;Levitan&lt;/Author&gt;&lt;Year&gt;2015&lt;/Year&gt;&lt;RecNum&gt;116420&lt;/RecNum&gt;&lt;DisplayText&gt;Levitan&lt;style face="italic"&gt; et al.&lt;/style&gt; (2015b)&lt;/DisplayText&gt;&lt;record&gt;&lt;rec-number&gt;116420&lt;/rec-number&gt;&lt;foreign-keys&gt;&lt;key app="EN" db-id="9efww95sirratne9w0tv95fpzxp2w52rz959" timestamp="1447251241"&gt;116420&lt;/key&gt;&lt;/foreign-keys&gt;&lt;ref-type name="Journal Article"&gt;17&lt;/ref-type&gt;&lt;contributors&gt;&lt;authors&gt;&lt;author&gt;Levitan, O.&lt;/author&gt;&lt;author&gt;Dinamarca, J.&lt;/author&gt;&lt;author&gt;Zelzion, E.&lt;/author&gt;&lt;author&gt;Lun, D. S.&lt;/author&gt;&lt;author&gt;Guerra, L. T.&lt;/author&gt;&lt;author&gt;Kim, M. K.&lt;/author&gt;&lt;author&gt;Kim, J.&lt;/author&gt;&lt;author&gt;Van Mooy, B. A. S.&lt;/author&gt;&lt;author&gt;Bhattacharya, D.&lt;/author&gt;&lt;author&gt;Falkowski, P. G.&lt;/author&gt;&lt;/authors&gt;&lt;/contributors&gt;&lt;titles&gt;&lt;title&gt;&lt;style face="normal" font="default" size="100%"&gt;Remodeling of intermediate metabolism in the diatom  &lt;/style&gt;&lt;style face="italic" font="default" size="100%"&gt;Phaeodactylum tricornutum&lt;/style&gt;&lt;style face="normal" font="default" size="100%"&gt;  under nitrogen stress&lt;/style&gt;&lt;/title&gt;&lt;secondary-title&gt;Proceedings of the National Academy of Sciences of the United States of America&lt;/secondary-title&gt;&lt;/titles&gt;&lt;periodical&gt;&lt;full-title&gt;Proceedings of the National Academy of Sciences of the United States of America&lt;/full-title&gt;&lt;/periodical&gt;&lt;pages&gt;412-417&lt;/pages&gt;&lt;volume&gt;112&lt;/volume&gt;&lt;number&gt;2&lt;/number&gt;&lt;section&gt;412&lt;/section&gt;&lt;reprint-edition&gt;IN FILE&lt;/reprint-edition&gt;&lt;keywords&gt;&lt;keyword&gt;41211&lt;/keyword&gt;&lt;/keywords&gt;&lt;dates&gt;&lt;year&gt;2015&lt;/year&gt;&lt;/dates&gt;&lt;isbn&gt;0027-8424&lt;/isbn&gt;&lt;urls&gt;&lt;/urls&gt;&lt;/record&gt;&lt;/Cite&gt;&lt;/EndNote&gt;</w:instrText>
            </w:r>
            <w:r w:rsidRPr="00DE42B9">
              <w:rPr>
                <w:rFonts w:ascii="Times New Roman" w:hAnsi="Times New Roman" w:cs="Times New Roman"/>
                <w:color w:val="000000" w:themeColor="text1"/>
                <w:sz w:val="20"/>
                <w:szCs w:val="20"/>
              </w:rPr>
              <w:fldChar w:fldCharType="separate"/>
            </w:r>
            <w:r w:rsidRPr="00DE42B9">
              <w:rPr>
                <w:rFonts w:ascii="Times New Roman" w:hAnsi="Times New Roman" w:cs="Times New Roman"/>
                <w:noProof/>
                <w:color w:val="000000" w:themeColor="text1"/>
                <w:sz w:val="20"/>
                <w:szCs w:val="20"/>
              </w:rPr>
              <w:t>Levitan</w:t>
            </w:r>
            <w:r w:rsidRPr="00DE42B9">
              <w:rPr>
                <w:rFonts w:ascii="Times New Roman" w:hAnsi="Times New Roman" w:cs="Times New Roman"/>
                <w:i/>
                <w:noProof/>
                <w:color w:val="000000" w:themeColor="text1"/>
                <w:sz w:val="20"/>
                <w:szCs w:val="20"/>
              </w:rPr>
              <w:t xml:space="preserve"> et al.</w:t>
            </w:r>
            <w:r w:rsidRPr="00DE42B9">
              <w:rPr>
                <w:rFonts w:ascii="Times New Roman" w:hAnsi="Times New Roman" w:cs="Times New Roman"/>
                <w:noProof/>
                <w:color w:val="000000" w:themeColor="text1"/>
                <w:sz w:val="20"/>
                <w:szCs w:val="20"/>
              </w:rPr>
              <w:t xml:space="preserve"> (2015b)</w:t>
            </w:r>
            <w:r w:rsidRPr="00DE42B9">
              <w:rPr>
                <w:rFonts w:ascii="Times New Roman" w:hAnsi="Times New Roman" w:cs="Times New Roman"/>
                <w:color w:val="000000" w:themeColor="text1"/>
                <w:sz w:val="20"/>
                <w:szCs w:val="20"/>
              </w:rPr>
              <w:fldChar w:fldCharType="end"/>
            </w:r>
          </w:p>
        </w:tc>
        <w:tc>
          <w:tcPr>
            <w:tcW w:w="1510" w:type="dxa"/>
          </w:tcPr>
          <w:p w14:paraId="7EB9792B"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Strain 8.6</w:t>
            </w:r>
          </w:p>
          <w:p w14:paraId="2C6A50CC"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(Pt1)</w:t>
            </w:r>
          </w:p>
        </w:tc>
        <w:tc>
          <w:tcPr>
            <w:tcW w:w="1588" w:type="dxa"/>
          </w:tcPr>
          <w:p w14:paraId="05AA646D"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N+ and N-</w:t>
            </w:r>
          </w:p>
          <w:p w14:paraId="74DB538E"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comparison</w:t>
            </w:r>
          </w:p>
        </w:tc>
        <w:tc>
          <w:tcPr>
            <w:tcW w:w="1939" w:type="dxa"/>
          </w:tcPr>
          <w:p w14:paraId="1D216400"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 xml:space="preserve">- 880 </w:t>
            </w:r>
            <w:proofErr w:type="spellStart"/>
            <w:r w:rsidRPr="00DE42B9">
              <w:rPr>
                <w:rFonts w:ascii="Times New Roman" w:hAnsi="Times New Roman" w:cs="Times New Roman"/>
                <w:color w:val="000000" w:themeColor="text1"/>
                <w:sz w:val="20"/>
                <w:szCs w:val="20"/>
              </w:rPr>
              <w:t>μM</w:t>
            </w:r>
            <w:proofErr w:type="spellEnd"/>
            <w:r w:rsidRPr="00DE42B9">
              <w:rPr>
                <w:rFonts w:ascii="Times New Roman" w:hAnsi="Times New Roman" w:cs="Times New Roman"/>
                <w:color w:val="000000" w:themeColor="text1"/>
                <w:sz w:val="20"/>
                <w:szCs w:val="20"/>
              </w:rPr>
              <w:t xml:space="preserve"> (N+)</w:t>
            </w:r>
          </w:p>
          <w:p w14:paraId="25061FC1"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 xml:space="preserve">- 0 </w:t>
            </w:r>
            <w:proofErr w:type="spellStart"/>
            <w:r w:rsidRPr="00DE42B9">
              <w:rPr>
                <w:rFonts w:ascii="Times New Roman" w:hAnsi="Times New Roman" w:cs="Times New Roman"/>
                <w:color w:val="000000" w:themeColor="text1"/>
                <w:sz w:val="20"/>
                <w:szCs w:val="20"/>
              </w:rPr>
              <w:t>μM</w:t>
            </w:r>
            <w:proofErr w:type="spellEnd"/>
            <w:r w:rsidRPr="00DE42B9">
              <w:rPr>
                <w:rFonts w:ascii="Times New Roman" w:hAnsi="Times New Roman" w:cs="Times New Roman"/>
                <w:color w:val="000000" w:themeColor="text1"/>
                <w:sz w:val="20"/>
                <w:szCs w:val="20"/>
              </w:rPr>
              <w:t xml:space="preserve"> (N-)</w:t>
            </w:r>
          </w:p>
        </w:tc>
        <w:tc>
          <w:tcPr>
            <w:tcW w:w="1596" w:type="dxa"/>
          </w:tcPr>
          <w:p w14:paraId="76FCFB16"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Batch</w:t>
            </w:r>
          </w:p>
          <w:p w14:paraId="6239823C"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(Flask)</w:t>
            </w:r>
          </w:p>
        </w:tc>
        <w:tc>
          <w:tcPr>
            <w:tcW w:w="1198" w:type="dxa"/>
          </w:tcPr>
          <w:p w14:paraId="534632C1"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ASW + f/2 nutrients</w:t>
            </w:r>
          </w:p>
        </w:tc>
        <w:tc>
          <w:tcPr>
            <w:tcW w:w="1399" w:type="dxa"/>
          </w:tcPr>
          <w:p w14:paraId="4715F2B9"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Continuous</w:t>
            </w:r>
          </w:p>
          <w:p w14:paraId="300D9087"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(120–150)</w:t>
            </w:r>
          </w:p>
        </w:tc>
        <w:tc>
          <w:tcPr>
            <w:tcW w:w="1442" w:type="dxa"/>
          </w:tcPr>
          <w:p w14:paraId="136E6569"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18°C</w:t>
            </w:r>
          </w:p>
        </w:tc>
        <w:tc>
          <w:tcPr>
            <w:tcW w:w="1352" w:type="dxa"/>
          </w:tcPr>
          <w:p w14:paraId="0D3522DF"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Air bubbling</w:t>
            </w:r>
          </w:p>
        </w:tc>
      </w:tr>
      <w:tr w:rsidR="009169DC" w:rsidRPr="001075EB" w14:paraId="1B988FAE" w14:textId="77777777" w:rsidTr="00AC39BB">
        <w:trPr>
          <w:jc w:val="center"/>
        </w:trPr>
        <w:tc>
          <w:tcPr>
            <w:tcW w:w="1296" w:type="dxa"/>
          </w:tcPr>
          <w:p w14:paraId="4B81F56F" w14:textId="622DBD04" w:rsidR="00ED7769" w:rsidRPr="00DE42B9" w:rsidRDefault="0055497B" w:rsidP="0055497B">
            <w:pPr>
              <w:rPr>
                <w:rFonts w:ascii="Times New Roman" w:hAnsi="Times New Roman" w:cs="Times New Roman"/>
                <w:color w:val="000000" w:themeColor="text1"/>
                <w:sz w:val="20"/>
                <w:szCs w:val="20"/>
                <w:lang w:val="fr-FR"/>
              </w:rPr>
            </w:pPr>
            <w:r w:rsidRPr="00DE42B9">
              <w:rPr>
                <w:rFonts w:ascii="Times New Roman" w:hAnsi="Times New Roman" w:cs="Times New Roman"/>
                <w:color w:val="000000" w:themeColor="text1"/>
                <w:sz w:val="20"/>
                <w:szCs w:val="20"/>
              </w:rPr>
              <w:lastRenderedPageBreak/>
              <w:fldChar w:fldCharType="begin"/>
            </w:r>
            <w:r w:rsidRPr="00DE42B9">
              <w:rPr>
                <w:rFonts w:ascii="Times New Roman" w:hAnsi="Times New Roman" w:cs="Times New Roman"/>
                <w:color w:val="000000" w:themeColor="text1"/>
                <w:sz w:val="20"/>
                <w:szCs w:val="20"/>
              </w:rPr>
              <w:instrText xml:space="preserve"> ADDIN EN.CITE &lt;EndNote&gt;&lt;Cite AuthorYear="1"&gt;&lt;Author&gt;Abida&lt;/Author&gt;&lt;Year&gt;2015&lt;/Year&gt;&lt;RecNum&gt;110470&lt;/RecNum&gt;&lt;DisplayText&gt;Abida&lt;style face="italic"&gt; et al.&lt;/style&gt; (2015)&lt;/DisplayText&gt;&lt;record&gt;&lt;rec-number&gt;110470&lt;/rec-number&gt;&lt;foreign-keys&gt;&lt;key app="EN" db-id="9efww95sirratne9w0tv95fpzxp2w52rz959" timestamp="1447251223"&gt;110470&lt;/key&gt;&lt;/foreign-keys&gt;&lt;ref-type name="Journal Article"&gt;17&lt;/ref-type&gt;&lt;contributors&gt;&lt;authors&gt;&lt;author&gt;Abida, H.&lt;/author&gt;&lt;author&gt;Dolch, L. J.&lt;/author&gt;&lt;author&gt;Mei, C.&lt;/author&gt;&lt;author&gt;Villanova, V.&lt;/author&gt;&lt;author&gt;Conte, M.&lt;/author&gt;&lt;author&gt;Block, M. A.&lt;/author&gt;&lt;author&gt;Finazzi, G.&lt;/author&gt;&lt;author&gt;Bastien, O.&lt;/author&gt;&lt;author&gt;Tirichine, L.&lt;/author&gt;&lt;author&gt;Bowler, C.&lt;/author&gt;&lt;author&gt;Rebeille, F.&lt;/author&gt;&lt;author&gt;Petroutsos, D.&lt;/author&gt;&lt;author&gt;Jouhet, J.&lt;/author&gt;&lt;author&gt;Marechal, E.&lt;/author&gt;&lt;/authors&gt;&lt;/contributors&gt;&lt;titles&gt;&lt;title&gt;&lt;style face="normal" font="default" size="100%"&gt;Membrane glycerolipid remodeling triggered by nitrogen and phosphorus starvation in &lt;/style&gt;&lt;style face="italic" font="default" size="100%"&gt;Phaeodactylum tricornutum&lt;/style&gt;&lt;/title&gt;&lt;secondary-title&gt;Plant Physiology&lt;/secondary-title&gt;&lt;/titles&gt;&lt;periodical&gt;&lt;full-title&gt;Plant Physiology&lt;/full-title&gt;&lt;/periodical&gt;&lt;pages&gt;118-136&lt;/pages&gt;&lt;volume&gt;167&lt;/volume&gt;&lt;number&gt;1&lt;/number&gt;&lt;section&gt;118&lt;/section&gt;&lt;reprint-edition&gt;IN FILE&lt;/reprint-edition&gt;&lt;keywords&gt;&lt;keyword&gt;40502&lt;/keyword&gt;&lt;keyword&gt;Membrane&lt;/keyword&gt;&lt;/keywords&gt;&lt;dates&gt;&lt;year&gt;2015&lt;/year&gt;&lt;/dates&gt;&lt;isbn&gt;0032-0889&lt;/isbn&gt;&lt;urls&gt;&lt;/urls&gt;&lt;/record&gt;&lt;/Cite&gt;&lt;/EndNote&gt;</w:instrText>
            </w:r>
            <w:r w:rsidRPr="00DE42B9">
              <w:rPr>
                <w:rFonts w:ascii="Times New Roman" w:hAnsi="Times New Roman" w:cs="Times New Roman"/>
                <w:color w:val="000000" w:themeColor="text1"/>
                <w:sz w:val="20"/>
                <w:szCs w:val="20"/>
              </w:rPr>
              <w:fldChar w:fldCharType="separate"/>
            </w:r>
            <w:r w:rsidRPr="00DE42B9">
              <w:rPr>
                <w:rFonts w:ascii="Times New Roman" w:hAnsi="Times New Roman" w:cs="Times New Roman"/>
                <w:noProof/>
                <w:color w:val="000000" w:themeColor="text1"/>
                <w:sz w:val="20"/>
                <w:szCs w:val="20"/>
              </w:rPr>
              <w:t>Abida</w:t>
            </w:r>
            <w:r w:rsidRPr="00DE42B9">
              <w:rPr>
                <w:rFonts w:ascii="Times New Roman" w:hAnsi="Times New Roman" w:cs="Times New Roman"/>
                <w:i/>
                <w:noProof/>
                <w:color w:val="000000" w:themeColor="text1"/>
                <w:sz w:val="20"/>
                <w:szCs w:val="20"/>
              </w:rPr>
              <w:t xml:space="preserve"> et al.</w:t>
            </w:r>
            <w:r w:rsidRPr="00DE42B9">
              <w:rPr>
                <w:rFonts w:ascii="Times New Roman" w:hAnsi="Times New Roman" w:cs="Times New Roman"/>
                <w:noProof/>
                <w:color w:val="000000" w:themeColor="text1"/>
                <w:sz w:val="20"/>
                <w:szCs w:val="20"/>
              </w:rPr>
              <w:t xml:space="preserve"> (2015)</w:t>
            </w:r>
            <w:r w:rsidRPr="00DE42B9">
              <w:rPr>
                <w:rFonts w:ascii="Times New Roman" w:hAnsi="Times New Roman" w:cs="Times New Roman"/>
                <w:color w:val="000000" w:themeColor="text1"/>
                <w:sz w:val="20"/>
                <w:szCs w:val="20"/>
              </w:rPr>
              <w:fldChar w:fldCharType="end"/>
            </w:r>
          </w:p>
        </w:tc>
        <w:tc>
          <w:tcPr>
            <w:tcW w:w="1510" w:type="dxa"/>
          </w:tcPr>
          <w:p w14:paraId="53B17CCA"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1055/3</w:t>
            </w:r>
          </w:p>
          <w:p w14:paraId="5B0D2693"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(Pt1)</w:t>
            </w:r>
          </w:p>
        </w:tc>
        <w:tc>
          <w:tcPr>
            <w:tcW w:w="1588" w:type="dxa"/>
          </w:tcPr>
          <w:p w14:paraId="228DC366"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N+ and N-</w:t>
            </w:r>
          </w:p>
          <w:p w14:paraId="338DEC68"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comparison</w:t>
            </w:r>
          </w:p>
        </w:tc>
        <w:tc>
          <w:tcPr>
            <w:tcW w:w="1939" w:type="dxa"/>
          </w:tcPr>
          <w:p w14:paraId="66B32F24"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 xml:space="preserve">- 550 </w:t>
            </w:r>
            <w:proofErr w:type="spellStart"/>
            <w:r w:rsidRPr="00DE42B9">
              <w:rPr>
                <w:rFonts w:ascii="Times New Roman" w:hAnsi="Times New Roman" w:cs="Times New Roman"/>
                <w:color w:val="000000" w:themeColor="text1"/>
                <w:sz w:val="20"/>
                <w:szCs w:val="20"/>
              </w:rPr>
              <w:t>μM</w:t>
            </w:r>
            <w:proofErr w:type="spellEnd"/>
            <w:r w:rsidRPr="00DE42B9">
              <w:rPr>
                <w:rFonts w:ascii="Times New Roman" w:hAnsi="Times New Roman" w:cs="Times New Roman"/>
                <w:color w:val="000000" w:themeColor="text1"/>
                <w:sz w:val="20"/>
                <w:szCs w:val="20"/>
              </w:rPr>
              <w:t xml:space="preserve"> (N+)</w:t>
            </w:r>
          </w:p>
          <w:p w14:paraId="03245E5C"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 xml:space="preserve">- 0 </w:t>
            </w:r>
            <w:proofErr w:type="spellStart"/>
            <w:r w:rsidRPr="00DE42B9">
              <w:rPr>
                <w:rFonts w:ascii="Times New Roman" w:hAnsi="Times New Roman" w:cs="Times New Roman"/>
                <w:color w:val="000000" w:themeColor="text1"/>
                <w:sz w:val="20"/>
                <w:szCs w:val="20"/>
              </w:rPr>
              <w:t>μM</w:t>
            </w:r>
            <w:proofErr w:type="spellEnd"/>
            <w:r w:rsidRPr="00DE42B9">
              <w:rPr>
                <w:rFonts w:ascii="Times New Roman" w:hAnsi="Times New Roman" w:cs="Times New Roman"/>
                <w:color w:val="000000" w:themeColor="text1"/>
                <w:sz w:val="20"/>
                <w:szCs w:val="20"/>
              </w:rPr>
              <w:t xml:space="preserve"> (N-)</w:t>
            </w:r>
          </w:p>
        </w:tc>
        <w:tc>
          <w:tcPr>
            <w:tcW w:w="1596" w:type="dxa"/>
          </w:tcPr>
          <w:p w14:paraId="2544A094"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Batch</w:t>
            </w:r>
          </w:p>
          <w:p w14:paraId="54D1073D"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(Flask)</w:t>
            </w:r>
          </w:p>
        </w:tc>
        <w:tc>
          <w:tcPr>
            <w:tcW w:w="1198" w:type="dxa"/>
          </w:tcPr>
          <w:p w14:paraId="720F85D9"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ESAW</w:t>
            </w:r>
          </w:p>
        </w:tc>
        <w:tc>
          <w:tcPr>
            <w:tcW w:w="1399" w:type="dxa"/>
          </w:tcPr>
          <w:p w14:paraId="588EDC1A"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12:12</w:t>
            </w:r>
          </w:p>
          <w:p w14:paraId="7B9EBE76"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(200)</w:t>
            </w:r>
          </w:p>
        </w:tc>
        <w:tc>
          <w:tcPr>
            <w:tcW w:w="1442" w:type="dxa"/>
          </w:tcPr>
          <w:p w14:paraId="13FDC016"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19°C</w:t>
            </w:r>
          </w:p>
        </w:tc>
        <w:tc>
          <w:tcPr>
            <w:tcW w:w="1352" w:type="dxa"/>
          </w:tcPr>
          <w:p w14:paraId="08BED25B" w14:textId="24A1C567" w:rsidR="00ED7769" w:rsidRPr="00DE42B9" w:rsidRDefault="003A542D"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Natural diffusion</w:t>
            </w:r>
          </w:p>
        </w:tc>
      </w:tr>
      <w:tr w:rsidR="009169DC" w:rsidRPr="001075EB" w14:paraId="7C16BABF" w14:textId="77777777" w:rsidTr="00AC39BB">
        <w:trPr>
          <w:jc w:val="center"/>
        </w:trPr>
        <w:tc>
          <w:tcPr>
            <w:tcW w:w="1296" w:type="dxa"/>
          </w:tcPr>
          <w:p w14:paraId="46CCB68A" w14:textId="29F89CA4" w:rsidR="00ED7769" w:rsidRPr="00DE42B9" w:rsidRDefault="0055497B" w:rsidP="009169DC">
            <w:pPr>
              <w:rPr>
                <w:rFonts w:ascii="Times New Roman" w:hAnsi="Times New Roman" w:cs="Times New Roman"/>
                <w:color w:val="000000" w:themeColor="text1"/>
                <w:sz w:val="20"/>
                <w:szCs w:val="20"/>
                <w:lang w:val="fr-FR"/>
              </w:rPr>
            </w:pPr>
            <w:r w:rsidRPr="00DE42B9">
              <w:rPr>
                <w:rFonts w:ascii="Times New Roman" w:hAnsi="Times New Roman" w:cs="Times New Roman"/>
                <w:color w:val="000000" w:themeColor="text1"/>
                <w:sz w:val="20"/>
                <w:szCs w:val="20"/>
              </w:rPr>
              <w:fldChar w:fldCharType="begin"/>
            </w:r>
            <w:r w:rsidR="009169DC" w:rsidRPr="00DE42B9">
              <w:rPr>
                <w:rFonts w:ascii="Times New Roman" w:hAnsi="Times New Roman" w:cs="Times New Roman"/>
                <w:color w:val="000000" w:themeColor="text1"/>
                <w:sz w:val="20"/>
                <w:szCs w:val="20"/>
              </w:rPr>
              <w:instrText xml:space="preserve"> ADDIN EN.CITE &lt;EndNote&gt;&lt;Cite AuthorYear="1"&gt;&lt;Author&gt;Alipanah&lt;/Author&gt;&lt;Year&gt;2015&lt;/Year&gt;&lt;RecNum&gt;225894&lt;/RecNum&gt;&lt;DisplayText&gt;Alipanah&lt;style face="italic"&gt; et al.&lt;/style&gt; (2015)&lt;/DisplayText&gt;&lt;record&gt;&lt;rec-number&gt;225894&lt;/rec-number&gt;&lt;foreign-keys&gt;&lt;key app="EN" db-id="9efww95sirratne9w0tv95fpzxp2w52rz959" timestamp="1452188067"&gt;225894&lt;/key&gt;&lt;/foreign-keys&gt;&lt;ref-type name="Journal Article"&gt;17&lt;/ref-type&gt;&lt;contributors&gt;&lt;authors&gt;&lt;author&gt;Alipanah, L.&lt;/author&gt;&lt;author&gt;Rohloff, J.&lt;/author&gt;&lt;author&gt;Winge, P.&lt;/author&gt;&lt;author&gt;Bones, A. M.&lt;/author&gt;&lt;author&gt;Brembu, T.&lt;/author&gt;&lt;/authors&gt;&lt;/contributors&gt;&lt;titles&gt;&lt;title&gt;&lt;style face="normal" font="default" size="100%"&gt;Whole-cell response to nitrogen deprivation in the diatom &lt;/style&gt;&lt;style face="italic" font="default" size="100%"&gt;Phaeodactylum tricornutum&lt;/style&gt;&lt;/title&gt;&lt;secondary-title&gt;Journal of Experimental Botany&lt;/secondary-title&gt;&lt;/titles&gt;&lt;periodical&gt;&lt;full-title&gt;Journal of Experimental Botany&lt;/full-title&gt;&lt;/periodical&gt;&lt;pages&gt;6281-6296&lt;/pages&gt;&lt;volume&gt;66&lt;/volume&gt;&lt;number&gt;20&lt;/number&gt;&lt;section&gt;6281&lt;/section&gt;&lt;keywords&gt;&lt;keyword&gt;46065&lt;/keyword&gt;&lt;/keywords&gt;&lt;dates&gt;&lt;year&gt;2015&lt;/year&gt;&lt;/dates&gt;&lt;isbn&gt;0022-0957&lt;/isbn&gt;&lt;accession-num&gt;WOS:000366490000016&lt;/accession-num&gt;&lt;urls&gt;&lt;related-urls&gt;&lt;url&gt;&lt;style face="underline" font="default" size="100%"&gt;&amp;lt;Go to ISI&amp;gt;://WOS:000366490000016&lt;/style&gt;&lt;/url&gt;&lt;url&gt;http://jxb.oxfordjournals.org/content/66/20/6281.full.pdf&lt;/url&gt;&lt;/related-urls&gt;&lt;/urls&gt;&lt;electronic-resource-num&gt;10.1093/jxb/erv340&lt;/electronic-resource-num&gt;&lt;language&gt;English&lt;/language&gt;&lt;/record&gt;&lt;/Cite&gt;&lt;/EndNote&gt;</w:instrText>
            </w:r>
            <w:r w:rsidRPr="00DE42B9">
              <w:rPr>
                <w:rFonts w:ascii="Times New Roman" w:hAnsi="Times New Roman" w:cs="Times New Roman"/>
                <w:color w:val="000000" w:themeColor="text1"/>
                <w:sz w:val="20"/>
                <w:szCs w:val="20"/>
              </w:rPr>
              <w:fldChar w:fldCharType="separate"/>
            </w:r>
            <w:r w:rsidR="009169DC" w:rsidRPr="00DE42B9">
              <w:rPr>
                <w:rFonts w:ascii="Times New Roman" w:hAnsi="Times New Roman" w:cs="Times New Roman"/>
                <w:noProof/>
                <w:color w:val="000000" w:themeColor="text1"/>
                <w:sz w:val="20"/>
                <w:szCs w:val="20"/>
              </w:rPr>
              <w:t>Alipanah</w:t>
            </w:r>
            <w:r w:rsidR="009169DC" w:rsidRPr="00DE42B9">
              <w:rPr>
                <w:rFonts w:ascii="Times New Roman" w:hAnsi="Times New Roman" w:cs="Times New Roman"/>
                <w:i/>
                <w:noProof/>
                <w:color w:val="000000" w:themeColor="text1"/>
                <w:sz w:val="20"/>
                <w:szCs w:val="20"/>
              </w:rPr>
              <w:t xml:space="preserve"> et al.</w:t>
            </w:r>
            <w:r w:rsidR="009169DC" w:rsidRPr="00DE42B9">
              <w:rPr>
                <w:rFonts w:ascii="Times New Roman" w:hAnsi="Times New Roman" w:cs="Times New Roman"/>
                <w:noProof/>
                <w:color w:val="000000" w:themeColor="text1"/>
                <w:sz w:val="20"/>
                <w:szCs w:val="20"/>
              </w:rPr>
              <w:t xml:space="preserve"> (2015)</w:t>
            </w:r>
            <w:r w:rsidRPr="00DE42B9">
              <w:rPr>
                <w:rFonts w:ascii="Times New Roman" w:hAnsi="Times New Roman" w:cs="Times New Roman"/>
                <w:color w:val="000000" w:themeColor="text1"/>
                <w:sz w:val="20"/>
                <w:szCs w:val="20"/>
              </w:rPr>
              <w:fldChar w:fldCharType="end"/>
            </w:r>
          </w:p>
        </w:tc>
        <w:tc>
          <w:tcPr>
            <w:tcW w:w="1510" w:type="dxa"/>
          </w:tcPr>
          <w:p w14:paraId="3683AC0B"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CCMP632</w:t>
            </w:r>
          </w:p>
          <w:p w14:paraId="746BE8A7"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(Pt1)</w:t>
            </w:r>
          </w:p>
        </w:tc>
        <w:tc>
          <w:tcPr>
            <w:tcW w:w="1588" w:type="dxa"/>
          </w:tcPr>
          <w:p w14:paraId="6AC93385"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N+ and N-</w:t>
            </w:r>
          </w:p>
          <w:p w14:paraId="43CA620A"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comparison</w:t>
            </w:r>
          </w:p>
        </w:tc>
        <w:tc>
          <w:tcPr>
            <w:tcW w:w="1939" w:type="dxa"/>
          </w:tcPr>
          <w:p w14:paraId="461FE2B0"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 xml:space="preserve">- 909 </w:t>
            </w:r>
            <w:proofErr w:type="spellStart"/>
            <w:r w:rsidRPr="00DE42B9">
              <w:rPr>
                <w:rFonts w:ascii="Times New Roman" w:hAnsi="Times New Roman" w:cs="Times New Roman"/>
                <w:color w:val="000000" w:themeColor="text1"/>
                <w:sz w:val="20"/>
                <w:szCs w:val="20"/>
              </w:rPr>
              <w:t>μM</w:t>
            </w:r>
            <w:proofErr w:type="spellEnd"/>
            <w:r w:rsidRPr="00DE42B9">
              <w:rPr>
                <w:rFonts w:ascii="Times New Roman" w:hAnsi="Times New Roman" w:cs="Times New Roman"/>
                <w:color w:val="000000" w:themeColor="text1"/>
                <w:sz w:val="20"/>
                <w:szCs w:val="20"/>
              </w:rPr>
              <w:t xml:space="preserve"> (N+)</w:t>
            </w:r>
          </w:p>
          <w:p w14:paraId="50485799"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 xml:space="preserve">- 10 </w:t>
            </w:r>
            <w:proofErr w:type="spellStart"/>
            <w:r w:rsidRPr="00DE42B9">
              <w:rPr>
                <w:rFonts w:ascii="Times New Roman" w:hAnsi="Times New Roman" w:cs="Times New Roman"/>
                <w:color w:val="000000" w:themeColor="text1"/>
                <w:sz w:val="20"/>
                <w:szCs w:val="20"/>
              </w:rPr>
              <w:t>μM</w:t>
            </w:r>
            <w:proofErr w:type="spellEnd"/>
            <w:r w:rsidRPr="00DE42B9">
              <w:rPr>
                <w:rFonts w:ascii="Times New Roman" w:hAnsi="Times New Roman" w:cs="Times New Roman"/>
                <w:color w:val="000000" w:themeColor="text1"/>
                <w:sz w:val="20"/>
                <w:szCs w:val="20"/>
              </w:rPr>
              <w:t xml:space="preserve"> (N-)</w:t>
            </w:r>
          </w:p>
        </w:tc>
        <w:tc>
          <w:tcPr>
            <w:tcW w:w="1596" w:type="dxa"/>
          </w:tcPr>
          <w:p w14:paraId="02556460"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Batch</w:t>
            </w:r>
          </w:p>
          <w:p w14:paraId="20F8578C"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(Flask)</w:t>
            </w:r>
          </w:p>
        </w:tc>
        <w:tc>
          <w:tcPr>
            <w:tcW w:w="1198" w:type="dxa"/>
          </w:tcPr>
          <w:p w14:paraId="724350D4"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f/2</w:t>
            </w:r>
          </w:p>
        </w:tc>
        <w:tc>
          <w:tcPr>
            <w:tcW w:w="1399" w:type="dxa"/>
          </w:tcPr>
          <w:p w14:paraId="1B80C3FD"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Continuous</w:t>
            </w:r>
          </w:p>
          <w:p w14:paraId="35EB74D6"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(60)</w:t>
            </w:r>
          </w:p>
        </w:tc>
        <w:tc>
          <w:tcPr>
            <w:tcW w:w="1442" w:type="dxa"/>
          </w:tcPr>
          <w:p w14:paraId="24EE0ADD"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15°C</w:t>
            </w:r>
          </w:p>
        </w:tc>
        <w:tc>
          <w:tcPr>
            <w:tcW w:w="1352" w:type="dxa"/>
          </w:tcPr>
          <w:p w14:paraId="5B2380F2" w14:textId="6D1EBB3C" w:rsidR="00ED7769" w:rsidRPr="00DE42B9" w:rsidRDefault="003A542D"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Natural diffusion</w:t>
            </w:r>
          </w:p>
        </w:tc>
      </w:tr>
      <w:tr w:rsidR="009169DC" w:rsidRPr="001075EB" w14:paraId="1FF014A6" w14:textId="77777777" w:rsidTr="00AC39BB">
        <w:trPr>
          <w:jc w:val="center"/>
        </w:trPr>
        <w:tc>
          <w:tcPr>
            <w:tcW w:w="1296" w:type="dxa"/>
          </w:tcPr>
          <w:p w14:paraId="0B9C5DE8" w14:textId="60614830" w:rsidR="009077C4" w:rsidRPr="00DE42B9" w:rsidRDefault="0055497B" w:rsidP="009169DC">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fldChar w:fldCharType="begin"/>
            </w:r>
            <w:r w:rsidR="009169DC" w:rsidRPr="00DE42B9">
              <w:rPr>
                <w:rFonts w:ascii="Times New Roman" w:hAnsi="Times New Roman" w:cs="Times New Roman"/>
                <w:color w:val="000000" w:themeColor="text1"/>
                <w:sz w:val="20"/>
                <w:szCs w:val="20"/>
              </w:rPr>
              <w:instrText xml:space="preserve"> ADDIN EN.CITE &lt;EndNote&gt;&lt;Cite AuthorYear="1"&gt;&lt;Author&gt;Zhao&lt;/Author&gt;&lt;Year&gt;2015&lt;/Year&gt;&lt;RecNum&gt;225316&lt;/RecNum&gt;&lt;DisplayText&gt;Zhao&lt;style face="italic"&gt; et al.&lt;/style&gt; (2015)&lt;/DisplayText&gt;&lt;record&gt;&lt;rec-number&gt;225316&lt;/rec-number&gt;&lt;foreign-keys&gt;&lt;key app="EN" db-id="9efww95sirratne9w0tv95fpzxp2w52rz959" timestamp="1447420127"&gt;225316&lt;/key&gt;&lt;/foreign-keys&gt;&lt;ref-type name="Journal Article"&gt;17&lt;/ref-type&gt;&lt;contributors&gt;&lt;authors&gt;&lt;author&gt;Zhao, Y.&lt;/author&gt;&lt;author&gt;Wang, Y.&lt;/author&gt;&lt;author&gt;Quigg, A.&lt;/author&gt;&lt;/authors&gt;&lt;/contributors&gt;&lt;titles&gt;&lt;title&gt;Comparison of population growth and photosynthetic apparatus changes in response to different nutrient status in a diatom and a coccolithophore&lt;/title&gt;&lt;secondary-title&gt;Journal of Phycology&lt;/secondary-title&gt;&lt;/titles&gt;&lt;periodical&gt;&lt;full-title&gt;Journal of Phycology&lt;/full-title&gt;&lt;/periodical&gt;&lt;pages&gt;872-884&lt;/pages&gt;&lt;volume&gt;51&lt;/volume&gt;&lt;number&gt;5&lt;/number&gt;&lt;section&gt;872&lt;/section&gt;&lt;reprint-edition&gt;NOT IN FILE&lt;/reprint-edition&gt;&lt;dates&gt;&lt;year&gt;2015&lt;/year&gt;&lt;/dates&gt;&lt;isbn&gt;0022-3646&lt;/isbn&gt;&lt;urls&gt;&lt;/urls&gt;&lt;/record&gt;&lt;/Cite&gt;&lt;/EndNote&gt;</w:instrText>
            </w:r>
            <w:r w:rsidRPr="00DE42B9">
              <w:rPr>
                <w:rFonts w:ascii="Times New Roman" w:hAnsi="Times New Roman" w:cs="Times New Roman"/>
                <w:color w:val="000000" w:themeColor="text1"/>
                <w:sz w:val="20"/>
                <w:szCs w:val="20"/>
              </w:rPr>
              <w:fldChar w:fldCharType="separate"/>
            </w:r>
            <w:r w:rsidR="009169DC" w:rsidRPr="00DE42B9">
              <w:rPr>
                <w:rFonts w:ascii="Times New Roman" w:hAnsi="Times New Roman" w:cs="Times New Roman"/>
                <w:noProof/>
                <w:color w:val="000000" w:themeColor="text1"/>
                <w:sz w:val="20"/>
                <w:szCs w:val="20"/>
              </w:rPr>
              <w:t>Zhao</w:t>
            </w:r>
            <w:r w:rsidR="009169DC" w:rsidRPr="00DE42B9">
              <w:rPr>
                <w:rFonts w:ascii="Times New Roman" w:hAnsi="Times New Roman" w:cs="Times New Roman"/>
                <w:i/>
                <w:noProof/>
                <w:color w:val="000000" w:themeColor="text1"/>
                <w:sz w:val="20"/>
                <w:szCs w:val="20"/>
              </w:rPr>
              <w:t xml:space="preserve"> et al.</w:t>
            </w:r>
            <w:r w:rsidR="009169DC" w:rsidRPr="00DE42B9">
              <w:rPr>
                <w:rFonts w:ascii="Times New Roman" w:hAnsi="Times New Roman" w:cs="Times New Roman"/>
                <w:noProof/>
                <w:color w:val="000000" w:themeColor="text1"/>
                <w:sz w:val="20"/>
                <w:szCs w:val="20"/>
              </w:rPr>
              <w:t xml:space="preserve"> (2015)</w:t>
            </w:r>
            <w:r w:rsidRPr="00DE42B9">
              <w:rPr>
                <w:rFonts w:ascii="Times New Roman" w:hAnsi="Times New Roman" w:cs="Times New Roman"/>
                <w:color w:val="000000" w:themeColor="text1"/>
                <w:sz w:val="20"/>
                <w:szCs w:val="20"/>
              </w:rPr>
              <w:fldChar w:fldCharType="end"/>
            </w:r>
          </w:p>
        </w:tc>
        <w:tc>
          <w:tcPr>
            <w:tcW w:w="1510" w:type="dxa"/>
          </w:tcPr>
          <w:p w14:paraId="5AB7D2FB" w14:textId="77777777" w:rsidR="009077C4" w:rsidRPr="00DE42B9" w:rsidRDefault="00AA6408" w:rsidP="00AA6408">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UTEX 640</w:t>
            </w:r>
          </w:p>
          <w:p w14:paraId="08CB3FA3" w14:textId="09D71982" w:rsidR="00AA6408" w:rsidRPr="00DE42B9" w:rsidRDefault="00AA6408" w:rsidP="00AA6408">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(Pt4)</w:t>
            </w:r>
          </w:p>
        </w:tc>
        <w:tc>
          <w:tcPr>
            <w:tcW w:w="1588" w:type="dxa"/>
          </w:tcPr>
          <w:p w14:paraId="78550616" w14:textId="4B855C66" w:rsidR="009077C4" w:rsidRPr="00DE42B9" w:rsidRDefault="00AA6408"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N+ and N- comparison</w:t>
            </w:r>
          </w:p>
        </w:tc>
        <w:tc>
          <w:tcPr>
            <w:tcW w:w="1939" w:type="dxa"/>
          </w:tcPr>
          <w:p w14:paraId="0753CA83" w14:textId="77777777" w:rsidR="009077C4" w:rsidRPr="00DE42B9" w:rsidRDefault="00AA6408"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 xml:space="preserve">- 440 </w:t>
            </w:r>
            <w:proofErr w:type="spellStart"/>
            <w:r w:rsidRPr="00DE42B9">
              <w:rPr>
                <w:rFonts w:ascii="Times New Roman" w:hAnsi="Times New Roman" w:cs="Times New Roman"/>
                <w:color w:val="000000" w:themeColor="text1"/>
                <w:sz w:val="20"/>
                <w:szCs w:val="20"/>
              </w:rPr>
              <w:t>μM</w:t>
            </w:r>
            <w:proofErr w:type="spellEnd"/>
            <w:r w:rsidRPr="00DE42B9">
              <w:rPr>
                <w:rFonts w:ascii="Times New Roman" w:hAnsi="Times New Roman" w:cs="Times New Roman"/>
                <w:color w:val="000000" w:themeColor="text1"/>
                <w:sz w:val="20"/>
                <w:szCs w:val="20"/>
              </w:rPr>
              <w:t xml:space="preserve"> (N+)</w:t>
            </w:r>
          </w:p>
          <w:p w14:paraId="1498229C" w14:textId="58FFFDCF" w:rsidR="00AA6408" w:rsidRPr="00DE42B9" w:rsidRDefault="00AA6408"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 xml:space="preserve">- 220 </w:t>
            </w:r>
            <w:proofErr w:type="spellStart"/>
            <w:r w:rsidRPr="00DE42B9">
              <w:rPr>
                <w:rFonts w:ascii="Times New Roman" w:hAnsi="Times New Roman" w:cs="Times New Roman"/>
                <w:color w:val="000000" w:themeColor="text1"/>
                <w:sz w:val="20"/>
                <w:szCs w:val="20"/>
              </w:rPr>
              <w:t>μM</w:t>
            </w:r>
            <w:proofErr w:type="spellEnd"/>
            <w:r w:rsidRPr="00DE42B9">
              <w:rPr>
                <w:rFonts w:ascii="Times New Roman" w:hAnsi="Times New Roman" w:cs="Times New Roman"/>
                <w:color w:val="000000" w:themeColor="text1"/>
                <w:sz w:val="20"/>
                <w:szCs w:val="20"/>
              </w:rPr>
              <w:t xml:space="preserve"> (N- #1)</w:t>
            </w:r>
          </w:p>
          <w:p w14:paraId="70D76AD5" w14:textId="6FB8C736" w:rsidR="00AA6408" w:rsidRPr="00DE42B9" w:rsidRDefault="00AA6408"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 xml:space="preserve">- 110 </w:t>
            </w:r>
            <w:proofErr w:type="spellStart"/>
            <w:r w:rsidRPr="00DE42B9">
              <w:rPr>
                <w:rFonts w:ascii="Times New Roman" w:hAnsi="Times New Roman" w:cs="Times New Roman"/>
                <w:color w:val="000000" w:themeColor="text1"/>
                <w:sz w:val="20"/>
                <w:szCs w:val="20"/>
              </w:rPr>
              <w:t>μM</w:t>
            </w:r>
            <w:proofErr w:type="spellEnd"/>
            <w:r w:rsidRPr="00DE42B9">
              <w:rPr>
                <w:rFonts w:ascii="Times New Roman" w:hAnsi="Times New Roman" w:cs="Times New Roman"/>
                <w:color w:val="000000" w:themeColor="text1"/>
                <w:sz w:val="20"/>
                <w:szCs w:val="20"/>
              </w:rPr>
              <w:t xml:space="preserve"> (N- #2)</w:t>
            </w:r>
          </w:p>
        </w:tc>
        <w:tc>
          <w:tcPr>
            <w:tcW w:w="1596" w:type="dxa"/>
          </w:tcPr>
          <w:p w14:paraId="132A5C80" w14:textId="6607EE7E" w:rsidR="009077C4" w:rsidRPr="00DE42B9" w:rsidRDefault="00AA6408"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Batch</w:t>
            </w:r>
          </w:p>
        </w:tc>
        <w:tc>
          <w:tcPr>
            <w:tcW w:w="1198" w:type="dxa"/>
          </w:tcPr>
          <w:p w14:paraId="5B2B5C5C" w14:textId="402388B7" w:rsidR="009077C4" w:rsidRPr="00DE42B9" w:rsidRDefault="00AA6408"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f/4</w:t>
            </w:r>
          </w:p>
        </w:tc>
        <w:tc>
          <w:tcPr>
            <w:tcW w:w="1399" w:type="dxa"/>
          </w:tcPr>
          <w:p w14:paraId="428431B8" w14:textId="77777777" w:rsidR="009077C4" w:rsidRPr="00DE42B9" w:rsidRDefault="00AA6408"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12:12</w:t>
            </w:r>
          </w:p>
          <w:p w14:paraId="298328AA" w14:textId="58D976F1" w:rsidR="00AA6408" w:rsidRPr="00DE42B9" w:rsidRDefault="00AA6408"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(100-150)</w:t>
            </w:r>
          </w:p>
        </w:tc>
        <w:tc>
          <w:tcPr>
            <w:tcW w:w="1442" w:type="dxa"/>
          </w:tcPr>
          <w:p w14:paraId="27BBC32C" w14:textId="193E1576" w:rsidR="009077C4" w:rsidRPr="00DE42B9" w:rsidRDefault="00AA6408"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19°C</w:t>
            </w:r>
          </w:p>
        </w:tc>
        <w:tc>
          <w:tcPr>
            <w:tcW w:w="1352" w:type="dxa"/>
          </w:tcPr>
          <w:p w14:paraId="56DD8A20" w14:textId="77777777" w:rsidR="009077C4" w:rsidRPr="00DE42B9" w:rsidRDefault="00AA6408"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Natural</w:t>
            </w:r>
          </w:p>
          <w:p w14:paraId="693B3869" w14:textId="5C596E7D" w:rsidR="00AA6408" w:rsidRPr="00DE42B9" w:rsidRDefault="00AA6408"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diffusion</w:t>
            </w:r>
          </w:p>
        </w:tc>
      </w:tr>
      <w:tr w:rsidR="009169DC" w:rsidRPr="001075EB" w14:paraId="717715A9" w14:textId="77777777" w:rsidTr="00AC39BB">
        <w:trPr>
          <w:jc w:val="center"/>
        </w:trPr>
        <w:tc>
          <w:tcPr>
            <w:tcW w:w="1296" w:type="dxa"/>
          </w:tcPr>
          <w:p w14:paraId="0F0734BD" w14:textId="6B6074AF" w:rsidR="00ED7769" w:rsidRPr="00DE42B9" w:rsidRDefault="009169DC" w:rsidP="009169DC">
            <w:pPr>
              <w:rPr>
                <w:rFonts w:ascii="Times New Roman" w:hAnsi="Times New Roman" w:cs="Times New Roman"/>
                <w:color w:val="000000" w:themeColor="text1"/>
                <w:sz w:val="20"/>
                <w:szCs w:val="20"/>
                <w:lang w:val="fr-FR"/>
              </w:rPr>
            </w:pPr>
            <w:r w:rsidRPr="00DE42B9">
              <w:rPr>
                <w:rFonts w:ascii="Times New Roman" w:hAnsi="Times New Roman" w:cs="Times New Roman"/>
                <w:color w:val="000000" w:themeColor="text1"/>
                <w:sz w:val="20"/>
                <w:szCs w:val="20"/>
              </w:rPr>
              <w:fldChar w:fldCharType="begin"/>
            </w:r>
            <w:r w:rsidRPr="00DE42B9">
              <w:rPr>
                <w:rFonts w:ascii="Times New Roman" w:hAnsi="Times New Roman" w:cs="Times New Roman"/>
                <w:color w:val="000000" w:themeColor="text1"/>
                <w:sz w:val="20"/>
                <w:szCs w:val="20"/>
              </w:rPr>
              <w:instrText xml:space="preserve"> ADDIN EN.CITE &lt;EndNote&gt;&lt;Cite AuthorYear="1"&gt;&lt;Author&gt;Longworth&lt;/Author&gt;&lt;Year&gt;2016&lt;/Year&gt;&lt;RecNum&gt;230833&lt;/RecNum&gt;&lt;DisplayText&gt;Longworth&lt;style face="italic"&gt; et al.&lt;/style&gt; (2016)&lt;/DisplayText&gt;&lt;record&gt;&lt;rec-number&gt;230833&lt;/rec-number&gt;&lt;foreign-keys&gt;&lt;key app="EN" db-id="9efww95sirratne9w0tv95fpzxp2w52rz959" timestamp="1474008143"&gt;230833&lt;/key&gt;&lt;/foreign-keys&gt;&lt;ref-type name="Journal Article"&gt;17&lt;/ref-type&gt;&lt;contributors&gt;&lt;authors&gt;&lt;author&gt;Longworth, J.&lt;/author&gt;&lt;author&gt;Wu, D. Y.&lt;/author&gt;&lt;author&gt;Huete-Ortega, M.&lt;/author&gt;&lt;author&gt;Wright, P. C.&lt;/author&gt;&lt;author&gt;Vaidyanathan, S.&lt;/author&gt;&lt;/authors&gt;&lt;/contributors&gt;&lt;titles&gt;&lt;title&gt;&lt;style face="normal" font="default" size="100%"&gt;Proteome response of &lt;/style&gt;&lt;style face="italic" font="default" size="100%"&gt;Phaeodactylum tricornutum&lt;/style&gt;&lt;style face="normal" font="default" size="100%"&gt;, during lipid accumulation induced by nitrogen depletion&lt;/style&gt;&lt;/title&gt;&lt;secondary-title&gt;Algal Research - Biomass Biofuels and Bioproducts&lt;/secondary-title&gt;&lt;/titles&gt;&lt;periodical&gt;&lt;full-title&gt;Algal Research - Biomass Biofuels and Bioproducts&lt;/full-title&gt;&lt;/periodical&gt;&lt;pages&gt;213-224&lt;/pages&gt;&lt;volume&gt;18&lt;/volume&gt;&lt;section&gt;213&lt;/section&gt;&lt;keywords&gt;&lt;keyword&gt;45905&lt;/keyword&gt;&lt;/keywords&gt;&lt;dates&gt;&lt;year&gt;2016&lt;/year&gt;&lt;pub-dates&gt;&lt;date&gt;Sep&lt;/date&gt;&lt;/pub-dates&gt;&lt;/dates&gt;&lt;isbn&gt;2211-9264&lt;/isbn&gt;&lt;accession-num&gt;WOS:000381748800024&lt;/accession-num&gt;&lt;urls&gt;&lt;related-urls&gt;&lt;url&gt;&amp;lt;Go to ISI&amp;gt;://WOS:000381748800024&lt;/url&gt;&lt;url&gt;http://ac.els-cdn.com/S2211926416302144/1-s2.0-S2211926416302144-main.pdf?_tid=6b0b16a6-7bdc-11e6-94bf-00000aacb35d&amp;amp;acdnat=1474009910_463d0cfe90130d495697eb6bc8163962&lt;/url&gt;&lt;/related-urls&gt;&lt;/urls&gt;&lt;electronic-resource-num&gt;10.1016/j.algal.2016.06.015&lt;/electronic-resource-num&gt;&lt;language&gt;English&lt;/language&gt;&lt;/record&gt;&lt;/Cite&gt;&lt;/EndNote&gt;</w:instrText>
            </w:r>
            <w:r w:rsidRPr="00DE42B9">
              <w:rPr>
                <w:rFonts w:ascii="Times New Roman" w:hAnsi="Times New Roman" w:cs="Times New Roman"/>
                <w:color w:val="000000" w:themeColor="text1"/>
                <w:sz w:val="20"/>
                <w:szCs w:val="20"/>
              </w:rPr>
              <w:fldChar w:fldCharType="separate"/>
            </w:r>
            <w:r w:rsidRPr="00DE42B9">
              <w:rPr>
                <w:rFonts w:ascii="Times New Roman" w:hAnsi="Times New Roman" w:cs="Times New Roman"/>
                <w:noProof/>
                <w:color w:val="000000" w:themeColor="text1"/>
                <w:sz w:val="20"/>
                <w:szCs w:val="20"/>
              </w:rPr>
              <w:t>Longworth</w:t>
            </w:r>
            <w:r w:rsidRPr="00DE42B9">
              <w:rPr>
                <w:rFonts w:ascii="Times New Roman" w:hAnsi="Times New Roman" w:cs="Times New Roman"/>
                <w:i/>
                <w:noProof/>
                <w:color w:val="000000" w:themeColor="text1"/>
                <w:sz w:val="20"/>
                <w:szCs w:val="20"/>
              </w:rPr>
              <w:t xml:space="preserve"> et al.</w:t>
            </w:r>
            <w:r w:rsidRPr="00DE42B9">
              <w:rPr>
                <w:rFonts w:ascii="Times New Roman" w:hAnsi="Times New Roman" w:cs="Times New Roman"/>
                <w:noProof/>
                <w:color w:val="000000" w:themeColor="text1"/>
                <w:sz w:val="20"/>
                <w:szCs w:val="20"/>
              </w:rPr>
              <w:t xml:space="preserve"> (2016)</w:t>
            </w:r>
            <w:r w:rsidRPr="00DE42B9">
              <w:rPr>
                <w:rFonts w:ascii="Times New Roman" w:hAnsi="Times New Roman" w:cs="Times New Roman"/>
                <w:color w:val="000000" w:themeColor="text1"/>
                <w:sz w:val="20"/>
                <w:szCs w:val="20"/>
              </w:rPr>
              <w:fldChar w:fldCharType="end"/>
            </w:r>
          </w:p>
        </w:tc>
        <w:tc>
          <w:tcPr>
            <w:tcW w:w="1510" w:type="dxa"/>
          </w:tcPr>
          <w:p w14:paraId="227EFA2C"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CCAP1055/1</w:t>
            </w:r>
          </w:p>
          <w:p w14:paraId="7C5036B5"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(Pt1)</w:t>
            </w:r>
          </w:p>
        </w:tc>
        <w:tc>
          <w:tcPr>
            <w:tcW w:w="1588" w:type="dxa"/>
          </w:tcPr>
          <w:p w14:paraId="2C4FBDF5"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N+ and N-</w:t>
            </w:r>
          </w:p>
          <w:p w14:paraId="0A3731C1"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comparison</w:t>
            </w:r>
          </w:p>
        </w:tc>
        <w:tc>
          <w:tcPr>
            <w:tcW w:w="1939" w:type="dxa"/>
          </w:tcPr>
          <w:p w14:paraId="027C731D"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 xml:space="preserve">- 882 </w:t>
            </w:r>
            <w:proofErr w:type="spellStart"/>
            <w:r w:rsidRPr="00DE42B9">
              <w:rPr>
                <w:rFonts w:ascii="Times New Roman" w:hAnsi="Times New Roman" w:cs="Times New Roman"/>
                <w:color w:val="000000" w:themeColor="text1"/>
                <w:sz w:val="20"/>
                <w:szCs w:val="20"/>
              </w:rPr>
              <w:t>μM</w:t>
            </w:r>
            <w:proofErr w:type="spellEnd"/>
            <w:r w:rsidRPr="00DE42B9">
              <w:rPr>
                <w:rFonts w:ascii="Times New Roman" w:hAnsi="Times New Roman" w:cs="Times New Roman"/>
                <w:color w:val="000000" w:themeColor="text1"/>
                <w:sz w:val="20"/>
                <w:szCs w:val="20"/>
              </w:rPr>
              <w:t xml:space="preserve"> (N+)</w:t>
            </w:r>
          </w:p>
          <w:p w14:paraId="7B58C346"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 xml:space="preserve">- 88.2 </w:t>
            </w:r>
            <w:proofErr w:type="spellStart"/>
            <w:r w:rsidRPr="00DE42B9">
              <w:rPr>
                <w:rFonts w:ascii="Times New Roman" w:hAnsi="Times New Roman" w:cs="Times New Roman"/>
                <w:color w:val="000000" w:themeColor="text1"/>
                <w:sz w:val="20"/>
                <w:szCs w:val="20"/>
              </w:rPr>
              <w:t>μM</w:t>
            </w:r>
            <w:proofErr w:type="spellEnd"/>
            <w:r w:rsidRPr="00DE42B9">
              <w:rPr>
                <w:rFonts w:ascii="Times New Roman" w:hAnsi="Times New Roman" w:cs="Times New Roman"/>
                <w:color w:val="000000" w:themeColor="text1"/>
                <w:sz w:val="20"/>
                <w:szCs w:val="20"/>
              </w:rPr>
              <w:t xml:space="preserve"> (N-)</w:t>
            </w:r>
          </w:p>
        </w:tc>
        <w:tc>
          <w:tcPr>
            <w:tcW w:w="1596" w:type="dxa"/>
          </w:tcPr>
          <w:p w14:paraId="174846ED"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Batch</w:t>
            </w:r>
          </w:p>
          <w:p w14:paraId="4AD5AB45"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Column PBR</w:t>
            </w:r>
          </w:p>
        </w:tc>
        <w:tc>
          <w:tcPr>
            <w:tcW w:w="1198" w:type="dxa"/>
          </w:tcPr>
          <w:p w14:paraId="02184040"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f/2 + Si</w:t>
            </w:r>
          </w:p>
        </w:tc>
        <w:tc>
          <w:tcPr>
            <w:tcW w:w="1399" w:type="dxa"/>
          </w:tcPr>
          <w:p w14:paraId="776583FB"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Continuous</w:t>
            </w:r>
          </w:p>
          <w:p w14:paraId="0C851EE3"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(200)</w:t>
            </w:r>
          </w:p>
        </w:tc>
        <w:tc>
          <w:tcPr>
            <w:tcW w:w="1442" w:type="dxa"/>
          </w:tcPr>
          <w:p w14:paraId="69FEA7D4"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25°C</w:t>
            </w:r>
          </w:p>
        </w:tc>
        <w:tc>
          <w:tcPr>
            <w:tcW w:w="1352" w:type="dxa"/>
          </w:tcPr>
          <w:p w14:paraId="69796726"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Air bubbling</w:t>
            </w:r>
          </w:p>
        </w:tc>
      </w:tr>
      <w:tr w:rsidR="009169DC" w:rsidRPr="001075EB" w14:paraId="427D9E62" w14:textId="77777777" w:rsidTr="00AC39BB">
        <w:trPr>
          <w:jc w:val="center"/>
        </w:trPr>
        <w:tc>
          <w:tcPr>
            <w:tcW w:w="1296" w:type="dxa"/>
          </w:tcPr>
          <w:p w14:paraId="0086F414" w14:textId="4B281DCA" w:rsidR="00ED7769" w:rsidRPr="00DE42B9" w:rsidRDefault="009169DC" w:rsidP="009169DC">
            <w:pPr>
              <w:rPr>
                <w:rFonts w:ascii="Times New Roman" w:hAnsi="Times New Roman" w:cs="Times New Roman"/>
                <w:color w:val="000000" w:themeColor="text1"/>
                <w:sz w:val="20"/>
                <w:szCs w:val="20"/>
                <w:lang w:val="fr-FR"/>
              </w:rPr>
            </w:pPr>
            <w:r w:rsidRPr="00DE42B9">
              <w:rPr>
                <w:rFonts w:ascii="Times New Roman" w:hAnsi="Times New Roman" w:cs="Times New Roman"/>
                <w:color w:val="000000" w:themeColor="text1"/>
                <w:sz w:val="20"/>
                <w:szCs w:val="20"/>
              </w:rPr>
              <w:fldChar w:fldCharType="begin"/>
            </w:r>
            <w:r w:rsidRPr="00DE42B9">
              <w:rPr>
                <w:rFonts w:ascii="Times New Roman" w:hAnsi="Times New Roman" w:cs="Times New Roman"/>
                <w:color w:val="000000" w:themeColor="text1"/>
                <w:sz w:val="20"/>
                <w:szCs w:val="20"/>
              </w:rPr>
              <w:instrText xml:space="preserve"> ADDIN EN.CITE &lt;EndNote&gt;&lt;Cite AuthorYear="1"&gt;&lt;Author&gt;Popko&lt;/Author&gt;&lt;Year&gt;2016&lt;/Year&gt;&lt;RecNum&gt;241584&lt;/RecNum&gt;&lt;DisplayText&gt;Popko&lt;style face="italic"&gt; et al.&lt;/style&gt; (2016)&lt;/DisplayText&gt;&lt;record&gt;&lt;rec-number&gt;241584&lt;/rec-number&gt;&lt;foreign-keys&gt;&lt;key app="EN" db-id="9efww95sirratne9w0tv95fpzxp2w52rz959" timestamp="1506954541"&gt;241584&lt;/key&gt;&lt;/foreign-keys&gt;&lt;ref-type name="Journal Article"&gt;17&lt;/ref-type&gt;&lt;contributors&gt;&lt;authors&gt;&lt;author&gt;Popko, J.&lt;/author&gt;&lt;author&gt;Herrfurth, C.&lt;/author&gt;&lt;author&gt;Feussner, K.&lt;/author&gt;&lt;author&gt;Ischebeck, T.&lt;/author&gt;&lt;author&gt;Iven, T.&lt;/author&gt;&lt;author&gt;Haslam, R.&lt;/author&gt;&lt;author&gt;Hamilton, M.&lt;/author&gt;&lt;author&gt;Sayanova, O.&lt;/author&gt;&lt;author&gt;Napier, J.&lt;/author&gt;&lt;author&gt;Khozin-Goldberg, I.&lt;/author&gt;&lt;author&gt;Feussner, I.&lt;/author&gt;&lt;/authors&gt;&lt;/contributors&gt;&lt;titles&gt;&lt;title&gt;&lt;style face="normal" font="default" size="100%"&gt;Metabolome analysis reveals betaine lipids as major source for triglyceride formation, and the accumulation of sedoheptulose during nitrogen-starvation of &lt;/style&gt;&lt;style face="italic" font="default" size="100%"&gt;Phaeodactylum tricornutum&lt;/style&gt;&lt;/title&gt;&lt;secondary-title&gt;Plos One&lt;/secondary-title&gt;&lt;/titles&gt;&lt;periodical&gt;&lt;full-title&gt;Plos One&lt;/full-title&gt;&lt;/periodical&gt;&lt;volume&gt;11&lt;/volume&gt;&lt;number&gt;10&lt;/number&gt;&lt;dates&gt;&lt;year&gt;2016&lt;/year&gt;&lt;pub-dates&gt;&lt;date&gt;Oct&lt;/date&gt;&lt;/pub-dates&gt;&lt;/dates&gt;&lt;isbn&gt;1932-6203&lt;/isbn&gt;&lt;accession-num&gt;WOS:000385505800110&lt;/accession-num&gt;&lt;urls&gt;&lt;related-urls&gt;&lt;url&gt;&amp;lt;Go to ISI&amp;gt;://WOS:000385505800110&lt;/url&gt;&lt;/related-urls&gt;&lt;/urls&gt;&lt;custom7&gt;e0164673&lt;/custom7&gt;&lt;electronic-resource-num&gt;10.1371/journal.pone.0164673&lt;/electronic-resource-num&gt;&lt;language&gt;English&lt;/language&gt;&lt;/record&gt;&lt;/Cite&gt;&lt;/EndNote&gt;</w:instrText>
            </w:r>
            <w:r w:rsidRPr="00DE42B9">
              <w:rPr>
                <w:rFonts w:ascii="Times New Roman" w:hAnsi="Times New Roman" w:cs="Times New Roman"/>
                <w:color w:val="000000" w:themeColor="text1"/>
                <w:sz w:val="20"/>
                <w:szCs w:val="20"/>
              </w:rPr>
              <w:fldChar w:fldCharType="separate"/>
            </w:r>
            <w:r w:rsidRPr="00DE42B9">
              <w:rPr>
                <w:rFonts w:ascii="Times New Roman" w:hAnsi="Times New Roman" w:cs="Times New Roman"/>
                <w:noProof/>
                <w:color w:val="000000" w:themeColor="text1"/>
                <w:sz w:val="20"/>
                <w:szCs w:val="20"/>
              </w:rPr>
              <w:t>Popko</w:t>
            </w:r>
            <w:r w:rsidRPr="00DE42B9">
              <w:rPr>
                <w:rFonts w:ascii="Times New Roman" w:hAnsi="Times New Roman" w:cs="Times New Roman"/>
                <w:i/>
                <w:noProof/>
                <w:color w:val="000000" w:themeColor="text1"/>
                <w:sz w:val="20"/>
                <w:szCs w:val="20"/>
              </w:rPr>
              <w:t xml:space="preserve"> et al.</w:t>
            </w:r>
            <w:r w:rsidRPr="00DE42B9">
              <w:rPr>
                <w:rFonts w:ascii="Times New Roman" w:hAnsi="Times New Roman" w:cs="Times New Roman"/>
                <w:noProof/>
                <w:color w:val="000000" w:themeColor="text1"/>
                <w:sz w:val="20"/>
                <w:szCs w:val="20"/>
              </w:rPr>
              <w:t xml:space="preserve"> (2016)</w:t>
            </w:r>
            <w:r w:rsidRPr="00DE42B9">
              <w:rPr>
                <w:rFonts w:ascii="Times New Roman" w:hAnsi="Times New Roman" w:cs="Times New Roman"/>
                <w:color w:val="000000" w:themeColor="text1"/>
                <w:sz w:val="20"/>
                <w:szCs w:val="20"/>
              </w:rPr>
              <w:fldChar w:fldCharType="end"/>
            </w:r>
          </w:p>
        </w:tc>
        <w:tc>
          <w:tcPr>
            <w:tcW w:w="1510" w:type="dxa"/>
          </w:tcPr>
          <w:p w14:paraId="544E4429"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UTEX 646</w:t>
            </w:r>
          </w:p>
          <w:p w14:paraId="5999A8C5"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(Pt4)</w:t>
            </w:r>
          </w:p>
        </w:tc>
        <w:tc>
          <w:tcPr>
            <w:tcW w:w="1588" w:type="dxa"/>
          </w:tcPr>
          <w:p w14:paraId="76EC64A1"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N+ and N-</w:t>
            </w:r>
          </w:p>
          <w:p w14:paraId="65DD773C"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comparison</w:t>
            </w:r>
          </w:p>
        </w:tc>
        <w:tc>
          <w:tcPr>
            <w:tcW w:w="1939" w:type="dxa"/>
          </w:tcPr>
          <w:p w14:paraId="7C3437A6"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- 18.8 mM (N+)</w:t>
            </w:r>
          </w:p>
          <w:p w14:paraId="7A47C8FF"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- 0 mM (N-)</w:t>
            </w:r>
          </w:p>
        </w:tc>
        <w:tc>
          <w:tcPr>
            <w:tcW w:w="1596" w:type="dxa"/>
          </w:tcPr>
          <w:p w14:paraId="2EF6DBD8"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Fed batch</w:t>
            </w:r>
          </w:p>
          <w:p w14:paraId="4F5CB506"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Column PBR</w:t>
            </w:r>
          </w:p>
        </w:tc>
        <w:tc>
          <w:tcPr>
            <w:tcW w:w="1198" w:type="dxa"/>
          </w:tcPr>
          <w:p w14:paraId="329992ED"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RSE</w:t>
            </w:r>
          </w:p>
        </w:tc>
        <w:tc>
          <w:tcPr>
            <w:tcW w:w="1399" w:type="dxa"/>
          </w:tcPr>
          <w:p w14:paraId="48A66F94"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Continuous</w:t>
            </w:r>
          </w:p>
          <w:p w14:paraId="341366AB"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N+ (120)</w:t>
            </w:r>
          </w:p>
          <w:p w14:paraId="67568928"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N- (170/350)</w:t>
            </w:r>
          </w:p>
        </w:tc>
        <w:tc>
          <w:tcPr>
            <w:tcW w:w="1442" w:type="dxa"/>
          </w:tcPr>
          <w:p w14:paraId="7DD8B7F7"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N/A</w:t>
            </w:r>
          </w:p>
        </w:tc>
        <w:tc>
          <w:tcPr>
            <w:tcW w:w="1352" w:type="dxa"/>
          </w:tcPr>
          <w:p w14:paraId="7E168945"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Air bubbling</w:t>
            </w:r>
          </w:p>
          <w:p w14:paraId="419D16B9"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(2% CO</w:t>
            </w:r>
            <w:r w:rsidRPr="00DE42B9">
              <w:rPr>
                <w:rFonts w:ascii="Times New Roman" w:hAnsi="Times New Roman" w:cs="Times New Roman"/>
                <w:color w:val="000000" w:themeColor="text1"/>
                <w:sz w:val="20"/>
                <w:szCs w:val="20"/>
                <w:vertAlign w:val="subscript"/>
              </w:rPr>
              <w:t>2</w:t>
            </w:r>
            <w:r w:rsidRPr="00DE42B9">
              <w:rPr>
                <w:rFonts w:ascii="Times New Roman" w:hAnsi="Times New Roman" w:cs="Times New Roman"/>
                <w:color w:val="000000" w:themeColor="text1"/>
                <w:sz w:val="20"/>
                <w:szCs w:val="20"/>
              </w:rPr>
              <w:t>)</w:t>
            </w:r>
          </w:p>
        </w:tc>
      </w:tr>
      <w:tr w:rsidR="009169DC" w:rsidRPr="001075EB" w14:paraId="39AC9710" w14:textId="77777777" w:rsidTr="00AC39BB">
        <w:trPr>
          <w:jc w:val="center"/>
        </w:trPr>
        <w:tc>
          <w:tcPr>
            <w:tcW w:w="1296" w:type="dxa"/>
          </w:tcPr>
          <w:p w14:paraId="6831F402" w14:textId="3F03F58B" w:rsidR="00ED7769" w:rsidRPr="00DE42B9" w:rsidRDefault="009169DC" w:rsidP="00DB5BD7">
            <w:pPr>
              <w:rPr>
                <w:rFonts w:ascii="Times New Roman" w:hAnsi="Times New Roman" w:cs="Times New Roman"/>
                <w:color w:val="000000" w:themeColor="text1"/>
                <w:sz w:val="20"/>
                <w:szCs w:val="20"/>
                <w:lang w:val="fr-FR"/>
              </w:rPr>
            </w:pPr>
            <w:r w:rsidRPr="00DE42B9">
              <w:rPr>
                <w:rFonts w:ascii="Times New Roman" w:hAnsi="Times New Roman" w:cs="Times New Roman"/>
                <w:color w:val="000000" w:themeColor="text1"/>
                <w:sz w:val="20"/>
                <w:szCs w:val="20"/>
              </w:rPr>
              <w:fldChar w:fldCharType="begin"/>
            </w:r>
            <w:r w:rsidR="00DB5BD7" w:rsidRPr="00DE42B9">
              <w:rPr>
                <w:rFonts w:ascii="Times New Roman" w:hAnsi="Times New Roman" w:cs="Times New Roman"/>
                <w:color w:val="000000" w:themeColor="text1"/>
                <w:sz w:val="20"/>
                <w:szCs w:val="20"/>
              </w:rPr>
              <w:instrText xml:space="preserve"> ADDIN EN.CITE &lt;EndNote&gt;&lt;Cite AuthorYear="1"&gt;&lt;Author&gt;Matthijs&lt;/Author&gt;&lt;Year&gt;2016&lt;/Year&gt;&lt;RecNum&gt;226604&lt;/RecNum&gt;&lt;DisplayText&gt;Matthijs&lt;style face="italic"&gt; et al.&lt;/style&gt; (2016)&lt;/DisplayText&gt;&lt;record&gt;&lt;rec-number&gt;226604&lt;/rec-number&gt;&lt;foreign-keys&gt;&lt;key app="EN" db-id="9efww95sirratne9w0tv95fpzxp2w52rz959" timestamp="1456442036"&gt;226604&lt;/key&gt;&lt;/foreign-keys&gt;&lt;ref-type name="Journal Article"&gt;17&lt;/ref-type&gt;&lt;contributors&gt;&lt;authors&gt;&lt;author&gt;Matthijs, M.&lt;/author&gt;&lt;author&gt;Fabris, M.&lt;/author&gt;&lt;author&gt;Broos, S.&lt;/author&gt;&lt;author&gt;Vyverman, W.&lt;/author&gt;&lt;author&gt;Goossens, A.&lt;/author&gt;&lt;/authors&gt;&lt;/contributors&gt;&lt;titles&gt;&lt;title&gt;&lt;style face="normal" font="default" size="100%"&gt;Profiling of the early nitrogen stress response in the diatom &lt;/style&gt;&lt;style face="italic" font="default" size="100%"&gt;Phaeodactylum tricornutum &lt;/style&gt;&lt;style face="normal" font="default" size="100%"&gt;reveals a novel family of RING-domain transcription factors&lt;/style&gt;&lt;/title&gt;&lt;secondary-title&gt;Plant Physiology&lt;/secondary-title&gt;&lt;/titles&gt;&lt;periodical&gt;&lt;full-title&gt;Plant Physiology&lt;/full-title&gt;&lt;/periodical&gt;&lt;pages&gt;489-498&lt;/pages&gt;&lt;volume&gt;170&lt;/volume&gt;&lt;number&gt;1&lt;/number&gt;&lt;section&gt;489&lt;/section&gt;&lt;dates&gt;&lt;year&gt;2016&lt;/year&gt;&lt;pub-dates&gt;&lt;date&gt;Jan&lt;/date&gt;&lt;/pub-dates&gt;&lt;/dates&gt;&lt;isbn&gt;0032-0889&lt;/isbn&gt;&lt;accession-num&gt;WOS:000369338300036&lt;/accession-num&gt;&lt;urls&gt;&lt;related-urls&gt;&lt;url&gt;&lt;style face="underline" font="default" size="100%"&gt;&amp;lt;Go to ISI&amp;gt;://WOS:000369338300036&lt;/style&gt;&lt;/url&gt;&lt;url&gt;http://www.plantphysiol.org/content/170/1/489.full.pdf&lt;/url&gt;&lt;/related-urls&gt;&lt;/urls&gt;&lt;electronic-resource-num&gt;10.1104/pp.15.01300&lt;/electronic-resource-num&gt;&lt;language&gt;English&lt;/language&gt;&lt;/record&gt;&lt;/Cite&gt;&lt;/EndNote&gt;</w:instrText>
            </w:r>
            <w:r w:rsidRPr="00DE42B9">
              <w:rPr>
                <w:rFonts w:ascii="Times New Roman" w:hAnsi="Times New Roman" w:cs="Times New Roman"/>
                <w:color w:val="000000" w:themeColor="text1"/>
                <w:sz w:val="20"/>
                <w:szCs w:val="20"/>
              </w:rPr>
              <w:fldChar w:fldCharType="separate"/>
            </w:r>
            <w:r w:rsidRPr="00DE42B9">
              <w:rPr>
                <w:rFonts w:ascii="Times New Roman" w:hAnsi="Times New Roman" w:cs="Times New Roman"/>
                <w:noProof/>
                <w:color w:val="000000" w:themeColor="text1"/>
                <w:sz w:val="20"/>
                <w:szCs w:val="20"/>
              </w:rPr>
              <w:t>Matthijs</w:t>
            </w:r>
            <w:r w:rsidRPr="00DE42B9">
              <w:rPr>
                <w:rFonts w:ascii="Times New Roman" w:hAnsi="Times New Roman" w:cs="Times New Roman"/>
                <w:i/>
                <w:noProof/>
                <w:color w:val="000000" w:themeColor="text1"/>
                <w:sz w:val="20"/>
                <w:szCs w:val="20"/>
              </w:rPr>
              <w:t xml:space="preserve"> et al.</w:t>
            </w:r>
            <w:r w:rsidRPr="00DE42B9">
              <w:rPr>
                <w:rFonts w:ascii="Times New Roman" w:hAnsi="Times New Roman" w:cs="Times New Roman"/>
                <w:noProof/>
                <w:color w:val="000000" w:themeColor="text1"/>
                <w:sz w:val="20"/>
                <w:szCs w:val="20"/>
              </w:rPr>
              <w:t xml:space="preserve"> (2016)</w:t>
            </w:r>
            <w:r w:rsidRPr="00DE42B9">
              <w:rPr>
                <w:rFonts w:ascii="Times New Roman" w:hAnsi="Times New Roman" w:cs="Times New Roman"/>
                <w:color w:val="000000" w:themeColor="text1"/>
                <w:sz w:val="20"/>
                <w:szCs w:val="20"/>
              </w:rPr>
              <w:fldChar w:fldCharType="end"/>
            </w:r>
          </w:p>
        </w:tc>
        <w:tc>
          <w:tcPr>
            <w:tcW w:w="1510" w:type="dxa"/>
          </w:tcPr>
          <w:p w14:paraId="5F6AEBD5"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Strain 8.6</w:t>
            </w:r>
          </w:p>
          <w:p w14:paraId="23E634EE"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(Pt1)</w:t>
            </w:r>
          </w:p>
        </w:tc>
        <w:tc>
          <w:tcPr>
            <w:tcW w:w="1588" w:type="dxa"/>
          </w:tcPr>
          <w:p w14:paraId="51894D2D"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N+ and N-</w:t>
            </w:r>
          </w:p>
          <w:p w14:paraId="1B629277"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comparison</w:t>
            </w:r>
          </w:p>
        </w:tc>
        <w:tc>
          <w:tcPr>
            <w:tcW w:w="1939" w:type="dxa"/>
          </w:tcPr>
          <w:p w14:paraId="2F998DEA" w14:textId="15EB00DD"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- 7.5 mg</w:t>
            </w:r>
            <w:r w:rsidR="003A542D" w:rsidRPr="00DE42B9">
              <w:rPr>
                <w:rFonts w:ascii="Times New Roman" w:hAnsi="Times New Roman" w:cs="Times New Roman"/>
                <w:color w:val="000000" w:themeColor="text1"/>
                <w:sz w:val="20"/>
                <w:szCs w:val="20"/>
              </w:rPr>
              <w:t xml:space="preserve"> </w:t>
            </w:r>
            <w:r w:rsidRPr="00DE42B9">
              <w:rPr>
                <w:rFonts w:ascii="Times New Roman" w:hAnsi="Times New Roman" w:cs="Times New Roman"/>
                <w:color w:val="000000" w:themeColor="text1"/>
                <w:sz w:val="20"/>
                <w:szCs w:val="20"/>
              </w:rPr>
              <w:t>L</w:t>
            </w:r>
            <w:r w:rsidR="003A542D" w:rsidRPr="00DE42B9">
              <w:rPr>
                <w:rFonts w:ascii="Times New Roman" w:hAnsi="Times New Roman" w:cs="Times New Roman"/>
                <w:color w:val="000000" w:themeColor="text1"/>
                <w:sz w:val="20"/>
                <w:szCs w:val="20"/>
                <w:vertAlign w:val="superscript"/>
              </w:rPr>
              <w:t>-1</w:t>
            </w:r>
            <w:r w:rsidR="003A542D" w:rsidRPr="00DE42B9">
              <w:rPr>
                <w:rFonts w:ascii="Times New Roman" w:hAnsi="Times New Roman" w:cs="Times New Roman"/>
                <w:color w:val="000000" w:themeColor="text1"/>
                <w:sz w:val="20"/>
                <w:szCs w:val="20"/>
              </w:rPr>
              <w:t xml:space="preserve"> </w:t>
            </w:r>
            <w:r w:rsidRPr="00DE42B9">
              <w:rPr>
                <w:rFonts w:ascii="Times New Roman" w:hAnsi="Times New Roman" w:cs="Times New Roman"/>
                <w:color w:val="000000" w:themeColor="text1"/>
                <w:sz w:val="20"/>
                <w:szCs w:val="20"/>
              </w:rPr>
              <w:t xml:space="preserve"> (N+)</w:t>
            </w:r>
          </w:p>
          <w:p w14:paraId="30E603B4" w14:textId="37C27BE4"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- 0 mg</w:t>
            </w:r>
            <w:r w:rsidR="003A542D" w:rsidRPr="00DE42B9">
              <w:rPr>
                <w:rFonts w:ascii="Times New Roman" w:hAnsi="Times New Roman" w:cs="Times New Roman"/>
                <w:color w:val="000000" w:themeColor="text1"/>
                <w:sz w:val="20"/>
                <w:szCs w:val="20"/>
              </w:rPr>
              <w:t xml:space="preserve"> </w:t>
            </w:r>
            <w:r w:rsidRPr="00DE42B9">
              <w:rPr>
                <w:rFonts w:ascii="Times New Roman" w:hAnsi="Times New Roman" w:cs="Times New Roman"/>
                <w:color w:val="000000" w:themeColor="text1"/>
                <w:sz w:val="20"/>
                <w:szCs w:val="20"/>
              </w:rPr>
              <w:t>L</w:t>
            </w:r>
            <w:r w:rsidR="003A542D" w:rsidRPr="00DE42B9">
              <w:rPr>
                <w:rFonts w:ascii="Times New Roman" w:hAnsi="Times New Roman" w:cs="Times New Roman"/>
                <w:color w:val="000000" w:themeColor="text1"/>
                <w:sz w:val="20"/>
                <w:szCs w:val="20"/>
                <w:vertAlign w:val="superscript"/>
              </w:rPr>
              <w:t>-1</w:t>
            </w:r>
            <w:r w:rsidR="003A542D" w:rsidRPr="00DE42B9">
              <w:rPr>
                <w:rFonts w:ascii="Times New Roman" w:hAnsi="Times New Roman" w:cs="Times New Roman"/>
                <w:color w:val="000000" w:themeColor="text1"/>
                <w:sz w:val="20"/>
                <w:szCs w:val="20"/>
              </w:rPr>
              <w:t xml:space="preserve"> </w:t>
            </w:r>
            <w:r w:rsidRPr="00DE42B9">
              <w:rPr>
                <w:rFonts w:ascii="Times New Roman" w:hAnsi="Times New Roman" w:cs="Times New Roman"/>
                <w:color w:val="000000" w:themeColor="text1"/>
                <w:sz w:val="20"/>
                <w:szCs w:val="20"/>
              </w:rPr>
              <w:t xml:space="preserve"> (N-)</w:t>
            </w:r>
          </w:p>
        </w:tc>
        <w:tc>
          <w:tcPr>
            <w:tcW w:w="1596" w:type="dxa"/>
          </w:tcPr>
          <w:p w14:paraId="0328E4FD"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Batch</w:t>
            </w:r>
          </w:p>
          <w:p w14:paraId="52E57428"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(Flask)</w:t>
            </w:r>
          </w:p>
        </w:tc>
        <w:tc>
          <w:tcPr>
            <w:tcW w:w="1198" w:type="dxa"/>
          </w:tcPr>
          <w:p w14:paraId="47A60FDB"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ESAW</w:t>
            </w:r>
          </w:p>
        </w:tc>
        <w:tc>
          <w:tcPr>
            <w:tcW w:w="1399" w:type="dxa"/>
          </w:tcPr>
          <w:p w14:paraId="48BB0F90"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Continuous</w:t>
            </w:r>
          </w:p>
          <w:p w14:paraId="4B50DA55"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(100)</w:t>
            </w:r>
          </w:p>
        </w:tc>
        <w:tc>
          <w:tcPr>
            <w:tcW w:w="1442" w:type="dxa"/>
          </w:tcPr>
          <w:p w14:paraId="77D4D29B"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21°C</w:t>
            </w:r>
          </w:p>
        </w:tc>
        <w:tc>
          <w:tcPr>
            <w:tcW w:w="1352" w:type="dxa"/>
          </w:tcPr>
          <w:p w14:paraId="3AA07B72" w14:textId="4F01DD30" w:rsidR="00ED7769" w:rsidRPr="00DE42B9" w:rsidRDefault="003A542D"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Natural diffusion</w:t>
            </w:r>
          </w:p>
        </w:tc>
      </w:tr>
      <w:tr w:rsidR="009169DC" w:rsidRPr="001075EB" w14:paraId="14589907" w14:textId="77777777" w:rsidTr="00AC39BB">
        <w:trPr>
          <w:jc w:val="center"/>
        </w:trPr>
        <w:tc>
          <w:tcPr>
            <w:tcW w:w="1296" w:type="dxa"/>
          </w:tcPr>
          <w:p w14:paraId="2D2C01B4" w14:textId="6ECA9898" w:rsidR="00ED7769" w:rsidRPr="00DE42B9" w:rsidRDefault="009169DC" w:rsidP="009169DC">
            <w:pPr>
              <w:rPr>
                <w:rFonts w:ascii="Times New Roman" w:hAnsi="Times New Roman" w:cs="Times New Roman"/>
                <w:color w:val="000000" w:themeColor="text1"/>
                <w:sz w:val="20"/>
                <w:szCs w:val="20"/>
                <w:lang w:val="fr-FR"/>
              </w:rPr>
            </w:pPr>
            <w:r w:rsidRPr="00DE42B9">
              <w:rPr>
                <w:rFonts w:ascii="Times New Roman" w:hAnsi="Times New Roman" w:cs="Times New Roman"/>
                <w:color w:val="000000" w:themeColor="text1"/>
                <w:sz w:val="20"/>
                <w:szCs w:val="20"/>
              </w:rPr>
              <w:fldChar w:fldCharType="begin"/>
            </w:r>
            <w:r w:rsidRPr="00DE42B9">
              <w:rPr>
                <w:rFonts w:ascii="Times New Roman" w:hAnsi="Times New Roman" w:cs="Times New Roman"/>
                <w:color w:val="000000" w:themeColor="text1"/>
                <w:sz w:val="20"/>
                <w:szCs w:val="20"/>
              </w:rPr>
              <w:instrText xml:space="preserve"> ADDIN EN.CITE &lt;EndNote&gt;&lt;Cite AuthorYear="1"&gt;&lt;Author&gt;Matthijs&lt;/Author&gt;&lt;Year&gt;2017&lt;/Year&gt;&lt;RecNum&gt;237497&lt;/RecNum&gt;&lt;DisplayText&gt;Matthijs&lt;style face="italic"&gt; et al.&lt;/style&gt; (2017)&lt;/DisplayText&gt;&lt;record&gt;&lt;rec-number&gt;237497&lt;/rec-number&gt;&lt;foreign-keys&gt;&lt;key app="EN" db-id="9efww95sirratne9w0tv95fpzxp2w52rz959" timestamp="1498119423"&gt;237497&lt;/key&gt;&lt;/foreign-keys&gt;&lt;ref-type name="Journal Article"&gt;17&lt;/ref-type&gt;&lt;contributors&gt;&lt;authors&gt;&lt;author&gt;Matthijs, M.&lt;/author&gt;&lt;author&gt;Fabris, M.&lt;/author&gt;&lt;author&gt;Obata, T.&lt;/author&gt;&lt;author&gt;Foubert, I.&lt;/author&gt;&lt;author&gt;Franco-Zorrilla, J. M.&lt;/author&gt;&lt;author&gt;Solano, R.&lt;/author&gt;&lt;author&gt;Fernie, A. R.&lt;/author&gt;&lt;author&gt;Vyverman, W.&lt;/author&gt;&lt;author&gt;Goossens, A.&lt;/author&gt;&lt;/authors&gt;&lt;/contributors&gt;&lt;titles&gt;&lt;title&gt;&lt;style face="normal" font="default" size="100%"&gt;The transcription factor bZIP14 regulates the TCA cycle in the diatom &lt;/style&gt;&lt;style face="italic" font="default" size="100%"&gt;Phaeodactylum tricornutum&lt;/style&gt;&lt;/title&gt;&lt;secondary-title&gt;Embo Journal&lt;/secondary-title&gt;&lt;/titles&gt;&lt;periodical&gt;&lt;full-title&gt;Embo Journal&lt;/full-title&gt;&lt;/periodical&gt;&lt;pages&gt;1559-1576&lt;/pages&gt;&lt;volume&gt;36&lt;/volume&gt;&lt;number&gt;11&lt;/number&gt;&lt;section&gt;1559&lt;/section&gt;&lt;keywords&gt;&lt;keyword&gt;41500&lt;/keyword&gt;&lt;/keywords&gt;&lt;dates&gt;&lt;year&gt;2017&lt;/year&gt;&lt;pub-dates&gt;&lt;date&gt;Jun&lt;/date&gt;&lt;/pub-dates&gt;&lt;/dates&gt;&lt;isbn&gt;0261-4189&lt;/isbn&gt;&lt;accession-num&gt;WOS:000402532200009&lt;/accession-num&gt;&lt;urls&gt;&lt;related-urls&gt;&lt;url&gt;&amp;lt;Go to ISI&amp;gt;://WOS:000402532200009&lt;/url&gt;&lt;/related-urls&gt;&lt;/urls&gt;&lt;electronic-resource-num&gt;10.15252/embj.201696392&lt;/electronic-resource-num&gt;&lt;language&gt;English&lt;/language&gt;&lt;/record&gt;&lt;/Cite&gt;&lt;/EndNote&gt;</w:instrText>
            </w:r>
            <w:r w:rsidRPr="00DE42B9">
              <w:rPr>
                <w:rFonts w:ascii="Times New Roman" w:hAnsi="Times New Roman" w:cs="Times New Roman"/>
                <w:color w:val="000000" w:themeColor="text1"/>
                <w:sz w:val="20"/>
                <w:szCs w:val="20"/>
              </w:rPr>
              <w:fldChar w:fldCharType="separate"/>
            </w:r>
            <w:r w:rsidRPr="00DE42B9">
              <w:rPr>
                <w:rFonts w:ascii="Times New Roman" w:hAnsi="Times New Roman" w:cs="Times New Roman"/>
                <w:noProof/>
                <w:color w:val="000000" w:themeColor="text1"/>
                <w:sz w:val="20"/>
                <w:szCs w:val="20"/>
              </w:rPr>
              <w:t>Matthijs</w:t>
            </w:r>
            <w:r w:rsidRPr="00DE42B9">
              <w:rPr>
                <w:rFonts w:ascii="Times New Roman" w:hAnsi="Times New Roman" w:cs="Times New Roman"/>
                <w:i/>
                <w:noProof/>
                <w:color w:val="000000" w:themeColor="text1"/>
                <w:sz w:val="20"/>
                <w:szCs w:val="20"/>
              </w:rPr>
              <w:t xml:space="preserve"> et al.</w:t>
            </w:r>
            <w:r w:rsidRPr="00DE42B9">
              <w:rPr>
                <w:rFonts w:ascii="Times New Roman" w:hAnsi="Times New Roman" w:cs="Times New Roman"/>
                <w:noProof/>
                <w:color w:val="000000" w:themeColor="text1"/>
                <w:sz w:val="20"/>
                <w:szCs w:val="20"/>
              </w:rPr>
              <w:t xml:space="preserve"> (2017)</w:t>
            </w:r>
            <w:r w:rsidRPr="00DE42B9">
              <w:rPr>
                <w:rFonts w:ascii="Times New Roman" w:hAnsi="Times New Roman" w:cs="Times New Roman"/>
                <w:color w:val="000000" w:themeColor="text1"/>
                <w:sz w:val="20"/>
                <w:szCs w:val="20"/>
              </w:rPr>
              <w:fldChar w:fldCharType="end"/>
            </w:r>
          </w:p>
        </w:tc>
        <w:tc>
          <w:tcPr>
            <w:tcW w:w="1510" w:type="dxa"/>
          </w:tcPr>
          <w:p w14:paraId="0C4A1569"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Strain 8.6</w:t>
            </w:r>
          </w:p>
          <w:p w14:paraId="11240768"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(Pt1)</w:t>
            </w:r>
          </w:p>
        </w:tc>
        <w:tc>
          <w:tcPr>
            <w:tcW w:w="1588" w:type="dxa"/>
          </w:tcPr>
          <w:p w14:paraId="2E3CE558"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N+ and N-</w:t>
            </w:r>
          </w:p>
          <w:p w14:paraId="71371C29"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comparison</w:t>
            </w:r>
          </w:p>
        </w:tc>
        <w:tc>
          <w:tcPr>
            <w:tcW w:w="1939" w:type="dxa"/>
          </w:tcPr>
          <w:p w14:paraId="6A403DC3" w14:textId="2B0D1E60"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- 7.5 mg</w:t>
            </w:r>
            <w:r w:rsidR="003A542D" w:rsidRPr="00DE42B9">
              <w:rPr>
                <w:rFonts w:ascii="Times New Roman" w:hAnsi="Times New Roman" w:cs="Times New Roman"/>
                <w:color w:val="000000" w:themeColor="text1"/>
                <w:sz w:val="20"/>
                <w:szCs w:val="20"/>
              </w:rPr>
              <w:t xml:space="preserve"> </w:t>
            </w:r>
            <w:r w:rsidRPr="00DE42B9">
              <w:rPr>
                <w:rFonts w:ascii="Times New Roman" w:hAnsi="Times New Roman" w:cs="Times New Roman"/>
                <w:color w:val="000000" w:themeColor="text1"/>
                <w:sz w:val="20"/>
                <w:szCs w:val="20"/>
              </w:rPr>
              <w:t>L</w:t>
            </w:r>
            <w:r w:rsidR="003A542D" w:rsidRPr="00DE42B9">
              <w:rPr>
                <w:rFonts w:ascii="Times New Roman" w:hAnsi="Times New Roman" w:cs="Times New Roman"/>
                <w:color w:val="000000" w:themeColor="text1"/>
                <w:sz w:val="20"/>
                <w:szCs w:val="20"/>
                <w:vertAlign w:val="superscript"/>
              </w:rPr>
              <w:t>-1</w:t>
            </w:r>
            <w:r w:rsidR="003A542D" w:rsidRPr="00DE42B9">
              <w:rPr>
                <w:rFonts w:ascii="Times New Roman" w:hAnsi="Times New Roman" w:cs="Times New Roman"/>
                <w:color w:val="000000" w:themeColor="text1"/>
                <w:sz w:val="20"/>
                <w:szCs w:val="20"/>
              </w:rPr>
              <w:t xml:space="preserve"> </w:t>
            </w:r>
            <w:r w:rsidRPr="00DE42B9">
              <w:rPr>
                <w:rFonts w:ascii="Times New Roman" w:hAnsi="Times New Roman" w:cs="Times New Roman"/>
                <w:color w:val="000000" w:themeColor="text1"/>
                <w:sz w:val="20"/>
                <w:szCs w:val="20"/>
              </w:rPr>
              <w:t xml:space="preserve"> (N+)</w:t>
            </w:r>
          </w:p>
          <w:p w14:paraId="3D8E5F32" w14:textId="0A096AC2"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- 0 mg</w:t>
            </w:r>
            <w:r w:rsidR="003A542D" w:rsidRPr="00DE42B9">
              <w:rPr>
                <w:rFonts w:ascii="Times New Roman" w:hAnsi="Times New Roman" w:cs="Times New Roman"/>
                <w:color w:val="000000" w:themeColor="text1"/>
                <w:sz w:val="20"/>
                <w:szCs w:val="20"/>
              </w:rPr>
              <w:t xml:space="preserve"> </w:t>
            </w:r>
            <w:r w:rsidRPr="00DE42B9">
              <w:rPr>
                <w:rFonts w:ascii="Times New Roman" w:hAnsi="Times New Roman" w:cs="Times New Roman"/>
                <w:color w:val="000000" w:themeColor="text1"/>
                <w:sz w:val="20"/>
                <w:szCs w:val="20"/>
              </w:rPr>
              <w:t>L</w:t>
            </w:r>
            <w:r w:rsidR="003A542D" w:rsidRPr="00DE42B9">
              <w:rPr>
                <w:rFonts w:ascii="Times New Roman" w:hAnsi="Times New Roman" w:cs="Times New Roman"/>
                <w:color w:val="000000" w:themeColor="text1"/>
                <w:sz w:val="20"/>
                <w:szCs w:val="20"/>
                <w:vertAlign w:val="superscript"/>
              </w:rPr>
              <w:t>-1</w:t>
            </w:r>
            <w:r w:rsidR="003A542D" w:rsidRPr="00DE42B9">
              <w:rPr>
                <w:rFonts w:ascii="Times New Roman" w:hAnsi="Times New Roman" w:cs="Times New Roman"/>
                <w:color w:val="000000" w:themeColor="text1"/>
                <w:sz w:val="20"/>
                <w:szCs w:val="20"/>
              </w:rPr>
              <w:t xml:space="preserve"> </w:t>
            </w:r>
            <w:r w:rsidRPr="00DE42B9">
              <w:rPr>
                <w:rFonts w:ascii="Times New Roman" w:hAnsi="Times New Roman" w:cs="Times New Roman"/>
                <w:color w:val="000000" w:themeColor="text1"/>
                <w:sz w:val="20"/>
                <w:szCs w:val="20"/>
              </w:rPr>
              <w:t xml:space="preserve"> (N-)</w:t>
            </w:r>
          </w:p>
        </w:tc>
        <w:tc>
          <w:tcPr>
            <w:tcW w:w="1596" w:type="dxa"/>
          </w:tcPr>
          <w:p w14:paraId="19E6D696"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Batch</w:t>
            </w:r>
          </w:p>
          <w:p w14:paraId="47C2EEAA"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w:t>
            </w:r>
            <w:proofErr w:type="spellStart"/>
            <w:r w:rsidRPr="00DE42B9">
              <w:rPr>
                <w:rFonts w:ascii="Times New Roman" w:hAnsi="Times New Roman" w:cs="Times New Roman"/>
                <w:color w:val="000000" w:themeColor="text1"/>
                <w:sz w:val="20"/>
                <w:szCs w:val="20"/>
              </w:rPr>
              <w:t>Algem</w:t>
            </w:r>
            <w:proofErr w:type="spellEnd"/>
            <w:r w:rsidRPr="00DE42B9">
              <w:rPr>
                <w:rFonts w:ascii="Times New Roman" w:hAnsi="Times New Roman" w:cs="Times New Roman"/>
                <w:color w:val="000000" w:themeColor="text1"/>
                <w:sz w:val="20"/>
                <w:szCs w:val="20"/>
              </w:rPr>
              <w:t xml:space="preserve"> PBR, </w:t>
            </w:r>
            <w:proofErr w:type="spellStart"/>
            <w:r w:rsidRPr="00DE42B9">
              <w:rPr>
                <w:rFonts w:ascii="Times New Roman" w:hAnsi="Times New Roman" w:cs="Times New Roman"/>
                <w:color w:val="000000" w:themeColor="text1"/>
                <w:sz w:val="20"/>
                <w:szCs w:val="20"/>
              </w:rPr>
              <w:t>Algenuity</w:t>
            </w:r>
            <w:proofErr w:type="spellEnd"/>
            <w:r w:rsidRPr="00DE42B9">
              <w:rPr>
                <w:rFonts w:ascii="Times New Roman" w:hAnsi="Times New Roman" w:cs="Times New Roman"/>
                <w:color w:val="000000" w:themeColor="text1"/>
                <w:sz w:val="20"/>
                <w:szCs w:val="20"/>
              </w:rPr>
              <w:t>, UK)</w:t>
            </w:r>
          </w:p>
        </w:tc>
        <w:tc>
          <w:tcPr>
            <w:tcW w:w="1198" w:type="dxa"/>
          </w:tcPr>
          <w:p w14:paraId="1C4AD61D"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ESAW</w:t>
            </w:r>
          </w:p>
        </w:tc>
        <w:tc>
          <w:tcPr>
            <w:tcW w:w="1399" w:type="dxa"/>
          </w:tcPr>
          <w:p w14:paraId="7E04CEA7"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Continuous</w:t>
            </w:r>
          </w:p>
          <w:p w14:paraId="1978DEBF"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(150)</w:t>
            </w:r>
          </w:p>
        </w:tc>
        <w:tc>
          <w:tcPr>
            <w:tcW w:w="1442" w:type="dxa"/>
          </w:tcPr>
          <w:p w14:paraId="4D060573"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21°C</w:t>
            </w:r>
          </w:p>
        </w:tc>
        <w:tc>
          <w:tcPr>
            <w:tcW w:w="1352" w:type="dxa"/>
          </w:tcPr>
          <w:p w14:paraId="7B0BF23A" w14:textId="158F65F6" w:rsidR="00ED7769" w:rsidRPr="00DE42B9" w:rsidRDefault="003A542D"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Natural diffusion</w:t>
            </w:r>
          </w:p>
        </w:tc>
      </w:tr>
      <w:tr w:rsidR="009169DC" w:rsidRPr="001075EB" w14:paraId="73FAD148" w14:textId="77777777" w:rsidTr="00AC39BB">
        <w:trPr>
          <w:jc w:val="center"/>
        </w:trPr>
        <w:tc>
          <w:tcPr>
            <w:tcW w:w="1296" w:type="dxa"/>
          </w:tcPr>
          <w:p w14:paraId="25F3620F" w14:textId="0A8609D0" w:rsidR="00ED7769" w:rsidRPr="00DE42B9" w:rsidRDefault="009169DC" w:rsidP="009169DC">
            <w:pPr>
              <w:rPr>
                <w:rFonts w:ascii="Times New Roman" w:hAnsi="Times New Roman" w:cs="Times New Roman"/>
                <w:color w:val="000000" w:themeColor="text1"/>
                <w:sz w:val="20"/>
                <w:szCs w:val="20"/>
                <w:lang w:val="fr-FR"/>
              </w:rPr>
            </w:pPr>
            <w:r w:rsidRPr="00DE42B9">
              <w:rPr>
                <w:rFonts w:ascii="Times New Roman" w:hAnsi="Times New Roman" w:cs="Times New Roman"/>
                <w:color w:val="000000" w:themeColor="text1"/>
                <w:sz w:val="20"/>
                <w:szCs w:val="20"/>
              </w:rPr>
              <w:fldChar w:fldCharType="begin"/>
            </w:r>
            <w:r w:rsidRPr="00DE42B9">
              <w:rPr>
                <w:rFonts w:ascii="Times New Roman" w:hAnsi="Times New Roman" w:cs="Times New Roman"/>
                <w:color w:val="000000" w:themeColor="text1"/>
                <w:sz w:val="20"/>
                <w:szCs w:val="20"/>
              </w:rPr>
              <w:instrText xml:space="preserve"> ADDIN EN.CITE &lt;EndNote&gt;&lt;Cite AuthorYear="1"&gt;&lt;Author&gt;Yodsuwan&lt;/Author&gt;&lt;Year&gt;2017&lt;/Year&gt;&lt;RecNum&gt;284723&lt;/RecNum&gt;&lt;DisplayText&gt;Yodsuwan&lt;style face="italic"&gt; et al.&lt;/style&gt; (2017)&lt;/DisplayText&gt;&lt;record&gt;&lt;rec-number&gt;284723&lt;/rec-number&gt;&lt;foreign-keys&gt;&lt;key app="EN" db-id="9efww95sirratne9w0tv95fpzxp2w52rz959" timestamp="1625647053"&gt;284723&lt;/key&gt;&lt;/foreign-keys&gt;&lt;ref-type name="Journal Article"&gt;17&lt;/ref-type&gt;&lt;contributors&gt;&lt;authors&gt;&lt;author&gt;Yodsuwan, Natthawut&lt;/author&gt;&lt;author&gt;Sawayama, Shigeki&lt;/author&gt;&lt;author&gt;Sirisansaneeyakul, Sarote&lt;/author&gt;&lt;/authors&gt;&lt;/contributors&gt;&lt;titles&gt;&lt;title&gt;&lt;style face="normal" font="default" size="100%"&gt;Effect of nitrogen concentration on growth, lipid production and fatty acid profiles of the marine diatom &lt;/style&gt;&lt;style face="italic" font="default" size="100%"&gt;Phaeodactylum tricornutum&lt;/style&gt;&lt;/title&gt;&lt;secondary-title&gt;Agriculture and Natural Resources&lt;/secondary-title&gt;&lt;/titles&gt;&lt;periodical&gt;&lt;full-title&gt;Agriculture and Natural Resources&lt;/full-title&gt;&lt;/periodical&gt;&lt;pages&gt;190-197&lt;/pages&gt;&lt;volume&gt;51&lt;/volume&gt;&lt;number&gt;3&lt;/number&gt;&lt;section&gt;190&lt;/section&gt;&lt;keywords&gt;&lt;keyword&gt;Biodiesel&lt;/keyword&gt;&lt;keyword&gt;Fatty acid profile&lt;/keyword&gt;&lt;keyword&gt;Lipid&lt;/keyword&gt;&lt;keyword&gt;Nitrogen concentration&lt;/keyword&gt;&lt;/keywords&gt;&lt;dates&gt;&lt;year&gt;2017&lt;/year&gt;&lt;pub-dates&gt;&lt;date&gt;2017/06/01/&lt;/date&gt;&lt;/pub-dates&gt;&lt;/dates&gt;&lt;isbn&gt;2452-316X&lt;/isbn&gt;&lt;urls&gt;&lt;related-urls&gt;&lt;url&gt;https://www.sciencedirect.com/science/article/pii/S2452316X1730340X&lt;/url&gt;&lt;/related-urls&gt;&lt;/urls&gt;&lt;electronic-resource-num&gt;https://doi.org/10.1016/j.anres.2017.02.004&lt;/electronic-resource-num&gt;&lt;/record&gt;&lt;/Cite&gt;&lt;/EndNote&gt;</w:instrText>
            </w:r>
            <w:r w:rsidRPr="00DE42B9">
              <w:rPr>
                <w:rFonts w:ascii="Times New Roman" w:hAnsi="Times New Roman" w:cs="Times New Roman"/>
                <w:color w:val="000000" w:themeColor="text1"/>
                <w:sz w:val="20"/>
                <w:szCs w:val="20"/>
              </w:rPr>
              <w:fldChar w:fldCharType="separate"/>
            </w:r>
            <w:r w:rsidRPr="00DE42B9">
              <w:rPr>
                <w:rFonts w:ascii="Times New Roman" w:hAnsi="Times New Roman" w:cs="Times New Roman"/>
                <w:noProof/>
                <w:color w:val="000000" w:themeColor="text1"/>
                <w:sz w:val="20"/>
                <w:szCs w:val="20"/>
              </w:rPr>
              <w:t>Yodsuwan</w:t>
            </w:r>
            <w:r w:rsidRPr="00DE42B9">
              <w:rPr>
                <w:rFonts w:ascii="Times New Roman" w:hAnsi="Times New Roman" w:cs="Times New Roman"/>
                <w:i/>
                <w:noProof/>
                <w:color w:val="000000" w:themeColor="text1"/>
                <w:sz w:val="20"/>
                <w:szCs w:val="20"/>
              </w:rPr>
              <w:t xml:space="preserve"> et al.</w:t>
            </w:r>
            <w:r w:rsidRPr="00DE42B9">
              <w:rPr>
                <w:rFonts w:ascii="Times New Roman" w:hAnsi="Times New Roman" w:cs="Times New Roman"/>
                <w:noProof/>
                <w:color w:val="000000" w:themeColor="text1"/>
                <w:sz w:val="20"/>
                <w:szCs w:val="20"/>
              </w:rPr>
              <w:t xml:space="preserve"> (2017)</w:t>
            </w:r>
            <w:r w:rsidRPr="00DE42B9">
              <w:rPr>
                <w:rFonts w:ascii="Times New Roman" w:hAnsi="Times New Roman" w:cs="Times New Roman"/>
                <w:color w:val="000000" w:themeColor="text1"/>
                <w:sz w:val="20"/>
                <w:szCs w:val="20"/>
              </w:rPr>
              <w:fldChar w:fldCharType="end"/>
            </w:r>
          </w:p>
        </w:tc>
        <w:tc>
          <w:tcPr>
            <w:tcW w:w="1510" w:type="dxa"/>
          </w:tcPr>
          <w:p w14:paraId="05059BFD"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National</w:t>
            </w:r>
          </w:p>
          <w:p w14:paraId="433DF7C6"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Research Institute of Aquaculture, Minami-Ise, Japan (?)</w:t>
            </w:r>
          </w:p>
        </w:tc>
        <w:tc>
          <w:tcPr>
            <w:tcW w:w="1588" w:type="dxa"/>
          </w:tcPr>
          <w:p w14:paraId="3B574FFB"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N+ and N-</w:t>
            </w:r>
          </w:p>
          <w:p w14:paraId="1FA41CFD"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comparison</w:t>
            </w:r>
          </w:p>
          <w:p w14:paraId="75F8D05A" w14:textId="77777777" w:rsidR="00ED7769" w:rsidRPr="00DE42B9" w:rsidRDefault="00ED7769" w:rsidP="00C7390D">
            <w:pPr>
              <w:rPr>
                <w:rFonts w:ascii="Times New Roman" w:hAnsi="Times New Roman" w:cs="Times New Roman"/>
                <w:color w:val="000000" w:themeColor="text1"/>
                <w:sz w:val="20"/>
                <w:szCs w:val="20"/>
              </w:rPr>
            </w:pPr>
          </w:p>
        </w:tc>
        <w:tc>
          <w:tcPr>
            <w:tcW w:w="1939" w:type="dxa"/>
          </w:tcPr>
          <w:p w14:paraId="655E009C" w14:textId="54AD286D"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- 0 mg</w:t>
            </w:r>
            <w:r w:rsidR="003A542D" w:rsidRPr="00DE42B9">
              <w:rPr>
                <w:rFonts w:ascii="Times New Roman" w:hAnsi="Times New Roman" w:cs="Times New Roman"/>
                <w:color w:val="000000" w:themeColor="text1"/>
                <w:sz w:val="20"/>
                <w:szCs w:val="20"/>
              </w:rPr>
              <w:t xml:space="preserve"> </w:t>
            </w:r>
            <w:r w:rsidRPr="00DE42B9">
              <w:rPr>
                <w:rFonts w:ascii="Times New Roman" w:hAnsi="Times New Roman" w:cs="Times New Roman"/>
                <w:color w:val="000000" w:themeColor="text1"/>
                <w:sz w:val="20"/>
                <w:szCs w:val="20"/>
              </w:rPr>
              <w:t>L</w:t>
            </w:r>
            <w:r w:rsidR="003A542D" w:rsidRPr="00DE42B9">
              <w:rPr>
                <w:rFonts w:ascii="Times New Roman" w:hAnsi="Times New Roman" w:cs="Times New Roman"/>
                <w:color w:val="000000" w:themeColor="text1"/>
                <w:sz w:val="20"/>
                <w:szCs w:val="20"/>
                <w:vertAlign w:val="superscript"/>
              </w:rPr>
              <w:t>-1</w:t>
            </w:r>
          </w:p>
          <w:p w14:paraId="624A3A82" w14:textId="18CC3B9E"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-16.45 mg</w:t>
            </w:r>
            <w:r w:rsidR="003A542D" w:rsidRPr="00DE42B9">
              <w:rPr>
                <w:rFonts w:ascii="Times New Roman" w:hAnsi="Times New Roman" w:cs="Times New Roman"/>
                <w:color w:val="000000" w:themeColor="text1"/>
                <w:sz w:val="20"/>
                <w:szCs w:val="20"/>
              </w:rPr>
              <w:t xml:space="preserve"> </w:t>
            </w:r>
            <w:r w:rsidRPr="00DE42B9">
              <w:rPr>
                <w:rFonts w:ascii="Times New Roman" w:hAnsi="Times New Roman" w:cs="Times New Roman"/>
                <w:color w:val="000000" w:themeColor="text1"/>
                <w:sz w:val="20"/>
                <w:szCs w:val="20"/>
              </w:rPr>
              <w:t>L</w:t>
            </w:r>
            <w:r w:rsidR="003A542D" w:rsidRPr="00DE42B9">
              <w:rPr>
                <w:rFonts w:ascii="Times New Roman" w:hAnsi="Times New Roman" w:cs="Times New Roman"/>
                <w:color w:val="000000" w:themeColor="text1"/>
                <w:sz w:val="20"/>
                <w:szCs w:val="20"/>
                <w:vertAlign w:val="superscript"/>
              </w:rPr>
              <w:t>-1</w:t>
            </w:r>
          </w:p>
          <w:p w14:paraId="54B38543" w14:textId="3AD715DA"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- 32.09 mg</w:t>
            </w:r>
            <w:r w:rsidR="003A542D" w:rsidRPr="00DE42B9">
              <w:rPr>
                <w:rFonts w:ascii="Times New Roman" w:hAnsi="Times New Roman" w:cs="Times New Roman"/>
                <w:color w:val="000000" w:themeColor="text1"/>
                <w:sz w:val="20"/>
                <w:szCs w:val="20"/>
              </w:rPr>
              <w:t xml:space="preserve"> </w:t>
            </w:r>
            <w:r w:rsidRPr="00DE42B9">
              <w:rPr>
                <w:rFonts w:ascii="Times New Roman" w:hAnsi="Times New Roman" w:cs="Times New Roman"/>
                <w:color w:val="000000" w:themeColor="text1"/>
                <w:sz w:val="20"/>
                <w:szCs w:val="20"/>
              </w:rPr>
              <w:t>L</w:t>
            </w:r>
            <w:r w:rsidR="003A542D" w:rsidRPr="00DE42B9">
              <w:rPr>
                <w:rFonts w:ascii="Times New Roman" w:hAnsi="Times New Roman" w:cs="Times New Roman"/>
                <w:color w:val="000000" w:themeColor="text1"/>
                <w:sz w:val="20"/>
                <w:szCs w:val="20"/>
                <w:vertAlign w:val="superscript"/>
              </w:rPr>
              <w:t>-1</w:t>
            </w:r>
          </w:p>
          <w:p w14:paraId="060C34BC" w14:textId="61EB7B3A"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- 64.29 mg</w:t>
            </w:r>
            <w:r w:rsidR="003A542D" w:rsidRPr="00DE42B9">
              <w:rPr>
                <w:rFonts w:ascii="Times New Roman" w:hAnsi="Times New Roman" w:cs="Times New Roman"/>
                <w:color w:val="000000" w:themeColor="text1"/>
                <w:sz w:val="20"/>
                <w:szCs w:val="20"/>
              </w:rPr>
              <w:t xml:space="preserve"> </w:t>
            </w:r>
            <w:r w:rsidRPr="00DE42B9">
              <w:rPr>
                <w:rFonts w:ascii="Times New Roman" w:hAnsi="Times New Roman" w:cs="Times New Roman"/>
                <w:color w:val="000000" w:themeColor="text1"/>
                <w:sz w:val="20"/>
                <w:szCs w:val="20"/>
              </w:rPr>
              <w:t>L</w:t>
            </w:r>
            <w:r w:rsidR="003A542D" w:rsidRPr="00DE42B9">
              <w:rPr>
                <w:rFonts w:ascii="Times New Roman" w:hAnsi="Times New Roman" w:cs="Times New Roman"/>
                <w:color w:val="000000" w:themeColor="text1"/>
                <w:sz w:val="20"/>
                <w:szCs w:val="20"/>
                <w:vertAlign w:val="superscript"/>
              </w:rPr>
              <w:t>-1</w:t>
            </w:r>
          </w:p>
          <w:p w14:paraId="1D4FB829" w14:textId="77777777" w:rsidR="00ED7769" w:rsidRPr="00DE42B9" w:rsidRDefault="00ED7769" w:rsidP="00C7390D">
            <w:pPr>
              <w:rPr>
                <w:rFonts w:ascii="Times New Roman" w:hAnsi="Times New Roman" w:cs="Times New Roman"/>
                <w:color w:val="000000" w:themeColor="text1"/>
                <w:sz w:val="20"/>
                <w:szCs w:val="20"/>
              </w:rPr>
            </w:pPr>
          </w:p>
        </w:tc>
        <w:tc>
          <w:tcPr>
            <w:tcW w:w="1596" w:type="dxa"/>
          </w:tcPr>
          <w:p w14:paraId="1658C8A6"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Batch</w:t>
            </w:r>
          </w:p>
          <w:p w14:paraId="67165448"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 xml:space="preserve">(Flask) </w:t>
            </w:r>
          </w:p>
        </w:tc>
        <w:tc>
          <w:tcPr>
            <w:tcW w:w="1198" w:type="dxa"/>
          </w:tcPr>
          <w:p w14:paraId="5EAC2F09"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Sea water + f/2 nutrients</w:t>
            </w:r>
          </w:p>
        </w:tc>
        <w:tc>
          <w:tcPr>
            <w:tcW w:w="1399" w:type="dxa"/>
          </w:tcPr>
          <w:p w14:paraId="0E956728"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14:10</w:t>
            </w:r>
          </w:p>
          <w:p w14:paraId="14A318D0"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(80-100)</w:t>
            </w:r>
          </w:p>
        </w:tc>
        <w:tc>
          <w:tcPr>
            <w:tcW w:w="1442" w:type="dxa"/>
          </w:tcPr>
          <w:p w14:paraId="4FFBAEA4"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20°C</w:t>
            </w:r>
          </w:p>
        </w:tc>
        <w:tc>
          <w:tcPr>
            <w:tcW w:w="1352" w:type="dxa"/>
          </w:tcPr>
          <w:p w14:paraId="0567A392" w14:textId="39475AF2" w:rsidR="00ED7769" w:rsidRPr="00DE42B9" w:rsidRDefault="003A542D"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Natural diffusion</w:t>
            </w:r>
          </w:p>
        </w:tc>
      </w:tr>
      <w:tr w:rsidR="009169DC" w:rsidRPr="001075EB" w14:paraId="66DB09DB" w14:textId="77777777" w:rsidTr="00AC39BB">
        <w:trPr>
          <w:jc w:val="center"/>
        </w:trPr>
        <w:tc>
          <w:tcPr>
            <w:tcW w:w="1296" w:type="dxa"/>
          </w:tcPr>
          <w:p w14:paraId="783BAEAA" w14:textId="1DAAD05E" w:rsidR="00ED7769" w:rsidRPr="00DE42B9" w:rsidRDefault="009169DC" w:rsidP="009169DC">
            <w:pPr>
              <w:rPr>
                <w:rFonts w:ascii="Times New Roman" w:hAnsi="Times New Roman" w:cs="Times New Roman"/>
                <w:color w:val="000000" w:themeColor="text1"/>
                <w:sz w:val="20"/>
                <w:szCs w:val="20"/>
                <w:lang w:val="fr-FR"/>
              </w:rPr>
            </w:pPr>
            <w:r w:rsidRPr="00DE42B9">
              <w:rPr>
                <w:rFonts w:ascii="Times New Roman" w:hAnsi="Times New Roman" w:cs="Times New Roman"/>
                <w:color w:val="000000" w:themeColor="text1"/>
                <w:sz w:val="20"/>
                <w:szCs w:val="20"/>
              </w:rPr>
              <w:fldChar w:fldCharType="begin"/>
            </w:r>
            <w:r w:rsidRPr="00DE42B9">
              <w:rPr>
                <w:rFonts w:ascii="Times New Roman" w:hAnsi="Times New Roman" w:cs="Times New Roman"/>
                <w:color w:val="000000" w:themeColor="text1"/>
                <w:sz w:val="20"/>
                <w:szCs w:val="20"/>
              </w:rPr>
              <w:instrText xml:space="preserve"> ADDIN EN.CITE &lt;EndNote&gt;&lt;Cite AuthorYear="1"&gt;&lt;Author&gt;Remmers&lt;/Author&gt;&lt;Year&gt;2017&lt;/Year&gt;&lt;RecNum&gt;253957&lt;/RecNum&gt;&lt;DisplayText&gt;Remmers&lt;style face="italic"&gt; et al.&lt;/style&gt; (2017)&lt;/DisplayText&gt;&lt;record&gt;&lt;rec-number&gt;253957&lt;/rec-number&gt;&lt;foreign-keys&gt;&lt;key app="EN" db-id="9efww95sirratne9w0tv95fpzxp2w52rz959" timestamp="1538140407"&gt;253957&lt;/key&gt;&lt;/foreign-keys&gt;&lt;ref-type name="Journal Article"&gt;17&lt;/ref-type&gt;&lt;contributors&gt;&lt;authors&gt;&lt;author&gt;Remmers, I. M.&lt;/author&gt;&lt;author&gt;Martens, D.E.&lt;/author&gt;&lt;author&gt;Wijffels, R.H.&lt;/author&gt;&lt;author&gt;Lamers, P.P. &lt;/author&gt;&lt;/authors&gt;&lt;/contributors&gt;&lt;titles&gt;&lt;title&gt;&lt;style face="normal" font="default" size="100%"&gt;Dynamics of triacylglycerol and EPA production in &lt;/style&gt;&lt;style face="italic" font="default" size="100%"&gt;Phaeodactylum tricornutum&lt;/style&gt;&lt;style face="normal" font="default" size="100%"&gt; under nitrogen starvation at different light intensities&lt;/style&gt;&lt;/title&gt;&lt;secondary-title&gt;PLoS One&lt;/secondary-title&gt;&lt;/titles&gt;&lt;periodical&gt;&lt;full-title&gt;Plos One&lt;/full-title&gt;&lt;/periodical&gt;&lt;pages&gt;e0175630&lt;/pages&gt;&lt;volume&gt;12&lt;/volume&gt;&lt;dates&gt;&lt;year&gt;2017&lt;/year&gt;&lt;/dates&gt;&lt;urls&gt;&lt;/urls&gt;&lt;/record&gt;&lt;/Cite&gt;&lt;/EndNote&gt;</w:instrText>
            </w:r>
            <w:r w:rsidRPr="00DE42B9">
              <w:rPr>
                <w:rFonts w:ascii="Times New Roman" w:hAnsi="Times New Roman" w:cs="Times New Roman"/>
                <w:color w:val="000000" w:themeColor="text1"/>
                <w:sz w:val="20"/>
                <w:szCs w:val="20"/>
              </w:rPr>
              <w:fldChar w:fldCharType="separate"/>
            </w:r>
            <w:r w:rsidRPr="00DE42B9">
              <w:rPr>
                <w:rFonts w:ascii="Times New Roman" w:hAnsi="Times New Roman" w:cs="Times New Roman"/>
                <w:noProof/>
                <w:color w:val="000000" w:themeColor="text1"/>
                <w:sz w:val="20"/>
                <w:szCs w:val="20"/>
              </w:rPr>
              <w:t>Remmers</w:t>
            </w:r>
            <w:r w:rsidRPr="00DE42B9">
              <w:rPr>
                <w:rFonts w:ascii="Times New Roman" w:hAnsi="Times New Roman" w:cs="Times New Roman"/>
                <w:i/>
                <w:noProof/>
                <w:color w:val="000000" w:themeColor="text1"/>
                <w:sz w:val="20"/>
                <w:szCs w:val="20"/>
              </w:rPr>
              <w:t xml:space="preserve"> et al.</w:t>
            </w:r>
            <w:r w:rsidRPr="00DE42B9">
              <w:rPr>
                <w:rFonts w:ascii="Times New Roman" w:hAnsi="Times New Roman" w:cs="Times New Roman"/>
                <w:noProof/>
                <w:color w:val="000000" w:themeColor="text1"/>
                <w:sz w:val="20"/>
                <w:szCs w:val="20"/>
              </w:rPr>
              <w:t xml:space="preserve"> (2017)</w:t>
            </w:r>
            <w:r w:rsidRPr="00DE42B9">
              <w:rPr>
                <w:rFonts w:ascii="Times New Roman" w:hAnsi="Times New Roman" w:cs="Times New Roman"/>
                <w:color w:val="000000" w:themeColor="text1"/>
                <w:sz w:val="20"/>
                <w:szCs w:val="20"/>
              </w:rPr>
              <w:fldChar w:fldCharType="end"/>
            </w:r>
          </w:p>
        </w:tc>
        <w:tc>
          <w:tcPr>
            <w:tcW w:w="1510" w:type="dxa"/>
          </w:tcPr>
          <w:p w14:paraId="24A8A52C"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SAG1090-1b</w:t>
            </w:r>
          </w:p>
          <w:p w14:paraId="74D554BC"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(Pt3)</w:t>
            </w:r>
          </w:p>
        </w:tc>
        <w:tc>
          <w:tcPr>
            <w:tcW w:w="1588" w:type="dxa"/>
          </w:tcPr>
          <w:p w14:paraId="3720A2A3"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N- treatment</w:t>
            </w:r>
          </w:p>
        </w:tc>
        <w:tc>
          <w:tcPr>
            <w:tcW w:w="1939" w:type="dxa"/>
          </w:tcPr>
          <w:p w14:paraId="7A0C283E"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- 16.8 mM (Prior treatment)</w:t>
            </w:r>
          </w:p>
          <w:p w14:paraId="3F70DB58"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- 5 mM (Treatment)</w:t>
            </w:r>
          </w:p>
        </w:tc>
        <w:tc>
          <w:tcPr>
            <w:tcW w:w="1596" w:type="dxa"/>
          </w:tcPr>
          <w:p w14:paraId="679B8C84"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Continuous chemostat</w:t>
            </w:r>
          </w:p>
          <w:p w14:paraId="556AA414"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(Flat panel PBR)</w:t>
            </w:r>
          </w:p>
        </w:tc>
        <w:tc>
          <w:tcPr>
            <w:tcW w:w="1198" w:type="dxa"/>
          </w:tcPr>
          <w:p w14:paraId="77258454"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Custom</w:t>
            </w:r>
          </w:p>
        </w:tc>
        <w:tc>
          <w:tcPr>
            <w:tcW w:w="1399" w:type="dxa"/>
          </w:tcPr>
          <w:p w14:paraId="75528E63"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16:8</w:t>
            </w:r>
          </w:p>
          <w:p w14:paraId="7B2D602D"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(160-&gt;260)</w:t>
            </w:r>
          </w:p>
        </w:tc>
        <w:tc>
          <w:tcPr>
            <w:tcW w:w="1442" w:type="dxa"/>
          </w:tcPr>
          <w:p w14:paraId="16CF9410"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20°C</w:t>
            </w:r>
          </w:p>
        </w:tc>
        <w:tc>
          <w:tcPr>
            <w:tcW w:w="1352" w:type="dxa"/>
          </w:tcPr>
          <w:p w14:paraId="346FEB13"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0.4 L min</w:t>
            </w:r>
            <w:r w:rsidRPr="00DE42B9">
              <w:rPr>
                <w:rFonts w:ascii="Times New Roman" w:hAnsi="Times New Roman" w:cs="Times New Roman"/>
                <w:color w:val="000000" w:themeColor="text1"/>
                <w:sz w:val="20"/>
                <w:szCs w:val="20"/>
                <w:vertAlign w:val="superscript"/>
              </w:rPr>
              <w:t>-1</w:t>
            </w:r>
            <w:r w:rsidRPr="00DE42B9">
              <w:rPr>
                <w:rFonts w:ascii="Times New Roman" w:hAnsi="Times New Roman" w:cs="Times New Roman"/>
                <w:color w:val="000000" w:themeColor="text1"/>
                <w:sz w:val="20"/>
                <w:szCs w:val="20"/>
              </w:rPr>
              <w:t xml:space="preserve"> Air bubbling</w:t>
            </w:r>
          </w:p>
          <w:p w14:paraId="449A19C2"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(2% CO</w:t>
            </w:r>
            <w:r w:rsidRPr="00DE42B9">
              <w:rPr>
                <w:rFonts w:ascii="Times New Roman" w:hAnsi="Times New Roman" w:cs="Times New Roman"/>
                <w:color w:val="000000" w:themeColor="text1"/>
                <w:sz w:val="20"/>
                <w:szCs w:val="20"/>
                <w:vertAlign w:val="subscript"/>
              </w:rPr>
              <w:t>2</w:t>
            </w:r>
            <w:r w:rsidRPr="00DE42B9">
              <w:rPr>
                <w:rFonts w:ascii="Times New Roman" w:hAnsi="Times New Roman" w:cs="Times New Roman"/>
                <w:color w:val="000000" w:themeColor="text1"/>
                <w:sz w:val="20"/>
                <w:szCs w:val="20"/>
              </w:rPr>
              <w:t>)</w:t>
            </w:r>
          </w:p>
        </w:tc>
      </w:tr>
      <w:tr w:rsidR="009169DC" w:rsidRPr="001075EB" w14:paraId="1CF3D1A0" w14:textId="77777777" w:rsidTr="00AC39BB">
        <w:trPr>
          <w:jc w:val="center"/>
        </w:trPr>
        <w:tc>
          <w:tcPr>
            <w:tcW w:w="1296" w:type="dxa"/>
          </w:tcPr>
          <w:p w14:paraId="7C16035A" w14:textId="5D8A2FBD" w:rsidR="00ED7769" w:rsidRPr="00DE42B9" w:rsidRDefault="009169DC" w:rsidP="009169DC">
            <w:pPr>
              <w:rPr>
                <w:rFonts w:ascii="Times New Roman" w:hAnsi="Times New Roman" w:cs="Times New Roman"/>
                <w:color w:val="000000" w:themeColor="text1"/>
                <w:sz w:val="20"/>
                <w:szCs w:val="20"/>
                <w:lang w:val="fr-FR"/>
              </w:rPr>
            </w:pPr>
            <w:r w:rsidRPr="00DE42B9">
              <w:rPr>
                <w:rFonts w:ascii="Times New Roman" w:hAnsi="Times New Roman" w:cs="Times New Roman"/>
                <w:color w:val="000000" w:themeColor="text1"/>
                <w:sz w:val="20"/>
                <w:szCs w:val="20"/>
              </w:rPr>
              <w:fldChar w:fldCharType="begin"/>
            </w:r>
            <w:r w:rsidRPr="00DE42B9">
              <w:rPr>
                <w:rFonts w:ascii="Times New Roman" w:hAnsi="Times New Roman" w:cs="Times New Roman"/>
                <w:color w:val="000000" w:themeColor="text1"/>
                <w:sz w:val="20"/>
                <w:szCs w:val="20"/>
              </w:rPr>
              <w:instrText xml:space="preserve"> ADDIN EN.CITE &lt;EndNote&gt;&lt;Cite AuthorYear="1"&gt;&lt;Author&gt;Remmers&lt;/Author&gt;&lt;Year&gt;2018&lt;/Year&gt;&lt;RecNum&gt;252668&lt;/RecNum&gt;&lt;DisplayText&gt;Remmers&lt;style face="italic"&gt; et al.&lt;/style&gt; (2018)&lt;/DisplayText&gt;&lt;record&gt;&lt;rec-number&gt;252668&lt;/rec-number&gt;&lt;foreign-keys&gt;&lt;key app="EN" db-id="9efww95sirratne9w0tv95fpzxp2w52rz959" timestamp="1534662999"&gt;252668&lt;/key&gt;&lt;/foreign-keys&gt;&lt;ref-type name="Journal Article"&gt;17&lt;/ref-type&gt;&lt;contributors&gt;&lt;authors&gt;&lt;author&gt;Remmers, Ilse M.&lt;/author&gt;&lt;author&gt;D&amp;apos;Adamo, Sarah&lt;/author&gt;&lt;author&gt;Martens, Dirk E.&lt;/author&gt;&lt;author&gt;de Vos, Ric C. H.&lt;/author&gt;&lt;author&gt;Mumm, Roland&lt;/author&gt;&lt;author&gt;America, Antoine H. P.&lt;/author&gt;&lt;author&gt;Cordewener, Jan H. G.&lt;/author&gt;&lt;author&gt;Bakker, Linda V.&lt;/author&gt;&lt;author&gt;Peters, Sander A.&lt;/author&gt;&lt;author&gt;Wijffels, René H.&lt;/author&gt;&lt;author&gt;Lamers, Packo P.&lt;/author&gt;&lt;/authors&gt;&lt;/contributors&gt;&lt;titles&gt;&lt;title&gt;&lt;style face="normal" font="default" size="100%"&gt;Orchestration of transcriptome, proteome and metabolome in the diatom &lt;/style&gt;&lt;style face="italic" font="default" size="100%"&gt;Phaeodactylum tricornutum &lt;/style&gt;&lt;style face="normal" font="default" size="100%"&gt;during nitrogen limitation&lt;/style&gt;&lt;/title&gt;&lt;secondary-title&gt;Algal Research&lt;/secondary-title&gt;&lt;/titles&gt;&lt;periodical&gt;&lt;full-title&gt;Algal Research&lt;/full-title&gt;&lt;/periodical&gt;&lt;pages&gt;33-49&lt;/pages&gt;&lt;volume&gt;35&lt;/volume&gt;&lt;section&gt;33&lt;/section&gt;&lt;keywords&gt;&lt;keyword&gt;Triacylglycerol&lt;/keyword&gt;&lt;keyword&gt;Lipids&lt;/keyword&gt;&lt;keyword&gt;Diurnal metabolism&lt;/keyword&gt;&lt;keyword&gt;Omics&lt;/keyword&gt;&lt;keyword&gt;Diatoms&lt;/keyword&gt;&lt;keyword&gt;Mitochondrion&lt;/keyword&gt;&lt;/keywords&gt;&lt;dates&gt;&lt;year&gt;2018&lt;/year&gt;&lt;pub-dates&gt;&lt;date&gt;2018/11/01/&lt;/date&gt;&lt;/pub-dates&gt;&lt;/dates&gt;&lt;isbn&gt;2211-9264&lt;/isbn&gt;&lt;urls&gt;&lt;related-urls&gt;&lt;url&gt;http://www.sciencedirect.com/science/article/pii/S2211926418301024&lt;/url&gt;&lt;/related-urls&gt;&lt;/urls&gt;&lt;electronic-resource-num&gt;https://doi.org/10.1016/j.algal.2018.08.012&lt;/electronic-resource-num&gt;&lt;/record&gt;&lt;/Cite&gt;&lt;/EndNote&gt;</w:instrText>
            </w:r>
            <w:r w:rsidRPr="00DE42B9">
              <w:rPr>
                <w:rFonts w:ascii="Times New Roman" w:hAnsi="Times New Roman" w:cs="Times New Roman"/>
                <w:color w:val="000000" w:themeColor="text1"/>
                <w:sz w:val="20"/>
                <w:szCs w:val="20"/>
              </w:rPr>
              <w:fldChar w:fldCharType="separate"/>
            </w:r>
            <w:r w:rsidRPr="00DE42B9">
              <w:rPr>
                <w:rFonts w:ascii="Times New Roman" w:hAnsi="Times New Roman" w:cs="Times New Roman"/>
                <w:noProof/>
                <w:color w:val="000000" w:themeColor="text1"/>
                <w:sz w:val="20"/>
                <w:szCs w:val="20"/>
              </w:rPr>
              <w:t>Remmers</w:t>
            </w:r>
            <w:r w:rsidRPr="00DE42B9">
              <w:rPr>
                <w:rFonts w:ascii="Times New Roman" w:hAnsi="Times New Roman" w:cs="Times New Roman"/>
                <w:i/>
                <w:noProof/>
                <w:color w:val="000000" w:themeColor="text1"/>
                <w:sz w:val="20"/>
                <w:szCs w:val="20"/>
              </w:rPr>
              <w:t xml:space="preserve"> et al.</w:t>
            </w:r>
            <w:r w:rsidRPr="00DE42B9">
              <w:rPr>
                <w:rFonts w:ascii="Times New Roman" w:hAnsi="Times New Roman" w:cs="Times New Roman"/>
                <w:noProof/>
                <w:color w:val="000000" w:themeColor="text1"/>
                <w:sz w:val="20"/>
                <w:szCs w:val="20"/>
              </w:rPr>
              <w:t xml:space="preserve"> (2018)</w:t>
            </w:r>
            <w:r w:rsidRPr="00DE42B9">
              <w:rPr>
                <w:rFonts w:ascii="Times New Roman" w:hAnsi="Times New Roman" w:cs="Times New Roman"/>
                <w:color w:val="000000" w:themeColor="text1"/>
                <w:sz w:val="20"/>
                <w:szCs w:val="20"/>
              </w:rPr>
              <w:fldChar w:fldCharType="end"/>
            </w:r>
          </w:p>
        </w:tc>
        <w:tc>
          <w:tcPr>
            <w:tcW w:w="1510" w:type="dxa"/>
          </w:tcPr>
          <w:p w14:paraId="738B8A01"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SAG1090-1b</w:t>
            </w:r>
          </w:p>
          <w:p w14:paraId="4B3A415F"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(Pt3)</w:t>
            </w:r>
          </w:p>
        </w:tc>
        <w:tc>
          <w:tcPr>
            <w:tcW w:w="1588" w:type="dxa"/>
          </w:tcPr>
          <w:p w14:paraId="14EAC0D7"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N+ and N- comparison</w:t>
            </w:r>
          </w:p>
        </w:tc>
        <w:tc>
          <w:tcPr>
            <w:tcW w:w="1939" w:type="dxa"/>
          </w:tcPr>
          <w:p w14:paraId="0CF4BE18" w14:textId="2278D829" w:rsidR="00ED7769" w:rsidRPr="00DE42B9" w:rsidRDefault="00ED7769" w:rsidP="00C7390D">
            <w:pPr>
              <w:rPr>
                <w:rFonts w:ascii="Times New Roman" w:hAnsi="Times New Roman" w:cs="Times New Roman"/>
                <w:color w:val="000000" w:themeColor="text1"/>
                <w:sz w:val="20"/>
                <w:szCs w:val="20"/>
                <w:vertAlign w:val="superscript"/>
              </w:rPr>
            </w:pPr>
            <w:r w:rsidRPr="00DE42B9">
              <w:rPr>
                <w:rFonts w:ascii="Times New Roman" w:hAnsi="Times New Roman" w:cs="Times New Roman"/>
                <w:color w:val="000000" w:themeColor="text1"/>
                <w:sz w:val="20"/>
                <w:szCs w:val="20"/>
              </w:rPr>
              <w:t xml:space="preserve">- 0.11 </w:t>
            </w:r>
            <w:proofErr w:type="spellStart"/>
            <w:r w:rsidRPr="00DE42B9">
              <w:rPr>
                <w:rFonts w:ascii="Times New Roman" w:hAnsi="Times New Roman" w:cs="Times New Roman"/>
                <w:color w:val="000000" w:themeColor="text1"/>
                <w:sz w:val="20"/>
                <w:szCs w:val="20"/>
              </w:rPr>
              <w:t>gN</w:t>
            </w:r>
            <w:proofErr w:type="spellEnd"/>
            <w:r w:rsidRPr="00DE42B9">
              <w:rPr>
                <w:rFonts w:ascii="Times New Roman" w:hAnsi="Times New Roman" w:cs="Times New Roman"/>
                <w:color w:val="000000" w:themeColor="text1"/>
                <w:sz w:val="20"/>
                <w:szCs w:val="20"/>
              </w:rPr>
              <w:t xml:space="preserve"> d</w:t>
            </w:r>
            <w:r w:rsidRPr="00DE42B9">
              <w:rPr>
                <w:rFonts w:ascii="Times New Roman" w:hAnsi="Times New Roman" w:cs="Times New Roman"/>
                <w:color w:val="000000" w:themeColor="text1"/>
                <w:sz w:val="20"/>
                <w:szCs w:val="20"/>
                <w:vertAlign w:val="superscript"/>
              </w:rPr>
              <w:t xml:space="preserve">−1 </w:t>
            </w:r>
            <w:r w:rsidRPr="00DE42B9">
              <w:rPr>
                <w:rFonts w:ascii="Times New Roman" w:hAnsi="Times New Roman" w:cs="Times New Roman"/>
                <w:color w:val="000000" w:themeColor="text1"/>
                <w:sz w:val="20"/>
                <w:szCs w:val="20"/>
              </w:rPr>
              <w:t>(N+)</w:t>
            </w:r>
          </w:p>
          <w:p w14:paraId="242D44DC" w14:textId="2DDE785E"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 xml:space="preserve">- 0.02 </w:t>
            </w:r>
            <w:proofErr w:type="spellStart"/>
            <w:r w:rsidRPr="00DE42B9">
              <w:rPr>
                <w:rFonts w:ascii="Times New Roman" w:hAnsi="Times New Roman" w:cs="Times New Roman"/>
                <w:color w:val="000000" w:themeColor="text1"/>
                <w:sz w:val="20"/>
                <w:szCs w:val="20"/>
              </w:rPr>
              <w:t>gN</w:t>
            </w:r>
            <w:proofErr w:type="spellEnd"/>
            <w:r w:rsidRPr="00DE42B9">
              <w:rPr>
                <w:rFonts w:ascii="Times New Roman" w:hAnsi="Times New Roman" w:cs="Times New Roman"/>
                <w:color w:val="000000" w:themeColor="text1"/>
                <w:sz w:val="20"/>
                <w:szCs w:val="20"/>
              </w:rPr>
              <w:t xml:space="preserve"> d</w:t>
            </w:r>
            <w:r w:rsidRPr="00DE42B9">
              <w:rPr>
                <w:rFonts w:ascii="Times New Roman" w:hAnsi="Times New Roman" w:cs="Times New Roman"/>
                <w:color w:val="000000" w:themeColor="text1"/>
                <w:sz w:val="20"/>
                <w:szCs w:val="20"/>
                <w:vertAlign w:val="superscript"/>
              </w:rPr>
              <w:t>−1</w:t>
            </w:r>
            <w:r w:rsidRPr="00DE42B9">
              <w:rPr>
                <w:rFonts w:ascii="Times New Roman" w:hAnsi="Times New Roman" w:cs="Times New Roman"/>
                <w:color w:val="000000" w:themeColor="text1"/>
                <w:sz w:val="20"/>
                <w:szCs w:val="20"/>
              </w:rPr>
              <w:t>(N-)</w:t>
            </w:r>
          </w:p>
        </w:tc>
        <w:tc>
          <w:tcPr>
            <w:tcW w:w="1596" w:type="dxa"/>
          </w:tcPr>
          <w:p w14:paraId="77B770DA"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Continuous turbidostat</w:t>
            </w:r>
          </w:p>
          <w:p w14:paraId="53715F98"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(Flat panel PBR)</w:t>
            </w:r>
          </w:p>
        </w:tc>
        <w:tc>
          <w:tcPr>
            <w:tcW w:w="1198" w:type="dxa"/>
          </w:tcPr>
          <w:p w14:paraId="3F6D228F"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Custom</w:t>
            </w:r>
          </w:p>
        </w:tc>
        <w:tc>
          <w:tcPr>
            <w:tcW w:w="1399" w:type="dxa"/>
          </w:tcPr>
          <w:p w14:paraId="58D3A7B5"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16:8</w:t>
            </w:r>
          </w:p>
          <w:p w14:paraId="4AD5A9D6"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(180)</w:t>
            </w:r>
          </w:p>
        </w:tc>
        <w:tc>
          <w:tcPr>
            <w:tcW w:w="1442" w:type="dxa"/>
          </w:tcPr>
          <w:p w14:paraId="01E163D8"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20°C</w:t>
            </w:r>
          </w:p>
        </w:tc>
        <w:tc>
          <w:tcPr>
            <w:tcW w:w="1352" w:type="dxa"/>
          </w:tcPr>
          <w:p w14:paraId="3EBFF490"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1.7 L min</w:t>
            </w:r>
            <w:r w:rsidRPr="00DE42B9">
              <w:rPr>
                <w:rFonts w:ascii="Times New Roman" w:hAnsi="Times New Roman" w:cs="Times New Roman"/>
                <w:color w:val="000000" w:themeColor="text1"/>
                <w:sz w:val="20"/>
                <w:szCs w:val="20"/>
                <w:vertAlign w:val="superscript"/>
              </w:rPr>
              <w:t>-1</w:t>
            </w:r>
            <w:r w:rsidRPr="00DE42B9">
              <w:rPr>
                <w:rFonts w:ascii="Times New Roman" w:hAnsi="Times New Roman" w:cs="Times New Roman"/>
                <w:color w:val="000000" w:themeColor="text1"/>
                <w:sz w:val="20"/>
                <w:szCs w:val="20"/>
              </w:rPr>
              <w:t xml:space="preserve"> Air bubbling</w:t>
            </w:r>
          </w:p>
          <w:p w14:paraId="651620C3"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(1% CO</w:t>
            </w:r>
            <w:r w:rsidRPr="00DE42B9">
              <w:rPr>
                <w:rFonts w:ascii="Times New Roman" w:hAnsi="Times New Roman" w:cs="Times New Roman"/>
                <w:color w:val="000000" w:themeColor="text1"/>
                <w:sz w:val="20"/>
                <w:szCs w:val="20"/>
                <w:vertAlign w:val="subscript"/>
              </w:rPr>
              <w:t>2</w:t>
            </w:r>
            <w:r w:rsidRPr="00DE42B9">
              <w:rPr>
                <w:rFonts w:ascii="Times New Roman" w:hAnsi="Times New Roman" w:cs="Times New Roman"/>
                <w:color w:val="000000" w:themeColor="text1"/>
                <w:sz w:val="20"/>
                <w:szCs w:val="20"/>
              </w:rPr>
              <w:t>)</w:t>
            </w:r>
          </w:p>
        </w:tc>
      </w:tr>
      <w:tr w:rsidR="009169DC" w:rsidRPr="001075EB" w14:paraId="30966387" w14:textId="77777777" w:rsidTr="00AC39BB">
        <w:trPr>
          <w:jc w:val="center"/>
        </w:trPr>
        <w:tc>
          <w:tcPr>
            <w:tcW w:w="1296" w:type="dxa"/>
          </w:tcPr>
          <w:p w14:paraId="50BDB978" w14:textId="1E11EAB5" w:rsidR="00ED7769" w:rsidRPr="00DE42B9" w:rsidRDefault="009169DC" w:rsidP="009169DC">
            <w:pPr>
              <w:rPr>
                <w:rFonts w:ascii="Times New Roman" w:hAnsi="Times New Roman" w:cs="Times New Roman"/>
                <w:color w:val="000000" w:themeColor="text1"/>
                <w:sz w:val="20"/>
                <w:szCs w:val="20"/>
                <w:lang w:val="fr-FR"/>
              </w:rPr>
            </w:pPr>
            <w:r w:rsidRPr="00DE42B9">
              <w:rPr>
                <w:rFonts w:ascii="Times New Roman" w:hAnsi="Times New Roman" w:cs="Times New Roman"/>
                <w:color w:val="000000" w:themeColor="text1"/>
                <w:sz w:val="20"/>
                <w:szCs w:val="20"/>
              </w:rPr>
              <w:fldChar w:fldCharType="begin"/>
            </w:r>
            <w:r w:rsidRPr="00DE42B9">
              <w:rPr>
                <w:rFonts w:ascii="Times New Roman" w:hAnsi="Times New Roman" w:cs="Times New Roman"/>
                <w:color w:val="000000" w:themeColor="text1"/>
                <w:sz w:val="20"/>
                <w:szCs w:val="20"/>
              </w:rPr>
              <w:instrText xml:space="preserve"> ADDIN EN.CITE &lt;EndNote&gt;&lt;Cite AuthorYear="1"&gt;&lt;Author&gt;Huang&lt;/Author&gt;&lt;Year&gt;2019&lt;/Year&gt;&lt;RecNum&gt;260711&lt;/RecNum&gt;&lt;DisplayText&gt;Huang&lt;style face="italic"&gt; et al.&lt;/style&gt; (2019)&lt;/DisplayText&gt;&lt;record&gt;&lt;rec-number&gt;260711&lt;/rec-number&gt;&lt;foreign-keys&gt;&lt;key app="EN" db-id="9efww95sirratne9w0tv95fpzxp2w52rz959" timestamp="1557816506"&gt;260711&lt;/key&gt;&lt;/foreign-keys&gt;&lt;ref-type name="Journal Article"&gt;17&lt;/ref-type&gt;&lt;contributors&gt;&lt;authors&gt;&lt;author&gt;Huang, Bing&lt;/author&gt;&lt;author&gt;Marchand, Justine&lt;/author&gt;&lt;author&gt;Blanckaert, Vincent&lt;/author&gt;&lt;author&gt;Lukomska, Ewa&lt;/author&gt;&lt;author&gt;Ulmann, Lionel&lt;/author&gt;&lt;author&gt;Wielgosz-Collin, Gaëtane&lt;/author&gt;&lt;author&gt;Rabesaotra, Vony&lt;/author&gt;&lt;author&gt;Moreau, Brigitte&lt;/author&gt;&lt;author&gt;Bougaran, Gaël&lt;/author&gt;&lt;author&gt;Mimouni, Virginie&lt;/author&gt;&lt;author&gt;Morant-Manceau, Annick&lt;/author&gt;&lt;/authors&gt;&lt;/contributors&gt;&lt;titles&gt;&lt;title&gt;&lt;style face="normal" font="default" size="100%"&gt;Nitrogen and phosphorus limitations induce carbon partitioning and membrane lipid remodelling in the marine diatom &lt;/style&gt;&lt;style face="italic" font="default" size="100%"&gt;Phaeodactylum tricornutum&lt;/style&gt;&lt;/title&gt;&lt;secondary-title&gt;European Journal of Phycology&lt;/secondary-title&gt;&lt;/titles&gt;&lt;periodical&gt;&lt;full-title&gt;European Journal of Phycology&lt;/full-title&gt;&lt;/periodical&gt;&lt;pages&gt;1-17&lt;/pages&gt;&lt;dates&gt;&lt;year&gt;2019&lt;/year&gt;&lt;/dates&gt;&lt;publisher&gt;Taylor &amp;amp; Francis&lt;/publisher&gt;&lt;isbn&gt;0967-0262&lt;/isbn&gt;&lt;urls&gt;&lt;related-urls&gt;&lt;url&gt;https://doi.org/10.1080/09670262.2019.1567823&lt;/url&gt;&lt;/related-urls&gt;&lt;/urls&gt;&lt;electronic-resource-num&gt;10.1080/09670262.2019.1567823&lt;/electronic-resource-num&gt;&lt;/record&gt;&lt;/Cite&gt;&lt;/EndNote&gt;</w:instrText>
            </w:r>
            <w:r w:rsidRPr="00DE42B9">
              <w:rPr>
                <w:rFonts w:ascii="Times New Roman" w:hAnsi="Times New Roman" w:cs="Times New Roman"/>
                <w:color w:val="000000" w:themeColor="text1"/>
                <w:sz w:val="20"/>
                <w:szCs w:val="20"/>
              </w:rPr>
              <w:fldChar w:fldCharType="separate"/>
            </w:r>
            <w:r w:rsidRPr="00DE42B9">
              <w:rPr>
                <w:rFonts w:ascii="Times New Roman" w:hAnsi="Times New Roman" w:cs="Times New Roman"/>
                <w:noProof/>
                <w:color w:val="000000" w:themeColor="text1"/>
                <w:sz w:val="20"/>
                <w:szCs w:val="20"/>
              </w:rPr>
              <w:t>Huang</w:t>
            </w:r>
            <w:r w:rsidRPr="00DE42B9">
              <w:rPr>
                <w:rFonts w:ascii="Times New Roman" w:hAnsi="Times New Roman" w:cs="Times New Roman"/>
                <w:i/>
                <w:noProof/>
                <w:color w:val="000000" w:themeColor="text1"/>
                <w:sz w:val="20"/>
                <w:szCs w:val="20"/>
              </w:rPr>
              <w:t xml:space="preserve"> et al.</w:t>
            </w:r>
            <w:r w:rsidRPr="00DE42B9">
              <w:rPr>
                <w:rFonts w:ascii="Times New Roman" w:hAnsi="Times New Roman" w:cs="Times New Roman"/>
                <w:noProof/>
                <w:color w:val="000000" w:themeColor="text1"/>
                <w:sz w:val="20"/>
                <w:szCs w:val="20"/>
              </w:rPr>
              <w:t xml:space="preserve"> (2019)</w:t>
            </w:r>
            <w:r w:rsidRPr="00DE42B9">
              <w:rPr>
                <w:rFonts w:ascii="Times New Roman" w:hAnsi="Times New Roman" w:cs="Times New Roman"/>
                <w:color w:val="000000" w:themeColor="text1"/>
                <w:sz w:val="20"/>
                <w:szCs w:val="20"/>
              </w:rPr>
              <w:fldChar w:fldCharType="end"/>
            </w:r>
          </w:p>
        </w:tc>
        <w:tc>
          <w:tcPr>
            <w:tcW w:w="1510" w:type="dxa"/>
          </w:tcPr>
          <w:p w14:paraId="19812256"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UTEX 646 (Pt4)</w:t>
            </w:r>
          </w:p>
        </w:tc>
        <w:tc>
          <w:tcPr>
            <w:tcW w:w="1588" w:type="dxa"/>
          </w:tcPr>
          <w:p w14:paraId="0A0F0CBF"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N+ and N- comparison</w:t>
            </w:r>
          </w:p>
        </w:tc>
        <w:tc>
          <w:tcPr>
            <w:tcW w:w="1939" w:type="dxa"/>
          </w:tcPr>
          <w:p w14:paraId="7E68A425"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- 1.176 mM (N+)</w:t>
            </w:r>
          </w:p>
          <w:p w14:paraId="0F6E1874"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- 0.125 mM (N-)</w:t>
            </w:r>
          </w:p>
        </w:tc>
        <w:tc>
          <w:tcPr>
            <w:tcW w:w="1596" w:type="dxa"/>
          </w:tcPr>
          <w:p w14:paraId="0DACDB1B"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Batch</w:t>
            </w:r>
          </w:p>
          <w:p w14:paraId="3B5E60CB"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(Flask)</w:t>
            </w:r>
          </w:p>
        </w:tc>
        <w:tc>
          <w:tcPr>
            <w:tcW w:w="1198" w:type="dxa"/>
          </w:tcPr>
          <w:p w14:paraId="2EB41840"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 xml:space="preserve">Seawater + </w:t>
            </w:r>
            <w:proofErr w:type="spellStart"/>
            <w:r w:rsidRPr="00DE42B9">
              <w:rPr>
                <w:rFonts w:ascii="Times New Roman" w:hAnsi="Times New Roman" w:cs="Times New Roman"/>
                <w:color w:val="000000" w:themeColor="text1"/>
                <w:sz w:val="20"/>
                <w:szCs w:val="20"/>
              </w:rPr>
              <w:t>Walne</w:t>
            </w:r>
            <w:proofErr w:type="spellEnd"/>
            <w:r w:rsidRPr="00DE42B9">
              <w:rPr>
                <w:rFonts w:ascii="Times New Roman" w:hAnsi="Times New Roman" w:cs="Times New Roman"/>
                <w:color w:val="000000" w:themeColor="text1"/>
                <w:sz w:val="20"/>
                <w:szCs w:val="20"/>
              </w:rPr>
              <w:t xml:space="preserve"> solution</w:t>
            </w:r>
          </w:p>
        </w:tc>
        <w:tc>
          <w:tcPr>
            <w:tcW w:w="1399" w:type="dxa"/>
          </w:tcPr>
          <w:p w14:paraId="4E13142F"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Continuous</w:t>
            </w:r>
          </w:p>
          <w:p w14:paraId="4CFA2D1C"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(300)</w:t>
            </w:r>
          </w:p>
        </w:tc>
        <w:tc>
          <w:tcPr>
            <w:tcW w:w="1442" w:type="dxa"/>
          </w:tcPr>
          <w:p w14:paraId="34A16370"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22°C</w:t>
            </w:r>
          </w:p>
        </w:tc>
        <w:tc>
          <w:tcPr>
            <w:tcW w:w="1352" w:type="dxa"/>
          </w:tcPr>
          <w:p w14:paraId="2E70987B"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Air bubbling</w:t>
            </w:r>
          </w:p>
        </w:tc>
      </w:tr>
      <w:tr w:rsidR="009169DC" w:rsidRPr="001075EB" w14:paraId="11DE10A3" w14:textId="77777777" w:rsidTr="00AC39BB">
        <w:trPr>
          <w:jc w:val="center"/>
        </w:trPr>
        <w:tc>
          <w:tcPr>
            <w:tcW w:w="1296" w:type="dxa"/>
          </w:tcPr>
          <w:p w14:paraId="1474F867" w14:textId="17F877A7" w:rsidR="00ED7769" w:rsidRPr="00DE42B9" w:rsidRDefault="009169DC" w:rsidP="009169DC">
            <w:pPr>
              <w:rPr>
                <w:rFonts w:ascii="Times New Roman" w:hAnsi="Times New Roman" w:cs="Times New Roman"/>
                <w:color w:val="000000" w:themeColor="text1"/>
                <w:sz w:val="20"/>
                <w:szCs w:val="20"/>
                <w:lang w:val="fr-FR"/>
              </w:rPr>
            </w:pPr>
            <w:r w:rsidRPr="00DE42B9">
              <w:rPr>
                <w:rFonts w:ascii="Times New Roman" w:hAnsi="Times New Roman" w:cs="Times New Roman"/>
                <w:color w:val="000000" w:themeColor="text1"/>
                <w:sz w:val="20"/>
                <w:szCs w:val="20"/>
              </w:rPr>
              <w:lastRenderedPageBreak/>
              <w:fldChar w:fldCharType="begin"/>
            </w:r>
            <w:r w:rsidRPr="00DE42B9">
              <w:rPr>
                <w:rFonts w:ascii="Times New Roman" w:hAnsi="Times New Roman" w:cs="Times New Roman"/>
                <w:color w:val="000000" w:themeColor="text1"/>
                <w:sz w:val="20"/>
                <w:szCs w:val="20"/>
              </w:rPr>
              <w:instrText xml:space="preserve"> ADDIN EN.CITE &lt;EndNote&gt;&lt;Cite AuthorYear="1"&gt;&lt;Author&gt;Wang&lt;/Author&gt;&lt;Year&gt;2019&lt;/Year&gt;&lt;RecNum&gt;284724&lt;/RecNum&gt;&lt;DisplayText&gt;Wang&lt;style face="italic"&gt; et al.&lt;/style&gt; (2019)&lt;/DisplayText&gt;&lt;record&gt;&lt;rec-number&gt;284724&lt;/rec-number&gt;&lt;foreign-keys&gt;&lt;key app="EN" db-id="9efww95sirratne9w0tv95fpzxp2w52rz959" timestamp="1625647441"&gt;284724&lt;/key&gt;&lt;/foreign-keys&gt;&lt;ref-type name="Journal Article"&gt;17&lt;/ref-type&gt;&lt;contributors&gt;&lt;authors&gt;&lt;author&gt;Wang,Xinxin&lt;/author&gt;&lt;author&gt;Fosse,Hilde Karoline&lt;/author&gt;&lt;author&gt;Li,Keshuai&lt;/author&gt;&lt;author&gt;Chauton,Matilde Skogen&lt;/author&gt;&lt;author&gt;Vadstein,Olav&lt;/author&gt;&lt;author&gt;Reitan,Kjell Inge&lt;/author&gt;&lt;/authors&gt;&lt;/contributors&gt;&lt;titles&gt;&lt;title&gt;Influence of nitrogen limitation on lipid accumulation and EPA and DHA content in four marine microalgae for possible use in aquafeed&lt;/title&gt;&lt;secondary-title&gt;Frontiers in Marine Science&lt;/secondary-title&gt;&lt;short-title&gt;Microalgae for aquafeed&lt;/short-title&gt;&lt;/titles&gt;&lt;periodical&gt;&lt;full-title&gt;Frontiers in Marine Science&lt;/full-title&gt;&lt;/periodical&gt;&lt;pages&gt;article #95&lt;/pages&gt;&lt;volume&gt;6&lt;/volume&gt;&lt;section&gt;article #95&lt;/section&gt;&lt;keywords&gt;&lt;keyword&gt;nitrogen limitation,Batch culture,Semi-continuous culture,phaeodactylum tricornutum,Isochrysis aff. galbana clone T-Iso,Rhodomonas baltica,Nannochloropsis oceanica,Total lipids,n-3 LC PUFA&lt;/keyword&gt;&lt;/keywords&gt;&lt;dates&gt;&lt;year&gt;2019&lt;/year&gt;&lt;pub-dates&gt;&lt;date&gt;2019-March-12&lt;/date&gt;&lt;/pub-dates&gt;&lt;/dates&gt;&lt;isbn&gt;2296-7745&lt;/isbn&gt;&lt;work-type&gt;Original Research&lt;/work-type&gt;&lt;urls&gt;&lt;related-urls&gt;&lt;url&gt;https://www.frontiersin.org/article/10.3389/fmars.2019.00095&lt;/url&gt;&lt;/related-urls&gt;&lt;/urls&gt;&lt;electronic-resource-num&gt;10.3389/fmars.2019.00095&lt;/electronic-resource-num&gt;&lt;language&gt;English&lt;/language&gt;&lt;/record&gt;&lt;/Cite&gt;&lt;/EndNote&gt;</w:instrText>
            </w:r>
            <w:r w:rsidRPr="00DE42B9">
              <w:rPr>
                <w:rFonts w:ascii="Times New Roman" w:hAnsi="Times New Roman" w:cs="Times New Roman"/>
                <w:color w:val="000000" w:themeColor="text1"/>
                <w:sz w:val="20"/>
                <w:szCs w:val="20"/>
              </w:rPr>
              <w:fldChar w:fldCharType="separate"/>
            </w:r>
            <w:r w:rsidRPr="00DE42B9">
              <w:rPr>
                <w:rFonts w:ascii="Times New Roman" w:hAnsi="Times New Roman" w:cs="Times New Roman"/>
                <w:noProof/>
                <w:color w:val="000000" w:themeColor="text1"/>
                <w:sz w:val="20"/>
                <w:szCs w:val="20"/>
              </w:rPr>
              <w:t>Wang</w:t>
            </w:r>
            <w:r w:rsidRPr="00DE42B9">
              <w:rPr>
                <w:rFonts w:ascii="Times New Roman" w:hAnsi="Times New Roman" w:cs="Times New Roman"/>
                <w:i/>
                <w:noProof/>
                <w:color w:val="000000" w:themeColor="text1"/>
                <w:sz w:val="20"/>
                <w:szCs w:val="20"/>
              </w:rPr>
              <w:t xml:space="preserve"> et al.</w:t>
            </w:r>
            <w:r w:rsidRPr="00DE42B9">
              <w:rPr>
                <w:rFonts w:ascii="Times New Roman" w:hAnsi="Times New Roman" w:cs="Times New Roman"/>
                <w:noProof/>
                <w:color w:val="000000" w:themeColor="text1"/>
                <w:sz w:val="20"/>
                <w:szCs w:val="20"/>
              </w:rPr>
              <w:t xml:space="preserve"> (2019)</w:t>
            </w:r>
            <w:r w:rsidRPr="00DE42B9">
              <w:rPr>
                <w:rFonts w:ascii="Times New Roman" w:hAnsi="Times New Roman" w:cs="Times New Roman"/>
                <w:color w:val="000000" w:themeColor="text1"/>
                <w:sz w:val="20"/>
                <w:szCs w:val="20"/>
              </w:rPr>
              <w:fldChar w:fldCharType="end"/>
            </w:r>
          </w:p>
        </w:tc>
        <w:tc>
          <w:tcPr>
            <w:tcW w:w="1510" w:type="dxa"/>
          </w:tcPr>
          <w:p w14:paraId="666A5065"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CCMP 2561</w:t>
            </w:r>
          </w:p>
          <w:p w14:paraId="179B2FC0"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(Pt1)</w:t>
            </w:r>
          </w:p>
        </w:tc>
        <w:tc>
          <w:tcPr>
            <w:tcW w:w="1588" w:type="dxa"/>
          </w:tcPr>
          <w:p w14:paraId="3783924C"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N+ and N- comparison</w:t>
            </w:r>
          </w:p>
        </w:tc>
        <w:tc>
          <w:tcPr>
            <w:tcW w:w="1939" w:type="dxa"/>
          </w:tcPr>
          <w:p w14:paraId="4D903444"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- 0.882 mM (N+)</w:t>
            </w:r>
          </w:p>
          <w:p w14:paraId="3031F98F"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- 0.0882 mM (N+)</w:t>
            </w:r>
          </w:p>
        </w:tc>
        <w:tc>
          <w:tcPr>
            <w:tcW w:w="1596" w:type="dxa"/>
          </w:tcPr>
          <w:p w14:paraId="083FA929"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Batch and semi continuous</w:t>
            </w:r>
          </w:p>
          <w:p w14:paraId="0D4944F1"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(Flask)</w:t>
            </w:r>
          </w:p>
        </w:tc>
        <w:tc>
          <w:tcPr>
            <w:tcW w:w="1198" w:type="dxa"/>
          </w:tcPr>
          <w:p w14:paraId="4EE68A1F"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f/2</w:t>
            </w:r>
          </w:p>
        </w:tc>
        <w:tc>
          <w:tcPr>
            <w:tcW w:w="1399" w:type="dxa"/>
          </w:tcPr>
          <w:p w14:paraId="7D4DA66B"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Continuous</w:t>
            </w:r>
          </w:p>
          <w:p w14:paraId="26F64AF0"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(150)</w:t>
            </w:r>
          </w:p>
        </w:tc>
        <w:tc>
          <w:tcPr>
            <w:tcW w:w="1442" w:type="dxa"/>
          </w:tcPr>
          <w:p w14:paraId="51A59A99"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20°C</w:t>
            </w:r>
          </w:p>
        </w:tc>
        <w:tc>
          <w:tcPr>
            <w:tcW w:w="1352" w:type="dxa"/>
          </w:tcPr>
          <w:p w14:paraId="5928CF60"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Air bubbling</w:t>
            </w:r>
          </w:p>
          <w:p w14:paraId="0DA87004"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(650 ppm CO</w:t>
            </w:r>
            <w:r w:rsidRPr="00DE42B9">
              <w:rPr>
                <w:rFonts w:ascii="Times New Roman" w:hAnsi="Times New Roman" w:cs="Times New Roman"/>
                <w:color w:val="000000" w:themeColor="text1"/>
                <w:sz w:val="20"/>
                <w:szCs w:val="20"/>
                <w:vertAlign w:val="subscript"/>
              </w:rPr>
              <w:t>2</w:t>
            </w:r>
            <w:r w:rsidRPr="00DE42B9">
              <w:rPr>
                <w:rFonts w:ascii="Times New Roman" w:hAnsi="Times New Roman" w:cs="Times New Roman"/>
                <w:color w:val="000000" w:themeColor="text1"/>
                <w:sz w:val="20"/>
                <w:szCs w:val="20"/>
              </w:rPr>
              <w:t>)</w:t>
            </w:r>
          </w:p>
        </w:tc>
      </w:tr>
      <w:tr w:rsidR="009169DC" w:rsidRPr="001075EB" w14:paraId="79C4DAB2" w14:textId="77777777" w:rsidTr="00AC39BB">
        <w:trPr>
          <w:jc w:val="center"/>
        </w:trPr>
        <w:tc>
          <w:tcPr>
            <w:tcW w:w="1296" w:type="dxa"/>
          </w:tcPr>
          <w:p w14:paraId="0F310620" w14:textId="28BA0015" w:rsidR="00ED7769" w:rsidRPr="00DE42B9" w:rsidRDefault="009169DC" w:rsidP="009169DC">
            <w:pPr>
              <w:rPr>
                <w:rFonts w:ascii="Times New Roman" w:hAnsi="Times New Roman" w:cs="Times New Roman"/>
                <w:color w:val="000000" w:themeColor="text1"/>
                <w:sz w:val="20"/>
                <w:szCs w:val="20"/>
                <w:lang w:val="fr-FR"/>
              </w:rPr>
            </w:pPr>
            <w:r w:rsidRPr="00DE42B9">
              <w:rPr>
                <w:rFonts w:ascii="Times New Roman" w:hAnsi="Times New Roman" w:cs="Times New Roman"/>
                <w:color w:val="000000" w:themeColor="text1"/>
                <w:sz w:val="20"/>
                <w:szCs w:val="20"/>
              </w:rPr>
              <w:fldChar w:fldCharType="begin"/>
            </w:r>
            <w:r w:rsidRPr="00DE42B9">
              <w:rPr>
                <w:rFonts w:ascii="Times New Roman" w:hAnsi="Times New Roman" w:cs="Times New Roman"/>
                <w:color w:val="000000" w:themeColor="text1"/>
                <w:sz w:val="20"/>
                <w:szCs w:val="20"/>
              </w:rPr>
              <w:instrText xml:space="preserve"> ADDIN EN.CITE &lt;EndNote&gt;&lt;Cite AuthorYear="1"&gt;&lt;Author&gt;Smith&lt;/Author&gt;&lt;Year&gt;2019&lt;/Year&gt;&lt;RecNum&gt;266396&lt;/RecNum&gt;&lt;DisplayText&gt;Smith&lt;style face="italic"&gt; et al.&lt;/style&gt; (2019)&lt;/DisplayText&gt;&lt;record&gt;&lt;rec-number&gt;266396&lt;/rec-number&gt;&lt;foreign-keys&gt;&lt;key app="EN" db-id="9efww95sirratne9w0tv95fpzxp2w52rz959" timestamp="1570785573"&gt;266396&lt;/key&gt;&lt;/foreign-keys&gt;&lt;ref-type name="Journal Article"&gt;17&lt;/ref-type&gt;&lt;contributors&gt;&lt;authors&gt;&lt;author&gt;Smith, Sarah R.&lt;/author&gt;&lt;author&gt;Dupont, Chris L.&lt;/author&gt;&lt;author&gt;McCarthy, James K.&lt;/author&gt;&lt;author&gt;Broddrick, Jared T.&lt;/author&gt;&lt;author&gt;Oborník, Miroslav&lt;/author&gt;&lt;author&gt;Horák, Aleš&lt;/author&gt;&lt;author&gt;Füssy, Zoltán&lt;/author&gt;&lt;author&gt;Cihlář, Jaromír&lt;/author&gt;&lt;author&gt;Kleessen, Sabrina&lt;/author&gt;&lt;author&gt;Zheng, Hong&lt;/author&gt;&lt;author&gt;McCrow, John P.&lt;/author&gt;&lt;author&gt;Hixson, Kim K.&lt;/author&gt;&lt;author&gt;Araújo, Wagner L.&lt;/author&gt;&lt;author&gt;Nunes-Nesi, Adriano&lt;/author&gt;&lt;author&gt;Fernie, Alisdair&lt;/author&gt;&lt;author&gt;Nikoloski, Zoran&lt;/author&gt;&lt;author&gt;Palsson, Bernhard O.&lt;/author&gt;&lt;author&gt;Allen, Andrew E.&lt;/author&gt;&lt;/authors&gt;&lt;/contributors&gt;&lt;titles&gt;&lt;title&gt;Evolution and regulation of nitrogen flux through compartmentalized metabolic networks in a marine diatom&lt;/title&gt;&lt;secondary-title&gt;Nature Communications&lt;/secondary-title&gt;&lt;/titles&gt;&lt;periodical&gt;&lt;full-title&gt;Nature Communications&lt;/full-title&gt;&lt;/periodical&gt;&lt;pages&gt;article #4552&lt;/pages&gt;&lt;volume&gt;10&lt;/volume&gt;&lt;number&gt;1&lt;/number&gt;&lt;section&gt;article #4552&lt;/section&gt;&lt;dates&gt;&lt;year&gt;2019&lt;/year&gt;&lt;pub-dates&gt;&lt;date&gt;2019/10/07&lt;/date&gt;&lt;/pub-dates&gt;&lt;/dates&gt;&lt;isbn&gt;2041-1723&lt;/isbn&gt;&lt;urls&gt;&lt;related-urls&gt;&lt;url&gt;https://doi.org/10.1038/s41467-019-12407-y&lt;/url&gt;&lt;/related-urls&gt;&lt;/urls&gt;&lt;electronic-resource-num&gt;10.1038/s41467-019-12407-y&lt;/electronic-resource-num&gt;&lt;/record&gt;&lt;/Cite&gt;&lt;/EndNote&gt;</w:instrText>
            </w:r>
            <w:r w:rsidRPr="00DE42B9">
              <w:rPr>
                <w:rFonts w:ascii="Times New Roman" w:hAnsi="Times New Roman" w:cs="Times New Roman"/>
                <w:color w:val="000000" w:themeColor="text1"/>
                <w:sz w:val="20"/>
                <w:szCs w:val="20"/>
              </w:rPr>
              <w:fldChar w:fldCharType="separate"/>
            </w:r>
            <w:r w:rsidRPr="00DE42B9">
              <w:rPr>
                <w:rFonts w:ascii="Times New Roman" w:hAnsi="Times New Roman" w:cs="Times New Roman"/>
                <w:noProof/>
                <w:color w:val="000000" w:themeColor="text1"/>
                <w:sz w:val="20"/>
                <w:szCs w:val="20"/>
              </w:rPr>
              <w:t>Smith</w:t>
            </w:r>
            <w:r w:rsidRPr="00DE42B9">
              <w:rPr>
                <w:rFonts w:ascii="Times New Roman" w:hAnsi="Times New Roman" w:cs="Times New Roman"/>
                <w:i/>
                <w:noProof/>
                <w:color w:val="000000" w:themeColor="text1"/>
                <w:sz w:val="20"/>
                <w:szCs w:val="20"/>
              </w:rPr>
              <w:t xml:space="preserve"> et al.</w:t>
            </w:r>
            <w:r w:rsidRPr="00DE42B9">
              <w:rPr>
                <w:rFonts w:ascii="Times New Roman" w:hAnsi="Times New Roman" w:cs="Times New Roman"/>
                <w:noProof/>
                <w:color w:val="000000" w:themeColor="text1"/>
                <w:sz w:val="20"/>
                <w:szCs w:val="20"/>
              </w:rPr>
              <w:t xml:space="preserve"> (2019)</w:t>
            </w:r>
            <w:r w:rsidRPr="00DE42B9">
              <w:rPr>
                <w:rFonts w:ascii="Times New Roman" w:hAnsi="Times New Roman" w:cs="Times New Roman"/>
                <w:color w:val="000000" w:themeColor="text1"/>
                <w:sz w:val="20"/>
                <w:szCs w:val="20"/>
              </w:rPr>
              <w:fldChar w:fldCharType="end"/>
            </w:r>
          </w:p>
        </w:tc>
        <w:tc>
          <w:tcPr>
            <w:tcW w:w="1510" w:type="dxa"/>
          </w:tcPr>
          <w:p w14:paraId="66C4A2FC"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CCAP 1055</w:t>
            </w:r>
          </w:p>
          <w:p w14:paraId="20AD8194"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w:t>
            </w:r>
          </w:p>
        </w:tc>
        <w:tc>
          <w:tcPr>
            <w:tcW w:w="1588" w:type="dxa"/>
          </w:tcPr>
          <w:p w14:paraId="3B50D10D"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NO</w:t>
            </w:r>
            <w:r w:rsidRPr="00DE42B9">
              <w:rPr>
                <w:rFonts w:ascii="Times New Roman" w:hAnsi="Times New Roman" w:cs="Times New Roman"/>
                <w:color w:val="000000" w:themeColor="text1"/>
                <w:sz w:val="20"/>
                <w:szCs w:val="20"/>
                <w:vertAlign w:val="subscript"/>
              </w:rPr>
              <w:t>3</w:t>
            </w:r>
            <w:r w:rsidRPr="00DE42B9">
              <w:rPr>
                <w:rFonts w:ascii="Times New Roman" w:hAnsi="Times New Roman" w:cs="Times New Roman"/>
                <w:color w:val="000000" w:themeColor="text1"/>
                <w:sz w:val="20"/>
                <w:szCs w:val="20"/>
                <w:vertAlign w:val="superscript"/>
              </w:rPr>
              <w:t>-</w:t>
            </w:r>
            <w:r w:rsidRPr="00DE42B9">
              <w:rPr>
                <w:rFonts w:ascii="Times New Roman" w:hAnsi="Times New Roman" w:cs="Times New Roman"/>
                <w:color w:val="000000" w:themeColor="text1"/>
                <w:sz w:val="20"/>
                <w:szCs w:val="20"/>
              </w:rPr>
              <w:t>, NO</w:t>
            </w:r>
            <w:r w:rsidRPr="00DE42B9">
              <w:rPr>
                <w:rFonts w:ascii="Times New Roman" w:hAnsi="Times New Roman" w:cs="Times New Roman"/>
                <w:color w:val="000000" w:themeColor="text1"/>
                <w:sz w:val="20"/>
                <w:szCs w:val="20"/>
                <w:vertAlign w:val="subscript"/>
              </w:rPr>
              <w:t>2</w:t>
            </w:r>
            <w:r w:rsidRPr="00DE42B9">
              <w:rPr>
                <w:rFonts w:ascii="Times New Roman" w:hAnsi="Times New Roman" w:cs="Times New Roman"/>
                <w:color w:val="000000" w:themeColor="text1"/>
                <w:sz w:val="20"/>
                <w:szCs w:val="20"/>
                <w:vertAlign w:val="superscript"/>
              </w:rPr>
              <w:t>-</w:t>
            </w:r>
            <w:r w:rsidRPr="00DE42B9">
              <w:rPr>
                <w:rFonts w:ascii="Times New Roman" w:hAnsi="Times New Roman" w:cs="Times New Roman"/>
                <w:color w:val="000000" w:themeColor="text1"/>
                <w:sz w:val="20"/>
                <w:szCs w:val="20"/>
              </w:rPr>
              <w:t>, NH</w:t>
            </w:r>
            <w:r w:rsidRPr="00DE42B9">
              <w:rPr>
                <w:rFonts w:ascii="Times New Roman" w:hAnsi="Times New Roman" w:cs="Times New Roman"/>
                <w:color w:val="000000" w:themeColor="text1"/>
                <w:sz w:val="20"/>
                <w:szCs w:val="20"/>
                <w:vertAlign w:val="subscript"/>
              </w:rPr>
              <w:t>4</w:t>
            </w:r>
            <w:r w:rsidRPr="00DE42B9">
              <w:rPr>
                <w:rFonts w:ascii="Times New Roman" w:hAnsi="Times New Roman" w:cs="Times New Roman"/>
                <w:color w:val="000000" w:themeColor="text1"/>
                <w:sz w:val="20"/>
                <w:szCs w:val="20"/>
                <w:vertAlign w:val="superscript"/>
              </w:rPr>
              <w:t xml:space="preserve">+ </w:t>
            </w:r>
            <w:r w:rsidRPr="00DE42B9">
              <w:rPr>
                <w:rFonts w:ascii="Times New Roman" w:hAnsi="Times New Roman" w:cs="Times New Roman"/>
                <w:color w:val="000000" w:themeColor="text1"/>
                <w:sz w:val="20"/>
                <w:szCs w:val="20"/>
              </w:rPr>
              <w:t>and N- comparison</w:t>
            </w:r>
          </w:p>
        </w:tc>
        <w:tc>
          <w:tcPr>
            <w:tcW w:w="1939" w:type="dxa"/>
          </w:tcPr>
          <w:p w14:paraId="2670A1BD" w14:textId="77777777" w:rsidR="00ED7769" w:rsidRPr="00DE42B9" w:rsidRDefault="00ED7769" w:rsidP="00C7390D">
            <w:pPr>
              <w:rPr>
                <w:rFonts w:ascii="Times New Roman" w:hAnsi="Times New Roman" w:cs="Times New Roman"/>
                <w:color w:val="000000" w:themeColor="text1"/>
                <w:sz w:val="20"/>
                <w:szCs w:val="20"/>
                <w:lang w:val="fr-FR"/>
              </w:rPr>
            </w:pPr>
            <w:r w:rsidRPr="00DE42B9">
              <w:rPr>
                <w:rFonts w:ascii="Times New Roman" w:hAnsi="Times New Roman" w:cs="Times New Roman"/>
                <w:color w:val="000000" w:themeColor="text1"/>
                <w:sz w:val="20"/>
                <w:szCs w:val="20"/>
                <w:lang w:val="fr-FR"/>
              </w:rPr>
              <w:t>- 0 mM (N-)</w:t>
            </w:r>
          </w:p>
          <w:p w14:paraId="49F9841C" w14:textId="21E3399D" w:rsidR="00ED7769" w:rsidRPr="00DE42B9" w:rsidRDefault="00ED7769" w:rsidP="00C7390D">
            <w:pPr>
              <w:rPr>
                <w:rFonts w:ascii="Times New Roman" w:hAnsi="Times New Roman" w:cs="Times New Roman"/>
                <w:color w:val="000000" w:themeColor="text1"/>
                <w:sz w:val="20"/>
                <w:szCs w:val="20"/>
                <w:lang w:val="fr-FR"/>
              </w:rPr>
            </w:pPr>
            <w:r w:rsidRPr="00DE42B9">
              <w:rPr>
                <w:rFonts w:ascii="Times New Roman" w:hAnsi="Times New Roman" w:cs="Times New Roman"/>
                <w:color w:val="000000" w:themeColor="text1"/>
                <w:sz w:val="20"/>
                <w:szCs w:val="20"/>
                <w:lang w:val="fr-FR"/>
              </w:rPr>
              <w:t>- 0.3</w:t>
            </w:r>
            <w:r w:rsidR="003A542D" w:rsidRPr="00DE42B9">
              <w:rPr>
                <w:rFonts w:ascii="Times New Roman" w:hAnsi="Times New Roman" w:cs="Times New Roman"/>
                <w:color w:val="000000" w:themeColor="text1"/>
                <w:sz w:val="20"/>
                <w:szCs w:val="20"/>
                <w:lang w:val="fr-FR"/>
              </w:rPr>
              <w:t xml:space="preserve"> </w:t>
            </w:r>
            <w:r w:rsidRPr="00DE42B9">
              <w:rPr>
                <w:rFonts w:ascii="Times New Roman" w:hAnsi="Times New Roman" w:cs="Times New Roman"/>
                <w:color w:val="000000" w:themeColor="text1"/>
                <w:sz w:val="20"/>
                <w:szCs w:val="20"/>
                <w:lang w:val="fr-FR"/>
              </w:rPr>
              <w:t>mM (N sources)</w:t>
            </w:r>
          </w:p>
        </w:tc>
        <w:tc>
          <w:tcPr>
            <w:tcW w:w="1596" w:type="dxa"/>
          </w:tcPr>
          <w:p w14:paraId="044E05B6"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Batch</w:t>
            </w:r>
          </w:p>
          <w:p w14:paraId="403DBAEF" w14:textId="77777777" w:rsidR="00ED7769" w:rsidRPr="00DE42B9" w:rsidRDefault="00ED7769" w:rsidP="00C7390D">
            <w:pPr>
              <w:rPr>
                <w:rFonts w:ascii="Times New Roman" w:hAnsi="Times New Roman" w:cs="Times New Roman"/>
                <w:color w:val="000000" w:themeColor="text1"/>
                <w:sz w:val="20"/>
                <w:szCs w:val="20"/>
                <w:lang w:val="fr-FR"/>
              </w:rPr>
            </w:pPr>
            <w:r w:rsidRPr="00DE42B9">
              <w:rPr>
                <w:rFonts w:ascii="Times New Roman" w:hAnsi="Times New Roman" w:cs="Times New Roman"/>
                <w:color w:val="000000" w:themeColor="text1"/>
                <w:sz w:val="20"/>
                <w:szCs w:val="20"/>
              </w:rPr>
              <w:t>(Flask)</w:t>
            </w:r>
          </w:p>
        </w:tc>
        <w:tc>
          <w:tcPr>
            <w:tcW w:w="1198" w:type="dxa"/>
          </w:tcPr>
          <w:p w14:paraId="1B3935EC"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ASW + f/2 nutrients</w:t>
            </w:r>
          </w:p>
        </w:tc>
        <w:tc>
          <w:tcPr>
            <w:tcW w:w="1399" w:type="dxa"/>
          </w:tcPr>
          <w:p w14:paraId="7CD66311"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14:10</w:t>
            </w:r>
          </w:p>
          <w:p w14:paraId="47A37631"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(150)</w:t>
            </w:r>
          </w:p>
        </w:tc>
        <w:tc>
          <w:tcPr>
            <w:tcW w:w="1442" w:type="dxa"/>
          </w:tcPr>
          <w:p w14:paraId="64FA08BF"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18°C</w:t>
            </w:r>
          </w:p>
        </w:tc>
        <w:tc>
          <w:tcPr>
            <w:tcW w:w="1352" w:type="dxa"/>
          </w:tcPr>
          <w:p w14:paraId="672E6425" w14:textId="77777777" w:rsidR="00ED7769" w:rsidRPr="00DE42B9" w:rsidRDefault="00ED7769" w:rsidP="00C7390D">
            <w:pPr>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Air bubbling</w:t>
            </w:r>
          </w:p>
        </w:tc>
      </w:tr>
    </w:tbl>
    <w:p w14:paraId="3DCCB41C" w14:textId="77777777" w:rsidR="00DE42B9" w:rsidRDefault="00DE42B9" w:rsidP="003A283D"/>
    <w:p w14:paraId="6AFD10C0" w14:textId="77777777" w:rsidR="00DE42B9" w:rsidRDefault="00DE42B9">
      <w:pPr>
        <w:spacing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14:paraId="7A3FDC19" w14:textId="583D67CB" w:rsidR="00AC39BB" w:rsidRPr="001075EB" w:rsidRDefault="00AC39BB" w:rsidP="00AC39BB">
      <w:pPr>
        <w:pStyle w:val="Heading3"/>
        <w:spacing w:before="0" w:after="0" w:line="480" w:lineRule="auto"/>
        <w:rPr>
          <w:rFonts w:ascii="Times New Roman" w:hAnsi="Times New Roman" w:cs="Times New Roman"/>
          <w:b/>
          <w:bCs/>
          <w:color w:val="000000" w:themeColor="text1"/>
          <w:sz w:val="24"/>
          <w:szCs w:val="24"/>
        </w:rPr>
      </w:pPr>
      <w:r w:rsidRPr="001075EB">
        <w:rPr>
          <w:rFonts w:ascii="Times New Roman" w:hAnsi="Times New Roman" w:cs="Times New Roman"/>
          <w:b/>
          <w:bCs/>
          <w:color w:val="000000" w:themeColor="text1"/>
          <w:sz w:val="24"/>
          <w:szCs w:val="24"/>
        </w:rPr>
        <w:lastRenderedPageBreak/>
        <w:t>Supplementary Table S2</w:t>
      </w:r>
    </w:p>
    <w:p w14:paraId="7EEB9507" w14:textId="77777777" w:rsidR="00AC39BB" w:rsidRPr="00DE42B9" w:rsidRDefault="00AC39BB" w:rsidP="00AC39BB">
      <w:pPr>
        <w:pStyle w:val="Caption"/>
        <w:keepNext/>
        <w:jc w:val="both"/>
        <w:rPr>
          <w:rFonts w:ascii="Times New Roman" w:hAnsi="Times New Roman" w:cs="Times New Roman"/>
          <w:i w:val="0"/>
          <w:iCs w:val="0"/>
          <w:color w:val="000000" w:themeColor="text1"/>
          <w:sz w:val="20"/>
          <w:szCs w:val="20"/>
        </w:rPr>
      </w:pPr>
      <w:r w:rsidRPr="00DE42B9">
        <w:rPr>
          <w:rFonts w:ascii="Times New Roman" w:hAnsi="Times New Roman" w:cs="Times New Roman"/>
          <w:b/>
          <w:bCs/>
          <w:i w:val="0"/>
          <w:iCs w:val="0"/>
          <w:color w:val="000000" w:themeColor="text1"/>
          <w:sz w:val="20"/>
          <w:szCs w:val="20"/>
        </w:rPr>
        <w:t>Common fluorescence parameters</w:t>
      </w:r>
      <w:r w:rsidRPr="00DE42B9">
        <w:rPr>
          <w:rFonts w:ascii="Times New Roman" w:hAnsi="Times New Roman" w:cs="Times New Roman"/>
          <w:i w:val="0"/>
          <w:iCs w:val="0"/>
          <w:color w:val="000000" w:themeColor="text1"/>
          <w:sz w:val="20"/>
          <w:szCs w:val="20"/>
        </w:rPr>
        <w:t>. Used throughout the text for quantification of the relative electron transport rate (</w:t>
      </w:r>
      <w:proofErr w:type="spellStart"/>
      <w:r w:rsidRPr="00DE42B9">
        <w:rPr>
          <w:rFonts w:ascii="Times New Roman" w:hAnsi="Times New Roman" w:cs="Times New Roman"/>
          <w:i w:val="0"/>
          <w:iCs w:val="0"/>
          <w:color w:val="000000" w:themeColor="text1"/>
          <w:sz w:val="20"/>
          <w:szCs w:val="20"/>
        </w:rPr>
        <w:t>rETR</w:t>
      </w:r>
      <w:proofErr w:type="spellEnd"/>
      <w:r w:rsidRPr="00DE42B9">
        <w:rPr>
          <w:rFonts w:ascii="Times New Roman" w:hAnsi="Times New Roman" w:cs="Times New Roman"/>
          <w:i w:val="0"/>
          <w:iCs w:val="0"/>
          <w:color w:val="000000" w:themeColor="text1"/>
          <w:sz w:val="20"/>
          <w:szCs w:val="20"/>
        </w:rPr>
        <w:t xml:space="preserve">) as well as the photochemical (ΦP0, </w:t>
      </w:r>
      <w:proofErr w:type="spellStart"/>
      <w:r w:rsidRPr="00DE42B9">
        <w:rPr>
          <w:rFonts w:ascii="Times New Roman" w:hAnsi="Times New Roman" w:cs="Times New Roman"/>
          <w:i w:val="0"/>
          <w:iCs w:val="0"/>
          <w:color w:val="000000" w:themeColor="text1"/>
          <w:sz w:val="20"/>
          <w:szCs w:val="20"/>
        </w:rPr>
        <w:t>qP</w:t>
      </w:r>
      <w:proofErr w:type="spellEnd"/>
      <w:r w:rsidRPr="00DE42B9">
        <w:rPr>
          <w:rFonts w:ascii="Times New Roman" w:hAnsi="Times New Roman" w:cs="Times New Roman"/>
          <w:i w:val="0"/>
          <w:iCs w:val="0"/>
          <w:color w:val="000000" w:themeColor="text1"/>
          <w:sz w:val="20"/>
          <w:szCs w:val="20"/>
        </w:rPr>
        <w:t>, ΦP, ΦII) and non-photochemical (</w:t>
      </w:r>
      <w:proofErr w:type="spellStart"/>
      <w:r w:rsidRPr="00DE42B9">
        <w:rPr>
          <w:rFonts w:ascii="Times New Roman" w:hAnsi="Times New Roman" w:cs="Times New Roman"/>
          <w:i w:val="0"/>
          <w:iCs w:val="0"/>
          <w:color w:val="000000" w:themeColor="text1"/>
          <w:sz w:val="20"/>
          <w:szCs w:val="20"/>
        </w:rPr>
        <w:t>qN</w:t>
      </w:r>
      <w:proofErr w:type="spellEnd"/>
      <w:r w:rsidRPr="00DE42B9">
        <w:rPr>
          <w:rFonts w:ascii="Times New Roman" w:hAnsi="Times New Roman" w:cs="Times New Roman"/>
          <w:i w:val="0"/>
          <w:iCs w:val="0"/>
          <w:color w:val="000000" w:themeColor="text1"/>
          <w:sz w:val="20"/>
          <w:szCs w:val="20"/>
        </w:rPr>
        <w:t xml:space="preserve">, NPQ) processes (Equations according to </w:t>
      </w:r>
      <w:r w:rsidRPr="00DE42B9">
        <w:rPr>
          <w:rFonts w:ascii="Times New Roman" w:hAnsi="Times New Roman" w:cs="Times New Roman"/>
          <w:i w:val="0"/>
          <w:iCs w:val="0"/>
          <w:color w:val="000000" w:themeColor="text1"/>
          <w:sz w:val="20"/>
          <w:szCs w:val="20"/>
        </w:rPr>
        <w:fldChar w:fldCharType="begin"/>
      </w:r>
      <w:r w:rsidRPr="00DE42B9">
        <w:rPr>
          <w:rFonts w:ascii="Times New Roman" w:hAnsi="Times New Roman" w:cs="Times New Roman"/>
          <w:i w:val="0"/>
          <w:iCs w:val="0"/>
          <w:color w:val="000000" w:themeColor="text1"/>
          <w:sz w:val="20"/>
          <w:szCs w:val="20"/>
        </w:rPr>
        <w:instrText xml:space="preserve"> ADDIN EN.CITE &lt;EndNote&gt;&lt;Cite AuthorYear="1"&gt;&lt;Author&gt;Roháček&lt;/Author&gt;&lt;Year&gt;2008&lt;/Year&gt;&lt;RecNum&gt;228366&lt;/RecNum&gt;&lt;DisplayText&gt;Roháček&lt;style face="italic"&gt; et al.&lt;/style&gt; (2008)&lt;/DisplayText&gt;&lt;record&gt;&lt;rec-number&gt;228366&lt;/rec-number&gt;&lt;foreign-keys&gt;&lt;key app="EN" db-id="9efww95sirratne9w0tv95fpzxp2w52rz959" timestamp="1464860340"&gt;228366&lt;/key&gt;&lt;/foreign-keys&gt;&lt;ref-type name="Book Section"&gt;5&lt;/ref-type&gt;&lt;contributors&gt;&lt;authors&gt;&lt;author&gt;&lt;style face="normal" font="default" size="100%"&gt;Rohá&lt;/style&gt;&lt;style face="normal" font="default" charset="238" size="100%"&gt;ček, K&lt;/style&gt;&lt;style face="normal" font="default" size="100%"&gt;.&lt;/style&gt;&lt;/author&gt;&lt;author&gt;&lt;style face="normal" font="default" charset="238" size="100%"&gt;S&lt;/style&gt;&lt;style face="normal" font="default" size="100%"&gt;oukupova, J.&lt;/style&gt;&lt;/author&gt;&lt;author&gt;&lt;style face="normal" font="default" charset="238" size="100%"&gt;B&lt;/style&gt;&lt;style face="normal" font="default" size="100%"&gt;artak, M.&lt;/style&gt;&lt;/author&gt;&lt;/authors&gt;&lt;secondary-authors&gt;&lt;author&gt;Schoefs, B.&lt;/author&gt;&lt;/secondary-authors&gt;&lt;/contributors&gt;&lt;titles&gt;&lt;title&gt;Chlorophyll fluorescence: A wonderful tool to study plant physiology and plant stress&lt;/title&gt;&lt;secondary-title&gt;Plant Cell Organelles – Selected Topics&lt;/secondary-title&gt;&lt;/titles&gt;&lt;pages&gt;251-284&lt;/pages&gt;&lt;section&gt;3&lt;/section&gt;&lt;keywords&gt;&lt;keyword&gt;38299&lt;/keyword&gt;&lt;/keywords&gt;&lt;dates&gt;&lt;year&gt;2008&lt;/year&gt;&lt;/dates&gt;&lt;pub-location&gt;Trivandrum&lt;/pub-location&gt;&lt;publisher&gt;Research Signpost&lt;/publisher&gt;&lt;urls&gt;&lt;/urls&gt;&lt;/record&gt;&lt;/Cite&gt;&lt;/EndNote&gt;</w:instrText>
      </w:r>
      <w:r w:rsidRPr="00DE42B9">
        <w:rPr>
          <w:rFonts w:ascii="Times New Roman" w:hAnsi="Times New Roman" w:cs="Times New Roman"/>
          <w:i w:val="0"/>
          <w:iCs w:val="0"/>
          <w:color w:val="000000" w:themeColor="text1"/>
          <w:sz w:val="20"/>
          <w:szCs w:val="20"/>
        </w:rPr>
        <w:fldChar w:fldCharType="separate"/>
      </w:r>
      <w:r w:rsidRPr="00DE42B9">
        <w:rPr>
          <w:rFonts w:ascii="Times New Roman" w:hAnsi="Times New Roman" w:cs="Times New Roman"/>
          <w:i w:val="0"/>
          <w:iCs w:val="0"/>
          <w:noProof/>
          <w:color w:val="000000" w:themeColor="text1"/>
          <w:sz w:val="20"/>
          <w:szCs w:val="20"/>
        </w:rPr>
        <w:t>Roháček</w:t>
      </w:r>
      <w:r w:rsidRPr="00DE42B9">
        <w:rPr>
          <w:rFonts w:ascii="Times New Roman" w:hAnsi="Times New Roman" w:cs="Times New Roman"/>
          <w:iCs w:val="0"/>
          <w:noProof/>
          <w:color w:val="000000" w:themeColor="text1"/>
          <w:sz w:val="20"/>
          <w:szCs w:val="20"/>
        </w:rPr>
        <w:t xml:space="preserve"> et al.</w:t>
      </w:r>
      <w:r w:rsidRPr="00DE42B9">
        <w:rPr>
          <w:rFonts w:ascii="Times New Roman" w:hAnsi="Times New Roman" w:cs="Times New Roman"/>
          <w:i w:val="0"/>
          <w:iCs w:val="0"/>
          <w:noProof/>
          <w:color w:val="000000" w:themeColor="text1"/>
          <w:sz w:val="20"/>
          <w:szCs w:val="20"/>
        </w:rPr>
        <w:t xml:space="preserve"> (2008)</w:t>
      </w:r>
      <w:r w:rsidRPr="00DE42B9">
        <w:rPr>
          <w:rFonts w:ascii="Times New Roman" w:hAnsi="Times New Roman" w:cs="Times New Roman"/>
          <w:i w:val="0"/>
          <w:iCs w:val="0"/>
          <w:color w:val="000000" w:themeColor="text1"/>
          <w:sz w:val="20"/>
          <w:szCs w:val="20"/>
        </w:rPr>
        <w:fldChar w:fldCharType="end"/>
      </w:r>
    </w:p>
    <w:tbl>
      <w:tblPr>
        <w:tblW w:w="130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3"/>
        <w:gridCol w:w="3260"/>
        <w:gridCol w:w="8788"/>
      </w:tblGrid>
      <w:tr w:rsidR="00AC39BB" w:rsidRPr="001075EB" w14:paraId="3A8AB200" w14:textId="77777777" w:rsidTr="000D7E10">
        <w:trPr>
          <w:trHeight w:val="12"/>
        </w:trPr>
        <w:tc>
          <w:tcPr>
            <w:tcW w:w="983" w:type="dxa"/>
            <w:shd w:val="clear" w:color="auto" w:fill="auto"/>
            <w:tcMar>
              <w:top w:w="100" w:type="dxa"/>
              <w:left w:w="100" w:type="dxa"/>
              <w:bottom w:w="100" w:type="dxa"/>
              <w:right w:w="100" w:type="dxa"/>
            </w:tcMar>
          </w:tcPr>
          <w:p w14:paraId="2EC127C1" w14:textId="77777777" w:rsidR="00AC39BB" w:rsidRPr="00DE42B9" w:rsidRDefault="00AC39BB" w:rsidP="000D7E10">
            <w:pPr>
              <w:widowControl w:val="0"/>
              <w:spacing w:line="240" w:lineRule="auto"/>
              <w:rPr>
                <w:rFonts w:ascii="Times New Roman" w:hAnsi="Times New Roman" w:cs="Times New Roman"/>
                <w:b/>
                <w:bCs/>
                <w:color w:val="000000" w:themeColor="text1"/>
                <w:sz w:val="20"/>
                <w:szCs w:val="20"/>
              </w:rPr>
            </w:pPr>
            <w:r w:rsidRPr="00DE42B9">
              <w:rPr>
                <w:rFonts w:ascii="Times New Roman" w:hAnsi="Times New Roman" w:cs="Times New Roman"/>
                <w:b/>
                <w:bCs/>
                <w:color w:val="000000" w:themeColor="text1"/>
                <w:sz w:val="20"/>
                <w:szCs w:val="20"/>
              </w:rPr>
              <w:t>Symbol</w:t>
            </w:r>
          </w:p>
        </w:tc>
        <w:tc>
          <w:tcPr>
            <w:tcW w:w="3260" w:type="dxa"/>
            <w:shd w:val="clear" w:color="auto" w:fill="auto"/>
            <w:tcMar>
              <w:top w:w="100" w:type="dxa"/>
              <w:left w:w="100" w:type="dxa"/>
              <w:bottom w:w="100" w:type="dxa"/>
              <w:right w:w="100" w:type="dxa"/>
            </w:tcMar>
          </w:tcPr>
          <w:p w14:paraId="431ED47B" w14:textId="77777777" w:rsidR="00AC39BB" w:rsidRPr="00DE42B9" w:rsidRDefault="00AC39BB" w:rsidP="000D7E10">
            <w:pPr>
              <w:widowControl w:val="0"/>
              <w:spacing w:line="240" w:lineRule="auto"/>
              <w:rPr>
                <w:rFonts w:ascii="Times New Roman" w:hAnsi="Times New Roman" w:cs="Times New Roman"/>
                <w:b/>
                <w:bCs/>
                <w:color w:val="000000" w:themeColor="text1"/>
                <w:sz w:val="20"/>
                <w:szCs w:val="20"/>
              </w:rPr>
            </w:pPr>
            <w:r w:rsidRPr="00DE42B9">
              <w:rPr>
                <w:rFonts w:ascii="Times New Roman" w:hAnsi="Times New Roman" w:cs="Times New Roman"/>
                <w:b/>
                <w:bCs/>
                <w:color w:val="000000" w:themeColor="text1"/>
                <w:sz w:val="20"/>
                <w:szCs w:val="20"/>
              </w:rPr>
              <w:t>Name</w:t>
            </w:r>
          </w:p>
        </w:tc>
        <w:tc>
          <w:tcPr>
            <w:tcW w:w="8788" w:type="dxa"/>
            <w:shd w:val="clear" w:color="auto" w:fill="auto"/>
            <w:tcMar>
              <w:top w:w="100" w:type="dxa"/>
              <w:left w:w="100" w:type="dxa"/>
              <w:bottom w:w="100" w:type="dxa"/>
              <w:right w:w="100" w:type="dxa"/>
            </w:tcMar>
          </w:tcPr>
          <w:p w14:paraId="10CA4376" w14:textId="77777777" w:rsidR="00AC39BB" w:rsidRPr="00DE42B9" w:rsidRDefault="00AC39BB" w:rsidP="000D7E10">
            <w:pPr>
              <w:widowControl w:val="0"/>
              <w:spacing w:line="240" w:lineRule="auto"/>
              <w:rPr>
                <w:rFonts w:ascii="Times New Roman" w:hAnsi="Times New Roman" w:cs="Times New Roman"/>
                <w:b/>
                <w:bCs/>
                <w:color w:val="000000" w:themeColor="text1"/>
                <w:sz w:val="20"/>
                <w:szCs w:val="20"/>
              </w:rPr>
            </w:pPr>
            <w:r w:rsidRPr="00DE42B9">
              <w:rPr>
                <w:rFonts w:ascii="Times New Roman" w:hAnsi="Times New Roman" w:cs="Times New Roman"/>
                <w:b/>
                <w:bCs/>
                <w:color w:val="000000" w:themeColor="text1"/>
                <w:sz w:val="20"/>
                <w:szCs w:val="20"/>
              </w:rPr>
              <w:t>Description</w:t>
            </w:r>
          </w:p>
        </w:tc>
      </w:tr>
      <w:tr w:rsidR="00AC39BB" w:rsidRPr="001075EB" w14:paraId="78D70412" w14:textId="77777777" w:rsidTr="000D7E10">
        <w:trPr>
          <w:trHeight w:val="480"/>
        </w:trPr>
        <w:tc>
          <w:tcPr>
            <w:tcW w:w="983" w:type="dxa"/>
            <w:shd w:val="clear" w:color="auto" w:fill="auto"/>
            <w:tcMar>
              <w:top w:w="100" w:type="dxa"/>
              <w:left w:w="100" w:type="dxa"/>
              <w:bottom w:w="100" w:type="dxa"/>
              <w:right w:w="100" w:type="dxa"/>
            </w:tcMar>
          </w:tcPr>
          <w:p w14:paraId="75DB8350" w14:textId="77777777" w:rsidR="00AC39BB" w:rsidRPr="00DE42B9" w:rsidRDefault="00AC39BB" w:rsidP="000D7E10">
            <w:pPr>
              <w:widowControl w:val="0"/>
              <w:spacing w:line="240" w:lineRule="auto"/>
              <w:rPr>
                <w:rFonts w:ascii="Times New Roman" w:hAnsi="Times New Roman" w:cs="Times New Roman"/>
                <w:color w:val="000000" w:themeColor="text1"/>
                <w:sz w:val="20"/>
                <w:szCs w:val="20"/>
              </w:rPr>
            </w:pPr>
            <w:proofErr w:type="spellStart"/>
            <w:r w:rsidRPr="00DE42B9">
              <w:rPr>
                <w:rFonts w:ascii="Times New Roman" w:hAnsi="Times New Roman" w:cs="Times New Roman"/>
                <w:color w:val="000000" w:themeColor="text1"/>
                <w:sz w:val="20"/>
                <w:szCs w:val="20"/>
              </w:rPr>
              <w:t>rETR</w:t>
            </w:r>
            <w:proofErr w:type="spellEnd"/>
          </w:p>
        </w:tc>
        <w:tc>
          <w:tcPr>
            <w:tcW w:w="3260" w:type="dxa"/>
            <w:shd w:val="clear" w:color="auto" w:fill="auto"/>
            <w:tcMar>
              <w:top w:w="100" w:type="dxa"/>
              <w:left w:w="100" w:type="dxa"/>
              <w:bottom w:w="100" w:type="dxa"/>
              <w:right w:w="100" w:type="dxa"/>
            </w:tcMar>
          </w:tcPr>
          <w:p w14:paraId="014981B0" w14:textId="77777777" w:rsidR="00AC39BB" w:rsidRPr="00DE42B9" w:rsidRDefault="00AC39BB" w:rsidP="000D7E10">
            <w:pPr>
              <w:widowControl w:val="0"/>
              <w:spacing w:line="240" w:lineRule="auto"/>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Relative electron transport rate</w:t>
            </w:r>
          </w:p>
        </w:tc>
        <w:tc>
          <w:tcPr>
            <w:tcW w:w="8788" w:type="dxa"/>
            <w:shd w:val="clear" w:color="auto" w:fill="auto"/>
            <w:tcMar>
              <w:top w:w="100" w:type="dxa"/>
              <w:left w:w="100" w:type="dxa"/>
              <w:bottom w:w="100" w:type="dxa"/>
              <w:right w:w="100" w:type="dxa"/>
            </w:tcMar>
          </w:tcPr>
          <w:p w14:paraId="7C00E685" w14:textId="77777777" w:rsidR="00AC39BB" w:rsidRPr="00DE42B9" w:rsidRDefault="00AC39BB" w:rsidP="000D7E10">
            <w:pPr>
              <w:widowControl w:val="0"/>
              <w:spacing w:line="240" w:lineRule="auto"/>
              <w:rPr>
                <w:rFonts w:ascii="Times New Roman" w:hAnsi="Times New Roman" w:cs="Times New Roman"/>
                <w:color w:val="000000" w:themeColor="text1"/>
                <w:sz w:val="20"/>
                <w:szCs w:val="20"/>
                <w:lang w:val="it-IT"/>
              </w:rPr>
            </w:pPr>
            <w:r w:rsidRPr="00DE42B9">
              <w:rPr>
                <w:rFonts w:ascii="Times New Roman" w:hAnsi="Times New Roman" w:cs="Times New Roman"/>
                <w:color w:val="000000" w:themeColor="text1"/>
                <w:sz w:val="20"/>
                <w:szCs w:val="20"/>
                <w:lang w:val="it-IT"/>
              </w:rPr>
              <w:t>rETR=((F</w:t>
            </w:r>
            <w:r w:rsidRPr="00DE42B9">
              <w:rPr>
                <w:rFonts w:ascii="Times New Roman" w:hAnsi="Times New Roman" w:cs="Times New Roman"/>
                <w:color w:val="000000" w:themeColor="text1"/>
                <w:sz w:val="20"/>
                <w:szCs w:val="20"/>
                <w:vertAlign w:val="subscript"/>
                <w:lang w:val="it-IT"/>
              </w:rPr>
              <w:t>m</w:t>
            </w:r>
            <w:r w:rsidRPr="00DE42B9">
              <w:rPr>
                <w:rFonts w:ascii="Times New Roman" w:hAnsi="Times New Roman" w:cs="Times New Roman"/>
                <w:color w:val="000000" w:themeColor="text1"/>
                <w:sz w:val="20"/>
                <w:szCs w:val="20"/>
                <w:lang w:val="it-IT"/>
              </w:rPr>
              <w:t>-F</w:t>
            </w:r>
            <w:r w:rsidRPr="00DE42B9">
              <w:rPr>
                <w:rFonts w:ascii="Times New Roman" w:hAnsi="Times New Roman" w:cs="Times New Roman"/>
                <w:color w:val="000000" w:themeColor="text1"/>
                <w:sz w:val="20"/>
                <w:szCs w:val="20"/>
                <w:vertAlign w:val="subscript"/>
                <w:lang w:val="it-IT"/>
              </w:rPr>
              <w:t>t</w:t>
            </w:r>
            <w:r w:rsidRPr="00DE42B9">
              <w:rPr>
                <w:rFonts w:ascii="Times New Roman" w:hAnsi="Times New Roman" w:cs="Times New Roman"/>
                <w:color w:val="000000" w:themeColor="text1"/>
                <w:sz w:val="20"/>
                <w:szCs w:val="20"/>
                <w:lang w:val="it-IT"/>
              </w:rPr>
              <w:t>)/F</w:t>
            </w:r>
            <w:r w:rsidRPr="00DE42B9">
              <w:rPr>
                <w:rFonts w:ascii="Times New Roman" w:hAnsi="Times New Roman" w:cs="Times New Roman"/>
                <w:color w:val="000000" w:themeColor="text1"/>
                <w:sz w:val="20"/>
                <w:szCs w:val="20"/>
                <w:vertAlign w:val="subscript"/>
                <w:lang w:val="it-IT"/>
              </w:rPr>
              <w:t>m</w:t>
            </w:r>
            <w:r w:rsidRPr="00DE42B9">
              <w:rPr>
                <w:rFonts w:ascii="Times New Roman" w:hAnsi="Times New Roman" w:cs="Times New Roman"/>
                <w:color w:val="000000" w:themeColor="text1"/>
                <w:sz w:val="20"/>
                <w:szCs w:val="20"/>
                <w:lang w:val="it-IT"/>
              </w:rPr>
              <w:t>)×E×0.84*×0.5*</w:t>
            </w:r>
          </w:p>
          <w:p w14:paraId="49987540" w14:textId="77777777" w:rsidR="00AC39BB" w:rsidRPr="00DE42B9" w:rsidRDefault="00AC39BB" w:rsidP="000D7E10">
            <w:pPr>
              <w:widowControl w:val="0"/>
              <w:spacing w:line="240" w:lineRule="auto"/>
              <w:jc w:val="both"/>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 xml:space="preserve">Relative photosynthetic electron transport rate. </w:t>
            </w:r>
            <w:proofErr w:type="spellStart"/>
            <w:r w:rsidRPr="00DE42B9">
              <w:rPr>
                <w:rFonts w:ascii="Times New Roman" w:hAnsi="Times New Roman" w:cs="Times New Roman"/>
                <w:color w:val="000000" w:themeColor="text1"/>
                <w:sz w:val="20"/>
                <w:szCs w:val="20"/>
              </w:rPr>
              <w:t>E</w:t>
            </w:r>
            <w:proofErr w:type="spellEnd"/>
            <w:r w:rsidRPr="00DE42B9">
              <w:rPr>
                <w:rFonts w:ascii="Times New Roman" w:hAnsi="Times New Roman" w:cs="Times New Roman"/>
                <w:color w:val="000000" w:themeColor="text1"/>
                <w:sz w:val="20"/>
                <w:szCs w:val="20"/>
              </w:rPr>
              <w:t xml:space="preserve"> refers to the intensity of photosynthetically active radiation </w:t>
            </w:r>
            <w:r w:rsidRPr="00DE42B9">
              <w:rPr>
                <w:rFonts w:ascii="Times New Roman" w:hAnsi="Times New Roman" w:cs="Times New Roman"/>
                <w:color w:val="000000" w:themeColor="text1"/>
                <w:sz w:val="20"/>
                <w:szCs w:val="20"/>
              </w:rPr>
              <w:fldChar w:fldCharType="begin"/>
            </w:r>
            <w:r w:rsidRPr="00DE42B9">
              <w:rPr>
                <w:rFonts w:ascii="Times New Roman" w:hAnsi="Times New Roman" w:cs="Times New Roman"/>
                <w:color w:val="000000" w:themeColor="text1"/>
                <w:sz w:val="20"/>
                <w:szCs w:val="20"/>
              </w:rPr>
              <w:instrText xml:space="preserve"> ADDIN EN.CITE &lt;EndNote&gt;&lt;Cite&gt;&lt;Author&gt;Genty&lt;/Author&gt;&lt;Year&gt;1989&lt;/Year&gt;&lt;RecNum&gt;228699&lt;/RecNum&gt;&lt;DisplayText&gt;(Genty&lt;style face="italic"&gt; et al.&lt;/style&gt;, 1989)&lt;/DisplayText&gt;&lt;record&gt;&lt;rec-number&gt;228699&lt;/rec-number&gt;&lt;foreign-keys&gt;&lt;key app="EN" db-id="9efww95sirratne9w0tv95fpzxp2w52rz959" timestamp="1466423354"&gt;228699&lt;/key&gt;&lt;/foreign-keys&gt;&lt;ref-type name="Journal Article"&gt;17&lt;/ref-type&gt;&lt;contributors&gt;&lt;authors&gt;&lt;author&gt;Genty, B.&lt;/author&gt;&lt;author&gt;Briantais, J. M.&lt;/author&gt;&lt;author&gt;Baker, N. R.&lt;/author&gt;&lt;/authors&gt;&lt;/contributors&gt;&lt;titles&gt;&lt;title&gt;The relationship between the quantum yield of photosynthetic electron transport and quenching of chlorophyll fluorescence&lt;/title&gt;&lt;secondary-title&gt;Biochimica et Biophysica Acta&lt;/secondary-title&gt;&lt;/titles&gt;&lt;periodical&gt;&lt;full-title&gt;Biochimica et Biophysica Acta&lt;/full-title&gt;&lt;/periodical&gt;&lt;pages&gt;87-92&lt;/pages&gt;&lt;volume&gt;990&lt;/volume&gt;&lt;section&gt;87&lt;/section&gt;&lt;keywords&gt;&lt;keyword&gt;09498&lt;/keyword&gt;&lt;keyword&gt;efficiency&lt;/keyword&gt;&lt;keyword&gt;fluorescence&lt;/keyword&gt;&lt;keyword&gt;fluorescence quenching&lt;/keyword&gt;&lt;keyword&gt;leaf&lt;/keyword&gt;&lt;keyword&gt;leaves&lt;/keyword&gt;&lt;keyword&gt;non photochemical&lt;/keyword&gt;&lt;keyword&gt;nonphotochemical&lt;/keyword&gt;&lt;keyword&gt;photosystem&lt;/keyword&gt;&lt;keyword&gt;photosystems&lt;/keyword&gt;&lt;keyword&gt;quantum efficiencies&lt;/keyword&gt;&lt;keyword&gt;quantum efficiency&lt;/keyword&gt;&lt;keyword&gt;quenching&lt;/keyword&gt;&lt;/keywords&gt;&lt;dates&gt;&lt;year&gt;1989&lt;/year&gt;&lt;/dates&gt;&lt;urls&gt;&lt;/urls&gt;&lt;/record&gt;&lt;/Cite&gt;&lt;/EndNote&gt;</w:instrText>
            </w:r>
            <w:r w:rsidRPr="00DE42B9">
              <w:rPr>
                <w:rFonts w:ascii="Times New Roman" w:hAnsi="Times New Roman" w:cs="Times New Roman"/>
                <w:color w:val="000000" w:themeColor="text1"/>
                <w:sz w:val="20"/>
                <w:szCs w:val="20"/>
              </w:rPr>
              <w:fldChar w:fldCharType="separate"/>
            </w:r>
            <w:r w:rsidRPr="00DE42B9">
              <w:rPr>
                <w:rFonts w:ascii="Times New Roman" w:hAnsi="Times New Roman" w:cs="Times New Roman"/>
                <w:noProof/>
                <w:color w:val="000000" w:themeColor="text1"/>
                <w:sz w:val="20"/>
                <w:szCs w:val="20"/>
              </w:rPr>
              <w:t>(Genty</w:t>
            </w:r>
            <w:r w:rsidRPr="00DE42B9">
              <w:rPr>
                <w:rFonts w:ascii="Times New Roman" w:hAnsi="Times New Roman" w:cs="Times New Roman"/>
                <w:i/>
                <w:noProof/>
                <w:color w:val="000000" w:themeColor="text1"/>
                <w:sz w:val="20"/>
                <w:szCs w:val="20"/>
              </w:rPr>
              <w:t xml:space="preserve"> et al.</w:t>
            </w:r>
            <w:r w:rsidRPr="00DE42B9">
              <w:rPr>
                <w:rFonts w:ascii="Times New Roman" w:hAnsi="Times New Roman" w:cs="Times New Roman"/>
                <w:noProof/>
                <w:color w:val="000000" w:themeColor="text1"/>
                <w:sz w:val="20"/>
                <w:szCs w:val="20"/>
              </w:rPr>
              <w:t>, 1989)</w:t>
            </w:r>
            <w:r w:rsidRPr="00DE42B9">
              <w:rPr>
                <w:rFonts w:ascii="Times New Roman" w:hAnsi="Times New Roman" w:cs="Times New Roman"/>
                <w:color w:val="000000" w:themeColor="text1"/>
                <w:sz w:val="20"/>
                <w:szCs w:val="20"/>
              </w:rPr>
              <w:fldChar w:fldCharType="end"/>
            </w:r>
            <w:r w:rsidRPr="00DE42B9">
              <w:rPr>
                <w:rFonts w:ascii="Times New Roman" w:hAnsi="Times New Roman" w:cs="Times New Roman"/>
                <w:color w:val="000000" w:themeColor="text1"/>
                <w:sz w:val="20"/>
                <w:szCs w:val="20"/>
              </w:rPr>
              <w:t>)</w:t>
            </w:r>
          </w:p>
        </w:tc>
      </w:tr>
      <w:tr w:rsidR="00AC39BB" w:rsidRPr="001075EB" w14:paraId="4CF0D0B0" w14:textId="77777777" w:rsidTr="000D7E10">
        <w:tc>
          <w:tcPr>
            <w:tcW w:w="983" w:type="dxa"/>
            <w:shd w:val="clear" w:color="auto" w:fill="auto"/>
            <w:tcMar>
              <w:top w:w="100" w:type="dxa"/>
              <w:left w:w="100" w:type="dxa"/>
              <w:bottom w:w="100" w:type="dxa"/>
              <w:right w:w="100" w:type="dxa"/>
            </w:tcMar>
          </w:tcPr>
          <w:p w14:paraId="6BC40EFD" w14:textId="77777777" w:rsidR="00AC39BB" w:rsidRPr="00DE42B9" w:rsidRDefault="00AC39BB" w:rsidP="000D7E10">
            <w:pPr>
              <w:widowControl w:val="0"/>
              <w:spacing w:line="240" w:lineRule="auto"/>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F</w:t>
            </w:r>
            <w:r w:rsidRPr="00DE42B9">
              <w:rPr>
                <w:rFonts w:ascii="Times New Roman" w:hAnsi="Times New Roman" w:cs="Times New Roman"/>
                <w:color w:val="000000" w:themeColor="text1"/>
                <w:sz w:val="20"/>
                <w:szCs w:val="20"/>
                <w:vertAlign w:val="subscript"/>
              </w:rPr>
              <w:t>0</w:t>
            </w:r>
          </w:p>
        </w:tc>
        <w:tc>
          <w:tcPr>
            <w:tcW w:w="3260" w:type="dxa"/>
            <w:shd w:val="clear" w:color="auto" w:fill="auto"/>
            <w:tcMar>
              <w:top w:w="100" w:type="dxa"/>
              <w:left w:w="100" w:type="dxa"/>
              <w:bottom w:w="100" w:type="dxa"/>
              <w:right w:w="100" w:type="dxa"/>
            </w:tcMar>
          </w:tcPr>
          <w:p w14:paraId="5B7FE1D7" w14:textId="77777777" w:rsidR="00AC39BB" w:rsidRPr="00DE42B9" w:rsidRDefault="00AC39BB" w:rsidP="000D7E10">
            <w:pPr>
              <w:widowControl w:val="0"/>
              <w:spacing w:line="240" w:lineRule="auto"/>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Instantaneous fluorescence in DAS</w:t>
            </w:r>
          </w:p>
        </w:tc>
        <w:tc>
          <w:tcPr>
            <w:tcW w:w="8788" w:type="dxa"/>
            <w:shd w:val="clear" w:color="auto" w:fill="auto"/>
            <w:tcMar>
              <w:top w:w="100" w:type="dxa"/>
              <w:left w:w="100" w:type="dxa"/>
              <w:bottom w:w="100" w:type="dxa"/>
              <w:right w:w="100" w:type="dxa"/>
            </w:tcMar>
          </w:tcPr>
          <w:p w14:paraId="5407DE87" w14:textId="77777777" w:rsidR="00AC39BB" w:rsidRPr="00DE42B9" w:rsidRDefault="00AC39BB" w:rsidP="000D7E10">
            <w:pPr>
              <w:widowControl w:val="0"/>
              <w:spacing w:line="240" w:lineRule="auto"/>
              <w:jc w:val="both"/>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Instantaneous fluorescence yield in dark</w:t>
            </w:r>
          </w:p>
        </w:tc>
      </w:tr>
      <w:tr w:rsidR="00AC39BB" w:rsidRPr="001075EB" w14:paraId="52229F95" w14:textId="77777777" w:rsidTr="000D7E10">
        <w:tc>
          <w:tcPr>
            <w:tcW w:w="983" w:type="dxa"/>
            <w:shd w:val="clear" w:color="auto" w:fill="auto"/>
            <w:tcMar>
              <w:top w:w="100" w:type="dxa"/>
              <w:left w:w="100" w:type="dxa"/>
              <w:bottom w:w="100" w:type="dxa"/>
              <w:right w:w="100" w:type="dxa"/>
            </w:tcMar>
          </w:tcPr>
          <w:p w14:paraId="4D82BC24" w14:textId="77777777" w:rsidR="00AC39BB" w:rsidRPr="00DE42B9" w:rsidRDefault="00AC39BB" w:rsidP="000D7E10">
            <w:pPr>
              <w:widowControl w:val="0"/>
              <w:spacing w:line="240" w:lineRule="auto"/>
              <w:rPr>
                <w:rFonts w:ascii="Times New Roman" w:hAnsi="Times New Roman" w:cs="Times New Roman"/>
                <w:color w:val="000000" w:themeColor="text1"/>
                <w:sz w:val="20"/>
                <w:szCs w:val="20"/>
                <w:vertAlign w:val="subscript"/>
              </w:rPr>
            </w:pPr>
            <w:r w:rsidRPr="00DE42B9">
              <w:rPr>
                <w:rFonts w:ascii="Times New Roman" w:hAnsi="Times New Roman" w:cs="Times New Roman"/>
                <w:color w:val="000000" w:themeColor="text1"/>
                <w:sz w:val="20"/>
                <w:szCs w:val="20"/>
              </w:rPr>
              <w:t>F</w:t>
            </w:r>
            <w:r w:rsidRPr="00DE42B9">
              <w:rPr>
                <w:rFonts w:ascii="Times New Roman" w:hAnsi="Times New Roman" w:cs="Times New Roman"/>
                <w:color w:val="000000" w:themeColor="text1"/>
                <w:sz w:val="20"/>
                <w:szCs w:val="20"/>
                <w:vertAlign w:val="subscript"/>
              </w:rPr>
              <w:t>s</w:t>
            </w:r>
          </w:p>
        </w:tc>
        <w:tc>
          <w:tcPr>
            <w:tcW w:w="3260" w:type="dxa"/>
            <w:shd w:val="clear" w:color="auto" w:fill="auto"/>
            <w:tcMar>
              <w:top w:w="100" w:type="dxa"/>
              <w:left w:w="100" w:type="dxa"/>
              <w:bottom w:w="100" w:type="dxa"/>
              <w:right w:w="100" w:type="dxa"/>
            </w:tcMar>
          </w:tcPr>
          <w:p w14:paraId="2B788081" w14:textId="77777777" w:rsidR="00AC39BB" w:rsidRPr="00DE42B9" w:rsidRDefault="00AC39BB" w:rsidP="000D7E10">
            <w:pPr>
              <w:widowControl w:val="0"/>
              <w:spacing w:line="240" w:lineRule="auto"/>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Instantaneous fluorescence in LAS</w:t>
            </w:r>
          </w:p>
        </w:tc>
        <w:tc>
          <w:tcPr>
            <w:tcW w:w="8788" w:type="dxa"/>
            <w:shd w:val="clear" w:color="auto" w:fill="auto"/>
            <w:tcMar>
              <w:top w:w="100" w:type="dxa"/>
              <w:left w:w="100" w:type="dxa"/>
              <w:bottom w:w="100" w:type="dxa"/>
              <w:right w:w="100" w:type="dxa"/>
            </w:tcMar>
          </w:tcPr>
          <w:p w14:paraId="48E69D05" w14:textId="77777777" w:rsidR="00AC39BB" w:rsidRPr="00DE42B9" w:rsidRDefault="00AC39BB" w:rsidP="000D7E10">
            <w:pPr>
              <w:widowControl w:val="0"/>
              <w:spacing w:line="240" w:lineRule="auto"/>
              <w:jc w:val="both"/>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Instantaneous fluorescence yield when a dynamic equilibrium of plastoquinone reducing, re-oxidizing processes and from non-photochemical quenching is established</w:t>
            </w:r>
          </w:p>
        </w:tc>
      </w:tr>
      <w:tr w:rsidR="00AC39BB" w:rsidRPr="001075EB" w14:paraId="774A33B9" w14:textId="77777777" w:rsidTr="000D7E10">
        <w:tc>
          <w:tcPr>
            <w:tcW w:w="983" w:type="dxa"/>
            <w:shd w:val="clear" w:color="auto" w:fill="auto"/>
            <w:tcMar>
              <w:top w:w="100" w:type="dxa"/>
              <w:left w:w="100" w:type="dxa"/>
              <w:bottom w:w="100" w:type="dxa"/>
              <w:right w:w="100" w:type="dxa"/>
            </w:tcMar>
          </w:tcPr>
          <w:p w14:paraId="1550FE02" w14:textId="77777777" w:rsidR="00AC39BB" w:rsidRPr="00DE42B9" w:rsidRDefault="00AC39BB" w:rsidP="000D7E10">
            <w:pPr>
              <w:widowControl w:val="0"/>
              <w:spacing w:line="240" w:lineRule="auto"/>
              <w:rPr>
                <w:rFonts w:ascii="Times New Roman" w:hAnsi="Times New Roman" w:cs="Times New Roman"/>
                <w:color w:val="000000" w:themeColor="text1"/>
                <w:sz w:val="20"/>
                <w:szCs w:val="20"/>
                <w:vertAlign w:val="subscript"/>
              </w:rPr>
            </w:pPr>
            <w:r w:rsidRPr="00DE42B9">
              <w:rPr>
                <w:rFonts w:ascii="Times New Roman" w:hAnsi="Times New Roman" w:cs="Times New Roman"/>
                <w:color w:val="000000" w:themeColor="text1"/>
                <w:sz w:val="20"/>
                <w:szCs w:val="20"/>
              </w:rPr>
              <w:t>F</w:t>
            </w:r>
            <w:r w:rsidRPr="00DE42B9">
              <w:rPr>
                <w:rFonts w:ascii="Times New Roman" w:hAnsi="Times New Roman" w:cs="Times New Roman"/>
                <w:color w:val="000000" w:themeColor="text1"/>
                <w:sz w:val="20"/>
                <w:szCs w:val="20"/>
                <w:vertAlign w:val="subscript"/>
              </w:rPr>
              <w:t>M</w:t>
            </w:r>
          </w:p>
        </w:tc>
        <w:tc>
          <w:tcPr>
            <w:tcW w:w="3260" w:type="dxa"/>
            <w:shd w:val="clear" w:color="auto" w:fill="auto"/>
            <w:tcMar>
              <w:top w:w="100" w:type="dxa"/>
              <w:left w:w="100" w:type="dxa"/>
              <w:bottom w:w="100" w:type="dxa"/>
              <w:right w:w="100" w:type="dxa"/>
            </w:tcMar>
          </w:tcPr>
          <w:p w14:paraId="5F2D5543" w14:textId="77777777" w:rsidR="00AC39BB" w:rsidRPr="00DE42B9" w:rsidRDefault="00AC39BB" w:rsidP="000D7E10">
            <w:pPr>
              <w:widowControl w:val="0"/>
              <w:spacing w:line="240" w:lineRule="auto"/>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Maximum fluorescence in DAS</w:t>
            </w:r>
          </w:p>
        </w:tc>
        <w:tc>
          <w:tcPr>
            <w:tcW w:w="8788" w:type="dxa"/>
            <w:shd w:val="clear" w:color="auto" w:fill="auto"/>
            <w:tcMar>
              <w:top w:w="100" w:type="dxa"/>
              <w:left w:w="100" w:type="dxa"/>
              <w:bottom w:w="100" w:type="dxa"/>
              <w:right w:w="100" w:type="dxa"/>
            </w:tcMar>
          </w:tcPr>
          <w:p w14:paraId="692CD091" w14:textId="77777777" w:rsidR="00AC39BB" w:rsidRPr="00DE42B9" w:rsidRDefault="00AC39BB" w:rsidP="000D7E10">
            <w:pPr>
              <w:widowControl w:val="0"/>
              <w:spacing w:line="240" w:lineRule="auto"/>
              <w:jc w:val="both"/>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Maximum fluorescence yield with Q</w:t>
            </w:r>
            <w:r w:rsidRPr="00DE42B9">
              <w:rPr>
                <w:rFonts w:ascii="Times New Roman" w:hAnsi="Times New Roman" w:cs="Times New Roman"/>
                <w:color w:val="000000" w:themeColor="text1"/>
                <w:sz w:val="20"/>
                <w:szCs w:val="20"/>
                <w:vertAlign w:val="subscript"/>
              </w:rPr>
              <w:t>A</w:t>
            </w:r>
            <w:r w:rsidRPr="00DE42B9">
              <w:rPr>
                <w:rFonts w:ascii="Times New Roman" w:hAnsi="Times New Roman" w:cs="Times New Roman"/>
                <w:color w:val="000000" w:themeColor="text1"/>
                <w:sz w:val="20"/>
                <w:szCs w:val="20"/>
              </w:rPr>
              <w:t xml:space="preserve"> reduced and non-photochemical quenching relaxed</w:t>
            </w:r>
          </w:p>
        </w:tc>
      </w:tr>
      <w:tr w:rsidR="00AC39BB" w:rsidRPr="001075EB" w14:paraId="3AE14C22" w14:textId="77777777" w:rsidTr="000D7E10">
        <w:tc>
          <w:tcPr>
            <w:tcW w:w="983" w:type="dxa"/>
            <w:shd w:val="clear" w:color="auto" w:fill="auto"/>
            <w:tcMar>
              <w:top w:w="100" w:type="dxa"/>
              <w:left w:w="100" w:type="dxa"/>
              <w:bottom w:w="100" w:type="dxa"/>
              <w:right w:w="100" w:type="dxa"/>
            </w:tcMar>
          </w:tcPr>
          <w:p w14:paraId="74AF335E" w14:textId="77777777" w:rsidR="00AC39BB" w:rsidRPr="00DE42B9" w:rsidRDefault="00AC39BB" w:rsidP="000D7E10">
            <w:pPr>
              <w:widowControl w:val="0"/>
              <w:spacing w:line="240" w:lineRule="auto"/>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F</w:t>
            </w:r>
            <w:r w:rsidRPr="00DE42B9">
              <w:rPr>
                <w:rFonts w:ascii="Times New Roman" w:hAnsi="Times New Roman" w:cs="Times New Roman"/>
                <w:color w:val="000000" w:themeColor="text1"/>
                <w:sz w:val="20"/>
                <w:szCs w:val="20"/>
                <w:vertAlign w:val="subscript"/>
              </w:rPr>
              <w:t>M</w:t>
            </w:r>
            <w:r w:rsidRPr="00DE42B9">
              <w:rPr>
                <w:rFonts w:ascii="Times New Roman" w:hAnsi="Times New Roman" w:cs="Times New Roman"/>
                <w:color w:val="000000" w:themeColor="text1"/>
                <w:sz w:val="20"/>
                <w:szCs w:val="20"/>
              </w:rPr>
              <w:t>’</w:t>
            </w:r>
          </w:p>
        </w:tc>
        <w:tc>
          <w:tcPr>
            <w:tcW w:w="3260" w:type="dxa"/>
            <w:shd w:val="clear" w:color="auto" w:fill="auto"/>
            <w:tcMar>
              <w:top w:w="100" w:type="dxa"/>
              <w:left w:w="100" w:type="dxa"/>
              <w:bottom w:w="100" w:type="dxa"/>
              <w:right w:w="100" w:type="dxa"/>
            </w:tcMar>
          </w:tcPr>
          <w:p w14:paraId="0052A466" w14:textId="77777777" w:rsidR="00AC39BB" w:rsidRPr="00DE42B9" w:rsidRDefault="00AC39BB" w:rsidP="000D7E10">
            <w:pPr>
              <w:widowControl w:val="0"/>
              <w:spacing w:line="240" w:lineRule="auto"/>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Maximum fluorescence in LAS</w:t>
            </w:r>
          </w:p>
        </w:tc>
        <w:tc>
          <w:tcPr>
            <w:tcW w:w="8788" w:type="dxa"/>
            <w:shd w:val="clear" w:color="auto" w:fill="auto"/>
            <w:tcMar>
              <w:top w:w="100" w:type="dxa"/>
              <w:left w:w="100" w:type="dxa"/>
              <w:bottom w:w="100" w:type="dxa"/>
              <w:right w:w="100" w:type="dxa"/>
            </w:tcMar>
          </w:tcPr>
          <w:p w14:paraId="7D798B48" w14:textId="77777777" w:rsidR="00AC39BB" w:rsidRPr="00DE42B9" w:rsidRDefault="00AC39BB" w:rsidP="000D7E10">
            <w:pPr>
              <w:widowControl w:val="0"/>
              <w:spacing w:line="240" w:lineRule="auto"/>
              <w:jc w:val="both"/>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Maximum fluorescence yield with Q</w:t>
            </w:r>
            <w:r w:rsidRPr="00DE42B9">
              <w:rPr>
                <w:rFonts w:ascii="Times New Roman" w:hAnsi="Times New Roman" w:cs="Times New Roman"/>
                <w:color w:val="000000" w:themeColor="text1"/>
                <w:sz w:val="20"/>
                <w:szCs w:val="20"/>
                <w:vertAlign w:val="subscript"/>
              </w:rPr>
              <w:t>A</w:t>
            </w:r>
            <w:r w:rsidRPr="00DE42B9">
              <w:rPr>
                <w:rFonts w:ascii="Times New Roman" w:hAnsi="Times New Roman" w:cs="Times New Roman"/>
                <w:color w:val="000000" w:themeColor="text1"/>
                <w:sz w:val="20"/>
                <w:szCs w:val="20"/>
              </w:rPr>
              <w:t xml:space="preserve"> reduced and non-photochemical quenching active </w:t>
            </w:r>
          </w:p>
        </w:tc>
      </w:tr>
      <w:tr w:rsidR="00AC39BB" w:rsidRPr="001075EB" w14:paraId="3EC63E22" w14:textId="77777777" w:rsidTr="000D7E10">
        <w:tc>
          <w:tcPr>
            <w:tcW w:w="983" w:type="dxa"/>
            <w:shd w:val="clear" w:color="auto" w:fill="auto"/>
            <w:tcMar>
              <w:top w:w="100" w:type="dxa"/>
              <w:left w:w="100" w:type="dxa"/>
              <w:bottom w:w="100" w:type="dxa"/>
              <w:right w:w="100" w:type="dxa"/>
            </w:tcMar>
          </w:tcPr>
          <w:p w14:paraId="703289B1" w14:textId="77777777" w:rsidR="00AC39BB" w:rsidRPr="00DE42B9" w:rsidRDefault="00AC39BB" w:rsidP="000D7E10">
            <w:pPr>
              <w:widowControl w:val="0"/>
              <w:spacing w:line="240" w:lineRule="auto"/>
              <w:rPr>
                <w:rFonts w:ascii="Times New Roman" w:hAnsi="Times New Roman" w:cs="Times New Roman"/>
                <w:color w:val="000000" w:themeColor="text1"/>
                <w:sz w:val="20"/>
                <w:szCs w:val="20"/>
                <w:vertAlign w:val="subscript"/>
              </w:rPr>
            </w:pPr>
            <w:r w:rsidRPr="00DE42B9">
              <w:rPr>
                <w:rFonts w:ascii="Times New Roman" w:hAnsi="Times New Roman" w:cs="Times New Roman"/>
                <w:color w:val="000000" w:themeColor="text1"/>
                <w:sz w:val="20"/>
                <w:szCs w:val="20"/>
              </w:rPr>
              <w:t>F</w:t>
            </w:r>
            <w:r w:rsidRPr="00DE42B9">
              <w:rPr>
                <w:rFonts w:ascii="Times New Roman" w:hAnsi="Times New Roman" w:cs="Times New Roman"/>
                <w:color w:val="000000" w:themeColor="text1"/>
                <w:sz w:val="20"/>
                <w:szCs w:val="20"/>
                <w:vertAlign w:val="subscript"/>
              </w:rPr>
              <w:t>V</w:t>
            </w:r>
          </w:p>
        </w:tc>
        <w:tc>
          <w:tcPr>
            <w:tcW w:w="3260" w:type="dxa"/>
            <w:shd w:val="clear" w:color="auto" w:fill="auto"/>
            <w:tcMar>
              <w:top w:w="100" w:type="dxa"/>
              <w:left w:w="100" w:type="dxa"/>
              <w:bottom w:w="100" w:type="dxa"/>
              <w:right w:w="100" w:type="dxa"/>
            </w:tcMar>
          </w:tcPr>
          <w:p w14:paraId="5DD9473B" w14:textId="77777777" w:rsidR="00AC39BB" w:rsidRPr="00DE42B9" w:rsidRDefault="00AC39BB" w:rsidP="000D7E10">
            <w:pPr>
              <w:widowControl w:val="0"/>
              <w:spacing w:line="240" w:lineRule="auto"/>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Variable fluorescence</w:t>
            </w:r>
          </w:p>
        </w:tc>
        <w:tc>
          <w:tcPr>
            <w:tcW w:w="8788" w:type="dxa"/>
            <w:shd w:val="clear" w:color="auto" w:fill="auto"/>
            <w:tcMar>
              <w:top w:w="100" w:type="dxa"/>
              <w:left w:w="100" w:type="dxa"/>
              <w:bottom w:w="100" w:type="dxa"/>
              <w:right w:w="100" w:type="dxa"/>
            </w:tcMar>
          </w:tcPr>
          <w:p w14:paraId="738E8D0E" w14:textId="77777777" w:rsidR="00AC39BB" w:rsidRPr="00DE42B9" w:rsidRDefault="00AC39BB" w:rsidP="000D7E10">
            <w:pPr>
              <w:widowControl w:val="0"/>
              <w:spacing w:line="240" w:lineRule="auto"/>
              <w:jc w:val="both"/>
              <w:rPr>
                <w:rFonts w:ascii="Times New Roman" w:hAnsi="Times New Roman" w:cs="Times New Roman"/>
                <w:color w:val="000000" w:themeColor="text1"/>
                <w:sz w:val="20"/>
                <w:szCs w:val="20"/>
                <w:vertAlign w:val="subscript"/>
              </w:rPr>
            </w:pPr>
            <w:r w:rsidRPr="00DE42B9">
              <w:rPr>
                <w:rFonts w:ascii="Times New Roman" w:hAnsi="Times New Roman" w:cs="Times New Roman"/>
                <w:color w:val="000000" w:themeColor="text1"/>
                <w:sz w:val="20"/>
                <w:szCs w:val="20"/>
              </w:rPr>
              <w:t>F</w:t>
            </w:r>
            <w:r w:rsidRPr="00DE42B9">
              <w:rPr>
                <w:rFonts w:ascii="Times New Roman" w:hAnsi="Times New Roman" w:cs="Times New Roman"/>
                <w:color w:val="000000" w:themeColor="text1"/>
                <w:sz w:val="20"/>
                <w:szCs w:val="20"/>
                <w:vertAlign w:val="subscript"/>
              </w:rPr>
              <w:t>V</w:t>
            </w:r>
            <w:r w:rsidRPr="00DE42B9">
              <w:rPr>
                <w:rFonts w:ascii="Times New Roman" w:hAnsi="Times New Roman" w:cs="Times New Roman"/>
                <w:color w:val="000000" w:themeColor="text1"/>
                <w:sz w:val="20"/>
                <w:szCs w:val="20"/>
              </w:rPr>
              <w:t xml:space="preserve"> = F</w:t>
            </w:r>
            <w:r w:rsidRPr="00DE42B9">
              <w:rPr>
                <w:rFonts w:ascii="Times New Roman" w:hAnsi="Times New Roman" w:cs="Times New Roman"/>
                <w:color w:val="000000" w:themeColor="text1"/>
                <w:sz w:val="20"/>
                <w:szCs w:val="20"/>
                <w:vertAlign w:val="subscript"/>
              </w:rPr>
              <w:t>M</w:t>
            </w:r>
            <w:r w:rsidRPr="00DE42B9">
              <w:rPr>
                <w:rFonts w:ascii="Times New Roman" w:hAnsi="Times New Roman" w:cs="Times New Roman"/>
                <w:color w:val="000000" w:themeColor="text1"/>
                <w:sz w:val="20"/>
                <w:szCs w:val="20"/>
              </w:rPr>
              <w:t xml:space="preserve"> - F</w:t>
            </w:r>
            <w:r w:rsidRPr="00DE42B9">
              <w:rPr>
                <w:rFonts w:ascii="Times New Roman" w:hAnsi="Times New Roman" w:cs="Times New Roman"/>
                <w:color w:val="000000" w:themeColor="text1"/>
                <w:sz w:val="20"/>
                <w:szCs w:val="20"/>
                <w:vertAlign w:val="subscript"/>
              </w:rPr>
              <w:t>0</w:t>
            </w:r>
          </w:p>
        </w:tc>
      </w:tr>
      <w:tr w:rsidR="00AC39BB" w:rsidRPr="001075EB" w14:paraId="663709E2" w14:textId="77777777" w:rsidTr="000D7E10">
        <w:trPr>
          <w:trHeight w:val="420"/>
        </w:trPr>
        <w:tc>
          <w:tcPr>
            <w:tcW w:w="983" w:type="dxa"/>
            <w:shd w:val="clear" w:color="auto" w:fill="auto"/>
            <w:tcMar>
              <w:top w:w="100" w:type="dxa"/>
              <w:left w:w="100" w:type="dxa"/>
              <w:bottom w:w="100" w:type="dxa"/>
              <w:right w:w="100" w:type="dxa"/>
            </w:tcMar>
          </w:tcPr>
          <w:p w14:paraId="564A757E" w14:textId="77777777" w:rsidR="00AC39BB" w:rsidRPr="00DE42B9" w:rsidRDefault="00AC39BB" w:rsidP="000D7E10">
            <w:pPr>
              <w:widowControl w:val="0"/>
              <w:spacing w:line="240" w:lineRule="auto"/>
              <w:rPr>
                <w:rFonts w:ascii="Times New Roman" w:hAnsi="Times New Roman" w:cs="Times New Roman"/>
                <w:color w:val="000000" w:themeColor="text1"/>
                <w:sz w:val="20"/>
                <w:szCs w:val="20"/>
                <w:vertAlign w:val="subscript"/>
              </w:rPr>
            </w:pPr>
            <w:r w:rsidRPr="00DE42B9">
              <w:rPr>
                <w:rFonts w:ascii="Times New Roman" w:hAnsi="Times New Roman" w:cs="Times New Roman"/>
                <w:color w:val="000000" w:themeColor="text1"/>
                <w:sz w:val="20"/>
                <w:szCs w:val="20"/>
              </w:rPr>
              <w:t>Φ</w:t>
            </w:r>
            <w:r w:rsidRPr="00DE42B9">
              <w:rPr>
                <w:rFonts w:ascii="Times New Roman" w:hAnsi="Times New Roman" w:cs="Times New Roman"/>
                <w:color w:val="000000" w:themeColor="text1"/>
                <w:sz w:val="20"/>
                <w:szCs w:val="20"/>
                <w:vertAlign w:val="subscript"/>
              </w:rPr>
              <w:t>P0</w:t>
            </w:r>
          </w:p>
          <w:p w14:paraId="018A4622" w14:textId="77777777" w:rsidR="00AC39BB" w:rsidRPr="00DE42B9" w:rsidRDefault="00AC39BB" w:rsidP="000D7E10">
            <w:pPr>
              <w:widowControl w:val="0"/>
              <w:spacing w:line="240" w:lineRule="auto"/>
              <w:rPr>
                <w:rFonts w:ascii="Times New Roman" w:hAnsi="Times New Roman" w:cs="Times New Roman"/>
                <w:color w:val="000000" w:themeColor="text1"/>
                <w:sz w:val="20"/>
                <w:szCs w:val="20"/>
              </w:rPr>
            </w:pPr>
          </w:p>
        </w:tc>
        <w:tc>
          <w:tcPr>
            <w:tcW w:w="3260" w:type="dxa"/>
            <w:shd w:val="clear" w:color="auto" w:fill="auto"/>
            <w:tcMar>
              <w:top w:w="100" w:type="dxa"/>
              <w:left w:w="100" w:type="dxa"/>
              <w:bottom w:w="100" w:type="dxa"/>
              <w:right w:w="100" w:type="dxa"/>
            </w:tcMar>
          </w:tcPr>
          <w:p w14:paraId="30B13449" w14:textId="77777777" w:rsidR="00AC39BB" w:rsidRPr="00DE42B9" w:rsidRDefault="00AC39BB" w:rsidP="000D7E10">
            <w:pPr>
              <w:widowControl w:val="0"/>
              <w:spacing w:line="240" w:lineRule="auto"/>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Instantaneous PSII quantum yield in DAS</w:t>
            </w:r>
          </w:p>
        </w:tc>
        <w:tc>
          <w:tcPr>
            <w:tcW w:w="8788" w:type="dxa"/>
            <w:shd w:val="clear" w:color="auto" w:fill="auto"/>
            <w:tcMar>
              <w:top w:w="100" w:type="dxa"/>
              <w:left w:w="100" w:type="dxa"/>
              <w:bottom w:w="100" w:type="dxa"/>
              <w:right w:w="100" w:type="dxa"/>
            </w:tcMar>
          </w:tcPr>
          <w:p w14:paraId="192F9543" w14:textId="77777777" w:rsidR="00AC39BB" w:rsidRPr="00DE42B9" w:rsidRDefault="00AC39BB" w:rsidP="000D7E10">
            <w:pPr>
              <w:spacing w:line="240" w:lineRule="auto"/>
              <w:jc w:val="both"/>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Quantifies the maximum photochemical efficiency of PSII in DAS and serves as a proxy of the fitness of the photosynthetic apparatus.</w:t>
            </w:r>
          </w:p>
          <w:p w14:paraId="517DE7EB" w14:textId="77777777" w:rsidR="00AC39BB" w:rsidRPr="00DE42B9" w:rsidRDefault="00AC39BB" w:rsidP="000D7E10">
            <w:pPr>
              <w:widowControl w:val="0"/>
              <w:spacing w:line="240" w:lineRule="auto"/>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Φ</w:t>
            </w:r>
            <w:r w:rsidRPr="00DE42B9">
              <w:rPr>
                <w:rFonts w:ascii="Times New Roman" w:hAnsi="Times New Roman" w:cs="Times New Roman"/>
                <w:color w:val="000000" w:themeColor="text1"/>
                <w:sz w:val="20"/>
                <w:szCs w:val="20"/>
                <w:vertAlign w:val="subscript"/>
              </w:rPr>
              <w:t>P0</w:t>
            </w:r>
            <w:r w:rsidRPr="00DE42B9">
              <w:rPr>
                <w:rFonts w:ascii="Times New Roman" w:hAnsi="Times New Roman" w:cs="Times New Roman"/>
                <w:color w:val="000000" w:themeColor="text1"/>
                <w:sz w:val="20"/>
                <w:szCs w:val="20"/>
              </w:rPr>
              <w:t>=F</w:t>
            </w:r>
            <w:r w:rsidRPr="00DE42B9">
              <w:rPr>
                <w:rFonts w:ascii="Times New Roman" w:hAnsi="Times New Roman" w:cs="Times New Roman"/>
                <w:color w:val="000000" w:themeColor="text1"/>
                <w:sz w:val="20"/>
                <w:szCs w:val="20"/>
                <w:vertAlign w:val="subscript"/>
              </w:rPr>
              <w:t>V</w:t>
            </w:r>
            <w:r w:rsidRPr="00DE42B9">
              <w:rPr>
                <w:rFonts w:ascii="Times New Roman" w:hAnsi="Times New Roman" w:cs="Times New Roman"/>
                <w:color w:val="000000" w:themeColor="text1"/>
                <w:sz w:val="20"/>
                <w:szCs w:val="20"/>
              </w:rPr>
              <w:t>/F</w:t>
            </w:r>
            <w:r w:rsidRPr="00DE42B9">
              <w:rPr>
                <w:rFonts w:ascii="Times New Roman" w:hAnsi="Times New Roman" w:cs="Times New Roman"/>
                <w:color w:val="000000" w:themeColor="text1"/>
                <w:sz w:val="20"/>
                <w:szCs w:val="20"/>
                <w:vertAlign w:val="subscript"/>
              </w:rPr>
              <w:t>M</w:t>
            </w:r>
          </w:p>
        </w:tc>
      </w:tr>
      <w:tr w:rsidR="00AC39BB" w:rsidRPr="001075EB" w14:paraId="1BC561BE" w14:textId="77777777" w:rsidTr="000D7E10">
        <w:trPr>
          <w:trHeight w:val="420"/>
        </w:trPr>
        <w:tc>
          <w:tcPr>
            <w:tcW w:w="983" w:type="dxa"/>
            <w:shd w:val="clear" w:color="auto" w:fill="auto"/>
            <w:tcMar>
              <w:top w:w="100" w:type="dxa"/>
              <w:left w:w="100" w:type="dxa"/>
              <w:bottom w:w="100" w:type="dxa"/>
              <w:right w:w="100" w:type="dxa"/>
            </w:tcMar>
          </w:tcPr>
          <w:p w14:paraId="68830DA6" w14:textId="77777777" w:rsidR="00AC39BB" w:rsidRPr="00DE42B9" w:rsidRDefault="00AC39BB" w:rsidP="000D7E10">
            <w:pPr>
              <w:widowControl w:val="0"/>
              <w:spacing w:line="240" w:lineRule="auto"/>
              <w:rPr>
                <w:rFonts w:ascii="Times New Roman" w:hAnsi="Times New Roman" w:cs="Times New Roman"/>
                <w:color w:val="000000" w:themeColor="text1"/>
                <w:sz w:val="20"/>
                <w:szCs w:val="20"/>
                <w:vertAlign w:val="subscript"/>
              </w:rPr>
            </w:pPr>
            <w:r w:rsidRPr="00DE42B9">
              <w:rPr>
                <w:rFonts w:ascii="Times New Roman" w:hAnsi="Times New Roman" w:cs="Times New Roman"/>
                <w:color w:val="000000" w:themeColor="text1"/>
                <w:sz w:val="20"/>
                <w:szCs w:val="20"/>
              </w:rPr>
              <w:t>Φ</w:t>
            </w:r>
            <w:r w:rsidRPr="00DE42B9">
              <w:rPr>
                <w:rFonts w:ascii="Times New Roman" w:hAnsi="Times New Roman" w:cs="Times New Roman"/>
                <w:color w:val="000000" w:themeColor="text1"/>
                <w:sz w:val="20"/>
                <w:szCs w:val="20"/>
                <w:vertAlign w:val="subscript"/>
              </w:rPr>
              <w:t>II</w:t>
            </w:r>
          </w:p>
        </w:tc>
        <w:tc>
          <w:tcPr>
            <w:tcW w:w="3260" w:type="dxa"/>
            <w:shd w:val="clear" w:color="auto" w:fill="auto"/>
            <w:tcMar>
              <w:top w:w="100" w:type="dxa"/>
              <w:left w:w="100" w:type="dxa"/>
              <w:bottom w:w="100" w:type="dxa"/>
              <w:right w:w="100" w:type="dxa"/>
            </w:tcMar>
          </w:tcPr>
          <w:p w14:paraId="06AF7E63" w14:textId="77777777" w:rsidR="00AC39BB" w:rsidRPr="00DE42B9" w:rsidRDefault="00AC39BB" w:rsidP="000D7E10">
            <w:pPr>
              <w:widowControl w:val="0"/>
              <w:spacing w:line="240" w:lineRule="auto"/>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Instantaneous PSII quantum yield in LAS</w:t>
            </w:r>
          </w:p>
        </w:tc>
        <w:tc>
          <w:tcPr>
            <w:tcW w:w="8788" w:type="dxa"/>
            <w:shd w:val="clear" w:color="auto" w:fill="auto"/>
            <w:tcMar>
              <w:top w:w="100" w:type="dxa"/>
              <w:left w:w="100" w:type="dxa"/>
              <w:bottom w:w="100" w:type="dxa"/>
              <w:right w:w="100" w:type="dxa"/>
            </w:tcMar>
          </w:tcPr>
          <w:p w14:paraId="159050B8" w14:textId="77777777" w:rsidR="00AC39BB" w:rsidRPr="00DE42B9" w:rsidRDefault="00AC39BB" w:rsidP="000D7E10">
            <w:pPr>
              <w:spacing w:line="240" w:lineRule="auto"/>
              <w:jc w:val="both"/>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Quantifies the maximum photochemical efficiency of PSII in LAS and serves as a proxy of the fitness of the photosynthetic apparatus.</w:t>
            </w:r>
          </w:p>
          <w:p w14:paraId="5C755186" w14:textId="77777777" w:rsidR="00AC39BB" w:rsidRPr="00DE42B9" w:rsidRDefault="00AC39BB" w:rsidP="000D7E10">
            <w:pPr>
              <w:widowControl w:val="0"/>
              <w:spacing w:line="240" w:lineRule="auto"/>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Φ</w:t>
            </w:r>
            <w:r w:rsidRPr="00DE42B9">
              <w:rPr>
                <w:rFonts w:ascii="Times New Roman" w:hAnsi="Times New Roman" w:cs="Times New Roman"/>
                <w:color w:val="000000" w:themeColor="text1"/>
                <w:sz w:val="20"/>
                <w:szCs w:val="20"/>
                <w:vertAlign w:val="subscript"/>
              </w:rPr>
              <w:t>II</w:t>
            </w:r>
            <w:r w:rsidRPr="00DE42B9">
              <w:rPr>
                <w:rFonts w:ascii="Times New Roman" w:hAnsi="Times New Roman" w:cs="Times New Roman"/>
                <w:color w:val="000000" w:themeColor="text1"/>
                <w:sz w:val="20"/>
                <w:szCs w:val="20"/>
              </w:rPr>
              <w:t>= (F</w:t>
            </w:r>
            <w:r w:rsidRPr="00DE42B9">
              <w:rPr>
                <w:rFonts w:ascii="Times New Roman" w:hAnsi="Times New Roman" w:cs="Times New Roman"/>
                <w:color w:val="000000" w:themeColor="text1"/>
                <w:sz w:val="20"/>
                <w:szCs w:val="20"/>
                <w:vertAlign w:val="subscript"/>
              </w:rPr>
              <w:t>M</w:t>
            </w:r>
            <w:r w:rsidRPr="00DE42B9">
              <w:rPr>
                <w:rFonts w:ascii="Times New Roman" w:hAnsi="Times New Roman" w:cs="Times New Roman"/>
                <w:color w:val="000000" w:themeColor="text1"/>
                <w:sz w:val="20"/>
                <w:szCs w:val="20"/>
              </w:rPr>
              <w:t>' – F</w:t>
            </w:r>
            <w:r w:rsidRPr="00DE42B9">
              <w:rPr>
                <w:rFonts w:ascii="Times New Roman" w:hAnsi="Times New Roman" w:cs="Times New Roman"/>
                <w:color w:val="000000" w:themeColor="text1"/>
                <w:sz w:val="20"/>
                <w:szCs w:val="20"/>
                <w:vertAlign w:val="subscript"/>
              </w:rPr>
              <w:t>S</w:t>
            </w:r>
            <w:r w:rsidRPr="00DE42B9">
              <w:rPr>
                <w:rFonts w:ascii="Times New Roman" w:hAnsi="Times New Roman" w:cs="Times New Roman"/>
                <w:color w:val="000000" w:themeColor="text1"/>
                <w:sz w:val="20"/>
                <w:szCs w:val="20"/>
              </w:rPr>
              <w:t>)/F</w:t>
            </w:r>
            <w:r w:rsidRPr="00DE42B9">
              <w:rPr>
                <w:rFonts w:ascii="Times New Roman" w:hAnsi="Times New Roman" w:cs="Times New Roman"/>
                <w:color w:val="000000" w:themeColor="text1"/>
                <w:sz w:val="20"/>
                <w:szCs w:val="20"/>
                <w:vertAlign w:val="subscript"/>
              </w:rPr>
              <w:t>M</w:t>
            </w:r>
            <w:r w:rsidRPr="00DE42B9">
              <w:rPr>
                <w:rFonts w:ascii="Times New Roman" w:hAnsi="Times New Roman" w:cs="Times New Roman"/>
                <w:color w:val="000000" w:themeColor="text1"/>
                <w:sz w:val="20"/>
                <w:szCs w:val="20"/>
              </w:rPr>
              <w:t>'</w:t>
            </w:r>
          </w:p>
        </w:tc>
      </w:tr>
      <w:tr w:rsidR="00AC39BB" w:rsidRPr="001075EB" w14:paraId="74D7EC3C" w14:textId="77777777" w:rsidTr="000D7E10">
        <w:tc>
          <w:tcPr>
            <w:tcW w:w="983" w:type="dxa"/>
            <w:shd w:val="clear" w:color="auto" w:fill="auto"/>
            <w:tcMar>
              <w:top w:w="100" w:type="dxa"/>
              <w:left w:w="100" w:type="dxa"/>
              <w:bottom w:w="100" w:type="dxa"/>
              <w:right w:w="100" w:type="dxa"/>
            </w:tcMar>
          </w:tcPr>
          <w:p w14:paraId="7E436440" w14:textId="77777777" w:rsidR="00AC39BB" w:rsidRPr="00DE42B9" w:rsidRDefault="00AC39BB" w:rsidP="000D7E10">
            <w:pPr>
              <w:widowControl w:val="0"/>
              <w:spacing w:line="240" w:lineRule="auto"/>
              <w:rPr>
                <w:rFonts w:ascii="Times New Roman" w:hAnsi="Times New Roman" w:cs="Times New Roman"/>
                <w:color w:val="000000" w:themeColor="text1"/>
                <w:sz w:val="20"/>
                <w:szCs w:val="20"/>
              </w:rPr>
            </w:pPr>
            <w:proofErr w:type="spellStart"/>
            <w:r w:rsidRPr="00DE42B9">
              <w:rPr>
                <w:rFonts w:ascii="Times New Roman" w:hAnsi="Times New Roman" w:cs="Times New Roman"/>
                <w:color w:val="000000" w:themeColor="text1"/>
                <w:sz w:val="20"/>
                <w:szCs w:val="20"/>
              </w:rPr>
              <w:t>qP</w:t>
            </w:r>
            <w:proofErr w:type="spellEnd"/>
          </w:p>
        </w:tc>
        <w:tc>
          <w:tcPr>
            <w:tcW w:w="3260" w:type="dxa"/>
            <w:shd w:val="clear" w:color="auto" w:fill="auto"/>
            <w:tcMar>
              <w:top w:w="100" w:type="dxa"/>
              <w:left w:w="100" w:type="dxa"/>
              <w:bottom w:w="100" w:type="dxa"/>
              <w:right w:w="100" w:type="dxa"/>
            </w:tcMar>
          </w:tcPr>
          <w:p w14:paraId="7A69EE39" w14:textId="77777777" w:rsidR="00AC39BB" w:rsidRPr="00DE42B9" w:rsidRDefault="00AC39BB" w:rsidP="000D7E10">
            <w:pPr>
              <w:widowControl w:val="0"/>
              <w:spacing w:line="240" w:lineRule="auto"/>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 xml:space="preserve">Photochemical quenching of variable Chl fluorescence </w:t>
            </w:r>
          </w:p>
        </w:tc>
        <w:tc>
          <w:tcPr>
            <w:tcW w:w="8788" w:type="dxa"/>
            <w:shd w:val="clear" w:color="auto" w:fill="auto"/>
            <w:tcMar>
              <w:top w:w="100" w:type="dxa"/>
              <w:left w:w="100" w:type="dxa"/>
              <w:bottom w:w="100" w:type="dxa"/>
              <w:right w:w="100" w:type="dxa"/>
            </w:tcMar>
          </w:tcPr>
          <w:p w14:paraId="4CE4EE07" w14:textId="77777777" w:rsidR="00AC39BB" w:rsidRPr="00DE42B9" w:rsidRDefault="00AC39BB" w:rsidP="000D7E10">
            <w:pPr>
              <w:widowControl w:val="0"/>
              <w:spacing w:line="240" w:lineRule="auto"/>
              <w:jc w:val="both"/>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Parameter estimating the fraction of open PS II centers</w:t>
            </w:r>
          </w:p>
          <w:p w14:paraId="058C5CFC" w14:textId="77777777" w:rsidR="00AC39BB" w:rsidRPr="00DE42B9" w:rsidRDefault="00AC39BB" w:rsidP="000D7E10">
            <w:pPr>
              <w:widowControl w:val="0"/>
              <w:spacing w:line="240" w:lineRule="auto"/>
              <w:jc w:val="both"/>
              <w:rPr>
                <w:rFonts w:ascii="Times New Roman" w:hAnsi="Times New Roman" w:cs="Times New Roman"/>
                <w:color w:val="000000" w:themeColor="text1"/>
                <w:sz w:val="20"/>
                <w:szCs w:val="20"/>
                <w:vertAlign w:val="subscript"/>
              </w:rPr>
            </w:pPr>
            <w:proofErr w:type="spellStart"/>
            <w:r w:rsidRPr="00DE42B9">
              <w:rPr>
                <w:rFonts w:ascii="Times New Roman" w:hAnsi="Times New Roman" w:cs="Times New Roman"/>
                <w:color w:val="000000" w:themeColor="text1"/>
                <w:sz w:val="20"/>
                <w:szCs w:val="20"/>
              </w:rPr>
              <w:t>qP</w:t>
            </w:r>
            <w:proofErr w:type="spellEnd"/>
            <w:r w:rsidRPr="00DE42B9">
              <w:rPr>
                <w:rFonts w:ascii="Times New Roman" w:hAnsi="Times New Roman" w:cs="Times New Roman"/>
                <w:color w:val="000000" w:themeColor="text1"/>
                <w:sz w:val="20"/>
                <w:szCs w:val="20"/>
              </w:rPr>
              <w:t xml:space="preserve"> = (F</w:t>
            </w:r>
            <w:r w:rsidRPr="00DE42B9">
              <w:rPr>
                <w:rFonts w:ascii="Times New Roman" w:hAnsi="Times New Roman" w:cs="Times New Roman"/>
                <w:color w:val="000000" w:themeColor="text1"/>
                <w:sz w:val="20"/>
                <w:szCs w:val="20"/>
                <w:vertAlign w:val="subscript"/>
              </w:rPr>
              <w:t>M</w:t>
            </w:r>
            <w:r w:rsidRPr="00DE42B9">
              <w:rPr>
                <w:rFonts w:ascii="Times New Roman" w:hAnsi="Times New Roman" w:cs="Times New Roman"/>
                <w:color w:val="000000" w:themeColor="text1"/>
                <w:sz w:val="20"/>
                <w:szCs w:val="20"/>
              </w:rPr>
              <w:t>' – F</w:t>
            </w:r>
            <w:r w:rsidRPr="00DE42B9">
              <w:rPr>
                <w:rFonts w:ascii="Times New Roman" w:hAnsi="Times New Roman" w:cs="Times New Roman"/>
                <w:color w:val="000000" w:themeColor="text1"/>
                <w:sz w:val="20"/>
                <w:szCs w:val="20"/>
                <w:vertAlign w:val="subscript"/>
              </w:rPr>
              <w:t>S</w:t>
            </w:r>
            <w:r w:rsidRPr="00DE42B9">
              <w:rPr>
                <w:rFonts w:ascii="Times New Roman" w:hAnsi="Times New Roman" w:cs="Times New Roman"/>
                <w:color w:val="000000" w:themeColor="text1"/>
                <w:sz w:val="20"/>
                <w:szCs w:val="20"/>
              </w:rPr>
              <w:t>)/(F</w:t>
            </w:r>
            <w:r w:rsidRPr="00DE42B9">
              <w:rPr>
                <w:rFonts w:ascii="Times New Roman" w:hAnsi="Times New Roman" w:cs="Times New Roman"/>
                <w:color w:val="000000" w:themeColor="text1"/>
                <w:sz w:val="20"/>
                <w:szCs w:val="20"/>
                <w:vertAlign w:val="subscript"/>
              </w:rPr>
              <w:t>M</w:t>
            </w:r>
            <w:r w:rsidRPr="00DE42B9">
              <w:rPr>
                <w:rFonts w:ascii="Times New Roman" w:hAnsi="Times New Roman" w:cs="Times New Roman"/>
                <w:color w:val="000000" w:themeColor="text1"/>
                <w:sz w:val="20"/>
                <w:szCs w:val="20"/>
              </w:rPr>
              <w:t>' – F</w:t>
            </w:r>
            <w:r w:rsidRPr="00DE42B9">
              <w:rPr>
                <w:rFonts w:ascii="Times New Roman" w:hAnsi="Times New Roman" w:cs="Times New Roman"/>
                <w:color w:val="000000" w:themeColor="text1"/>
                <w:sz w:val="20"/>
                <w:szCs w:val="20"/>
                <w:vertAlign w:val="subscript"/>
              </w:rPr>
              <w:t>0</w:t>
            </w:r>
            <w:r w:rsidRPr="00DE42B9">
              <w:rPr>
                <w:rFonts w:ascii="Times New Roman" w:eastAsia="Arial Unicode MS" w:hAnsi="Times New Roman" w:cs="Times New Roman"/>
                <w:color w:val="000000" w:themeColor="text1"/>
                <w:sz w:val="20"/>
                <w:szCs w:val="20"/>
              </w:rPr>
              <w:t>') = ∆F/F</w:t>
            </w:r>
            <w:r w:rsidRPr="00DE42B9">
              <w:rPr>
                <w:rFonts w:ascii="Times New Roman" w:hAnsi="Times New Roman" w:cs="Times New Roman"/>
                <w:color w:val="000000" w:themeColor="text1"/>
                <w:sz w:val="20"/>
                <w:szCs w:val="20"/>
                <w:vertAlign w:val="subscript"/>
              </w:rPr>
              <w:t>V</w:t>
            </w:r>
          </w:p>
        </w:tc>
      </w:tr>
      <w:tr w:rsidR="00AC39BB" w:rsidRPr="001075EB" w14:paraId="3473FF41" w14:textId="77777777" w:rsidTr="000D7E10">
        <w:tc>
          <w:tcPr>
            <w:tcW w:w="983" w:type="dxa"/>
            <w:shd w:val="clear" w:color="auto" w:fill="auto"/>
            <w:tcMar>
              <w:top w:w="100" w:type="dxa"/>
              <w:left w:w="100" w:type="dxa"/>
              <w:bottom w:w="100" w:type="dxa"/>
              <w:right w:w="100" w:type="dxa"/>
            </w:tcMar>
          </w:tcPr>
          <w:p w14:paraId="1A8EBEF2" w14:textId="77777777" w:rsidR="00AC39BB" w:rsidRPr="00DE42B9" w:rsidRDefault="00AC39BB" w:rsidP="000D7E10">
            <w:pPr>
              <w:widowControl w:val="0"/>
              <w:spacing w:line="240" w:lineRule="auto"/>
              <w:rPr>
                <w:rFonts w:ascii="Times New Roman" w:hAnsi="Times New Roman" w:cs="Times New Roman"/>
                <w:color w:val="000000" w:themeColor="text1"/>
                <w:sz w:val="20"/>
                <w:szCs w:val="20"/>
              </w:rPr>
            </w:pPr>
            <w:proofErr w:type="spellStart"/>
            <w:r w:rsidRPr="00DE42B9">
              <w:rPr>
                <w:rFonts w:ascii="Times New Roman" w:hAnsi="Times New Roman" w:cs="Times New Roman"/>
                <w:color w:val="000000" w:themeColor="text1"/>
                <w:sz w:val="20"/>
                <w:szCs w:val="20"/>
              </w:rPr>
              <w:t>qN</w:t>
            </w:r>
            <w:proofErr w:type="spellEnd"/>
          </w:p>
        </w:tc>
        <w:tc>
          <w:tcPr>
            <w:tcW w:w="3260" w:type="dxa"/>
            <w:shd w:val="clear" w:color="auto" w:fill="auto"/>
            <w:tcMar>
              <w:top w:w="100" w:type="dxa"/>
              <w:left w:w="100" w:type="dxa"/>
              <w:bottom w:w="100" w:type="dxa"/>
              <w:right w:w="100" w:type="dxa"/>
            </w:tcMar>
          </w:tcPr>
          <w:p w14:paraId="71401B35" w14:textId="77777777" w:rsidR="00AC39BB" w:rsidRPr="00DE42B9" w:rsidRDefault="00AC39BB" w:rsidP="000D7E10">
            <w:pPr>
              <w:widowControl w:val="0"/>
              <w:spacing w:line="240" w:lineRule="auto"/>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Non-photochemical quenching of variable Chl fluorescence</w:t>
            </w:r>
          </w:p>
        </w:tc>
        <w:tc>
          <w:tcPr>
            <w:tcW w:w="8788" w:type="dxa"/>
            <w:shd w:val="clear" w:color="auto" w:fill="auto"/>
            <w:tcMar>
              <w:top w:w="100" w:type="dxa"/>
              <w:left w:w="100" w:type="dxa"/>
              <w:bottom w:w="100" w:type="dxa"/>
              <w:right w:w="100" w:type="dxa"/>
            </w:tcMar>
          </w:tcPr>
          <w:p w14:paraId="4360C387" w14:textId="77777777" w:rsidR="00AC39BB" w:rsidRPr="00DE42B9" w:rsidRDefault="00AC39BB" w:rsidP="000D7E10">
            <w:pPr>
              <w:widowControl w:val="0"/>
              <w:spacing w:line="240" w:lineRule="auto"/>
              <w:jc w:val="both"/>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Indicates the amount of energy that is quenched through heat dissipation</w:t>
            </w:r>
          </w:p>
          <w:p w14:paraId="7239F4DF" w14:textId="77777777" w:rsidR="00AC39BB" w:rsidRPr="00DE42B9" w:rsidRDefault="00AC39BB" w:rsidP="000D7E10">
            <w:pPr>
              <w:widowControl w:val="0"/>
              <w:spacing w:line="240" w:lineRule="auto"/>
              <w:jc w:val="both"/>
              <w:rPr>
                <w:rFonts w:ascii="Times New Roman" w:hAnsi="Times New Roman" w:cs="Times New Roman"/>
                <w:color w:val="000000" w:themeColor="text1"/>
                <w:sz w:val="20"/>
                <w:szCs w:val="20"/>
                <w:vertAlign w:val="subscript"/>
              </w:rPr>
            </w:pPr>
            <w:proofErr w:type="spellStart"/>
            <w:r w:rsidRPr="00DE42B9">
              <w:rPr>
                <w:rFonts w:ascii="Times New Roman" w:hAnsi="Times New Roman" w:cs="Times New Roman"/>
                <w:color w:val="000000" w:themeColor="text1"/>
                <w:sz w:val="20"/>
                <w:szCs w:val="20"/>
              </w:rPr>
              <w:t>qN</w:t>
            </w:r>
            <w:proofErr w:type="spellEnd"/>
            <w:r w:rsidRPr="00DE42B9">
              <w:rPr>
                <w:rFonts w:ascii="Times New Roman" w:hAnsi="Times New Roman" w:cs="Times New Roman"/>
                <w:color w:val="000000" w:themeColor="text1"/>
                <w:sz w:val="20"/>
                <w:szCs w:val="20"/>
              </w:rPr>
              <w:t xml:space="preserve"> = (F</w:t>
            </w:r>
            <w:r w:rsidRPr="00DE42B9">
              <w:rPr>
                <w:rFonts w:ascii="Times New Roman" w:hAnsi="Times New Roman" w:cs="Times New Roman"/>
                <w:color w:val="000000" w:themeColor="text1"/>
                <w:sz w:val="20"/>
                <w:szCs w:val="20"/>
                <w:vertAlign w:val="subscript"/>
              </w:rPr>
              <w:t>V</w:t>
            </w:r>
            <w:r w:rsidRPr="00DE42B9">
              <w:rPr>
                <w:rFonts w:ascii="Times New Roman" w:hAnsi="Times New Roman" w:cs="Times New Roman"/>
                <w:color w:val="000000" w:themeColor="text1"/>
                <w:sz w:val="20"/>
                <w:szCs w:val="20"/>
              </w:rPr>
              <w:t xml:space="preserve"> – F</w:t>
            </w:r>
            <w:r w:rsidRPr="00DE42B9">
              <w:rPr>
                <w:rFonts w:ascii="Times New Roman" w:hAnsi="Times New Roman" w:cs="Times New Roman"/>
                <w:color w:val="000000" w:themeColor="text1"/>
                <w:sz w:val="20"/>
                <w:szCs w:val="20"/>
                <w:vertAlign w:val="subscript"/>
              </w:rPr>
              <w:t>V</w:t>
            </w:r>
            <w:r w:rsidRPr="00DE42B9">
              <w:rPr>
                <w:rFonts w:ascii="Times New Roman" w:hAnsi="Times New Roman" w:cs="Times New Roman"/>
                <w:color w:val="000000" w:themeColor="text1"/>
                <w:sz w:val="20"/>
                <w:szCs w:val="20"/>
              </w:rPr>
              <w:t>')/F</w:t>
            </w:r>
            <w:r w:rsidRPr="00DE42B9">
              <w:rPr>
                <w:rFonts w:ascii="Times New Roman" w:hAnsi="Times New Roman" w:cs="Times New Roman"/>
                <w:color w:val="000000" w:themeColor="text1"/>
                <w:sz w:val="20"/>
                <w:szCs w:val="20"/>
                <w:vertAlign w:val="subscript"/>
              </w:rPr>
              <w:t>V</w:t>
            </w:r>
            <w:r w:rsidRPr="00DE42B9">
              <w:rPr>
                <w:rFonts w:ascii="Times New Roman" w:hAnsi="Times New Roman" w:cs="Times New Roman"/>
                <w:color w:val="000000" w:themeColor="text1"/>
                <w:sz w:val="20"/>
                <w:szCs w:val="20"/>
              </w:rPr>
              <w:t xml:space="preserve"> = 1 – F</w:t>
            </w:r>
            <w:r w:rsidRPr="00DE42B9">
              <w:rPr>
                <w:rFonts w:ascii="Times New Roman" w:hAnsi="Times New Roman" w:cs="Times New Roman"/>
                <w:color w:val="000000" w:themeColor="text1"/>
                <w:sz w:val="20"/>
                <w:szCs w:val="20"/>
                <w:vertAlign w:val="subscript"/>
              </w:rPr>
              <w:t>V</w:t>
            </w:r>
            <w:r w:rsidRPr="00DE42B9">
              <w:rPr>
                <w:rFonts w:ascii="Times New Roman" w:hAnsi="Times New Roman" w:cs="Times New Roman"/>
                <w:color w:val="000000" w:themeColor="text1"/>
                <w:sz w:val="20"/>
                <w:szCs w:val="20"/>
              </w:rPr>
              <w:t>'/F</w:t>
            </w:r>
            <w:r w:rsidRPr="00DE42B9">
              <w:rPr>
                <w:rFonts w:ascii="Times New Roman" w:hAnsi="Times New Roman" w:cs="Times New Roman"/>
                <w:color w:val="000000" w:themeColor="text1"/>
                <w:sz w:val="20"/>
                <w:szCs w:val="20"/>
                <w:vertAlign w:val="subscript"/>
              </w:rPr>
              <w:t>V</w:t>
            </w:r>
          </w:p>
        </w:tc>
      </w:tr>
      <w:tr w:rsidR="00AC39BB" w:rsidRPr="001075EB" w14:paraId="46887297" w14:textId="77777777" w:rsidTr="000D7E10">
        <w:tc>
          <w:tcPr>
            <w:tcW w:w="983" w:type="dxa"/>
            <w:shd w:val="clear" w:color="auto" w:fill="auto"/>
            <w:tcMar>
              <w:top w:w="100" w:type="dxa"/>
              <w:left w:w="100" w:type="dxa"/>
              <w:bottom w:w="100" w:type="dxa"/>
              <w:right w:w="100" w:type="dxa"/>
            </w:tcMar>
          </w:tcPr>
          <w:p w14:paraId="61143E59" w14:textId="77777777" w:rsidR="00AC39BB" w:rsidRPr="00DE42B9" w:rsidRDefault="00AC39BB" w:rsidP="000D7E10">
            <w:pPr>
              <w:widowControl w:val="0"/>
              <w:spacing w:line="240" w:lineRule="auto"/>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NPQ</w:t>
            </w:r>
          </w:p>
        </w:tc>
        <w:tc>
          <w:tcPr>
            <w:tcW w:w="3260" w:type="dxa"/>
            <w:shd w:val="clear" w:color="auto" w:fill="auto"/>
            <w:tcMar>
              <w:top w:w="100" w:type="dxa"/>
              <w:left w:w="100" w:type="dxa"/>
              <w:bottom w:w="100" w:type="dxa"/>
              <w:right w:w="100" w:type="dxa"/>
            </w:tcMar>
          </w:tcPr>
          <w:p w14:paraId="60A8BF16" w14:textId="77777777" w:rsidR="00AC39BB" w:rsidRPr="00DE42B9" w:rsidRDefault="00AC39BB" w:rsidP="000D7E10">
            <w:pPr>
              <w:widowControl w:val="0"/>
              <w:spacing w:line="240" w:lineRule="auto"/>
              <w:rPr>
                <w:rFonts w:ascii="Times New Roman" w:hAnsi="Times New Roman" w:cs="Times New Roman"/>
                <w:color w:val="000000" w:themeColor="text1"/>
                <w:sz w:val="20"/>
                <w:szCs w:val="20"/>
                <w:lang w:val="fr-FR"/>
              </w:rPr>
            </w:pPr>
            <w:r w:rsidRPr="00DE42B9">
              <w:rPr>
                <w:rFonts w:ascii="Times New Roman" w:hAnsi="Times New Roman" w:cs="Times New Roman"/>
                <w:color w:val="000000" w:themeColor="text1"/>
                <w:sz w:val="20"/>
                <w:szCs w:val="20"/>
                <w:lang w:val="fr-FR"/>
              </w:rPr>
              <w:t>Non-photochemical Chl fluorescence quenching</w:t>
            </w:r>
          </w:p>
        </w:tc>
        <w:tc>
          <w:tcPr>
            <w:tcW w:w="8788" w:type="dxa"/>
            <w:shd w:val="clear" w:color="auto" w:fill="auto"/>
            <w:tcMar>
              <w:top w:w="100" w:type="dxa"/>
              <w:left w:w="100" w:type="dxa"/>
              <w:bottom w:w="100" w:type="dxa"/>
              <w:right w:w="100" w:type="dxa"/>
            </w:tcMar>
          </w:tcPr>
          <w:p w14:paraId="44B79844" w14:textId="77777777" w:rsidR="00AC39BB" w:rsidRPr="00DE42B9" w:rsidRDefault="00AC39BB" w:rsidP="000D7E10">
            <w:pPr>
              <w:widowControl w:val="0"/>
              <w:spacing w:line="240" w:lineRule="auto"/>
              <w:jc w:val="both"/>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Indicates the amount of energy that is quenched through heat dissipation</w:t>
            </w:r>
          </w:p>
          <w:p w14:paraId="52594A69" w14:textId="77777777" w:rsidR="00AC39BB" w:rsidRPr="00DE42B9" w:rsidRDefault="00AC39BB" w:rsidP="000D7E10">
            <w:pPr>
              <w:widowControl w:val="0"/>
              <w:spacing w:line="240" w:lineRule="auto"/>
              <w:jc w:val="both"/>
              <w:rPr>
                <w:rFonts w:ascii="Times New Roman" w:hAnsi="Times New Roman" w:cs="Times New Roman"/>
                <w:color w:val="000000" w:themeColor="text1"/>
                <w:sz w:val="20"/>
                <w:szCs w:val="20"/>
              </w:rPr>
            </w:pPr>
            <w:r w:rsidRPr="00DE42B9">
              <w:rPr>
                <w:rFonts w:ascii="Times New Roman" w:hAnsi="Times New Roman" w:cs="Times New Roman"/>
                <w:color w:val="000000" w:themeColor="text1"/>
                <w:sz w:val="20"/>
                <w:szCs w:val="20"/>
              </w:rPr>
              <w:t>NPQ = (F</w:t>
            </w:r>
            <w:r w:rsidRPr="00DE42B9">
              <w:rPr>
                <w:rFonts w:ascii="Times New Roman" w:hAnsi="Times New Roman" w:cs="Times New Roman"/>
                <w:color w:val="000000" w:themeColor="text1"/>
                <w:sz w:val="20"/>
                <w:szCs w:val="20"/>
                <w:vertAlign w:val="subscript"/>
              </w:rPr>
              <w:t>M</w:t>
            </w:r>
            <w:r w:rsidRPr="00DE42B9">
              <w:rPr>
                <w:rFonts w:ascii="Times New Roman" w:hAnsi="Times New Roman" w:cs="Times New Roman"/>
                <w:color w:val="000000" w:themeColor="text1"/>
                <w:sz w:val="20"/>
                <w:szCs w:val="20"/>
              </w:rPr>
              <w:t xml:space="preserve"> – F</w:t>
            </w:r>
            <w:r w:rsidRPr="00DE42B9">
              <w:rPr>
                <w:rFonts w:ascii="Times New Roman" w:hAnsi="Times New Roman" w:cs="Times New Roman"/>
                <w:color w:val="000000" w:themeColor="text1"/>
                <w:sz w:val="20"/>
                <w:szCs w:val="20"/>
                <w:vertAlign w:val="subscript"/>
              </w:rPr>
              <w:t>M</w:t>
            </w:r>
            <w:r w:rsidRPr="00DE42B9">
              <w:rPr>
                <w:rFonts w:ascii="Times New Roman" w:hAnsi="Times New Roman" w:cs="Times New Roman"/>
                <w:color w:val="000000" w:themeColor="text1"/>
                <w:sz w:val="20"/>
                <w:szCs w:val="20"/>
              </w:rPr>
              <w:t>’)/F</w:t>
            </w:r>
            <w:r w:rsidRPr="00DE42B9">
              <w:rPr>
                <w:rFonts w:ascii="Times New Roman" w:hAnsi="Times New Roman" w:cs="Times New Roman"/>
                <w:color w:val="000000" w:themeColor="text1"/>
                <w:sz w:val="20"/>
                <w:szCs w:val="20"/>
                <w:vertAlign w:val="subscript"/>
              </w:rPr>
              <w:t>M</w:t>
            </w:r>
            <w:r w:rsidRPr="00DE42B9">
              <w:rPr>
                <w:rFonts w:ascii="Times New Roman" w:hAnsi="Times New Roman" w:cs="Times New Roman"/>
                <w:color w:val="000000" w:themeColor="text1"/>
                <w:sz w:val="20"/>
                <w:szCs w:val="20"/>
              </w:rPr>
              <w:t>' = F</w:t>
            </w:r>
            <w:r w:rsidRPr="00DE42B9">
              <w:rPr>
                <w:rFonts w:ascii="Times New Roman" w:hAnsi="Times New Roman" w:cs="Times New Roman"/>
                <w:color w:val="000000" w:themeColor="text1"/>
                <w:sz w:val="20"/>
                <w:szCs w:val="20"/>
                <w:vertAlign w:val="subscript"/>
              </w:rPr>
              <w:t>M</w:t>
            </w:r>
            <w:r w:rsidRPr="00DE42B9">
              <w:rPr>
                <w:rFonts w:ascii="Times New Roman" w:hAnsi="Times New Roman" w:cs="Times New Roman"/>
                <w:color w:val="000000" w:themeColor="text1"/>
                <w:sz w:val="20"/>
                <w:szCs w:val="20"/>
              </w:rPr>
              <w:t>/F</w:t>
            </w:r>
            <w:r w:rsidRPr="00DE42B9">
              <w:rPr>
                <w:rFonts w:ascii="Times New Roman" w:hAnsi="Times New Roman" w:cs="Times New Roman"/>
                <w:color w:val="000000" w:themeColor="text1"/>
                <w:sz w:val="20"/>
                <w:szCs w:val="20"/>
                <w:vertAlign w:val="subscript"/>
              </w:rPr>
              <w:t>M</w:t>
            </w:r>
            <w:r w:rsidRPr="00DE42B9">
              <w:rPr>
                <w:rFonts w:ascii="Times New Roman" w:hAnsi="Times New Roman" w:cs="Times New Roman"/>
                <w:color w:val="000000" w:themeColor="text1"/>
                <w:sz w:val="20"/>
                <w:szCs w:val="20"/>
              </w:rPr>
              <w:t xml:space="preserve">' – 1 </w:t>
            </w:r>
          </w:p>
        </w:tc>
      </w:tr>
    </w:tbl>
    <w:p w14:paraId="1006D727" w14:textId="77777777" w:rsidR="00ED7769" w:rsidRPr="001075EB" w:rsidRDefault="00ED7769" w:rsidP="00ED7769">
      <w:pPr>
        <w:rPr>
          <w:rFonts w:ascii="Times New Roman" w:hAnsi="Times New Roman" w:cs="Times New Roman"/>
          <w:color w:val="000000" w:themeColor="text1"/>
          <w:sz w:val="24"/>
          <w:szCs w:val="24"/>
        </w:rPr>
      </w:pPr>
    </w:p>
    <w:p w14:paraId="4EC374E2" w14:textId="77777777" w:rsidR="005F3B35" w:rsidRPr="001075EB" w:rsidRDefault="00ED7769" w:rsidP="00ED7769">
      <w:pPr>
        <w:rPr>
          <w:rFonts w:ascii="Times New Roman" w:hAnsi="Times New Roman" w:cs="Times New Roman"/>
          <w:color w:val="000000" w:themeColor="text1"/>
          <w:sz w:val="24"/>
          <w:szCs w:val="24"/>
        </w:rPr>
        <w:sectPr w:rsidR="005F3B35" w:rsidRPr="001075EB" w:rsidSect="004344A4">
          <w:pgSz w:w="16838" w:h="11906" w:orient="landscape" w:code="9"/>
          <w:pgMar w:top="1440" w:right="1440" w:bottom="1440" w:left="1440" w:header="720" w:footer="720" w:gutter="0"/>
          <w:cols w:space="720"/>
          <w:vAlign w:val="center"/>
          <w:docGrid w:linePitch="299"/>
        </w:sectPr>
      </w:pPr>
      <w:r w:rsidRPr="001075EB">
        <w:rPr>
          <w:rFonts w:ascii="Times New Roman" w:hAnsi="Times New Roman" w:cs="Times New Roman"/>
          <w:color w:val="000000" w:themeColor="text1"/>
          <w:sz w:val="24"/>
          <w:szCs w:val="24"/>
        </w:rPr>
        <w:br w:type="page"/>
      </w:r>
    </w:p>
    <w:p w14:paraId="3D10D471" w14:textId="46C3C531" w:rsidR="00ED7769" w:rsidRPr="001075EB" w:rsidRDefault="00ED7769" w:rsidP="00A650C8">
      <w:pPr>
        <w:pStyle w:val="Heading3"/>
        <w:spacing w:after="0" w:line="480" w:lineRule="auto"/>
        <w:rPr>
          <w:rFonts w:ascii="Times New Roman" w:hAnsi="Times New Roman" w:cs="Times New Roman"/>
          <w:b/>
          <w:bCs/>
          <w:color w:val="000000" w:themeColor="text1"/>
          <w:sz w:val="24"/>
          <w:szCs w:val="24"/>
        </w:rPr>
      </w:pPr>
      <w:r w:rsidRPr="001075EB">
        <w:rPr>
          <w:rFonts w:ascii="Times New Roman" w:hAnsi="Times New Roman" w:cs="Times New Roman"/>
          <w:b/>
          <w:bCs/>
          <w:color w:val="000000" w:themeColor="text1"/>
          <w:sz w:val="24"/>
          <w:szCs w:val="24"/>
        </w:rPr>
        <w:lastRenderedPageBreak/>
        <w:t>Supplementary Table S</w:t>
      </w:r>
      <w:r w:rsidR="00D63AB4" w:rsidRPr="001075EB">
        <w:rPr>
          <w:rFonts w:ascii="Times New Roman" w:hAnsi="Times New Roman" w:cs="Times New Roman"/>
          <w:b/>
          <w:bCs/>
          <w:color w:val="000000" w:themeColor="text1"/>
          <w:sz w:val="24"/>
          <w:szCs w:val="24"/>
        </w:rPr>
        <w:t>3</w:t>
      </w:r>
    </w:p>
    <w:p w14:paraId="49B2C133" w14:textId="4C26126B" w:rsidR="00ED7769" w:rsidRPr="00DE42B9" w:rsidRDefault="00ED7769" w:rsidP="00ED7769">
      <w:pPr>
        <w:pStyle w:val="Caption"/>
        <w:keepNext/>
        <w:jc w:val="both"/>
        <w:rPr>
          <w:rFonts w:ascii="Times New Roman" w:hAnsi="Times New Roman" w:cs="Times New Roman"/>
          <w:b/>
          <w:bCs/>
          <w:i w:val="0"/>
          <w:iCs w:val="0"/>
          <w:color w:val="000000" w:themeColor="text1"/>
          <w:sz w:val="20"/>
          <w:szCs w:val="20"/>
        </w:rPr>
      </w:pPr>
      <w:r w:rsidRPr="00DE42B9">
        <w:rPr>
          <w:rFonts w:ascii="Times New Roman" w:hAnsi="Times New Roman" w:cs="Times New Roman"/>
          <w:b/>
          <w:bCs/>
          <w:i w:val="0"/>
          <w:iCs w:val="0"/>
          <w:color w:val="000000" w:themeColor="text1"/>
          <w:sz w:val="20"/>
          <w:szCs w:val="20"/>
        </w:rPr>
        <w:t xml:space="preserve">Experiment sampling program. </w:t>
      </w:r>
      <w:r w:rsidRPr="00DE42B9">
        <w:rPr>
          <w:rFonts w:ascii="Times New Roman" w:hAnsi="Times New Roman" w:cs="Times New Roman"/>
          <w:i w:val="0"/>
          <w:iCs w:val="0"/>
          <w:color w:val="000000" w:themeColor="text1"/>
          <w:sz w:val="20"/>
          <w:szCs w:val="20"/>
        </w:rPr>
        <w:t xml:space="preserve">In order to perform the required analyses to have insight on biochemical and molecular responses of </w:t>
      </w:r>
      <w:r w:rsidRPr="00DE42B9">
        <w:rPr>
          <w:rFonts w:ascii="Times New Roman" w:hAnsi="Times New Roman" w:cs="Times New Roman"/>
          <w:iCs w:val="0"/>
          <w:color w:val="000000" w:themeColor="text1"/>
          <w:sz w:val="20"/>
          <w:szCs w:val="20"/>
        </w:rPr>
        <w:t>P. tricornutum</w:t>
      </w:r>
      <w:r w:rsidRPr="00DE42B9">
        <w:rPr>
          <w:rFonts w:ascii="Times New Roman" w:hAnsi="Times New Roman" w:cs="Times New Roman"/>
          <w:i w:val="0"/>
          <w:iCs w:val="0"/>
          <w:color w:val="000000" w:themeColor="text1"/>
          <w:sz w:val="20"/>
          <w:szCs w:val="20"/>
        </w:rPr>
        <w:t xml:space="preserve"> to the transition from N repleted to N limited conditions, culture samples have been collected throughout the experiment time course. The following table summarizes the sampling program, reporting the sampling volume for each type of analyses and the quantity of sample replicates.</w:t>
      </w:r>
    </w:p>
    <w:tbl>
      <w:tblPr>
        <w:tblW w:w="13038" w:type="dxa"/>
        <w:tblLook w:val="04A0" w:firstRow="1" w:lastRow="0" w:firstColumn="1" w:lastColumn="0" w:noHBand="0" w:noVBand="1"/>
      </w:tblPr>
      <w:tblGrid>
        <w:gridCol w:w="1527"/>
        <w:gridCol w:w="509"/>
        <w:gridCol w:w="1503"/>
        <w:gridCol w:w="461"/>
        <w:gridCol w:w="1400"/>
        <w:gridCol w:w="1517"/>
        <w:gridCol w:w="1558"/>
        <w:gridCol w:w="761"/>
        <w:gridCol w:w="1189"/>
        <w:gridCol w:w="977"/>
        <w:gridCol w:w="1667"/>
      </w:tblGrid>
      <w:tr w:rsidR="00C7390D" w:rsidRPr="00DE42B9" w14:paraId="12D7D39A" w14:textId="77777777" w:rsidTr="005F3B35">
        <w:trPr>
          <w:trHeight w:val="630"/>
        </w:trPr>
        <w:tc>
          <w:tcPr>
            <w:tcW w:w="152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9AAACAC" w14:textId="77777777" w:rsidR="00ED7769" w:rsidRPr="00DE42B9" w:rsidRDefault="00ED7769" w:rsidP="005F3B35">
            <w:pPr>
              <w:spacing w:line="240" w:lineRule="auto"/>
              <w:jc w:val="center"/>
              <w:rPr>
                <w:rFonts w:ascii="Times New Roman" w:eastAsia="Times New Roman" w:hAnsi="Times New Roman" w:cs="Times New Roman"/>
                <w:b/>
                <w:bCs/>
                <w:color w:val="000000" w:themeColor="text1"/>
                <w:sz w:val="20"/>
                <w:szCs w:val="20"/>
              </w:rPr>
            </w:pPr>
            <w:r w:rsidRPr="00DE42B9">
              <w:rPr>
                <w:rFonts w:ascii="Times New Roman" w:eastAsia="Times New Roman" w:hAnsi="Times New Roman" w:cs="Times New Roman"/>
                <w:b/>
                <w:bCs/>
                <w:color w:val="000000" w:themeColor="text1"/>
                <w:sz w:val="20"/>
                <w:szCs w:val="20"/>
              </w:rPr>
              <w:t>Days After DRNS</w:t>
            </w:r>
          </w:p>
        </w:tc>
        <w:tc>
          <w:tcPr>
            <w:tcW w:w="20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3AF38F2" w14:textId="77777777" w:rsidR="00ED7769" w:rsidRPr="00DE42B9" w:rsidRDefault="00ED7769" w:rsidP="005F3B35">
            <w:pPr>
              <w:spacing w:line="240" w:lineRule="auto"/>
              <w:jc w:val="center"/>
              <w:rPr>
                <w:rFonts w:ascii="Times New Roman" w:eastAsia="Times New Roman" w:hAnsi="Times New Roman" w:cs="Times New Roman"/>
                <w:b/>
                <w:bCs/>
                <w:color w:val="000000" w:themeColor="text1"/>
                <w:sz w:val="20"/>
                <w:szCs w:val="20"/>
              </w:rPr>
            </w:pPr>
            <w:r w:rsidRPr="00DE42B9">
              <w:rPr>
                <w:rFonts w:ascii="Times New Roman" w:eastAsia="Times New Roman" w:hAnsi="Times New Roman" w:cs="Times New Roman"/>
                <w:b/>
                <w:bCs/>
                <w:color w:val="000000" w:themeColor="text1"/>
                <w:sz w:val="20"/>
                <w:szCs w:val="20"/>
              </w:rPr>
              <w:t>RNA</w:t>
            </w:r>
          </w:p>
        </w:tc>
        <w:tc>
          <w:tcPr>
            <w:tcW w:w="184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4287C6D" w14:textId="77777777" w:rsidR="00ED7769" w:rsidRPr="00DE42B9" w:rsidRDefault="00ED7769" w:rsidP="005F3B35">
            <w:pPr>
              <w:spacing w:line="240" w:lineRule="auto"/>
              <w:jc w:val="center"/>
              <w:rPr>
                <w:rFonts w:ascii="Times New Roman" w:eastAsia="Times New Roman" w:hAnsi="Times New Roman" w:cs="Times New Roman"/>
                <w:b/>
                <w:bCs/>
                <w:color w:val="000000" w:themeColor="text1"/>
                <w:sz w:val="20"/>
                <w:szCs w:val="20"/>
              </w:rPr>
            </w:pPr>
            <w:r w:rsidRPr="00DE42B9">
              <w:rPr>
                <w:rFonts w:ascii="Times New Roman" w:eastAsia="Times New Roman" w:hAnsi="Times New Roman" w:cs="Times New Roman"/>
                <w:b/>
                <w:bCs/>
                <w:color w:val="000000" w:themeColor="text1"/>
                <w:sz w:val="20"/>
                <w:szCs w:val="20"/>
              </w:rPr>
              <w:t>Metabolites</w:t>
            </w:r>
          </w:p>
        </w:tc>
        <w:tc>
          <w:tcPr>
            <w:tcW w:w="1517" w:type="dxa"/>
            <w:tcBorders>
              <w:top w:val="single" w:sz="4" w:space="0" w:color="auto"/>
              <w:left w:val="nil"/>
              <w:bottom w:val="single" w:sz="4" w:space="0" w:color="auto"/>
              <w:right w:val="single" w:sz="4" w:space="0" w:color="auto"/>
            </w:tcBorders>
            <w:shd w:val="clear" w:color="auto" w:fill="auto"/>
            <w:vAlign w:val="center"/>
            <w:hideMark/>
          </w:tcPr>
          <w:p w14:paraId="203A1347" w14:textId="77777777" w:rsidR="00ED7769" w:rsidRPr="00DE42B9" w:rsidRDefault="00ED7769" w:rsidP="005F3B35">
            <w:pPr>
              <w:spacing w:line="240" w:lineRule="auto"/>
              <w:jc w:val="center"/>
              <w:rPr>
                <w:rFonts w:ascii="Times New Roman" w:eastAsia="Times New Roman" w:hAnsi="Times New Roman" w:cs="Times New Roman"/>
                <w:b/>
                <w:bCs/>
                <w:color w:val="000000" w:themeColor="text1"/>
                <w:sz w:val="20"/>
                <w:szCs w:val="20"/>
              </w:rPr>
            </w:pPr>
            <w:r w:rsidRPr="00DE42B9">
              <w:rPr>
                <w:rFonts w:ascii="Times New Roman" w:eastAsia="Times New Roman" w:hAnsi="Times New Roman" w:cs="Times New Roman"/>
                <w:b/>
                <w:bCs/>
                <w:color w:val="000000" w:themeColor="text1"/>
                <w:sz w:val="20"/>
                <w:szCs w:val="20"/>
              </w:rPr>
              <w:t>C and N quantification</w:t>
            </w:r>
          </w:p>
        </w:tc>
        <w:tc>
          <w:tcPr>
            <w:tcW w:w="1558" w:type="dxa"/>
            <w:tcBorders>
              <w:top w:val="single" w:sz="4" w:space="0" w:color="auto"/>
              <w:left w:val="nil"/>
              <w:bottom w:val="single" w:sz="4" w:space="0" w:color="auto"/>
              <w:right w:val="single" w:sz="4" w:space="0" w:color="auto"/>
            </w:tcBorders>
            <w:shd w:val="clear" w:color="auto" w:fill="auto"/>
            <w:noWrap/>
            <w:vAlign w:val="center"/>
            <w:hideMark/>
          </w:tcPr>
          <w:p w14:paraId="6F024EAD" w14:textId="77777777" w:rsidR="00ED7769" w:rsidRPr="00DE42B9" w:rsidRDefault="00ED7769" w:rsidP="005F3B35">
            <w:pPr>
              <w:spacing w:line="240" w:lineRule="auto"/>
              <w:jc w:val="center"/>
              <w:rPr>
                <w:rFonts w:ascii="Times New Roman" w:eastAsia="Times New Roman" w:hAnsi="Times New Roman" w:cs="Times New Roman"/>
                <w:b/>
                <w:bCs/>
                <w:color w:val="000000" w:themeColor="text1"/>
                <w:sz w:val="20"/>
                <w:szCs w:val="20"/>
              </w:rPr>
            </w:pPr>
            <w:r w:rsidRPr="00DE42B9">
              <w:rPr>
                <w:rFonts w:ascii="Times New Roman" w:eastAsia="Times New Roman" w:hAnsi="Times New Roman" w:cs="Times New Roman"/>
                <w:b/>
                <w:bCs/>
                <w:color w:val="000000" w:themeColor="text1"/>
                <w:sz w:val="20"/>
                <w:szCs w:val="20"/>
              </w:rPr>
              <w:t>Carbohydrates</w:t>
            </w:r>
          </w:p>
        </w:tc>
        <w:tc>
          <w:tcPr>
            <w:tcW w:w="748" w:type="dxa"/>
            <w:tcBorders>
              <w:top w:val="single" w:sz="4" w:space="0" w:color="auto"/>
              <w:left w:val="nil"/>
              <w:bottom w:val="single" w:sz="4" w:space="0" w:color="auto"/>
              <w:right w:val="single" w:sz="4" w:space="0" w:color="auto"/>
            </w:tcBorders>
            <w:shd w:val="clear" w:color="auto" w:fill="auto"/>
            <w:noWrap/>
            <w:vAlign w:val="center"/>
            <w:hideMark/>
          </w:tcPr>
          <w:p w14:paraId="4691326A" w14:textId="77777777" w:rsidR="00ED7769" w:rsidRPr="00DE42B9" w:rsidRDefault="00ED7769" w:rsidP="005F3B35">
            <w:pPr>
              <w:spacing w:line="240" w:lineRule="auto"/>
              <w:jc w:val="center"/>
              <w:rPr>
                <w:rFonts w:ascii="Times New Roman" w:eastAsia="Times New Roman" w:hAnsi="Times New Roman" w:cs="Times New Roman"/>
                <w:b/>
                <w:bCs/>
                <w:color w:val="000000" w:themeColor="text1"/>
                <w:sz w:val="20"/>
                <w:szCs w:val="20"/>
              </w:rPr>
            </w:pPr>
            <w:r w:rsidRPr="00DE42B9">
              <w:rPr>
                <w:rFonts w:ascii="Times New Roman" w:eastAsia="Times New Roman" w:hAnsi="Times New Roman" w:cs="Times New Roman"/>
                <w:b/>
                <w:bCs/>
                <w:color w:val="000000" w:themeColor="text1"/>
                <w:sz w:val="20"/>
                <w:szCs w:val="20"/>
              </w:rPr>
              <w:t>Lipids</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14:paraId="4B47F82E" w14:textId="77777777" w:rsidR="00ED7769" w:rsidRPr="00DE42B9" w:rsidRDefault="00ED7769" w:rsidP="005F3B35">
            <w:pPr>
              <w:spacing w:line="240" w:lineRule="auto"/>
              <w:jc w:val="center"/>
              <w:rPr>
                <w:rFonts w:ascii="Times New Roman" w:eastAsia="Times New Roman" w:hAnsi="Times New Roman" w:cs="Times New Roman"/>
                <w:b/>
                <w:bCs/>
                <w:color w:val="000000" w:themeColor="text1"/>
                <w:sz w:val="20"/>
                <w:szCs w:val="20"/>
              </w:rPr>
            </w:pPr>
            <w:r w:rsidRPr="00DE42B9">
              <w:rPr>
                <w:rFonts w:ascii="Times New Roman" w:eastAsia="Times New Roman" w:hAnsi="Times New Roman" w:cs="Times New Roman"/>
                <w:b/>
                <w:bCs/>
                <w:color w:val="000000" w:themeColor="text1"/>
                <w:sz w:val="20"/>
                <w:szCs w:val="20"/>
              </w:rPr>
              <w:t>Pigments</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14:paraId="2308D73A" w14:textId="77777777" w:rsidR="00ED7769" w:rsidRPr="00DE42B9" w:rsidRDefault="00ED7769" w:rsidP="005F3B35">
            <w:pPr>
              <w:spacing w:line="240" w:lineRule="auto"/>
              <w:jc w:val="center"/>
              <w:rPr>
                <w:rFonts w:ascii="Times New Roman" w:eastAsia="Times New Roman" w:hAnsi="Times New Roman" w:cs="Times New Roman"/>
                <w:b/>
                <w:bCs/>
                <w:color w:val="000000" w:themeColor="text1"/>
                <w:sz w:val="20"/>
                <w:szCs w:val="20"/>
              </w:rPr>
            </w:pPr>
            <w:r w:rsidRPr="00DE42B9">
              <w:rPr>
                <w:rFonts w:ascii="Times New Roman" w:eastAsia="Times New Roman" w:hAnsi="Times New Roman" w:cs="Times New Roman"/>
                <w:b/>
                <w:bCs/>
                <w:color w:val="000000" w:themeColor="text1"/>
                <w:sz w:val="20"/>
                <w:szCs w:val="20"/>
              </w:rPr>
              <w:t>Proteins</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25358FBC" w14:textId="77777777" w:rsidR="00ED7769" w:rsidRPr="00DE42B9" w:rsidRDefault="00ED7769" w:rsidP="005F3B35">
            <w:pPr>
              <w:spacing w:line="240" w:lineRule="auto"/>
              <w:jc w:val="center"/>
              <w:rPr>
                <w:rFonts w:ascii="Times New Roman" w:eastAsia="Times New Roman" w:hAnsi="Times New Roman" w:cs="Times New Roman"/>
                <w:b/>
                <w:bCs/>
                <w:color w:val="000000" w:themeColor="text1"/>
                <w:sz w:val="20"/>
                <w:szCs w:val="20"/>
              </w:rPr>
            </w:pPr>
            <w:r w:rsidRPr="00DE42B9">
              <w:rPr>
                <w:rFonts w:ascii="Times New Roman" w:eastAsia="Times New Roman" w:hAnsi="Times New Roman" w:cs="Times New Roman"/>
                <w:b/>
                <w:bCs/>
                <w:color w:val="000000" w:themeColor="text1"/>
                <w:sz w:val="20"/>
                <w:szCs w:val="20"/>
              </w:rPr>
              <w:t>Inorganic N</w:t>
            </w:r>
            <w:r w:rsidRPr="00DE42B9">
              <w:rPr>
                <w:rFonts w:ascii="Times New Roman" w:eastAsia="Times New Roman" w:hAnsi="Times New Roman" w:cs="Times New Roman"/>
                <w:b/>
                <w:bCs/>
                <w:color w:val="000000" w:themeColor="text1"/>
                <w:sz w:val="20"/>
                <w:szCs w:val="20"/>
              </w:rPr>
              <w:br/>
              <w:t>in the medium</w:t>
            </w:r>
          </w:p>
        </w:tc>
      </w:tr>
      <w:tr w:rsidR="00C7390D" w:rsidRPr="00DE42B9" w14:paraId="6BE5D056" w14:textId="77777777" w:rsidTr="005F3B35">
        <w:trPr>
          <w:trHeight w:val="300"/>
        </w:trPr>
        <w:tc>
          <w:tcPr>
            <w:tcW w:w="1527" w:type="dxa"/>
            <w:vMerge/>
            <w:tcBorders>
              <w:top w:val="single" w:sz="4" w:space="0" w:color="auto"/>
              <w:left w:val="single" w:sz="4" w:space="0" w:color="auto"/>
              <w:bottom w:val="single" w:sz="4" w:space="0" w:color="000000"/>
              <w:right w:val="single" w:sz="4" w:space="0" w:color="auto"/>
            </w:tcBorders>
            <w:vAlign w:val="center"/>
            <w:hideMark/>
          </w:tcPr>
          <w:p w14:paraId="7CDD662D"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509" w:type="dxa"/>
            <w:tcBorders>
              <w:top w:val="nil"/>
              <w:left w:val="nil"/>
              <w:bottom w:val="single" w:sz="4" w:space="0" w:color="auto"/>
              <w:right w:val="single" w:sz="4" w:space="0" w:color="auto"/>
            </w:tcBorders>
            <w:shd w:val="clear" w:color="auto" w:fill="auto"/>
            <w:noWrap/>
            <w:vAlign w:val="center"/>
            <w:hideMark/>
          </w:tcPr>
          <w:p w14:paraId="54A5C522"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w:t>
            </w:r>
          </w:p>
        </w:tc>
        <w:tc>
          <w:tcPr>
            <w:tcW w:w="1503" w:type="dxa"/>
            <w:tcBorders>
              <w:top w:val="nil"/>
              <w:left w:val="nil"/>
              <w:bottom w:val="single" w:sz="4" w:space="0" w:color="auto"/>
              <w:right w:val="single" w:sz="4" w:space="0" w:color="auto"/>
            </w:tcBorders>
            <w:shd w:val="clear" w:color="auto" w:fill="auto"/>
            <w:noWrap/>
            <w:vAlign w:val="center"/>
            <w:hideMark/>
          </w:tcPr>
          <w:p w14:paraId="76887BB2"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Volume [mL]</w:t>
            </w:r>
          </w:p>
        </w:tc>
        <w:tc>
          <w:tcPr>
            <w:tcW w:w="443" w:type="dxa"/>
            <w:tcBorders>
              <w:top w:val="nil"/>
              <w:left w:val="nil"/>
              <w:bottom w:val="single" w:sz="4" w:space="0" w:color="auto"/>
              <w:right w:val="single" w:sz="4" w:space="0" w:color="auto"/>
            </w:tcBorders>
            <w:shd w:val="clear" w:color="auto" w:fill="auto"/>
            <w:noWrap/>
            <w:vAlign w:val="center"/>
            <w:hideMark/>
          </w:tcPr>
          <w:p w14:paraId="6CFE4D67"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w:t>
            </w:r>
          </w:p>
        </w:tc>
        <w:tc>
          <w:tcPr>
            <w:tcW w:w="1400" w:type="dxa"/>
            <w:tcBorders>
              <w:top w:val="nil"/>
              <w:left w:val="nil"/>
              <w:bottom w:val="single" w:sz="4" w:space="0" w:color="auto"/>
              <w:right w:val="single" w:sz="4" w:space="0" w:color="auto"/>
            </w:tcBorders>
            <w:shd w:val="clear" w:color="auto" w:fill="auto"/>
            <w:noWrap/>
            <w:vAlign w:val="center"/>
            <w:hideMark/>
          </w:tcPr>
          <w:p w14:paraId="72EC5E6D"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Volume [mL]</w:t>
            </w:r>
          </w:p>
        </w:tc>
        <w:tc>
          <w:tcPr>
            <w:tcW w:w="1517" w:type="dxa"/>
            <w:tcBorders>
              <w:top w:val="nil"/>
              <w:left w:val="nil"/>
              <w:bottom w:val="single" w:sz="4" w:space="0" w:color="auto"/>
              <w:right w:val="single" w:sz="4" w:space="0" w:color="auto"/>
            </w:tcBorders>
            <w:shd w:val="clear" w:color="auto" w:fill="auto"/>
            <w:noWrap/>
            <w:vAlign w:val="center"/>
            <w:hideMark/>
          </w:tcPr>
          <w:p w14:paraId="70EF7F18"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6mL</w:t>
            </w:r>
          </w:p>
        </w:tc>
        <w:tc>
          <w:tcPr>
            <w:tcW w:w="1558" w:type="dxa"/>
            <w:tcBorders>
              <w:top w:val="nil"/>
              <w:left w:val="nil"/>
              <w:bottom w:val="single" w:sz="4" w:space="0" w:color="auto"/>
              <w:right w:val="single" w:sz="4" w:space="0" w:color="auto"/>
            </w:tcBorders>
            <w:shd w:val="clear" w:color="auto" w:fill="auto"/>
            <w:noWrap/>
            <w:vAlign w:val="center"/>
            <w:hideMark/>
          </w:tcPr>
          <w:p w14:paraId="2EEBB388"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2mL</w:t>
            </w:r>
          </w:p>
        </w:tc>
        <w:tc>
          <w:tcPr>
            <w:tcW w:w="748" w:type="dxa"/>
            <w:tcBorders>
              <w:top w:val="nil"/>
              <w:left w:val="nil"/>
              <w:bottom w:val="single" w:sz="4" w:space="0" w:color="auto"/>
              <w:right w:val="single" w:sz="4" w:space="0" w:color="auto"/>
            </w:tcBorders>
            <w:shd w:val="clear" w:color="auto" w:fill="auto"/>
            <w:noWrap/>
            <w:vAlign w:val="center"/>
            <w:hideMark/>
          </w:tcPr>
          <w:p w14:paraId="23532CF8"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2mL</w:t>
            </w:r>
          </w:p>
        </w:tc>
        <w:tc>
          <w:tcPr>
            <w:tcW w:w="1189" w:type="dxa"/>
            <w:tcBorders>
              <w:top w:val="nil"/>
              <w:left w:val="nil"/>
              <w:bottom w:val="single" w:sz="4" w:space="0" w:color="auto"/>
              <w:right w:val="single" w:sz="4" w:space="0" w:color="auto"/>
            </w:tcBorders>
            <w:shd w:val="clear" w:color="auto" w:fill="auto"/>
            <w:noWrap/>
            <w:vAlign w:val="center"/>
            <w:hideMark/>
          </w:tcPr>
          <w:p w14:paraId="48F0E149"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2mL</w:t>
            </w:r>
          </w:p>
        </w:tc>
        <w:tc>
          <w:tcPr>
            <w:tcW w:w="977" w:type="dxa"/>
            <w:tcBorders>
              <w:top w:val="nil"/>
              <w:left w:val="nil"/>
              <w:bottom w:val="single" w:sz="4" w:space="0" w:color="auto"/>
              <w:right w:val="single" w:sz="4" w:space="0" w:color="auto"/>
            </w:tcBorders>
            <w:shd w:val="clear" w:color="auto" w:fill="auto"/>
            <w:noWrap/>
            <w:vAlign w:val="center"/>
            <w:hideMark/>
          </w:tcPr>
          <w:p w14:paraId="5BFF9A64"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2mL</w:t>
            </w:r>
          </w:p>
        </w:tc>
        <w:tc>
          <w:tcPr>
            <w:tcW w:w="1667" w:type="dxa"/>
            <w:tcBorders>
              <w:top w:val="nil"/>
              <w:left w:val="nil"/>
              <w:bottom w:val="single" w:sz="4" w:space="0" w:color="auto"/>
              <w:right w:val="single" w:sz="4" w:space="0" w:color="auto"/>
            </w:tcBorders>
            <w:shd w:val="clear" w:color="auto" w:fill="auto"/>
            <w:noWrap/>
            <w:vAlign w:val="center"/>
            <w:hideMark/>
          </w:tcPr>
          <w:p w14:paraId="77D2C53E"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2mL</w:t>
            </w:r>
          </w:p>
        </w:tc>
      </w:tr>
      <w:tr w:rsidR="00C7390D" w:rsidRPr="00DE42B9" w14:paraId="347B82AD" w14:textId="77777777" w:rsidTr="005F3B35">
        <w:trPr>
          <w:trHeight w:val="70"/>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14:paraId="6A7653F9"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-5</w:t>
            </w:r>
          </w:p>
        </w:tc>
        <w:tc>
          <w:tcPr>
            <w:tcW w:w="509" w:type="dxa"/>
            <w:tcBorders>
              <w:top w:val="nil"/>
              <w:left w:val="nil"/>
              <w:bottom w:val="single" w:sz="4" w:space="0" w:color="auto"/>
              <w:right w:val="single" w:sz="4" w:space="0" w:color="auto"/>
            </w:tcBorders>
            <w:shd w:val="clear" w:color="auto" w:fill="auto"/>
            <w:noWrap/>
            <w:vAlign w:val="center"/>
            <w:hideMark/>
          </w:tcPr>
          <w:p w14:paraId="5880647A"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503" w:type="dxa"/>
            <w:tcBorders>
              <w:top w:val="nil"/>
              <w:left w:val="nil"/>
              <w:bottom w:val="single" w:sz="4" w:space="0" w:color="auto"/>
              <w:right w:val="single" w:sz="4" w:space="0" w:color="auto"/>
            </w:tcBorders>
            <w:shd w:val="clear" w:color="auto" w:fill="auto"/>
            <w:noWrap/>
            <w:vAlign w:val="center"/>
            <w:hideMark/>
          </w:tcPr>
          <w:p w14:paraId="509B812C"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20</w:t>
            </w:r>
          </w:p>
        </w:tc>
        <w:tc>
          <w:tcPr>
            <w:tcW w:w="443" w:type="dxa"/>
            <w:tcBorders>
              <w:top w:val="nil"/>
              <w:left w:val="nil"/>
              <w:bottom w:val="single" w:sz="4" w:space="0" w:color="auto"/>
              <w:right w:val="single" w:sz="4" w:space="0" w:color="auto"/>
            </w:tcBorders>
            <w:shd w:val="clear" w:color="auto" w:fill="auto"/>
            <w:noWrap/>
            <w:vAlign w:val="center"/>
            <w:hideMark/>
          </w:tcPr>
          <w:p w14:paraId="78B7618D"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2X</w:t>
            </w:r>
          </w:p>
        </w:tc>
        <w:tc>
          <w:tcPr>
            <w:tcW w:w="1400" w:type="dxa"/>
            <w:tcBorders>
              <w:top w:val="nil"/>
              <w:left w:val="nil"/>
              <w:bottom w:val="single" w:sz="4" w:space="0" w:color="auto"/>
              <w:right w:val="single" w:sz="4" w:space="0" w:color="auto"/>
            </w:tcBorders>
            <w:shd w:val="clear" w:color="auto" w:fill="auto"/>
            <w:noWrap/>
            <w:vAlign w:val="center"/>
            <w:hideMark/>
          </w:tcPr>
          <w:p w14:paraId="2E2665FE"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10</w:t>
            </w:r>
          </w:p>
        </w:tc>
        <w:tc>
          <w:tcPr>
            <w:tcW w:w="1517" w:type="dxa"/>
            <w:tcBorders>
              <w:top w:val="nil"/>
              <w:left w:val="nil"/>
              <w:bottom w:val="single" w:sz="4" w:space="0" w:color="auto"/>
              <w:right w:val="single" w:sz="4" w:space="0" w:color="auto"/>
            </w:tcBorders>
            <w:shd w:val="clear" w:color="auto" w:fill="auto"/>
            <w:noWrap/>
            <w:vAlign w:val="center"/>
            <w:hideMark/>
          </w:tcPr>
          <w:p w14:paraId="1223A036"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X</w:t>
            </w:r>
          </w:p>
        </w:tc>
        <w:tc>
          <w:tcPr>
            <w:tcW w:w="1558" w:type="dxa"/>
            <w:tcBorders>
              <w:top w:val="nil"/>
              <w:left w:val="nil"/>
              <w:bottom w:val="single" w:sz="4" w:space="0" w:color="auto"/>
              <w:right w:val="single" w:sz="4" w:space="0" w:color="auto"/>
            </w:tcBorders>
            <w:shd w:val="clear" w:color="auto" w:fill="auto"/>
            <w:noWrap/>
            <w:vAlign w:val="center"/>
            <w:hideMark/>
          </w:tcPr>
          <w:p w14:paraId="7BC5F069"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748" w:type="dxa"/>
            <w:tcBorders>
              <w:top w:val="nil"/>
              <w:left w:val="nil"/>
              <w:bottom w:val="single" w:sz="4" w:space="0" w:color="auto"/>
              <w:right w:val="single" w:sz="4" w:space="0" w:color="auto"/>
            </w:tcBorders>
            <w:shd w:val="clear" w:color="auto" w:fill="auto"/>
            <w:noWrap/>
            <w:vAlign w:val="center"/>
            <w:hideMark/>
          </w:tcPr>
          <w:p w14:paraId="73A4E035"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189" w:type="dxa"/>
            <w:tcBorders>
              <w:top w:val="nil"/>
              <w:left w:val="nil"/>
              <w:bottom w:val="single" w:sz="4" w:space="0" w:color="auto"/>
              <w:right w:val="single" w:sz="4" w:space="0" w:color="auto"/>
            </w:tcBorders>
            <w:shd w:val="clear" w:color="auto" w:fill="auto"/>
            <w:noWrap/>
            <w:vAlign w:val="center"/>
            <w:hideMark/>
          </w:tcPr>
          <w:p w14:paraId="173A3908"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977" w:type="dxa"/>
            <w:tcBorders>
              <w:top w:val="nil"/>
              <w:left w:val="nil"/>
              <w:bottom w:val="single" w:sz="4" w:space="0" w:color="auto"/>
              <w:right w:val="single" w:sz="4" w:space="0" w:color="auto"/>
            </w:tcBorders>
            <w:shd w:val="clear" w:color="auto" w:fill="auto"/>
            <w:noWrap/>
            <w:vAlign w:val="center"/>
            <w:hideMark/>
          </w:tcPr>
          <w:p w14:paraId="2FAAB16A"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667" w:type="dxa"/>
            <w:tcBorders>
              <w:top w:val="nil"/>
              <w:left w:val="nil"/>
              <w:bottom w:val="single" w:sz="4" w:space="0" w:color="auto"/>
              <w:right w:val="single" w:sz="4" w:space="0" w:color="auto"/>
            </w:tcBorders>
            <w:shd w:val="clear" w:color="auto" w:fill="auto"/>
            <w:noWrap/>
            <w:vAlign w:val="center"/>
            <w:hideMark/>
          </w:tcPr>
          <w:p w14:paraId="4264EA40"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r>
      <w:tr w:rsidR="00C7390D" w:rsidRPr="00DE42B9" w14:paraId="54B78E7B" w14:textId="77777777" w:rsidTr="005F3B35">
        <w:trPr>
          <w:trHeight w:val="70"/>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14:paraId="0150F022"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-4</w:t>
            </w:r>
          </w:p>
        </w:tc>
        <w:tc>
          <w:tcPr>
            <w:tcW w:w="509" w:type="dxa"/>
            <w:tcBorders>
              <w:top w:val="nil"/>
              <w:left w:val="nil"/>
              <w:bottom w:val="single" w:sz="4" w:space="0" w:color="auto"/>
              <w:right w:val="single" w:sz="4" w:space="0" w:color="auto"/>
            </w:tcBorders>
            <w:shd w:val="clear" w:color="auto" w:fill="auto"/>
            <w:noWrap/>
            <w:vAlign w:val="center"/>
            <w:hideMark/>
          </w:tcPr>
          <w:p w14:paraId="1918EE31"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503" w:type="dxa"/>
            <w:tcBorders>
              <w:top w:val="nil"/>
              <w:left w:val="nil"/>
              <w:bottom w:val="single" w:sz="4" w:space="0" w:color="auto"/>
              <w:right w:val="single" w:sz="4" w:space="0" w:color="auto"/>
            </w:tcBorders>
            <w:shd w:val="clear" w:color="auto" w:fill="auto"/>
            <w:noWrap/>
            <w:vAlign w:val="center"/>
            <w:hideMark/>
          </w:tcPr>
          <w:p w14:paraId="6C769D39"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20</w:t>
            </w:r>
          </w:p>
        </w:tc>
        <w:tc>
          <w:tcPr>
            <w:tcW w:w="443" w:type="dxa"/>
            <w:tcBorders>
              <w:top w:val="nil"/>
              <w:left w:val="nil"/>
              <w:bottom w:val="single" w:sz="4" w:space="0" w:color="auto"/>
              <w:right w:val="single" w:sz="4" w:space="0" w:color="auto"/>
            </w:tcBorders>
            <w:shd w:val="clear" w:color="auto" w:fill="auto"/>
            <w:noWrap/>
            <w:vAlign w:val="center"/>
            <w:hideMark/>
          </w:tcPr>
          <w:p w14:paraId="1D7A8DBB"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2X</w:t>
            </w:r>
          </w:p>
        </w:tc>
        <w:tc>
          <w:tcPr>
            <w:tcW w:w="1400" w:type="dxa"/>
            <w:tcBorders>
              <w:top w:val="nil"/>
              <w:left w:val="nil"/>
              <w:bottom w:val="single" w:sz="4" w:space="0" w:color="auto"/>
              <w:right w:val="single" w:sz="4" w:space="0" w:color="auto"/>
            </w:tcBorders>
            <w:shd w:val="clear" w:color="auto" w:fill="auto"/>
            <w:noWrap/>
            <w:vAlign w:val="center"/>
            <w:hideMark/>
          </w:tcPr>
          <w:p w14:paraId="019BFE1A"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10</w:t>
            </w:r>
          </w:p>
        </w:tc>
        <w:tc>
          <w:tcPr>
            <w:tcW w:w="1517" w:type="dxa"/>
            <w:tcBorders>
              <w:top w:val="nil"/>
              <w:left w:val="nil"/>
              <w:bottom w:val="single" w:sz="4" w:space="0" w:color="auto"/>
              <w:right w:val="single" w:sz="4" w:space="0" w:color="auto"/>
            </w:tcBorders>
            <w:shd w:val="clear" w:color="auto" w:fill="auto"/>
            <w:noWrap/>
            <w:vAlign w:val="center"/>
            <w:hideMark/>
          </w:tcPr>
          <w:p w14:paraId="586FE3A4"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X</w:t>
            </w:r>
          </w:p>
        </w:tc>
        <w:tc>
          <w:tcPr>
            <w:tcW w:w="1558" w:type="dxa"/>
            <w:tcBorders>
              <w:top w:val="nil"/>
              <w:left w:val="nil"/>
              <w:bottom w:val="single" w:sz="4" w:space="0" w:color="auto"/>
              <w:right w:val="single" w:sz="4" w:space="0" w:color="auto"/>
            </w:tcBorders>
            <w:shd w:val="clear" w:color="auto" w:fill="auto"/>
            <w:noWrap/>
            <w:vAlign w:val="center"/>
            <w:hideMark/>
          </w:tcPr>
          <w:p w14:paraId="577CED42"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748" w:type="dxa"/>
            <w:tcBorders>
              <w:top w:val="nil"/>
              <w:left w:val="nil"/>
              <w:bottom w:val="single" w:sz="4" w:space="0" w:color="auto"/>
              <w:right w:val="single" w:sz="4" w:space="0" w:color="auto"/>
            </w:tcBorders>
            <w:shd w:val="clear" w:color="auto" w:fill="auto"/>
            <w:noWrap/>
            <w:vAlign w:val="center"/>
            <w:hideMark/>
          </w:tcPr>
          <w:p w14:paraId="6EA6EABE"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189" w:type="dxa"/>
            <w:tcBorders>
              <w:top w:val="nil"/>
              <w:left w:val="nil"/>
              <w:bottom w:val="single" w:sz="4" w:space="0" w:color="auto"/>
              <w:right w:val="single" w:sz="4" w:space="0" w:color="auto"/>
            </w:tcBorders>
            <w:shd w:val="clear" w:color="auto" w:fill="auto"/>
            <w:noWrap/>
            <w:vAlign w:val="center"/>
            <w:hideMark/>
          </w:tcPr>
          <w:p w14:paraId="14887F33"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977" w:type="dxa"/>
            <w:tcBorders>
              <w:top w:val="nil"/>
              <w:left w:val="nil"/>
              <w:bottom w:val="single" w:sz="4" w:space="0" w:color="auto"/>
              <w:right w:val="single" w:sz="4" w:space="0" w:color="auto"/>
            </w:tcBorders>
            <w:shd w:val="clear" w:color="auto" w:fill="auto"/>
            <w:noWrap/>
            <w:vAlign w:val="center"/>
            <w:hideMark/>
          </w:tcPr>
          <w:p w14:paraId="53848AE3"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667" w:type="dxa"/>
            <w:tcBorders>
              <w:top w:val="nil"/>
              <w:left w:val="nil"/>
              <w:bottom w:val="single" w:sz="4" w:space="0" w:color="auto"/>
              <w:right w:val="single" w:sz="4" w:space="0" w:color="auto"/>
            </w:tcBorders>
            <w:shd w:val="clear" w:color="auto" w:fill="auto"/>
            <w:noWrap/>
            <w:vAlign w:val="center"/>
            <w:hideMark/>
          </w:tcPr>
          <w:p w14:paraId="1ED10B9F"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r>
      <w:tr w:rsidR="00C7390D" w:rsidRPr="00DE42B9" w14:paraId="57EBE1E8" w14:textId="77777777" w:rsidTr="005F3B35">
        <w:trPr>
          <w:trHeight w:val="70"/>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14:paraId="20E1D59C"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w:t>
            </w:r>
          </w:p>
        </w:tc>
        <w:tc>
          <w:tcPr>
            <w:tcW w:w="509" w:type="dxa"/>
            <w:tcBorders>
              <w:top w:val="nil"/>
              <w:left w:val="nil"/>
              <w:bottom w:val="single" w:sz="4" w:space="0" w:color="auto"/>
              <w:right w:val="single" w:sz="4" w:space="0" w:color="auto"/>
            </w:tcBorders>
            <w:shd w:val="clear" w:color="auto" w:fill="auto"/>
            <w:noWrap/>
            <w:vAlign w:val="center"/>
            <w:hideMark/>
          </w:tcPr>
          <w:p w14:paraId="12CC7BBF"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503" w:type="dxa"/>
            <w:tcBorders>
              <w:top w:val="nil"/>
              <w:left w:val="nil"/>
              <w:bottom w:val="single" w:sz="4" w:space="0" w:color="auto"/>
              <w:right w:val="single" w:sz="4" w:space="0" w:color="auto"/>
            </w:tcBorders>
            <w:shd w:val="clear" w:color="auto" w:fill="auto"/>
            <w:noWrap/>
            <w:vAlign w:val="center"/>
            <w:hideMark/>
          </w:tcPr>
          <w:p w14:paraId="49B3F918"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20</w:t>
            </w:r>
          </w:p>
        </w:tc>
        <w:tc>
          <w:tcPr>
            <w:tcW w:w="443" w:type="dxa"/>
            <w:tcBorders>
              <w:top w:val="nil"/>
              <w:left w:val="nil"/>
              <w:bottom w:val="single" w:sz="4" w:space="0" w:color="auto"/>
              <w:right w:val="single" w:sz="4" w:space="0" w:color="auto"/>
            </w:tcBorders>
            <w:shd w:val="clear" w:color="auto" w:fill="auto"/>
            <w:noWrap/>
            <w:vAlign w:val="center"/>
            <w:hideMark/>
          </w:tcPr>
          <w:p w14:paraId="1867FC17"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2X</w:t>
            </w:r>
          </w:p>
        </w:tc>
        <w:tc>
          <w:tcPr>
            <w:tcW w:w="1400" w:type="dxa"/>
            <w:tcBorders>
              <w:top w:val="nil"/>
              <w:left w:val="nil"/>
              <w:bottom w:val="single" w:sz="4" w:space="0" w:color="auto"/>
              <w:right w:val="single" w:sz="4" w:space="0" w:color="auto"/>
            </w:tcBorders>
            <w:shd w:val="clear" w:color="auto" w:fill="auto"/>
            <w:noWrap/>
            <w:vAlign w:val="center"/>
            <w:hideMark/>
          </w:tcPr>
          <w:p w14:paraId="683EC72F"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10</w:t>
            </w:r>
          </w:p>
        </w:tc>
        <w:tc>
          <w:tcPr>
            <w:tcW w:w="1517" w:type="dxa"/>
            <w:tcBorders>
              <w:top w:val="nil"/>
              <w:left w:val="nil"/>
              <w:bottom w:val="single" w:sz="4" w:space="0" w:color="auto"/>
              <w:right w:val="single" w:sz="4" w:space="0" w:color="auto"/>
            </w:tcBorders>
            <w:shd w:val="clear" w:color="auto" w:fill="auto"/>
            <w:noWrap/>
            <w:vAlign w:val="center"/>
            <w:hideMark/>
          </w:tcPr>
          <w:p w14:paraId="4B6C4531"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X</w:t>
            </w:r>
          </w:p>
        </w:tc>
        <w:tc>
          <w:tcPr>
            <w:tcW w:w="1558" w:type="dxa"/>
            <w:tcBorders>
              <w:top w:val="nil"/>
              <w:left w:val="nil"/>
              <w:bottom w:val="single" w:sz="4" w:space="0" w:color="auto"/>
              <w:right w:val="single" w:sz="4" w:space="0" w:color="auto"/>
            </w:tcBorders>
            <w:shd w:val="clear" w:color="auto" w:fill="auto"/>
            <w:noWrap/>
            <w:vAlign w:val="center"/>
            <w:hideMark/>
          </w:tcPr>
          <w:p w14:paraId="13A750F4"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748" w:type="dxa"/>
            <w:tcBorders>
              <w:top w:val="nil"/>
              <w:left w:val="nil"/>
              <w:bottom w:val="single" w:sz="4" w:space="0" w:color="auto"/>
              <w:right w:val="single" w:sz="4" w:space="0" w:color="auto"/>
            </w:tcBorders>
            <w:shd w:val="clear" w:color="auto" w:fill="auto"/>
            <w:noWrap/>
            <w:vAlign w:val="center"/>
            <w:hideMark/>
          </w:tcPr>
          <w:p w14:paraId="14D9668D"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189" w:type="dxa"/>
            <w:tcBorders>
              <w:top w:val="nil"/>
              <w:left w:val="nil"/>
              <w:bottom w:val="single" w:sz="4" w:space="0" w:color="auto"/>
              <w:right w:val="single" w:sz="4" w:space="0" w:color="auto"/>
            </w:tcBorders>
            <w:shd w:val="clear" w:color="auto" w:fill="auto"/>
            <w:noWrap/>
            <w:vAlign w:val="center"/>
            <w:hideMark/>
          </w:tcPr>
          <w:p w14:paraId="733FF4C1"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977" w:type="dxa"/>
            <w:tcBorders>
              <w:top w:val="nil"/>
              <w:left w:val="nil"/>
              <w:bottom w:val="single" w:sz="4" w:space="0" w:color="auto"/>
              <w:right w:val="single" w:sz="4" w:space="0" w:color="auto"/>
            </w:tcBorders>
            <w:shd w:val="clear" w:color="auto" w:fill="auto"/>
            <w:noWrap/>
            <w:vAlign w:val="center"/>
            <w:hideMark/>
          </w:tcPr>
          <w:p w14:paraId="779D7F87"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667" w:type="dxa"/>
            <w:tcBorders>
              <w:top w:val="nil"/>
              <w:left w:val="nil"/>
              <w:bottom w:val="single" w:sz="4" w:space="0" w:color="auto"/>
              <w:right w:val="single" w:sz="4" w:space="0" w:color="auto"/>
            </w:tcBorders>
            <w:shd w:val="clear" w:color="auto" w:fill="auto"/>
            <w:noWrap/>
            <w:vAlign w:val="center"/>
            <w:hideMark/>
          </w:tcPr>
          <w:p w14:paraId="70326224"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r>
      <w:tr w:rsidR="00C7390D" w:rsidRPr="00DE42B9" w14:paraId="10EBA704" w14:textId="77777777" w:rsidTr="005F3B35">
        <w:trPr>
          <w:trHeight w:val="70"/>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14:paraId="0F46719A"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-2</w:t>
            </w:r>
          </w:p>
        </w:tc>
        <w:tc>
          <w:tcPr>
            <w:tcW w:w="509" w:type="dxa"/>
            <w:tcBorders>
              <w:top w:val="nil"/>
              <w:left w:val="nil"/>
              <w:bottom w:val="single" w:sz="4" w:space="0" w:color="auto"/>
              <w:right w:val="single" w:sz="4" w:space="0" w:color="auto"/>
            </w:tcBorders>
            <w:shd w:val="clear" w:color="auto" w:fill="auto"/>
            <w:noWrap/>
            <w:vAlign w:val="center"/>
            <w:hideMark/>
          </w:tcPr>
          <w:p w14:paraId="1C80DF23"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503" w:type="dxa"/>
            <w:tcBorders>
              <w:top w:val="nil"/>
              <w:left w:val="nil"/>
              <w:bottom w:val="single" w:sz="4" w:space="0" w:color="auto"/>
              <w:right w:val="single" w:sz="4" w:space="0" w:color="auto"/>
            </w:tcBorders>
            <w:shd w:val="clear" w:color="auto" w:fill="auto"/>
            <w:noWrap/>
            <w:vAlign w:val="center"/>
            <w:hideMark/>
          </w:tcPr>
          <w:p w14:paraId="16FD126A"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20</w:t>
            </w:r>
          </w:p>
        </w:tc>
        <w:tc>
          <w:tcPr>
            <w:tcW w:w="443" w:type="dxa"/>
            <w:tcBorders>
              <w:top w:val="nil"/>
              <w:left w:val="nil"/>
              <w:bottom w:val="single" w:sz="4" w:space="0" w:color="auto"/>
              <w:right w:val="single" w:sz="4" w:space="0" w:color="auto"/>
            </w:tcBorders>
            <w:shd w:val="clear" w:color="auto" w:fill="auto"/>
            <w:noWrap/>
            <w:vAlign w:val="center"/>
            <w:hideMark/>
          </w:tcPr>
          <w:p w14:paraId="05B8380A"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2X</w:t>
            </w:r>
          </w:p>
        </w:tc>
        <w:tc>
          <w:tcPr>
            <w:tcW w:w="1400" w:type="dxa"/>
            <w:tcBorders>
              <w:top w:val="nil"/>
              <w:left w:val="nil"/>
              <w:bottom w:val="single" w:sz="4" w:space="0" w:color="auto"/>
              <w:right w:val="single" w:sz="4" w:space="0" w:color="auto"/>
            </w:tcBorders>
            <w:shd w:val="clear" w:color="auto" w:fill="auto"/>
            <w:noWrap/>
            <w:vAlign w:val="center"/>
            <w:hideMark/>
          </w:tcPr>
          <w:p w14:paraId="074A8EB5"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10</w:t>
            </w:r>
          </w:p>
        </w:tc>
        <w:tc>
          <w:tcPr>
            <w:tcW w:w="1517" w:type="dxa"/>
            <w:tcBorders>
              <w:top w:val="nil"/>
              <w:left w:val="nil"/>
              <w:bottom w:val="single" w:sz="4" w:space="0" w:color="auto"/>
              <w:right w:val="single" w:sz="4" w:space="0" w:color="auto"/>
            </w:tcBorders>
            <w:shd w:val="clear" w:color="auto" w:fill="auto"/>
            <w:noWrap/>
            <w:vAlign w:val="center"/>
            <w:hideMark/>
          </w:tcPr>
          <w:p w14:paraId="52517CA3"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X</w:t>
            </w:r>
          </w:p>
        </w:tc>
        <w:tc>
          <w:tcPr>
            <w:tcW w:w="1558" w:type="dxa"/>
            <w:tcBorders>
              <w:top w:val="nil"/>
              <w:left w:val="nil"/>
              <w:bottom w:val="single" w:sz="4" w:space="0" w:color="auto"/>
              <w:right w:val="single" w:sz="4" w:space="0" w:color="auto"/>
            </w:tcBorders>
            <w:shd w:val="clear" w:color="auto" w:fill="auto"/>
            <w:noWrap/>
            <w:vAlign w:val="center"/>
            <w:hideMark/>
          </w:tcPr>
          <w:p w14:paraId="1B274C9D"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748" w:type="dxa"/>
            <w:tcBorders>
              <w:top w:val="nil"/>
              <w:left w:val="nil"/>
              <w:bottom w:val="single" w:sz="4" w:space="0" w:color="auto"/>
              <w:right w:val="single" w:sz="4" w:space="0" w:color="auto"/>
            </w:tcBorders>
            <w:shd w:val="clear" w:color="auto" w:fill="auto"/>
            <w:noWrap/>
            <w:vAlign w:val="center"/>
            <w:hideMark/>
          </w:tcPr>
          <w:p w14:paraId="4DB2DCE1"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189" w:type="dxa"/>
            <w:tcBorders>
              <w:top w:val="nil"/>
              <w:left w:val="nil"/>
              <w:bottom w:val="single" w:sz="4" w:space="0" w:color="auto"/>
              <w:right w:val="single" w:sz="4" w:space="0" w:color="auto"/>
            </w:tcBorders>
            <w:shd w:val="clear" w:color="auto" w:fill="auto"/>
            <w:noWrap/>
            <w:vAlign w:val="center"/>
            <w:hideMark/>
          </w:tcPr>
          <w:p w14:paraId="61D08644"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977" w:type="dxa"/>
            <w:tcBorders>
              <w:top w:val="nil"/>
              <w:left w:val="nil"/>
              <w:bottom w:val="single" w:sz="4" w:space="0" w:color="auto"/>
              <w:right w:val="single" w:sz="4" w:space="0" w:color="auto"/>
            </w:tcBorders>
            <w:shd w:val="clear" w:color="auto" w:fill="auto"/>
            <w:noWrap/>
            <w:vAlign w:val="center"/>
            <w:hideMark/>
          </w:tcPr>
          <w:p w14:paraId="17BBD970"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667" w:type="dxa"/>
            <w:tcBorders>
              <w:top w:val="nil"/>
              <w:left w:val="nil"/>
              <w:bottom w:val="single" w:sz="4" w:space="0" w:color="auto"/>
              <w:right w:val="single" w:sz="4" w:space="0" w:color="auto"/>
            </w:tcBorders>
            <w:shd w:val="clear" w:color="auto" w:fill="auto"/>
            <w:noWrap/>
            <w:vAlign w:val="center"/>
            <w:hideMark/>
          </w:tcPr>
          <w:p w14:paraId="1C916565"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r>
      <w:tr w:rsidR="00C7390D" w:rsidRPr="00DE42B9" w14:paraId="16016B06" w14:textId="77777777" w:rsidTr="005F3B35">
        <w:trPr>
          <w:trHeight w:val="70"/>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14:paraId="3B72F754"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1</w:t>
            </w:r>
          </w:p>
        </w:tc>
        <w:tc>
          <w:tcPr>
            <w:tcW w:w="509" w:type="dxa"/>
            <w:tcBorders>
              <w:top w:val="nil"/>
              <w:left w:val="nil"/>
              <w:bottom w:val="single" w:sz="4" w:space="0" w:color="auto"/>
              <w:right w:val="single" w:sz="4" w:space="0" w:color="auto"/>
            </w:tcBorders>
            <w:shd w:val="clear" w:color="auto" w:fill="auto"/>
            <w:noWrap/>
            <w:vAlign w:val="center"/>
            <w:hideMark/>
          </w:tcPr>
          <w:p w14:paraId="4487382B"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503" w:type="dxa"/>
            <w:tcBorders>
              <w:top w:val="nil"/>
              <w:left w:val="nil"/>
              <w:bottom w:val="single" w:sz="4" w:space="0" w:color="auto"/>
              <w:right w:val="single" w:sz="4" w:space="0" w:color="auto"/>
            </w:tcBorders>
            <w:shd w:val="clear" w:color="auto" w:fill="auto"/>
            <w:noWrap/>
            <w:vAlign w:val="center"/>
            <w:hideMark/>
          </w:tcPr>
          <w:p w14:paraId="12829D9E"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20</w:t>
            </w:r>
          </w:p>
        </w:tc>
        <w:tc>
          <w:tcPr>
            <w:tcW w:w="443" w:type="dxa"/>
            <w:tcBorders>
              <w:top w:val="nil"/>
              <w:left w:val="nil"/>
              <w:bottom w:val="single" w:sz="4" w:space="0" w:color="auto"/>
              <w:right w:val="single" w:sz="4" w:space="0" w:color="auto"/>
            </w:tcBorders>
            <w:shd w:val="clear" w:color="auto" w:fill="auto"/>
            <w:noWrap/>
            <w:vAlign w:val="center"/>
            <w:hideMark/>
          </w:tcPr>
          <w:p w14:paraId="37E581A1"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2X</w:t>
            </w:r>
          </w:p>
        </w:tc>
        <w:tc>
          <w:tcPr>
            <w:tcW w:w="1400" w:type="dxa"/>
            <w:tcBorders>
              <w:top w:val="nil"/>
              <w:left w:val="nil"/>
              <w:bottom w:val="single" w:sz="4" w:space="0" w:color="auto"/>
              <w:right w:val="single" w:sz="4" w:space="0" w:color="auto"/>
            </w:tcBorders>
            <w:shd w:val="clear" w:color="auto" w:fill="auto"/>
            <w:noWrap/>
            <w:vAlign w:val="center"/>
            <w:hideMark/>
          </w:tcPr>
          <w:p w14:paraId="7AAABF0C"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10</w:t>
            </w:r>
          </w:p>
        </w:tc>
        <w:tc>
          <w:tcPr>
            <w:tcW w:w="1517" w:type="dxa"/>
            <w:tcBorders>
              <w:top w:val="nil"/>
              <w:left w:val="nil"/>
              <w:bottom w:val="single" w:sz="4" w:space="0" w:color="auto"/>
              <w:right w:val="single" w:sz="4" w:space="0" w:color="auto"/>
            </w:tcBorders>
            <w:shd w:val="clear" w:color="auto" w:fill="auto"/>
            <w:noWrap/>
            <w:vAlign w:val="center"/>
            <w:hideMark/>
          </w:tcPr>
          <w:p w14:paraId="03702D18"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X</w:t>
            </w:r>
          </w:p>
        </w:tc>
        <w:tc>
          <w:tcPr>
            <w:tcW w:w="1558" w:type="dxa"/>
            <w:tcBorders>
              <w:top w:val="nil"/>
              <w:left w:val="nil"/>
              <w:bottom w:val="single" w:sz="4" w:space="0" w:color="auto"/>
              <w:right w:val="single" w:sz="4" w:space="0" w:color="auto"/>
            </w:tcBorders>
            <w:shd w:val="clear" w:color="auto" w:fill="auto"/>
            <w:noWrap/>
            <w:vAlign w:val="center"/>
            <w:hideMark/>
          </w:tcPr>
          <w:p w14:paraId="017E9D68"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748" w:type="dxa"/>
            <w:tcBorders>
              <w:top w:val="nil"/>
              <w:left w:val="nil"/>
              <w:bottom w:val="single" w:sz="4" w:space="0" w:color="auto"/>
              <w:right w:val="single" w:sz="4" w:space="0" w:color="auto"/>
            </w:tcBorders>
            <w:shd w:val="clear" w:color="auto" w:fill="auto"/>
            <w:noWrap/>
            <w:vAlign w:val="center"/>
            <w:hideMark/>
          </w:tcPr>
          <w:p w14:paraId="71694E48"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189" w:type="dxa"/>
            <w:tcBorders>
              <w:top w:val="nil"/>
              <w:left w:val="nil"/>
              <w:bottom w:val="single" w:sz="4" w:space="0" w:color="auto"/>
              <w:right w:val="single" w:sz="4" w:space="0" w:color="auto"/>
            </w:tcBorders>
            <w:shd w:val="clear" w:color="auto" w:fill="auto"/>
            <w:noWrap/>
            <w:vAlign w:val="center"/>
            <w:hideMark/>
          </w:tcPr>
          <w:p w14:paraId="6FED2680"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977" w:type="dxa"/>
            <w:tcBorders>
              <w:top w:val="nil"/>
              <w:left w:val="nil"/>
              <w:bottom w:val="single" w:sz="4" w:space="0" w:color="auto"/>
              <w:right w:val="single" w:sz="4" w:space="0" w:color="auto"/>
            </w:tcBorders>
            <w:shd w:val="clear" w:color="auto" w:fill="auto"/>
            <w:noWrap/>
            <w:vAlign w:val="center"/>
            <w:hideMark/>
          </w:tcPr>
          <w:p w14:paraId="77EAFC1A"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667" w:type="dxa"/>
            <w:tcBorders>
              <w:top w:val="nil"/>
              <w:left w:val="nil"/>
              <w:bottom w:val="single" w:sz="4" w:space="0" w:color="auto"/>
              <w:right w:val="single" w:sz="4" w:space="0" w:color="auto"/>
            </w:tcBorders>
            <w:shd w:val="clear" w:color="auto" w:fill="auto"/>
            <w:noWrap/>
            <w:vAlign w:val="center"/>
            <w:hideMark/>
          </w:tcPr>
          <w:p w14:paraId="0CD6582D"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r>
      <w:tr w:rsidR="00C7390D" w:rsidRPr="00DE42B9" w14:paraId="6B1B8FC6" w14:textId="77777777" w:rsidTr="005F3B35">
        <w:trPr>
          <w:trHeight w:val="70"/>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14:paraId="4F739341"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2</w:t>
            </w:r>
          </w:p>
        </w:tc>
        <w:tc>
          <w:tcPr>
            <w:tcW w:w="509" w:type="dxa"/>
            <w:tcBorders>
              <w:top w:val="nil"/>
              <w:left w:val="nil"/>
              <w:bottom w:val="single" w:sz="4" w:space="0" w:color="auto"/>
              <w:right w:val="single" w:sz="4" w:space="0" w:color="auto"/>
            </w:tcBorders>
            <w:shd w:val="clear" w:color="auto" w:fill="auto"/>
            <w:noWrap/>
            <w:vAlign w:val="center"/>
            <w:hideMark/>
          </w:tcPr>
          <w:p w14:paraId="1FE508CB"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503" w:type="dxa"/>
            <w:tcBorders>
              <w:top w:val="nil"/>
              <w:left w:val="nil"/>
              <w:bottom w:val="single" w:sz="4" w:space="0" w:color="auto"/>
              <w:right w:val="single" w:sz="4" w:space="0" w:color="auto"/>
            </w:tcBorders>
            <w:shd w:val="clear" w:color="auto" w:fill="auto"/>
            <w:noWrap/>
            <w:vAlign w:val="center"/>
            <w:hideMark/>
          </w:tcPr>
          <w:p w14:paraId="308F27F7"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20</w:t>
            </w:r>
          </w:p>
        </w:tc>
        <w:tc>
          <w:tcPr>
            <w:tcW w:w="443" w:type="dxa"/>
            <w:tcBorders>
              <w:top w:val="nil"/>
              <w:left w:val="nil"/>
              <w:bottom w:val="single" w:sz="4" w:space="0" w:color="auto"/>
              <w:right w:val="single" w:sz="4" w:space="0" w:color="auto"/>
            </w:tcBorders>
            <w:shd w:val="clear" w:color="auto" w:fill="auto"/>
            <w:noWrap/>
            <w:vAlign w:val="center"/>
            <w:hideMark/>
          </w:tcPr>
          <w:p w14:paraId="7EFD0EDC"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2X</w:t>
            </w:r>
          </w:p>
        </w:tc>
        <w:tc>
          <w:tcPr>
            <w:tcW w:w="1400" w:type="dxa"/>
            <w:tcBorders>
              <w:top w:val="nil"/>
              <w:left w:val="nil"/>
              <w:bottom w:val="single" w:sz="4" w:space="0" w:color="auto"/>
              <w:right w:val="single" w:sz="4" w:space="0" w:color="auto"/>
            </w:tcBorders>
            <w:shd w:val="clear" w:color="auto" w:fill="auto"/>
            <w:noWrap/>
            <w:vAlign w:val="center"/>
            <w:hideMark/>
          </w:tcPr>
          <w:p w14:paraId="4D300FD9"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10</w:t>
            </w:r>
          </w:p>
        </w:tc>
        <w:tc>
          <w:tcPr>
            <w:tcW w:w="1517" w:type="dxa"/>
            <w:tcBorders>
              <w:top w:val="nil"/>
              <w:left w:val="nil"/>
              <w:bottom w:val="single" w:sz="4" w:space="0" w:color="auto"/>
              <w:right w:val="single" w:sz="4" w:space="0" w:color="auto"/>
            </w:tcBorders>
            <w:shd w:val="clear" w:color="auto" w:fill="auto"/>
            <w:noWrap/>
            <w:vAlign w:val="center"/>
            <w:hideMark/>
          </w:tcPr>
          <w:p w14:paraId="47DCD079"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X</w:t>
            </w:r>
          </w:p>
        </w:tc>
        <w:tc>
          <w:tcPr>
            <w:tcW w:w="1558" w:type="dxa"/>
            <w:tcBorders>
              <w:top w:val="nil"/>
              <w:left w:val="nil"/>
              <w:bottom w:val="single" w:sz="4" w:space="0" w:color="auto"/>
              <w:right w:val="single" w:sz="4" w:space="0" w:color="auto"/>
            </w:tcBorders>
            <w:shd w:val="clear" w:color="auto" w:fill="auto"/>
            <w:noWrap/>
            <w:vAlign w:val="center"/>
            <w:hideMark/>
          </w:tcPr>
          <w:p w14:paraId="7D368739"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748" w:type="dxa"/>
            <w:tcBorders>
              <w:top w:val="nil"/>
              <w:left w:val="nil"/>
              <w:bottom w:val="single" w:sz="4" w:space="0" w:color="auto"/>
              <w:right w:val="single" w:sz="4" w:space="0" w:color="auto"/>
            </w:tcBorders>
            <w:shd w:val="clear" w:color="auto" w:fill="auto"/>
            <w:noWrap/>
            <w:vAlign w:val="center"/>
            <w:hideMark/>
          </w:tcPr>
          <w:p w14:paraId="2FEE8AAC"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189" w:type="dxa"/>
            <w:tcBorders>
              <w:top w:val="nil"/>
              <w:left w:val="nil"/>
              <w:bottom w:val="single" w:sz="4" w:space="0" w:color="auto"/>
              <w:right w:val="single" w:sz="4" w:space="0" w:color="auto"/>
            </w:tcBorders>
            <w:shd w:val="clear" w:color="auto" w:fill="auto"/>
            <w:noWrap/>
            <w:vAlign w:val="center"/>
            <w:hideMark/>
          </w:tcPr>
          <w:p w14:paraId="6D4AB0CA"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977" w:type="dxa"/>
            <w:tcBorders>
              <w:top w:val="nil"/>
              <w:left w:val="nil"/>
              <w:bottom w:val="single" w:sz="4" w:space="0" w:color="auto"/>
              <w:right w:val="single" w:sz="4" w:space="0" w:color="auto"/>
            </w:tcBorders>
            <w:shd w:val="clear" w:color="auto" w:fill="auto"/>
            <w:noWrap/>
            <w:vAlign w:val="center"/>
            <w:hideMark/>
          </w:tcPr>
          <w:p w14:paraId="656D1A16"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667" w:type="dxa"/>
            <w:tcBorders>
              <w:top w:val="nil"/>
              <w:left w:val="nil"/>
              <w:bottom w:val="single" w:sz="4" w:space="0" w:color="auto"/>
              <w:right w:val="single" w:sz="4" w:space="0" w:color="auto"/>
            </w:tcBorders>
            <w:shd w:val="clear" w:color="auto" w:fill="auto"/>
            <w:noWrap/>
            <w:vAlign w:val="center"/>
            <w:hideMark/>
          </w:tcPr>
          <w:p w14:paraId="258E9CA1"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r>
      <w:tr w:rsidR="00C7390D" w:rsidRPr="00DE42B9" w14:paraId="30C6B003" w14:textId="77777777" w:rsidTr="005F3B35">
        <w:trPr>
          <w:trHeight w:val="70"/>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14:paraId="1B677D1E"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w:t>
            </w:r>
          </w:p>
        </w:tc>
        <w:tc>
          <w:tcPr>
            <w:tcW w:w="509" w:type="dxa"/>
            <w:tcBorders>
              <w:top w:val="nil"/>
              <w:left w:val="nil"/>
              <w:bottom w:val="single" w:sz="4" w:space="0" w:color="auto"/>
              <w:right w:val="single" w:sz="4" w:space="0" w:color="auto"/>
            </w:tcBorders>
            <w:shd w:val="clear" w:color="auto" w:fill="auto"/>
            <w:noWrap/>
            <w:vAlign w:val="center"/>
            <w:hideMark/>
          </w:tcPr>
          <w:p w14:paraId="6C37A7CF"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503" w:type="dxa"/>
            <w:tcBorders>
              <w:top w:val="nil"/>
              <w:left w:val="nil"/>
              <w:bottom w:val="single" w:sz="4" w:space="0" w:color="auto"/>
              <w:right w:val="single" w:sz="4" w:space="0" w:color="auto"/>
            </w:tcBorders>
            <w:shd w:val="clear" w:color="auto" w:fill="auto"/>
            <w:noWrap/>
            <w:vAlign w:val="center"/>
            <w:hideMark/>
          </w:tcPr>
          <w:p w14:paraId="2E2DAE15"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20</w:t>
            </w:r>
          </w:p>
        </w:tc>
        <w:tc>
          <w:tcPr>
            <w:tcW w:w="443" w:type="dxa"/>
            <w:tcBorders>
              <w:top w:val="nil"/>
              <w:left w:val="nil"/>
              <w:bottom w:val="single" w:sz="4" w:space="0" w:color="auto"/>
              <w:right w:val="single" w:sz="4" w:space="0" w:color="auto"/>
            </w:tcBorders>
            <w:shd w:val="clear" w:color="auto" w:fill="auto"/>
            <w:noWrap/>
            <w:vAlign w:val="center"/>
            <w:hideMark/>
          </w:tcPr>
          <w:p w14:paraId="297C151A"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2X</w:t>
            </w:r>
          </w:p>
        </w:tc>
        <w:tc>
          <w:tcPr>
            <w:tcW w:w="1400" w:type="dxa"/>
            <w:tcBorders>
              <w:top w:val="nil"/>
              <w:left w:val="nil"/>
              <w:bottom w:val="single" w:sz="4" w:space="0" w:color="auto"/>
              <w:right w:val="single" w:sz="4" w:space="0" w:color="auto"/>
            </w:tcBorders>
            <w:shd w:val="clear" w:color="auto" w:fill="auto"/>
            <w:noWrap/>
            <w:vAlign w:val="center"/>
            <w:hideMark/>
          </w:tcPr>
          <w:p w14:paraId="18424623"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10</w:t>
            </w:r>
          </w:p>
        </w:tc>
        <w:tc>
          <w:tcPr>
            <w:tcW w:w="1517" w:type="dxa"/>
            <w:tcBorders>
              <w:top w:val="nil"/>
              <w:left w:val="nil"/>
              <w:bottom w:val="single" w:sz="4" w:space="0" w:color="auto"/>
              <w:right w:val="single" w:sz="4" w:space="0" w:color="auto"/>
            </w:tcBorders>
            <w:shd w:val="clear" w:color="auto" w:fill="auto"/>
            <w:noWrap/>
            <w:vAlign w:val="center"/>
            <w:hideMark/>
          </w:tcPr>
          <w:p w14:paraId="41896F54"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X</w:t>
            </w:r>
          </w:p>
        </w:tc>
        <w:tc>
          <w:tcPr>
            <w:tcW w:w="1558" w:type="dxa"/>
            <w:tcBorders>
              <w:top w:val="nil"/>
              <w:left w:val="nil"/>
              <w:bottom w:val="single" w:sz="4" w:space="0" w:color="auto"/>
              <w:right w:val="single" w:sz="4" w:space="0" w:color="auto"/>
            </w:tcBorders>
            <w:shd w:val="clear" w:color="auto" w:fill="auto"/>
            <w:noWrap/>
            <w:vAlign w:val="center"/>
            <w:hideMark/>
          </w:tcPr>
          <w:p w14:paraId="5080AF59"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748" w:type="dxa"/>
            <w:tcBorders>
              <w:top w:val="nil"/>
              <w:left w:val="nil"/>
              <w:bottom w:val="single" w:sz="4" w:space="0" w:color="auto"/>
              <w:right w:val="single" w:sz="4" w:space="0" w:color="auto"/>
            </w:tcBorders>
            <w:shd w:val="clear" w:color="auto" w:fill="auto"/>
            <w:noWrap/>
            <w:vAlign w:val="center"/>
            <w:hideMark/>
          </w:tcPr>
          <w:p w14:paraId="73D3CE42"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189" w:type="dxa"/>
            <w:tcBorders>
              <w:top w:val="nil"/>
              <w:left w:val="nil"/>
              <w:bottom w:val="single" w:sz="4" w:space="0" w:color="auto"/>
              <w:right w:val="single" w:sz="4" w:space="0" w:color="auto"/>
            </w:tcBorders>
            <w:shd w:val="clear" w:color="auto" w:fill="auto"/>
            <w:noWrap/>
            <w:vAlign w:val="center"/>
            <w:hideMark/>
          </w:tcPr>
          <w:p w14:paraId="1F9CAD85"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977" w:type="dxa"/>
            <w:tcBorders>
              <w:top w:val="nil"/>
              <w:left w:val="nil"/>
              <w:bottom w:val="single" w:sz="4" w:space="0" w:color="auto"/>
              <w:right w:val="single" w:sz="4" w:space="0" w:color="auto"/>
            </w:tcBorders>
            <w:shd w:val="clear" w:color="auto" w:fill="auto"/>
            <w:noWrap/>
            <w:vAlign w:val="center"/>
            <w:hideMark/>
          </w:tcPr>
          <w:p w14:paraId="58B97E63"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667" w:type="dxa"/>
            <w:tcBorders>
              <w:top w:val="nil"/>
              <w:left w:val="nil"/>
              <w:bottom w:val="single" w:sz="4" w:space="0" w:color="auto"/>
              <w:right w:val="single" w:sz="4" w:space="0" w:color="auto"/>
            </w:tcBorders>
            <w:shd w:val="clear" w:color="auto" w:fill="auto"/>
            <w:noWrap/>
            <w:vAlign w:val="center"/>
            <w:hideMark/>
          </w:tcPr>
          <w:p w14:paraId="5F328935"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r>
      <w:tr w:rsidR="00C7390D" w:rsidRPr="00DE42B9" w14:paraId="5DBAFBEB" w14:textId="77777777" w:rsidTr="005F3B35">
        <w:trPr>
          <w:trHeight w:val="70"/>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14:paraId="515B434C"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4</w:t>
            </w:r>
          </w:p>
        </w:tc>
        <w:tc>
          <w:tcPr>
            <w:tcW w:w="509" w:type="dxa"/>
            <w:tcBorders>
              <w:top w:val="nil"/>
              <w:left w:val="nil"/>
              <w:bottom w:val="single" w:sz="4" w:space="0" w:color="auto"/>
              <w:right w:val="single" w:sz="4" w:space="0" w:color="auto"/>
            </w:tcBorders>
            <w:shd w:val="clear" w:color="auto" w:fill="auto"/>
            <w:noWrap/>
            <w:vAlign w:val="center"/>
            <w:hideMark/>
          </w:tcPr>
          <w:p w14:paraId="35319D24"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503" w:type="dxa"/>
            <w:tcBorders>
              <w:top w:val="nil"/>
              <w:left w:val="nil"/>
              <w:bottom w:val="single" w:sz="4" w:space="0" w:color="auto"/>
              <w:right w:val="single" w:sz="4" w:space="0" w:color="auto"/>
            </w:tcBorders>
            <w:shd w:val="clear" w:color="auto" w:fill="auto"/>
            <w:noWrap/>
            <w:vAlign w:val="center"/>
            <w:hideMark/>
          </w:tcPr>
          <w:p w14:paraId="4B664272"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20</w:t>
            </w:r>
          </w:p>
        </w:tc>
        <w:tc>
          <w:tcPr>
            <w:tcW w:w="443" w:type="dxa"/>
            <w:tcBorders>
              <w:top w:val="nil"/>
              <w:left w:val="nil"/>
              <w:bottom w:val="single" w:sz="4" w:space="0" w:color="auto"/>
              <w:right w:val="single" w:sz="4" w:space="0" w:color="auto"/>
            </w:tcBorders>
            <w:shd w:val="clear" w:color="auto" w:fill="auto"/>
            <w:noWrap/>
            <w:vAlign w:val="center"/>
            <w:hideMark/>
          </w:tcPr>
          <w:p w14:paraId="2D0FFD7C"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2X</w:t>
            </w:r>
          </w:p>
        </w:tc>
        <w:tc>
          <w:tcPr>
            <w:tcW w:w="1400" w:type="dxa"/>
            <w:tcBorders>
              <w:top w:val="nil"/>
              <w:left w:val="nil"/>
              <w:bottom w:val="single" w:sz="4" w:space="0" w:color="auto"/>
              <w:right w:val="single" w:sz="4" w:space="0" w:color="auto"/>
            </w:tcBorders>
            <w:shd w:val="clear" w:color="auto" w:fill="auto"/>
            <w:noWrap/>
            <w:vAlign w:val="center"/>
            <w:hideMark/>
          </w:tcPr>
          <w:p w14:paraId="597C515E"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10</w:t>
            </w:r>
          </w:p>
        </w:tc>
        <w:tc>
          <w:tcPr>
            <w:tcW w:w="1517" w:type="dxa"/>
            <w:tcBorders>
              <w:top w:val="nil"/>
              <w:left w:val="nil"/>
              <w:bottom w:val="single" w:sz="4" w:space="0" w:color="auto"/>
              <w:right w:val="single" w:sz="4" w:space="0" w:color="auto"/>
            </w:tcBorders>
            <w:shd w:val="clear" w:color="auto" w:fill="auto"/>
            <w:noWrap/>
            <w:vAlign w:val="center"/>
            <w:hideMark/>
          </w:tcPr>
          <w:p w14:paraId="114A5C64"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X</w:t>
            </w:r>
          </w:p>
        </w:tc>
        <w:tc>
          <w:tcPr>
            <w:tcW w:w="1558" w:type="dxa"/>
            <w:tcBorders>
              <w:top w:val="nil"/>
              <w:left w:val="nil"/>
              <w:bottom w:val="single" w:sz="4" w:space="0" w:color="auto"/>
              <w:right w:val="single" w:sz="4" w:space="0" w:color="auto"/>
            </w:tcBorders>
            <w:shd w:val="clear" w:color="auto" w:fill="auto"/>
            <w:noWrap/>
            <w:vAlign w:val="center"/>
            <w:hideMark/>
          </w:tcPr>
          <w:p w14:paraId="6CC7289D"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748" w:type="dxa"/>
            <w:tcBorders>
              <w:top w:val="nil"/>
              <w:left w:val="nil"/>
              <w:bottom w:val="single" w:sz="4" w:space="0" w:color="auto"/>
              <w:right w:val="single" w:sz="4" w:space="0" w:color="auto"/>
            </w:tcBorders>
            <w:shd w:val="clear" w:color="auto" w:fill="auto"/>
            <w:noWrap/>
            <w:vAlign w:val="center"/>
            <w:hideMark/>
          </w:tcPr>
          <w:p w14:paraId="2F6E0965"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189" w:type="dxa"/>
            <w:tcBorders>
              <w:top w:val="nil"/>
              <w:left w:val="nil"/>
              <w:bottom w:val="single" w:sz="4" w:space="0" w:color="auto"/>
              <w:right w:val="single" w:sz="4" w:space="0" w:color="auto"/>
            </w:tcBorders>
            <w:shd w:val="clear" w:color="auto" w:fill="auto"/>
            <w:noWrap/>
            <w:vAlign w:val="center"/>
            <w:hideMark/>
          </w:tcPr>
          <w:p w14:paraId="2B6B32FF"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977" w:type="dxa"/>
            <w:tcBorders>
              <w:top w:val="nil"/>
              <w:left w:val="nil"/>
              <w:bottom w:val="single" w:sz="4" w:space="0" w:color="auto"/>
              <w:right w:val="single" w:sz="4" w:space="0" w:color="auto"/>
            </w:tcBorders>
            <w:shd w:val="clear" w:color="auto" w:fill="auto"/>
            <w:noWrap/>
            <w:vAlign w:val="center"/>
            <w:hideMark/>
          </w:tcPr>
          <w:p w14:paraId="4A90292B"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667" w:type="dxa"/>
            <w:tcBorders>
              <w:top w:val="nil"/>
              <w:left w:val="nil"/>
              <w:bottom w:val="single" w:sz="4" w:space="0" w:color="auto"/>
              <w:right w:val="single" w:sz="4" w:space="0" w:color="auto"/>
            </w:tcBorders>
            <w:shd w:val="clear" w:color="auto" w:fill="auto"/>
            <w:noWrap/>
            <w:vAlign w:val="center"/>
            <w:hideMark/>
          </w:tcPr>
          <w:p w14:paraId="178829DF"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r>
      <w:tr w:rsidR="00C7390D" w:rsidRPr="00DE42B9" w14:paraId="7D2606DB" w14:textId="77777777" w:rsidTr="005F3B35">
        <w:trPr>
          <w:trHeight w:val="70"/>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14:paraId="695F5124"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5</w:t>
            </w:r>
          </w:p>
        </w:tc>
        <w:tc>
          <w:tcPr>
            <w:tcW w:w="509" w:type="dxa"/>
            <w:tcBorders>
              <w:top w:val="nil"/>
              <w:left w:val="nil"/>
              <w:bottom w:val="single" w:sz="4" w:space="0" w:color="auto"/>
              <w:right w:val="single" w:sz="4" w:space="0" w:color="auto"/>
            </w:tcBorders>
            <w:shd w:val="clear" w:color="auto" w:fill="auto"/>
            <w:noWrap/>
            <w:vAlign w:val="center"/>
            <w:hideMark/>
          </w:tcPr>
          <w:p w14:paraId="08B8CC11"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503" w:type="dxa"/>
            <w:tcBorders>
              <w:top w:val="nil"/>
              <w:left w:val="nil"/>
              <w:bottom w:val="single" w:sz="4" w:space="0" w:color="auto"/>
              <w:right w:val="single" w:sz="4" w:space="0" w:color="auto"/>
            </w:tcBorders>
            <w:shd w:val="clear" w:color="auto" w:fill="auto"/>
            <w:noWrap/>
            <w:vAlign w:val="center"/>
            <w:hideMark/>
          </w:tcPr>
          <w:p w14:paraId="34795090"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20</w:t>
            </w:r>
          </w:p>
        </w:tc>
        <w:tc>
          <w:tcPr>
            <w:tcW w:w="443" w:type="dxa"/>
            <w:tcBorders>
              <w:top w:val="nil"/>
              <w:left w:val="nil"/>
              <w:bottom w:val="single" w:sz="4" w:space="0" w:color="auto"/>
              <w:right w:val="single" w:sz="4" w:space="0" w:color="auto"/>
            </w:tcBorders>
            <w:shd w:val="clear" w:color="auto" w:fill="auto"/>
            <w:noWrap/>
            <w:vAlign w:val="center"/>
            <w:hideMark/>
          </w:tcPr>
          <w:p w14:paraId="2D147A7B"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2X</w:t>
            </w:r>
          </w:p>
        </w:tc>
        <w:tc>
          <w:tcPr>
            <w:tcW w:w="1400" w:type="dxa"/>
            <w:tcBorders>
              <w:top w:val="nil"/>
              <w:left w:val="nil"/>
              <w:bottom w:val="single" w:sz="4" w:space="0" w:color="auto"/>
              <w:right w:val="single" w:sz="4" w:space="0" w:color="auto"/>
            </w:tcBorders>
            <w:shd w:val="clear" w:color="auto" w:fill="auto"/>
            <w:noWrap/>
            <w:vAlign w:val="center"/>
            <w:hideMark/>
          </w:tcPr>
          <w:p w14:paraId="05AB962E"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10</w:t>
            </w:r>
          </w:p>
        </w:tc>
        <w:tc>
          <w:tcPr>
            <w:tcW w:w="1517" w:type="dxa"/>
            <w:tcBorders>
              <w:top w:val="nil"/>
              <w:left w:val="nil"/>
              <w:bottom w:val="single" w:sz="4" w:space="0" w:color="auto"/>
              <w:right w:val="single" w:sz="4" w:space="0" w:color="auto"/>
            </w:tcBorders>
            <w:shd w:val="clear" w:color="auto" w:fill="auto"/>
            <w:noWrap/>
            <w:vAlign w:val="center"/>
            <w:hideMark/>
          </w:tcPr>
          <w:p w14:paraId="22AD1FDB"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X</w:t>
            </w:r>
          </w:p>
        </w:tc>
        <w:tc>
          <w:tcPr>
            <w:tcW w:w="1558" w:type="dxa"/>
            <w:tcBorders>
              <w:top w:val="nil"/>
              <w:left w:val="nil"/>
              <w:bottom w:val="single" w:sz="4" w:space="0" w:color="auto"/>
              <w:right w:val="single" w:sz="4" w:space="0" w:color="auto"/>
            </w:tcBorders>
            <w:shd w:val="clear" w:color="auto" w:fill="auto"/>
            <w:noWrap/>
            <w:vAlign w:val="center"/>
            <w:hideMark/>
          </w:tcPr>
          <w:p w14:paraId="66ABD06D"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748" w:type="dxa"/>
            <w:tcBorders>
              <w:top w:val="nil"/>
              <w:left w:val="nil"/>
              <w:bottom w:val="single" w:sz="4" w:space="0" w:color="auto"/>
              <w:right w:val="single" w:sz="4" w:space="0" w:color="auto"/>
            </w:tcBorders>
            <w:shd w:val="clear" w:color="auto" w:fill="auto"/>
            <w:noWrap/>
            <w:vAlign w:val="center"/>
            <w:hideMark/>
          </w:tcPr>
          <w:p w14:paraId="6867C474"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189" w:type="dxa"/>
            <w:tcBorders>
              <w:top w:val="nil"/>
              <w:left w:val="nil"/>
              <w:bottom w:val="single" w:sz="4" w:space="0" w:color="auto"/>
              <w:right w:val="single" w:sz="4" w:space="0" w:color="auto"/>
            </w:tcBorders>
            <w:shd w:val="clear" w:color="auto" w:fill="auto"/>
            <w:noWrap/>
            <w:vAlign w:val="center"/>
            <w:hideMark/>
          </w:tcPr>
          <w:p w14:paraId="6FE894B1"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977" w:type="dxa"/>
            <w:tcBorders>
              <w:top w:val="nil"/>
              <w:left w:val="nil"/>
              <w:bottom w:val="single" w:sz="4" w:space="0" w:color="auto"/>
              <w:right w:val="single" w:sz="4" w:space="0" w:color="auto"/>
            </w:tcBorders>
            <w:shd w:val="clear" w:color="auto" w:fill="auto"/>
            <w:noWrap/>
            <w:vAlign w:val="center"/>
            <w:hideMark/>
          </w:tcPr>
          <w:p w14:paraId="489D427C"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667" w:type="dxa"/>
            <w:tcBorders>
              <w:top w:val="nil"/>
              <w:left w:val="nil"/>
              <w:bottom w:val="single" w:sz="4" w:space="0" w:color="auto"/>
              <w:right w:val="single" w:sz="4" w:space="0" w:color="auto"/>
            </w:tcBorders>
            <w:shd w:val="clear" w:color="auto" w:fill="auto"/>
            <w:noWrap/>
            <w:vAlign w:val="center"/>
            <w:hideMark/>
          </w:tcPr>
          <w:p w14:paraId="540C765F"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r>
      <w:tr w:rsidR="00C7390D" w:rsidRPr="00DE42B9" w14:paraId="0D6B35DA" w14:textId="77777777" w:rsidTr="005F3B35">
        <w:trPr>
          <w:trHeight w:val="70"/>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14:paraId="36E1F26D"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6</w:t>
            </w:r>
          </w:p>
        </w:tc>
        <w:tc>
          <w:tcPr>
            <w:tcW w:w="509" w:type="dxa"/>
            <w:tcBorders>
              <w:top w:val="nil"/>
              <w:left w:val="nil"/>
              <w:bottom w:val="single" w:sz="4" w:space="0" w:color="auto"/>
              <w:right w:val="single" w:sz="4" w:space="0" w:color="auto"/>
            </w:tcBorders>
            <w:shd w:val="clear" w:color="auto" w:fill="auto"/>
            <w:noWrap/>
            <w:vAlign w:val="center"/>
            <w:hideMark/>
          </w:tcPr>
          <w:p w14:paraId="151E049C"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503" w:type="dxa"/>
            <w:tcBorders>
              <w:top w:val="nil"/>
              <w:left w:val="nil"/>
              <w:bottom w:val="single" w:sz="4" w:space="0" w:color="auto"/>
              <w:right w:val="single" w:sz="4" w:space="0" w:color="auto"/>
            </w:tcBorders>
            <w:shd w:val="clear" w:color="auto" w:fill="auto"/>
            <w:noWrap/>
            <w:vAlign w:val="center"/>
            <w:hideMark/>
          </w:tcPr>
          <w:p w14:paraId="3BA39350"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15</w:t>
            </w:r>
          </w:p>
        </w:tc>
        <w:tc>
          <w:tcPr>
            <w:tcW w:w="443" w:type="dxa"/>
            <w:tcBorders>
              <w:top w:val="nil"/>
              <w:left w:val="nil"/>
              <w:bottom w:val="single" w:sz="4" w:space="0" w:color="auto"/>
              <w:right w:val="single" w:sz="4" w:space="0" w:color="auto"/>
            </w:tcBorders>
            <w:shd w:val="clear" w:color="auto" w:fill="auto"/>
            <w:noWrap/>
            <w:vAlign w:val="center"/>
            <w:hideMark/>
          </w:tcPr>
          <w:p w14:paraId="0D573836"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2X</w:t>
            </w:r>
          </w:p>
        </w:tc>
        <w:tc>
          <w:tcPr>
            <w:tcW w:w="1400" w:type="dxa"/>
            <w:tcBorders>
              <w:top w:val="nil"/>
              <w:left w:val="nil"/>
              <w:bottom w:val="single" w:sz="4" w:space="0" w:color="auto"/>
              <w:right w:val="single" w:sz="4" w:space="0" w:color="auto"/>
            </w:tcBorders>
            <w:shd w:val="clear" w:color="auto" w:fill="auto"/>
            <w:noWrap/>
            <w:vAlign w:val="center"/>
            <w:hideMark/>
          </w:tcPr>
          <w:p w14:paraId="6614226B"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10</w:t>
            </w:r>
          </w:p>
        </w:tc>
        <w:tc>
          <w:tcPr>
            <w:tcW w:w="1517" w:type="dxa"/>
            <w:tcBorders>
              <w:top w:val="nil"/>
              <w:left w:val="nil"/>
              <w:bottom w:val="single" w:sz="4" w:space="0" w:color="auto"/>
              <w:right w:val="single" w:sz="4" w:space="0" w:color="auto"/>
            </w:tcBorders>
            <w:shd w:val="clear" w:color="auto" w:fill="auto"/>
            <w:noWrap/>
            <w:vAlign w:val="center"/>
            <w:hideMark/>
          </w:tcPr>
          <w:p w14:paraId="2D79428E"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X</w:t>
            </w:r>
          </w:p>
        </w:tc>
        <w:tc>
          <w:tcPr>
            <w:tcW w:w="1558" w:type="dxa"/>
            <w:tcBorders>
              <w:top w:val="nil"/>
              <w:left w:val="nil"/>
              <w:bottom w:val="single" w:sz="4" w:space="0" w:color="auto"/>
              <w:right w:val="single" w:sz="4" w:space="0" w:color="auto"/>
            </w:tcBorders>
            <w:shd w:val="clear" w:color="auto" w:fill="auto"/>
            <w:noWrap/>
            <w:vAlign w:val="center"/>
            <w:hideMark/>
          </w:tcPr>
          <w:p w14:paraId="1FFB19B4"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748" w:type="dxa"/>
            <w:tcBorders>
              <w:top w:val="nil"/>
              <w:left w:val="nil"/>
              <w:bottom w:val="single" w:sz="4" w:space="0" w:color="auto"/>
              <w:right w:val="single" w:sz="4" w:space="0" w:color="auto"/>
            </w:tcBorders>
            <w:shd w:val="clear" w:color="auto" w:fill="auto"/>
            <w:noWrap/>
            <w:vAlign w:val="center"/>
            <w:hideMark/>
          </w:tcPr>
          <w:p w14:paraId="7F15D93E"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189" w:type="dxa"/>
            <w:tcBorders>
              <w:top w:val="nil"/>
              <w:left w:val="nil"/>
              <w:bottom w:val="single" w:sz="4" w:space="0" w:color="auto"/>
              <w:right w:val="single" w:sz="4" w:space="0" w:color="auto"/>
            </w:tcBorders>
            <w:shd w:val="clear" w:color="auto" w:fill="auto"/>
            <w:noWrap/>
            <w:vAlign w:val="center"/>
            <w:hideMark/>
          </w:tcPr>
          <w:p w14:paraId="043C0AF9"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977" w:type="dxa"/>
            <w:tcBorders>
              <w:top w:val="nil"/>
              <w:left w:val="nil"/>
              <w:bottom w:val="single" w:sz="4" w:space="0" w:color="auto"/>
              <w:right w:val="single" w:sz="4" w:space="0" w:color="auto"/>
            </w:tcBorders>
            <w:shd w:val="clear" w:color="auto" w:fill="auto"/>
            <w:noWrap/>
            <w:vAlign w:val="center"/>
            <w:hideMark/>
          </w:tcPr>
          <w:p w14:paraId="0E7DB838"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667" w:type="dxa"/>
            <w:tcBorders>
              <w:top w:val="nil"/>
              <w:left w:val="nil"/>
              <w:bottom w:val="single" w:sz="4" w:space="0" w:color="auto"/>
              <w:right w:val="single" w:sz="4" w:space="0" w:color="auto"/>
            </w:tcBorders>
            <w:shd w:val="clear" w:color="auto" w:fill="auto"/>
            <w:noWrap/>
            <w:vAlign w:val="center"/>
            <w:hideMark/>
          </w:tcPr>
          <w:p w14:paraId="0810F3F2"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r>
      <w:tr w:rsidR="00C7390D" w:rsidRPr="00DE42B9" w14:paraId="2ECFFCD1" w14:textId="77777777" w:rsidTr="005F3B35">
        <w:trPr>
          <w:trHeight w:val="70"/>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14:paraId="64FDA2BE"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7</w:t>
            </w:r>
          </w:p>
        </w:tc>
        <w:tc>
          <w:tcPr>
            <w:tcW w:w="509" w:type="dxa"/>
            <w:tcBorders>
              <w:top w:val="nil"/>
              <w:left w:val="nil"/>
              <w:bottom w:val="single" w:sz="4" w:space="0" w:color="auto"/>
              <w:right w:val="single" w:sz="4" w:space="0" w:color="auto"/>
            </w:tcBorders>
            <w:shd w:val="clear" w:color="auto" w:fill="auto"/>
            <w:noWrap/>
            <w:vAlign w:val="center"/>
            <w:hideMark/>
          </w:tcPr>
          <w:p w14:paraId="715935DA"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503" w:type="dxa"/>
            <w:tcBorders>
              <w:top w:val="nil"/>
              <w:left w:val="nil"/>
              <w:bottom w:val="single" w:sz="4" w:space="0" w:color="auto"/>
              <w:right w:val="single" w:sz="4" w:space="0" w:color="auto"/>
            </w:tcBorders>
            <w:shd w:val="clear" w:color="auto" w:fill="auto"/>
            <w:noWrap/>
            <w:vAlign w:val="center"/>
            <w:hideMark/>
          </w:tcPr>
          <w:p w14:paraId="0673DC71"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15</w:t>
            </w:r>
          </w:p>
        </w:tc>
        <w:tc>
          <w:tcPr>
            <w:tcW w:w="443" w:type="dxa"/>
            <w:tcBorders>
              <w:top w:val="nil"/>
              <w:left w:val="nil"/>
              <w:bottom w:val="single" w:sz="4" w:space="0" w:color="auto"/>
              <w:right w:val="single" w:sz="4" w:space="0" w:color="auto"/>
            </w:tcBorders>
            <w:shd w:val="clear" w:color="auto" w:fill="auto"/>
            <w:noWrap/>
            <w:vAlign w:val="center"/>
            <w:hideMark/>
          </w:tcPr>
          <w:p w14:paraId="25DC926D"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2X</w:t>
            </w:r>
          </w:p>
        </w:tc>
        <w:tc>
          <w:tcPr>
            <w:tcW w:w="1400" w:type="dxa"/>
            <w:tcBorders>
              <w:top w:val="nil"/>
              <w:left w:val="nil"/>
              <w:bottom w:val="single" w:sz="4" w:space="0" w:color="auto"/>
              <w:right w:val="single" w:sz="4" w:space="0" w:color="auto"/>
            </w:tcBorders>
            <w:shd w:val="clear" w:color="auto" w:fill="auto"/>
            <w:noWrap/>
            <w:vAlign w:val="center"/>
            <w:hideMark/>
          </w:tcPr>
          <w:p w14:paraId="19EA1BFE"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10</w:t>
            </w:r>
          </w:p>
        </w:tc>
        <w:tc>
          <w:tcPr>
            <w:tcW w:w="1517" w:type="dxa"/>
            <w:tcBorders>
              <w:top w:val="nil"/>
              <w:left w:val="nil"/>
              <w:bottom w:val="single" w:sz="4" w:space="0" w:color="auto"/>
              <w:right w:val="single" w:sz="4" w:space="0" w:color="auto"/>
            </w:tcBorders>
            <w:shd w:val="clear" w:color="auto" w:fill="auto"/>
            <w:noWrap/>
            <w:vAlign w:val="center"/>
            <w:hideMark/>
          </w:tcPr>
          <w:p w14:paraId="4540A22F"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X</w:t>
            </w:r>
          </w:p>
        </w:tc>
        <w:tc>
          <w:tcPr>
            <w:tcW w:w="1558" w:type="dxa"/>
            <w:tcBorders>
              <w:top w:val="nil"/>
              <w:left w:val="nil"/>
              <w:bottom w:val="single" w:sz="4" w:space="0" w:color="auto"/>
              <w:right w:val="single" w:sz="4" w:space="0" w:color="auto"/>
            </w:tcBorders>
            <w:shd w:val="clear" w:color="auto" w:fill="auto"/>
            <w:noWrap/>
            <w:vAlign w:val="center"/>
            <w:hideMark/>
          </w:tcPr>
          <w:p w14:paraId="5B9AC6C8"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748" w:type="dxa"/>
            <w:tcBorders>
              <w:top w:val="nil"/>
              <w:left w:val="nil"/>
              <w:bottom w:val="single" w:sz="4" w:space="0" w:color="auto"/>
              <w:right w:val="single" w:sz="4" w:space="0" w:color="auto"/>
            </w:tcBorders>
            <w:shd w:val="clear" w:color="auto" w:fill="auto"/>
            <w:noWrap/>
            <w:vAlign w:val="center"/>
            <w:hideMark/>
          </w:tcPr>
          <w:p w14:paraId="5BC8BB19"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189" w:type="dxa"/>
            <w:tcBorders>
              <w:top w:val="nil"/>
              <w:left w:val="nil"/>
              <w:bottom w:val="single" w:sz="4" w:space="0" w:color="auto"/>
              <w:right w:val="single" w:sz="4" w:space="0" w:color="auto"/>
            </w:tcBorders>
            <w:shd w:val="clear" w:color="auto" w:fill="auto"/>
            <w:noWrap/>
            <w:vAlign w:val="center"/>
            <w:hideMark/>
          </w:tcPr>
          <w:p w14:paraId="3EBEA31F"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977" w:type="dxa"/>
            <w:tcBorders>
              <w:top w:val="nil"/>
              <w:left w:val="nil"/>
              <w:bottom w:val="single" w:sz="4" w:space="0" w:color="auto"/>
              <w:right w:val="single" w:sz="4" w:space="0" w:color="auto"/>
            </w:tcBorders>
            <w:shd w:val="clear" w:color="auto" w:fill="auto"/>
            <w:noWrap/>
            <w:vAlign w:val="center"/>
            <w:hideMark/>
          </w:tcPr>
          <w:p w14:paraId="3284AB76"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667" w:type="dxa"/>
            <w:tcBorders>
              <w:top w:val="nil"/>
              <w:left w:val="nil"/>
              <w:bottom w:val="single" w:sz="4" w:space="0" w:color="auto"/>
              <w:right w:val="single" w:sz="4" w:space="0" w:color="auto"/>
            </w:tcBorders>
            <w:shd w:val="clear" w:color="auto" w:fill="auto"/>
            <w:noWrap/>
            <w:vAlign w:val="center"/>
            <w:hideMark/>
          </w:tcPr>
          <w:p w14:paraId="26B2A77C"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r>
      <w:tr w:rsidR="00C7390D" w:rsidRPr="00DE42B9" w14:paraId="1758BDA1" w14:textId="77777777" w:rsidTr="005F3B35">
        <w:trPr>
          <w:trHeight w:val="70"/>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14:paraId="7C229D50"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8</w:t>
            </w:r>
          </w:p>
        </w:tc>
        <w:tc>
          <w:tcPr>
            <w:tcW w:w="509" w:type="dxa"/>
            <w:tcBorders>
              <w:top w:val="nil"/>
              <w:left w:val="nil"/>
              <w:bottom w:val="single" w:sz="4" w:space="0" w:color="auto"/>
              <w:right w:val="single" w:sz="4" w:space="0" w:color="auto"/>
            </w:tcBorders>
            <w:shd w:val="clear" w:color="auto" w:fill="auto"/>
            <w:noWrap/>
            <w:vAlign w:val="center"/>
            <w:hideMark/>
          </w:tcPr>
          <w:p w14:paraId="56F9F987"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503" w:type="dxa"/>
            <w:tcBorders>
              <w:top w:val="nil"/>
              <w:left w:val="nil"/>
              <w:bottom w:val="single" w:sz="4" w:space="0" w:color="auto"/>
              <w:right w:val="single" w:sz="4" w:space="0" w:color="auto"/>
            </w:tcBorders>
            <w:shd w:val="clear" w:color="auto" w:fill="auto"/>
            <w:noWrap/>
            <w:vAlign w:val="center"/>
            <w:hideMark/>
          </w:tcPr>
          <w:p w14:paraId="4EE6866F"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15</w:t>
            </w:r>
          </w:p>
        </w:tc>
        <w:tc>
          <w:tcPr>
            <w:tcW w:w="443" w:type="dxa"/>
            <w:tcBorders>
              <w:top w:val="nil"/>
              <w:left w:val="nil"/>
              <w:bottom w:val="single" w:sz="4" w:space="0" w:color="auto"/>
              <w:right w:val="single" w:sz="4" w:space="0" w:color="auto"/>
            </w:tcBorders>
            <w:shd w:val="clear" w:color="auto" w:fill="auto"/>
            <w:noWrap/>
            <w:vAlign w:val="center"/>
            <w:hideMark/>
          </w:tcPr>
          <w:p w14:paraId="7CC03AB8"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2X</w:t>
            </w:r>
          </w:p>
        </w:tc>
        <w:tc>
          <w:tcPr>
            <w:tcW w:w="1400" w:type="dxa"/>
            <w:tcBorders>
              <w:top w:val="nil"/>
              <w:left w:val="nil"/>
              <w:bottom w:val="single" w:sz="4" w:space="0" w:color="auto"/>
              <w:right w:val="single" w:sz="4" w:space="0" w:color="auto"/>
            </w:tcBorders>
            <w:shd w:val="clear" w:color="auto" w:fill="auto"/>
            <w:noWrap/>
            <w:vAlign w:val="center"/>
            <w:hideMark/>
          </w:tcPr>
          <w:p w14:paraId="7599A258"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10</w:t>
            </w:r>
          </w:p>
        </w:tc>
        <w:tc>
          <w:tcPr>
            <w:tcW w:w="1517" w:type="dxa"/>
            <w:tcBorders>
              <w:top w:val="nil"/>
              <w:left w:val="nil"/>
              <w:bottom w:val="single" w:sz="4" w:space="0" w:color="auto"/>
              <w:right w:val="single" w:sz="4" w:space="0" w:color="auto"/>
            </w:tcBorders>
            <w:shd w:val="clear" w:color="auto" w:fill="auto"/>
            <w:noWrap/>
            <w:vAlign w:val="center"/>
            <w:hideMark/>
          </w:tcPr>
          <w:p w14:paraId="21F613C4"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X</w:t>
            </w:r>
          </w:p>
        </w:tc>
        <w:tc>
          <w:tcPr>
            <w:tcW w:w="1558" w:type="dxa"/>
            <w:tcBorders>
              <w:top w:val="nil"/>
              <w:left w:val="nil"/>
              <w:bottom w:val="single" w:sz="4" w:space="0" w:color="auto"/>
              <w:right w:val="single" w:sz="4" w:space="0" w:color="auto"/>
            </w:tcBorders>
            <w:shd w:val="clear" w:color="auto" w:fill="auto"/>
            <w:noWrap/>
            <w:vAlign w:val="center"/>
            <w:hideMark/>
          </w:tcPr>
          <w:p w14:paraId="7860FB2D"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748" w:type="dxa"/>
            <w:tcBorders>
              <w:top w:val="nil"/>
              <w:left w:val="nil"/>
              <w:bottom w:val="single" w:sz="4" w:space="0" w:color="auto"/>
              <w:right w:val="single" w:sz="4" w:space="0" w:color="auto"/>
            </w:tcBorders>
            <w:shd w:val="clear" w:color="auto" w:fill="auto"/>
            <w:noWrap/>
            <w:vAlign w:val="center"/>
            <w:hideMark/>
          </w:tcPr>
          <w:p w14:paraId="3B90D74C"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189" w:type="dxa"/>
            <w:tcBorders>
              <w:top w:val="nil"/>
              <w:left w:val="nil"/>
              <w:bottom w:val="single" w:sz="4" w:space="0" w:color="auto"/>
              <w:right w:val="single" w:sz="4" w:space="0" w:color="auto"/>
            </w:tcBorders>
            <w:shd w:val="clear" w:color="auto" w:fill="auto"/>
            <w:noWrap/>
            <w:vAlign w:val="center"/>
            <w:hideMark/>
          </w:tcPr>
          <w:p w14:paraId="3EA05274"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977" w:type="dxa"/>
            <w:tcBorders>
              <w:top w:val="nil"/>
              <w:left w:val="nil"/>
              <w:bottom w:val="single" w:sz="4" w:space="0" w:color="auto"/>
              <w:right w:val="single" w:sz="4" w:space="0" w:color="auto"/>
            </w:tcBorders>
            <w:shd w:val="clear" w:color="auto" w:fill="auto"/>
            <w:noWrap/>
            <w:vAlign w:val="center"/>
            <w:hideMark/>
          </w:tcPr>
          <w:p w14:paraId="27880FCC"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667" w:type="dxa"/>
            <w:tcBorders>
              <w:top w:val="nil"/>
              <w:left w:val="nil"/>
              <w:bottom w:val="single" w:sz="4" w:space="0" w:color="auto"/>
              <w:right w:val="single" w:sz="4" w:space="0" w:color="auto"/>
            </w:tcBorders>
            <w:shd w:val="clear" w:color="auto" w:fill="auto"/>
            <w:noWrap/>
            <w:vAlign w:val="center"/>
            <w:hideMark/>
          </w:tcPr>
          <w:p w14:paraId="29D2CEEA"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r>
      <w:tr w:rsidR="00C7390D" w:rsidRPr="00DE42B9" w14:paraId="5408C723" w14:textId="77777777" w:rsidTr="005F3B35">
        <w:trPr>
          <w:trHeight w:val="70"/>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14:paraId="426F7C11"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9</w:t>
            </w:r>
          </w:p>
        </w:tc>
        <w:tc>
          <w:tcPr>
            <w:tcW w:w="509" w:type="dxa"/>
            <w:tcBorders>
              <w:top w:val="nil"/>
              <w:left w:val="nil"/>
              <w:bottom w:val="single" w:sz="4" w:space="0" w:color="auto"/>
              <w:right w:val="single" w:sz="4" w:space="0" w:color="auto"/>
            </w:tcBorders>
            <w:shd w:val="clear" w:color="auto" w:fill="auto"/>
            <w:noWrap/>
            <w:vAlign w:val="center"/>
            <w:hideMark/>
          </w:tcPr>
          <w:p w14:paraId="49F762F4"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503" w:type="dxa"/>
            <w:tcBorders>
              <w:top w:val="nil"/>
              <w:left w:val="nil"/>
              <w:bottom w:val="single" w:sz="4" w:space="0" w:color="auto"/>
              <w:right w:val="single" w:sz="4" w:space="0" w:color="auto"/>
            </w:tcBorders>
            <w:shd w:val="clear" w:color="auto" w:fill="auto"/>
            <w:noWrap/>
            <w:vAlign w:val="center"/>
            <w:hideMark/>
          </w:tcPr>
          <w:p w14:paraId="329C0F1F"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15</w:t>
            </w:r>
          </w:p>
        </w:tc>
        <w:tc>
          <w:tcPr>
            <w:tcW w:w="443" w:type="dxa"/>
            <w:tcBorders>
              <w:top w:val="nil"/>
              <w:left w:val="nil"/>
              <w:bottom w:val="single" w:sz="4" w:space="0" w:color="auto"/>
              <w:right w:val="single" w:sz="4" w:space="0" w:color="auto"/>
            </w:tcBorders>
            <w:shd w:val="clear" w:color="auto" w:fill="auto"/>
            <w:noWrap/>
            <w:vAlign w:val="center"/>
            <w:hideMark/>
          </w:tcPr>
          <w:p w14:paraId="27FCE1FE"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2X</w:t>
            </w:r>
          </w:p>
        </w:tc>
        <w:tc>
          <w:tcPr>
            <w:tcW w:w="1400" w:type="dxa"/>
            <w:tcBorders>
              <w:top w:val="nil"/>
              <w:left w:val="nil"/>
              <w:bottom w:val="single" w:sz="4" w:space="0" w:color="auto"/>
              <w:right w:val="single" w:sz="4" w:space="0" w:color="auto"/>
            </w:tcBorders>
            <w:shd w:val="clear" w:color="auto" w:fill="auto"/>
            <w:noWrap/>
            <w:vAlign w:val="center"/>
            <w:hideMark/>
          </w:tcPr>
          <w:p w14:paraId="2B769CEC"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10</w:t>
            </w:r>
          </w:p>
        </w:tc>
        <w:tc>
          <w:tcPr>
            <w:tcW w:w="1517" w:type="dxa"/>
            <w:tcBorders>
              <w:top w:val="nil"/>
              <w:left w:val="nil"/>
              <w:bottom w:val="single" w:sz="4" w:space="0" w:color="auto"/>
              <w:right w:val="single" w:sz="4" w:space="0" w:color="auto"/>
            </w:tcBorders>
            <w:shd w:val="clear" w:color="auto" w:fill="auto"/>
            <w:noWrap/>
            <w:vAlign w:val="center"/>
            <w:hideMark/>
          </w:tcPr>
          <w:p w14:paraId="006EE6CD"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X</w:t>
            </w:r>
          </w:p>
        </w:tc>
        <w:tc>
          <w:tcPr>
            <w:tcW w:w="1558" w:type="dxa"/>
            <w:tcBorders>
              <w:top w:val="nil"/>
              <w:left w:val="nil"/>
              <w:bottom w:val="single" w:sz="4" w:space="0" w:color="auto"/>
              <w:right w:val="single" w:sz="4" w:space="0" w:color="auto"/>
            </w:tcBorders>
            <w:shd w:val="clear" w:color="auto" w:fill="auto"/>
            <w:noWrap/>
            <w:vAlign w:val="center"/>
            <w:hideMark/>
          </w:tcPr>
          <w:p w14:paraId="3998EA84"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748" w:type="dxa"/>
            <w:tcBorders>
              <w:top w:val="nil"/>
              <w:left w:val="nil"/>
              <w:bottom w:val="single" w:sz="4" w:space="0" w:color="auto"/>
              <w:right w:val="single" w:sz="4" w:space="0" w:color="auto"/>
            </w:tcBorders>
            <w:shd w:val="clear" w:color="auto" w:fill="auto"/>
            <w:noWrap/>
            <w:vAlign w:val="center"/>
            <w:hideMark/>
          </w:tcPr>
          <w:p w14:paraId="3A698B98"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189" w:type="dxa"/>
            <w:tcBorders>
              <w:top w:val="nil"/>
              <w:left w:val="nil"/>
              <w:bottom w:val="single" w:sz="4" w:space="0" w:color="auto"/>
              <w:right w:val="single" w:sz="4" w:space="0" w:color="auto"/>
            </w:tcBorders>
            <w:shd w:val="clear" w:color="auto" w:fill="auto"/>
            <w:noWrap/>
            <w:vAlign w:val="center"/>
            <w:hideMark/>
          </w:tcPr>
          <w:p w14:paraId="7E1D09A7"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977" w:type="dxa"/>
            <w:tcBorders>
              <w:top w:val="nil"/>
              <w:left w:val="nil"/>
              <w:bottom w:val="single" w:sz="4" w:space="0" w:color="auto"/>
              <w:right w:val="single" w:sz="4" w:space="0" w:color="auto"/>
            </w:tcBorders>
            <w:shd w:val="clear" w:color="auto" w:fill="auto"/>
            <w:noWrap/>
            <w:vAlign w:val="center"/>
            <w:hideMark/>
          </w:tcPr>
          <w:p w14:paraId="3B0837CA"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667" w:type="dxa"/>
            <w:tcBorders>
              <w:top w:val="nil"/>
              <w:left w:val="nil"/>
              <w:bottom w:val="single" w:sz="4" w:space="0" w:color="auto"/>
              <w:right w:val="single" w:sz="4" w:space="0" w:color="auto"/>
            </w:tcBorders>
            <w:shd w:val="clear" w:color="auto" w:fill="auto"/>
            <w:noWrap/>
            <w:vAlign w:val="center"/>
            <w:hideMark/>
          </w:tcPr>
          <w:p w14:paraId="45511E6B"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r>
      <w:tr w:rsidR="00C7390D" w:rsidRPr="00DE42B9" w14:paraId="494066BB" w14:textId="77777777" w:rsidTr="005F3B35">
        <w:trPr>
          <w:trHeight w:val="70"/>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14:paraId="6FCC6281"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10</w:t>
            </w:r>
          </w:p>
        </w:tc>
        <w:tc>
          <w:tcPr>
            <w:tcW w:w="509" w:type="dxa"/>
            <w:tcBorders>
              <w:top w:val="nil"/>
              <w:left w:val="nil"/>
              <w:bottom w:val="single" w:sz="4" w:space="0" w:color="auto"/>
              <w:right w:val="single" w:sz="4" w:space="0" w:color="auto"/>
            </w:tcBorders>
            <w:shd w:val="clear" w:color="auto" w:fill="auto"/>
            <w:noWrap/>
            <w:vAlign w:val="center"/>
            <w:hideMark/>
          </w:tcPr>
          <w:p w14:paraId="0EEBD212"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2X</w:t>
            </w:r>
          </w:p>
        </w:tc>
        <w:tc>
          <w:tcPr>
            <w:tcW w:w="1503" w:type="dxa"/>
            <w:tcBorders>
              <w:top w:val="nil"/>
              <w:left w:val="nil"/>
              <w:bottom w:val="single" w:sz="4" w:space="0" w:color="auto"/>
              <w:right w:val="single" w:sz="4" w:space="0" w:color="auto"/>
            </w:tcBorders>
            <w:shd w:val="clear" w:color="auto" w:fill="auto"/>
            <w:noWrap/>
            <w:vAlign w:val="center"/>
            <w:hideMark/>
          </w:tcPr>
          <w:p w14:paraId="07E6C2E7"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15</w:t>
            </w:r>
          </w:p>
        </w:tc>
        <w:tc>
          <w:tcPr>
            <w:tcW w:w="443" w:type="dxa"/>
            <w:tcBorders>
              <w:top w:val="nil"/>
              <w:left w:val="nil"/>
              <w:bottom w:val="single" w:sz="4" w:space="0" w:color="auto"/>
              <w:right w:val="single" w:sz="4" w:space="0" w:color="auto"/>
            </w:tcBorders>
            <w:shd w:val="clear" w:color="auto" w:fill="auto"/>
            <w:noWrap/>
            <w:vAlign w:val="center"/>
            <w:hideMark/>
          </w:tcPr>
          <w:p w14:paraId="3ACFBA89"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2X</w:t>
            </w:r>
          </w:p>
        </w:tc>
        <w:tc>
          <w:tcPr>
            <w:tcW w:w="1400" w:type="dxa"/>
            <w:tcBorders>
              <w:top w:val="nil"/>
              <w:left w:val="nil"/>
              <w:bottom w:val="single" w:sz="4" w:space="0" w:color="auto"/>
              <w:right w:val="single" w:sz="4" w:space="0" w:color="auto"/>
            </w:tcBorders>
            <w:shd w:val="clear" w:color="auto" w:fill="auto"/>
            <w:noWrap/>
            <w:vAlign w:val="center"/>
            <w:hideMark/>
          </w:tcPr>
          <w:p w14:paraId="4E33F076"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10</w:t>
            </w:r>
          </w:p>
        </w:tc>
        <w:tc>
          <w:tcPr>
            <w:tcW w:w="1517" w:type="dxa"/>
            <w:tcBorders>
              <w:top w:val="nil"/>
              <w:left w:val="nil"/>
              <w:bottom w:val="single" w:sz="4" w:space="0" w:color="auto"/>
              <w:right w:val="single" w:sz="4" w:space="0" w:color="auto"/>
            </w:tcBorders>
            <w:shd w:val="clear" w:color="auto" w:fill="auto"/>
            <w:noWrap/>
            <w:vAlign w:val="center"/>
            <w:hideMark/>
          </w:tcPr>
          <w:p w14:paraId="399CBEC7"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X</w:t>
            </w:r>
          </w:p>
        </w:tc>
        <w:tc>
          <w:tcPr>
            <w:tcW w:w="1558" w:type="dxa"/>
            <w:tcBorders>
              <w:top w:val="nil"/>
              <w:left w:val="nil"/>
              <w:bottom w:val="single" w:sz="4" w:space="0" w:color="auto"/>
              <w:right w:val="single" w:sz="4" w:space="0" w:color="auto"/>
            </w:tcBorders>
            <w:shd w:val="clear" w:color="auto" w:fill="auto"/>
            <w:noWrap/>
            <w:vAlign w:val="center"/>
            <w:hideMark/>
          </w:tcPr>
          <w:p w14:paraId="4D4F9EF3"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748" w:type="dxa"/>
            <w:tcBorders>
              <w:top w:val="nil"/>
              <w:left w:val="nil"/>
              <w:bottom w:val="single" w:sz="4" w:space="0" w:color="auto"/>
              <w:right w:val="single" w:sz="4" w:space="0" w:color="auto"/>
            </w:tcBorders>
            <w:shd w:val="clear" w:color="auto" w:fill="auto"/>
            <w:noWrap/>
            <w:vAlign w:val="center"/>
            <w:hideMark/>
          </w:tcPr>
          <w:p w14:paraId="0291B523"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189" w:type="dxa"/>
            <w:tcBorders>
              <w:top w:val="nil"/>
              <w:left w:val="nil"/>
              <w:bottom w:val="single" w:sz="4" w:space="0" w:color="auto"/>
              <w:right w:val="single" w:sz="4" w:space="0" w:color="auto"/>
            </w:tcBorders>
            <w:shd w:val="clear" w:color="auto" w:fill="auto"/>
            <w:noWrap/>
            <w:vAlign w:val="center"/>
            <w:hideMark/>
          </w:tcPr>
          <w:p w14:paraId="2ADE9F90"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977" w:type="dxa"/>
            <w:tcBorders>
              <w:top w:val="nil"/>
              <w:left w:val="nil"/>
              <w:bottom w:val="single" w:sz="4" w:space="0" w:color="auto"/>
              <w:right w:val="single" w:sz="4" w:space="0" w:color="auto"/>
            </w:tcBorders>
            <w:shd w:val="clear" w:color="auto" w:fill="auto"/>
            <w:noWrap/>
            <w:vAlign w:val="center"/>
            <w:hideMark/>
          </w:tcPr>
          <w:p w14:paraId="399C125C"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667" w:type="dxa"/>
            <w:tcBorders>
              <w:top w:val="nil"/>
              <w:left w:val="nil"/>
              <w:bottom w:val="single" w:sz="4" w:space="0" w:color="auto"/>
              <w:right w:val="single" w:sz="4" w:space="0" w:color="auto"/>
            </w:tcBorders>
            <w:shd w:val="clear" w:color="auto" w:fill="auto"/>
            <w:noWrap/>
            <w:vAlign w:val="center"/>
            <w:hideMark/>
          </w:tcPr>
          <w:p w14:paraId="337922FF"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r>
      <w:tr w:rsidR="00C7390D" w:rsidRPr="00DE42B9" w14:paraId="090678FD" w14:textId="77777777" w:rsidTr="005F3B35">
        <w:trPr>
          <w:trHeight w:val="70"/>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14:paraId="46B1E275"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11</w:t>
            </w:r>
          </w:p>
        </w:tc>
        <w:tc>
          <w:tcPr>
            <w:tcW w:w="509" w:type="dxa"/>
            <w:tcBorders>
              <w:top w:val="nil"/>
              <w:left w:val="nil"/>
              <w:bottom w:val="single" w:sz="4" w:space="0" w:color="auto"/>
              <w:right w:val="single" w:sz="4" w:space="0" w:color="auto"/>
            </w:tcBorders>
            <w:shd w:val="clear" w:color="auto" w:fill="auto"/>
            <w:noWrap/>
            <w:vAlign w:val="center"/>
            <w:hideMark/>
          </w:tcPr>
          <w:p w14:paraId="31498A22"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2X</w:t>
            </w:r>
          </w:p>
        </w:tc>
        <w:tc>
          <w:tcPr>
            <w:tcW w:w="1503" w:type="dxa"/>
            <w:tcBorders>
              <w:top w:val="nil"/>
              <w:left w:val="nil"/>
              <w:bottom w:val="single" w:sz="4" w:space="0" w:color="auto"/>
              <w:right w:val="single" w:sz="4" w:space="0" w:color="auto"/>
            </w:tcBorders>
            <w:shd w:val="clear" w:color="auto" w:fill="auto"/>
            <w:noWrap/>
            <w:vAlign w:val="center"/>
            <w:hideMark/>
          </w:tcPr>
          <w:p w14:paraId="6D44F5D8"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15</w:t>
            </w:r>
          </w:p>
        </w:tc>
        <w:tc>
          <w:tcPr>
            <w:tcW w:w="443" w:type="dxa"/>
            <w:tcBorders>
              <w:top w:val="nil"/>
              <w:left w:val="nil"/>
              <w:bottom w:val="single" w:sz="4" w:space="0" w:color="auto"/>
              <w:right w:val="single" w:sz="4" w:space="0" w:color="auto"/>
            </w:tcBorders>
            <w:shd w:val="clear" w:color="auto" w:fill="auto"/>
            <w:noWrap/>
            <w:vAlign w:val="center"/>
            <w:hideMark/>
          </w:tcPr>
          <w:p w14:paraId="099841DA"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2X</w:t>
            </w:r>
          </w:p>
        </w:tc>
        <w:tc>
          <w:tcPr>
            <w:tcW w:w="1400" w:type="dxa"/>
            <w:tcBorders>
              <w:top w:val="nil"/>
              <w:left w:val="nil"/>
              <w:bottom w:val="single" w:sz="4" w:space="0" w:color="auto"/>
              <w:right w:val="single" w:sz="4" w:space="0" w:color="auto"/>
            </w:tcBorders>
            <w:shd w:val="clear" w:color="auto" w:fill="auto"/>
            <w:noWrap/>
            <w:vAlign w:val="center"/>
            <w:hideMark/>
          </w:tcPr>
          <w:p w14:paraId="31230EB4"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10</w:t>
            </w:r>
          </w:p>
        </w:tc>
        <w:tc>
          <w:tcPr>
            <w:tcW w:w="1517" w:type="dxa"/>
            <w:tcBorders>
              <w:top w:val="nil"/>
              <w:left w:val="nil"/>
              <w:bottom w:val="single" w:sz="4" w:space="0" w:color="auto"/>
              <w:right w:val="single" w:sz="4" w:space="0" w:color="auto"/>
            </w:tcBorders>
            <w:shd w:val="clear" w:color="auto" w:fill="auto"/>
            <w:noWrap/>
            <w:vAlign w:val="center"/>
            <w:hideMark/>
          </w:tcPr>
          <w:p w14:paraId="28F7E64F"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X</w:t>
            </w:r>
          </w:p>
        </w:tc>
        <w:tc>
          <w:tcPr>
            <w:tcW w:w="1558" w:type="dxa"/>
            <w:tcBorders>
              <w:top w:val="nil"/>
              <w:left w:val="nil"/>
              <w:bottom w:val="single" w:sz="4" w:space="0" w:color="auto"/>
              <w:right w:val="single" w:sz="4" w:space="0" w:color="auto"/>
            </w:tcBorders>
            <w:shd w:val="clear" w:color="auto" w:fill="auto"/>
            <w:noWrap/>
            <w:vAlign w:val="center"/>
            <w:hideMark/>
          </w:tcPr>
          <w:p w14:paraId="494B3326"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748" w:type="dxa"/>
            <w:tcBorders>
              <w:top w:val="nil"/>
              <w:left w:val="nil"/>
              <w:bottom w:val="single" w:sz="4" w:space="0" w:color="auto"/>
              <w:right w:val="single" w:sz="4" w:space="0" w:color="auto"/>
            </w:tcBorders>
            <w:shd w:val="clear" w:color="auto" w:fill="auto"/>
            <w:noWrap/>
            <w:vAlign w:val="center"/>
            <w:hideMark/>
          </w:tcPr>
          <w:p w14:paraId="64F61976"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189" w:type="dxa"/>
            <w:tcBorders>
              <w:top w:val="nil"/>
              <w:left w:val="nil"/>
              <w:bottom w:val="single" w:sz="4" w:space="0" w:color="auto"/>
              <w:right w:val="single" w:sz="4" w:space="0" w:color="auto"/>
            </w:tcBorders>
            <w:shd w:val="clear" w:color="auto" w:fill="auto"/>
            <w:noWrap/>
            <w:vAlign w:val="center"/>
            <w:hideMark/>
          </w:tcPr>
          <w:p w14:paraId="503BA9D8"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977" w:type="dxa"/>
            <w:tcBorders>
              <w:top w:val="nil"/>
              <w:left w:val="nil"/>
              <w:bottom w:val="single" w:sz="4" w:space="0" w:color="auto"/>
              <w:right w:val="single" w:sz="4" w:space="0" w:color="auto"/>
            </w:tcBorders>
            <w:shd w:val="clear" w:color="auto" w:fill="auto"/>
            <w:noWrap/>
            <w:vAlign w:val="center"/>
            <w:hideMark/>
          </w:tcPr>
          <w:p w14:paraId="1BEFA57A"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667" w:type="dxa"/>
            <w:tcBorders>
              <w:top w:val="nil"/>
              <w:left w:val="nil"/>
              <w:bottom w:val="single" w:sz="4" w:space="0" w:color="auto"/>
              <w:right w:val="single" w:sz="4" w:space="0" w:color="auto"/>
            </w:tcBorders>
            <w:shd w:val="clear" w:color="auto" w:fill="auto"/>
            <w:noWrap/>
            <w:vAlign w:val="center"/>
            <w:hideMark/>
          </w:tcPr>
          <w:p w14:paraId="53AC0346"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r>
      <w:tr w:rsidR="00C7390D" w:rsidRPr="00DE42B9" w14:paraId="3ECCCCE0" w14:textId="77777777" w:rsidTr="005F3B35">
        <w:trPr>
          <w:trHeight w:val="70"/>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14:paraId="585C2C3E"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15</w:t>
            </w:r>
          </w:p>
        </w:tc>
        <w:tc>
          <w:tcPr>
            <w:tcW w:w="509" w:type="dxa"/>
            <w:tcBorders>
              <w:top w:val="nil"/>
              <w:left w:val="nil"/>
              <w:bottom w:val="single" w:sz="4" w:space="0" w:color="auto"/>
              <w:right w:val="single" w:sz="4" w:space="0" w:color="auto"/>
            </w:tcBorders>
            <w:shd w:val="clear" w:color="auto" w:fill="auto"/>
            <w:noWrap/>
            <w:vAlign w:val="center"/>
            <w:hideMark/>
          </w:tcPr>
          <w:p w14:paraId="631A386A"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2X</w:t>
            </w:r>
          </w:p>
        </w:tc>
        <w:tc>
          <w:tcPr>
            <w:tcW w:w="1503" w:type="dxa"/>
            <w:tcBorders>
              <w:top w:val="nil"/>
              <w:left w:val="nil"/>
              <w:bottom w:val="single" w:sz="4" w:space="0" w:color="auto"/>
              <w:right w:val="single" w:sz="4" w:space="0" w:color="auto"/>
            </w:tcBorders>
            <w:shd w:val="clear" w:color="auto" w:fill="auto"/>
            <w:noWrap/>
            <w:vAlign w:val="center"/>
            <w:hideMark/>
          </w:tcPr>
          <w:p w14:paraId="7FF317F1"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15</w:t>
            </w:r>
          </w:p>
        </w:tc>
        <w:tc>
          <w:tcPr>
            <w:tcW w:w="443" w:type="dxa"/>
            <w:tcBorders>
              <w:top w:val="nil"/>
              <w:left w:val="nil"/>
              <w:bottom w:val="single" w:sz="4" w:space="0" w:color="auto"/>
              <w:right w:val="single" w:sz="4" w:space="0" w:color="auto"/>
            </w:tcBorders>
            <w:shd w:val="clear" w:color="auto" w:fill="auto"/>
            <w:noWrap/>
            <w:vAlign w:val="center"/>
            <w:hideMark/>
          </w:tcPr>
          <w:p w14:paraId="2BEA65CC" w14:textId="2D333B18"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400" w:type="dxa"/>
            <w:tcBorders>
              <w:top w:val="nil"/>
              <w:left w:val="nil"/>
              <w:bottom w:val="single" w:sz="4" w:space="0" w:color="auto"/>
              <w:right w:val="single" w:sz="4" w:space="0" w:color="auto"/>
            </w:tcBorders>
            <w:shd w:val="clear" w:color="auto" w:fill="auto"/>
            <w:noWrap/>
            <w:vAlign w:val="center"/>
            <w:hideMark/>
          </w:tcPr>
          <w:p w14:paraId="5A5016A7" w14:textId="216EC503"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517" w:type="dxa"/>
            <w:tcBorders>
              <w:top w:val="nil"/>
              <w:left w:val="nil"/>
              <w:bottom w:val="single" w:sz="4" w:space="0" w:color="auto"/>
              <w:right w:val="single" w:sz="4" w:space="0" w:color="auto"/>
            </w:tcBorders>
            <w:shd w:val="clear" w:color="auto" w:fill="auto"/>
            <w:noWrap/>
            <w:vAlign w:val="center"/>
            <w:hideMark/>
          </w:tcPr>
          <w:p w14:paraId="4D81F2D0"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X</w:t>
            </w:r>
          </w:p>
        </w:tc>
        <w:tc>
          <w:tcPr>
            <w:tcW w:w="1558" w:type="dxa"/>
            <w:tcBorders>
              <w:top w:val="nil"/>
              <w:left w:val="nil"/>
              <w:bottom w:val="single" w:sz="4" w:space="0" w:color="auto"/>
              <w:right w:val="single" w:sz="4" w:space="0" w:color="auto"/>
            </w:tcBorders>
            <w:shd w:val="clear" w:color="auto" w:fill="auto"/>
            <w:noWrap/>
            <w:vAlign w:val="center"/>
            <w:hideMark/>
          </w:tcPr>
          <w:p w14:paraId="0D4CEFDB"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748" w:type="dxa"/>
            <w:tcBorders>
              <w:top w:val="nil"/>
              <w:left w:val="nil"/>
              <w:bottom w:val="single" w:sz="4" w:space="0" w:color="auto"/>
              <w:right w:val="single" w:sz="4" w:space="0" w:color="auto"/>
            </w:tcBorders>
            <w:shd w:val="clear" w:color="auto" w:fill="auto"/>
            <w:noWrap/>
            <w:vAlign w:val="center"/>
            <w:hideMark/>
          </w:tcPr>
          <w:p w14:paraId="5B9A5350"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189" w:type="dxa"/>
            <w:tcBorders>
              <w:top w:val="nil"/>
              <w:left w:val="nil"/>
              <w:bottom w:val="single" w:sz="4" w:space="0" w:color="auto"/>
              <w:right w:val="single" w:sz="4" w:space="0" w:color="auto"/>
            </w:tcBorders>
            <w:shd w:val="clear" w:color="auto" w:fill="auto"/>
            <w:noWrap/>
            <w:vAlign w:val="center"/>
            <w:hideMark/>
          </w:tcPr>
          <w:p w14:paraId="4A7B0B17"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977" w:type="dxa"/>
            <w:tcBorders>
              <w:top w:val="nil"/>
              <w:left w:val="nil"/>
              <w:bottom w:val="single" w:sz="4" w:space="0" w:color="auto"/>
              <w:right w:val="single" w:sz="4" w:space="0" w:color="auto"/>
            </w:tcBorders>
            <w:shd w:val="clear" w:color="auto" w:fill="auto"/>
            <w:noWrap/>
            <w:vAlign w:val="center"/>
            <w:hideMark/>
          </w:tcPr>
          <w:p w14:paraId="6D6541D3"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667" w:type="dxa"/>
            <w:tcBorders>
              <w:top w:val="nil"/>
              <w:left w:val="nil"/>
              <w:bottom w:val="single" w:sz="4" w:space="0" w:color="auto"/>
              <w:right w:val="single" w:sz="4" w:space="0" w:color="auto"/>
            </w:tcBorders>
            <w:shd w:val="clear" w:color="auto" w:fill="auto"/>
            <w:noWrap/>
            <w:vAlign w:val="center"/>
            <w:hideMark/>
          </w:tcPr>
          <w:p w14:paraId="609B3F00"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r>
      <w:tr w:rsidR="00C7390D" w:rsidRPr="00DE42B9" w14:paraId="22DC19DC" w14:textId="77777777" w:rsidTr="005F3B35">
        <w:trPr>
          <w:trHeight w:val="70"/>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14:paraId="51DC7A1A"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16</w:t>
            </w:r>
          </w:p>
        </w:tc>
        <w:tc>
          <w:tcPr>
            <w:tcW w:w="509" w:type="dxa"/>
            <w:tcBorders>
              <w:top w:val="nil"/>
              <w:left w:val="nil"/>
              <w:bottom w:val="single" w:sz="4" w:space="0" w:color="auto"/>
              <w:right w:val="single" w:sz="4" w:space="0" w:color="auto"/>
            </w:tcBorders>
            <w:shd w:val="clear" w:color="auto" w:fill="auto"/>
            <w:noWrap/>
            <w:vAlign w:val="center"/>
            <w:hideMark/>
          </w:tcPr>
          <w:p w14:paraId="1245114A" w14:textId="3188CDE5"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503" w:type="dxa"/>
            <w:tcBorders>
              <w:top w:val="nil"/>
              <w:left w:val="nil"/>
              <w:bottom w:val="single" w:sz="4" w:space="0" w:color="auto"/>
              <w:right w:val="single" w:sz="4" w:space="0" w:color="auto"/>
            </w:tcBorders>
            <w:shd w:val="clear" w:color="auto" w:fill="auto"/>
            <w:noWrap/>
            <w:vAlign w:val="center"/>
            <w:hideMark/>
          </w:tcPr>
          <w:p w14:paraId="7EB4EF30" w14:textId="684FA0CE"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443" w:type="dxa"/>
            <w:tcBorders>
              <w:top w:val="nil"/>
              <w:left w:val="nil"/>
              <w:bottom w:val="single" w:sz="4" w:space="0" w:color="auto"/>
              <w:right w:val="single" w:sz="4" w:space="0" w:color="auto"/>
            </w:tcBorders>
            <w:shd w:val="clear" w:color="auto" w:fill="auto"/>
            <w:noWrap/>
            <w:vAlign w:val="center"/>
            <w:hideMark/>
          </w:tcPr>
          <w:p w14:paraId="7E490430" w14:textId="51D8FE23"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400" w:type="dxa"/>
            <w:tcBorders>
              <w:top w:val="nil"/>
              <w:left w:val="nil"/>
              <w:bottom w:val="single" w:sz="4" w:space="0" w:color="auto"/>
              <w:right w:val="single" w:sz="4" w:space="0" w:color="auto"/>
            </w:tcBorders>
            <w:shd w:val="clear" w:color="auto" w:fill="auto"/>
            <w:noWrap/>
            <w:vAlign w:val="center"/>
            <w:hideMark/>
          </w:tcPr>
          <w:p w14:paraId="52329A1A" w14:textId="0C9A75DC"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517" w:type="dxa"/>
            <w:tcBorders>
              <w:top w:val="nil"/>
              <w:left w:val="nil"/>
              <w:bottom w:val="single" w:sz="4" w:space="0" w:color="auto"/>
              <w:right w:val="single" w:sz="4" w:space="0" w:color="auto"/>
            </w:tcBorders>
            <w:shd w:val="clear" w:color="auto" w:fill="auto"/>
            <w:noWrap/>
            <w:vAlign w:val="center"/>
            <w:hideMark/>
          </w:tcPr>
          <w:p w14:paraId="7A4EAA3D" w14:textId="1CA8370A"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558" w:type="dxa"/>
            <w:tcBorders>
              <w:top w:val="nil"/>
              <w:left w:val="nil"/>
              <w:bottom w:val="single" w:sz="4" w:space="0" w:color="auto"/>
              <w:right w:val="single" w:sz="4" w:space="0" w:color="auto"/>
            </w:tcBorders>
            <w:shd w:val="clear" w:color="auto" w:fill="auto"/>
            <w:noWrap/>
            <w:vAlign w:val="center"/>
            <w:hideMark/>
          </w:tcPr>
          <w:p w14:paraId="36E5DB59"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748" w:type="dxa"/>
            <w:tcBorders>
              <w:top w:val="nil"/>
              <w:left w:val="nil"/>
              <w:bottom w:val="single" w:sz="4" w:space="0" w:color="auto"/>
              <w:right w:val="single" w:sz="4" w:space="0" w:color="auto"/>
            </w:tcBorders>
            <w:shd w:val="clear" w:color="auto" w:fill="auto"/>
            <w:noWrap/>
            <w:vAlign w:val="center"/>
            <w:hideMark/>
          </w:tcPr>
          <w:p w14:paraId="2B1CC278"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189" w:type="dxa"/>
            <w:tcBorders>
              <w:top w:val="nil"/>
              <w:left w:val="nil"/>
              <w:bottom w:val="single" w:sz="4" w:space="0" w:color="auto"/>
              <w:right w:val="single" w:sz="4" w:space="0" w:color="auto"/>
            </w:tcBorders>
            <w:shd w:val="clear" w:color="auto" w:fill="auto"/>
            <w:noWrap/>
            <w:vAlign w:val="center"/>
            <w:hideMark/>
          </w:tcPr>
          <w:p w14:paraId="095D46F8" w14:textId="7C54445C"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977" w:type="dxa"/>
            <w:tcBorders>
              <w:top w:val="nil"/>
              <w:left w:val="nil"/>
              <w:bottom w:val="single" w:sz="4" w:space="0" w:color="auto"/>
              <w:right w:val="single" w:sz="4" w:space="0" w:color="auto"/>
            </w:tcBorders>
            <w:shd w:val="clear" w:color="auto" w:fill="auto"/>
            <w:noWrap/>
            <w:vAlign w:val="center"/>
            <w:hideMark/>
          </w:tcPr>
          <w:p w14:paraId="5A78559C" w14:textId="47CF736F"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667" w:type="dxa"/>
            <w:tcBorders>
              <w:top w:val="nil"/>
              <w:left w:val="nil"/>
              <w:bottom w:val="single" w:sz="4" w:space="0" w:color="auto"/>
              <w:right w:val="single" w:sz="4" w:space="0" w:color="auto"/>
            </w:tcBorders>
            <w:shd w:val="clear" w:color="auto" w:fill="auto"/>
            <w:noWrap/>
            <w:vAlign w:val="center"/>
            <w:hideMark/>
          </w:tcPr>
          <w:p w14:paraId="55792061" w14:textId="7C8C4675"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r>
      <w:tr w:rsidR="00C7390D" w:rsidRPr="00DE42B9" w14:paraId="3CE150F4" w14:textId="77777777" w:rsidTr="005F3B35">
        <w:trPr>
          <w:trHeight w:val="70"/>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14:paraId="70D8C09F"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17</w:t>
            </w:r>
          </w:p>
        </w:tc>
        <w:tc>
          <w:tcPr>
            <w:tcW w:w="509" w:type="dxa"/>
            <w:tcBorders>
              <w:top w:val="nil"/>
              <w:left w:val="nil"/>
              <w:bottom w:val="single" w:sz="4" w:space="0" w:color="auto"/>
              <w:right w:val="single" w:sz="4" w:space="0" w:color="auto"/>
            </w:tcBorders>
            <w:shd w:val="clear" w:color="auto" w:fill="auto"/>
            <w:noWrap/>
            <w:vAlign w:val="center"/>
            <w:hideMark/>
          </w:tcPr>
          <w:p w14:paraId="46627A57" w14:textId="2C77EE3E"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503" w:type="dxa"/>
            <w:tcBorders>
              <w:top w:val="nil"/>
              <w:left w:val="nil"/>
              <w:bottom w:val="single" w:sz="4" w:space="0" w:color="auto"/>
              <w:right w:val="single" w:sz="4" w:space="0" w:color="auto"/>
            </w:tcBorders>
            <w:shd w:val="clear" w:color="auto" w:fill="auto"/>
            <w:noWrap/>
            <w:vAlign w:val="center"/>
            <w:hideMark/>
          </w:tcPr>
          <w:p w14:paraId="4AFC28B5" w14:textId="0FFB7E31"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443" w:type="dxa"/>
            <w:tcBorders>
              <w:top w:val="nil"/>
              <w:left w:val="nil"/>
              <w:bottom w:val="single" w:sz="4" w:space="0" w:color="auto"/>
              <w:right w:val="single" w:sz="4" w:space="0" w:color="auto"/>
            </w:tcBorders>
            <w:shd w:val="clear" w:color="auto" w:fill="auto"/>
            <w:noWrap/>
            <w:vAlign w:val="center"/>
            <w:hideMark/>
          </w:tcPr>
          <w:p w14:paraId="46B27E12" w14:textId="3E24E415"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400" w:type="dxa"/>
            <w:tcBorders>
              <w:top w:val="nil"/>
              <w:left w:val="nil"/>
              <w:bottom w:val="single" w:sz="4" w:space="0" w:color="auto"/>
              <w:right w:val="single" w:sz="4" w:space="0" w:color="auto"/>
            </w:tcBorders>
            <w:shd w:val="clear" w:color="auto" w:fill="auto"/>
            <w:noWrap/>
            <w:vAlign w:val="center"/>
            <w:hideMark/>
          </w:tcPr>
          <w:p w14:paraId="489B5BF8" w14:textId="284EE201"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517" w:type="dxa"/>
            <w:tcBorders>
              <w:top w:val="nil"/>
              <w:left w:val="nil"/>
              <w:bottom w:val="single" w:sz="4" w:space="0" w:color="auto"/>
              <w:right w:val="single" w:sz="4" w:space="0" w:color="auto"/>
            </w:tcBorders>
            <w:shd w:val="clear" w:color="auto" w:fill="auto"/>
            <w:noWrap/>
            <w:vAlign w:val="center"/>
            <w:hideMark/>
          </w:tcPr>
          <w:p w14:paraId="0B24145C" w14:textId="75411B2C"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558" w:type="dxa"/>
            <w:tcBorders>
              <w:top w:val="nil"/>
              <w:left w:val="nil"/>
              <w:bottom w:val="single" w:sz="4" w:space="0" w:color="auto"/>
              <w:right w:val="single" w:sz="4" w:space="0" w:color="auto"/>
            </w:tcBorders>
            <w:shd w:val="clear" w:color="auto" w:fill="auto"/>
            <w:noWrap/>
            <w:vAlign w:val="center"/>
            <w:hideMark/>
          </w:tcPr>
          <w:p w14:paraId="022DCA0B"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748" w:type="dxa"/>
            <w:tcBorders>
              <w:top w:val="nil"/>
              <w:left w:val="nil"/>
              <w:bottom w:val="single" w:sz="4" w:space="0" w:color="auto"/>
              <w:right w:val="single" w:sz="4" w:space="0" w:color="auto"/>
            </w:tcBorders>
            <w:shd w:val="clear" w:color="auto" w:fill="auto"/>
            <w:noWrap/>
            <w:vAlign w:val="center"/>
            <w:hideMark/>
          </w:tcPr>
          <w:p w14:paraId="31ACB973"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189" w:type="dxa"/>
            <w:tcBorders>
              <w:top w:val="nil"/>
              <w:left w:val="nil"/>
              <w:bottom w:val="single" w:sz="4" w:space="0" w:color="auto"/>
              <w:right w:val="single" w:sz="4" w:space="0" w:color="auto"/>
            </w:tcBorders>
            <w:shd w:val="clear" w:color="auto" w:fill="auto"/>
            <w:noWrap/>
            <w:vAlign w:val="center"/>
            <w:hideMark/>
          </w:tcPr>
          <w:p w14:paraId="4A53461F" w14:textId="5DBC6CE1"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977" w:type="dxa"/>
            <w:tcBorders>
              <w:top w:val="nil"/>
              <w:left w:val="nil"/>
              <w:bottom w:val="single" w:sz="4" w:space="0" w:color="auto"/>
              <w:right w:val="single" w:sz="4" w:space="0" w:color="auto"/>
            </w:tcBorders>
            <w:shd w:val="clear" w:color="auto" w:fill="auto"/>
            <w:noWrap/>
            <w:vAlign w:val="center"/>
            <w:hideMark/>
          </w:tcPr>
          <w:p w14:paraId="77B5FFD4" w14:textId="20A9E45C"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667" w:type="dxa"/>
            <w:tcBorders>
              <w:top w:val="nil"/>
              <w:left w:val="nil"/>
              <w:bottom w:val="single" w:sz="4" w:space="0" w:color="auto"/>
              <w:right w:val="single" w:sz="4" w:space="0" w:color="auto"/>
            </w:tcBorders>
            <w:shd w:val="clear" w:color="auto" w:fill="auto"/>
            <w:noWrap/>
            <w:vAlign w:val="center"/>
            <w:hideMark/>
          </w:tcPr>
          <w:p w14:paraId="1C246FCA" w14:textId="30AA5120"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r>
      <w:tr w:rsidR="00C7390D" w:rsidRPr="00DE42B9" w14:paraId="663895DB" w14:textId="77777777" w:rsidTr="005F3B35">
        <w:trPr>
          <w:trHeight w:val="70"/>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14:paraId="2AEB7FCD"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18</w:t>
            </w:r>
          </w:p>
        </w:tc>
        <w:tc>
          <w:tcPr>
            <w:tcW w:w="509" w:type="dxa"/>
            <w:tcBorders>
              <w:top w:val="nil"/>
              <w:left w:val="nil"/>
              <w:bottom w:val="single" w:sz="4" w:space="0" w:color="auto"/>
              <w:right w:val="single" w:sz="4" w:space="0" w:color="auto"/>
            </w:tcBorders>
            <w:shd w:val="clear" w:color="auto" w:fill="auto"/>
            <w:noWrap/>
            <w:vAlign w:val="center"/>
            <w:hideMark/>
          </w:tcPr>
          <w:p w14:paraId="2792A92D" w14:textId="10F6F8D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503" w:type="dxa"/>
            <w:tcBorders>
              <w:top w:val="nil"/>
              <w:left w:val="nil"/>
              <w:bottom w:val="single" w:sz="4" w:space="0" w:color="auto"/>
              <w:right w:val="single" w:sz="4" w:space="0" w:color="auto"/>
            </w:tcBorders>
            <w:shd w:val="clear" w:color="auto" w:fill="auto"/>
            <w:noWrap/>
            <w:vAlign w:val="center"/>
            <w:hideMark/>
          </w:tcPr>
          <w:p w14:paraId="4070E4AF" w14:textId="6DB51D21"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443" w:type="dxa"/>
            <w:tcBorders>
              <w:top w:val="nil"/>
              <w:left w:val="nil"/>
              <w:bottom w:val="single" w:sz="4" w:space="0" w:color="auto"/>
              <w:right w:val="single" w:sz="4" w:space="0" w:color="auto"/>
            </w:tcBorders>
            <w:shd w:val="clear" w:color="auto" w:fill="auto"/>
            <w:noWrap/>
            <w:vAlign w:val="center"/>
            <w:hideMark/>
          </w:tcPr>
          <w:p w14:paraId="4601F666" w14:textId="582B70B3"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400" w:type="dxa"/>
            <w:tcBorders>
              <w:top w:val="nil"/>
              <w:left w:val="nil"/>
              <w:bottom w:val="single" w:sz="4" w:space="0" w:color="auto"/>
              <w:right w:val="single" w:sz="4" w:space="0" w:color="auto"/>
            </w:tcBorders>
            <w:shd w:val="clear" w:color="auto" w:fill="auto"/>
            <w:noWrap/>
            <w:vAlign w:val="center"/>
            <w:hideMark/>
          </w:tcPr>
          <w:p w14:paraId="54568550" w14:textId="158F6AA8"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517" w:type="dxa"/>
            <w:tcBorders>
              <w:top w:val="nil"/>
              <w:left w:val="nil"/>
              <w:bottom w:val="single" w:sz="4" w:space="0" w:color="auto"/>
              <w:right w:val="single" w:sz="4" w:space="0" w:color="auto"/>
            </w:tcBorders>
            <w:shd w:val="clear" w:color="auto" w:fill="auto"/>
            <w:noWrap/>
            <w:vAlign w:val="center"/>
            <w:hideMark/>
          </w:tcPr>
          <w:p w14:paraId="16453B3C" w14:textId="39FB6A86"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558" w:type="dxa"/>
            <w:tcBorders>
              <w:top w:val="nil"/>
              <w:left w:val="nil"/>
              <w:bottom w:val="single" w:sz="4" w:space="0" w:color="auto"/>
              <w:right w:val="single" w:sz="4" w:space="0" w:color="auto"/>
            </w:tcBorders>
            <w:shd w:val="clear" w:color="auto" w:fill="auto"/>
            <w:noWrap/>
            <w:vAlign w:val="center"/>
            <w:hideMark/>
          </w:tcPr>
          <w:p w14:paraId="78FE3938"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748" w:type="dxa"/>
            <w:tcBorders>
              <w:top w:val="nil"/>
              <w:left w:val="nil"/>
              <w:bottom w:val="single" w:sz="4" w:space="0" w:color="auto"/>
              <w:right w:val="single" w:sz="4" w:space="0" w:color="auto"/>
            </w:tcBorders>
            <w:shd w:val="clear" w:color="auto" w:fill="auto"/>
            <w:noWrap/>
            <w:vAlign w:val="center"/>
            <w:hideMark/>
          </w:tcPr>
          <w:p w14:paraId="4BE62409"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189" w:type="dxa"/>
            <w:tcBorders>
              <w:top w:val="nil"/>
              <w:left w:val="nil"/>
              <w:bottom w:val="single" w:sz="4" w:space="0" w:color="auto"/>
              <w:right w:val="single" w:sz="4" w:space="0" w:color="auto"/>
            </w:tcBorders>
            <w:shd w:val="clear" w:color="auto" w:fill="auto"/>
            <w:noWrap/>
            <w:vAlign w:val="center"/>
            <w:hideMark/>
          </w:tcPr>
          <w:p w14:paraId="57014F80" w14:textId="7D32790F"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977" w:type="dxa"/>
            <w:tcBorders>
              <w:top w:val="nil"/>
              <w:left w:val="nil"/>
              <w:bottom w:val="single" w:sz="4" w:space="0" w:color="auto"/>
              <w:right w:val="single" w:sz="4" w:space="0" w:color="auto"/>
            </w:tcBorders>
            <w:shd w:val="clear" w:color="auto" w:fill="auto"/>
            <w:noWrap/>
            <w:vAlign w:val="center"/>
            <w:hideMark/>
          </w:tcPr>
          <w:p w14:paraId="6853C05B" w14:textId="145B2140"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667" w:type="dxa"/>
            <w:tcBorders>
              <w:top w:val="nil"/>
              <w:left w:val="nil"/>
              <w:bottom w:val="single" w:sz="4" w:space="0" w:color="auto"/>
              <w:right w:val="single" w:sz="4" w:space="0" w:color="auto"/>
            </w:tcBorders>
            <w:shd w:val="clear" w:color="auto" w:fill="auto"/>
            <w:noWrap/>
            <w:vAlign w:val="center"/>
            <w:hideMark/>
          </w:tcPr>
          <w:p w14:paraId="7007619C" w14:textId="07173DD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r>
      <w:tr w:rsidR="00C7390D" w:rsidRPr="00DE42B9" w14:paraId="2AD3E5E9" w14:textId="77777777" w:rsidTr="005F3B35">
        <w:trPr>
          <w:trHeight w:val="70"/>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14:paraId="23D9D9E3"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19</w:t>
            </w:r>
          </w:p>
        </w:tc>
        <w:tc>
          <w:tcPr>
            <w:tcW w:w="509" w:type="dxa"/>
            <w:tcBorders>
              <w:top w:val="nil"/>
              <w:left w:val="nil"/>
              <w:bottom w:val="single" w:sz="4" w:space="0" w:color="auto"/>
              <w:right w:val="single" w:sz="4" w:space="0" w:color="auto"/>
            </w:tcBorders>
            <w:shd w:val="clear" w:color="auto" w:fill="auto"/>
            <w:noWrap/>
            <w:vAlign w:val="center"/>
            <w:hideMark/>
          </w:tcPr>
          <w:p w14:paraId="77889F72" w14:textId="21AC0D51"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503" w:type="dxa"/>
            <w:tcBorders>
              <w:top w:val="nil"/>
              <w:left w:val="nil"/>
              <w:bottom w:val="single" w:sz="4" w:space="0" w:color="auto"/>
              <w:right w:val="single" w:sz="4" w:space="0" w:color="auto"/>
            </w:tcBorders>
            <w:shd w:val="clear" w:color="auto" w:fill="auto"/>
            <w:noWrap/>
            <w:vAlign w:val="center"/>
            <w:hideMark/>
          </w:tcPr>
          <w:p w14:paraId="4F59CB47" w14:textId="60879658"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443" w:type="dxa"/>
            <w:tcBorders>
              <w:top w:val="nil"/>
              <w:left w:val="nil"/>
              <w:bottom w:val="single" w:sz="4" w:space="0" w:color="auto"/>
              <w:right w:val="single" w:sz="4" w:space="0" w:color="auto"/>
            </w:tcBorders>
            <w:shd w:val="clear" w:color="auto" w:fill="auto"/>
            <w:noWrap/>
            <w:vAlign w:val="center"/>
            <w:hideMark/>
          </w:tcPr>
          <w:p w14:paraId="42D84E2A" w14:textId="4C9F9778"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400" w:type="dxa"/>
            <w:tcBorders>
              <w:top w:val="nil"/>
              <w:left w:val="nil"/>
              <w:bottom w:val="single" w:sz="4" w:space="0" w:color="auto"/>
              <w:right w:val="single" w:sz="4" w:space="0" w:color="auto"/>
            </w:tcBorders>
            <w:shd w:val="clear" w:color="auto" w:fill="auto"/>
            <w:noWrap/>
            <w:vAlign w:val="center"/>
            <w:hideMark/>
          </w:tcPr>
          <w:p w14:paraId="7F3B8642" w14:textId="2182A6D8"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517" w:type="dxa"/>
            <w:tcBorders>
              <w:top w:val="nil"/>
              <w:left w:val="nil"/>
              <w:bottom w:val="single" w:sz="4" w:space="0" w:color="auto"/>
              <w:right w:val="single" w:sz="4" w:space="0" w:color="auto"/>
            </w:tcBorders>
            <w:shd w:val="clear" w:color="auto" w:fill="auto"/>
            <w:noWrap/>
            <w:vAlign w:val="center"/>
            <w:hideMark/>
          </w:tcPr>
          <w:p w14:paraId="299A8C7C" w14:textId="2C47748D"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558" w:type="dxa"/>
            <w:tcBorders>
              <w:top w:val="nil"/>
              <w:left w:val="nil"/>
              <w:bottom w:val="single" w:sz="4" w:space="0" w:color="auto"/>
              <w:right w:val="single" w:sz="4" w:space="0" w:color="auto"/>
            </w:tcBorders>
            <w:shd w:val="clear" w:color="auto" w:fill="auto"/>
            <w:noWrap/>
            <w:vAlign w:val="center"/>
            <w:hideMark/>
          </w:tcPr>
          <w:p w14:paraId="290C4A4A"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748" w:type="dxa"/>
            <w:tcBorders>
              <w:top w:val="nil"/>
              <w:left w:val="nil"/>
              <w:bottom w:val="single" w:sz="4" w:space="0" w:color="auto"/>
              <w:right w:val="single" w:sz="4" w:space="0" w:color="auto"/>
            </w:tcBorders>
            <w:shd w:val="clear" w:color="auto" w:fill="auto"/>
            <w:noWrap/>
            <w:vAlign w:val="center"/>
            <w:hideMark/>
          </w:tcPr>
          <w:p w14:paraId="578AB92C"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189" w:type="dxa"/>
            <w:tcBorders>
              <w:top w:val="nil"/>
              <w:left w:val="nil"/>
              <w:bottom w:val="single" w:sz="4" w:space="0" w:color="auto"/>
              <w:right w:val="single" w:sz="4" w:space="0" w:color="auto"/>
            </w:tcBorders>
            <w:shd w:val="clear" w:color="auto" w:fill="auto"/>
            <w:noWrap/>
            <w:vAlign w:val="center"/>
            <w:hideMark/>
          </w:tcPr>
          <w:p w14:paraId="7FEEA0FA" w14:textId="4C4F1505"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977" w:type="dxa"/>
            <w:tcBorders>
              <w:top w:val="nil"/>
              <w:left w:val="nil"/>
              <w:bottom w:val="single" w:sz="4" w:space="0" w:color="auto"/>
              <w:right w:val="single" w:sz="4" w:space="0" w:color="auto"/>
            </w:tcBorders>
            <w:shd w:val="clear" w:color="auto" w:fill="auto"/>
            <w:noWrap/>
            <w:vAlign w:val="center"/>
            <w:hideMark/>
          </w:tcPr>
          <w:p w14:paraId="00A2886A" w14:textId="10E64BD1"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667" w:type="dxa"/>
            <w:tcBorders>
              <w:top w:val="nil"/>
              <w:left w:val="nil"/>
              <w:bottom w:val="single" w:sz="4" w:space="0" w:color="auto"/>
              <w:right w:val="single" w:sz="4" w:space="0" w:color="auto"/>
            </w:tcBorders>
            <w:shd w:val="clear" w:color="auto" w:fill="auto"/>
            <w:noWrap/>
            <w:vAlign w:val="center"/>
            <w:hideMark/>
          </w:tcPr>
          <w:p w14:paraId="76580C11" w14:textId="6DF75316"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r>
      <w:tr w:rsidR="00C7390D" w:rsidRPr="00DE42B9" w14:paraId="321F44DC" w14:textId="77777777" w:rsidTr="005F3B35">
        <w:trPr>
          <w:trHeight w:val="70"/>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14:paraId="1E27D2B8"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20</w:t>
            </w:r>
          </w:p>
        </w:tc>
        <w:tc>
          <w:tcPr>
            <w:tcW w:w="509" w:type="dxa"/>
            <w:tcBorders>
              <w:top w:val="nil"/>
              <w:left w:val="nil"/>
              <w:bottom w:val="single" w:sz="4" w:space="0" w:color="auto"/>
              <w:right w:val="single" w:sz="4" w:space="0" w:color="auto"/>
            </w:tcBorders>
            <w:shd w:val="clear" w:color="auto" w:fill="auto"/>
            <w:noWrap/>
            <w:vAlign w:val="center"/>
            <w:hideMark/>
          </w:tcPr>
          <w:p w14:paraId="78CBA3B9" w14:textId="443B5BBE"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503" w:type="dxa"/>
            <w:tcBorders>
              <w:top w:val="nil"/>
              <w:left w:val="nil"/>
              <w:bottom w:val="single" w:sz="4" w:space="0" w:color="auto"/>
              <w:right w:val="single" w:sz="4" w:space="0" w:color="auto"/>
            </w:tcBorders>
            <w:shd w:val="clear" w:color="auto" w:fill="auto"/>
            <w:noWrap/>
            <w:vAlign w:val="center"/>
            <w:hideMark/>
          </w:tcPr>
          <w:p w14:paraId="3754E9F7" w14:textId="343B5F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443" w:type="dxa"/>
            <w:tcBorders>
              <w:top w:val="nil"/>
              <w:left w:val="nil"/>
              <w:bottom w:val="single" w:sz="4" w:space="0" w:color="auto"/>
              <w:right w:val="single" w:sz="4" w:space="0" w:color="auto"/>
            </w:tcBorders>
            <w:shd w:val="clear" w:color="auto" w:fill="auto"/>
            <w:noWrap/>
            <w:vAlign w:val="center"/>
            <w:hideMark/>
          </w:tcPr>
          <w:p w14:paraId="4FA08903" w14:textId="64CA3118"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400" w:type="dxa"/>
            <w:tcBorders>
              <w:top w:val="nil"/>
              <w:left w:val="nil"/>
              <w:bottom w:val="single" w:sz="4" w:space="0" w:color="auto"/>
              <w:right w:val="single" w:sz="4" w:space="0" w:color="auto"/>
            </w:tcBorders>
            <w:shd w:val="clear" w:color="auto" w:fill="auto"/>
            <w:noWrap/>
            <w:vAlign w:val="center"/>
            <w:hideMark/>
          </w:tcPr>
          <w:p w14:paraId="5CB52196" w14:textId="3BCA4FE5"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517" w:type="dxa"/>
            <w:tcBorders>
              <w:top w:val="nil"/>
              <w:left w:val="nil"/>
              <w:bottom w:val="single" w:sz="4" w:space="0" w:color="auto"/>
              <w:right w:val="single" w:sz="4" w:space="0" w:color="auto"/>
            </w:tcBorders>
            <w:shd w:val="clear" w:color="auto" w:fill="auto"/>
            <w:noWrap/>
            <w:vAlign w:val="center"/>
            <w:hideMark/>
          </w:tcPr>
          <w:p w14:paraId="2BD66E1B" w14:textId="5B67C66D"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558" w:type="dxa"/>
            <w:tcBorders>
              <w:top w:val="nil"/>
              <w:left w:val="nil"/>
              <w:bottom w:val="single" w:sz="4" w:space="0" w:color="auto"/>
              <w:right w:val="single" w:sz="4" w:space="0" w:color="auto"/>
            </w:tcBorders>
            <w:shd w:val="clear" w:color="auto" w:fill="auto"/>
            <w:noWrap/>
            <w:vAlign w:val="center"/>
            <w:hideMark/>
          </w:tcPr>
          <w:p w14:paraId="5C4AC9E3"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748" w:type="dxa"/>
            <w:tcBorders>
              <w:top w:val="nil"/>
              <w:left w:val="nil"/>
              <w:bottom w:val="single" w:sz="4" w:space="0" w:color="auto"/>
              <w:right w:val="single" w:sz="4" w:space="0" w:color="auto"/>
            </w:tcBorders>
            <w:shd w:val="clear" w:color="auto" w:fill="auto"/>
            <w:noWrap/>
            <w:vAlign w:val="center"/>
            <w:hideMark/>
          </w:tcPr>
          <w:p w14:paraId="3C2FFFA1"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189" w:type="dxa"/>
            <w:tcBorders>
              <w:top w:val="nil"/>
              <w:left w:val="nil"/>
              <w:bottom w:val="single" w:sz="4" w:space="0" w:color="auto"/>
              <w:right w:val="single" w:sz="4" w:space="0" w:color="auto"/>
            </w:tcBorders>
            <w:shd w:val="clear" w:color="auto" w:fill="auto"/>
            <w:noWrap/>
            <w:vAlign w:val="center"/>
            <w:hideMark/>
          </w:tcPr>
          <w:p w14:paraId="186E8820" w14:textId="37343351"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977" w:type="dxa"/>
            <w:tcBorders>
              <w:top w:val="nil"/>
              <w:left w:val="nil"/>
              <w:bottom w:val="single" w:sz="4" w:space="0" w:color="auto"/>
              <w:right w:val="single" w:sz="4" w:space="0" w:color="auto"/>
            </w:tcBorders>
            <w:shd w:val="clear" w:color="auto" w:fill="auto"/>
            <w:noWrap/>
            <w:vAlign w:val="center"/>
            <w:hideMark/>
          </w:tcPr>
          <w:p w14:paraId="6368F5C9" w14:textId="68A17D98"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667" w:type="dxa"/>
            <w:tcBorders>
              <w:top w:val="nil"/>
              <w:left w:val="nil"/>
              <w:bottom w:val="single" w:sz="4" w:space="0" w:color="auto"/>
              <w:right w:val="single" w:sz="4" w:space="0" w:color="auto"/>
            </w:tcBorders>
            <w:shd w:val="clear" w:color="auto" w:fill="auto"/>
            <w:noWrap/>
            <w:vAlign w:val="center"/>
            <w:hideMark/>
          </w:tcPr>
          <w:p w14:paraId="4CAA08C5" w14:textId="165C21E3"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r>
      <w:tr w:rsidR="00C7390D" w:rsidRPr="00DE42B9" w14:paraId="47633065" w14:textId="77777777" w:rsidTr="005F3B35">
        <w:trPr>
          <w:trHeight w:val="70"/>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14:paraId="74A176D9"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22</w:t>
            </w:r>
          </w:p>
        </w:tc>
        <w:tc>
          <w:tcPr>
            <w:tcW w:w="509" w:type="dxa"/>
            <w:tcBorders>
              <w:top w:val="nil"/>
              <w:left w:val="nil"/>
              <w:bottom w:val="single" w:sz="4" w:space="0" w:color="auto"/>
              <w:right w:val="single" w:sz="4" w:space="0" w:color="auto"/>
            </w:tcBorders>
            <w:shd w:val="clear" w:color="auto" w:fill="auto"/>
            <w:noWrap/>
            <w:vAlign w:val="center"/>
            <w:hideMark/>
          </w:tcPr>
          <w:p w14:paraId="7159553F" w14:textId="678CC9FE"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503" w:type="dxa"/>
            <w:tcBorders>
              <w:top w:val="nil"/>
              <w:left w:val="nil"/>
              <w:bottom w:val="single" w:sz="4" w:space="0" w:color="auto"/>
              <w:right w:val="single" w:sz="4" w:space="0" w:color="auto"/>
            </w:tcBorders>
            <w:shd w:val="clear" w:color="auto" w:fill="auto"/>
            <w:noWrap/>
            <w:vAlign w:val="center"/>
            <w:hideMark/>
          </w:tcPr>
          <w:p w14:paraId="0B2839D1" w14:textId="1F2E0EE2"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443" w:type="dxa"/>
            <w:tcBorders>
              <w:top w:val="nil"/>
              <w:left w:val="nil"/>
              <w:bottom w:val="single" w:sz="4" w:space="0" w:color="auto"/>
              <w:right w:val="single" w:sz="4" w:space="0" w:color="auto"/>
            </w:tcBorders>
            <w:shd w:val="clear" w:color="auto" w:fill="auto"/>
            <w:noWrap/>
            <w:vAlign w:val="center"/>
            <w:hideMark/>
          </w:tcPr>
          <w:p w14:paraId="213EB802" w14:textId="44FDC65F"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400" w:type="dxa"/>
            <w:tcBorders>
              <w:top w:val="nil"/>
              <w:left w:val="nil"/>
              <w:bottom w:val="single" w:sz="4" w:space="0" w:color="auto"/>
              <w:right w:val="single" w:sz="4" w:space="0" w:color="auto"/>
            </w:tcBorders>
            <w:shd w:val="clear" w:color="auto" w:fill="auto"/>
            <w:noWrap/>
            <w:vAlign w:val="center"/>
            <w:hideMark/>
          </w:tcPr>
          <w:p w14:paraId="7E25D73A" w14:textId="56B01549"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517" w:type="dxa"/>
            <w:tcBorders>
              <w:top w:val="nil"/>
              <w:left w:val="nil"/>
              <w:bottom w:val="single" w:sz="4" w:space="0" w:color="auto"/>
              <w:right w:val="single" w:sz="4" w:space="0" w:color="auto"/>
            </w:tcBorders>
            <w:shd w:val="clear" w:color="auto" w:fill="auto"/>
            <w:noWrap/>
            <w:vAlign w:val="center"/>
            <w:hideMark/>
          </w:tcPr>
          <w:p w14:paraId="0CBEB63F" w14:textId="3C2D6524"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558" w:type="dxa"/>
            <w:tcBorders>
              <w:top w:val="nil"/>
              <w:left w:val="nil"/>
              <w:bottom w:val="single" w:sz="4" w:space="0" w:color="auto"/>
              <w:right w:val="single" w:sz="4" w:space="0" w:color="auto"/>
            </w:tcBorders>
            <w:shd w:val="clear" w:color="auto" w:fill="auto"/>
            <w:noWrap/>
            <w:vAlign w:val="center"/>
            <w:hideMark/>
          </w:tcPr>
          <w:p w14:paraId="0B625134"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748" w:type="dxa"/>
            <w:tcBorders>
              <w:top w:val="nil"/>
              <w:left w:val="nil"/>
              <w:bottom w:val="single" w:sz="4" w:space="0" w:color="auto"/>
              <w:right w:val="single" w:sz="4" w:space="0" w:color="auto"/>
            </w:tcBorders>
            <w:shd w:val="clear" w:color="auto" w:fill="auto"/>
            <w:noWrap/>
            <w:vAlign w:val="center"/>
            <w:hideMark/>
          </w:tcPr>
          <w:p w14:paraId="55D1E1D9"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189" w:type="dxa"/>
            <w:tcBorders>
              <w:top w:val="nil"/>
              <w:left w:val="nil"/>
              <w:bottom w:val="single" w:sz="4" w:space="0" w:color="auto"/>
              <w:right w:val="single" w:sz="4" w:space="0" w:color="auto"/>
            </w:tcBorders>
            <w:shd w:val="clear" w:color="auto" w:fill="auto"/>
            <w:noWrap/>
            <w:vAlign w:val="center"/>
            <w:hideMark/>
          </w:tcPr>
          <w:p w14:paraId="6FD2373E" w14:textId="348DE4D4"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977" w:type="dxa"/>
            <w:tcBorders>
              <w:top w:val="nil"/>
              <w:left w:val="nil"/>
              <w:bottom w:val="single" w:sz="4" w:space="0" w:color="auto"/>
              <w:right w:val="single" w:sz="4" w:space="0" w:color="auto"/>
            </w:tcBorders>
            <w:shd w:val="clear" w:color="auto" w:fill="auto"/>
            <w:noWrap/>
            <w:vAlign w:val="center"/>
            <w:hideMark/>
          </w:tcPr>
          <w:p w14:paraId="6E9E3790" w14:textId="42906F2F"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667" w:type="dxa"/>
            <w:tcBorders>
              <w:top w:val="nil"/>
              <w:left w:val="nil"/>
              <w:bottom w:val="single" w:sz="4" w:space="0" w:color="auto"/>
              <w:right w:val="single" w:sz="4" w:space="0" w:color="auto"/>
            </w:tcBorders>
            <w:shd w:val="clear" w:color="auto" w:fill="auto"/>
            <w:noWrap/>
            <w:vAlign w:val="center"/>
            <w:hideMark/>
          </w:tcPr>
          <w:p w14:paraId="46C67AD6" w14:textId="3A063391"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r>
      <w:tr w:rsidR="00C7390D" w:rsidRPr="00DE42B9" w14:paraId="6FB65080" w14:textId="77777777" w:rsidTr="005F3B35">
        <w:trPr>
          <w:trHeight w:val="70"/>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14:paraId="43446590"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23</w:t>
            </w:r>
          </w:p>
        </w:tc>
        <w:tc>
          <w:tcPr>
            <w:tcW w:w="509" w:type="dxa"/>
            <w:tcBorders>
              <w:top w:val="nil"/>
              <w:left w:val="nil"/>
              <w:bottom w:val="single" w:sz="4" w:space="0" w:color="auto"/>
              <w:right w:val="single" w:sz="4" w:space="0" w:color="auto"/>
            </w:tcBorders>
            <w:shd w:val="clear" w:color="auto" w:fill="auto"/>
            <w:noWrap/>
            <w:vAlign w:val="center"/>
            <w:hideMark/>
          </w:tcPr>
          <w:p w14:paraId="31F91B1B" w14:textId="1AF5252F"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503" w:type="dxa"/>
            <w:tcBorders>
              <w:top w:val="nil"/>
              <w:left w:val="nil"/>
              <w:bottom w:val="single" w:sz="4" w:space="0" w:color="auto"/>
              <w:right w:val="single" w:sz="4" w:space="0" w:color="auto"/>
            </w:tcBorders>
            <w:shd w:val="clear" w:color="auto" w:fill="auto"/>
            <w:noWrap/>
            <w:vAlign w:val="center"/>
            <w:hideMark/>
          </w:tcPr>
          <w:p w14:paraId="3C91B3D3" w14:textId="49A037F1"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443" w:type="dxa"/>
            <w:tcBorders>
              <w:top w:val="nil"/>
              <w:left w:val="nil"/>
              <w:bottom w:val="single" w:sz="4" w:space="0" w:color="auto"/>
              <w:right w:val="single" w:sz="4" w:space="0" w:color="auto"/>
            </w:tcBorders>
            <w:shd w:val="clear" w:color="auto" w:fill="auto"/>
            <w:noWrap/>
            <w:vAlign w:val="center"/>
            <w:hideMark/>
          </w:tcPr>
          <w:p w14:paraId="3CAC7766" w14:textId="228EF76A"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400" w:type="dxa"/>
            <w:tcBorders>
              <w:top w:val="nil"/>
              <w:left w:val="nil"/>
              <w:bottom w:val="single" w:sz="4" w:space="0" w:color="auto"/>
              <w:right w:val="single" w:sz="4" w:space="0" w:color="auto"/>
            </w:tcBorders>
            <w:shd w:val="clear" w:color="auto" w:fill="auto"/>
            <w:noWrap/>
            <w:vAlign w:val="center"/>
            <w:hideMark/>
          </w:tcPr>
          <w:p w14:paraId="3F6D646A" w14:textId="61B64F55"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517" w:type="dxa"/>
            <w:tcBorders>
              <w:top w:val="nil"/>
              <w:left w:val="nil"/>
              <w:bottom w:val="single" w:sz="4" w:space="0" w:color="auto"/>
              <w:right w:val="single" w:sz="4" w:space="0" w:color="auto"/>
            </w:tcBorders>
            <w:shd w:val="clear" w:color="auto" w:fill="auto"/>
            <w:noWrap/>
            <w:vAlign w:val="center"/>
            <w:hideMark/>
          </w:tcPr>
          <w:p w14:paraId="62B2009C"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X</w:t>
            </w:r>
          </w:p>
        </w:tc>
        <w:tc>
          <w:tcPr>
            <w:tcW w:w="1558" w:type="dxa"/>
            <w:tcBorders>
              <w:top w:val="nil"/>
              <w:left w:val="nil"/>
              <w:bottom w:val="single" w:sz="4" w:space="0" w:color="auto"/>
              <w:right w:val="single" w:sz="4" w:space="0" w:color="auto"/>
            </w:tcBorders>
            <w:shd w:val="clear" w:color="auto" w:fill="auto"/>
            <w:noWrap/>
            <w:vAlign w:val="center"/>
            <w:hideMark/>
          </w:tcPr>
          <w:p w14:paraId="61CE5329" w14:textId="2A0E6811"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748" w:type="dxa"/>
            <w:tcBorders>
              <w:top w:val="nil"/>
              <w:left w:val="nil"/>
              <w:bottom w:val="single" w:sz="4" w:space="0" w:color="auto"/>
              <w:right w:val="single" w:sz="4" w:space="0" w:color="auto"/>
            </w:tcBorders>
            <w:shd w:val="clear" w:color="auto" w:fill="auto"/>
            <w:noWrap/>
            <w:vAlign w:val="center"/>
            <w:hideMark/>
          </w:tcPr>
          <w:p w14:paraId="43593AB7" w14:textId="05BB1524"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189" w:type="dxa"/>
            <w:tcBorders>
              <w:top w:val="nil"/>
              <w:left w:val="nil"/>
              <w:bottom w:val="single" w:sz="4" w:space="0" w:color="auto"/>
              <w:right w:val="single" w:sz="4" w:space="0" w:color="auto"/>
            </w:tcBorders>
            <w:shd w:val="clear" w:color="auto" w:fill="auto"/>
            <w:noWrap/>
            <w:vAlign w:val="center"/>
            <w:hideMark/>
          </w:tcPr>
          <w:p w14:paraId="512E4AC2" w14:textId="7526CC0F"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977" w:type="dxa"/>
            <w:tcBorders>
              <w:top w:val="nil"/>
              <w:left w:val="nil"/>
              <w:bottom w:val="single" w:sz="4" w:space="0" w:color="auto"/>
              <w:right w:val="single" w:sz="4" w:space="0" w:color="auto"/>
            </w:tcBorders>
            <w:shd w:val="clear" w:color="auto" w:fill="auto"/>
            <w:noWrap/>
            <w:vAlign w:val="center"/>
            <w:hideMark/>
          </w:tcPr>
          <w:p w14:paraId="77F6CADE" w14:textId="6C6F4E50"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667" w:type="dxa"/>
            <w:tcBorders>
              <w:top w:val="nil"/>
              <w:left w:val="nil"/>
              <w:bottom w:val="single" w:sz="4" w:space="0" w:color="auto"/>
              <w:right w:val="single" w:sz="4" w:space="0" w:color="auto"/>
            </w:tcBorders>
            <w:shd w:val="clear" w:color="auto" w:fill="auto"/>
            <w:noWrap/>
            <w:vAlign w:val="center"/>
            <w:hideMark/>
          </w:tcPr>
          <w:p w14:paraId="51D1910C" w14:textId="051C3E70"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r>
      <w:tr w:rsidR="00C7390D" w:rsidRPr="00DE42B9" w14:paraId="41C6738F" w14:textId="77777777" w:rsidTr="005F3B35">
        <w:trPr>
          <w:trHeight w:val="70"/>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14:paraId="403B21DB"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26</w:t>
            </w:r>
          </w:p>
        </w:tc>
        <w:tc>
          <w:tcPr>
            <w:tcW w:w="509" w:type="dxa"/>
            <w:tcBorders>
              <w:top w:val="nil"/>
              <w:left w:val="nil"/>
              <w:bottom w:val="single" w:sz="4" w:space="0" w:color="auto"/>
              <w:right w:val="single" w:sz="4" w:space="0" w:color="auto"/>
            </w:tcBorders>
            <w:shd w:val="clear" w:color="auto" w:fill="auto"/>
            <w:noWrap/>
            <w:vAlign w:val="center"/>
            <w:hideMark/>
          </w:tcPr>
          <w:p w14:paraId="378EA301" w14:textId="27940D68"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503" w:type="dxa"/>
            <w:tcBorders>
              <w:top w:val="nil"/>
              <w:left w:val="nil"/>
              <w:bottom w:val="single" w:sz="4" w:space="0" w:color="auto"/>
              <w:right w:val="single" w:sz="4" w:space="0" w:color="auto"/>
            </w:tcBorders>
            <w:shd w:val="clear" w:color="auto" w:fill="auto"/>
            <w:noWrap/>
            <w:vAlign w:val="center"/>
            <w:hideMark/>
          </w:tcPr>
          <w:p w14:paraId="76102C09" w14:textId="75D3038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443" w:type="dxa"/>
            <w:tcBorders>
              <w:top w:val="nil"/>
              <w:left w:val="nil"/>
              <w:bottom w:val="single" w:sz="4" w:space="0" w:color="auto"/>
              <w:right w:val="single" w:sz="4" w:space="0" w:color="auto"/>
            </w:tcBorders>
            <w:shd w:val="clear" w:color="auto" w:fill="auto"/>
            <w:noWrap/>
            <w:vAlign w:val="center"/>
            <w:hideMark/>
          </w:tcPr>
          <w:p w14:paraId="65764AD4" w14:textId="3B3B4D73"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400" w:type="dxa"/>
            <w:tcBorders>
              <w:top w:val="nil"/>
              <w:left w:val="nil"/>
              <w:bottom w:val="single" w:sz="4" w:space="0" w:color="auto"/>
              <w:right w:val="single" w:sz="4" w:space="0" w:color="auto"/>
            </w:tcBorders>
            <w:shd w:val="clear" w:color="auto" w:fill="auto"/>
            <w:noWrap/>
            <w:vAlign w:val="center"/>
            <w:hideMark/>
          </w:tcPr>
          <w:p w14:paraId="0621A712" w14:textId="6D1714E8"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517" w:type="dxa"/>
            <w:tcBorders>
              <w:top w:val="nil"/>
              <w:left w:val="nil"/>
              <w:bottom w:val="single" w:sz="4" w:space="0" w:color="auto"/>
              <w:right w:val="single" w:sz="4" w:space="0" w:color="auto"/>
            </w:tcBorders>
            <w:shd w:val="clear" w:color="auto" w:fill="auto"/>
            <w:noWrap/>
            <w:vAlign w:val="center"/>
            <w:hideMark/>
          </w:tcPr>
          <w:p w14:paraId="54132146" w14:textId="298A0A35"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558" w:type="dxa"/>
            <w:tcBorders>
              <w:top w:val="nil"/>
              <w:left w:val="nil"/>
              <w:bottom w:val="single" w:sz="4" w:space="0" w:color="auto"/>
              <w:right w:val="single" w:sz="4" w:space="0" w:color="auto"/>
            </w:tcBorders>
            <w:shd w:val="clear" w:color="auto" w:fill="auto"/>
            <w:noWrap/>
            <w:vAlign w:val="center"/>
            <w:hideMark/>
          </w:tcPr>
          <w:p w14:paraId="7CF05C0F"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748" w:type="dxa"/>
            <w:tcBorders>
              <w:top w:val="nil"/>
              <w:left w:val="nil"/>
              <w:bottom w:val="single" w:sz="4" w:space="0" w:color="auto"/>
              <w:right w:val="single" w:sz="4" w:space="0" w:color="auto"/>
            </w:tcBorders>
            <w:shd w:val="clear" w:color="auto" w:fill="auto"/>
            <w:noWrap/>
            <w:vAlign w:val="center"/>
            <w:hideMark/>
          </w:tcPr>
          <w:p w14:paraId="2C089F4A"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189" w:type="dxa"/>
            <w:tcBorders>
              <w:top w:val="nil"/>
              <w:left w:val="nil"/>
              <w:bottom w:val="single" w:sz="4" w:space="0" w:color="auto"/>
              <w:right w:val="single" w:sz="4" w:space="0" w:color="auto"/>
            </w:tcBorders>
            <w:shd w:val="clear" w:color="auto" w:fill="auto"/>
            <w:noWrap/>
            <w:vAlign w:val="center"/>
            <w:hideMark/>
          </w:tcPr>
          <w:p w14:paraId="61D3ACD4" w14:textId="2FB66BE5"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977" w:type="dxa"/>
            <w:tcBorders>
              <w:top w:val="nil"/>
              <w:left w:val="nil"/>
              <w:bottom w:val="single" w:sz="4" w:space="0" w:color="auto"/>
              <w:right w:val="single" w:sz="4" w:space="0" w:color="auto"/>
            </w:tcBorders>
            <w:shd w:val="clear" w:color="auto" w:fill="auto"/>
            <w:noWrap/>
            <w:vAlign w:val="center"/>
            <w:hideMark/>
          </w:tcPr>
          <w:p w14:paraId="109A1DC8" w14:textId="045605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667" w:type="dxa"/>
            <w:tcBorders>
              <w:top w:val="nil"/>
              <w:left w:val="nil"/>
              <w:bottom w:val="single" w:sz="4" w:space="0" w:color="auto"/>
              <w:right w:val="single" w:sz="4" w:space="0" w:color="auto"/>
            </w:tcBorders>
            <w:shd w:val="clear" w:color="auto" w:fill="auto"/>
            <w:noWrap/>
            <w:vAlign w:val="center"/>
            <w:hideMark/>
          </w:tcPr>
          <w:p w14:paraId="03753031" w14:textId="731C4E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r>
      <w:tr w:rsidR="00C7390D" w:rsidRPr="00DE42B9" w14:paraId="5BA14DA6" w14:textId="77777777" w:rsidTr="005F3B35">
        <w:trPr>
          <w:trHeight w:val="70"/>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14:paraId="754C11C8"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29</w:t>
            </w:r>
          </w:p>
        </w:tc>
        <w:tc>
          <w:tcPr>
            <w:tcW w:w="509" w:type="dxa"/>
            <w:tcBorders>
              <w:top w:val="nil"/>
              <w:left w:val="nil"/>
              <w:bottom w:val="single" w:sz="4" w:space="0" w:color="auto"/>
              <w:right w:val="single" w:sz="4" w:space="0" w:color="auto"/>
            </w:tcBorders>
            <w:shd w:val="clear" w:color="auto" w:fill="auto"/>
            <w:noWrap/>
            <w:vAlign w:val="center"/>
            <w:hideMark/>
          </w:tcPr>
          <w:p w14:paraId="025327E3" w14:textId="1FFB19D4"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503" w:type="dxa"/>
            <w:tcBorders>
              <w:top w:val="nil"/>
              <w:left w:val="nil"/>
              <w:bottom w:val="single" w:sz="4" w:space="0" w:color="auto"/>
              <w:right w:val="single" w:sz="4" w:space="0" w:color="auto"/>
            </w:tcBorders>
            <w:shd w:val="clear" w:color="auto" w:fill="auto"/>
            <w:noWrap/>
            <w:vAlign w:val="center"/>
            <w:hideMark/>
          </w:tcPr>
          <w:p w14:paraId="4B2DD740" w14:textId="7F1A9162"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443" w:type="dxa"/>
            <w:tcBorders>
              <w:top w:val="nil"/>
              <w:left w:val="nil"/>
              <w:bottom w:val="single" w:sz="4" w:space="0" w:color="auto"/>
              <w:right w:val="single" w:sz="4" w:space="0" w:color="auto"/>
            </w:tcBorders>
            <w:shd w:val="clear" w:color="auto" w:fill="auto"/>
            <w:noWrap/>
            <w:vAlign w:val="center"/>
            <w:hideMark/>
          </w:tcPr>
          <w:p w14:paraId="38A79D67" w14:textId="394865B9"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400" w:type="dxa"/>
            <w:tcBorders>
              <w:top w:val="nil"/>
              <w:left w:val="nil"/>
              <w:bottom w:val="single" w:sz="4" w:space="0" w:color="auto"/>
              <w:right w:val="single" w:sz="4" w:space="0" w:color="auto"/>
            </w:tcBorders>
            <w:shd w:val="clear" w:color="auto" w:fill="auto"/>
            <w:noWrap/>
            <w:vAlign w:val="center"/>
            <w:hideMark/>
          </w:tcPr>
          <w:p w14:paraId="114E3929" w14:textId="29732D45"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517" w:type="dxa"/>
            <w:tcBorders>
              <w:top w:val="nil"/>
              <w:left w:val="nil"/>
              <w:bottom w:val="single" w:sz="4" w:space="0" w:color="auto"/>
              <w:right w:val="single" w:sz="4" w:space="0" w:color="auto"/>
            </w:tcBorders>
            <w:shd w:val="clear" w:color="auto" w:fill="auto"/>
            <w:noWrap/>
            <w:vAlign w:val="center"/>
            <w:hideMark/>
          </w:tcPr>
          <w:p w14:paraId="00F38AFA" w14:textId="429C7959"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558" w:type="dxa"/>
            <w:tcBorders>
              <w:top w:val="nil"/>
              <w:left w:val="nil"/>
              <w:bottom w:val="single" w:sz="4" w:space="0" w:color="auto"/>
              <w:right w:val="single" w:sz="4" w:space="0" w:color="auto"/>
            </w:tcBorders>
            <w:shd w:val="clear" w:color="auto" w:fill="auto"/>
            <w:noWrap/>
            <w:vAlign w:val="center"/>
            <w:hideMark/>
          </w:tcPr>
          <w:p w14:paraId="1A274B53"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748" w:type="dxa"/>
            <w:tcBorders>
              <w:top w:val="nil"/>
              <w:left w:val="nil"/>
              <w:bottom w:val="single" w:sz="4" w:space="0" w:color="auto"/>
              <w:right w:val="single" w:sz="4" w:space="0" w:color="auto"/>
            </w:tcBorders>
            <w:shd w:val="clear" w:color="auto" w:fill="auto"/>
            <w:noWrap/>
            <w:vAlign w:val="center"/>
            <w:hideMark/>
          </w:tcPr>
          <w:p w14:paraId="708172F6"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189" w:type="dxa"/>
            <w:tcBorders>
              <w:top w:val="nil"/>
              <w:left w:val="nil"/>
              <w:bottom w:val="single" w:sz="4" w:space="0" w:color="auto"/>
              <w:right w:val="single" w:sz="4" w:space="0" w:color="auto"/>
            </w:tcBorders>
            <w:shd w:val="clear" w:color="auto" w:fill="auto"/>
            <w:noWrap/>
            <w:vAlign w:val="center"/>
            <w:hideMark/>
          </w:tcPr>
          <w:p w14:paraId="31243B78" w14:textId="07E8178A"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977" w:type="dxa"/>
            <w:tcBorders>
              <w:top w:val="nil"/>
              <w:left w:val="nil"/>
              <w:bottom w:val="single" w:sz="4" w:space="0" w:color="auto"/>
              <w:right w:val="single" w:sz="4" w:space="0" w:color="auto"/>
            </w:tcBorders>
            <w:shd w:val="clear" w:color="auto" w:fill="auto"/>
            <w:noWrap/>
            <w:vAlign w:val="center"/>
            <w:hideMark/>
          </w:tcPr>
          <w:p w14:paraId="560A42A2" w14:textId="6DDBB231"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667" w:type="dxa"/>
            <w:tcBorders>
              <w:top w:val="nil"/>
              <w:left w:val="nil"/>
              <w:bottom w:val="single" w:sz="4" w:space="0" w:color="auto"/>
              <w:right w:val="single" w:sz="4" w:space="0" w:color="auto"/>
            </w:tcBorders>
            <w:shd w:val="clear" w:color="auto" w:fill="auto"/>
            <w:noWrap/>
            <w:vAlign w:val="center"/>
            <w:hideMark/>
          </w:tcPr>
          <w:p w14:paraId="62AB2B19" w14:textId="204FF053"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r>
      <w:tr w:rsidR="00ED7769" w:rsidRPr="00DE42B9" w14:paraId="0BF35BD1" w14:textId="77777777" w:rsidTr="00DE42B9">
        <w:trPr>
          <w:trHeight w:val="77"/>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14:paraId="562CC4E7"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30</w:t>
            </w:r>
          </w:p>
        </w:tc>
        <w:tc>
          <w:tcPr>
            <w:tcW w:w="509" w:type="dxa"/>
            <w:tcBorders>
              <w:top w:val="nil"/>
              <w:left w:val="nil"/>
              <w:bottom w:val="single" w:sz="4" w:space="0" w:color="auto"/>
              <w:right w:val="single" w:sz="4" w:space="0" w:color="auto"/>
            </w:tcBorders>
            <w:shd w:val="clear" w:color="auto" w:fill="auto"/>
            <w:noWrap/>
            <w:vAlign w:val="center"/>
            <w:hideMark/>
          </w:tcPr>
          <w:p w14:paraId="0E8AA577" w14:textId="35C350A2"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503" w:type="dxa"/>
            <w:tcBorders>
              <w:top w:val="nil"/>
              <w:left w:val="nil"/>
              <w:bottom w:val="single" w:sz="4" w:space="0" w:color="auto"/>
              <w:right w:val="single" w:sz="4" w:space="0" w:color="auto"/>
            </w:tcBorders>
            <w:shd w:val="clear" w:color="auto" w:fill="auto"/>
            <w:noWrap/>
            <w:vAlign w:val="center"/>
            <w:hideMark/>
          </w:tcPr>
          <w:p w14:paraId="77FA8E02" w14:textId="20F91E56"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443" w:type="dxa"/>
            <w:tcBorders>
              <w:top w:val="nil"/>
              <w:left w:val="nil"/>
              <w:bottom w:val="single" w:sz="4" w:space="0" w:color="auto"/>
              <w:right w:val="single" w:sz="4" w:space="0" w:color="auto"/>
            </w:tcBorders>
            <w:shd w:val="clear" w:color="auto" w:fill="auto"/>
            <w:noWrap/>
            <w:vAlign w:val="center"/>
            <w:hideMark/>
          </w:tcPr>
          <w:p w14:paraId="6226E360" w14:textId="100D87A9"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400" w:type="dxa"/>
            <w:tcBorders>
              <w:top w:val="nil"/>
              <w:left w:val="nil"/>
              <w:bottom w:val="single" w:sz="4" w:space="0" w:color="auto"/>
              <w:right w:val="single" w:sz="4" w:space="0" w:color="auto"/>
            </w:tcBorders>
            <w:shd w:val="clear" w:color="auto" w:fill="auto"/>
            <w:noWrap/>
            <w:vAlign w:val="center"/>
            <w:hideMark/>
          </w:tcPr>
          <w:p w14:paraId="08EDD56F" w14:textId="721A1DA2"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p>
        </w:tc>
        <w:tc>
          <w:tcPr>
            <w:tcW w:w="1517" w:type="dxa"/>
            <w:tcBorders>
              <w:top w:val="nil"/>
              <w:left w:val="nil"/>
              <w:bottom w:val="single" w:sz="4" w:space="0" w:color="auto"/>
              <w:right w:val="single" w:sz="4" w:space="0" w:color="auto"/>
            </w:tcBorders>
            <w:shd w:val="clear" w:color="auto" w:fill="auto"/>
            <w:noWrap/>
            <w:vAlign w:val="center"/>
            <w:hideMark/>
          </w:tcPr>
          <w:p w14:paraId="2721CAF5"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X</w:t>
            </w:r>
          </w:p>
        </w:tc>
        <w:tc>
          <w:tcPr>
            <w:tcW w:w="1558" w:type="dxa"/>
            <w:tcBorders>
              <w:top w:val="nil"/>
              <w:left w:val="nil"/>
              <w:bottom w:val="single" w:sz="4" w:space="0" w:color="auto"/>
              <w:right w:val="single" w:sz="4" w:space="0" w:color="auto"/>
            </w:tcBorders>
            <w:shd w:val="clear" w:color="auto" w:fill="auto"/>
            <w:noWrap/>
            <w:vAlign w:val="center"/>
            <w:hideMark/>
          </w:tcPr>
          <w:p w14:paraId="5673E55B"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748" w:type="dxa"/>
            <w:tcBorders>
              <w:top w:val="nil"/>
              <w:left w:val="nil"/>
              <w:bottom w:val="single" w:sz="4" w:space="0" w:color="auto"/>
              <w:right w:val="single" w:sz="4" w:space="0" w:color="auto"/>
            </w:tcBorders>
            <w:shd w:val="clear" w:color="auto" w:fill="auto"/>
            <w:noWrap/>
            <w:vAlign w:val="center"/>
            <w:hideMark/>
          </w:tcPr>
          <w:p w14:paraId="3732B16C"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189" w:type="dxa"/>
            <w:tcBorders>
              <w:top w:val="nil"/>
              <w:left w:val="nil"/>
              <w:bottom w:val="single" w:sz="4" w:space="0" w:color="auto"/>
              <w:right w:val="single" w:sz="4" w:space="0" w:color="auto"/>
            </w:tcBorders>
            <w:shd w:val="clear" w:color="auto" w:fill="auto"/>
            <w:noWrap/>
            <w:vAlign w:val="center"/>
            <w:hideMark/>
          </w:tcPr>
          <w:p w14:paraId="2ECD3C26"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977" w:type="dxa"/>
            <w:tcBorders>
              <w:top w:val="nil"/>
              <w:left w:val="nil"/>
              <w:bottom w:val="single" w:sz="4" w:space="0" w:color="auto"/>
              <w:right w:val="single" w:sz="4" w:space="0" w:color="auto"/>
            </w:tcBorders>
            <w:shd w:val="clear" w:color="auto" w:fill="auto"/>
            <w:noWrap/>
            <w:vAlign w:val="center"/>
            <w:hideMark/>
          </w:tcPr>
          <w:p w14:paraId="12895553"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c>
          <w:tcPr>
            <w:tcW w:w="1667" w:type="dxa"/>
            <w:tcBorders>
              <w:top w:val="nil"/>
              <w:left w:val="nil"/>
              <w:bottom w:val="single" w:sz="4" w:space="0" w:color="auto"/>
              <w:right w:val="single" w:sz="4" w:space="0" w:color="auto"/>
            </w:tcBorders>
            <w:shd w:val="clear" w:color="auto" w:fill="auto"/>
            <w:noWrap/>
            <w:vAlign w:val="center"/>
            <w:hideMark/>
          </w:tcPr>
          <w:p w14:paraId="399B0AA0" w14:textId="77777777" w:rsidR="00ED7769" w:rsidRPr="00DE42B9" w:rsidRDefault="00ED7769" w:rsidP="005F3B35">
            <w:pPr>
              <w:spacing w:line="240" w:lineRule="auto"/>
              <w:jc w:val="center"/>
              <w:rPr>
                <w:rFonts w:ascii="Times New Roman" w:eastAsia="Times New Roman" w:hAnsi="Times New Roman" w:cs="Times New Roman"/>
                <w:color w:val="000000" w:themeColor="text1"/>
                <w:sz w:val="20"/>
                <w:szCs w:val="20"/>
              </w:rPr>
            </w:pPr>
            <w:r w:rsidRPr="00DE42B9">
              <w:rPr>
                <w:rFonts w:ascii="Times New Roman" w:eastAsia="Times New Roman" w:hAnsi="Times New Roman" w:cs="Times New Roman"/>
                <w:color w:val="000000" w:themeColor="text1"/>
                <w:sz w:val="20"/>
                <w:szCs w:val="20"/>
              </w:rPr>
              <w:t>3X</w:t>
            </w:r>
          </w:p>
        </w:tc>
      </w:tr>
    </w:tbl>
    <w:p w14:paraId="6EFC4EAE" w14:textId="77777777" w:rsidR="00AC39BB" w:rsidRDefault="00AC39BB" w:rsidP="00ED7769">
      <w:pPr>
        <w:rPr>
          <w:rFonts w:ascii="Times New Roman" w:hAnsi="Times New Roman" w:cs="Times New Roman"/>
          <w:color w:val="000000" w:themeColor="text1"/>
          <w:sz w:val="24"/>
          <w:szCs w:val="24"/>
        </w:rPr>
        <w:sectPr w:rsidR="00AC39BB" w:rsidSect="004344A4">
          <w:pgSz w:w="16838" w:h="11906" w:orient="landscape" w:code="9"/>
          <w:pgMar w:top="1440" w:right="1440" w:bottom="1440" w:left="1440" w:header="720" w:footer="720" w:gutter="0"/>
          <w:cols w:space="720"/>
          <w:docGrid w:linePitch="299"/>
        </w:sectPr>
      </w:pPr>
    </w:p>
    <w:p w14:paraId="4B7B01B9" w14:textId="76BC6B4A" w:rsidR="00DB5BD7" w:rsidRPr="001075EB" w:rsidRDefault="00003602" w:rsidP="00DB5BD7">
      <w:pPr>
        <w:spacing w:line="480" w:lineRule="auto"/>
        <w:jc w:val="both"/>
        <w:rPr>
          <w:rFonts w:ascii="Times New Roman" w:hAnsi="Times New Roman" w:cs="Times New Roman"/>
          <w:b/>
          <w:sz w:val="24"/>
          <w:szCs w:val="24"/>
          <w:lang w:val="en-GB"/>
        </w:rPr>
      </w:pPr>
      <w:r w:rsidRPr="001075EB">
        <w:rPr>
          <w:rFonts w:ascii="Times New Roman" w:hAnsi="Times New Roman" w:cs="Times New Roman"/>
          <w:b/>
          <w:sz w:val="24"/>
          <w:szCs w:val="24"/>
          <w:lang w:val="en-GB"/>
        </w:rPr>
        <w:lastRenderedPageBreak/>
        <w:t>References</w:t>
      </w:r>
    </w:p>
    <w:p w14:paraId="08B48F66" w14:textId="77777777" w:rsidR="00DB5BD7" w:rsidRPr="001075EB" w:rsidRDefault="00C7390D" w:rsidP="00E436C0">
      <w:pPr>
        <w:pStyle w:val="EndNoteBibliography"/>
        <w:jc w:val="both"/>
        <w:rPr>
          <w:rFonts w:ascii="Times New Roman" w:hAnsi="Times New Roman" w:cs="Times New Roman"/>
          <w:sz w:val="24"/>
          <w:szCs w:val="24"/>
        </w:rPr>
      </w:pPr>
      <w:r w:rsidRPr="001075EB">
        <w:rPr>
          <w:rFonts w:ascii="Times New Roman" w:hAnsi="Times New Roman" w:cs="Times New Roman"/>
          <w:color w:val="000000" w:themeColor="text1"/>
          <w:sz w:val="24"/>
          <w:szCs w:val="24"/>
        </w:rPr>
        <w:fldChar w:fldCharType="begin"/>
      </w:r>
      <w:r w:rsidRPr="001075EB">
        <w:rPr>
          <w:rFonts w:ascii="Times New Roman" w:hAnsi="Times New Roman" w:cs="Times New Roman"/>
          <w:color w:val="000000" w:themeColor="text1"/>
          <w:sz w:val="24"/>
          <w:szCs w:val="24"/>
          <w:lang w:val="en"/>
        </w:rPr>
        <w:instrText xml:space="preserve"> ADDIN EN.REFLIST </w:instrText>
      </w:r>
      <w:r w:rsidRPr="001075EB">
        <w:rPr>
          <w:rFonts w:ascii="Times New Roman" w:hAnsi="Times New Roman" w:cs="Times New Roman"/>
          <w:color w:val="000000" w:themeColor="text1"/>
          <w:sz w:val="24"/>
          <w:szCs w:val="24"/>
        </w:rPr>
        <w:fldChar w:fldCharType="separate"/>
      </w:r>
      <w:r w:rsidR="00DB5BD7" w:rsidRPr="001075EB">
        <w:rPr>
          <w:rFonts w:ascii="Times New Roman" w:hAnsi="Times New Roman" w:cs="Times New Roman"/>
          <w:b/>
          <w:sz w:val="24"/>
          <w:szCs w:val="24"/>
          <w:lang w:val="en"/>
        </w:rPr>
        <w:t>Abida H, Dolch LJ, Mei C, Villanova V, Conte M, Block MA, Finazzi G, Bastien O, Tirichine L, Bowler C, Rebeille F, Petroutsos D, Jouhet J, Marechal E</w:t>
      </w:r>
      <w:r w:rsidR="00DB5BD7" w:rsidRPr="001075EB">
        <w:rPr>
          <w:rFonts w:ascii="Times New Roman" w:hAnsi="Times New Roman" w:cs="Times New Roman"/>
          <w:sz w:val="24"/>
          <w:szCs w:val="24"/>
          <w:lang w:val="en"/>
        </w:rPr>
        <w:t xml:space="preserve">. 2015. </w:t>
      </w:r>
      <w:r w:rsidR="00DB5BD7" w:rsidRPr="001075EB">
        <w:rPr>
          <w:rFonts w:ascii="Times New Roman" w:hAnsi="Times New Roman" w:cs="Times New Roman"/>
          <w:sz w:val="24"/>
          <w:szCs w:val="24"/>
        </w:rPr>
        <w:t xml:space="preserve">Membrane glycerolipid remodeling triggered by nitrogen and phosphorus starvation in </w:t>
      </w:r>
      <w:r w:rsidR="00DB5BD7" w:rsidRPr="001075EB">
        <w:rPr>
          <w:rFonts w:ascii="Times New Roman" w:hAnsi="Times New Roman" w:cs="Times New Roman"/>
          <w:i/>
          <w:sz w:val="24"/>
          <w:szCs w:val="24"/>
        </w:rPr>
        <w:t>Phaeodactylum tricornutum</w:t>
      </w:r>
      <w:r w:rsidR="00DB5BD7" w:rsidRPr="001075EB">
        <w:rPr>
          <w:rFonts w:ascii="Times New Roman" w:hAnsi="Times New Roman" w:cs="Times New Roman"/>
          <w:sz w:val="24"/>
          <w:szCs w:val="24"/>
        </w:rPr>
        <w:t xml:space="preserve">. Plant Physiology </w:t>
      </w:r>
      <w:r w:rsidR="00DB5BD7" w:rsidRPr="001075EB">
        <w:rPr>
          <w:rFonts w:ascii="Times New Roman" w:hAnsi="Times New Roman" w:cs="Times New Roman"/>
          <w:b/>
          <w:sz w:val="24"/>
          <w:szCs w:val="24"/>
        </w:rPr>
        <w:t>167</w:t>
      </w:r>
      <w:r w:rsidR="00DB5BD7" w:rsidRPr="001075EB">
        <w:rPr>
          <w:rFonts w:ascii="Times New Roman" w:hAnsi="Times New Roman" w:cs="Times New Roman"/>
          <w:sz w:val="24"/>
          <w:szCs w:val="24"/>
        </w:rPr>
        <w:t>, 118-136.</w:t>
      </w:r>
    </w:p>
    <w:p w14:paraId="71023AF4" w14:textId="77777777" w:rsidR="00DB5BD7" w:rsidRPr="001075EB" w:rsidRDefault="00DB5BD7" w:rsidP="00E436C0">
      <w:pPr>
        <w:pStyle w:val="EndNoteBibliography"/>
        <w:jc w:val="both"/>
        <w:rPr>
          <w:rFonts w:ascii="Times New Roman" w:hAnsi="Times New Roman" w:cs="Times New Roman"/>
          <w:sz w:val="24"/>
          <w:szCs w:val="24"/>
        </w:rPr>
      </w:pPr>
      <w:r w:rsidRPr="001075EB">
        <w:rPr>
          <w:rFonts w:ascii="Times New Roman" w:hAnsi="Times New Roman" w:cs="Times New Roman"/>
          <w:b/>
          <w:sz w:val="24"/>
          <w:szCs w:val="24"/>
        </w:rPr>
        <w:t>Alipanah L, Rohloff J, Winge P, Bones AM, Brembu T</w:t>
      </w:r>
      <w:r w:rsidRPr="001075EB">
        <w:rPr>
          <w:rFonts w:ascii="Times New Roman" w:hAnsi="Times New Roman" w:cs="Times New Roman"/>
          <w:sz w:val="24"/>
          <w:szCs w:val="24"/>
        </w:rPr>
        <w:t xml:space="preserve">. 2015. Whole-cell response to nitrogen deprivation in the diatom </w:t>
      </w:r>
      <w:r w:rsidRPr="001075EB">
        <w:rPr>
          <w:rFonts w:ascii="Times New Roman" w:hAnsi="Times New Roman" w:cs="Times New Roman"/>
          <w:i/>
          <w:sz w:val="24"/>
          <w:szCs w:val="24"/>
        </w:rPr>
        <w:t>Phaeodactylum tricornutum</w:t>
      </w:r>
      <w:r w:rsidRPr="001075EB">
        <w:rPr>
          <w:rFonts w:ascii="Times New Roman" w:hAnsi="Times New Roman" w:cs="Times New Roman"/>
          <w:sz w:val="24"/>
          <w:szCs w:val="24"/>
        </w:rPr>
        <w:t xml:space="preserve">. Journal of Experimental Botany </w:t>
      </w:r>
      <w:r w:rsidRPr="001075EB">
        <w:rPr>
          <w:rFonts w:ascii="Times New Roman" w:hAnsi="Times New Roman" w:cs="Times New Roman"/>
          <w:b/>
          <w:sz w:val="24"/>
          <w:szCs w:val="24"/>
        </w:rPr>
        <w:t>66</w:t>
      </w:r>
      <w:r w:rsidRPr="001075EB">
        <w:rPr>
          <w:rFonts w:ascii="Times New Roman" w:hAnsi="Times New Roman" w:cs="Times New Roman"/>
          <w:sz w:val="24"/>
          <w:szCs w:val="24"/>
        </w:rPr>
        <w:t>, 6281-6296.</w:t>
      </w:r>
    </w:p>
    <w:p w14:paraId="2DFFCE69" w14:textId="77777777" w:rsidR="00DB5BD7" w:rsidRPr="001075EB" w:rsidRDefault="00DB5BD7" w:rsidP="00E436C0">
      <w:pPr>
        <w:pStyle w:val="EndNoteBibliography"/>
        <w:jc w:val="both"/>
        <w:rPr>
          <w:rFonts w:ascii="Times New Roman" w:hAnsi="Times New Roman" w:cs="Times New Roman"/>
          <w:sz w:val="24"/>
          <w:szCs w:val="24"/>
        </w:rPr>
      </w:pPr>
      <w:r w:rsidRPr="001075EB">
        <w:rPr>
          <w:rFonts w:ascii="Times New Roman" w:hAnsi="Times New Roman" w:cs="Times New Roman"/>
          <w:b/>
          <w:sz w:val="24"/>
          <w:szCs w:val="24"/>
        </w:rPr>
        <w:t>Bradford MM</w:t>
      </w:r>
      <w:r w:rsidRPr="001075EB">
        <w:rPr>
          <w:rFonts w:ascii="Times New Roman" w:hAnsi="Times New Roman" w:cs="Times New Roman"/>
          <w:sz w:val="24"/>
          <w:szCs w:val="24"/>
        </w:rPr>
        <w:t xml:space="preserve">. 1976. A rapid and sensitive method for the quantitation of microgram quantities of protein utilizing the principle of protein-dye binding. Analytical Biochemistry </w:t>
      </w:r>
      <w:r w:rsidRPr="001075EB">
        <w:rPr>
          <w:rFonts w:ascii="Times New Roman" w:hAnsi="Times New Roman" w:cs="Times New Roman"/>
          <w:b/>
          <w:sz w:val="24"/>
          <w:szCs w:val="24"/>
        </w:rPr>
        <w:t>72</w:t>
      </w:r>
      <w:r w:rsidRPr="001075EB">
        <w:rPr>
          <w:rFonts w:ascii="Times New Roman" w:hAnsi="Times New Roman" w:cs="Times New Roman"/>
          <w:sz w:val="24"/>
          <w:szCs w:val="24"/>
        </w:rPr>
        <w:t>, 248-254.</w:t>
      </w:r>
    </w:p>
    <w:p w14:paraId="7AD77468" w14:textId="77777777" w:rsidR="00DB5BD7" w:rsidRPr="001075EB" w:rsidRDefault="00DB5BD7" w:rsidP="00E436C0">
      <w:pPr>
        <w:pStyle w:val="EndNoteBibliography"/>
        <w:jc w:val="both"/>
        <w:rPr>
          <w:rFonts w:ascii="Times New Roman" w:hAnsi="Times New Roman" w:cs="Times New Roman"/>
          <w:sz w:val="24"/>
          <w:szCs w:val="24"/>
        </w:rPr>
      </w:pPr>
      <w:r w:rsidRPr="001075EB">
        <w:rPr>
          <w:rFonts w:ascii="Times New Roman" w:hAnsi="Times New Roman" w:cs="Times New Roman"/>
          <w:b/>
          <w:sz w:val="24"/>
          <w:szCs w:val="24"/>
        </w:rPr>
        <w:t>Ge F, Huang W, Chen Z, Zhang C, Xiong Q, Bowler C, Yang J, Xu J, Hu H</w:t>
      </w:r>
      <w:r w:rsidRPr="001075EB">
        <w:rPr>
          <w:rFonts w:ascii="Times New Roman" w:hAnsi="Times New Roman" w:cs="Times New Roman"/>
          <w:sz w:val="24"/>
          <w:szCs w:val="24"/>
        </w:rPr>
        <w:t xml:space="preserve">. 2014. Methylcrotonyl-CoA carboxylase regulates triacylglycerol accumulation in the model diatom </w:t>
      </w:r>
      <w:r w:rsidRPr="001075EB">
        <w:rPr>
          <w:rFonts w:ascii="Times New Roman" w:hAnsi="Times New Roman" w:cs="Times New Roman"/>
          <w:i/>
          <w:sz w:val="24"/>
          <w:szCs w:val="24"/>
        </w:rPr>
        <w:t>Phaeodactylum tricornutum</w:t>
      </w:r>
      <w:r w:rsidRPr="001075EB">
        <w:rPr>
          <w:rFonts w:ascii="Times New Roman" w:hAnsi="Times New Roman" w:cs="Times New Roman"/>
          <w:sz w:val="24"/>
          <w:szCs w:val="24"/>
        </w:rPr>
        <w:t xml:space="preserve">. Plant Cell </w:t>
      </w:r>
      <w:r w:rsidRPr="001075EB">
        <w:rPr>
          <w:rFonts w:ascii="Times New Roman" w:hAnsi="Times New Roman" w:cs="Times New Roman"/>
          <w:b/>
          <w:sz w:val="24"/>
          <w:szCs w:val="24"/>
        </w:rPr>
        <w:t>26</w:t>
      </w:r>
      <w:r w:rsidRPr="001075EB">
        <w:rPr>
          <w:rFonts w:ascii="Times New Roman" w:hAnsi="Times New Roman" w:cs="Times New Roman"/>
          <w:sz w:val="24"/>
          <w:szCs w:val="24"/>
        </w:rPr>
        <w:t>, 1681-1697.</w:t>
      </w:r>
    </w:p>
    <w:p w14:paraId="3C233821" w14:textId="77777777" w:rsidR="00DB5BD7" w:rsidRPr="001075EB" w:rsidRDefault="00DB5BD7" w:rsidP="00E436C0">
      <w:pPr>
        <w:pStyle w:val="EndNoteBibliography"/>
        <w:jc w:val="both"/>
        <w:rPr>
          <w:rFonts w:ascii="Times New Roman" w:hAnsi="Times New Roman" w:cs="Times New Roman"/>
          <w:sz w:val="24"/>
          <w:szCs w:val="24"/>
        </w:rPr>
      </w:pPr>
      <w:r w:rsidRPr="001075EB">
        <w:rPr>
          <w:rFonts w:ascii="Times New Roman" w:hAnsi="Times New Roman" w:cs="Times New Roman"/>
          <w:b/>
          <w:sz w:val="24"/>
          <w:szCs w:val="24"/>
        </w:rPr>
        <w:t>Genty B, Briantais JM, Baker NR</w:t>
      </w:r>
      <w:r w:rsidRPr="001075EB">
        <w:rPr>
          <w:rFonts w:ascii="Times New Roman" w:hAnsi="Times New Roman" w:cs="Times New Roman"/>
          <w:sz w:val="24"/>
          <w:szCs w:val="24"/>
        </w:rPr>
        <w:t xml:space="preserve">. 1989. The relationship between the quantum yield of photosynthetic electron transport and quenching of chlorophyll fluorescence. Biochimica et Biophysica Acta </w:t>
      </w:r>
      <w:r w:rsidRPr="001075EB">
        <w:rPr>
          <w:rFonts w:ascii="Times New Roman" w:hAnsi="Times New Roman" w:cs="Times New Roman"/>
          <w:b/>
          <w:sz w:val="24"/>
          <w:szCs w:val="24"/>
        </w:rPr>
        <w:t>990</w:t>
      </w:r>
      <w:r w:rsidRPr="001075EB">
        <w:rPr>
          <w:rFonts w:ascii="Times New Roman" w:hAnsi="Times New Roman" w:cs="Times New Roman"/>
          <w:sz w:val="24"/>
          <w:szCs w:val="24"/>
        </w:rPr>
        <w:t>, 87-92.</w:t>
      </w:r>
    </w:p>
    <w:p w14:paraId="1650FBD8" w14:textId="77777777" w:rsidR="00DB5BD7" w:rsidRPr="001075EB" w:rsidRDefault="00DB5BD7" w:rsidP="00E436C0">
      <w:pPr>
        <w:pStyle w:val="EndNoteBibliography"/>
        <w:jc w:val="both"/>
        <w:rPr>
          <w:rFonts w:ascii="Times New Roman" w:hAnsi="Times New Roman" w:cs="Times New Roman"/>
          <w:sz w:val="24"/>
          <w:szCs w:val="24"/>
        </w:rPr>
      </w:pPr>
      <w:r w:rsidRPr="001075EB">
        <w:rPr>
          <w:rFonts w:ascii="Times New Roman" w:hAnsi="Times New Roman" w:cs="Times New Roman"/>
          <w:b/>
          <w:sz w:val="24"/>
          <w:szCs w:val="24"/>
        </w:rPr>
        <w:t>Guillard RR, Ryther JH</w:t>
      </w:r>
      <w:r w:rsidRPr="001075EB">
        <w:rPr>
          <w:rFonts w:ascii="Times New Roman" w:hAnsi="Times New Roman" w:cs="Times New Roman"/>
          <w:sz w:val="24"/>
          <w:szCs w:val="24"/>
        </w:rPr>
        <w:t xml:space="preserve">. 1962. Studies of marine planktonic diatoms: I. </w:t>
      </w:r>
      <w:r w:rsidRPr="001075EB">
        <w:rPr>
          <w:rFonts w:ascii="Times New Roman" w:hAnsi="Times New Roman" w:cs="Times New Roman"/>
          <w:i/>
          <w:sz w:val="24"/>
          <w:szCs w:val="24"/>
        </w:rPr>
        <w:t>Cyclotella nana</w:t>
      </w:r>
      <w:r w:rsidRPr="001075EB">
        <w:rPr>
          <w:rFonts w:ascii="Times New Roman" w:hAnsi="Times New Roman" w:cs="Times New Roman"/>
          <w:sz w:val="24"/>
          <w:szCs w:val="24"/>
        </w:rPr>
        <w:t xml:space="preserve"> and </w:t>
      </w:r>
      <w:r w:rsidRPr="001075EB">
        <w:rPr>
          <w:rFonts w:ascii="Times New Roman" w:hAnsi="Times New Roman" w:cs="Times New Roman"/>
          <w:i/>
          <w:sz w:val="24"/>
          <w:szCs w:val="24"/>
        </w:rPr>
        <w:t>Detonula confervacea</w:t>
      </w:r>
      <w:r w:rsidRPr="001075EB">
        <w:rPr>
          <w:rFonts w:ascii="Times New Roman" w:hAnsi="Times New Roman" w:cs="Times New Roman"/>
          <w:sz w:val="24"/>
          <w:szCs w:val="24"/>
        </w:rPr>
        <w:t xml:space="preserve"> (Cleve). CANADIAN JOURNAL OF MICROBIOLOGY </w:t>
      </w:r>
      <w:r w:rsidRPr="001075EB">
        <w:rPr>
          <w:rFonts w:ascii="Times New Roman" w:hAnsi="Times New Roman" w:cs="Times New Roman"/>
          <w:b/>
          <w:sz w:val="24"/>
          <w:szCs w:val="24"/>
        </w:rPr>
        <w:t>8</w:t>
      </w:r>
      <w:r w:rsidRPr="001075EB">
        <w:rPr>
          <w:rFonts w:ascii="Times New Roman" w:hAnsi="Times New Roman" w:cs="Times New Roman"/>
          <w:sz w:val="24"/>
          <w:szCs w:val="24"/>
        </w:rPr>
        <w:t>, 229-239.</w:t>
      </w:r>
    </w:p>
    <w:p w14:paraId="78ADE15B" w14:textId="77777777" w:rsidR="00DB5BD7" w:rsidRPr="001075EB" w:rsidRDefault="00DB5BD7" w:rsidP="00E436C0">
      <w:pPr>
        <w:pStyle w:val="EndNoteBibliography"/>
        <w:jc w:val="both"/>
        <w:rPr>
          <w:rFonts w:ascii="Times New Roman" w:hAnsi="Times New Roman" w:cs="Times New Roman"/>
          <w:sz w:val="24"/>
          <w:szCs w:val="24"/>
        </w:rPr>
      </w:pPr>
      <w:r w:rsidRPr="001075EB">
        <w:rPr>
          <w:rFonts w:ascii="Times New Roman" w:hAnsi="Times New Roman" w:cs="Times New Roman"/>
          <w:b/>
          <w:sz w:val="24"/>
          <w:szCs w:val="24"/>
        </w:rPr>
        <w:t>Huang B, Marchand J, Blanckaert V, Lukomska E, Ulmann L, Wielgosz-Collin G, Rabesaotra V, Moreau B, Bougaran G, Mimouni V, Morant-Manceau A</w:t>
      </w:r>
      <w:r w:rsidRPr="001075EB">
        <w:rPr>
          <w:rFonts w:ascii="Times New Roman" w:hAnsi="Times New Roman" w:cs="Times New Roman"/>
          <w:sz w:val="24"/>
          <w:szCs w:val="24"/>
        </w:rPr>
        <w:t xml:space="preserve">. 2019. Nitrogen and phosphorus limitations induce carbon partitioning and membrane lipid remodelling in the marine diatom </w:t>
      </w:r>
      <w:r w:rsidRPr="001075EB">
        <w:rPr>
          <w:rFonts w:ascii="Times New Roman" w:hAnsi="Times New Roman" w:cs="Times New Roman"/>
          <w:i/>
          <w:sz w:val="24"/>
          <w:szCs w:val="24"/>
        </w:rPr>
        <w:t>Phaeodactylum tricornutum</w:t>
      </w:r>
      <w:r w:rsidRPr="001075EB">
        <w:rPr>
          <w:rFonts w:ascii="Times New Roman" w:hAnsi="Times New Roman" w:cs="Times New Roman"/>
          <w:sz w:val="24"/>
          <w:szCs w:val="24"/>
        </w:rPr>
        <w:t>. European Journal of Phycology, 1-17.</w:t>
      </w:r>
    </w:p>
    <w:p w14:paraId="5173ECB9" w14:textId="77777777" w:rsidR="00DB5BD7" w:rsidRPr="001075EB" w:rsidRDefault="00DB5BD7" w:rsidP="00E436C0">
      <w:pPr>
        <w:pStyle w:val="EndNoteBibliography"/>
        <w:jc w:val="both"/>
        <w:rPr>
          <w:rFonts w:ascii="Times New Roman" w:hAnsi="Times New Roman" w:cs="Times New Roman"/>
          <w:sz w:val="24"/>
          <w:szCs w:val="24"/>
        </w:rPr>
      </w:pPr>
      <w:r w:rsidRPr="001075EB">
        <w:rPr>
          <w:rFonts w:ascii="Times New Roman" w:hAnsi="Times New Roman" w:cs="Times New Roman"/>
          <w:b/>
          <w:sz w:val="24"/>
          <w:szCs w:val="24"/>
        </w:rPr>
        <w:t>Larson TR, Rees TAV</w:t>
      </w:r>
      <w:r w:rsidRPr="001075EB">
        <w:rPr>
          <w:rFonts w:ascii="Times New Roman" w:hAnsi="Times New Roman" w:cs="Times New Roman"/>
          <w:sz w:val="24"/>
          <w:szCs w:val="24"/>
        </w:rPr>
        <w:t xml:space="preserve">. 1996. Changes in cell composition and lipid metabolism mediated by sodium and nitrogen availability in the marine diatom </w:t>
      </w:r>
      <w:r w:rsidRPr="001075EB">
        <w:rPr>
          <w:rFonts w:ascii="Times New Roman" w:hAnsi="Times New Roman" w:cs="Times New Roman"/>
          <w:i/>
          <w:sz w:val="24"/>
          <w:szCs w:val="24"/>
        </w:rPr>
        <w:t>Phaeodactylum tricornutum</w:t>
      </w:r>
      <w:r w:rsidRPr="001075EB">
        <w:rPr>
          <w:rFonts w:ascii="Times New Roman" w:hAnsi="Times New Roman" w:cs="Times New Roman"/>
          <w:sz w:val="24"/>
          <w:szCs w:val="24"/>
        </w:rPr>
        <w:t xml:space="preserve"> (Bacillariophyceae). Journal of Phycology </w:t>
      </w:r>
      <w:r w:rsidRPr="001075EB">
        <w:rPr>
          <w:rFonts w:ascii="Times New Roman" w:hAnsi="Times New Roman" w:cs="Times New Roman"/>
          <w:b/>
          <w:sz w:val="24"/>
          <w:szCs w:val="24"/>
        </w:rPr>
        <w:t>32</w:t>
      </w:r>
      <w:r w:rsidRPr="001075EB">
        <w:rPr>
          <w:rFonts w:ascii="Times New Roman" w:hAnsi="Times New Roman" w:cs="Times New Roman"/>
          <w:sz w:val="24"/>
          <w:szCs w:val="24"/>
        </w:rPr>
        <w:t>, 388-393.</w:t>
      </w:r>
    </w:p>
    <w:p w14:paraId="1D0383D8" w14:textId="77777777" w:rsidR="00DB5BD7" w:rsidRPr="001075EB" w:rsidRDefault="00DB5BD7" w:rsidP="00E436C0">
      <w:pPr>
        <w:pStyle w:val="EndNoteBibliography"/>
        <w:jc w:val="both"/>
        <w:rPr>
          <w:rFonts w:ascii="Times New Roman" w:hAnsi="Times New Roman" w:cs="Times New Roman"/>
          <w:sz w:val="24"/>
          <w:szCs w:val="24"/>
        </w:rPr>
      </w:pPr>
      <w:r w:rsidRPr="001075EB">
        <w:rPr>
          <w:rFonts w:ascii="Times New Roman" w:hAnsi="Times New Roman" w:cs="Times New Roman"/>
          <w:b/>
          <w:sz w:val="24"/>
          <w:szCs w:val="24"/>
        </w:rPr>
        <w:t>Levitan O, Dinamarca J, Zelzion E, Gorbunov MY, Falkowski PG</w:t>
      </w:r>
      <w:r w:rsidRPr="001075EB">
        <w:rPr>
          <w:rFonts w:ascii="Times New Roman" w:hAnsi="Times New Roman" w:cs="Times New Roman"/>
          <w:sz w:val="24"/>
          <w:szCs w:val="24"/>
        </w:rPr>
        <w:t xml:space="preserve">. 2015a. An RNA interference knock-down of nitrate reductase enhances lipid biosynthesis in the diatom </w:t>
      </w:r>
      <w:r w:rsidRPr="001075EB">
        <w:rPr>
          <w:rFonts w:ascii="Times New Roman" w:hAnsi="Times New Roman" w:cs="Times New Roman"/>
          <w:i/>
          <w:sz w:val="24"/>
          <w:szCs w:val="24"/>
        </w:rPr>
        <w:t>Phaeodactylum tricornutum</w:t>
      </w:r>
      <w:r w:rsidRPr="001075EB">
        <w:rPr>
          <w:rFonts w:ascii="Times New Roman" w:hAnsi="Times New Roman" w:cs="Times New Roman"/>
          <w:sz w:val="24"/>
          <w:szCs w:val="24"/>
        </w:rPr>
        <w:t xml:space="preserve">. Plant Journal </w:t>
      </w:r>
      <w:r w:rsidRPr="001075EB">
        <w:rPr>
          <w:rFonts w:ascii="Times New Roman" w:hAnsi="Times New Roman" w:cs="Times New Roman"/>
          <w:b/>
          <w:sz w:val="24"/>
          <w:szCs w:val="24"/>
        </w:rPr>
        <w:t>84</w:t>
      </w:r>
      <w:r w:rsidRPr="001075EB">
        <w:rPr>
          <w:rFonts w:ascii="Times New Roman" w:hAnsi="Times New Roman" w:cs="Times New Roman"/>
          <w:sz w:val="24"/>
          <w:szCs w:val="24"/>
        </w:rPr>
        <w:t>, 963-973.</w:t>
      </w:r>
    </w:p>
    <w:p w14:paraId="64E19B92" w14:textId="77777777" w:rsidR="00DB5BD7" w:rsidRPr="001075EB" w:rsidRDefault="00DB5BD7" w:rsidP="00E436C0">
      <w:pPr>
        <w:pStyle w:val="EndNoteBibliography"/>
        <w:jc w:val="both"/>
        <w:rPr>
          <w:rFonts w:ascii="Times New Roman" w:hAnsi="Times New Roman" w:cs="Times New Roman"/>
          <w:sz w:val="24"/>
          <w:szCs w:val="24"/>
        </w:rPr>
      </w:pPr>
      <w:r w:rsidRPr="001075EB">
        <w:rPr>
          <w:rFonts w:ascii="Times New Roman" w:hAnsi="Times New Roman" w:cs="Times New Roman"/>
          <w:b/>
          <w:sz w:val="24"/>
          <w:szCs w:val="24"/>
        </w:rPr>
        <w:t>Levitan O, Dinamarca J, Zelzion E, Lun DS, Guerra LT, Kim MK, Kim J, Van Mooy BAS, Bhattacharya D, Falkowski PG</w:t>
      </w:r>
      <w:r w:rsidRPr="001075EB">
        <w:rPr>
          <w:rFonts w:ascii="Times New Roman" w:hAnsi="Times New Roman" w:cs="Times New Roman"/>
          <w:sz w:val="24"/>
          <w:szCs w:val="24"/>
        </w:rPr>
        <w:t xml:space="preserve">. 2015b. Remodeling of intermediate metabolism in the diatom  </w:t>
      </w:r>
      <w:r w:rsidRPr="001075EB">
        <w:rPr>
          <w:rFonts w:ascii="Times New Roman" w:hAnsi="Times New Roman" w:cs="Times New Roman"/>
          <w:i/>
          <w:sz w:val="24"/>
          <w:szCs w:val="24"/>
        </w:rPr>
        <w:t>Phaeodactylum tricornutum</w:t>
      </w:r>
      <w:r w:rsidRPr="001075EB">
        <w:rPr>
          <w:rFonts w:ascii="Times New Roman" w:hAnsi="Times New Roman" w:cs="Times New Roman"/>
          <w:sz w:val="24"/>
          <w:szCs w:val="24"/>
        </w:rPr>
        <w:t xml:space="preserve">  under nitrogen stress. Proceedings of the National Academy of Sciences of the United States of America </w:t>
      </w:r>
      <w:r w:rsidRPr="001075EB">
        <w:rPr>
          <w:rFonts w:ascii="Times New Roman" w:hAnsi="Times New Roman" w:cs="Times New Roman"/>
          <w:b/>
          <w:sz w:val="24"/>
          <w:szCs w:val="24"/>
        </w:rPr>
        <w:t>112</w:t>
      </w:r>
      <w:r w:rsidRPr="001075EB">
        <w:rPr>
          <w:rFonts w:ascii="Times New Roman" w:hAnsi="Times New Roman" w:cs="Times New Roman"/>
          <w:sz w:val="24"/>
          <w:szCs w:val="24"/>
        </w:rPr>
        <w:t>, 412-417.</w:t>
      </w:r>
    </w:p>
    <w:p w14:paraId="448B2A5A" w14:textId="77777777" w:rsidR="00DB5BD7" w:rsidRPr="001075EB" w:rsidRDefault="00DB5BD7" w:rsidP="00E436C0">
      <w:pPr>
        <w:pStyle w:val="EndNoteBibliography"/>
        <w:jc w:val="both"/>
        <w:rPr>
          <w:rFonts w:ascii="Times New Roman" w:hAnsi="Times New Roman" w:cs="Times New Roman"/>
          <w:sz w:val="24"/>
          <w:szCs w:val="24"/>
        </w:rPr>
      </w:pPr>
      <w:r w:rsidRPr="001075EB">
        <w:rPr>
          <w:rFonts w:ascii="Times New Roman" w:hAnsi="Times New Roman" w:cs="Times New Roman"/>
          <w:b/>
          <w:sz w:val="24"/>
          <w:szCs w:val="24"/>
        </w:rPr>
        <w:t>Longworth J, Wu DY, Huete-Ortega M, Wright PC, Vaidyanathan S</w:t>
      </w:r>
      <w:r w:rsidRPr="001075EB">
        <w:rPr>
          <w:rFonts w:ascii="Times New Roman" w:hAnsi="Times New Roman" w:cs="Times New Roman"/>
          <w:sz w:val="24"/>
          <w:szCs w:val="24"/>
        </w:rPr>
        <w:t xml:space="preserve">. 2016. Proteome response of </w:t>
      </w:r>
      <w:r w:rsidRPr="001075EB">
        <w:rPr>
          <w:rFonts w:ascii="Times New Roman" w:hAnsi="Times New Roman" w:cs="Times New Roman"/>
          <w:i/>
          <w:sz w:val="24"/>
          <w:szCs w:val="24"/>
        </w:rPr>
        <w:t>Phaeodactylum tricornutum</w:t>
      </w:r>
      <w:r w:rsidRPr="001075EB">
        <w:rPr>
          <w:rFonts w:ascii="Times New Roman" w:hAnsi="Times New Roman" w:cs="Times New Roman"/>
          <w:sz w:val="24"/>
          <w:szCs w:val="24"/>
        </w:rPr>
        <w:t xml:space="preserve">, during lipid accumulation induced by nitrogen depletion. Algal Research - Biomass Biofuels and Bioproducts </w:t>
      </w:r>
      <w:r w:rsidRPr="001075EB">
        <w:rPr>
          <w:rFonts w:ascii="Times New Roman" w:hAnsi="Times New Roman" w:cs="Times New Roman"/>
          <w:b/>
          <w:sz w:val="24"/>
          <w:szCs w:val="24"/>
        </w:rPr>
        <w:t>18</w:t>
      </w:r>
      <w:r w:rsidRPr="001075EB">
        <w:rPr>
          <w:rFonts w:ascii="Times New Roman" w:hAnsi="Times New Roman" w:cs="Times New Roman"/>
          <w:sz w:val="24"/>
          <w:szCs w:val="24"/>
        </w:rPr>
        <w:t>, 213-224.</w:t>
      </w:r>
    </w:p>
    <w:p w14:paraId="14344A73" w14:textId="77777777" w:rsidR="00DB5BD7" w:rsidRPr="001075EB" w:rsidRDefault="00DB5BD7" w:rsidP="00E436C0">
      <w:pPr>
        <w:pStyle w:val="EndNoteBibliography"/>
        <w:jc w:val="both"/>
        <w:rPr>
          <w:rFonts w:ascii="Times New Roman" w:hAnsi="Times New Roman" w:cs="Times New Roman"/>
          <w:sz w:val="24"/>
          <w:szCs w:val="24"/>
        </w:rPr>
      </w:pPr>
      <w:r w:rsidRPr="001075EB">
        <w:rPr>
          <w:rFonts w:ascii="Times New Roman" w:hAnsi="Times New Roman" w:cs="Times New Roman"/>
          <w:b/>
          <w:sz w:val="24"/>
          <w:szCs w:val="24"/>
        </w:rPr>
        <w:t>Matthijs M, Fabris M, Broos S, Vyverman W, Goossens A</w:t>
      </w:r>
      <w:r w:rsidRPr="001075EB">
        <w:rPr>
          <w:rFonts w:ascii="Times New Roman" w:hAnsi="Times New Roman" w:cs="Times New Roman"/>
          <w:sz w:val="24"/>
          <w:szCs w:val="24"/>
        </w:rPr>
        <w:t xml:space="preserve">. 2016. Profiling of the early nitrogen stress response in the diatom </w:t>
      </w:r>
      <w:r w:rsidRPr="001075EB">
        <w:rPr>
          <w:rFonts w:ascii="Times New Roman" w:hAnsi="Times New Roman" w:cs="Times New Roman"/>
          <w:i/>
          <w:sz w:val="24"/>
          <w:szCs w:val="24"/>
        </w:rPr>
        <w:t xml:space="preserve">Phaeodactylum tricornutum </w:t>
      </w:r>
      <w:r w:rsidRPr="001075EB">
        <w:rPr>
          <w:rFonts w:ascii="Times New Roman" w:hAnsi="Times New Roman" w:cs="Times New Roman"/>
          <w:sz w:val="24"/>
          <w:szCs w:val="24"/>
        </w:rPr>
        <w:t xml:space="preserve">reveals a novel family of RING-domain transcription factors. Plant Physiology </w:t>
      </w:r>
      <w:r w:rsidRPr="001075EB">
        <w:rPr>
          <w:rFonts w:ascii="Times New Roman" w:hAnsi="Times New Roman" w:cs="Times New Roman"/>
          <w:b/>
          <w:sz w:val="24"/>
          <w:szCs w:val="24"/>
        </w:rPr>
        <w:t>170</w:t>
      </w:r>
      <w:r w:rsidRPr="001075EB">
        <w:rPr>
          <w:rFonts w:ascii="Times New Roman" w:hAnsi="Times New Roman" w:cs="Times New Roman"/>
          <w:sz w:val="24"/>
          <w:szCs w:val="24"/>
        </w:rPr>
        <w:t>, 489-498.</w:t>
      </w:r>
    </w:p>
    <w:p w14:paraId="217539F3" w14:textId="77777777" w:rsidR="00DB5BD7" w:rsidRPr="001075EB" w:rsidRDefault="00DB5BD7" w:rsidP="00E436C0">
      <w:pPr>
        <w:pStyle w:val="EndNoteBibliography"/>
        <w:jc w:val="both"/>
        <w:rPr>
          <w:rFonts w:ascii="Times New Roman" w:hAnsi="Times New Roman" w:cs="Times New Roman"/>
          <w:sz w:val="24"/>
          <w:szCs w:val="24"/>
        </w:rPr>
      </w:pPr>
      <w:r w:rsidRPr="001075EB">
        <w:rPr>
          <w:rFonts w:ascii="Times New Roman" w:hAnsi="Times New Roman" w:cs="Times New Roman"/>
          <w:b/>
          <w:sz w:val="24"/>
          <w:szCs w:val="24"/>
        </w:rPr>
        <w:t>Matthijs M, Fabris M, Obata T, Foubert I, Franco-Zorrilla JM, Solano R, Fernie AR, Vyverman W, Goossens A</w:t>
      </w:r>
      <w:r w:rsidRPr="001075EB">
        <w:rPr>
          <w:rFonts w:ascii="Times New Roman" w:hAnsi="Times New Roman" w:cs="Times New Roman"/>
          <w:sz w:val="24"/>
          <w:szCs w:val="24"/>
        </w:rPr>
        <w:t xml:space="preserve">. 2017. The transcription factor bZIP14 regulates the TCA cycle in the diatom </w:t>
      </w:r>
      <w:r w:rsidRPr="001075EB">
        <w:rPr>
          <w:rFonts w:ascii="Times New Roman" w:hAnsi="Times New Roman" w:cs="Times New Roman"/>
          <w:i/>
          <w:sz w:val="24"/>
          <w:szCs w:val="24"/>
        </w:rPr>
        <w:t>Phaeodactylum tricornutum</w:t>
      </w:r>
      <w:r w:rsidRPr="001075EB">
        <w:rPr>
          <w:rFonts w:ascii="Times New Roman" w:hAnsi="Times New Roman" w:cs="Times New Roman"/>
          <w:sz w:val="24"/>
          <w:szCs w:val="24"/>
        </w:rPr>
        <w:t xml:space="preserve">. Embo Journal </w:t>
      </w:r>
      <w:r w:rsidRPr="001075EB">
        <w:rPr>
          <w:rFonts w:ascii="Times New Roman" w:hAnsi="Times New Roman" w:cs="Times New Roman"/>
          <w:b/>
          <w:sz w:val="24"/>
          <w:szCs w:val="24"/>
        </w:rPr>
        <w:t>36</w:t>
      </w:r>
      <w:r w:rsidRPr="001075EB">
        <w:rPr>
          <w:rFonts w:ascii="Times New Roman" w:hAnsi="Times New Roman" w:cs="Times New Roman"/>
          <w:sz w:val="24"/>
          <w:szCs w:val="24"/>
        </w:rPr>
        <w:t>, 1559-1576.</w:t>
      </w:r>
    </w:p>
    <w:p w14:paraId="44819285" w14:textId="77777777" w:rsidR="00DB5BD7" w:rsidRPr="001075EB" w:rsidRDefault="00DB5BD7" w:rsidP="00E436C0">
      <w:pPr>
        <w:pStyle w:val="EndNoteBibliography"/>
        <w:jc w:val="both"/>
        <w:rPr>
          <w:rFonts w:ascii="Times New Roman" w:hAnsi="Times New Roman" w:cs="Times New Roman"/>
          <w:sz w:val="24"/>
          <w:szCs w:val="24"/>
        </w:rPr>
      </w:pPr>
      <w:r w:rsidRPr="001075EB">
        <w:rPr>
          <w:rFonts w:ascii="Times New Roman" w:hAnsi="Times New Roman" w:cs="Times New Roman"/>
          <w:b/>
          <w:sz w:val="24"/>
          <w:szCs w:val="24"/>
        </w:rPr>
        <w:t>Popko J, Herrfurth C, Feussner K, Ischebeck T, Iven T, Haslam R, Hamilton M, Sayanova O, Napier J, Khozin-Goldberg I, Feussner I</w:t>
      </w:r>
      <w:r w:rsidRPr="001075EB">
        <w:rPr>
          <w:rFonts w:ascii="Times New Roman" w:hAnsi="Times New Roman" w:cs="Times New Roman"/>
          <w:sz w:val="24"/>
          <w:szCs w:val="24"/>
        </w:rPr>
        <w:t xml:space="preserve">. 2016. Metabolome analysis reveals betaine lipids as major source for triglyceride formation, and the accumulation of sedoheptulose during nitrogen-starvation of </w:t>
      </w:r>
      <w:r w:rsidRPr="001075EB">
        <w:rPr>
          <w:rFonts w:ascii="Times New Roman" w:hAnsi="Times New Roman" w:cs="Times New Roman"/>
          <w:i/>
          <w:sz w:val="24"/>
          <w:szCs w:val="24"/>
        </w:rPr>
        <w:t>Phaeodactylum tricornutum</w:t>
      </w:r>
      <w:r w:rsidRPr="001075EB">
        <w:rPr>
          <w:rFonts w:ascii="Times New Roman" w:hAnsi="Times New Roman" w:cs="Times New Roman"/>
          <w:sz w:val="24"/>
          <w:szCs w:val="24"/>
        </w:rPr>
        <w:t xml:space="preserve">. Plos One </w:t>
      </w:r>
      <w:r w:rsidRPr="001075EB">
        <w:rPr>
          <w:rFonts w:ascii="Times New Roman" w:hAnsi="Times New Roman" w:cs="Times New Roman"/>
          <w:b/>
          <w:sz w:val="24"/>
          <w:szCs w:val="24"/>
        </w:rPr>
        <w:t>11</w:t>
      </w:r>
      <w:r w:rsidRPr="001075EB">
        <w:rPr>
          <w:rFonts w:ascii="Times New Roman" w:hAnsi="Times New Roman" w:cs="Times New Roman"/>
          <w:sz w:val="24"/>
          <w:szCs w:val="24"/>
        </w:rPr>
        <w:t>.</w:t>
      </w:r>
    </w:p>
    <w:p w14:paraId="35FD0583" w14:textId="77777777" w:rsidR="00DB5BD7" w:rsidRPr="001075EB" w:rsidRDefault="00DB5BD7" w:rsidP="00E436C0">
      <w:pPr>
        <w:pStyle w:val="EndNoteBibliography"/>
        <w:jc w:val="both"/>
        <w:rPr>
          <w:rFonts w:ascii="Times New Roman" w:hAnsi="Times New Roman" w:cs="Times New Roman"/>
          <w:sz w:val="24"/>
          <w:szCs w:val="24"/>
        </w:rPr>
      </w:pPr>
      <w:r w:rsidRPr="001075EB">
        <w:rPr>
          <w:rFonts w:ascii="Times New Roman" w:hAnsi="Times New Roman" w:cs="Times New Roman"/>
          <w:b/>
          <w:sz w:val="24"/>
          <w:szCs w:val="24"/>
        </w:rPr>
        <w:t>Provasoli L, McLaughlin JJA, Droop MR</w:t>
      </w:r>
      <w:r w:rsidRPr="001075EB">
        <w:rPr>
          <w:rFonts w:ascii="Times New Roman" w:hAnsi="Times New Roman" w:cs="Times New Roman"/>
          <w:sz w:val="24"/>
          <w:szCs w:val="24"/>
        </w:rPr>
        <w:t xml:space="preserve">. 1957. The development of artificial media for marine algae. Archiv fur Mikrobiologie </w:t>
      </w:r>
      <w:r w:rsidRPr="001075EB">
        <w:rPr>
          <w:rFonts w:ascii="Times New Roman" w:hAnsi="Times New Roman" w:cs="Times New Roman"/>
          <w:b/>
          <w:sz w:val="24"/>
          <w:szCs w:val="24"/>
        </w:rPr>
        <w:t>25</w:t>
      </w:r>
      <w:r w:rsidRPr="001075EB">
        <w:rPr>
          <w:rFonts w:ascii="Times New Roman" w:hAnsi="Times New Roman" w:cs="Times New Roman"/>
          <w:sz w:val="24"/>
          <w:szCs w:val="24"/>
        </w:rPr>
        <w:t>, 392-428.</w:t>
      </w:r>
    </w:p>
    <w:p w14:paraId="43529465" w14:textId="77777777" w:rsidR="00DB5BD7" w:rsidRPr="001075EB" w:rsidRDefault="00DB5BD7" w:rsidP="00E436C0">
      <w:pPr>
        <w:pStyle w:val="EndNoteBibliography"/>
        <w:jc w:val="both"/>
        <w:rPr>
          <w:rFonts w:ascii="Times New Roman" w:hAnsi="Times New Roman" w:cs="Times New Roman"/>
          <w:sz w:val="24"/>
          <w:szCs w:val="24"/>
        </w:rPr>
      </w:pPr>
      <w:r w:rsidRPr="001075EB">
        <w:rPr>
          <w:rFonts w:ascii="Times New Roman" w:hAnsi="Times New Roman" w:cs="Times New Roman"/>
          <w:b/>
          <w:sz w:val="24"/>
          <w:szCs w:val="24"/>
        </w:rPr>
        <w:lastRenderedPageBreak/>
        <w:t>Remmers IM, D'Adamo S, Martens DE, de Vos RCH, Mumm R, America AHP, Cordewener JHG, Bakker LV, Peters SA, Wijffels RH, Lamers PP</w:t>
      </w:r>
      <w:r w:rsidRPr="001075EB">
        <w:rPr>
          <w:rFonts w:ascii="Times New Roman" w:hAnsi="Times New Roman" w:cs="Times New Roman"/>
          <w:sz w:val="24"/>
          <w:szCs w:val="24"/>
        </w:rPr>
        <w:t xml:space="preserve">. 2018. Orchestration of transcriptome, proteome and metabolome in the diatom </w:t>
      </w:r>
      <w:r w:rsidRPr="001075EB">
        <w:rPr>
          <w:rFonts w:ascii="Times New Roman" w:hAnsi="Times New Roman" w:cs="Times New Roman"/>
          <w:i/>
          <w:sz w:val="24"/>
          <w:szCs w:val="24"/>
        </w:rPr>
        <w:t xml:space="preserve">Phaeodactylum tricornutum </w:t>
      </w:r>
      <w:r w:rsidRPr="001075EB">
        <w:rPr>
          <w:rFonts w:ascii="Times New Roman" w:hAnsi="Times New Roman" w:cs="Times New Roman"/>
          <w:sz w:val="24"/>
          <w:szCs w:val="24"/>
        </w:rPr>
        <w:t xml:space="preserve">during nitrogen limitation. Algal Research </w:t>
      </w:r>
      <w:r w:rsidRPr="001075EB">
        <w:rPr>
          <w:rFonts w:ascii="Times New Roman" w:hAnsi="Times New Roman" w:cs="Times New Roman"/>
          <w:b/>
          <w:sz w:val="24"/>
          <w:szCs w:val="24"/>
        </w:rPr>
        <w:t>35</w:t>
      </w:r>
      <w:r w:rsidRPr="001075EB">
        <w:rPr>
          <w:rFonts w:ascii="Times New Roman" w:hAnsi="Times New Roman" w:cs="Times New Roman"/>
          <w:sz w:val="24"/>
          <w:szCs w:val="24"/>
        </w:rPr>
        <w:t>, 33-49.</w:t>
      </w:r>
    </w:p>
    <w:p w14:paraId="41DDD662" w14:textId="77777777" w:rsidR="00DB5BD7" w:rsidRPr="001075EB" w:rsidRDefault="00DB5BD7" w:rsidP="00E436C0">
      <w:pPr>
        <w:pStyle w:val="EndNoteBibliography"/>
        <w:jc w:val="both"/>
        <w:rPr>
          <w:rFonts w:ascii="Times New Roman" w:hAnsi="Times New Roman" w:cs="Times New Roman"/>
          <w:sz w:val="24"/>
          <w:szCs w:val="24"/>
        </w:rPr>
      </w:pPr>
      <w:r w:rsidRPr="001075EB">
        <w:rPr>
          <w:rFonts w:ascii="Times New Roman" w:hAnsi="Times New Roman" w:cs="Times New Roman"/>
          <w:b/>
          <w:sz w:val="24"/>
          <w:szCs w:val="24"/>
        </w:rPr>
        <w:t>Remmers IM, Martens DE, Wijffels RH, Lamers PP</w:t>
      </w:r>
      <w:r w:rsidRPr="001075EB">
        <w:rPr>
          <w:rFonts w:ascii="Times New Roman" w:hAnsi="Times New Roman" w:cs="Times New Roman"/>
          <w:sz w:val="24"/>
          <w:szCs w:val="24"/>
        </w:rPr>
        <w:t xml:space="preserve">. 2017. Dynamics of triacylglycerol and EPA production in </w:t>
      </w:r>
      <w:r w:rsidRPr="001075EB">
        <w:rPr>
          <w:rFonts w:ascii="Times New Roman" w:hAnsi="Times New Roman" w:cs="Times New Roman"/>
          <w:i/>
          <w:sz w:val="24"/>
          <w:szCs w:val="24"/>
        </w:rPr>
        <w:t>Phaeodactylum tricornutum</w:t>
      </w:r>
      <w:r w:rsidRPr="001075EB">
        <w:rPr>
          <w:rFonts w:ascii="Times New Roman" w:hAnsi="Times New Roman" w:cs="Times New Roman"/>
          <w:sz w:val="24"/>
          <w:szCs w:val="24"/>
        </w:rPr>
        <w:t xml:space="preserve"> under nitrogen starvation at different light intensities. Plos One </w:t>
      </w:r>
      <w:r w:rsidRPr="001075EB">
        <w:rPr>
          <w:rFonts w:ascii="Times New Roman" w:hAnsi="Times New Roman" w:cs="Times New Roman"/>
          <w:b/>
          <w:sz w:val="24"/>
          <w:szCs w:val="24"/>
        </w:rPr>
        <w:t>12</w:t>
      </w:r>
      <w:r w:rsidRPr="001075EB">
        <w:rPr>
          <w:rFonts w:ascii="Times New Roman" w:hAnsi="Times New Roman" w:cs="Times New Roman"/>
          <w:sz w:val="24"/>
          <w:szCs w:val="24"/>
        </w:rPr>
        <w:t>, e0175630.</w:t>
      </w:r>
    </w:p>
    <w:p w14:paraId="7A5B165F" w14:textId="77777777" w:rsidR="00DB5BD7" w:rsidRPr="001075EB" w:rsidRDefault="00DB5BD7" w:rsidP="00E436C0">
      <w:pPr>
        <w:pStyle w:val="EndNoteBibliography"/>
        <w:jc w:val="both"/>
        <w:rPr>
          <w:rFonts w:ascii="Times New Roman" w:hAnsi="Times New Roman" w:cs="Times New Roman"/>
          <w:sz w:val="24"/>
          <w:szCs w:val="24"/>
        </w:rPr>
      </w:pPr>
      <w:r w:rsidRPr="001075EB">
        <w:rPr>
          <w:rFonts w:ascii="Times New Roman" w:hAnsi="Times New Roman" w:cs="Times New Roman"/>
          <w:b/>
          <w:sz w:val="24"/>
          <w:szCs w:val="24"/>
        </w:rPr>
        <w:t>Roháček K, Soukupova J, Bartak M</w:t>
      </w:r>
      <w:r w:rsidRPr="001075EB">
        <w:rPr>
          <w:rFonts w:ascii="Times New Roman" w:hAnsi="Times New Roman" w:cs="Times New Roman"/>
          <w:sz w:val="24"/>
          <w:szCs w:val="24"/>
        </w:rPr>
        <w:t xml:space="preserve">. 2008. Chlorophyll fluorescence: A wonderful tool to study plant physiology and plant stress. In: Schoefs B, ed. </w:t>
      </w:r>
      <w:r w:rsidRPr="001075EB">
        <w:rPr>
          <w:rFonts w:ascii="Times New Roman" w:hAnsi="Times New Roman" w:cs="Times New Roman"/>
          <w:i/>
          <w:sz w:val="24"/>
          <w:szCs w:val="24"/>
        </w:rPr>
        <w:t>Plant Cell Organelles – Selected Topics</w:t>
      </w:r>
      <w:r w:rsidRPr="001075EB">
        <w:rPr>
          <w:rFonts w:ascii="Times New Roman" w:hAnsi="Times New Roman" w:cs="Times New Roman"/>
          <w:sz w:val="24"/>
          <w:szCs w:val="24"/>
        </w:rPr>
        <w:t>. Trivandrum: Research Signpost, 251-284.</w:t>
      </w:r>
    </w:p>
    <w:p w14:paraId="6B5D64DC" w14:textId="77777777" w:rsidR="00DB5BD7" w:rsidRPr="001075EB" w:rsidRDefault="00DB5BD7" w:rsidP="00E436C0">
      <w:pPr>
        <w:pStyle w:val="EndNoteBibliography"/>
        <w:jc w:val="both"/>
        <w:rPr>
          <w:rFonts w:ascii="Times New Roman" w:hAnsi="Times New Roman" w:cs="Times New Roman"/>
          <w:sz w:val="24"/>
          <w:szCs w:val="24"/>
        </w:rPr>
      </w:pPr>
      <w:r w:rsidRPr="001075EB">
        <w:rPr>
          <w:rFonts w:ascii="Times New Roman" w:hAnsi="Times New Roman" w:cs="Times New Roman"/>
          <w:b/>
          <w:sz w:val="24"/>
          <w:szCs w:val="24"/>
        </w:rPr>
        <w:t>Smith SR, Dupont CL, McCarthy JK, Broddrick JT, Oborník M, Horák A, Füssy Z, Cihlář J, Kleessen S, Zheng H, McCrow JP, Hixson KK, Araújo WL, Nunes-Nesi A, Fernie A, Nikoloski Z, Palsson BO, Allen AE</w:t>
      </w:r>
      <w:r w:rsidRPr="001075EB">
        <w:rPr>
          <w:rFonts w:ascii="Times New Roman" w:hAnsi="Times New Roman" w:cs="Times New Roman"/>
          <w:sz w:val="24"/>
          <w:szCs w:val="24"/>
        </w:rPr>
        <w:t xml:space="preserve">. 2019. Evolution and regulation of nitrogen flux through compartmentalized metabolic networks in a marine diatom. Nature Communications </w:t>
      </w:r>
      <w:r w:rsidRPr="001075EB">
        <w:rPr>
          <w:rFonts w:ascii="Times New Roman" w:hAnsi="Times New Roman" w:cs="Times New Roman"/>
          <w:b/>
          <w:sz w:val="24"/>
          <w:szCs w:val="24"/>
        </w:rPr>
        <w:t>10</w:t>
      </w:r>
      <w:r w:rsidRPr="001075EB">
        <w:rPr>
          <w:rFonts w:ascii="Times New Roman" w:hAnsi="Times New Roman" w:cs="Times New Roman"/>
          <w:sz w:val="24"/>
          <w:szCs w:val="24"/>
        </w:rPr>
        <w:t>, article #4552.</w:t>
      </w:r>
    </w:p>
    <w:p w14:paraId="29269483" w14:textId="77777777" w:rsidR="00DB5BD7" w:rsidRPr="001075EB" w:rsidRDefault="00DB5BD7" w:rsidP="00E436C0">
      <w:pPr>
        <w:pStyle w:val="EndNoteBibliography"/>
        <w:jc w:val="both"/>
        <w:rPr>
          <w:rFonts w:ascii="Times New Roman" w:hAnsi="Times New Roman" w:cs="Times New Roman"/>
          <w:sz w:val="24"/>
          <w:szCs w:val="24"/>
        </w:rPr>
      </w:pPr>
      <w:r w:rsidRPr="001075EB">
        <w:rPr>
          <w:rFonts w:ascii="Times New Roman" w:hAnsi="Times New Roman" w:cs="Times New Roman"/>
          <w:b/>
          <w:sz w:val="24"/>
          <w:szCs w:val="24"/>
        </w:rPr>
        <w:t>Valenzuela J, Mazurie A, Carlson RP, Gerlach R, Cooksey KE, Peyton BM, Fields MW</w:t>
      </w:r>
      <w:r w:rsidRPr="001075EB">
        <w:rPr>
          <w:rFonts w:ascii="Times New Roman" w:hAnsi="Times New Roman" w:cs="Times New Roman"/>
          <w:sz w:val="24"/>
          <w:szCs w:val="24"/>
        </w:rPr>
        <w:t xml:space="preserve">. 2012. Potential role of multiple carbon fixation pathways during lipid accumulation in </w:t>
      </w:r>
      <w:r w:rsidRPr="001075EB">
        <w:rPr>
          <w:rFonts w:ascii="Times New Roman" w:hAnsi="Times New Roman" w:cs="Times New Roman"/>
          <w:i/>
          <w:sz w:val="24"/>
          <w:szCs w:val="24"/>
        </w:rPr>
        <w:t>Phaeodactylum tricornutum</w:t>
      </w:r>
      <w:r w:rsidRPr="001075EB">
        <w:rPr>
          <w:rFonts w:ascii="Times New Roman" w:hAnsi="Times New Roman" w:cs="Times New Roman"/>
          <w:sz w:val="24"/>
          <w:szCs w:val="24"/>
        </w:rPr>
        <w:t xml:space="preserve">. Biotechnology for Biofuels </w:t>
      </w:r>
      <w:r w:rsidRPr="001075EB">
        <w:rPr>
          <w:rFonts w:ascii="Times New Roman" w:hAnsi="Times New Roman" w:cs="Times New Roman"/>
          <w:b/>
          <w:sz w:val="24"/>
          <w:szCs w:val="24"/>
        </w:rPr>
        <w:t>5</w:t>
      </w:r>
      <w:r w:rsidRPr="001075EB">
        <w:rPr>
          <w:rFonts w:ascii="Times New Roman" w:hAnsi="Times New Roman" w:cs="Times New Roman"/>
          <w:sz w:val="24"/>
          <w:szCs w:val="24"/>
        </w:rPr>
        <w:t>, 40.</w:t>
      </w:r>
    </w:p>
    <w:p w14:paraId="3A1BDF5E" w14:textId="77777777" w:rsidR="00DB5BD7" w:rsidRPr="001075EB" w:rsidRDefault="00DB5BD7" w:rsidP="00E436C0">
      <w:pPr>
        <w:pStyle w:val="EndNoteBibliography"/>
        <w:jc w:val="both"/>
        <w:rPr>
          <w:rFonts w:ascii="Times New Roman" w:hAnsi="Times New Roman" w:cs="Times New Roman"/>
          <w:sz w:val="24"/>
          <w:szCs w:val="24"/>
        </w:rPr>
      </w:pPr>
      <w:r w:rsidRPr="001075EB">
        <w:rPr>
          <w:rFonts w:ascii="Times New Roman" w:hAnsi="Times New Roman" w:cs="Times New Roman"/>
          <w:b/>
          <w:sz w:val="24"/>
          <w:szCs w:val="24"/>
        </w:rPr>
        <w:t>Walne PR</w:t>
      </w:r>
      <w:r w:rsidRPr="001075EB">
        <w:rPr>
          <w:rFonts w:ascii="Times New Roman" w:hAnsi="Times New Roman" w:cs="Times New Roman"/>
          <w:sz w:val="24"/>
          <w:szCs w:val="24"/>
        </w:rPr>
        <w:t xml:space="preserve">. 1966. Experiments in the large-scale culture of the larvae of </w:t>
      </w:r>
      <w:r w:rsidRPr="001075EB">
        <w:rPr>
          <w:rFonts w:ascii="Times New Roman" w:hAnsi="Times New Roman" w:cs="Times New Roman"/>
          <w:i/>
          <w:sz w:val="24"/>
          <w:szCs w:val="24"/>
        </w:rPr>
        <w:t>Ostrea edulis</w:t>
      </w:r>
      <w:r w:rsidRPr="001075EB">
        <w:rPr>
          <w:rFonts w:ascii="Times New Roman" w:hAnsi="Times New Roman" w:cs="Times New Roman"/>
          <w:sz w:val="24"/>
          <w:szCs w:val="24"/>
        </w:rPr>
        <w:t xml:space="preserve"> L. Fishery Investigations </w:t>
      </w:r>
      <w:r w:rsidRPr="001075EB">
        <w:rPr>
          <w:rFonts w:ascii="Times New Roman" w:hAnsi="Times New Roman" w:cs="Times New Roman"/>
          <w:b/>
          <w:sz w:val="24"/>
          <w:szCs w:val="24"/>
        </w:rPr>
        <w:t>25</w:t>
      </w:r>
      <w:r w:rsidRPr="001075EB">
        <w:rPr>
          <w:rFonts w:ascii="Times New Roman" w:hAnsi="Times New Roman" w:cs="Times New Roman"/>
          <w:sz w:val="24"/>
          <w:szCs w:val="24"/>
        </w:rPr>
        <w:t>, 1-55.</w:t>
      </w:r>
    </w:p>
    <w:p w14:paraId="1A53F6FC" w14:textId="77777777" w:rsidR="00DB5BD7" w:rsidRPr="001075EB" w:rsidRDefault="00DB5BD7" w:rsidP="00E436C0">
      <w:pPr>
        <w:pStyle w:val="EndNoteBibliography"/>
        <w:jc w:val="both"/>
        <w:rPr>
          <w:rFonts w:ascii="Times New Roman" w:hAnsi="Times New Roman" w:cs="Times New Roman"/>
          <w:sz w:val="24"/>
          <w:szCs w:val="24"/>
        </w:rPr>
      </w:pPr>
      <w:r w:rsidRPr="001075EB">
        <w:rPr>
          <w:rFonts w:ascii="Times New Roman" w:hAnsi="Times New Roman" w:cs="Times New Roman"/>
          <w:b/>
          <w:sz w:val="24"/>
          <w:szCs w:val="24"/>
        </w:rPr>
        <w:t>Wang X, Fosse HK, Li K, Chauton MS, Vadstein O, Reitan KI</w:t>
      </w:r>
      <w:r w:rsidRPr="001075EB">
        <w:rPr>
          <w:rFonts w:ascii="Times New Roman" w:hAnsi="Times New Roman" w:cs="Times New Roman"/>
          <w:sz w:val="24"/>
          <w:szCs w:val="24"/>
        </w:rPr>
        <w:t xml:space="preserve">. 2019. Influence of nitrogen limitation on lipid accumulation and EPA and DHA content in four marine microalgae for possible use in aquafeed. Frontiers in Marine Science </w:t>
      </w:r>
      <w:r w:rsidRPr="001075EB">
        <w:rPr>
          <w:rFonts w:ascii="Times New Roman" w:hAnsi="Times New Roman" w:cs="Times New Roman"/>
          <w:b/>
          <w:sz w:val="24"/>
          <w:szCs w:val="24"/>
        </w:rPr>
        <w:t>6</w:t>
      </w:r>
      <w:r w:rsidRPr="001075EB">
        <w:rPr>
          <w:rFonts w:ascii="Times New Roman" w:hAnsi="Times New Roman" w:cs="Times New Roman"/>
          <w:sz w:val="24"/>
          <w:szCs w:val="24"/>
        </w:rPr>
        <w:t>, article #95.</w:t>
      </w:r>
    </w:p>
    <w:p w14:paraId="07DEE9E6" w14:textId="77777777" w:rsidR="00DB5BD7" w:rsidRPr="001075EB" w:rsidRDefault="00DB5BD7" w:rsidP="00E436C0">
      <w:pPr>
        <w:pStyle w:val="EndNoteBibliography"/>
        <w:jc w:val="both"/>
        <w:rPr>
          <w:rFonts w:ascii="Times New Roman" w:hAnsi="Times New Roman" w:cs="Times New Roman"/>
          <w:sz w:val="24"/>
          <w:szCs w:val="24"/>
        </w:rPr>
      </w:pPr>
      <w:r w:rsidRPr="001075EB">
        <w:rPr>
          <w:rFonts w:ascii="Times New Roman" w:hAnsi="Times New Roman" w:cs="Times New Roman"/>
          <w:b/>
          <w:sz w:val="24"/>
          <w:szCs w:val="24"/>
        </w:rPr>
        <w:t>Yang Z-K, Niu YF, Ma YH, Xue J, Zhang MH, Yang WD, Liu JS, Lu SH, Guan Y, Li HY</w:t>
      </w:r>
      <w:r w:rsidRPr="001075EB">
        <w:rPr>
          <w:rFonts w:ascii="Times New Roman" w:hAnsi="Times New Roman" w:cs="Times New Roman"/>
          <w:sz w:val="24"/>
          <w:szCs w:val="24"/>
        </w:rPr>
        <w:t xml:space="preserve">. 2013. Molecular and cellular mechanisms of neutral lipid accumulation in diatom following nitrogen deprivation. Biotechnology for Biofuels </w:t>
      </w:r>
      <w:r w:rsidRPr="001075EB">
        <w:rPr>
          <w:rFonts w:ascii="Times New Roman" w:hAnsi="Times New Roman" w:cs="Times New Roman"/>
          <w:b/>
          <w:sz w:val="24"/>
          <w:szCs w:val="24"/>
        </w:rPr>
        <w:t>6</w:t>
      </w:r>
      <w:r w:rsidRPr="001075EB">
        <w:rPr>
          <w:rFonts w:ascii="Times New Roman" w:hAnsi="Times New Roman" w:cs="Times New Roman"/>
          <w:sz w:val="24"/>
          <w:szCs w:val="24"/>
        </w:rPr>
        <w:t>, 67.</w:t>
      </w:r>
    </w:p>
    <w:p w14:paraId="2E13B896" w14:textId="77777777" w:rsidR="00DB5BD7" w:rsidRPr="001075EB" w:rsidRDefault="00DB5BD7" w:rsidP="00E436C0">
      <w:pPr>
        <w:pStyle w:val="EndNoteBibliography"/>
        <w:jc w:val="both"/>
        <w:rPr>
          <w:rFonts w:ascii="Times New Roman" w:hAnsi="Times New Roman" w:cs="Times New Roman"/>
          <w:sz w:val="24"/>
          <w:szCs w:val="24"/>
        </w:rPr>
      </w:pPr>
      <w:r w:rsidRPr="001075EB">
        <w:rPr>
          <w:rFonts w:ascii="Times New Roman" w:hAnsi="Times New Roman" w:cs="Times New Roman"/>
          <w:b/>
          <w:sz w:val="24"/>
          <w:szCs w:val="24"/>
        </w:rPr>
        <w:t>Yodsuwan N, Sawayama S, Sirisansaneeyakul S</w:t>
      </w:r>
      <w:r w:rsidRPr="001075EB">
        <w:rPr>
          <w:rFonts w:ascii="Times New Roman" w:hAnsi="Times New Roman" w:cs="Times New Roman"/>
          <w:sz w:val="24"/>
          <w:szCs w:val="24"/>
        </w:rPr>
        <w:t xml:space="preserve">. 2017. Effect of nitrogen concentration on growth, lipid production and fatty acid profiles of the marine diatom </w:t>
      </w:r>
      <w:r w:rsidRPr="001075EB">
        <w:rPr>
          <w:rFonts w:ascii="Times New Roman" w:hAnsi="Times New Roman" w:cs="Times New Roman"/>
          <w:i/>
          <w:sz w:val="24"/>
          <w:szCs w:val="24"/>
        </w:rPr>
        <w:t>Phaeodactylum tricornutum</w:t>
      </w:r>
      <w:r w:rsidRPr="001075EB">
        <w:rPr>
          <w:rFonts w:ascii="Times New Roman" w:hAnsi="Times New Roman" w:cs="Times New Roman"/>
          <w:sz w:val="24"/>
          <w:szCs w:val="24"/>
        </w:rPr>
        <w:t xml:space="preserve">. Agriculture and Natural Resources </w:t>
      </w:r>
      <w:r w:rsidRPr="001075EB">
        <w:rPr>
          <w:rFonts w:ascii="Times New Roman" w:hAnsi="Times New Roman" w:cs="Times New Roman"/>
          <w:b/>
          <w:sz w:val="24"/>
          <w:szCs w:val="24"/>
        </w:rPr>
        <w:t>51</w:t>
      </w:r>
      <w:r w:rsidRPr="001075EB">
        <w:rPr>
          <w:rFonts w:ascii="Times New Roman" w:hAnsi="Times New Roman" w:cs="Times New Roman"/>
          <w:sz w:val="24"/>
          <w:szCs w:val="24"/>
        </w:rPr>
        <w:t>, 190-197.</w:t>
      </w:r>
    </w:p>
    <w:p w14:paraId="73DA32BF" w14:textId="77777777" w:rsidR="00DB5BD7" w:rsidRPr="001075EB" w:rsidRDefault="00DB5BD7" w:rsidP="00E436C0">
      <w:pPr>
        <w:pStyle w:val="EndNoteBibliography"/>
        <w:jc w:val="both"/>
        <w:rPr>
          <w:rFonts w:ascii="Times New Roman" w:hAnsi="Times New Roman" w:cs="Times New Roman"/>
          <w:sz w:val="24"/>
          <w:szCs w:val="24"/>
        </w:rPr>
      </w:pPr>
      <w:r w:rsidRPr="001075EB">
        <w:rPr>
          <w:rFonts w:ascii="Times New Roman" w:hAnsi="Times New Roman" w:cs="Times New Roman"/>
          <w:b/>
          <w:sz w:val="24"/>
          <w:szCs w:val="24"/>
        </w:rPr>
        <w:t>Zhao Y, Wang Y, Quigg A</w:t>
      </w:r>
      <w:r w:rsidRPr="001075EB">
        <w:rPr>
          <w:rFonts w:ascii="Times New Roman" w:hAnsi="Times New Roman" w:cs="Times New Roman"/>
          <w:sz w:val="24"/>
          <w:szCs w:val="24"/>
        </w:rPr>
        <w:t xml:space="preserve">. 2015. Comparison of population growth and photosynthetic apparatus changes in response to different nutrient status in a diatom and a coccolithophore. Journal of Phycology </w:t>
      </w:r>
      <w:r w:rsidRPr="001075EB">
        <w:rPr>
          <w:rFonts w:ascii="Times New Roman" w:hAnsi="Times New Roman" w:cs="Times New Roman"/>
          <w:b/>
          <w:sz w:val="24"/>
          <w:szCs w:val="24"/>
        </w:rPr>
        <w:t>51</w:t>
      </w:r>
      <w:r w:rsidRPr="001075EB">
        <w:rPr>
          <w:rFonts w:ascii="Times New Roman" w:hAnsi="Times New Roman" w:cs="Times New Roman"/>
          <w:sz w:val="24"/>
          <w:szCs w:val="24"/>
        </w:rPr>
        <w:t>, 872-884.</w:t>
      </w:r>
    </w:p>
    <w:p w14:paraId="52285F26" w14:textId="387B78E8" w:rsidR="00ED7769" w:rsidRPr="001075EB" w:rsidRDefault="00C7390D" w:rsidP="00E436C0">
      <w:pPr>
        <w:jc w:val="both"/>
        <w:rPr>
          <w:rFonts w:ascii="Times New Roman" w:hAnsi="Times New Roman" w:cs="Times New Roman"/>
          <w:color w:val="000000" w:themeColor="text1"/>
          <w:sz w:val="24"/>
          <w:szCs w:val="24"/>
          <w:lang w:val="en-GB"/>
        </w:rPr>
      </w:pPr>
      <w:r w:rsidRPr="001075EB">
        <w:rPr>
          <w:rFonts w:ascii="Times New Roman" w:hAnsi="Times New Roman" w:cs="Times New Roman"/>
          <w:color w:val="000000" w:themeColor="text1"/>
          <w:sz w:val="24"/>
          <w:szCs w:val="24"/>
          <w:lang w:val="en-GB"/>
        </w:rPr>
        <w:fldChar w:fldCharType="end"/>
      </w:r>
    </w:p>
    <w:sectPr w:rsidR="00ED7769" w:rsidRPr="001075EB" w:rsidSect="00E436C0">
      <w:pgSz w:w="11906" w:h="16838" w:code="9"/>
      <w:pgMar w:top="1440" w:right="1440" w:bottom="1440"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0139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9045F10"/>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 w15:restartNumberingAfterBreak="0">
    <w:nsid w:val="4357213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ED92DA5"/>
    <w:multiLevelType w:val="hybridMultilevel"/>
    <w:tmpl w:val="4F2E20D0"/>
    <w:lvl w:ilvl="0" w:tplc="ADCA96A8">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E361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74A07D96"/>
    <w:multiLevelType w:val="hybridMultilevel"/>
    <w:tmpl w:val="042094C0"/>
    <w:lvl w:ilvl="0" w:tplc="B48E5C36">
      <w:start w:val="1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Experimental Botany&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efww95sirratne9w0tv95fpzxp2w52rz959&quot;&gt;essai_My EndNote Library-Saved-Converted&lt;record-ids&gt;&lt;item&gt;13300&lt;/item&gt;&lt;item&gt;110470&lt;/item&gt;&lt;item&gt;116420&lt;/item&gt;&lt;item&gt;225316&lt;/item&gt;&lt;item&gt;225894&lt;/item&gt;&lt;item&gt;226604&lt;/item&gt;&lt;item&gt;228354&lt;/item&gt;&lt;item&gt;228366&lt;/item&gt;&lt;item&gt;228512&lt;/item&gt;&lt;item&gt;228523&lt;/item&gt;&lt;item&gt;228538&lt;/item&gt;&lt;item&gt;228699&lt;/item&gt;&lt;item&gt;230833&lt;/item&gt;&lt;item&gt;237497&lt;/item&gt;&lt;item&gt;241584&lt;/item&gt;&lt;item&gt;246139&lt;/item&gt;&lt;item&gt;252668&lt;/item&gt;&lt;item&gt;253052&lt;/item&gt;&lt;item&gt;253957&lt;/item&gt;&lt;item&gt;260711&lt;/item&gt;&lt;item&gt;266396&lt;/item&gt;&lt;item&gt;284721&lt;/item&gt;&lt;item&gt;284722&lt;/item&gt;&lt;item&gt;284723&lt;/item&gt;&lt;item&gt;284724&lt;/item&gt;&lt;/record-ids&gt;&lt;/item&gt;&lt;/Libraries&gt;"/>
  </w:docVars>
  <w:rsids>
    <w:rsidRoot w:val="006E39BD"/>
    <w:rsid w:val="00003602"/>
    <w:rsid w:val="00017A6A"/>
    <w:rsid w:val="0002302F"/>
    <w:rsid w:val="00024021"/>
    <w:rsid w:val="00050B23"/>
    <w:rsid w:val="00060247"/>
    <w:rsid w:val="0007074A"/>
    <w:rsid w:val="00086614"/>
    <w:rsid w:val="000E5D93"/>
    <w:rsid w:val="001075EB"/>
    <w:rsid w:val="0011176D"/>
    <w:rsid w:val="001974C5"/>
    <w:rsid w:val="001D08A1"/>
    <w:rsid w:val="00215645"/>
    <w:rsid w:val="00220104"/>
    <w:rsid w:val="00223313"/>
    <w:rsid w:val="002728C5"/>
    <w:rsid w:val="00292A47"/>
    <w:rsid w:val="002A0B62"/>
    <w:rsid w:val="00312375"/>
    <w:rsid w:val="00335836"/>
    <w:rsid w:val="00350292"/>
    <w:rsid w:val="00351B36"/>
    <w:rsid w:val="0035667F"/>
    <w:rsid w:val="003A283D"/>
    <w:rsid w:val="003A542D"/>
    <w:rsid w:val="003F3309"/>
    <w:rsid w:val="00401561"/>
    <w:rsid w:val="00421B22"/>
    <w:rsid w:val="00424F59"/>
    <w:rsid w:val="004344A4"/>
    <w:rsid w:val="00454F6B"/>
    <w:rsid w:val="00455EDD"/>
    <w:rsid w:val="004623E4"/>
    <w:rsid w:val="004640E9"/>
    <w:rsid w:val="004A5B65"/>
    <w:rsid w:val="0055497B"/>
    <w:rsid w:val="005672A9"/>
    <w:rsid w:val="005F3B35"/>
    <w:rsid w:val="0063587D"/>
    <w:rsid w:val="00663E81"/>
    <w:rsid w:val="00673759"/>
    <w:rsid w:val="006935D9"/>
    <w:rsid w:val="006A67FC"/>
    <w:rsid w:val="006E39BD"/>
    <w:rsid w:val="00726923"/>
    <w:rsid w:val="00743106"/>
    <w:rsid w:val="0075749E"/>
    <w:rsid w:val="00793370"/>
    <w:rsid w:val="007A32ED"/>
    <w:rsid w:val="007C2C0C"/>
    <w:rsid w:val="007E4FE8"/>
    <w:rsid w:val="007F4FD2"/>
    <w:rsid w:val="00813CB5"/>
    <w:rsid w:val="00840FFA"/>
    <w:rsid w:val="00850CC6"/>
    <w:rsid w:val="0088309C"/>
    <w:rsid w:val="00883A0E"/>
    <w:rsid w:val="00884743"/>
    <w:rsid w:val="00885369"/>
    <w:rsid w:val="00886BE1"/>
    <w:rsid w:val="008D175B"/>
    <w:rsid w:val="008E40FB"/>
    <w:rsid w:val="0090765F"/>
    <w:rsid w:val="009077C4"/>
    <w:rsid w:val="009169DC"/>
    <w:rsid w:val="00920EDE"/>
    <w:rsid w:val="00933EEA"/>
    <w:rsid w:val="00956F22"/>
    <w:rsid w:val="009A78AC"/>
    <w:rsid w:val="009B2C13"/>
    <w:rsid w:val="00A11A19"/>
    <w:rsid w:val="00A12EED"/>
    <w:rsid w:val="00A14D5C"/>
    <w:rsid w:val="00A17D7A"/>
    <w:rsid w:val="00A501A9"/>
    <w:rsid w:val="00A650C8"/>
    <w:rsid w:val="00A712E3"/>
    <w:rsid w:val="00A9159B"/>
    <w:rsid w:val="00AA6408"/>
    <w:rsid w:val="00AA7801"/>
    <w:rsid w:val="00AC35D3"/>
    <w:rsid w:val="00AC39BB"/>
    <w:rsid w:val="00AC66E1"/>
    <w:rsid w:val="00AF27BC"/>
    <w:rsid w:val="00B17E39"/>
    <w:rsid w:val="00B33820"/>
    <w:rsid w:val="00B41D70"/>
    <w:rsid w:val="00B43AB4"/>
    <w:rsid w:val="00B62555"/>
    <w:rsid w:val="00B76877"/>
    <w:rsid w:val="00B76A62"/>
    <w:rsid w:val="00B91034"/>
    <w:rsid w:val="00BA1023"/>
    <w:rsid w:val="00BA5847"/>
    <w:rsid w:val="00BB15D1"/>
    <w:rsid w:val="00BF4B3C"/>
    <w:rsid w:val="00C02A61"/>
    <w:rsid w:val="00C53CFB"/>
    <w:rsid w:val="00C7390D"/>
    <w:rsid w:val="00CE2C18"/>
    <w:rsid w:val="00CE6761"/>
    <w:rsid w:val="00D22D61"/>
    <w:rsid w:val="00D366FA"/>
    <w:rsid w:val="00D449E9"/>
    <w:rsid w:val="00D63AB4"/>
    <w:rsid w:val="00DB5BD7"/>
    <w:rsid w:val="00DE42B9"/>
    <w:rsid w:val="00DF6694"/>
    <w:rsid w:val="00E26717"/>
    <w:rsid w:val="00E436C0"/>
    <w:rsid w:val="00E86AEB"/>
    <w:rsid w:val="00EB10FF"/>
    <w:rsid w:val="00EC4991"/>
    <w:rsid w:val="00EC5227"/>
    <w:rsid w:val="00ED7769"/>
    <w:rsid w:val="00EF4F85"/>
    <w:rsid w:val="00F025F3"/>
    <w:rsid w:val="00F03159"/>
    <w:rsid w:val="00F258FF"/>
    <w:rsid w:val="00F64E69"/>
    <w:rsid w:val="00F744C5"/>
    <w:rsid w:val="00FB1F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EAD6F"/>
  <w15:chartTrackingRefBased/>
  <w15:docId w15:val="{80F250D4-070A-6E47-B274-34D01687B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FE8"/>
    <w:pPr>
      <w:spacing w:line="276" w:lineRule="auto"/>
    </w:pPr>
    <w:rPr>
      <w:rFonts w:ascii="Arial" w:eastAsia="Arial" w:hAnsi="Arial" w:cs="Arial"/>
      <w:sz w:val="22"/>
      <w:szCs w:val="22"/>
      <w:lang w:val="en" w:eastAsia="en-GB"/>
    </w:rPr>
  </w:style>
  <w:style w:type="paragraph" w:styleId="Heading1">
    <w:name w:val="heading 1"/>
    <w:basedOn w:val="Normal"/>
    <w:next w:val="Normal"/>
    <w:link w:val="Heading1Char"/>
    <w:uiPriority w:val="9"/>
    <w:qFormat/>
    <w:rsid w:val="007E4FE8"/>
    <w:pPr>
      <w:keepNext/>
      <w:keepLines/>
      <w:spacing w:before="400" w:after="120"/>
      <w:outlineLvl w:val="0"/>
    </w:pPr>
    <w:rPr>
      <w:sz w:val="40"/>
      <w:szCs w:val="40"/>
    </w:rPr>
  </w:style>
  <w:style w:type="paragraph" w:styleId="Heading3">
    <w:name w:val="heading 3"/>
    <w:basedOn w:val="Normal"/>
    <w:next w:val="Normal"/>
    <w:link w:val="Heading3Char"/>
    <w:uiPriority w:val="9"/>
    <w:unhideWhenUsed/>
    <w:qFormat/>
    <w:rsid w:val="007E4FE8"/>
    <w:pPr>
      <w:keepNext/>
      <w:keepLines/>
      <w:spacing w:before="320" w:after="80"/>
      <w:outlineLvl w:val="2"/>
    </w:pPr>
    <w:rPr>
      <w:color w:val="434343"/>
      <w:sz w:val="28"/>
      <w:szCs w:val="28"/>
    </w:rPr>
  </w:style>
  <w:style w:type="paragraph" w:styleId="Heading4">
    <w:name w:val="heading 4"/>
    <w:basedOn w:val="Normal"/>
    <w:next w:val="Normal"/>
    <w:link w:val="Heading4Char"/>
    <w:uiPriority w:val="9"/>
    <w:unhideWhenUsed/>
    <w:qFormat/>
    <w:rsid w:val="007E4FE8"/>
    <w:pPr>
      <w:keepNext/>
      <w:keepLines/>
      <w:spacing w:before="280" w:after="80"/>
      <w:outlineLvl w:val="3"/>
    </w:pPr>
    <w:rPr>
      <w:color w:val="66666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4FE8"/>
    <w:rPr>
      <w:rFonts w:ascii="Arial" w:eastAsia="Arial" w:hAnsi="Arial" w:cs="Arial"/>
      <w:sz w:val="40"/>
      <w:szCs w:val="40"/>
      <w:lang w:val="en" w:eastAsia="en-GB"/>
    </w:rPr>
  </w:style>
  <w:style w:type="character" w:customStyle="1" w:styleId="Heading3Char">
    <w:name w:val="Heading 3 Char"/>
    <w:basedOn w:val="DefaultParagraphFont"/>
    <w:link w:val="Heading3"/>
    <w:uiPriority w:val="9"/>
    <w:rsid w:val="007E4FE8"/>
    <w:rPr>
      <w:rFonts w:ascii="Arial" w:eastAsia="Arial" w:hAnsi="Arial" w:cs="Arial"/>
      <w:color w:val="434343"/>
      <w:sz w:val="28"/>
      <w:szCs w:val="28"/>
      <w:lang w:val="en" w:eastAsia="en-GB"/>
    </w:rPr>
  </w:style>
  <w:style w:type="character" w:customStyle="1" w:styleId="Heading4Char">
    <w:name w:val="Heading 4 Char"/>
    <w:basedOn w:val="DefaultParagraphFont"/>
    <w:link w:val="Heading4"/>
    <w:uiPriority w:val="9"/>
    <w:rsid w:val="007E4FE8"/>
    <w:rPr>
      <w:rFonts w:ascii="Arial" w:eastAsia="Arial" w:hAnsi="Arial" w:cs="Arial"/>
      <w:color w:val="666666"/>
      <w:lang w:val="en" w:eastAsia="en-GB"/>
    </w:rPr>
  </w:style>
  <w:style w:type="paragraph" w:styleId="Caption">
    <w:name w:val="caption"/>
    <w:basedOn w:val="Normal"/>
    <w:next w:val="Normal"/>
    <w:link w:val="CaptionChar"/>
    <w:uiPriority w:val="35"/>
    <w:unhideWhenUsed/>
    <w:qFormat/>
    <w:rsid w:val="007E4FE8"/>
    <w:pPr>
      <w:spacing w:after="200" w:line="240" w:lineRule="auto"/>
    </w:pPr>
    <w:rPr>
      <w:i/>
      <w:iCs/>
      <w:color w:val="44546A" w:themeColor="text2"/>
      <w:sz w:val="18"/>
      <w:szCs w:val="1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eastAsia="Arial" w:hAnsi="Arial" w:cs="Arial"/>
      <w:sz w:val="20"/>
      <w:szCs w:val="20"/>
      <w:lang w:val="en" w:eastAsia="en-GB"/>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223313"/>
    <w:pPr>
      <w:ind w:left="720"/>
      <w:contextualSpacing/>
    </w:pPr>
  </w:style>
  <w:style w:type="paragraph" w:styleId="CommentSubject">
    <w:name w:val="annotation subject"/>
    <w:basedOn w:val="CommentText"/>
    <w:next w:val="CommentText"/>
    <w:link w:val="CommentSubjectChar"/>
    <w:uiPriority w:val="99"/>
    <w:semiHidden/>
    <w:unhideWhenUsed/>
    <w:rsid w:val="00F025F3"/>
    <w:rPr>
      <w:b/>
      <w:bCs/>
    </w:rPr>
  </w:style>
  <w:style w:type="character" w:customStyle="1" w:styleId="CommentSubjectChar">
    <w:name w:val="Comment Subject Char"/>
    <w:basedOn w:val="CommentTextChar"/>
    <w:link w:val="CommentSubject"/>
    <w:uiPriority w:val="99"/>
    <w:semiHidden/>
    <w:rsid w:val="00F025F3"/>
    <w:rPr>
      <w:rFonts w:ascii="Arial" w:eastAsia="Arial" w:hAnsi="Arial" w:cs="Arial"/>
      <w:b/>
      <w:bCs/>
      <w:sz w:val="20"/>
      <w:szCs w:val="20"/>
      <w:lang w:val="en" w:eastAsia="en-GB"/>
    </w:rPr>
  </w:style>
  <w:style w:type="paragraph" w:styleId="BalloonText">
    <w:name w:val="Balloon Text"/>
    <w:basedOn w:val="Normal"/>
    <w:link w:val="BalloonTextChar"/>
    <w:uiPriority w:val="99"/>
    <w:semiHidden/>
    <w:unhideWhenUsed/>
    <w:rsid w:val="00F025F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025F3"/>
    <w:rPr>
      <w:rFonts w:ascii="Times New Roman" w:eastAsia="Arial" w:hAnsi="Times New Roman" w:cs="Times New Roman"/>
      <w:sz w:val="18"/>
      <w:szCs w:val="18"/>
      <w:lang w:val="en" w:eastAsia="en-GB"/>
    </w:rPr>
  </w:style>
  <w:style w:type="table" w:styleId="TableGrid">
    <w:name w:val="Table Grid"/>
    <w:basedOn w:val="TableNormal"/>
    <w:uiPriority w:val="39"/>
    <w:rsid w:val="00ED7769"/>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C7390D"/>
    <w:pPr>
      <w:jc w:val="center"/>
    </w:pPr>
    <w:rPr>
      <w:noProof/>
      <w:lang w:val="en-GB"/>
    </w:rPr>
  </w:style>
  <w:style w:type="character" w:customStyle="1" w:styleId="CaptionChar">
    <w:name w:val="Caption Char"/>
    <w:basedOn w:val="DefaultParagraphFont"/>
    <w:link w:val="Caption"/>
    <w:uiPriority w:val="35"/>
    <w:rsid w:val="00C7390D"/>
    <w:rPr>
      <w:rFonts w:ascii="Arial" w:eastAsia="Arial" w:hAnsi="Arial" w:cs="Arial"/>
      <w:i/>
      <w:iCs/>
      <w:color w:val="44546A" w:themeColor="text2"/>
      <w:sz w:val="18"/>
      <w:szCs w:val="18"/>
      <w:lang w:val="en" w:eastAsia="en-GB"/>
    </w:rPr>
  </w:style>
  <w:style w:type="character" w:customStyle="1" w:styleId="EndNoteBibliographyTitleChar">
    <w:name w:val="EndNote Bibliography Title Char"/>
    <w:basedOn w:val="CaptionChar"/>
    <w:link w:val="EndNoteBibliographyTitle"/>
    <w:rsid w:val="00C7390D"/>
    <w:rPr>
      <w:rFonts w:ascii="Arial" w:eastAsia="Arial" w:hAnsi="Arial" w:cs="Arial"/>
      <w:i w:val="0"/>
      <w:iCs w:val="0"/>
      <w:noProof/>
      <w:color w:val="44546A" w:themeColor="text2"/>
      <w:sz w:val="22"/>
      <w:szCs w:val="22"/>
      <w:lang w:val="en" w:eastAsia="en-GB"/>
    </w:rPr>
  </w:style>
  <w:style w:type="paragraph" w:customStyle="1" w:styleId="EndNoteBibliography">
    <w:name w:val="EndNote Bibliography"/>
    <w:basedOn w:val="Normal"/>
    <w:link w:val="EndNoteBibliographyChar"/>
    <w:rsid w:val="00C7390D"/>
    <w:pPr>
      <w:spacing w:line="240" w:lineRule="auto"/>
    </w:pPr>
    <w:rPr>
      <w:noProof/>
      <w:lang w:val="en-GB"/>
    </w:rPr>
  </w:style>
  <w:style w:type="character" w:customStyle="1" w:styleId="EndNoteBibliographyChar">
    <w:name w:val="EndNote Bibliography Char"/>
    <w:basedOn w:val="CaptionChar"/>
    <w:link w:val="EndNoteBibliography"/>
    <w:rsid w:val="00C7390D"/>
    <w:rPr>
      <w:rFonts w:ascii="Arial" w:eastAsia="Arial" w:hAnsi="Arial" w:cs="Arial"/>
      <w:i w:val="0"/>
      <w:iCs w:val="0"/>
      <w:noProof/>
      <w:color w:val="44546A" w:themeColor="text2"/>
      <w:sz w:val="22"/>
      <w:szCs w:val="22"/>
      <w:lang w:val="en"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069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F53DD-6C4C-4251-AB8B-4BCA454D3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9968</Words>
  <Characters>56820</Characters>
  <Application>Microsoft Office Word</Application>
  <DocSecurity>0</DocSecurity>
  <Lines>473</Lines>
  <Paragraphs>133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66655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Matteo Scarsini</dc:creator>
  <cp:keywords/>
  <dc:description/>
  <cp:lastModifiedBy>Matteo Scarsini</cp:lastModifiedBy>
  <cp:revision>2</cp:revision>
  <cp:lastPrinted>2021-07-13T17:16:00Z</cp:lastPrinted>
  <dcterms:created xsi:type="dcterms:W3CDTF">2021-11-14T12:02:00Z</dcterms:created>
  <dcterms:modified xsi:type="dcterms:W3CDTF">2021-11-14T12:02:00Z</dcterms:modified>
</cp:coreProperties>
</file>