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C4" w:rsidRDefault="0070173F">
      <w:pPr>
        <w:jc w:val="center"/>
        <w:rPr>
          <w:b/>
          <w:sz w:val="32"/>
          <w:szCs w:val="32"/>
        </w:rPr>
      </w:pPr>
      <w:bookmarkStart w:id="0" w:name="_GoBack"/>
      <w:bookmarkEnd w:id="0"/>
      <w:r>
        <w:rPr>
          <w:b/>
          <w:sz w:val="32"/>
          <w:szCs w:val="32"/>
        </w:rPr>
        <w:t>Emerging parasitic protists: the case of Perkinsea</w:t>
      </w:r>
    </w:p>
    <w:p w:rsidR="00D10BC4" w:rsidRPr="00B968D1" w:rsidRDefault="0070173F">
      <w:pPr>
        <w:spacing w:line="360" w:lineRule="auto"/>
        <w:rPr>
          <w:color w:val="000000"/>
          <w:lang w:val="fr-FR"/>
        </w:rPr>
      </w:pPr>
      <w:r w:rsidRPr="00B968D1">
        <w:rPr>
          <w:color w:val="000000"/>
          <w:lang w:val="fr-FR"/>
        </w:rPr>
        <w:t>Sarah Itoïz</w:t>
      </w:r>
      <w:r w:rsidRPr="00B968D1">
        <w:rPr>
          <w:color w:val="000000"/>
          <w:vertAlign w:val="superscript"/>
          <w:lang w:val="fr-FR"/>
        </w:rPr>
        <w:t>1</w:t>
      </w:r>
      <w:r w:rsidRPr="00B968D1">
        <w:rPr>
          <w:color w:val="000000"/>
          <w:lang w:val="fr-FR"/>
        </w:rPr>
        <w:t>, Sebastian Metz</w:t>
      </w:r>
      <w:r w:rsidRPr="00B968D1">
        <w:rPr>
          <w:color w:val="000000"/>
          <w:vertAlign w:val="superscript"/>
          <w:lang w:val="fr-FR"/>
        </w:rPr>
        <w:t>1</w:t>
      </w:r>
      <w:r w:rsidRPr="00B968D1">
        <w:rPr>
          <w:color w:val="000000"/>
          <w:lang w:val="fr-FR"/>
        </w:rPr>
        <w:t>, Evelyne Derelle</w:t>
      </w:r>
      <w:r w:rsidRPr="00B968D1">
        <w:rPr>
          <w:color w:val="000000"/>
          <w:vertAlign w:val="superscript"/>
          <w:lang w:val="fr-FR"/>
        </w:rPr>
        <w:t>1</w:t>
      </w:r>
      <w:r w:rsidRPr="00B968D1">
        <w:rPr>
          <w:color w:val="000000"/>
          <w:lang w:val="fr-FR"/>
        </w:rPr>
        <w:t>, Albert Reñé</w:t>
      </w:r>
      <w:r w:rsidR="00980F69">
        <w:rPr>
          <w:color w:val="000000"/>
          <w:vertAlign w:val="superscript"/>
          <w:lang w:val="fr-FR"/>
        </w:rPr>
        <w:t>2</w:t>
      </w:r>
      <w:r w:rsidRPr="00B968D1">
        <w:rPr>
          <w:color w:val="000000"/>
          <w:lang w:val="fr-FR"/>
        </w:rPr>
        <w:t>, Esther Garcés</w:t>
      </w:r>
      <w:r w:rsidR="00980F69">
        <w:rPr>
          <w:color w:val="000000"/>
          <w:vertAlign w:val="superscript"/>
          <w:lang w:val="fr-FR"/>
        </w:rPr>
        <w:t>2</w:t>
      </w:r>
      <w:r w:rsidRPr="00B968D1">
        <w:rPr>
          <w:color w:val="000000"/>
          <w:lang w:val="fr-FR"/>
        </w:rPr>
        <w:t>, David Bass</w:t>
      </w:r>
      <w:r w:rsidR="00980F69">
        <w:rPr>
          <w:color w:val="000000"/>
          <w:vertAlign w:val="superscript"/>
          <w:lang w:val="fr-FR"/>
        </w:rPr>
        <w:t>3</w:t>
      </w:r>
      <w:r w:rsidRPr="00B968D1">
        <w:rPr>
          <w:color w:val="000000"/>
          <w:vertAlign w:val="superscript"/>
          <w:lang w:val="fr-FR"/>
        </w:rPr>
        <w:t xml:space="preserve">, </w:t>
      </w:r>
      <w:r w:rsidR="00980F69">
        <w:rPr>
          <w:color w:val="000000"/>
          <w:vertAlign w:val="superscript"/>
          <w:lang w:val="fr-FR"/>
        </w:rPr>
        <w:t>4</w:t>
      </w:r>
      <w:r w:rsidR="00632882">
        <w:rPr>
          <w:color w:val="000000"/>
          <w:vertAlign w:val="superscript"/>
          <w:lang w:val="fr-FR"/>
        </w:rPr>
        <w:t>, 5</w:t>
      </w:r>
      <w:r w:rsidRPr="00B968D1">
        <w:rPr>
          <w:color w:val="000000"/>
          <w:lang w:val="fr-FR"/>
        </w:rPr>
        <w:t>,</w:t>
      </w:r>
      <w:r w:rsidR="00007F1C">
        <w:rPr>
          <w:color w:val="000000"/>
          <w:lang w:val="fr-FR"/>
        </w:rPr>
        <w:t xml:space="preserve"> </w:t>
      </w:r>
      <w:r w:rsidRPr="00B968D1">
        <w:rPr>
          <w:color w:val="000000"/>
          <w:lang w:val="fr-FR"/>
        </w:rPr>
        <w:t>Philippe Soudant*</w:t>
      </w:r>
      <w:r w:rsidRPr="00B968D1">
        <w:rPr>
          <w:color w:val="000000"/>
          <w:vertAlign w:val="superscript"/>
          <w:lang w:val="fr-FR"/>
        </w:rPr>
        <w:t>1</w:t>
      </w:r>
      <w:r w:rsidRPr="00B968D1">
        <w:rPr>
          <w:color w:val="000000"/>
          <w:lang w:val="fr-FR"/>
        </w:rPr>
        <w:t>&amp; Aurélie Chambouvet*</w:t>
      </w:r>
      <w:r w:rsidRPr="00B968D1">
        <w:rPr>
          <w:color w:val="000000"/>
          <w:vertAlign w:val="superscript"/>
          <w:lang w:val="fr-FR"/>
        </w:rPr>
        <w:t>1</w:t>
      </w:r>
      <w:r w:rsidR="00632882">
        <w:rPr>
          <w:color w:val="000000"/>
          <w:vertAlign w:val="superscript"/>
          <w:lang w:val="fr-FR"/>
        </w:rPr>
        <w:t>, 6</w:t>
      </w:r>
    </w:p>
    <w:p w:rsidR="00D10BC4" w:rsidRPr="00B968D1" w:rsidRDefault="00D10BC4">
      <w:pPr>
        <w:spacing w:before="240" w:after="0" w:line="360" w:lineRule="auto"/>
        <w:ind w:firstLine="426"/>
        <w:jc w:val="both"/>
        <w:rPr>
          <w:b/>
          <w:smallCaps/>
          <w:lang w:val="fr-FR"/>
        </w:rPr>
      </w:pPr>
    </w:p>
    <w:p w:rsidR="00D10BC4" w:rsidRDefault="0070173F">
      <w:pPr>
        <w:spacing w:before="0" w:after="0" w:line="360" w:lineRule="auto"/>
        <w:jc w:val="both"/>
        <w:rPr>
          <w:b/>
          <w:smallCaps/>
        </w:rPr>
      </w:pPr>
      <w:r>
        <w:rPr>
          <w:b/>
          <w:smallCaps/>
        </w:rPr>
        <w:t>SUPPORTING MATERIALS AND METHODS</w:t>
      </w:r>
    </w:p>
    <w:p w:rsidR="00D10BC4" w:rsidRDefault="0070173F">
      <w:pPr>
        <w:spacing w:before="0" w:after="120" w:line="360" w:lineRule="auto"/>
        <w:jc w:val="both"/>
        <w:rPr>
          <w:b/>
          <w:sz w:val="22"/>
          <w:szCs w:val="22"/>
        </w:rPr>
      </w:pPr>
      <w:r>
        <w:rPr>
          <w:b/>
          <w:sz w:val="22"/>
          <w:szCs w:val="22"/>
        </w:rPr>
        <w:t xml:space="preserve">Multiple sequence alignment and </w:t>
      </w:r>
      <w:r>
        <w:rPr>
          <w:b/>
          <w:color w:val="000000"/>
          <w:sz w:val="22"/>
          <w:szCs w:val="22"/>
        </w:rPr>
        <w:t>phylogenetic analysis of the Perkinsea SSU sequences.</w:t>
      </w:r>
    </w:p>
    <w:p w:rsidR="00D10BC4" w:rsidRDefault="0070173F">
      <w:pPr>
        <w:spacing w:line="360" w:lineRule="auto"/>
        <w:jc w:val="both"/>
      </w:pPr>
      <w:bookmarkStart w:id="1" w:name="_gjdgxs" w:colFirst="0" w:colLast="0"/>
      <w:bookmarkEnd w:id="1"/>
      <w:r>
        <w:t>The Perkinsea SSU rDNA phylogenetic tree was performed with published sequences from 1</w:t>
      </w:r>
      <w:r w:rsidR="00292296">
        <w:t>34</w:t>
      </w:r>
      <w:r>
        <w:t xml:space="preserve"> taxa including 1</w:t>
      </w:r>
      <w:r w:rsidR="00292296">
        <w:t>27</w:t>
      </w:r>
      <w:r>
        <w:t xml:space="preserve"> cultured and environmental sequences related to Perkinsea and 7 to dinoflagellates as outgroup</w:t>
      </w:r>
      <w:r w:rsidR="00292296">
        <w:t xml:space="preserve">s (AF022200.1, AB264776.1, AF080096.1, M88521.1, U27500.1, AF472555.1, EF065717.1). </w:t>
      </w:r>
      <w:r>
        <w:t xml:space="preserve">The sequences were aligned using </w:t>
      </w:r>
      <w:r w:rsidR="00292296">
        <w:t>Q</w:t>
      </w:r>
      <w:r>
        <w:t xml:space="preserve">-INS-i interactive refinement method implemented in MAFFT v7.475 (Katoh and Standley, 2013). The alignment was then </w:t>
      </w:r>
      <w:r w:rsidR="00292296">
        <w:t xml:space="preserve">checked and masked using SeaView (Gouy et al., 2010), resulting in a data matrix of 134 sequences and 1431 alignment positions. </w:t>
      </w:r>
      <w:r>
        <w:t>The phylogenetic analysis was performed with IQ-Tree v2.0.3 (Minh et al., 2020</w:t>
      </w:r>
      <w:r w:rsidR="00292296">
        <w:t>). The best model was selected by</w:t>
      </w:r>
      <w:r>
        <w:t xml:space="preserve"> ModelFinder (Kalyaanamoorthy et al., 2017</w:t>
      </w:r>
      <w:r w:rsidR="00292296">
        <w:t>), implemented in IQ-Tree (-MFP option). The selected model was</w:t>
      </w:r>
      <w:r>
        <w:t xml:space="preserve"> GTR+F+R5</w:t>
      </w:r>
      <w:r w:rsidR="00292296">
        <w:t>. T</w:t>
      </w:r>
      <w:r>
        <w:t xml:space="preserve">he Maximum-Likelihood phylogeny was estimated using the SH-like approximate likelihood ratio test (Guindon et al., 2010) and 1,000 bootstrap values for branch support (-alrt 1000 parameter). </w:t>
      </w:r>
    </w:p>
    <w:p w:rsidR="00D10BC4" w:rsidRDefault="0070173F">
      <w:pPr>
        <w:spacing w:line="360" w:lineRule="auto"/>
        <w:jc w:val="both"/>
      </w:pPr>
      <w:r>
        <w:t>Bayesian posterior probabilities were calculated using MrBayes v3.2.6 (Huelsenbeck and Ronquist, 2001) on the CIPRES science gateway (available at http://www.phylo.org/). The model GTR + Γ + R5 (lset, nst=6 rates=gamma</w:t>
      </w:r>
      <w:r w:rsidR="00292296">
        <w:t>,ngammacat=5</w:t>
      </w:r>
      <w:r>
        <w:t>) w</w:t>
      </w:r>
      <w:r w:rsidR="00292296">
        <w:t>as</w:t>
      </w:r>
      <w:r>
        <w:t xml:space="preserve"> selected. The chains were run for 8,000,000 generations with two replicate tree searches both with 4 MCMC chains with a heat parameter of 2. Trees were sampled every 200 generations. In both analyses, the first 25% of the generations sampled were discarded (as the burnin). The consensus topologies and posterior probabilities of each node were then calculated from the remaining trees.</w:t>
      </w:r>
    </w:p>
    <w:p w:rsidR="00292296" w:rsidRDefault="0070173F" w:rsidP="00292296">
      <w:pPr>
        <w:spacing w:line="360" w:lineRule="auto"/>
        <w:jc w:val="both"/>
      </w:pPr>
      <w:r>
        <w:t>The annotation of the ML tree was performed using Interactive Tree of Life (IToL) (https://itol.embl.de/, Letunic and Bork, 2019) and Inkscape (</w:t>
      </w:r>
      <w:hyperlink r:id="rId6">
        <w:r>
          <w:t>https://inkscape.org/en/</w:t>
        </w:r>
      </w:hyperlink>
      <w:r>
        <w:t>). For each branch, support value</w:t>
      </w:r>
      <w:r w:rsidR="00292296">
        <w:t>s</w:t>
      </w:r>
      <w:r>
        <w:t xml:space="preserve"> were notated using the following convention: </w:t>
      </w:r>
      <w:r w:rsidR="00292296">
        <w:t xml:space="preserve">support values are summarized by black circles when ≥ 80%/0.9 and white circles when it is not the case but values ≥60%/0.6. When </w:t>
      </w:r>
      <w:r w:rsidR="00292296">
        <w:lastRenderedPageBreak/>
        <w:t>the topology is inconsistent in one of the inference methods, it is denoted by a “-”. The sequence origins are represented by squares of colors: light blue for marine waters, yellow for land waters, green for brackish waters and red for wetland soil. Purple asterisks indicate host associated sequences. The alignment and the estimated trees are available in Github (https://github.com/sebametz/Perkinsea-Tree).</w:t>
      </w:r>
    </w:p>
    <w:p w:rsidR="00292296" w:rsidRDefault="00292296" w:rsidP="00292296">
      <w:pPr>
        <w:spacing w:line="360" w:lineRule="auto"/>
        <w:jc w:val="both"/>
      </w:pPr>
    </w:p>
    <w:p w:rsidR="00D10BC4" w:rsidRDefault="00D10BC4">
      <w:pPr>
        <w:spacing w:line="360" w:lineRule="auto"/>
        <w:jc w:val="both"/>
      </w:pPr>
    </w:p>
    <w:p w:rsidR="00D10BC4" w:rsidRDefault="00D10BC4">
      <w:pPr>
        <w:spacing w:line="360" w:lineRule="auto"/>
        <w:jc w:val="both"/>
      </w:pPr>
    </w:p>
    <w:p w:rsidR="00D10BC4" w:rsidRDefault="0070173F">
      <w:pPr>
        <w:rPr>
          <w:b/>
        </w:rPr>
      </w:pPr>
      <w:r>
        <w:rPr>
          <w:b/>
        </w:rPr>
        <w:t xml:space="preserve">References: </w:t>
      </w:r>
    </w:p>
    <w:p w:rsidR="00B968D1" w:rsidRDefault="0070173F" w:rsidP="00B968D1">
      <w:pPr>
        <w:pBdr>
          <w:top w:val="nil"/>
          <w:left w:val="nil"/>
          <w:bottom w:val="nil"/>
          <w:right w:val="nil"/>
          <w:between w:val="nil"/>
        </w:pBdr>
        <w:ind w:left="720" w:hanging="720"/>
        <w:jc w:val="both"/>
        <w:rPr>
          <w:color w:val="000000"/>
        </w:rPr>
      </w:pPr>
      <w:r>
        <w:rPr>
          <w:color w:val="000000"/>
        </w:rPr>
        <w:t xml:space="preserve">Capella-Gutierrez, S., Silla-Martinez, J. M., and Gabaldon, T. (2009). trimAl: a tool for automated alignment trimming in large-scale phylogenetic analyses. </w:t>
      </w:r>
      <w:r>
        <w:rPr>
          <w:i/>
          <w:color w:val="000000"/>
        </w:rPr>
        <w:t>Bioinformatics</w:t>
      </w:r>
      <w:r>
        <w:rPr>
          <w:color w:val="000000"/>
        </w:rPr>
        <w:t xml:space="preserve"> 25, 1972–1973. doi:10.1093/bioinformatics/btp348.</w:t>
      </w:r>
      <w:bookmarkStart w:id="2" w:name="_30j0zll" w:colFirst="0" w:colLast="0"/>
      <w:bookmarkEnd w:id="2"/>
    </w:p>
    <w:p w:rsidR="00292296" w:rsidRPr="00B968D1" w:rsidRDefault="00292296" w:rsidP="00292296">
      <w:pPr>
        <w:pBdr>
          <w:top w:val="nil"/>
          <w:left w:val="nil"/>
          <w:bottom w:val="nil"/>
          <w:right w:val="nil"/>
          <w:between w:val="nil"/>
        </w:pBdr>
        <w:ind w:left="720" w:hanging="720"/>
        <w:jc w:val="both"/>
        <w:rPr>
          <w:color w:val="000000"/>
        </w:rPr>
      </w:pPr>
      <w:r w:rsidRPr="00B968D1">
        <w:rPr>
          <w:color w:val="000000"/>
        </w:rPr>
        <w:t xml:space="preserve">Gouy, M., Guindon, S., &amp; Gascuel, O. (2010). SeaView version 4: a multiplatform graphical user interface for sequence alignment and phylogenetic tree building. </w:t>
      </w:r>
      <w:r w:rsidRPr="00B968D1">
        <w:rPr>
          <w:i/>
          <w:color w:val="000000"/>
        </w:rPr>
        <w:t>Mol</w:t>
      </w:r>
      <w:r>
        <w:rPr>
          <w:i/>
          <w:color w:val="000000"/>
        </w:rPr>
        <w:t>.</w:t>
      </w:r>
      <w:r w:rsidRPr="00B968D1">
        <w:rPr>
          <w:i/>
          <w:color w:val="000000"/>
        </w:rPr>
        <w:t xml:space="preserve"> Biol</w:t>
      </w:r>
      <w:r>
        <w:rPr>
          <w:i/>
          <w:color w:val="000000"/>
        </w:rPr>
        <w:t>.</w:t>
      </w:r>
      <w:r w:rsidRPr="00B968D1">
        <w:rPr>
          <w:i/>
          <w:color w:val="000000"/>
        </w:rPr>
        <w:t xml:space="preserve"> Evol</w:t>
      </w:r>
      <w:r>
        <w:rPr>
          <w:i/>
          <w:color w:val="000000"/>
        </w:rPr>
        <w:t>.</w:t>
      </w:r>
      <w:r w:rsidRPr="00B968D1">
        <w:rPr>
          <w:color w:val="000000"/>
        </w:rPr>
        <w:t xml:space="preserve">, 27, 221-224. </w:t>
      </w:r>
      <w:r w:rsidRPr="00B968D1">
        <w:rPr>
          <w:color w:val="006FB7"/>
          <w:u w:val="single"/>
          <w:bdr w:val="none" w:sz="0" w:space="0" w:color="auto" w:frame="1"/>
          <w:shd w:val="clear" w:color="auto" w:fill="FFFFFF"/>
          <w:lang w:val="en-GB"/>
        </w:rPr>
        <w:t>doi:10.1093/molbev/msp259</w:t>
      </w:r>
    </w:p>
    <w:p w:rsidR="00D10BC4" w:rsidRDefault="0070173F">
      <w:pPr>
        <w:pBdr>
          <w:top w:val="nil"/>
          <w:left w:val="nil"/>
          <w:bottom w:val="nil"/>
          <w:right w:val="nil"/>
          <w:between w:val="nil"/>
        </w:pBdr>
        <w:ind w:left="720" w:hanging="720"/>
        <w:jc w:val="both"/>
        <w:rPr>
          <w:color w:val="000000"/>
        </w:rPr>
      </w:pPr>
      <w:r>
        <w:rPr>
          <w:color w:val="000000"/>
        </w:rPr>
        <w:t xml:space="preserve">Guindon, S., Dufayard, J.-F., Lefort, V., Anisimova, M., Hordijk, W., and Gascuel, O. (2010). New algorithms and methods to estimate maximum-likelihood phylogenies: Assessing the performance of PhyML 3.0. </w:t>
      </w:r>
      <w:r>
        <w:rPr>
          <w:i/>
          <w:color w:val="000000"/>
        </w:rPr>
        <w:t>Syst. Biol.</w:t>
      </w:r>
      <w:r>
        <w:rPr>
          <w:color w:val="000000"/>
        </w:rPr>
        <w:t xml:space="preserve"> 59, 307–321. doi:10.1093/sysbio/syq010.</w:t>
      </w:r>
    </w:p>
    <w:p w:rsidR="00D10BC4" w:rsidRDefault="0070173F">
      <w:pPr>
        <w:pBdr>
          <w:top w:val="nil"/>
          <w:left w:val="nil"/>
          <w:bottom w:val="nil"/>
          <w:right w:val="nil"/>
          <w:between w:val="nil"/>
        </w:pBdr>
        <w:ind w:left="720" w:hanging="720"/>
        <w:jc w:val="both"/>
        <w:rPr>
          <w:color w:val="000000"/>
        </w:rPr>
      </w:pPr>
      <w:r>
        <w:rPr>
          <w:color w:val="000000"/>
        </w:rPr>
        <w:t xml:space="preserve">Huelsenbeck, J. P., and Ronquist, F. (2001). MRBAYES: Bayesian inference of phylogenetic trees. </w:t>
      </w:r>
      <w:r>
        <w:rPr>
          <w:i/>
          <w:color w:val="000000"/>
        </w:rPr>
        <w:t>Bioinformatics</w:t>
      </w:r>
      <w:r>
        <w:rPr>
          <w:color w:val="000000"/>
        </w:rPr>
        <w:t xml:space="preserve"> 17, 754–755. doi:10.1093/bioinformatics/17.8.754.</w:t>
      </w:r>
    </w:p>
    <w:p w:rsidR="00D10BC4" w:rsidRDefault="0070173F">
      <w:pPr>
        <w:pBdr>
          <w:top w:val="nil"/>
          <w:left w:val="nil"/>
          <w:bottom w:val="nil"/>
          <w:right w:val="nil"/>
          <w:between w:val="nil"/>
        </w:pBdr>
        <w:ind w:left="720" w:hanging="720"/>
        <w:jc w:val="both"/>
        <w:rPr>
          <w:color w:val="000000"/>
        </w:rPr>
      </w:pPr>
      <w:r>
        <w:rPr>
          <w:color w:val="000000"/>
        </w:rPr>
        <w:t xml:space="preserve">Kalyaanamoorthy, S., Minh, B. Q., Wong, T. K. F., von Haeseler, A., and Jermiin, L. S. (2017). ModelFinder: fast model selection for accurate phylogenetic estimates. </w:t>
      </w:r>
      <w:r>
        <w:rPr>
          <w:i/>
          <w:color w:val="000000"/>
        </w:rPr>
        <w:t>Nat</w:t>
      </w:r>
      <w:r w:rsidR="00292296">
        <w:rPr>
          <w:i/>
          <w:color w:val="000000"/>
        </w:rPr>
        <w:t>.</w:t>
      </w:r>
      <w:r>
        <w:rPr>
          <w:i/>
          <w:color w:val="000000"/>
        </w:rPr>
        <w:t xml:space="preserve"> Methods</w:t>
      </w:r>
      <w:r>
        <w:rPr>
          <w:color w:val="000000"/>
        </w:rPr>
        <w:t xml:space="preserve"> 14, 587–589. doi:10.1038/nmeth.4285.</w:t>
      </w:r>
    </w:p>
    <w:p w:rsidR="00D10BC4" w:rsidRDefault="0070173F">
      <w:pPr>
        <w:pBdr>
          <w:top w:val="nil"/>
          <w:left w:val="nil"/>
          <w:bottom w:val="nil"/>
          <w:right w:val="nil"/>
          <w:between w:val="nil"/>
        </w:pBdr>
        <w:ind w:left="720" w:hanging="720"/>
        <w:jc w:val="both"/>
        <w:rPr>
          <w:color w:val="000000"/>
        </w:rPr>
      </w:pPr>
      <w:r>
        <w:rPr>
          <w:color w:val="000000"/>
        </w:rPr>
        <w:t xml:space="preserve">Katoh, K., and Standley, D. M. (2013). MAFFT Multiple sequence alignment software version 7: improvements in performance and usability. </w:t>
      </w:r>
      <w:r>
        <w:rPr>
          <w:i/>
          <w:color w:val="000000"/>
        </w:rPr>
        <w:t>Mol</w:t>
      </w:r>
      <w:r w:rsidR="00292296">
        <w:rPr>
          <w:i/>
          <w:color w:val="000000"/>
        </w:rPr>
        <w:t>.</w:t>
      </w:r>
      <w:r>
        <w:rPr>
          <w:i/>
          <w:color w:val="000000"/>
        </w:rPr>
        <w:t xml:space="preserve"> Biol</w:t>
      </w:r>
      <w:r w:rsidR="00292296">
        <w:rPr>
          <w:i/>
          <w:color w:val="000000"/>
        </w:rPr>
        <w:t>.</w:t>
      </w:r>
      <w:r>
        <w:rPr>
          <w:i/>
          <w:color w:val="000000"/>
        </w:rPr>
        <w:t xml:space="preserve"> Evol</w:t>
      </w:r>
      <w:r w:rsidR="00292296">
        <w:rPr>
          <w:i/>
          <w:color w:val="000000"/>
        </w:rPr>
        <w:t>.</w:t>
      </w:r>
      <w:r>
        <w:rPr>
          <w:color w:val="000000"/>
        </w:rPr>
        <w:t xml:space="preserve"> 30, 772–780. doi:10.1093/molbev/mst010.</w:t>
      </w:r>
    </w:p>
    <w:p w:rsidR="00D10BC4" w:rsidRDefault="0070173F">
      <w:pPr>
        <w:pBdr>
          <w:top w:val="nil"/>
          <w:left w:val="nil"/>
          <w:bottom w:val="nil"/>
          <w:right w:val="nil"/>
          <w:between w:val="nil"/>
        </w:pBdr>
        <w:ind w:left="720" w:hanging="720"/>
        <w:jc w:val="both"/>
        <w:rPr>
          <w:color w:val="000000"/>
        </w:rPr>
      </w:pPr>
      <w:r>
        <w:rPr>
          <w:color w:val="000000"/>
        </w:rPr>
        <w:t>Letunic, I., and Bork, P. (2019). Interactive Tree Of Life (iTOL) v4: recent updates and new developments. Nucleic Acids Res. 47, W256–W259. doi:10.1093/nar/gkz239.</w:t>
      </w:r>
    </w:p>
    <w:p w:rsidR="00D10BC4" w:rsidRDefault="0070173F">
      <w:pPr>
        <w:pBdr>
          <w:top w:val="nil"/>
          <w:left w:val="nil"/>
          <w:bottom w:val="nil"/>
          <w:right w:val="nil"/>
          <w:between w:val="nil"/>
        </w:pBdr>
        <w:ind w:left="720" w:hanging="720"/>
        <w:jc w:val="both"/>
        <w:rPr>
          <w:color w:val="000000"/>
        </w:rPr>
      </w:pPr>
      <w:r>
        <w:rPr>
          <w:color w:val="000000"/>
        </w:rPr>
        <w:t xml:space="preserve">Minh, B. Q., Schmidt, H. A., Chernomor, O., Schrempf, D., Woodhams, M. D., von Haeseler, A., et al. (2020). IQ-TREE 2: New models and efficient methods for phylogenetic inference in the genomic era. </w:t>
      </w:r>
      <w:r>
        <w:rPr>
          <w:i/>
          <w:color w:val="000000"/>
        </w:rPr>
        <w:t>Mol. Ecol. Evol.</w:t>
      </w:r>
      <w:r>
        <w:rPr>
          <w:color w:val="000000"/>
        </w:rPr>
        <w:t xml:space="preserve"> 37, 1530–1534. doi:10.1093/molbev/msaa015.</w:t>
      </w:r>
    </w:p>
    <w:p w:rsidR="00D10BC4" w:rsidRPr="0066521E" w:rsidRDefault="00D10BC4" w:rsidP="0066521E">
      <w:pPr>
        <w:rPr>
          <w:b/>
        </w:rPr>
      </w:pPr>
    </w:p>
    <w:sectPr w:rsidR="00D10BC4" w:rsidRPr="0066521E" w:rsidSect="00F65F31">
      <w:headerReference w:type="even" r:id="rId7"/>
      <w:footerReference w:type="default" r:id="rId8"/>
      <w:headerReference w:type="first" r:id="rId9"/>
      <w:pgSz w:w="12240" w:h="15840"/>
      <w:pgMar w:top="1138" w:right="1181" w:bottom="1138" w:left="1282"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94237" w16cid:durableId="2569BB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C9D" w:rsidRDefault="00906C9D">
      <w:pPr>
        <w:spacing w:before="0" w:after="0"/>
      </w:pPr>
      <w:r>
        <w:separator/>
      </w:r>
    </w:p>
  </w:endnote>
  <w:endnote w:type="continuationSeparator" w:id="1">
    <w:p w:rsidR="00906C9D" w:rsidRDefault="00906C9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C4" w:rsidRDefault="0070173F">
    <w:pPr>
      <w:rPr>
        <w:b/>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6DC6EF5D" wp14:editId="03D9AD90">
            <wp:simplePos x="0" y="0"/>
            <wp:positionH relativeFrom="column">
              <wp:posOffset>4673600</wp:posOffset>
            </wp:positionH>
            <wp:positionV relativeFrom="paragraph">
              <wp:posOffset>0</wp:posOffset>
            </wp:positionV>
            <wp:extent cx="1527810" cy="414655"/>
            <wp:effectExtent l="0" t="0" r="0" b="0"/>
            <wp:wrapNone/>
            <wp:docPr id="2" name="Rectangle 2"/>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5B4F8271" w14:textId="77777777" w:rsidR="00D10BC4" w:rsidRDefault="0070173F">
                        <w:pPr>
                          <w:jc w:val="right"/>
                          <w:textDirection w:val="btLr"/>
                        </w:pPr>
                        <w:r>
                          <w:rPr>
                            <w:color w:val="000000"/>
                          </w:rPr>
                          <w:t xml:space="preserve"> PAGE  \* Arabic  \* MERGEFORMAT 3</w:t>
                        </w:r>
                      </w:p>
                    </w:txbxContent>
                  </wps:txbx>
                  <wps:bodyPr spcFirstLastPara="1" wrap="square" lIns="91425" tIns="45700" rIns="91425" bIns="45700" anchor="t" anchorCtr="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4673600</wp:posOffset>
              </wp:positionH>
              <wp:positionV relativeFrom="paragraph">
                <wp:posOffset>0</wp:posOffset>
              </wp:positionV>
              <wp:extent cx="1527810" cy="41465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7810" cy="41465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C9D" w:rsidRDefault="00906C9D">
      <w:pPr>
        <w:spacing w:before="0" w:after="0"/>
      </w:pPr>
      <w:r>
        <w:separator/>
      </w:r>
    </w:p>
  </w:footnote>
  <w:footnote w:type="continuationSeparator" w:id="1">
    <w:p w:rsidR="00906C9D" w:rsidRDefault="00906C9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C4" w:rsidRDefault="0070173F">
    <w:r>
      <w:t>Supplementary Material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C4" w:rsidRDefault="0070173F">
    <w:r>
      <w:rPr>
        <w:b/>
        <w:noProof/>
        <w:color w:val="A6A6A6"/>
      </w:rPr>
      <w:drawing>
        <wp:inline distT="0" distB="0" distL="0" distR="0">
          <wp:extent cx="1534909" cy="551877"/>
          <wp:effectExtent l="0" t="0" r="0" b="0"/>
          <wp:docPr id="3"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evenAndOddHeaders/>
  <w:characterSpacingControl w:val="doNotCompress"/>
  <w:footnotePr>
    <w:footnote w:id="0"/>
    <w:footnote w:id="1"/>
  </w:footnotePr>
  <w:endnotePr>
    <w:endnote w:id="0"/>
    <w:endnote w:id="1"/>
  </w:endnotePr>
  <w:compat/>
  <w:rsids>
    <w:rsidRoot w:val="00D10BC4"/>
    <w:rsid w:val="00007F1C"/>
    <w:rsid w:val="001A07BB"/>
    <w:rsid w:val="00292296"/>
    <w:rsid w:val="0048290D"/>
    <w:rsid w:val="004A7F0D"/>
    <w:rsid w:val="00511936"/>
    <w:rsid w:val="00632882"/>
    <w:rsid w:val="0066521E"/>
    <w:rsid w:val="0070173F"/>
    <w:rsid w:val="00750DF3"/>
    <w:rsid w:val="00801C1E"/>
    <w:rsid w:val="00906C9D"/>
    <w:rsid w:val="00980F69"/>
    <w:rsid w:val="00B968D1"/>
    <w:rsid w:val="00D10BC4"/>
    <w:rsid w:val="00D7407A"/>
    <w:rsid w:val="00F65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31"/>
  </w:style>
  <w:style w:type="paragraph" w:styleId="Heading1">
    <w:name w:val="heading 1"/>
    <w:basedOn w:val="Normal"/>
    <w:next w:val="Normal"/>
    <w:uiPriority w:val="9"/>
    <w:qFormat/>
    <w:rsid w:val="00F65F31"/>
    <w:pPr>
      <w:spacing w:before="240"/>
      <w:ind w:left="567" w:hanging="567"/>
      <w:outlineLvl w:val="0"/>
    </w:pPr>
    <w:rPr>
      <w:b/>
    </w:rPr>
  </w:style>
  <w:style w:type="paragraph" w:styleId="Heading2">
    <w:name w:val="heading 2"/>
    <w:basedOn w:val="Normal"/>
    <w:next w:val="Normal"/>
    <w:uiPriority w:val="9"/>
    <w:semiHidden/>
    <w:unhideWhenUsed/>
    <w:qFormat/>
    <w:rsid w:val="00F65F31"/>
    <w:pPr>
      <w:spacing w:before="240" w:after="200"/>
      <w:ind w:left="567" w:hanging="567"/>
      <w:outlineLvl w:val="1"/>
    </w:pPr>
    <w:rPr>
      <w:b/>
    </w:rPr>
  </w:style>
  <w:style w:type="paragraph" w:styleId="Heading3">
    <w:name w:val="heading 3"/>
    <w:basedOn w:val="Normal"/>
    <w:next w:val="Normal"/>
    <w:uiPriority w:val="9"/>
    <w:semiHidden/>
    <w:unhideWhenUsed/>
    <w:qFormat/>
    <w:rsid w:val="00F65F31"/>
    <w:pPr>
      <w:keepNext/>
      <w:keepLines/>
      <w:spacing w:before="40" w:after="120"/>
      <w:ind w:left="567" w:hanging="567"/>
      <w:outlineLvl w:val="2"/>
    </w:pPr>
    <w:rPr>
      <w:b/>
    </w:rPr>
  </w:style>
  <w:style w:type="paragraph" w:styleId="Heading4">
    <w:name w:val="heading 4"/>
    <w:basedOn w:val="Normal"/>
    <w:next w:val="Normal"/>
    <w:uiPriority w:val="9"/>
    <w:semiHidden/>
    <w:unhideWhenUsed/>
    <w:qFormat/>
    <w:rsid w:val="00F65F31"/>
    <w:pPr>
      <w:keepNext/>
      <w:keepLines/>
      <w:spacing w:before="40" w:after="120"/>
      <w:ind w:left="567" w:hanging="567"/>
      <w:outlineLvl w:val="3"/>
    </w:pPr>
    <w:rPr>
      <w:b/>
    </w:rPr>
  </w:style>
  <w:style w:type="paragraph" w:styleId="Heading5">
    <w:name w:val="heading 5"/>
    <w:basedOn w:val="Normal"/>
    <w:next w:val="Normal"/>
    <w:uiPriority w:val="9"/>
    <w:semiHidden/>
    <w:unhideWhenUsed/>
    <w:qFormat/>
    <w:rsid w:val="00F65F31"/>
    <w:pPr>
      <w:keepNext/>
      <w:keepLines/>
      <w:spacing w:before="40" w:after="120"/>
      <w:ind w:left="567" w:hanging="567"/>
      <w:outlineLvl w:val="4"/>
    </w:pPr>
    <w:rPr>
      <w:b/>
    </w:rPr>
  </w:style>
  <w:style w:type="paragraph" w:styleId="Heading6">
    <w:name w:val="heading 6"/>
    <w:basedOn w:val="Normal"/>
    <w:next w:val="Normal"/>
    <w:uiPriority w:val="9"/>
    <w:semiHidden/>
    <w:unhideWhenUsed/>
    <w:qFormat/>
    <w:rsid w:val="00F65F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65F31"/>
    <w:pPr>
      <w:spacing w:before="240" w:after="360"/>
      <w:jc w:val="center"/>
    </w:pPr>
    <w:rPr>
      <w:b/>
      <w:sz w:val="32"/>
      <w:szCs w:val="32"/>
    </w:rPr>
  </w:style>
  <w:style w:type="paragraph" w:styleId="Subtitle">
    <w:name w:val="Subtitle"/>
    <w:basedOn w:val="Normal"/>
    <w:next w:val="Normal"/>
    <w:uiPriority w:val="11"/>
    <w:qFormat/>
    <w:rsid w:val="00F65F31"/>
    <w:pPr>
      <w:spacing w:before="240"/>
    </w:pPr>
    <w:rPr>
      <w:b/>
    </w:rPr>
  </w:style>
  <w:style w:type="paragraph" w:styleId="BalloonText">
    <w:name w:val="Balloon Text"/>
    <w:basedOn w:val="Normal"/>
    <w:link w:val="BalloonTextChar"/>
    <w:uiPriority w:val="99"/>
    <w:semiHidden/>
    <w:unhideWhenUsed/>
    <w:rsid w:val="00B968D1"/>
    <w:pPr>
      <w:spacing w:before="0" w:after="0"/>
    </w:pPr>
    <w:rPr>
      <w:sz w:val="18"/>
      <w:szCs w:val="18"/>
    </w:rPr>
  </w:style>
  <w:style w:type="character" w:customStyle="1" w:styleId="BalloonTextChar">
    <w:name w:val="Balloon Text Char"/>
    <w:basedOn w:val="DefaultParagraphFont"/>
    <w:link w:val="BalloonText"/>
    <w:uiPriority w:val="99"/>
    <w:semiHidden/>
    <w:rsid w:val="00B968D1"/>
    <w:rPr>
      <w:sz w:val="18"/>
      <w:szCs w:val="18"/>
    </w:rPr>
  </w:style>
  <w:style w:type="character" w:styleId="Hyperlink">
    <w:name w:val="Hyperlink"/>
    <w:basedOn w:val="DefaultParagraphFont"/>
    <w:uiPriority w:val="99"/>
    <w:semiHidden/>
    <w:unhideWhenUsed/>
    <w:rsid w:val="00B968D1"/>
    <w:rPr>
      <w:color w:val="0000FF"/>
      <w:u w:val="single"/>
    </w:rPr>
  </w:style>
  <w:style w:type="paragraph" w:styleId="Header">
    <w:name w:val="header"/>
    <w:basedOn w:val="Normal"/>
    <w:link w:val="HeaderChar"/>
    <w:uiPriority w:val="99"/>
    <w:unhideWhenUsed/>
    <w:rsid w:val="00B968D1"/>
    <w:pPr>
      <w:tabs>
        <w:tab w:val="center" w:pos="4513"/>
        <w:tab w:val="right" w:pos="9026"/>
      </w:tabs>
      <w:spacing w:before="0" w:after="0"/>
    </w:pPr>
  </w:style>
  <w:style w:type="character" w:customStyle="1" w:styleId="HeaderChar">
    <w:name w:val="Header Char"/>
    <w:basedOn w:val="DefaultParagraphFont"/>
    <w:link w:val="Header"/>
    <w:uiPriority w:val="99"/>
    <w:rsid w:val="00B968D1"/>
  </w:style>
  <w:style w:type="paragraph" w:styleId="Footer">
    <w:name w:val="footer"/>
    <w:basedOn w:val="Normal"/>
    <w:link w:val="FooterChar"/>
    <w:uiPriority w:val="99"/>
    <w:unhideWhenUsed/>
    <w:rsid w:val="00B968D1"/>
    <w:pPr>
      <w:tabs>
        <w:tab w:val="center" w:pos="4513"/>
        <w:tab w:val="right" w:pos="9026"/>
      </w:tabs>
      <w:spacing w:before="0" w:after="0"/>
    </w:pPr>
  </w:style>
  <w:style w:type="character" w:customStyle="1" w:styleId="FooterChar">
    <w:name w:val="Footer Char"/>
    <w:basedOn w:val="DefaultParagraphFont"/>
    <w:link w:val="Footer"/>
    <w:uiPriority w:val="99"/>
    <w:rsid w:val="00B968D1"/>
  </w:style>
  <w:style w:type="character" w:styleId="CommentReference">
    <w:name w:val="annotation reference"/>
    <w:basedOn w:val="DefaultParagraphFont"/>
    <w:uiPriority w:val="99"/>
    <w:semiHidden/>
    <w:unhideWhenUsed/>
    <w:rsid w:val="00632882"/>
    <w:rPr>
      <w:sz w:val="16"/>
      <w:szCs w:val="16"/>
    </w:rPr>
  </w:style>
  <w:style w:type="paragraph" w:styleId="CommentText">
    <w:name w:val="annotation text"/>
    <w:basedOn w:val="Normal"/>
    <w:link w:val="CommentTextChar"/>
    <w:uiPriority w:val="99"/>
    <w:semiHidden/>
    <w:unhideWhenUsed/>
    <w:rsid w:val="00632882"/>
    <w:rPr>
      <w:sz w:val="20"/>
      <w:szCs w:val="20"/>
    </w:rPr>
  </w:style>
  <w:style w:type="character" w:customStyle="1" w:styleId="CommentTextChar">
    <w:name w:val="Comment Text Char"/>
    <w:basedOn w:val="DefaultParagraphFont"/>
    <w:link w:val="CommentText"/>
    <w:uiPriority w:val="99"/>
    <w:semiHidden/>
    <w:rsid w:val="00632882"/>
    <w:rPr>
      <w:sz w:val="20"/>
      <w:szCs w:val="20"/>
    </w:rPr>
  </w:style>
  <w:style w:type="paragraph" w:styleId="CommentSubject">
    <w:name w:val="annotation subject"/>
    <w:basedOn w:val="CommentText"/>
    <w:next w:val="CommentText"/>
    <w:link w:val="CommentSubjectChar"/>
    <w:uiPriority w:val="99"/>
    <w:semiHidden/>
    <w:unhideWhenUsed/>
    <w:rsid w:val="00632882"/>
    <w:rPr>
      <w:b/>
      <w:bCs/>
    </w:rPr>
  </w:style>
  <w:style w:type="character" w:customStyle="1" w:styleId="CommentSubjectChar">
    <w:name w:val="Comment Subject Char"/>
    <w:basedOn w:val="CommentTextChar"/>
    <w:link w:val="CommentSubject"/>
    <w:uiPriority w:val="99"/>
    <w:semiHidden/>
    <w:rsid w:val="00632882"/>
    <w:rPr>
      <w:b/>
      <w:bCs/>
      <w:sz w:val="20"/>
      <w:szCs w:val="20"/>
    </w:rPr>
  </w:style>
</w:styles>
</file>

<file path=word/webSettings.xml><?xml version="1.0" encoding="utf-8"?>
<w:webSettings xmlns:r="http://schemas.openxmlformats.org/officeDocument/2006/relationships" xmlns:w="http://schemas.openxmlformats.org/wordprocessingml/2006/main">
  <w:divs>
    <w:div w:id="84898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kscape.or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Vijay</cp:lastModifiedBy>
  <cp:revision>4</cp:revision>
  <dcterms:created xsi:type="dcterms:W3CDTF">2021-12-19T13:08:00Z</dcterms:created>
  <dcterms:modified xsi:type="dcterms:W3CDTF">2022-01-10T12:56:00Z</dcterms:modified>
</cp:coreProperties>
</file>