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927D" w14:textId="77777777" w:rsidR="00D9633D" w:rsidRPr="009A3193" w:rsidRDefault="00D9633D" w:rsidP="00D9633D">
      <w:pPr>
        <w:rPr>
          <w:b/>
          <w:sz w:val="44"/>
          <w:lang w:val="en-GB"/>
        </w:rPr>
      </w:pPr>
      <w:r w:rsidRPr="009A3193">
        <w:rPr>
          <w:b/>
          <w:sz w:val="44"/>
          <w:lang w:val="en-GB"/>
        </w:rPr>
        <w:t>Supplementary Material</w:t>
      </w:r>
    </w:p>
    <w:p w14:paraId="1F42CC0F" w14:textId="77777777" w:rsidR="00D9633D" w:rsidRPr="009A3193" w:rsidRDefault="00D9633D" w:rsidP="00D9633D">
      <w:pPr>
        <w:pStyle w:val="Sansinterligne"/>
        <w:contextualSpacing/>
        <w:rPr>
          <w:sz w:val="40"/>
          <w:szCs w:val="60"/>
          <w:lang w:val="en-GB"/>
        </w:rPr>
      </w:pPr>
    </w:p>
    <w:p w14:paraId="609B1EA9" w14:textId="77777777" w:rsidR="00D9633D" w:rsidRPr="009A3193" w:rsidRDefault="00D9633D" w:rsidP="00D9633D">
      <w:pPr>
        <w:pStyle w:val="Sansinterligne"/>
        <w:contextualSpacing/>
        <w:rPr>
          <w:b/>
          <w:sz w:val="32"/>
          <w:szCs w:val="60"/>
          <w:lang w:val="en-GB"/>
        </w:rPr>
      </w:pPr>
      <w:r w:rsidRPr="009A3193">
        <w:rPr>
          <w:b/>
          <w:sz w:val="32"/>
          <w:szCs w:val="60"/>
          <w:lang w:val="en-GB"/>
        </w:rPr>
        <w:t>Actions to halt biodiversity loss generally benefit the climate</w:t>
      </w:r>
    </w:p>
    <w:p w14:paraId="39F4109D" w14:textId="77777777" w:rsidR="00603E11" w:rsidRPr="009A3193" w:rsidRDefault="00603E11" w:rsidP="00603E11">
      <w:pPr>
        <w:pStyle w:val="Sansinterligne"/>
        <w:contextualSpacing/>
        <w:rPr>
          <w:rFonts w:ascii="Calibri" w:hAnsi="Calibri" w:cs="Calibri"/>
          <w:b/>
          <w:lang w:val="en-GB"/>
        </w:rPr>
      </w:pPr>
    </w:p>
    <w:p w14:paraId="632E1AFE" w14:textId="77777777" w:rsidR="00603E11" w:rsidRPr="009A3193" w:rsidRDefault="00603E11" w:rsidP="00603E11">
      <w:pPr>
        <w:pStyle w:val="Sansinterligne"/>
        <w:contextualSpacing/>
        <w:rPr>
          <w:rFonts w:ascii="Calibri" w:hAnsi="Calibri" w:cs="Calibri"/>
          <w:bCs/>
          <w:sz w:val="24"/>
          <w:vertAlign w:val="superscript"/>
          <w:lang w:val="en-GB"/>
        </w:rPr>
      </w:pPr>
      <w:r w:rsidRPr="009A3193">
        <w:rPr>
          <w:rFonts w:ascii="Calibri" w:hAnsi="Calibri" w:cs="Calibri"/>
          <w:bCs/>
          <w:sz w:val="24"/>
          <w:lang w:val="en-GB"/>
        </w:rPr>
        <w:t>Shin, Y. J.*, Midgley, G. F., Archer, E., Arneth, A., Barnes, D. K., Chan, L., Hashimoto, S., Hoegh-Guldberg, O., Insarov, G., Leadley, P., Levin, L. A., Ngo, H. T., Pandit, R., Pires, A. P. F., Pörtner, H. O., Rogers, A. D., Scholes, R. J., Settele, J., Smith, P.</w:t>
      </w:r>
    </w:p>
    <w:p w14:paraId="61D7B4D7" w14:textId="470648EF" w:rsidR="00AD0D09" w:rsidRPr="009A3193" w:rsidRDefault="000A6F1E" w:rsidP="009A3193">
      <w:pPr>
        <w:spacing w:before="240"/>
        <w:rPr>
          <w:lang w:val="en-GB"/>
        </w:rPr>
      </w:pPr>
      <w:r w:rsidRPr="009A3193">
        <w:rPr>
          <w:lang w:val="en-GB"/>
        </w:rPr>
        <w:t>*Corresponding author : yunne-jai.shin@ird.fr</w:t>
      </w:r>
    </w:p>
    <w:p w14:paraId="2B418DB3" w14:textId="77777777" w:rsidR="00AD0D09" w:rsidRPr="009A3193" w:rsidRDefault="00AD0D09">
      <w:pPr>
        <w:rPr>
          <w:b/>
          <w:lang w:val="en-GB"/>
        </w:rPr>
      </w:pPr>
      <w:r w:rsidRPr="009A3193">
        <w:rPr>
          <w:b/>
          <w:lang w:val="en-GB"/>
        </w:rPr>
        <w:t>Content :</w:t>
      </w:r>
    </w:p>
    <w:p w14:paraId="0CE5CD98" w14:textId="77777777" w:rsidR="00D9633D" w:rsidRPr="009A3193" w:rsidRDefault="000369A8">
      <w:pPr>
        <w:rPr>
          <w:lang w:val="en-GB"/>
        </w:rPr>
      </w:pPr>
      <w:r w:rsidRPr="009A3193">
        <w:rPr>
          <w:b/>
          <w:lang w:val="en-GB"/>
        </w:rPr>
        <w:t>Table S1 </w:t>
      </w:r>
      <w:r w:rsidRPr="009A3193">
        <w:rPr>
          <w:lang w:val="en-GB"/>
        </w:rPr>
        <w:t>: Literature references supporting Table 1</w:t>
      </w:r>
    </w:p>
    <w:p w14:paraId="670CF138" w14:textId="6886FDFF" w:rsidR="000369A8" w:rsidRPr="009A3193" w:rsidRDefault="000369A8">
      <w:pPr>
        <w:rPr>
          <w:lang w:val="en-GB"/>
        </w:rPr>
      </w:pPr>
      <w:r w:rsidRPr="009A3193">
        <w:rPr>
          <w:b/>
          <w:lang w:val="en-GB"/>
        </w:rPr>
        <w:t>Table S2 </w:t>
      </w:r>
      <w:r w:rsidRPr="009A3193">
        <w:rPr>
          <w:lang w:val="en-GB"/>
        </w:rPr>
        <w:t>: Literature references supporting Figure 1</w:t>
      </w:r>
      <w:r w:rsidR="007E3CFD">
        <w:rPr>
          <w:lang w:val="en-GB"/>
        </w:rPr>
        <w:t xml:space="preserve"> and Table 2</w:t>
      </w:r>
    </w:p>
    <w:p w14:paraId="768EE99A" w14:textId="1F7184E8" w:rsidR="000369A8" w:rsidRPr="009A3193" w:rsidRDefault="000369A8">
      <w:pPr>
        <w:rPr>
          <w:lang w:val="en-GB"/>
        </w:rPr>
      </w:pPr>
      <w:r w:rsidRPr="009A3193">
        <w:rPr>
          <w:b/>
          <w:lang w:val="en-GB"/>
        </w:rPr>
        <w:t>Table S3 </w:t>
      </w:r>
      <w:r w:rsidRPr="009A3193">
        <w:rPr>
          <w:lang w:val="en-GB"/>
        </w:rPr>
        <w:t>: Full description of case studies supporting Figure 1</w:t>
      </w:r>
      <w:r w:rsidR="007E3CFD">
        <w:rPr>
          <w:lang w:val="en-GB"/>
        </w:rPr>
        <w:t>, Table 2</w:t>
      </w:r>
      <w:r w:rsidRPr="009A3193">
        <w:rPr>
          <w:lang w:val="en-GB"/>
        </w:rPr>
        <w:t xml:space="preserve"> and section 3</w:t>
      </w:r>
    </w:p>
    <w:p w14:paraId="63A4A73D" w14:textId="77777777" w:rsidR="00BA37EE" w:rsidRPr="009A3193" w:rsidRDefault="00BA37EE">
      <w:pPr>
        <w:rPr>
          <w:b/>
          <w:lang w:val="en-GB"/>
        </w:rPr>
      </w:pPr>
      <w:r w:rsidRPr="009A3193">
        <w:rPr>
          <w:b/>
          <w:lang w:val="en-GB"/>
        </w:rPr>
        <w:t>References</w:t>
      </w:r>
    </w:p>
    <w:p w14:paraId="3EB0B763" w14:textId="77777777" w:rsidR="00AD0D09" w:rsidRPr="009A3193" w:rsidRDefault="00AD0D09">
      <w:pPr>
        <w:rPr>
          <w:lang w:val="en-GB"/>
        </w:rPr>
      </w:pPr>
    </w:p>
    <w:p w14:paraId="1C781DD8" w14:textId="77777777" w:rsidR="009B1269" w:rsidRPr="009A3193" w:rsidRDefault="009B1269">
      <w:pPr>
        <w:rPr>
          <w:lang w:val="en-GB"/>
        </w:rPr>
      </w:pPr>
      <w:r w:rsidRPr="009A3193">
        <w:rPr>
          <w:lang w:val="en-GB"/>
        </w:rPr>
        <w:br w:type="page"/>
      </w:r>
    </w:p>
    <w:p w14:paraId="471DA8E2" w14:textId="77777777" w:rsidR="009B1269" w:rsidRPr="009A3193" w:rsidRDefault="009B1269" w:rsidP="009B1269">
      <w:pPr>
        <w:rPr>
          <w:sz w:val="20"/>
          <w:lang w:val="en-GB"/>
        </w:rPr>
      </w:pPr>
      <w:r w:rsidRPr="009A3193">
        <w:rPr>
          <w:b/>
          <w:lang w:val="en-GB"/>
        </w:rPr>
        <w:lastRenderedPageBreak/>
        <w:t>Table S1 </w:t>
      </w:r>
      <w:r w:rsidRPr="009A3193">
        <w:rPr>
          <w:lang w:val="en-GB"/>
        </w:rPr>
        <w:t xml:space="preserve">: </w:t>
      </w:r>
      <w:r w:rsidRPr="009A3193">
        <w:rPr>
          <w:sz w:val="20"/>
          <w:lang w:val="en-GB"/>
        </w:rPr>
        <w:t>Literature references supporting Table 1</w:t>
      </w:r>
    </w:p>
    <w:tbl>
      <w:tblPr>
        <w:tblStyle w:val="Grilledutableau"/>
        <w:tblW w:w="9776" w:type="dxa"/>
        <w:tblInd w:w="-289" w:type="dxa"/>
        <w:tblLook w:val="04A0" w:firstRow="1" w:lastRow="0" w:firstColumn="1" w:lastColumn="0" w:noHBand="0" w:noVBand="1"/>
      </w:tblPr>
      <w:tblGrid>
        <w:gridCol w:w="2350"/>
        <w:gridCol w:w="2040"/>
        <w:gridCol w:w="2693"/>
        <w:gridCol w:w="2693"/>
      </w:tblGrid>
      <w:tr w:rsidR="00677A23" w:rsidRPr="009A3193" w14:paraId="4E5C7B62" w14:textId="77777777" w:rsidTr="00DF6488">
        <w:tc>
          <w:tcPr>
            <w:tcW w:w="2350" w:type="dxa"/>
          </w:tcPr>
          <w:p w14:paraId="57E4AF88" w14:textId="77777777" w:rsidR="00677A23" w:rsidRPr="009A3193" w:rsidRDefault="00677A23">
            <w:pPr>
              <w:rPr>
                <w:rFonts w:ascii="Arial" w:hAnsi="Arial" w:cs="Arial"/>
                <w:b/>
                <w:sz w:val="18"/>
                <w:szCs w:val="18"/>
                <w:lang w:val="en-GB"/>
              </w:rPr>
            </w:pPr>
            <w:r w:rsidRPr="009A3193">
              <w:rPr>
                <w:rFonts w:ascii="Arial" w:hAnsi="Arial" w:cs="Arial"/>
                <w:b/>
                <w:sz w:val="18"/>
                <w:szCs w:val="18"/>
                <w:lang w:val="en-GB"/>
              </w:rPr>
              <w:t>Post2020 action targets</w:t>
            </w:r>
          </w:p>
        </w:tc>
        <w:tc>
          <w:tcPr>
            <w:tcW w:w="2040" w:type="dxa"/>
          </w:tcPr>
          <w:p w14:paraId="7B2ECE8B" w14:textId="77777777" w:rsidR="00677A23" w:rsidRPr="009A3193" w:rsidRDefault="00677A23">
            <w:pPr>
              <w:rPr>
                <w:rFonts w:ascii="Arial" w:hAnsi="Arial" w:cs="Arial"/>
                <w:b/>
                <w:sz w:val="18"/>
                <w:szCs w:val="18"/>
                <w:lang w:val="en-GB"/>
              </w:rPr>
            </w:pPr>
            <w:r w:rsidRPr="009A3193">
              <w:rPr>
                <w:rFonts w:ascii="Arial" w:hAnsi="Arial" w:cs="Arial"/>
                <w:b/>
                <w:sz w:val="18"/>
                <w:szCs w:val="18"/>
                <w:lang w:val="en-GB"/>
              </w:rPr>
              <w:t>Biodiversity measures</w:t>
            </w:r>
          </w:p>
        </w:tc>
        <w:tc>
          <w:tcPr>
            <w:tcW w:w="2693" w:type="dxa"/>
          </w:tcPr>
          <w:p w14:paraId="4DB6980A" w14:textId="77777777" w:rsidR="00677A23" w:rsidRPr="009A3193" w:rsidRDefault="00677A23">
            <w:pPr>
              <w:rPr>
                <w:rFonts w:ascii="Arial" w:hAnsi="Arial" w:cs="Arial"/>
                <w:b/>
                <w:sz w:val="18"/>
                <w:szCs w:val="18"/>
                <w:lang w:val="en-GB"/>
              </w:rPr>
            </w:pPr>
            <w:r w:rsidRPr="009A3193">
              <w:rPr>
                <w:rFonts w:ascii="Arial" w:hAnsi="Arial" w:cs="Arial"/>
                <w:b/>
                <w:sz w:val="18"/>
                <w:szCs w:val="18"/>
                <w:lang w:val="en-GB"/>
              </w:rPr>
              <w:t>Effects on climate change mitigation</w:t>
            </w:r>
          </w:p>
        </w:tc>
        <w:tc>
          <w:tcPr>
            <w:tcW w:w="2693" w:type="dxa"/>
          </w:tcPr>
          <w:p w14:paraId="70F3A70C" w14:textId="77777777" w:rsidR="00677A23" w:rsidRPr="009A3193" w:rsidRDefault="00677A23">
            <w:pPr>
              <w:rPr>
                <w:rFonts w:ascii="Arial" w:hAnsi="Arial" w:cs="Arial"/>
                <w:b/>
                <w:sz w:val="18"/>
                <w:szCs w:val="18"/>
                <w:lang w:val="en-GB"/>
              </w:rPr>
            </w:pPr>
            <w:r w:rsidRPr="009A3193">
              <w:rPr>
                <w:rFonts w:ascii="Arial" w:hAnsi="Arial" w:cs="Arial"/>
                <w:b/>
                <w:sz w:val="18"/>
                <w:szCs w:val="18"/>
                <w:lang w:val="en-GB"/>
              </w:rPr>
              <w:t>Reliability of mitigation outcome</w:t>
            </w:r>
          </w:p>
        </w:tc>
      </w:tr>
      <w:tr w:rsidR="00EC5BF5" w:rsidRPr="009A3193" w14:paraId="67BE82FF" w14:textId="77777777" w:rsidTr="00DF6488">
        <w:tc>
          <w:tcPr>
            <w:tcW w:w="2350" w:type="dxa"/>
            <w:vMerge w:val="restart"/>
          </w:tcPr>
          <w:p w14:paraId="4CF63A8A" w14:textId="77777777" w:rsidR="00EC5BF5" w:rsidRPr="009A3193" w:rsidRDefault="00EC5BF5">
            <w:pPr>
              <w:rPr>
                <w:rFonts w:ascii="Arial" w:hAnsi="Arial" w:cs="Arial"/>
                <w:sz w:val="18"/>
                <w:szCs w:val="18"/>
                <w:lang w:val="en-GB"/>
              </w:rPr>
            </w:pPr>
            <w:r w:rsidRPr="009A3193">
              <w:rPr>
                <w:rFonts w:ascii="Arial" w:hAnsi="Arial" w:cs="Arial"/>
                <w:bCs/>
                <w:sz w:val="18"/>
                <w:szCs w:val="18"/>
                <w:lang w:val="en-GB"/>
              </w:rPr>
              <w:t>T1</w:t>
            </w:r>
            <w:r w:rsidRPr="009A3193">
              <w:rPr>
                <w:rFonts w:ascii="Arial" w:hAnsi="Arial" w:cs="Arial"/>
                <w:sz w:val="18"/>
                <w:szCs w:val="18"/>
                <w:lang w:val="en-GB"/>
              </w:rPr>
              <w:t>. Biodiversity-inclusive spatial planning addressing land/sea use change, retaining intact and wilderness areas</w:t>
            </w:r>
          </w:p>
        </w:tc>
        <w:tc>
          <w:tcPr>
            <w:tcW w:w="2040" w:type="dxa"/>
          </w:tcPr>
          <w:p w14:paraId="1D30951B" w14:textId="77777777" w:rsidR="00EC5BF5" w:rsidRPr="009A3193" w:rsidRDefault="00EC5BF5" w:rsidP="00032A4F">
            <w:pPr>
              <w:rPr>
                <w:rFonts w:ascii="Arial" w:hAnsi="Arial" w:cs="Arial"/>
                <w:sz w:val="18"/>
                <w:szCs w:val="18"/>
                <w:lang w:val="en-GB"/>
              </w:rPr>
            </w:pPr>
            <w:r w:rsidRPr="009A3193">
              <w:rPr>
                <w:rFonts w:ascii="Arial" w:hAnsi="Arial" w:cs="Arial"/>
                <w:sz w:val="18"/>
                <w:szCs w:val="18"/>
                <w:lang w:val="en-GB"/>
              </w:rPr>
              <w:t>Avoiding degradation of permafrost areas</w:t>
            </w:r>
          </w:p>
          <w:p w14:paraId="6BD4DF88" w14:textId="77777777" w:rsidR="00EC5BF5" w:rsidRPr="009A3193" w:rsidRDefault="00EC5BF5">
            <w:pPr>
              <w:rPr>
                <w:rFonts w:ascii="Arial" w:hAnsi="Arial" w:cs="Arial"/>
                <w:sz w:val="18"/>
                <w:szCs w:val="18"/>
                <w:lang w:val="en-GB"/>
              </w:rPr>
            </w:pPr>
          </w:p>
        </w:tc>
        <w:tc>
          <w:tcPr>
            <w:tcW w:w="2693" w:type="dxa"/>
          </w:tcPr>
          <w:p w14:paraId="6090637C" w14:textId="77777777" w:rsidR="00EC5BF5" w:rsidRPr="009A3193" w:rsidRDefault="00EC5BF5">
            <w:pPr>
              <w:rPr>
                <w:rFonts w:ascii="Arial" w:hAnsi="Arial" w:cs="Arial"/>
                <w:sz w:val="18"/>
                <w:szCs w:val="18"/>
                <w:lang w:val="en-GB"/>
              </w:rPr>
            </w:pPr>
            <w:r w:rsidRPr="009A3193">
              <w:rPr>
                <w:rFonts w:ascii="Arial" w:hAnsi="Arial" w:cs="Arial"/>
                <w:color w:val="000000"/>
                <w:sz w:val="18"/>
                <w:szCs w:val="18"/>
                <w:lang w:val="en-GB"/>
              </w:rPr>
              <w:t>Cahoon et al. 2012; Falk et al. 2015; te Beest et al. 2016; Schmitz et al. 2018; Beer et al. 2020</w:t>
            </w:r>
          </w:p>
        </w:tc>
        <w:tc>
          <w:tcPr>
            <w:tcW w:w="2693" w:type="dxa"/>
          </w:tcPr>
          <w:p w14:paraId="1E456849" w14:textId="77777777" w:rsidR="00EC5BF5" w:rsidRPr="009A3193" w:rsidRDefault="00EC5BF5">
            <w:pPr>
              <w:rPr>
                <w:rFonts w:ascii="Arial" w:hAnsi="Arial" w:cs="Arial"/>
                <w:sz w:val="18"/>
                <w:szCs w:val="18"/>
                <w:lang w:val="en-GB"/>
              </w:rPr>
            </w:pPr>
            <w:r w:rsidRPr="009A3193">
              <w:rPr>
                <w:rFonts w:ascii="Arial" w:hAnsi="Arial" w:cs="Arial"/>
                <w:color w:val="000000"/>
                <w:sz w:val="18"/>
                <w:szCs w:val="18"/>
                <w:lang w:val="en-GB"/>
              </w:rPr>
              <w:t>Falk et al. 2015; Schmitz et al. 2018</w:t>
            </w:r>
          </w:p>
        </w:tc>
      </w:tr>
      <w:tr w:rsidR="00EC5BF5" w:rsidRPr="009A3193" w14:paraId="38E9705B" w14:textId="77777777" w:rsidTr="00DF6488">
        <w:tc>
          <w:tcPr>
            <w:tcW w:w="2350" w:type="dxa"/>
            <w:vMerge/>
          </w:tcPr>
          <w:p w14:paraId="12B45F9C" w14:textId="77777777" w:rsidR="00EC5BF5" w:rsidRPr="009A3193" w:rsidRDefault="00EC5BF5">
            <w:pPr>
              <w:rPr>
                <w:rFonts w:ascii="Arial" w:hAnsi="Arial" w:cs="Arial"/>
                <w:bCs/>
                <w:sz w:val="18"/>
                <w:szCs w:val="18"/>
                <w:lang w:val="en-GB"/>
              </w:rPr>
            </w:pPr>
          </w:p>
        </w:tc>
        <w:tc>
          <w:tcPr>
            <w:tcW w:w="2040" w:type="dxa"/>
          </w:tcPr>
          <w:p w14:paraId="2CC49786" w14:textId="77777777" w:rsidR="00EC5BF5" w:rsidRPr="009A3193" w:rsidRDefault="00EC5BF5" w:rsidP="00032A4F">
            <w:pPr>
              <w:rPr>
                <w:rFonts w:ascii="Arial" w:hAnsi="Arial" w:cs="Arial"/>
                <w:sz w:val="18"/>
                <w:szCs w:val="18"/>
                <w:lang w:val="en-GB"/>
              </w:rPr>
            </w:pPr>
            <w:r w:rsidRPr="009A3193">
              <w:rPr>
                <w:rFonts w:ascii="Arial" w:hAnsi="Arial" w:cs="Arial"/>
                <w:sz w:val="18"/>
                <w:szCs w:val="18"/>
                <w:lang w:val="en-GB"/>
              </w:rPr>
              <w:t>Avoided deforestation</w:t>
            </w:r>
          </w:p>
        </w:tc>
        <w:tc>
          <w:tcPr>
            <w:tcW w:w="2693" w:type="dxa"/>
          </w:tcPr>
          <w:p w14:paraId="0CF5BDD5" w14:textId="77777777" w:rsidR="00EC5BF5" w:rsidRPr="009A3193" w:rsidRDefault="00EC5BF5">
            <w:pPr>
              <w:rPr>
                <w:rFonts w:ascii="Arial" w:hAnsi="Arial" w:cs="Arial"/>
                <w:color w:val="000000"/>
                <w:sz w:val="18"/>
                <w:szCs w:val="18"/>
                <w:lang w:val="en-GB"/>
              </w:rPr>
            </w:pPr>
            <w:r w:rsidRPr="009A3193">
              <w:rPr>
                <w:rFonts w:ascii="Arial" w:hAnsi="Arial" w:cs="Arial"/>
                <w:color w:val="000000"/>
                <w:sz w:val="18"/>
                <w:szCs w:val="18"/>
                <w:lang w:val="en-GB"/>
              </w:rPr>
              <w:t>Gullison et al 2007; Johnson et al., 2019 ; West et al., 2019</w:t>
            </w:r>
          </w:p>
        </w:tc>
        <w:tc>
          <w:tcPr>
            <w:tcW w:w="2693" w:type="dxa"/>
          </w:tcPr>
          <w:p w14:paraId="4A80592A" w14:textId="77777777" w:rsidR="00EC5BF5" w:rsidRPr="009A3193" w:rsidRDefault="00EC5BF5">
            <w:pPr>
              <w:rPr>
                <w:rFonts w:ascii="Arial" w:hAnsi="Arial" w:cs="Arial"/>
                <w:color w:val="000000"/>
                <w:sz w:val="18"/>
                <w:szCs w:val="18"/>
                <w:lang w:val="en-GB"/>
              </w:rPr>
            </w:pPr>
            <w:r w:rsidRPr="009A3193">
              <w:rPr>
                <w:rFonts w:ascii="Arial" w:hAnsi="Arial" w:cs="Arial"/>
                <w:color w:val="000000"/>
                <w:sz w:val="18"/>
                <w:szCs w:val="18"/>
                <w:lang w:val="en-GB"/>
              </w:rPr>
              <w:t>Ekawati et al 2019 ; Gizachew et al 2017</w:t>
            </w:r>
          </w:p>
        </w:tc>
      </w:tr>
      <w:tr w:rsidR="001B1F96" w:rsidRPr="009A3193" w14:paraId="7982A9EA" w14:textId="77777777" w:rsidTr="00DF6488">
        <w:tc>
          <w:tcPr>
            <w:tcW w:w="2350" w:type="dxa"/>
            <w:vMerge w:val="restart"/>
          </w:tcPr>
          <w:p w14:paraId="6E883390" w14:textId="77777777" w:rsidR="001B1F96" w:rsidRPr="009A3193" w:rsidRDefault="001B1F96" w:rsidP="00677A23">
            <w:pPr>
              <w:rPr>
                <w:rFonts w:ascii="Arial" w:hAnsi="Arial" w:cs="Arial"/>
                <w:sz w:val="18"/>
                <w:szCs w:val="18"/>
                <w:lang w:val="en-GB"/>
              </w:rPr>
            </w:pPr>
            <w:r w:rsidRPr="009A3193">
              <w:rPr>
                <w:rFonts w:ascii="Arial" w:hAnsi="Arial" w:cs="Arial"/>
                <w:bCs/>
                <w:sz w:val="18"/>
                <w:szCs w:val="18"/>
                <w:lang w:val="en-GB"/>
              </w:rPr>
              <w:t>T2</w:t>
            </w:r>
            <w:r w:rsidRPr="009A3193">
              <w:rPr>
                <w:rFonts w:ascii="Arial" w:hAnsi="Arial" w:cs="Arial"/>
                <w:sz w:val="18"/>
                <w:szCs w:val="18"/>
                <w:lang w:val="en-GB"/>
              </w:rPr>
              <w:t>. Restoration of at least 20% of degraded ecosystems, ensured connectivity and focus on priority areas</w:t>
            </w:r>
          </w:p>
          <w:p w14:paraId="7A2F19B7" w14:textId="77777777" w:rsidR="001B1F96" w:rsidRPr="009A3193" w:rsidRDefault="001B1F96">
            <w:pPr>
              <w:rPr>
                <w:rFonts w:ascii="Arial" w:hAnsi="Arial" w:cs="Arial"/>
                <w:sz w:val="18"/>
                <w:szCs w:val="18"/>
                <w:lang w:val="en-GB"/>
              </w:rPr>
            </w:pPr>
          </w:p>
        </w:tc>
        <w:tc>
          <w:tcPr>
            <w:tcW w:w="2040" w:type="dxa"/>
          </w:tcPr>
          <w:p w14:paraId="7BFA6BCD" w14:textId="77777777" w:rsidR="001B1F96" w:rsidRPr="009A3193" w:rsidRDefault="001B1F96" w:rsidP="005D5FFE">
            <w:pPr>
              <w:rPr>
                <w:rFonts w:ascii="Arial" w:hAnsi="Arial" w:cs="Arial"/>
                <w:sz w:val="18"/>
                <w:szCs w:val="18"/>
                <w:lang w:val="en-GB"/>
              </w:rPr>
            </w:pPr>
            <w:r w:rsidRPr="009A3193">
              <w:rPr>
                <w:rFonts w:ascii="Arial" w:hAnsi="Arial" w:cs="Arial"/>
                <w:sz w:val="18"/>
                <w:szCs w:val="18"/>
                <w:lang w:val="en-GB"/>
              </w:rPr>
              <w:t xml:space="preserve">Reforestation, avoided degradation </w:t>
            </w:r>
            <w:r w:rsidR="001A784A" w:rsidRPr="009A3193">
              <w:rPr>
                <w:rFonts w:ascii="Arial" w:hAnsi="Arial" w:cs="Arial"/>
                <w:sz w:val="18"/>
                <w:szCs w:val="18"/>
                <w:lang w:val="en-GB"/>
              </w:rPr>
              <w:t>of forests</w:t>
            </w:r>
          </w:p>
          <w:p w14:paraId="51068E15" w14:textId="77777777" w:rsidR="001B1F96" w:rsidRPr="009A3193" w:rsidRDefault="001B1F96">
            <w:pPr>
              <w:rPr>
                <w:rFonts w:ascii="Arial" w:hAnsi="Arial" w:cs="Arial"/>
                <w:sz w:val="18"/>
                <w:szCs w:val="18"/>
                <w:lang w:val="en-GB"/>
              </w:rPr>
            </w:pPr>
          </w:p>
        </w:tc>
        <w:tc>
          <w:tcPr>
            <w:tcW w:w="2693" w:type="dxa"/>
          </w:tcPr>
          <w:p w14:paraId="0385AA27" w14:textId="77777777" w:rsidR="001B1F96" w:rsidRPr="009A3193" w:rsidRDefault="001B1F96" w:rsidP="00E764DE">
            <w:pPr>
              <w:rPr>
                <w:rFonts w:ascii="Arial" w:hAnsi="Arial" w:cs="Arial"/>
                <w:sz w:val="18"/>
                <w:szCs w:val="18"/>
                <w:lang w:val="en-GB"/>
              </w:rPr>
            </w:pPr>
            <w:r w:rsidRPr="009A3193">
              <w:rPr>
                <w:rFonts w:ascii="Arial" w:hAnsi="Arial" w:cs="Arial"/>
                <w:color w:val="000000"/>
                <w:sz w:val="18"/>
                <w:szCs w:val="18"/>
                <w:lang w:val="en-GB"/>
              </w:rPr>
              <w:t>Mackey et al 2020; McNicholl et al 2018 ; Romijn et al 2011 ; Sileshi 2016 ; Kemppinen et al 2020 ; Bon</w:t>
            </w:r>
            <w:r w:rsidR="00EE6A54" w:rsidRPr="009A3193">
              <w:rPr>
                <w:rFonts w:ascii="Arial" w:hAnsi="Arial" w:cs="Arial"/>
                <w:color w:val="000000"/>
                <w:sz w:val="18"/>
                <w:szCs w:val="18"/>
                <w:lang w:val="en-GB"/>
              </w:rPr>
              <w:t>d et al 2019; Abreu et al 2017</w:t>
            </w:r>
          </w:p>
        </w:tc>
        <w:tc>
          <w:tcPr>
            <w:tcW w:w="2693" w:type="dxa"/>
          </w:tcPr>
          <w:p w14:paraId="39DD4A93" w14:textId="77777777" w:rsidR="001B1F96" w:rsidRPr="009A3193" w:rsidRDefault="00716AE8" w:rsidP="00D60B90">
            <w:pPr>
              <w:rPr>
                <w:rFonts w:ascii="Arial" w:hAnsi="Arial" w:cs="Arial"/>
                <w:sz w:val="18"/>
                <w:szCs w:val="18"/>
                <w:lang w:val="en-GB"/>
              </w:rPr>
            </w:pPr>
            <w:r w:rsidRPr="009A3193">
              <w:rPr>
                <w:rFonts w:ascii="Arial" w:hAnsi="Arial" w:cs="Arial"/>
                <w:color w:val="000000"/>
                <w:sz w:val="18"/>
                <w:szCs w:val="18"/>
                <w:lang w:val="en-GB"/>
              </w:rPr>
              <w:t>Mackey et al 2020 ; Laura</w:t>
            </w:r>
            <w:r w:rsidR="001B1F96" w:rsidRPr="009A3193">
              <w:rPr>
                <w:rFonts w:ascii="Arial" w:hAnsi="Arial" w:cs="Arial"/>
                <w:color w:val="000000"/>
                <w:sz w:val="18"/>
                <w:szCs w:val="18"/>
                <w:lang w:val="en-GB"/>
              </w:rPr>
              <w:t>nce et al 2016 ; Queensland Dept Science, Information and Technology and Innovation 2017 ; McNicholl et al 2018 ; Sileshi 2016 ; Kemppinen et al 2020 ; Lewis et al 2019 ; Stevens et al 2017 ; Abreu et a</w:t>
            </w:r>
            <w:r w:rsidR="00D60B90" w:rsidRPr="009A3193">
              <w:rPr>
                <w:rFonts w:ascii="Arial" w:hAnsi="Arial" w:cs="Arial"/>
                <w:color w:val="000000"/>
                <w:sz w:val="18"/>
                <w:szCs w:val="18"/>
                <w:lang w:val="en-GB"/>
              </w:rPr>
              <w:t>l 2017 ; Panfil &amp; Harvey 2015</w:t>
            </w:r>
          </w:p>
        </w:tc>
      </w:tr>
      <w:tr w:rsidR="001B1F96" w:rsidRPr="009A3193" w14:paraId="1E0AC519" w14:textId="77777777" w:rsidTr="00DF6488">
        <w:tc>
          <w:tcPr>
            <w:tcW w:w="2350" w:type="dxa"/>
            <w:vMerge/>
          </w:tcPr>
          <w:p w14:paraId="24BD5EE9" w14:textId="77777777" w:rsidR="001B1F96" w:rsidRPr="009A3193" w:rsidRDefault="001B1F96" w:rsidP="00677A23">
            <w:pPr>
              <w:rPr>
                <w:rFonts w:ascii="Arial" w:hAnsi="Arial" w:cs="Arial"/>
                <w:bCs/>
                <w:sz w:val="18"/>
                <w:szCs w:val="18"/>
                <w:lang w:val="en-GB"/>
              </w:rPr>
            </w:pPr>
          </w:p>
        </w:tc>
        <w:tc>
          <w:tcPr>
            <w:tcW w:w="2040" w:type="dxa"/>
          </w:tcPr>
          <w:p w14:paraId="0FEECF83" w14:textId="77777777" w:rsidR="001B1F96" w:rsidRPr="009A3193" w:rsidRDefault="001B1F96" w:rsidP="005D5FFE">
            <w:pPr>
              <w:rPr>
                <w:rFonts w:ascii="Arial" w:hAnsi="Arial" w:cs="Arial"/>
                <w:sz w:val="18"/>
                <w:szCs w:val="18"/>
                <w:lang w:val="en-GB"/>
              </w:rPr>
            </w:pPr>
            <w:r w:rsidRPr="009A3193">
              <w:rPr>
                <w:rFonts w:ascii="Arial" w:hAnsi="Arial" w:cs="Arial"/>
                <w:sz w:val="18"/>
                <w:szCs w:val="18"/>
                <w:lang w:val="en-GB"/>
              </w:rPr>
              <w:t>Coastal restoration</w:t>
            </w:r>
          </w:p>
          <w:p w14:paraId="579B9746" w14:textId="77777777" w:rsidR="001B1F96" w:rsidRPr="009A3193" w:rsidRDefault="001B1F96">
            <w:pPr>
              <w:rPr>
                <w:rFonts w:ascii="Arial" w:hAnsi="Arial" w:cs="Arial"/>
                <w:sz w:val="18"/>
                <w:szCs w:val="18"/>
                <w:lang w:val="en-GB"/>
              </w:rPr>
            </w:pPr>
          </w:p>
        </w:tc>
        <w:tc>
          <w:tcPr>
            <w:tcW w:w="2693" w:type="dxa"/>
          </w:tcPr>
          <w:p w14:paraId="07074B99"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Pendleton et al 2011; Stankovic et al. 2021; Lovelock and Duarte 2019; Pendleton et al 2012; Hoegh-Guldberg et al. 2019 a,b</w:t>
            </w:r>
          </w:p>
        </w:tc>
        <w:tc>
          <w:tcPr>
            <w:tcW w:w="2693" w:type="dxa"/>
          </w:tcPr>
          <w:p w14:paraId="3DEBE707"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Hoegh-Guldberg 2019b; Lovelock and Duarte 2019; Pendleton et al 2011; Bayraktarov et al. 2020</w:t>
            </w:r>
          </w:p>
        </w:tc>
      </w:tr>
      <w:tr w:rsidR="001B1F96" w:rsidRPr="009A3193" w14:paraId="6BA2E15A" w14:textId="77777777" w:rsidTr="00DF6488">
        <w:tc>
          <w:tcPr>
            <w:tcW w:w="2350" w:type="dxa"/>
            <w:vMerge/>
          </w:tcPr>
          <w:p w14:paraId="1E38037C" w14:textId="77777777" w:rsidR="001B1F96" w:rsidRPr="009A3193" w:rsidRDefault="001B1F96" w:rsidP="00677A23">
            <w:pPr>
              <w:rPr>
                <w:rFonts w:ascii="Arial" w:hAnsi="Arial" w:cs="Arial"/>
                <w:bCs/>
                <w:sz w:val="18"/>
                <w:szCs w:val="18"/>
                <w:lang w:val="en-GB"/>
              </w:rPr>
            </w:pPr>
          </w:p>
        </w:tc>
        <w:tc>
          <w:tcPr>
            <w:tcW w:w="2040" w:type="dxa"/>
          </w:tcPr>
          <w:p w14:paraId="65EA76C0" w14:textId="77777777" w:rsidR="001B1F96" w:rsidRPr="009A3193" w:rsidRDefault="001B1F96" w:rsidP="005D5FFE">
            <w:pPr>
              <w:rPr>
                <w:rFonts w:ascii="Arial" w:hAnsi="Arial" w:cs="Arial"/>
                <w:sz w:val="18"/>
                <w:szCs w:val="18"/>
                <w:lang w:val="en-GB"/>
              </w:rPr>
            </w:pPr>
            <w:r w:rsidRPr="009A3193">
              <w:rPr>
                <w:rFonts w:ascii="Arial" w:hAnsi="Arial" w:cs="Arial"/>
                <w:sz w:val="18"/>
                <w:szCs w:val="18"/>
                <w:lang w:val="en-GB"/>
              </w:rPr>
              <w:t>Restoring degraded semi-arid ecosystems</w:t>
            </w:r>
          </w:p>
          <w:p w14:paraId="6EDA8142" w14:textId="77777777" w:rsidR="001B1F96" w:rsidRPr="009A3193" w:rsidRDefault="001B1F96">
            <w:pPr>
              <w:rPr>
                <w:rFonts w:ascii="Arial" w:hAnsi="Arial" w:cs="Arial"/>
                <w:sz w:val="18"/>
                <w:szCs w:val="18"/>
                <w:lang w:val="en-GB"/>
              </w:rPr>
            </w:pPr>
          </w:p>
        </w:tc>
        <w:tc>
          <w:tcPr>
            <w:tcW w:w="2693" w:type="dxa"/>
          </w:tcPr>
          <w:p w14:paraId="4F9DB531"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Chappell et al 2016, 2019; Yusuf et al 2015 ; Fensholt et al 2012</w:t>
            </w:r>
          </w:p>
        </w:tc>
        <w:tc>
          <w:tcPr>
            <w:tcW w:w="2693" w:type="dxa"/>
          </w:tcPr>
          <w:p w14:paraId="703CE826"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Byron-Cox 2020 ; Yusuf et al 2015 ; Gosnall et al 2020</w:t>
            </w:r>
          </w:p>
        </w:tc>
      </w:tr>
      <w:tr w:rsidR="001B1F96" w:rsidRPr="009A3193" w14:paraId="2754E394" w14:textId="77777777" w:rsidTr="00DF6488">
        <w:tc>
          <w:tcPr>
            <w:tcW w:w="2350" w:type="dxa"/>
            <w:vMerge/>
          </w:tcPr>
          <w:p w14:paraId="62AC3B18" w14:textId="77777777" w:rsidR="001B1F96" w:rsidRPr="009A3193" w:rsidRDefault="001B1F96" w:rsidP="00677A23">
            <w:pPr>
              <w:rPr>
                <w:rFonts w:ascii="Arial" w:hAnsi="Arial" w:cs="Arial"/>
                <w:bCs/>
                <w:sz w:val="18"/>
                <w:szCs w:val="18"/>
                <w:lang w:val="en-GB"/>
              </w:rPr>
            </w:pPr>
          </w:p>
        </w:tc>
        <w:tc>
          <w:tcPr>
            <w:tcW w:w="2040" w:type="dxa"/>
          </w:tcPr>
          <w:p w14:paraId="0463FC3C" w14:textId="77777777" w:rsidR="001B1F96" w:rsidRPr="009A3193" w:rsidRDefault="001B1F96">
            <w:pPr>
              <w:rPr>
                <w:rFonts w:ascii="Arial" w:hAnsi="Arial" w:cs="Arial"/>
                <w:sz w:val="18"/>
                <w:szCs w:val="18"/>
                <w:lang w:val="en-GB"/>
              </w:rPr>
            </w:pPr>
            <w:r w:rsidRPr="009A3193">
              <w:rPr>
                <w:rFonts w:ascii="Arial" w:hAnsi="Arial" w:cs="Arial"/>
                <w:sz w:val="18"/>
                <w:szCs w:val="18"/>
                <w:lang w:val="en-GB"/>
              </w:rPr>
              <w:t>Restoring inland wetlands</w:t>
            </w:r>
          </w:p>
        </w:tc>
        <w:tc>
          <w:tcPr>
            <w:tcW w:w="2693" w:type="dxa"/>
          </w:tcPr>
          <w:p w14:paraId="0AD04E96"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Spencer et al. 2016; Pangala et al. 2017</w:t>
            </w:r>
          </w:p>
        </w:tc>
        <w:tc>
          <w:tcPr>
            <w:tcW w:w="2693" w:type="dxa"/>
          </w:tcPr>
          <w:p w14:paraId="74637A39"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Gallego-Sala et al. 2018; Pangala et al. 2017</w:t>
            </w:r>
          </w:p>
        </w:tc>
      </w:tr>
      <w:tr w:rsidR="001B1F96" w:rsidRPr="009A3193" w14:paraId="38765927" w14:textId="77777777" w:rsidTr="00DF6488">
        <w:tc>
          <w:tcPr>
            <w:tcW w:w="2350" w:type="dxa"/>
            <w:vMerge/>
          </w:tcPr>
          <w:p w14:paraId="7EAB7CCE" w14:textId="77777777" w:rsidR="001B1F96" w:rsidRPr="009A3193" w:rsidRDefault="001B1F96" w:rsidP="00677A23">
            <w:pPr>
              <w:rPr>
                <w:rFonts w:ascii="Arial" w:hAnsi="Arial" w:cs="Arial"/>
                <w:bCs/>
                <w:sz w:val="18"/>
                <w:szCs w:val="18"/>
                <w:lang w:val="en-GB"/>
              </w:rPr>
            </w:pPr>
          </w:p>
        </w:tc>
        <w:tc>
          <w:tcPr>
            <w:tcW w:w="2040" w:type="dxa"/>
          </w:tcPr>
          <w:p w14:paraId="13DFD516" w14:textId="77777777" w:rsidR="001B1F96" w:rsidRPr="009A3193" w:rsidRDefault="001B1F96" w:rsidP="005D5FFE">
            <w:pPr>
              <w:rPr>
                <w:rFonts w:ascii="Arial" w:hAnsi="Arial" w:cs="Arial"/>
                <w:sz w:val="18"/>
                <w:szCs w:val="18"/>
                <w:lang w:val="en-GB"/>
              </w:rPr>
            </w:pPr>
            <w:r w:rsidRPr="009A3193">
              <w:rPr>
                <w:rFonts w:ascii="Arial" w:hAnsi="Arial" w:cs="Arial"/>
                <w:sz w:val="18"/>
                <w:szCs w:val="18"/>
                <w:lang w:val="en-GB"/>
              </w:rPr>
              <w:t>Biodiversity offsets</w:t>
            </w:r>
          </w:p>
          <w:p w14:paraId="0CFE765A" w14:textId="77777777" w:rsidR="001B1F96" w:rsidRPr="009A3193" w:rsidRDefault="001B1F96">
            <w:pPr>
              <w:rPr>
                <w:rFonts w:ascii="Arial" w:hAnsi="Arial" w:cs="Arial"/>
                <w:sz w:val="18"/>
                <w:szCs w:val="18"/>
                <w:lang w:val="en-GB"/>
              </w:rPr>
            </w:pPr>
          </w:p>
        </w:tc>
        <w:tc>
          <w:tcPr>
            <w:tcW w:w="2693" w:type="dxa"/>
          </w:tcPr>
          <w:p w14:paraId="190F0781"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Sonter et al. 2020; Ermgassen et al. 2019; Sonter et al. 2020</w:t>
            </w:r>
          </w:p>
        </w:tc>
        <w:tc>
          <w:tcPr>
            <w:tcW w:w="2693" w:type="dxa"/>
          </w:tcPr>
          <w:p w14:paraId="709FAB2A" w14:textId="77777777" w:rsidR="001B1F96" w:rsidRPr="009A3193" w:rsidRDefault="001B1F96">
            <w:pPr>
              <w:rPr>
                <w:rFonts w:ascii="Arial" w:hAnsi="Arial" w:cs="Arial"/>
                <w:sz w:val="18"/>
                <w:szCs w:val="18"/>
                <w:lang w:val="en-GB"/>
              </w:rPr>
            </w:pPr>
            <w:r w:rsidRPr="009A3193">
              <w:rPr>
                <w:rFonts w:ascii="Arial" w:hAnsi="Arial" w:cs="Arial"/>
                <w:color w:val="000000"/>
                <w:sz w:val="18"/>
                <w:szCs w:val="18"/>
                <w:lang w:val="en-GB"/>
              </w:rPr>
              <w:t>Bull and Strange 2018; Ermgassen et al. 2019</w:t>
            </w:r>
          </w:p>
        </w:tc>
      </w:tr>
      <w:tr w:rsidR="00677A23" w:rsidRPr="009A3193" w14:paraId="1718CCDD" w14:textId="77777777" w:rsidTr="00DF6488">
        <w:tc>
          <w:tcPr>
            <w:tcW w:w="2350" w:type="dxa"/>
          </w:tcPr>
          <w:p w14:paraId="2F47006A" w14:textId="60F38925" w:rsidR="00677A23" w:rsidRPr="009A3193" w:rsidRDefault="00677A23">
            <w:pPr>
              <w:rPr>
                <w:rFonts w:ascii="Arial" w:hAnsi="Arial" w:cs="Arial"/>
                <w:sz w:val="18"/>
                <w:szCs w:val="18"/>
                <w:lang w:val="en-GB"/>
              </w:rPr>
            </w:pPr>
            <w:r w:rsidRPr="009A3193">
              <w:rPr>
                <w:rFonts w:ascii="Arial" w:hAnsi="Arial" w:cs="Arial"/>
                <w:bCs/>
                <w:sz w:val="18"/>
                <w:szCs w:val="18"/>
                <w:lang w:val="en-GB"/>
              </w:rPr>
              <w:t>T3</w:t>
            </w:r>
            <w:r w:rsidRPr="009A3193">
              <w:rPr>
                <w:rFonts w:ascii="Arial" w:hAnsi="Arial" w:cs="Arial"/>
                <w:sz w:val="18"/>
                <w:szCs w:val="18"/>
                <w:lang w:val="en-GB"/>
              </w:rPr>
              <w:t>. Well</w:t>
            </w:r>
            <w:r w:rsidR="009A3193">
              <w:rPr>
                <w:rFonts w:ascii="Arial" w:hAnsi="Arial" w:cs="Arial"/>
                <w:sz w:val="18"/>
                <w:szCs w:val="18"/>
                <w:lang w:val="en-GB"/>
              </w:rPr>
              <w:t>-</w:t>
            </w:r>
            <w:r w:rsidRPr="009A3193">
              <w:rPr>
                <w:rFonts w:ascii="Arial" w:hAnsi="Arial" w:cs="Arial"/>
                <w:sz w:val="18"/>
                <w:szCs w:val="18"/>
                <w:lang w:val="en-GB"/>
              </w:rPr>
              <w:t>connected and effective system of protected areas, at least 30% of the planet</w:t>
            </w:r>
          </w:p>
        </w:tc>
        <w:tc>
          <w:tcPr>
            <w:tcW w:w="2040" w:type="dxa"/>
          </w:tcPr>
          <w:p w14:paraId="51E7B4C7" w14:textId="77777777" w:rsidR="00677A23" w:rsidRPr="009A3193" w:rsidRDefault="00686C94">
            <w:pPr>
              <w:rPr>
                <w:rFonts w:ascii="Arial" w:hAnsi="Arial" w:cs="Arial"/>
                <w:sz w:val="18"/>
                <w:szCs w:val="18"/>
                <w:lang w:val="en-GB"/>
              </w:rPr>
            </w:pPr>
            <w:r w:rsidRPr="009A3193">
              <w:rPr>
                <w:rFonts w:ascii="Arial" w:hAnsi="Arial" w:cs="Arial"/>
                <w:sz w:val="18"/>
                <w:szCs w:val="18"/>
                <w:lang w:val="en-GB"/>
              </w:rPr>
              <w:t>Expanding networks of protected areas and corridors</w:t>
            </w:r>
          </w:p>
        </w:tc>
        <w:tc>
          <w:tcPr>
            <w:tcW w:w="2693" w:type="dxa"/>
          </w:tcPr>
          <w:p w14:paraId="410F2111" w14:textId="77777777" w:rsidR="00677A23" w:rsidRPr="009A3193" w:rsidRDefault="009B35E2">
            <w:pPr>
              <w:rPr>
                <w:rFonts w:ascii="Arial" w:hAnsi="Arial" w:cs="Arial"/>
                <w:sz w:val="18"/>
                <w:szCs w:val="18"/>
                <w:lang w:val="en-GB"/>
              </w:rPr>
            </w:pPr>
            <w:r w:rsidRPr="009A3193">
              <w:rPr>
                <w:rFonts w:ascii="Arial" w:hAnsi="Arial" w:cs="Arial"/>
                <w:color w:val="000000"/>
                <w:sz w:val="18"/>
                <w:szCs w:val="18"/>
                <w:lang w:val="en-GB"/>
              </w:rPr>
              <w:t>Melillo et al., 2016; Shi</w:t>
            </w:r>
            <w:r w:rsidR="00E56383" w:rsidRPr="009A3193">
              <w:rPr>
                <w:rFonts w:ascii="Arial" w:hAnsi="Arial" w:cs="Arial"/>
                <w:color w:val="000000"/>
                <w:sz w:val="18"/>
                <w:szCs w:val="18"/>
                <w:lang w:val="en-GB"/>
              </w:rPr>
              <w:t xml:space="preserve"> et al.</w:t>
            </w:r>
            <w:r w:rsidRPr="009A3193">
              <w:rPr>
                <w:rFonts w:ascii="Arial" w:hAnsi="Arial" w:cs="Arial"/>
                <w:color w:val="000000"/>
                <w:sz w:val="18"/>
                <w:szCs w:val="18"/>
                <w:lang w:val="en-GB"/>
              </w:rPr>
              <w:t>, 2020; Dinerstein et al., 2020; Jantz et al., 2014</w:t>
            </w:r>
          </w:p>
        </w:tc>
        <w:tc>
          <w:tcPr>
            <w:tcW w:w="2693" w:type="dxa"/>
          </w:tcPr>
          <w:p w14:paraId="7C745CCB" w14:textId="77777777" w:rsidR="00677A23" w:rsidRPr="009A3193" w:rsidRDefault="009B35E2">
            <w:pPr>
              <w:rPr>
                <w:rFonts w:ascii="Arial" w:hAnsi="Arial" w:cs="Arial"/>
                <w:sz w:val="18"/>
                <w:szCs w:val="18"/>
                <w:lang w:val="en-GB"/>
              </w:rPr>
            </w:pPr>
            <w:r w:rsidRPr="009A3193">
              <w:rPr>
                <w:rFonts w:ascii="Arial" w:hAnsi="Arial" w:cs="Arial"/>
                <w:color w:val="000000"/>
                <w:sz w:val="18"/>
                <w:szCs w:val="18"/>
                <w:lang w:val="en-GB"/>
              </w:rPr>
              <w:t>Dinerstein et al., 2020</w:t>
            </w:r>
          </w:p>
        </w:tc>
      </w:tr>
      <w:tr w:rsidR="001B1F96" w:rsidRPr="009A3193" w14:paraId="00A224EB" w14:textId="77777777" w:rsidTr="00DF6488">
        <w:tc>
          <w:tcPr>
            <w:tcW w:w="2350" w:type="dxa"/>
            <w:vMerge w:val="restart"/>
          </w:tcPr>
          <w:p w14:paraId="2D77EA2A" w14:textId="77777777" w:rsidR="001B1F96" w:rsidRPr="009A3193" w:rsidRDefault="001B1F96" w:rsidP="00AC58BD">
            <w:pPr>
              <w:rPr>
                <w:rFonts w:ascii="Arial" w:hAnsi="Arial" w:cs="Arial"/>
                <w:sz w:val="18"/>
                <w:szCs w:val="18"/>
                <w:lang w:val="en-GB"/>
              </w:rPr>
            </w:pPr>
            <w:r w:rsidRPr="009A3193">
              <w:rPr>
                <w:rFonts w:ascii="Arial" w:hAnsi="Arial" w:cs="Arial"/>
                <w:bCs/>
                <w:sz w:val="18"/>
                <w:szCs w:val="18"/>
                <w:lang w:val="en-GB"/>
              </w:rPr>
              <w:t>T4</w:t>
            </w:r>
            <w:r w:rsidRPr="009A3193">
              <w:rPr>
                <w:rFonts w:ascii="Arial" w:hAnsi="Arial" w:cs="Arial"/>
                <w:sz w:val="18"/>
                <w:szCs w:val="18"/>
                <w:lang w:val="en-GB"/>
              </w:rPr>
              <w:t>. Recovery and conservation of species of fauna and flora</w:t>
            </w:r>
          </w:p>
        </w:tc>
        <w:tc>
          <w:tcPr>
            <w:tcW w:w="2040" w:type="dxa"/>
          </w:tcPr>
          <w:p w14:paraId="6C5F29B8" w14:textId="77777777" w:rsidR="001B1F96" w:rsidRPr="009A3193" w:rsidRDefault="001B1F96" w:rsidP="00AC58BD">
            <w:pPr>
              <w:rPr>
                <w:rFonts w:ascii="Arial" w:hAnsi="Arial" w:cs="Arial"/>
                <w:sz w:val="18"/>
                <w:szCs w:val="18"/>
                <w:lang w:val="en-GB"/>
              </w:rPr>
            </w:pPr>
            <w:r w:rsidRPr="009A3193">
              <w:rPr>
                <w:rFonts w:ascii="Arial" w:hAnsi="Arial" w:cs="Arial"/>
                <w:sz w:val="18"/>
                <w:szCs w:val="18"/>
                <w:lang w:val="en-GB"/>
              </w:rPr>
              <w:t>Rewilding with large terrestrial mammals</w:t>
            </w:r>
          </w:p>
          <w:p w14:paraId="19D0573B" w14:textId="77777777" w:rsidR="001B1F96" w:rsidRPr="009A3193" w:rsidRDefault="001B1F96" w:rsidP="00AC58BD">
            <w:pPr>
              <w:rPr>
                <w:rFonts w:ascii="Arial" w:hAnsi="Arial" w:cs="Arial"/>
                <w:sz w:val="18"/>
                <w:szCs w:val="18"/>
                <w:lang w:val="en-GB"/>
              </w:rPr>
            </w:pPr>
          </w:p>
        </w:tc>
        <w:tc>
          <w:tcPr>
            <w:tcW w:w="2693" w:type="dxa"/>
          </w:tcPr>
          <w:p w14:paraId="68AF2EC0" w14:textId="77777777" w:rsidR="001B1F96" w:rsidRPr="009A3193" w:rsidRDefault="001B1F96" w:rsidP="00AC58BD">
            <w:pPr>
              <w:rPr>
                <w:rFonts w:ascii="Arial" w:hAnsi="Arial" w:cs="Arial"/>
                <w:sz w:val="18"/>
                <w:szCs w:val="18"/>
                <w:lang w:val="en-GB"/>
              </w:rPr>
            </w:pPr>
            <w:r w:rsidRPr="009A3193">
              <w:rPr>
                <w:rFonts w:ascii="Arial" w:hAnsi="Arial" w:cs="Arial"/>
                <w:color w:val="000000"/>
                <w:sz w:val="18"/>
                <w:szCs w:val="18"/>
                <w:lang w:val="en-GB"/>
              </w:rPr>
              <w:t>Schmitz et al. 2018; Hooper et al. 2012</w:t>
            </w:r>
          </w:p>
        </w:tc>
        <w:tc>
          <w:tcPr>
            <w:tcW w:w="2693" w:type="dxa"/>
          </w:tcPr>
          <w:p w14:paraId="23A15E0F" w14:textId="77777777" w:rsidR="001B1F96" w:rsidRPr="009A3193" w:rsidRDefault="001B1F96" w:rsidP="00AC58BD">
            <w:pPr>
              <w:rPr>
                <w:rFonts w:ascii="Arial" w:hAnsi="Arial" w:cs="Arial"/>
                <w:sz w:val="18"/>
                <w:szCs w:val="18"/>
                <w:lang w:val="en-GB"/>
              </w:rPr>
            </w:pPr>
            <w:r w:rsidRPr="009A3193">
              <w:rPr>
                <w:rFonts w:ascii="Arial" w:hAnsi="Arial" w:cs="Arial"/>
                <w:color w:val="000000"/>
                <w:sz w:val="18"/>
                <w:szCs w:val="18"/>
                <w:lang w:val="en-GB"/>
              </w:rPr>
              <w:t>Schmitz et al. 2018; Hooper et al. 2012</w:t>
            </w:r>
          </w:p>
        </w:tc>
      </w:tr>
      <w:tr w:rsidR="001B1F96" w:rsidRPr="009A3193" w14:paraId="249D0F21" w14:textId="77777777" w:rsidTr="00DF6488">
        <w:tc>
          <w:tcPr>
            <w:tcW w:w="2350" w:type="dxa"/>
            <w:vMerge/>
          </w:tcPr>
          <w:p w14:paraId="676EF913" w14:textId="77777777" w:rsidR="001B1F96" w:rsidRPr="009A3193" w:rsidRDefault="001B1F96" w:rsidP="00AC58BD">
            <w:pPr>
              <w:rPr>
                <w:rFonts w:ascii="Arial" w:hAnsi="Arial" w:cs="Arial"/>
                <w:bCs/>
                <w:sz w:val="18"/>
                <w:szCs w:val="18"/>
                <w:lang w:val="en-GB"/>
              </w:rPr>
            </w:pPr>
          </w:p>
        </w:tc>
        <w:tc>
          <w:tcPr>
            <w:tcW w:w="2040" w:type="dxa"/>
          </w:tcPr>
          <w:p w14:paraId="27564677" w14:textId="77777777" w:rsidR="001B1F96" w:rsidRPr="009A3193" w:rsidRDefault="001B1F96" w:rsidP="00AC58BD">
            <w:pPr>
              <w:rPr>
                <w:rFonts w:ascii="Arial" w:hAnsi="Arial" w:cs="Arial"/>
                <w:sz w:val="18"/>
                <w:szCs w:val="18"/>
                <w:lang w:val="en-GB"/>
              </w:rPr>
            </w:pPr>
            <w:r w:rsidRPr="009A3193">
              <w:rPr>
                <w:rFonts w:ascii="Arial" w:hAnsi="Arial" w:cs="Arial"/>
                <w:sz w:val="18"/>
                <w:szCs w:val="18"/>
                <w:lang w:val="en-GB"/>
              </w:rPr>
              <w:t>Rebuilding marine megafauna</w:t>
            </w:r>
          </w:p>
          <w:p w14:paraId="33DA0C23" w14:textId="77777777" w:rsidR="001B1F96" w:rsidRPr="009A3193" w:rsidRDefault="001B1F96" w:rsidP="00AC58BD">
            <w:pPr>
              <w:rPr>
                <w:rFonts w:ascii="Arial" w:hAnsi="Arial" w:cs="Arial"/>
                <w:sz w:val="18"/>
                <w:szCs w:val="18"/>
                <w:lang w:val="en-GB"/>
              </w:rPr>
            </w:pPr>
          </w:p>
        </w:tc>
        <w:tc>
          <w:tcPr>
            <w:tcW w:w="2693" w:type="dxa"/>
          </w:tcPr>
          <w:p w14:paraId="4F106A70" w14:textId="77777777" w:rsidR="001B1F96" w:rsidRPr="009A3193" w:rsidRDefault="001B1F96" w:rsidP="00AC58BD">
            <w:pPr>
              <w:rPr>
                <w:rFonts w:ascii="Arial" w:hAnsi="Arial" w:cs="Arial"/>
                <w:sz w:val="18"/>
                <w:szCs w:val="18"/>
                <w:lang w:val="en-GB"/>
              </w:rPr>
            </w:pPr>
            <w:r w:rsidRPr="009A3193">
              <w:rPr>
                <w:rFonts w:ascii="Arial" w:hAnsi="Arial" w:cs="Arial"/>
                <w:color w:val="000000"/>
                <w:sz w:val="18"/>
                <w:szCs w:val="18"/>
                <w:lang w:val="en-GB"/>
              </w:rPr>
              <w:t>Mariani et al. 2020 ; Lavery et al. 2010 ; Roman and McCarthy 2010 ; Passow and Carlson 2012 ; Heithaus et al. 2014 ; Atwood et al. 2015 ; Wi</w:t>
            </w:r>
            <w:r w:rsidR="006E3526" w:rsidRPr="009A3193">
              <w:rPr>
                <w:rFonts w:ascii="Arial" w:hAnsi="Arial" w:cs="Arial"/>
                <w:color w:val="000000"/>
                <w:sz w:val="18"/>
                <w:szCs w:val="18"/>
                <w:lang w:val="en-GB"/>
              </w:rPr>
              <w:t>l</w:t>
            </w:r>
            <w:r w:rsidRPr="009A3193">
              <w:rPr>
                <w:rFonts w:ascii="Arial" w:hAnsi="Arial" w:cs="Arial"/>
                <w:color w:val="000000"/>
                <w:sz w:val="18"/>
                <w:szCs w:val="18"/>
                <w:lang w:val="en-GB"/>
              </w:rPr>
              <w:t>mers et al. 2012</w:t>
            </w:r>
          </w:p>
        </w:tc>
        <w:tc>
          <w:tcPr>
            <w:tcW w:w="2693" w:type="dxa"/>
          </w:tcPr>
          <w:p w14:paraId="43D02EB8" w14:textId="77777777" w:rsidR="001B1F96" w:rsidRPr="009A3193" w:rsidRDefault="001B1F96" w:rsidP="00AC58BD">
            <w:pPr>
              <w:rPr>
                <w:rFonts w:ascii="Arial" w:hAnsi="Arial" w:cs="Arial"/>
                <w:sz w:val="18"/>
                <w:szCs w:val="18"/>
                <w:lang w:val="en-GB"/>
              </w:rPr>
            </w:pPr>
            <w:r w:rsidRPr="009A3193">
              <w:rPr>
                <w:rFonts w:ascii="Arial" w:hAnsi="Arial" w:cs="Arial"/>
                <w:color w:val="000000"/>
                <w:sz w:val="18"/>
                <w:szCs w:val="18"/>
                <w:lang w:val="en-GB"/>
              </w:rPr>
              <w:t>Pershing et al. 2010 ; Atwood et al. 2015</w:t>
            </w:r>
          </w:p>
        </w:tc>
      </w:tr>
      <w:tr w:rsidR="00AC58BD" w:rsidRPr="009A3193" w14:paraId="56631CE9" w14:textId="77777777" w:rsidTr="00DF6488">
        <w:tc>
          <w:tcPr>
            <w:tcW w:w="2350" w:type="dxa"/>
          </w:tcPr>
          <w:p w14:paraId="385A2700" w14:textId="77777777" w:rsidR="00AC58BD" w:rsidRPr="009A3193" w:rsidRDefault="00AC58BD" w:rsidP="00AC58BD">
            <w:pPr>
              <w:rPr>
                <w:rFonts w:ascii="Arial" w:hAnsi="Arial" w:cs="Arial"/>
                <w:sz w:val="18"/>
                <w:szCs w:val="18"/>
                <w:lang w:val="en-GB"/>
              </w:rPr>
            </w:pPr>
            <w:r w:rsidRPr="009A3193">
              <w:rPr>
                <w:rFonts w:ascii="Arial" w:hAnsi="Arial" w:cs="Arial"/>
                <w:bCs/>
                <w:sz w:val="18"/>
                <w:szCs w:val="18"/>
                <w:lang w:val="en-GB"/>
              </w:rPr>
              <w:t>T5</w:t>
            </w:r>
            <w:r w:rsidRPr="009A3193">
              <w:rPr>
                <w:rFonts w:ascii="Arial" w:hAnsi="Arial" w:cs="Arial"/>
                <w:sz w:val="18"/>
                <w:szCs w:val="18"/>
                <w:lang w:val="en-GB"/>
              </w:rPr>
              <w:t>. Sustainable, legal and safe harvesting, trade and use of wild species</w:t>
            </w:r>
          </w:p>
        </w:tc>
        <w:tc>
          <w:tcPr>
            <w:tcW w:w="2040" w:type="dxa"/>
          </w:tcPr>
          <w:p w14:paraId="759705CF" w14:textId="77777777" w:rsidR="00AC58BD" w:rsidRPr="009A3193" w:rsidRDefault="00AC58BD" w:rsidP="00AC58BD">
            <w:pPr>
              <w:rPr>
                <w:rFonts w:ascii="Arial" w:hAnsi="Arial" w:cs="Arial"/>
                <w:sz w:val="18"/>
                <w:szCs w:val="18"/>
                <w:lang w:val="en-GB"/>
              </w:rPr>
            </w:pPr>
            <w:r w:rsidRPr="009A3193">
              <w:rPr>
                <w:rFonts w:ascii="Arial" w:hAnsi="Arial" w:cs="Arial"/>
                <w:sz w:val="18"/>
                <w:szCs w:val="18"/>
                <w:lang w:val="en-GB"/>
              </w:rPr>
              <w:t>Sustainable fishing</w:t>
            </w:r>
          </w:p>
          <w:p w14:paraId="3DC6DC19" w14:textId="77777777" w:rsidR="00AC58BD" w:rsidRPr="009A3193" w:rsidRDefault="00AC58BD" w:rsidP="00AC58BD">
            <w:pPr>
              <w:rPr>
                <w:rFonts w:ascii="Arial" w:hAnsi="Arial" w:cs="Arial"/>
                <w:sz w:val="18"/>
                <w:szCs w:val="18"/>
                <w:lang w:val="en-GB"/>
              </w:rPr>
            </w:pPr>
          </w:p>
        </w:tc>
        <w:tc>
          <w:tcPr>
            <w:tcW w:w="2693" w:type="dxa"/>
          </w:tcPr>
          <w:p w14:paraId="10F67557" w14:textId="77777777" w:rsidR="00AC58BD" w:rsidRPr="009A3193" w:rsidRDefault="00AC58BD" w:rsidP="00AC58BD">
            <w:pPr>
              <w:rPr>
                <w:rFonts w:ascii="Arial" w:hAnsi="Arial" w:cs="Arial"/>
                <w:sz w:val="18"/>
                <w:szCs w:val="18"/>
                <w:lang w:val="en-GB"/>
              </w:rPr>
            </w:pPr>
            <w:r w:rsidRPr="009A3193">
              <w:rPr>
                <w:rFonts w:ascii="Arial" w:hAnsi="Arial" w:cs="Arial"/>
                <w:color w:val="000000"/>
                <w:sz w:val="18"/>
                <w:szCs w:val="18"/>
                <w:lang w:val="en-GB"/>
              </w:rPr>
              <w:t>Mariani et al. 2020 ; Sala et al. 2021 ; Atwood et al. 2020 ; Saba et al. 2021</w:t>
            </w:r>
          </w:p>
        </w:tc>
        <w:tc>
          <w:tcPr>
            <w:tcW w:w="2693" w:type="dxa"/>
          </w:tcPr>
          <w:p w14:paraId="5A003E4E" w14:textId="77777777" w:rsidR="00AC58BD" w:rsidRPr="009A3193" w:rsidRDefault="00AC58BD" w:rsidP="00AC58BD">
            <w:pPr>
              <w:rPr>
                <w:rFonts w:ascii="Arial" w:hAnsi="Arial" w:cs="Arial"/>
                <w:sz w:val="18"/>
                <w:szCs w:val="18"/>
                <w:lang w:val="en-GB"/>
              </w:rPr>
            </w:pPr>
            <w:r w:rsidRPr="009A3193">
              <w:rPr>
                <w:rFonts w:ascii="Arial" w:hAnsi="Arial" w:cs="Arial"/>
                <w:color w:val="000000"/>
                <w:sz w:val="18"/>
                <w:szCs w:val="18"/>
                <w:lang w:val="en-GB"/>
              </w:rPr>
              <w:t>Mariani et al. 2020 ; Sala et al. 2021 ; Atwood et al. 2020 ; Saba et al. 2021</w:t>
            </w:r>
          </w:p>
        </w:tc>
      </w:tr>
      <w:tr w:rsidR="00AC58BD" w:rsidRPr="009A3193" w14:paraId="16772881" w14:textId="77777777" w:rsidTr="00DF6488">
        <w:tc>
          <w:tcPr>
            <w:tcW w:w="2350" w:type="dxa"/>
          </w:tcPr>
          <w:p w14:paraId="33590A09" w14:textId="77777777" w:rsidR="00AC58BD" w:rsidRPr="009A3193" w:rsidRDefault="00AC58BD" w:rsidP="00AC58BD">
            <w:pPr>
              <w:rPr>
                <w:rFonts w:ascii="Arial" w:hAnsi="Arial" w:cs="Arial"/>
                <w:sz w:val="18"/>
                <w:szCs w:val="18"/>
                <w:lang w:val="en-GB"/>
              </w:rPr>
            </w:pPr>
            <w:r w:rsidRPr="009A3193">
              <w:rPr>
                <w:rFonts w:ascii="Arial" w:hAnsi="Arial" w:cs="Arial"/>
                <w:bCs/>
                <w:sz w:val="18"/>
                <w:szCs w:val="18"/>
                <w:lang w:val="en-GB"/>
              </w:rPr>
              <w:t>T7</w:t>
            </w:r>
            <w:r w:rsidRPr="009A3193">
              <w:rPr>
                <w:rFonts w:ascii="Arial" w:hAnsi="Arial" w:cs="Arial"/>
                <w:sz w:val="18"/>
                <w:szCs w:val="18"/>
                <w:lang w:val="en-GB"/>
              </w:rPr>
              <w:t>. Reduced pollution from all sources, including excess nutrients, pesticides, plastic waste</w:t>
            </w:r>
          </w:p>
        </w:tc>
        <w:tc>
          <w:tcPr>
            <w:tcW w:w="2040" w:type="dxa"/>
          </w:tcPr>
          <w:p w14:paraId="79E2CA9E" w14:textId="77777777" w:rsidR="00AC58BD" w:rsidRPr="009A3193" w:rsidRDefault="00686C94" w:rsidP="00AC58BD">
            <w:pPr>
              <w:rPr>
                <w:rFonts w:ascii="Arial" w:hAnsi="Arial" w:cs="Arial"/>
                <w:sz w:val="18"/>
                <w:szCs w:val="18"/>
                <w:lang w:val="en-GB"/>
              </w:rPr>
            </w:pPr>
            <w:r w:rsidRPr="009A3193">
              <w:rPr>
                <w:rFonts w:ascii="Arial" w:hAnsi="Arial" w:cs="Arial"/>
                <w:sz w:val="18"/>
                <w:szCs w:val="18"/>
                <w:lang w:val="en-GB"/>
              </w:rPr>
              <w:t>Reducing pollution from excess nutrients</w:t>
            </w:r>
          </w:p>
        </w:tc>
        <w:tc>
          <w:tcPr>
            <w:tcW w:w="2693" w:type="dxa"/>
          </w:tcPr>
          <w:p w14:paraId="0C83F6F4" w14:textId="77777777" w:rsidR="00AC58BD" w:rsidRPr="009A3193" w:rsidRDefault="00AC58BD" w:rsidP="00AC58BD">
            <w:pPr>
              <w:rPr>
                <w:rFonts w:ascii="Arial" w:hAnsi="Arial" w:cs="Arial"/>
                <w:sz w:val="18"/>
                <w:szCs w:val="18"/>
                <w:lang w:val="en-GB"/>
              </w:rPr>
            </w:pPr>
            <w:r w:rsidRPr="009A3193">
              <w:rPr>
                <w:rFonts w:ascii="Arial" w:hAnsi="Arial" w:cs="Arial"/>
                <w:color w:val="000000"/>
                <w:sz w:val="18"/>
                <w:szCs w:val="18"/>
                <w:lang w:val="en-GB"/>
              </w:rPr>
              <w:t>Rabalais et al. 2014 ; Naqvi et al. 2010</w:t>
            </w:r>
          </w:p>
        </w:tc>
        <w:tc>
          <w:tcPr>
            <w:tcW w:w="2693" w:type="dxa"/>
          </w:tcPr>
          <w:p w14:paraId="3DA5A351" w14:textId="77777777" w:rsidR="00AC58BD" w:rsidRPr="009A3193" w:rsidRDefault="00AC58BD" w:rsidP="00AC58BD">
            <w:pPr>
              <w:rPr>
                <w:rFonts w:ascii="Arial" w:hAnsi="Arial" w:cs="Arial"/>
                <w:sz w:val="18"/>
                <w:szCs w:val="18"/>
                <w:lang w:val="en-GB"/>
              </w:rPr>
            </w:pPr>
            <w:r w:rsidRPr="009A3193">
              <w:rPr>
                <w:rFonts w:ascii="Arial" w:hAnsi="Arial" w:cs="Arial"/>
                <w:color w:val="000000"/>
                <w:sz w:val="18"/>
                <w:szCs w:val="18"/>
                <w:lang w:val="en-GB"/>
              </w:rPr>
              <w:t>Engle 2011 ; Jahangir et al. 2016</w:t>
            </w:r>
          </w:p>
        </w:tc>
      </w:tr>
      <w:tr w:rsidR="00E9276E" w:rsidRPr="009A3193" w14:paraId="13888AA4" w14:textId="77777777" w:rsidTr="00DF6488">
        <w:tc>
          <w:tcPr>
            <w:tcW w:w="2350" w:type="dxa"/>
          </w:tcPr>
          <w:p w14:paraId="74599AAD" w14:textId="77777777" w:rsidR="00E9276E" w:rsidRPr="009A3193" w:rsidRDefault="00E9276E" w:rsidP="00E9276E">
            <w:pPr>
              <w:rPr>
                <w:rFonts w:ascii="Arial" w:hAnsi="Arial" w:cs="Arial"/>
                <w:sz w:val="18"/>
                <w:szCs w:val="18"/>
                <w:lang w:val="en-GB"/>
              </w:rPr>
            </w:pPr>
            <w:r w:rsidRPr="009A3193">
              <w:rPr>
                <w:rFonts w:ascii="Arial" w:hAnsi="Arial" w:cs="Arial"/>
                <w:bCs/>
                <w:sz w:val="18"/>
                <w:szCs w:val="18"/>
                <w:lang w:val="en-GB"/>
              </w:rPr>
              <w:t>T9</w:t>
            </w:r>
            <w:r w:rsidRPr="009A3193">
              <w:rPr>
                <w:rFonts w:ascii="Arial" w:hAnsi="Arial" w:cs="Arial"/>
                <w:sz w:val="18"/>
                <w:szCs w:val="18"/>
                <w:lang w:val="en-GB"/>
              </w:rPr>
              <w:t>. Ensured benefits, incl. food security, medicines, and livelihoods, through sustainable management of wild species</w:t>
            </w:r>
          </w:p>
        </w:tc>
        <w:tc>
          <w:tcPr>
            <w:tcW w:w="2040" w:type="dxa"/>
          </w:tcPr>
          <w:p w14:paraId="2C8FD96F" w14:textId="77777777" w:rsidR="00E9276E" w:rsidRPr="009A3193" w:rsidRDefault="00E9276E" w:rsidP="00E9276E">
            <w:pPr>
              <w:rPr>
                <w:rFonts w:ascii="Arial" w:hAnsi="Arial" w:cs="Arial"/>
                <w:sz w:val="18"/>
                <w:szCs w:val="18"/>
                <w:lang w:val="en-GB"/>
              </w:rPr>
            </w:pPr>
            <w:r w:rsidRPr="009A3193">
              <w:rPr>
                <w:rFonts w:ascii="Arial" w:hAnsi="Arial" w:cs="Arial"/>
                <w:sz w:val="18"/>
                <w:szCs w:val="18"/>
                <w:lang w:val="en-GB"/>
              </w:rPr>
              <w:t>Sustainable harvesting of wild species</w:t>
            </w:r>
          </w:p>
          <w:p w14:paraId="25953119" w14:textId="77777777" w:rsidR="00E9276E" w:rsidRPr="009A3193" w:rsidRDefault="00E9276E" w:rsidP="00E9276E">
            <w:pPr>
              <w:rPr>
                <w:rFonts w:ascii="Arial" w:hAnsi="Arial" w:cs="Arial"/>
                <w:sz w:val="18"/>
                <w:szCs w:val="18"/>
                <w:lang w:val="en-GB"/>
              </w:rPr>
            </w:pPr>
          </w:p>
        </w:tc>
        <w:tc>
          <w:tcPr>
            <w:tcW w:w="2693" w:type="dxa"/>
          </w:tcPr>
          <w:p w14:paraId="67894147"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Mariani et al. 2020 ; Sala et al. 2021 ; Atwood et al. 2020 ; Saba et al. 2021</w:t>
            </w:r>
          </w:p>
        </w:tc>
        <w:tc>
          <w:tcPr>
            <w:tcW w:w="2693" w:type="dxa"/>
          </w:tcPr>
          <w:p w14:paraId="179A3FA6"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Mariani et al. 2020 ; Sala et al. 2021 ; Atwood et al. 2020 ; Saba et al. 2021</w:t>
            </w:r>
          </w:p>
        </w:tc>
      </w:tr>
      <w:tr w:rsidR="001B1F96" w:rsidRPr="009A3193" w14:paraId="79A4AB1C" w14:textId="77777777" w:rsidTr="00DF6488">
        <w:tc>
          <w:tcPr>
            <w:tcW w:w="2350" w:type="dxa"/>
            <w:vMerge w:val="restart"/>
          </w:tcPr>
          <w:p w14:paraId="783B660E" w14:textId="77777777" w:rsidR="001B1F96" w:rsidRPr="009A3193" w:rsidRDefault="001B1F96" w:rsidP="00E9276E">
            <w:pPr>
              <w:rPr>
                <w:rFonts w:ascii="Arial" w:hAnsi="Arial" w:cs="Arial"/>
                <w:bCs/>
                <w:sz w:val="18"/>
                <w:szCs w:val="18"/>
                <w:lang w:val="en-GB"/>
              </w:rPr>
            </w:pPr>
            <w:r w:rsidRPr="009A3193">
              <w:rPr>
                <w:rFonts w:ascii="Arial" w:hAnsi="Arial" w:cs="Arial"/>
                <w:bCs/>
                <w:sz w:val="18"/>
                <w:szCs w:val="18"/>
                <w:lang w:val="en-GB"/>
              </w:rPr>
              <w:t>T10. All areas under agriculture, aquaculture and forestry are managed sustainably, through biodiversity conservation and sustainable use, and increased productivity and resilience</w:t>
            </w:r>
          </w:p>
        </w:tc>
        <w:tc>
          <w:tcPr>
            <w:tcW w:w="2040" w:type="dxa"/>
          </w:tcPr>
          <w:p w14:paraId="19C714EF" w14:textId="77777777" w:rsidR="001B1F96" w:rsidRPr="009A3193" w:rsidRDefault="00A83B8F" w:rsidP="00E9276E">
            <w:pPr>
              <w:rPr>
                <w:rFonts w:ascii="Arial" w:hAnsi="Arial" w:cs="Arial"/>
                <w:sz w:val="18"/>
                <w:szCs w:val="18"/>
                <w:lang w:val="en-GB"/>
              </w:rPr>
            </w:pPr>
            <w:r w:rsidRPr="009A3193">
              <w:rPr>
                <w:rFonts w:ascii="Arial" w:hAnsi="Arial" w:cs="Arial"/>
                <w:sz w:val="18"/>
                <w:szCs w:val="18"/>
                <w:lang w:val="en-GB"/>
              </w:rPr>
              <w:t>Biodiversity friendly</w:t>
            </w:r>
            <w:r w:rsidR="001B1F96" w:rsidRPr="009A3193">
              <w:rPr>
                <w:rFonts w:ascii="Arial" w:hAnsi="Arial" w:cs="Arial"/>
                <w:sz w:val="18"/>
                <w:szCs w:val="18"/>
                <w:lang w:val="en-GB"/>
              </w:rPr>
              <w:t xml:space="preserve"> agricultural systems</w:t>
            </w:r>
          </w:p>
          <w:p w14:paraId="057AD365" w14:textId="77777777" w:rsidR="001B1F96" w:rsidRPr="009A3193" w:rsidRDefault="001B1F96" w:rsidP="00E9276E">
            <w:pPr>
              <w:rPr>
                <w:rFonts w:ascii="Arial" w:hAnsi="Arial" w:cs="Arial"/>
                <w:sz w:val="18"/>
                <w:szCs w:val="18"/>
                <w:lang w:val="en-GB"/>
              </w:rPr>
            </w:pPr>
          </w:p>
        </w:tc>
        <w:tc>
          <w:tcPr>
            <w:tcW w:w="2693" w:type="dxa"/>
          </w:tcPr>
          <w:p w14:paraId="540C7081" w14:textId="77777777" w:rsidR="001B1F96" w:rsidRPr="009A3193" w:rsidRDefault="00A83B8F" w:rsidP="00E9276E">
            <w:pPr>
              <w:rPr>
                <w:rFonts w:ascii="Arial" w:hAnsi="Arial" w:cs="Arial"/>
                <w:sz w:val="18"/>
                <w:szCs w:val="18"/>
                <w:lang w:val="en-GB"/>
              </w:rPr>
            </w:pPr>
            <w:r w:rsidRPr="009A3193">
              <w:rPr>
                <w:rFonts w:ascii="Arial" w:hAnsi="Arial" w:cs="Arial"/>
                <w:color w:val="000000"/>
                <w:sz w:val="18"/>
                <w:szCs w:val="18"/>
                <w:lang w:val="en-GB"/>
              </w:rPr>
              <w:t>Leippert et al., 2020; VanBergen, 2020; Wanger et al., 2020</w:t>
            </w:r>
            <w:r w:rsidR="005A1F9C" w:rsidRPr="009A3193">
              <w:rPr>
                <w:rFonts w:ascii="Arial" w:hAnsi="Arial" w:cs="Arial"/>
                <w:color w:val="000000"/>
                <w:sz w:val="18"/>
                <w:szCs w:val="18"/>
                <w:lang w:val="en-GB"/>
              </w:rPr>
              <w:t> ; Creed et al., 2018</w:t>
            </w:r>
          </w:p>
        </w:tc>
        <w:tc>
          <w:tcPr>
            <w:tcW w:w="2693" w:type="dxa"/>
          </w:tcPr>
          <w:p w14:paraId="7C44E225" w14:textId="77777777" w:rsidR="001B1F96" w:rsidRPr="009A3193" w:rsidRDefault="005A1F9C" w:rsidP="00E9276E">
            <w:pPr>
              <w:rPr>
                <w:rFonts w:ascii="Arial" w:hAnsi="Arial" w:cs="Arial"/>
                <w:sz w:val="18"/>
                <w:szCs w:val="18"/>
                <w:lang w:val="en-GB"/>
              </w:rPr>
            </w:pPr>
            <w:r w:rsidRPr="009A3193">
              <w:rPr>
                <w:rFonts w:ascii="Arial" w:hAnsi="Arial" w:cs="Arial"/>
                <w:color w:val="000000"/>
                <w:sz w:val="18"/>
                <w:szCs w:val="18"/>
                <w:lang w:val="en-GB"/>
              </w:rPr>
              <w:t>Smith et al., 2020</w:t>
            </w:r>
            <w:r w:rsidR="00C9414E" w:rsidRPr="009A3193">
              <w:rPr>
                <w:rFonts w:ascii="Arial" w:hAnsi="Arial" w:cs="Arial"/>
                <w:color w:val="000000"/>
                <w:sz w:val="18"/>
                <w:szCs w:val="18"/>
                <w:lang w:val="en-GB"/>
              </w:rPr>
              <w:t>a</w:t>
            </w:r>
            <w:r w:rsidRPr="009A3193">
              <w:rPr>
                <w:rFonts w:ascii="Arial" w:hAnsi="Arial" w:cs="Arial"/>
                <w:color w:val="000000"/>
                <w:sz w:val="18"/>
                <w:szCs w:val="18"/>
                <w:lang w:val="en-GB"/>
              </w:rPr>
              <w:t>; Tamburini et al., 2020</w:t>
            </w:r>
          </w:p>
        </w:tc>
      </w:tr>
      <w:tr w:rsidR="001B1F96" w:rsidRPr="009A3193" w14:paraId="7DC1E800" w14:textId="77777777" w:rsidTr="00DF6488">
        <w:tc>
          <w:tcPr>
            <w:tcW w:w="2350" w:type="dxa"/>
            <w:vMerge/>
          </w:tcPr>
          <w:p w14:paraId="3D45532C" w14:textId="77777777" w:rsidR="001B1F96" w:rsidRPr="009A3193" w:rsidRDefault="001B1F96" w:rsidP="00E9276E">
            <w:pPr>
              <w:rPr>
                <w:rFonts w:ascii="Arial" w:hAnsi="Arial" w:cs="Arial"/>
                <w:bCs/>
                <w:sz w:val="18"/>
                <w:szCs w:val="18"/>
                <w:lang w:val="en-GB"/>
              </w:rPr>
            </w:pPr>
          </w:p>
        </w:tc>
        <w:tc>
          <w:tcPr>
            <w:tcW w:w="2040" w:type="dxa"/>
          </w:tcPr>
          <w:p w14:paraId="27949E85" w14:textId="77777777" w:rsidR="001B1F96" w:rsidRPr="009A3193" w:rsidRDefault="001B1F96" w:rsidP="00E9276E">
            <w:pPr>
              <w:rPr>
                <w:rFonts w:ascii="Arial" w:hAnsi="Arial" w:cs="Arial"/>
                <w:sz w:val="18"/>
                <w:szCs w:val="18"/>
                <w:lang w:val="en-GB"/>
              </w:rPr>
            </w:pPr>
            <w:r w:rsidRPr="009A3193">
              <w:rPr>
                <w:rFonts w:ascii="Arial" w:hAnsi="Arial" w:cs="Arial"/>
                <w:sz w:val="18"/>
                <w:szCs w:val="18"/>
                <w:lang w:val="en-GB"/>
              </w:rPr>
              <w:t>Intensive vs less intensive agriculture</w:t>
            </w:r>
          </w:p>
          <w:p w14:paraId="0B921E80" w14:textId="77777777" w:rsidR="001B1F96" w:rsidRPr="009A3193" w:rsidRDefault="001B1F96" w:rsidP="00E9276E">
            <w:pPr>
              <w:rPr>
                <w:rFonts w:ascii="Arial" w:hAnsi="Arial" w:cs="Arial"/>
                <w:sz w:val="18"/>
                <w:szCs w:val="18"/>
                <w:lang w:val="en-GB"/>
              </w:rPr>
            </w:pPr>
          </w:p>
        </w:tc>
        <w:tc>
          <w:tcPr>
            <w:tcW w:w="2693" w:type="dxa"/>
          </w:tcPr>
          <w:p w14:paraId="7FA8C13B" w14:textId="77777777" w:rsidR="001B1F96" w:rsidRPr="009A3193" w:rsidRDefault="001B1F96" w:rsidP="00E9276E">
            <w:pPr>
              <w:rPr>
                <w:rFonts w:ascii="Arial" w:hAnsi="Arial" w:cs="Arial"/>
                <w:sz w:val="18"/>
                <w:szCs w:val="18"/>
                <w:lang w:val="en-GB"/>
              </w:rPr>
            </w:pPr>
            <w:r w:rsidRPr="009A3193">
              <w:rPr>
                <w:rFonts w:ascii="Arial" w:hAnsi="Arial" w:cs="Arial"/>
                <w:color w:val="000000"/>
                <w:sz w:val="18"/>
                <w:szCs w:val="18"/>
                <w:lang w:val="en-GB"/>
              </w:rPr>
              <w:t>Van Meijl et al 2017; Balmford et al 2018</w:t>
            </w:r>
          </w:p>
        </w:tc>
        <w:tc>
          <w:tcPr>
            <w:tcW w:w="2693" w:type="dxa"/>
          </w:tcPr>
          <w:p w14:paraId="0809DF23" w14:textId="77777777" w:rsidR="001B1F96" w:rsidRPr="009A3193" w:rsidRDefault="001B1F96" w:rsidP="00E9276E">
            <w:pPr>
              <w:rPr>
                <w:rFonts w:ascii="Arial" w:hAnsi="Arial" w:cs="Arial"/>
                <w:sz w:val="18"/>
                <w:szCs w:val="18"/>
                <w:lang w:val="en-GB"/>
              </w:rPr>
            </w:pPr>
            <w:r w:rsidRPr="009A3193">
              <w:rPr>
                <w:rFonts w:ascii="Arial" w:hAnsi="Arial" w:cs="Arial"/>
                <w:color w:val="000000"/>
                <w:sz w:val="18"/>
                <w:szCs w:val="18"/>
                <w:lang w:val="en-GB"/>
              </w:rPr>
              <w:t>reliability depending on dietary preferences; Van Meijl et al 2017</w:t>
            </w:r>
          </w:p>
        </w:tc>
      </w:tr>
      <w:tr w:rsidR="001B1F96" w:rsidRPr="009A3193" w14:paraId="68713D87" w14:textId="77777777" w:rsidTr="00DF6488">
        <w:tc>
          <w:tcPr>
            <w:tcW w:w="2350" w:type="dxa"/>
            <w:vMerge/>
          </w:tcPr>
          <w:p w14:paraId="12EE413D" w14:textId="77777777" w:rsidR="001B1F96" w:rsidRPr="009A3193" w:rsidRDefault="001B1F96" w:rsidP="00E9276E">
            <w:pPr>
              <w:rPr>
                <w:rFonts w:ascii="Arial" w:hAnsi="Arial" w:cs="Arial"/>
                <w:bCs/>
                <w:sz w:val="18"/>
                <w:szCs w:val="18"/>
                <w:lang w:val="en-GB"/>
              </w:rPr>
            </w:pPr>
          </w:p>
        </w:tc>
        <w:tc>
          <w:tcPr>
            <w:tcW w:w="2040" w:type="dxa"/>
          </w:tcPr>
          <w:p w14:paraId="594970BD" w14:textId="77777777" w:rsidR="001B1F96" w:rsidRPr="009A3193" w:rsidRDefault="001B1F96" w:rsidP="00E9276E">
            <w:pPr>
              <w:rPr>
                <w:rFonts w:ascii="Arial" w:hAnsi="Arial" w:cs="Arial"/>
                <w:sz w:val="18"/>
                <w:szCs w:val="18"/>
                <w:lang w:val="en-GB"/>
              </w:rPr>
            </w:pPr>
            <w:r w:rsidRPr="009A3193">
              <w:rPr>
                <w:rFonts w:ascii="Arial" w:hAnsi="Arial" w:cs="Arial"/>
                <w:sz w:val="18"/>
                <w:szCs w:val="18"/>
                <w:lang w:val="en-GB"/>
              </w:rPr>
              <w:t>Combatting woody plant encroachment</w:t>
            </w:r>
          </w:p>
          <w:p w14:paraId="7176E99C" w14:textId="77777777" w:rsidR="001B1F96" w:rsidRPr="009A3193" w:rsidRDefault="001B1F96" w:rsidP="00E9276E">
            <w:pPr>
              <w:rPr>
                <w:rFonts w:ascii="Arial" w:hAnsi="Arial" w:cs="Arial"/>
                <w:sz w:val="18"/>
                <w:szCs w:val="18"/>
                <w:lang w:val="en-GB"/>
              </w:rPr>
            </w:pPr>
          </w:p>
        </w:tc>
        <w:tc>
          <w:tcPr>
            <w:tcW w:w="2693" w:type="dxa"/>
          </w:tcPr>
          <w:p w14:paraId="79ECF589" w14:textId="77777777" w:rsidR="001B1F96" w:rsidRPr="009A3193" w:rsidRDefault="001B1F96" w:rsidP="00E9276E">
            <w:pPr>
              <w:rPr>
                <w:rFonts w:ascii="Arial" w:hAnsi="Arial" w:cs="Arial"/>
                <w:sz w:val="18"/>
                <w:szCs w:val="18"/>
                <w:lang w:val="en-GB"/>
              </w:rPr>
            </w:pPr>
            <w:r w:rsidRPr="009A3193">
              <w:rPr>
                <w:rFonts w:ascii="Arial" w:hAnsi="Arial" w:cs="Arial"/>
                <w:color w:val="000000"/>
                <w:sz w:val="18"/>
                <w:szCs w:val="18"/>
                <w:lang w:val="en-GB"/>
              </w:rPr>
              <w:t>Stevens et al., 2017; Bond &amp; Midgley, 2012; Wigley et al., 2020; Ministry of Environment and Tourism, 2011</w:t>
            </w:r>
          </w:p>
        </w:tc>
        <w:tc>
          <w:tcPr>
            <w:tcW w:w="2693" w:type="dxa"/>
          </w:tcPr>
          <w:p w14:paraId="12949051" w14:textId="77777777" w:rsidR="001B1F96" w:rsidRPr="009A3193" w:rsidRDefault="001B1F96" w:rsidP="00525176">
            <w:pPr>
              <w:rPr>
                <w:rFonts w:ascii="Arial" w:hAnsi="Arial" w:cs="Arial"/>
                <w:sz w:val="18"/>
                <w:szCs w:val="18"/>
                <w:lang w:val="en-GB"/>
              </w:rPr>
            </w:pPr>
            <w:r w:rsidRPr="009A3193">
              <w:rPr>
                <w:rFonts w:ascii="Arial" w:hAnsi="Arial" w:cs="Arial"/>
                <w:color w:val="000000"/>
                <w:sz w:val="18"/>
                <w:szCs w:val="18"/>
                <w:lang w:val="en-GB"/>
              </w:rPr>
              <w:t xml:space="preserve">Smit et al., 2016; Creed et al., </w:t>
            </w:r>
            <w:r w:rsidR="00525176" w:rsidRPr="009A3193">
              <w:rPr>
                <w:rFonts w:ascii="Arial" w:hAnsi="Arial" w:cs="Arial"/>
                <w:color w:val="000000"/>
                <w:sz w:val="18"/>
                <w:szCs w:val="18"/>
                <w:lang w:val="en-GB"/>
              </w:rPr>
              <w:t>2019</w:t>
            </w:r>
            <w:r w:rsidRPr="009A3193">
              <w:rPr>
                <w:rFonts w:ascii="Arial" w:hAnsi="Arial" w:cs="Arial"/>
                <w:color w:val="000000"/>
                <w:sz w:val="18"/>
                <w:szCs w:val="18"/>
                <w:lang w:val="en-GB"/>
              </w:rPr>
              <w:t>; van Wilgen et al., 2012</w:t>
            </w:r>
          </w:p>
        </w:tc>
      </w:tr>
      <w:tr w:rsidR="00E9276E" w:rsidRPr="009A3193" w14:paraId="2753961C" w14:textId="77777777" w:rsidTr="00DF6488">
        <w:tc>
          <w:tcPr>
            <w:tcW w:w="2350" w:type="dxa"/>
          </w:tcPr>
          <w:p w14:paraId="5B525688" w14:textId="77777777" w:rsidR="00E9276E" w:rsidRPr="009A3193" w:rsidRDefault="00E9276E" w:rsidP="00E9276E">
            <w:pPr>
              <w:rPr>
                <w:rFonts w:ascii="Arial" w:hAnsi="Arial" w:cs="Arial"/>
                <w:bCs/>
                <w:sz w:val="18"/>
                <w:szCs w:val="18"/>
                <w:lang w:val="en-GB"/>
              </w:rPr>
            </w:pPr>
            <w:r w:rsidRPr="009A3193">
              <w:rPr>
                <w:rFonts w:ascii="Arial" w:hAnsi="Arial" w:cs="Arial"/>
                <w:bCs/>
                <w:sz w:val="18"/>
                <w:szCs w:val="18"/>
                <w:lang w:val="en-GB"/>
              </w:rPr>
              <w:t xml:space="preserve">T12. Increased area of, access to, and benefits from green/blue spaces </w:t>
            </w:r>
            <w:r w:rsidRPr="009A3193">
              <w:rPr>
                <w:rFonts w:ascii="Arial" w:hAnsi="Arial" w:cs="Arial"/>
                <w:bCs/>
                <w:sz w:val="18"/>
                <w:szCs w:val="18"/>
                <w:lang w:val="en-GB"/>
              </w:rPr>
              <w:lastRenderedPageBreak/>
              <w:t>for health and well-being in urban areas</w:t>
            </w:r>
          </w:p>
        </w:tc>
        <w:tc>
          <w:tcPr>
            <w:tcW w:w="2040" w:type="dxa"/>
          </w:tcPr>
          <w:p w14:paraId="00CE8E3B" w14:textId="77777777" w:rsidR="00E9276E" w:rsidRPr="009A3193" w:rsidRDefault="009F2131" w:rsidP="00E9276E">
            <w:pPr>
              <w:rPr>
                <w:rFonts w:ascii="Arial" w:hAnsi="Arial" w:cs="Arial"/>
                <w:sz w:val="18"/>
                <w:szCs w:val="18"/>
                <w:lang w:val="en-GB"/>
              </w:rPr>
            </w:pPr>
            <w:r w:rsidRPr="009A3193">
              <w:rPr>
                <w:rFonts w:ascii="Arial" w:hAnsi="Arial" w:cs="Arial"/>
                <w:sz w:val="18"/>
                <w:szCs w:val="18"/>
                <w:lang w:val="en-GB"/>
              </w:rPr>
              <w:lastRenderedPageBreak/>
              <w:t xml:space="preserve">Increasing benefits from biodiversity and </w:t>
            </w:r>
            <w:r w:rsidRPr="009A3193">
              <w:rPr>
                <w:rFonts w:ascii="Arial" w:hAnsi="Arial" w:cs="Arial"/>
                <w:sz w:val="18"/>
                <w:szCs w:val="18"/>
                <w:lang w:val="en-GB"/>
              </w:rPr>
              <w:lastRenderedPageBreak/>
              <w:t>green/blue spaces in urban areas</w:t>
            </w:r>
          </w:p>
        </w:tc>
        <w:tc>
          <w:tcPr>
            <w:tcW w:w="2693" w:type="dxa"/>
          </w:tcPr>
          <w:p w14:paraId="0F33135A"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lastRenderedPageBreak/>
              <w:t>UN DESA, 2018; UN</w:t>
            </w:r>
            <w:r w:rsidR="00954DD0" w:rsidRPr="009A3193">
              <w:rPr>
                <w:rFonts w:ascii="Arial" w:hAnsi="Arial" w:cs="Arial"/>
                <w:color w:val="000000"/>
                <w:sz w:val="18"/>
                <w:szCs w:val="18"/>
                <w:lang w:val="en-GB"/>
              </w:rPr>
              <w:t>EN</w:t>
            </w:r>
            <w:r w:rsidRPr="009A3193">
              <w:rPr>
                <w:rFonts w:ascii="Arial" w:hAnsi="Arial" w:cs="Arial"/>
                <w:color w:val="000000"/>
                <w:sz w:val="18"/>
                <w:szCs w:val="18"/>
                <w:lang w:val="en-GB"/>
              </w:rPr>
              <w:t xml:space="preserve">, 2020; SCBD, 2012; Chan, 2019; Beatley, 2016; Epple et al, </w:t>
            </w:r>
            <w:r w:rsidRPr="009A3193">
              <w:rPr>
                <w:rFonts w:ascii="Arial" w:hAnsi="Arial" w:cs="Arial"/>
                <w:color w:val="000000"/>
                <w:sz w:val="18"/>
                <w:szCs w:val="18"/>
                <w:lang w:val="en-GB"/>
              </w:rPr>
              <w:lastRenderedPageBreak/>
              <w:t>2016; Enzi et al., 2017; Wong et al., 2003; Alhashimi et al., 2018; Yu, 2020; WHO, 2016</w:t>
            </w:r>
          </w:p>
        </w:tc>
        <w:tc>
          <w:tcPr>
            <w:tcW w:w="2693" w:type="dxa"/>
          </w:tcPr>
          <w:p w14:paraId="357A13BA"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lastRenderedPageBreak/>
              <w:t>Epple et al., 2016; Enzi et al., 2017; Alhashimi et al., 2018; Wong et al., 2003</w:t>
            </w:r>
          </w:p>
        </w:tc>
      </w:tr>
      <w:tr w:rsidR="00E9276E" w:rsidRPr="009A3193" w14:paraId="3807ABCF" w14:textId="77777777" w:rsidTr="00DF6488">
        <w:tc>
          <w:tcPr>
            <w:tcW w:w="2350" w:type="dxa"/>
          </w:tcPr>
          <w:p w14:paraId="4CB26F90" w14:textId="77777777" w:rsidR="00E9276E" w:rsidRPr="009A3193" w:rsidRDefault="00E9276E" w:rsidP="00E9276E">
            <w:pPr>
              <w:rPr>
                <w:rFonts w:ascii="Arial" w:hAnsi="Arial" w:cs="Arial"/>
                <w:bCs/>
                <w:sz w:val="18"/>
                <w:szCs w:val="18"/>
                <w:lang w:val="en-GB"/>
              </w:rPr>
            </w:pPr>
            <w:r w:rsidRPr="009A3193">
              <w:rPr>
                <w:rFonts w:ascii="Arial" w:hAnsi="Arial" w:cs="Arial"/>
                <w:bCs/>
                <w:sz w:val="18"/>
                <w:szCs w:val="18"/>
                <w:lang w:val="en-GB"/>
              </w:rPr>
              <w:lastRenderedPageBreak/>
              <w:t>T14. Biodiversity values integrated into policies, regulations, planning, development, poverty reduction, accounts and assessments at all levels and across all sectors</w:t>
            </w:r>
          </w:p>
        </w:tc>
        <w:tc>
          <w:tcPr>
            <w:tcW w:w="2040" w:type="dxa"/>
          </w:tcPr>
          <w:p w14:paraId="746EB469" w14:textId="77777777" w:rsidR="00E9276E" w:rsidRPr="009A3193" w:rsidRDefault="00E9276E" w:rsidP="00E9276E">
            <w:pPr>
              <w:rPr>
                <w:rFonts w:ascii="Arial" w:hAnsi="Arial" w:cs="Arial"/>
                <w:sz w:val="18"/>
                <w:szCs w:val="18"/>
                <w:lang w:val="en-GB"/>
              </w:rPr>
            </w:pPr>
            <w:r w:rsidRPr="009A3193">
              <w:rPr>
                <w:rFonts w:ascii="Arial" w:hAnsi="Arial" w:cs="Arial"/>
                <w:sz w:val="18"/>
                <w:szCs w:val="18"/>
                <w:lang w:val="en-GB"/>
              </w:rPr>
              <w:t>Mainstreaming biodiversity</w:t>
            </w:r>
          </w:p>
          <w:p w14:paraId="560C1CD3" w14:textId="77777777" w:rsidR="00E9276E" w:rsidRPr="009A3193" w:rsidRDefault="00E9276E" w:rsidP="00E9276E">
            <w:pPr>
              <w:rPr>
                <w:rFonts w:ascii="Arial" w:hAnsi="Arial" w:cs="Arial"/>
                <w:sz w:val="18"/>
                <w:szCs w:val="18"/>
                <w:lang w:val="en-GB"/>
              </w:rPr>
            </w:pPr>
          </w:p>
        </w:tc>
        <w:tc>
          <w:tcPr>
            <w:tcW w:w="2693" w:type="dxa"/>
          </w:tcPr>
          <w:p w14:paraId="29BAAE15"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Huntley &amp; Redford, 2014; Redford et al., 2015; Trumper et al., 2014</w:t>
            </w:r>
            <w:r w:rsidR="005A1F9C" w:rsidRPr="009A3193">
              <w:rPr>
                <w:rFonts w:ascii="Arial" w:hAnsi="Arial" w:cs="Arial"/>
                <w:color w:val="000000"/>
                <w:sz w:val="18"/>
                <w:szCs w:val="18"/>
                <w:lang w:val="en-GB"/>
              </w:rPr>
              <w:t> ; Smith et al. 2020</w:t>
            </w:r>
            <w:r w:rsidR="00C9414E" w:rsidRPr="009A3193">
              <w:rPr>
                <w:rFonts w:ascii="Arial" w:hAnsi="Arial" w:cs="Arial"/>
                <w:color w:val="000000"/>
                <w:sz w:val="18"/>
                <w:szCs w:val="18"/>
                <w:lang w:val="en-GB"/>
              </w:rPr>
              <w:t>b</w:t>
            </w:r>
          </w:p>
        </w:tc>
        <w:tc>
          <w:tcPr>
            <w:tcW w:w="2693" w:type="dxa"/>
          </w:tcPr>
          <w:p w14:paraId="79B536E3"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Redford et al., 2015; de Leon, 2010</w:t>
            </w:r>
          </w:p>
        </w:tc>
      </w:tr>
      <w:tr w:rsidR="00E9276E" w:rsidRPr="009A3193" w14:paraId="0FE37071" w14:textId="77777777" w:rsidTr="00DF6488">
        <w:tc>
          <w:tcPr>
            <w:tcW w:w="2350" w:type="dxa"/>
          </w:tcPr>
          <w:p w14:paraId="1956FC18" w14:textId="77777777" w:rsidR="00E9276E" w:rsidRPr="009A3193" w:rsidRDefault="00E9276E" w:rsidP="00E9276E">
            <w:pPr>
              <w:rPr>
                <w:rFonts w:ascii="Arial" w:hAnsi="Arial" w:cs="Arial"/>
                <w:bCs/>
                <w:sz w:val="18"/>
                <w:szCs w:val="18"/>
                <w:lang w:val="en-GB"/>
              </w:rPr>
            </w:pPr>
            <w:r w:rsidRPr="009A3193">
              <w:rPr>
                <w:rFonts w:ascii="Arial" w:hAnsi="Arial" w:cs="Arial"/>
                <w:bCs/>
                <w:sz w:val="18"/>
                <w:szCs w:val="18"/>
                <w:lang w:val="en-GB"/>
              </w:rPr>
              <w:t>T15. Dependencies and impacts on biodiversity assessed in all businesses, negative impacts halved, for sustainable extraction and production, sourcing and supply chains, use and disposal</w:t>
            </w:r>
          </w:p>
        </w:tc>
        <w:tc>
          <w:tcPr>
            <w:tcW w:w="2040" w:type="dxa"/>
          </w:tcPr>
          <w:p w14:paraId="3911DAAB" w14:textId="77777777" w:rsidR="00E9276E" w:rsidRPr="009A3193" w:rsidRDefault="00E9276E" w:rsidP="00E9276E">
            <w:pPr>
              <w:rPr>
                <w:rFonts w:ascii="Arial" w:hAnsi="Arial" w:cs="Arial"/>
                <w:sz w:val="18"/>
                <w:szCs w:val="18"/>
                <w:lang w:val="en-GB"/>
              </w:rPr>
            </w:pPr>
            <w:r w:rsidRPr="009A3193">
              <w:rPr>
                <w:rFonts w:ascii="Arial" w:hAnsi="Arial" w:cs="Arial"/>
                <w:sz w:val="18"/>
                <w:szCs w:val="18"/>
                <w:lang w:val="en-GB"/>
              </w:rPr>
              <w:t>Sustainable food production and supply chains</w:t>
            </w:r>
          </w:p>
          <w:p w14:paraId="7CFEA391" w14:textId="77777777" w:rsidR="00E9276E" w:rsidRPr="009A3193" w:rsidRDefault="00E9276E" w:rsidP="00E9276E">
            <w:pPr>
              <w:rPr>
                <w:rFonts w:ascii="Arial" w:hAnsi="Arial" w:cs="Arial"/>
                <w:sz w:val="18"/>
                <w:szCs w:val="18"/>
                <w:lang w:val="en-GB"/>
              </w:rPr>
            </w:pPr>
          </w:p>
        </w:tc>
        <w:tc>
          <w:tcPr>
            <w:tcW w:w="2693" w:type="dxa"/>
          </w:tcPr>
          <w:p w14:paraId="4FD5DC86"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Albrecht et al. 2020 ; Pretty et al. 2018 ; Bajželj et al., 2014 ; Gustavsson et al., 2011 ; Xiao et al. 2017 ; Duarte et al. 2017 ; Vijn et al. 2020 ; Froehlich et al. 2019 ; Mariani et al. 2020 ; Sala et al. 2021 ; Atwood et al. 2020 ; Saba et al. 2021</w:t>
            </w:r>
          </w:p>
        </w:tc>
        <w:tc>
          <w:tcPr>
            <w:tcW w:w="2693" w:type="dxa"/>
          </w:tcPr>
          <w:p w14:paraId="5A79DB6B"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Phalan et al. 2011 ; Smith et al. 2020</w:t>
            </w:r>
            <w:r w:rsidR="00C9414E" w:rsidRPr="009A3193">
              <w:rPr>
                <w:rFonts w:ascii="Arial" w:hAnsi="Arial" w:cs="Arial"/>
                <w:color w:val="000000"/>
                <w:sz w:val="18"/>
                <w:szCs w:val="18"/>
                <w:lang w:val="en-GB"/>
              </w:rPr>
              <w:t>a</w:t>
            </w:r>
            <w:r w:rsidRPr="009A3193">
              <w:rPr>
                <w:rFonts w:ascii="Arial" w:hAnsi="Arial" w:cs="Arial"/>
                <w:color w:val="000000"/>
                <w:sz w:val="18"/>
                <w:szCs w:val="18"/>
                <w:lang w:val="en-GB"/>
              </w:rPr>
              <w:t> ; Froehlich et al. 2019 ; Duarte et al. 2017 ; Mariani et al. 2020 ; Sala et al. 2021</w:t>
            </w:r>
          </w:p>
        </w:tc>
      </w:tr>
      <w:tr w:rsidR="00E9276E" w:rsidRPr="009A3193" w14:paraId="749A4064" w14:textId="77777777" w:rsidTr="00DF6488">
        <w:tc>
          <w:tcPr>
            <w:tcW w:w="2350" w:type="dxa"/>
          </w:tcPr>
          <w:p w14:paraId="235D46FD" w14:textId="77777777" w:rsidR="00E9276E" w:rsidRPr="009A3193" w:rsidRDefault="00E9276E" w:rsidP="00E9276E">
            <w:pPr>
              <w:rPr>
                <w:rFonts w:ascii="Arial" w:hAnsi="Arial" w:cs="Arial"/>
                <w:bCs/>
                <w:sz w:val="18"/>
                <w:szCs w:val="18"/>
                <w:lang w:val="en-GB"/>
              </w:rPr>
            </w:pPr>
            <w:r w:rsidRPr="009A3193">
              <w:rPr>
                <w:rFonts w:ascii="Arial" w:hAnsi="Arial" w:cs="Arial"/>
                <w:bCs/>
                <w:sz w:val="18"/>
                <w:szCs w:val="18"/>
                <w:lang w:val="en-GB"/>
              </w:rPr>
              <w:t>T16. People are informed and enabled to make responsible choices, to halve the waste and reduce overconsumption of food and other materials where relevant</w:t>
            </w:r>
          </w:p>
        </w:tc>
        <w:tc>
          <w:tcPr>
            <w:tcW w:w="2040" w:type="dxa"/>
          </w:tcPr>
          <w:p w14:paraId="4C792AA1" w14:textId="77777777" w:rsidR="00E9276E" w:rsidRPr="009A3193" w:rsidRDefault="00E9276E" w:rsidP="00E9276E">
            <w:pPr>
              <w:rPr>
                <w:rFonts w:ascii="Arial" w:hAnsi="Arial" w:cs="Arial"/>
                <w:sz w:val="18"/>
                <w:szCs w:val="18"/>
                <w:lang w:val="en-GB"/>
              </w:rPr>
            </w:pPr>
            <w:r w:rsidRPr="009A3193">
              <w:rPr>
                <w:rFonts w:ascii="Arial" w:hAnsi="Arial" w:cs="Arial"/>
                <w:sz w:val="18"/>
                <w:szCs w:val="18"/>
                <w:lang w:val="en-GB"/>
              </w:rPr>
              <w:t>Sustainable consumption patterns</w:t>
            </w:r>
          </w:p>
          <w:p w14:paraId="5F6550B5" w14:textId="77777777" w:rsidR="00E9276E" w:rsidRPr="009A3193" w:rsidRDefault="00E9276E" w:rsidP="00E9276E">
            <w:pPr>
              <w:rPr>
                <w:rFonts w:ascii="Arial" w:hAnsi="Arial" w:cs="Arial"/>
                <w:sz w:val="18"/>
                <w:szCs w:val="18"/>
                <w:lang w:val="en-GB"/>
              </w:rPr>
            </w:pPr>
          </w:p>
        </w:tc>
        <w:tc>
          <w:tcPr>
            <w:tcW w:w="2693" w:type="dxa"/>
          </w:tcPr>
          <w:p w14:paraId="4CD61103"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Kuuluvainen et al 2019 ; Heilmayr et al 2020</w:t>
            </w:r>
            <w:r w:rsidR="008C7944" w:rsidRPr="009A3193">
              <w:rPr>
                <w:rFonts w:ascii="Arial" w:hAnsi="Arial" w:cs="Arial"/>
                <w:color w:val="000000"/>
                <w:sz w:val="18"/>
                <w:szCs w:val="18"/>
                <w:lang w:val="en-GB"/>
              </w:rPr>
              <w:t> ; Jia et al. 2019</w:t>
            </w:r>
          </w:p>
        </w:tc>
        <w:tc>
          <w:tcPr>
            <w:tcW w:w="2693" w:type="dxa"/>
          </w:tcPr>
          <w:p w14:paraId="4B577116"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Kuuluvainen et al 2019 ; Heilmayr et al 2020</w:t>
            </w:r>
            <w:r w:rsidR="008C7944" w:rsidRPr="009A3193">
              <w:rPr>
                <w:rFonts w:ascii="Arial" w:hAnsi="Arial" w:cs="Arial"/>
                <w:color w:val="000000"/>
                <w:sz w:val="18"/>
                <w:szCs w:val="18"/>
                <w:lang w:val="en-GB"/>
              </w:rPr>
              <w:t> ; Jia et al. 2019</w:t>
            </w:r>
          </w:p>
        </w:tc>
      </w:tr>
      <w:tr w:rsidR="00E9276E" w:rsidRPr="009A3193" w14:paraId="62D10E76" w14:textId="77777777" w:rsidTr="00DF6488">
        <w:tc>
          <w:tcPr>
            <w:tcW w:w="2350" w:type="dxa"/>
          </w:tcPr>
          <w:p w14:paraId="5CA52FA4" w14:textId="77777777" w:rsidR="00E9276E" w:rsidRPr="009A3193" w:rsidRDefault="00E9276E" w:rsidP="00E9276E">
            <w:pPr>
              <w:rPr>
                <w:rFonts w:ascii="Arial" w:hAnsi="Arial" w:cs="Arial"/>
                <w:bCs/>
                <w:sz w:val="18"/>
                <w:szCs w:val="18"/>
                <w:lang w:val="en-GB"/>
              </w:rPr>
            </w:pPr>
            <w:r w:rsidRPr="009A3193">
              <w:rPr>
                <w:rFonts w:ascii="Arial" w:hAnsi="Arial" w:cs="Arial"/>
                <w:bCs/>
                <w:sz w:val="18"/>
                <w:szCs w:val="18"/>
                <w:lang w:val="en-GB"/>
              </w:rPr>
              <w:t>T18. Redirect, repurpose, reform or eliminate incentives harmful for biodiversity in a just and equitable way</w:t>
            </w:r>
          </w:p>
        </w:tc>
        <w:tc>
          <w:tcPr>
            <w:tcW w:w="2040" w:type="dxa"/>
          </w:tcPr>
          <w:p w14:paraId="48219566" w14:textId="77777777" w:rsidR="00E9276E" w:rsidRPr="009A3193" w:rsidRDefault="009F2131" w:rsidP="00E9276E">
            <w:pPr>
              <w:rPr>
                <w:rFonts w:ascii="Arial" w:hAnsi="Arial" w:cs="Arial"/>
                <w:sz w:val="18"/>
                <w:szCs w:val="18"/>
                <w:lang w:val="en-GB"/>
              </w:rPr>
            </w:pPr>
            <w:r w:rsidRPr="009A3193">
              <w:rPr>
                <w:rFonts w:ascii="Arial" w:hAnsi="Arial" w:cs="Arial"/>
                <w:sz w:val="18"/>
                <w:szCs w:val="18"/>
                <w:lang w:val="en-GB"/>
              </w:rPr>
              <w:t>Eliminating incentives harmful for biodiversity</w:t>
            </w:r>
          </w:p>
        </w:tc>
        <w:tc>
          <w:tcPr>
            <w:tcW w:w="2693" w:type="dxa"/>
          </w:tcPr>
          <w:p w14:paraId="4B6D3655"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Coady et al., 2019; Frank</w:t>
            </w:r>
            <w:r w:rsidR="00925CD0" w:rsidRPr="009A3193">
              <w:rPr>
                <w:rFonts w:ascii="Arial" w:hAnsi="Arial" w:cs="Arial"/>
                <w:color w:val="000000"/>
                <w:sz w:val="18"/>
                <w:szCs w:val="18"/>
                <w:lang w:val="en-GB"/>
              </w:rPr>
              <w:t>s</w:t>
            </w:r>
            <w:r w:rsidRPr="009A3193">
              <w:rPr>
                <w:rFonts w:ascii="Arial" w:hAnsi="Arial" w:cs="Arial"/>
                <w:color w:val="000000"/>
                <w:sz w:val="18"/>
                <w:szCs w:val="18"/>
                <w:lang w:val="en-GB"/>
              </w:rPr>
              <w:t xml:space="preserve"> et al., 2018</w:t>
            </w:r>
          </w:p>
        </w:tc>
        <w:tc>
          <w:tcPr>
            <w:tcW w:w="2693" w:type="dxa"/>
          </w:tcPr>
          <w:p w14:paraId="37CA3146" w14:textId="77777777" w:rsidR="00E9276E" w:rsidRPr="009A3193" w:rsidRDefault="00E9276E" w:rsidP="00E9276E">
            <w:pPr>
              <w:rPr>
                <w:rFonts w:ascii="Arial" w:hAnsi="Arial" w:cs="Arial"/>
                <w:sz w:val="18"/>
                <w:szCs w:val="18"/>
                <w:lang w:val="en-GB"/>
              </w:rPr>
            </w:pPr>
            <w:r w:rsidRPr="009A3193">
              <w:rPr>
                <w:rFonts w:ascii="Arial" w:hAnsi="Arial" w:cs="Arial"/>
                <w:color w:val="000000"/>
                <w:sz w:val="18"/>
                <w:szCs w:val="18"/>
                <w:lang w:val="en-GB"/>
              </w:rPr>
              <w:t>OECD, 2019</w:t>
            </w:r>
          </w:p>
        </w:tc>
      </w:tr>
    </w:tbl>
    <w:p w14:paraId="0924C260" w14:textId="77777777" w:rsidR="00AD0D09" w:rsidRPr="009A3193" w:rsidRDefault="00AD0D09">
      <w:pPr>
        <w:rPr>
          <w:b/>
          <w:lang w:val="en-GB"/>
        </w:rPr>
      </w:pPr>
    </w:p>
    <w:p w14:paraId="624199DD" w14:textId="77777777" w:rsidR="009B1269" w:rsidRPr="009A3193" w:rsidRDefault="009B1269">
      <w:pPr>
        <w:rPr>
          <w:b/>
          <w:lang w:val="en-GB"/>
        </w:rPr>
      </w:pPr>
      <w:r w:rsidRPr="009A3193">
        <w:rPr>
          <w:b/>
          <w:lang w:val="en-GB"/>
        </w:rPr>
        <w:br w:type="page"/>
      </w:r>
    </w:p>
    <w:p w14:paraId="09B8ADF2" w14:textId="56F31CD5" w:rsidR="009B1269" w:rsidRPr="009A3193" w:rsidRDefault="009B1269" w:rsidP="009B1269">
      <w:pPr>
        <w:rPr>
          <w:sz w:val="20"/>
          <w:lang w:val="en-GB"/>
        </w:rPr>
      </w:pPr>
      <w:r w:rsidRPr="009A3193">
        <w:rPr>
          <w:b/>
          <w:lang w:val="en-GB"/>
        </w:rPr>
        <w:lastRenderedPageBreak/>
        <w:t>Table S2 </w:t>
      </w:r>
      <w:r w:rsidRPr="009A3193">
        <w:rPr>
          <w:lang w:val="en-GB"/>
        </w:rPr>
        <w:t xml:space="preserve">: </w:t>
      </w:r>
      <w:r w:rsidRPr="009A3193">
        <w:rPr>
          <w:sz w:val="20"/>
          <w:lang w:val="en-GB"/>
        </w:rPr>
        <w:t>Literature references supporting Figure 1</w:t>
      </w:r>
      <w:r w:rsidR="001339F3">
        <w:rPr>
          <w:sz w:val="20"/>
          <w:lang w:val="en-GB"/>
        </w:rPr>
        <w:t xml:space="preserve"> and Table 2</w:t>
      </w:r>
      <w:r w:rsidR="001B1F96" w:rsidRPr="009A3193">
        <w:rPr>
          <w:sz w:val="20"/>
          <w:lang w:val="en-GB"/>
        </w:rPr>
        <w:t xml:space="preserve"> (</w:t>
      </w:r>
      <w:r w:rsidR="00FA3AD6" w:rsidRPr="009A3193">
        <w:rPr>
          <w:sz w:val="20"/>
          <w:lang w:val="en-GB"/>
        </w:rPr>
        <w:t xml:space="preserve">CC : climate change ; </w:t>
      </w:r>
      <w:r w:rsidR="001B1F96" w:rsidRPr="009A3193">
        <w:rPr>
          <w:sz w:val="20"/>
          <w:lang w:val="en-GB"/>
        </w:rPr>
        <w:t>NCP : Nature’s Contributions to People)</w:t>
      </w:r>
    </w:p>
    <w:tbl>
      <w:tblPr>
        <w:tblW w:w="10433"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1"/>
        <w:gridCol w:w="1231"/>
        <w:gridCol w:w="1489"/>
        <w:gridCol w:w="1559"/>
        <w:gridCol w:w="1559"/>
        <w:gridCol w:w="1418"/>
        <w:gridCol w:w="1275"/>
        <w:gridCol w:w="1361"/>
      </w:tblGrid>
      <w:tr w:rsidR="002302CC" w:rsidRPr="009A3193" w14:paraId="637BD545" w14:textId="77777777" w:rsidTr="00FA3AD6">
        <w:trPr>
          <w:trHeight w:val="240"/>
        </w:trPr>
        <w:tc>
          <w:tcPr>
            <w:tcW w:w="0" w:type="auto"/>
            <w:shd w:val="clear" w:color="auto" w:fill="auto"/>
            <w:tcMar>
              <w:top w:w="0" w:type="dxa"/>
              <w:left w:w="45" w:type="dxa"/>
              <w:bottom w:w="0" w:type="dxa"/>
              <w:right w:w="45" w:type="dxa"/>
            </w:tcMar>
            <w:vAlign w:val="center"/>
            <w:hideMark/>
          </w:tcPr>
          <w:p w14:paraId="0CF5DDA8" w14:textId="77777777" w:rsidR="002302CC" w:rsidRPr="009A3193" w:rsidRDefault="002302CC" w:rsidP="00FA3AD6">
            <w:pPr>
              <w:spacing w:after="0" w:line="240" w:lineRule="auto"/>
              <w:rPr>
                <w:rFonts w:ascii="Arial" w:eastAsia="Times New Roman" w:hAnsi="Arial" w:cs="Arial"/>
                <w:sz w:val="18"/>
                <w:szCs w:val="18"/>
                <w:lang w:val="en-GB" w:eastAsia="fr-FR"/>
              </w:rPr>
            </w:pPr>
          </w:p>
        </w:tc>
        <w:tc>
          <w:tcPr>
            <w:tcW w:w="0" w:type="auto"/>
            <w:shd w:val="clear" w:color="auto" w:fill="auto"/>
            <w:tcMar>
              <w:top w:w="0" w:type="dxa"/>
              <w:left w:w="45" w:type="dxa"/>
              <w:bottom w:w="0" w:type="dxa"/>
              <w:right w:w="45" w:type="dxa"/>
            </w:tcMar>
            <w:vAlign w:val="center"/>
            <w:hideMark/>
          </w:tcPr>
          <w:p w14:paraId="4F45271C" w14:textId="77777777" w:rsidR="002302CC" w:rsidRPr="009A3193" w:rsidRDefault="002302CC" w:rsidP="00FA3AD6">
            <w:pPr>
              <w:spacing w:after="0" w:line="240" w:lineRule="auto"/>
              <w:rPr>
                <w:rFonts w:ascii="Arial" w:eastAsia="Times New Roman" w:hAnsi="Arial" w:cs="Arial"/>
                <w:b/>
                <w:bCs/>
                <w:sz w:val="18"/>
                <w:szCs w:val="18"/>
                <w:lang w:val="en-GB" w:eastAsia="fr-FR"/>
              </w:rPr>
            </w:pPr>
            <w:r w:rsidRPr="009A3193">
              <w:rPr>
                <w:rFonts w:ascii="Arial" w:eastAsia="Times New Roman" w:hAnsi="Arial" w:cs="Arial"/>
                <w:b/>
                <w:bCs/>
                <w:sz w:val="18"/>
                <w:szCs w:val="18"/>
                <w:lang w:val="en-GB" w:eastAsia="fr-FR"/>
              </w:rPr>
              <w:t>Case study</w:t>
            </w:r>
          </w:p>
        </w:tc>
        <w:tc>
          <w:tcPr>
            <w:tcW w:w="1489" w:type="dxa"/>
            <w:shd w:val="clear" w:color="auto" w:fill="auto"/>
            <w:tcMar>
              <w:top w:w="0" w:type="dxa"/>
              <w:left w:w="45" w:type="dxa"/>
              <w:bottom w:w="0" w:type="dxa"/>
              <w:right w:w="45" w:type="dxa"/>
            </w:tcMar>
            <w:vAlign w:val="center"/>
            <w:hideMark/>
          </w:tcPr>
          <w:p w14:paraId="2AFA360A" w14:textId="77777777" w:rsidR="002302CC" w:rsidRPr="009A3193" w:rsidRDefault="002302CC" w:rsidP="00FA3AD6">
            <w:pPr>
              <w:spacing w:after="0" w:line="240" w:lineRule="auto"/>
              <w:rPr>
                <w:rFonts w:ascii="Arial" w:eastAsia="Times New Roman" w:hAnsi="Arial" w:cs="Arial"/>
                <w:b/>
                <w:bCs/>
                <w:sz w:val="18"/>
                <w:szCs w:val="18"/>
                <w:lang w:val="en-GB" w:eastAsia="fr-FR"/>
              </w:rPr>
            </w:pPr>
            <w:r w:rsidRPr="009A3193">
              <w:rPr>
                <w:rFonts w:ascii="Arial" w:eastAsia="Times New Roman" w:hAnsi="Arial" w:cs="Arial"/>
                <w:b/>
                <w:bCs/>
                <w:sz w:val="18"/>
                <w:szCs w:val="18"/>
                <w:lang w:val="en-GB" w:eastAsia="fr-FR"/>
              </w:rPr>
              <w:t>main biodiversity measures</w:t>
            </w:r>
          </w:p>
        </w:tc>
        <w:tc>
          <w:tcPr>
            <w:tcW w:w="1559" w:type="dxa"/>
            <w:shd w:val="clear" w:color="auto" w:fill="auto"/>
            <w:tcMar>
              <w:top w:w="0" w:type="dxa"/>
              <w:left w:w="45" w:type="dxa"/>
              <w:bottom w:w="0" w:type="dxa"/>
              <w:right w:w="45" w:type="dxa"/>
            </w:tcMar>
            <w:vAlign w:val="center"/>
            <w:hideMark/>
          </w:tcPr>
          <w:p w14:paraId="5BF7E171" w14:textId="77777777" w:rsidR="002302CC" w:rsidRPr="009A3193" w:rsidRDefault="002302CC" w:rsidP="00FA3AD6">
            <w:pPr>
              <w:spacing w:after="0" w:line="240" w:lineRule="auto"/>
              <w:rPr>
                <w:rFonts w:ascii="Arial" w:eastAsia="Times New Roman" w:hAnsi="Arial" w:cs="Arial"/>
                <w:b/>
                <w:bCs/>
                <w:sz w:val="18"/>
                <w:szCs w:val="18"/>
                <w:lang w:val="en-GB" w:eastAsia="fr-FR"/>
              </w:rPr>
            </w:pPr>
            <w:r w:rsidRPr="009A3193">
              <w:rPr>
                <w:rFonts w:ascii="Arial" w:eastAsia="Times New Roman" w:hAnsi="Arial" w:cs="Arial"/>
                <w:b/>
                <w:bCs/>
                <w:sz w:val="18"/>
                <w:szCs w:val="18"/>
                <w:lang w:val="en-GB" w:eastAsia="fr-FR"/>
              </w:rPr>
              <w:t>impacts on biodiversity</w:t>
            </w:r>
          </w:p>
        </w:tc>
        <w:tc>
          <w:tcPr>
            <w:tcW w:w="1559" w:type="dxa"/>
            <w:shd w:val="clear" w:color="auto" w:fill="auto"/>
            <w:tcMar>
              <w:top w:w="0" w:type="dxa"/>
              <w:left w:w="45" w:type="dxa"/>
              <w:bottom w:w="0" w:type="dxa"/>
              <w:right w:w="45" w:type="dxa"/>
            </w:tcMar>
            <w:vAlign w:val="center"/>
            <w:hideMark/>
          </w:tcPr>
          <w:p w14:paraId="4F9094A6" w14:textId="77777777" w:rsidR="002302CC" w:rsidRPr="009A3193" w:rsidRDefault="002302CC" w:rsidP="00FA3AD6">
            <w:pPr>
              <w:spacing w:after="0" w:line="240" w:lineRule="auto"/>
              <w:rPr>
                <w:rFonts w:ascii="Arial" w:eastAsia="Times New Roman" w:hAnsi="Arial" w:cs="Arial"/>
                <w:b/>
                <w:bCs/>
                <w:sz w:val="18"/>
                <w:szCs w:val="18"/>
                <w:lang w:val="en-GB" w:eastAsia="fr-FR"/>
              </w:rPr>
            </w:pPr>
            <w:r w:rsidRPr="009A3193">
              <w:rPr>
                <w:rFonts w:ascii="Arial" w:eastAsia="Times New Roman" w:hAnsi="Arial" w:cs="Arial"/>
                <w:b/>
                <w:bCs/>
                <w:sz w:val="18"/>
                <w:szCs w:val="18"/>
                <w:lang w:val="en-GB" w:eastAsia="fr-FR"/>
              </w:rPr>
              <w:t>impacts on CC Mitigation</w:t>
            </w:r>
          </w:p>
        </w:tc>
        <w:tc>
          <w:tcPr>
            <w:tcW w:w="1418" w:type="dxa"/>
            <w:shd w:val="clear" w:color="auto" w:fill="auto"/>
            <w:tcMar>
              <w:top w:w="0" w:type="dxa"/>
              <w:left w:w="45" w:type="dxa"/>
              <w:bottom w:w="0" w:type="dxa"/>
              <w:right w:w="45" w:type="dxa"/>
            </w:tcMar>
            <w:vAlign w:val="center"/>
            <w:hideMark/>
          </w:tcPr>
          <w:p w14:paraId="78A39405" w14:textId="77777777" w:rsidR="002302CC" w:rsidRPr="009A3193" w:rsidRDefault="002302CC" w:rsidP="00FA3AD6">
            <w:pPr>
              <w:spacing w:after="0" w:line="240" w:lineRule="auto"/>
              <w:rPr>
                <w:rFonts w:ascii="Arial" w:eastAsia="Times New Roman" w:hAnsi="Arial" w:cs="Arial"/>
                <w:b/>
                <w:bCs/>
                <w:sz w:val="18"/>
                <w:szCs w:val="18"/>
                <w:lang w:val="en-GB" w:eastAsia="fr-FR"/>
              </w:rPr>
            </w:pPr>
            <w:r w:rsidRPr="009A3193">
              <w:rPr>
                <w:rFonts w:ascii="Arial" w:eastAsia="Times New Roman" w:hAnsi="Arial" w:cs="Arial"/>
                <w:b/>
                <w:bCs/>
                <w:sz w:val="18"/>
                <w:szCs w:val="18"/>
                <w:lang w:val="en-GB" w:eastAsia="fr-FR"/>
              </w:rPr>
              <w:t>impacts on other regulating NCP</w:t>
            </w:r>
          </w:p>
        </w:tc>
        <w:tc>
          <w:tcPr>
            <w:tcW w:w="1275" w:type="dxa"/>
            <w:shd w:val="clear" w:color="auto" w:fill="auto"/>
            <w:tcMar>
              <w:top w:w="0" w:type="dxa"/>
              <w:left w:w="45" w:type="dxa"/>
              <w:bottom w:w="0" w:type="dxa"/>
              <w:right w:w="45" w:type="dxa"/>
            </w:tcMar>
            <w:vAlign w:val="center"/>
            <w:hideMark/>
          </w:tcPr>
          <w:p w14:paraId="36727D5A" w14:textId="77777777" w:rsidR="002302CC" w:rsidRPr="009A3193" w:rsidRDefault="002302CC" w:rsidP="00FA3AD6">
            <w:pPr>
              <w:spacing w:after="0" w:line="240" w:lineRule="auto"/>
              <w:rPr>
                <w:rFonts w:ascii="Arial" w:eastAsia="Times New Roman" w:hAnsi="Arial" w:cs="Arial"/>
                <w:b/>
                <w:bCs/>
                <w:sz w:val="18"/>
                <w:szCs w:val="18"/>
                <w:lang w:val="en-GB" w:eastAsia="fr-FR"/>
              </w:rPr>
            </w:pPr>
            <w:r w:rsidRPr="009A3193">
              <w:rPr>
                <w:rFonts w:ascii="Arial" w:eastAsia="Times New Roman" w:hAnsi="Arial" w:cs="Arial"/>
                <w:b/>
                <w:bCs/>
                <w:sz w:val="18"/>
                <w:szCs w:val="18"/>
                <w:lang w:val="en-GB" w:eastAsia="fr-FR"/>
              </w:rPr>
              <w:t>impacts on material NCP</w:t>
            </w:r>
          </w:p>
        </w:tc>
        <w:tc>
          <w:tcPr>
            <w:tcW w:w="0" w:type="auto"/>
            <w:shd w:val="clear" w:color="auto" w:fill="auto"/>
            <w:tcMar>
              <w:top w:w="0" w:type="dxa"/>
              <w:left w:w="45" w:type="dxa"/>
              <w:bottom w:w="0" w:type="dxa"/>
              <w:right w:w="45" w:type="dxa"/>
            </w:tcMar>
            <w:vAlign w:val="center"/>
            <w:hideMark/>
          </w:tcPr>
          <w:p w14:paraId="613FB125" w14:textId="79E13C8F" w:rsidR="002302CC" w:rsidRPr="009A3193" w:rsidRDefault="002302CC" w:rsidP="00FA3AD6">
            <w:pPr>
              <w:spacing w:after="0" w:line="240" w:lineRule="auto"/>
              <w:rPr>
                <w:rFonts w:ascii="Arial" w:eastAsia="Times New Roman" w:hAnsi="Arial" w:cs="Arial"/>
                <w:b/>
                <w:bCs/>
                <w:sz w:val="18"/>
                <w:szCs w:val="18"/>
                <w:lang w:val="en-GB" w:eastAsia="fr-FR"/>
              </w:rPr>
            </w:pPr>
            <w:r w:rsidRPr="009A3193">
              <w:rPr>
                <w:rFonts w:ascii="Arial" w:eastAsia="Times New Roman" w:hAnsi="Arial" w:cs="Arial"/>
                <w:b/>
                <w:bCs/>
                <w:sz w:val="18"/>
                <w:szCs w:val="18"/>
                <w:lang w:val="en-GB" w:eastAsia="fr-FR"/>
              </w:rPr>
              <w:t>impacts on non</w:t>
            </w:r>
            <w:r w:rsidR="009A3193">
              <w:rPr>
                <w:rFonts w:ascii="Arial" w:eastAsia="Times New Roman" w:hAnsi="Arial" w:cs="Arial"/>
                <w:b/>
                <w:bCs/>
                <w:sz w:val="18"/>
                <w:szCs w:val="18"/>
                <w:lang w:val="en-GB" w:eastAsia="fr-FR"/>
              </w:rPr>
              <w:t>-</w:t>
            </w:r>
            <w:r w:rsidRPr="009A3193">
              <w:rPr>
                <w:rFonts w:ascii="Arial" w:eastAsia="Times New Roman" w:hAnsi="Arial" w:cs="Arial"/>
                <w:b/>
                <w:bCs/>
                <w:sz w:val="18"/>
                <w:szCs w:val="18"/>
                <w:lang w:val="en-GB" w:eastAsia="fr-FR"/>
              </w:rPr>
              <w:t>material NCP</w:t>
            </w:r>
          </w:p>
        </w:tc>
      </w:tr>
      <w:tr w:rsidR="002302CC" w:rsidRPr="009A3193" w14:paraId="046D23DA" w14:textId="77777777" w:rsidTr="00FA3AD6">
        <w:trPr>
          <w:trHeight w:val="240"/>
        </w:trPr>
        <w:tc>
          <w:tcPr>
            <w:tcW w:w="0" w:type="auto"/>
            <w:shd w:val="clear" w:color="auto" w:fill="auto"/>
            <w:tcMar>
              <w:top w:w="0" w:type="dxa"/>
              <w:left w:w="45" w:type="dxa"/>
              <w:bottom w:w="0" w:type="dxa"/>
              <w:right w:w="45" w:type="dxa"/>
            </w:tcMar>
            <w:vAlign w:val="center"/>
            <w:hideMark/>
          </w:tcPr>
          <w:p w14:paraId="20B1A96F"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CS1</w:t>
            </w:r>
          </w:p>
        </w:tc>
        <w:tc>
          <w:tcPr>
            <w:tcW w:w="0" w:type="auto"/>
            <w:shd w:val="clear" w:color="auto" w:fill="auto"/>
            <w:tcMar>
              <w:top w:w="0" w:type="dxa"/>
              <w:left w:w="45" w:type="dxa"/>
              <w:bottom w:w="0" w:type="dxa"/>
              <w:right w:w="45" w:type="dxa"/>
            </w:tcMar>
            <w:vAlign w:val="center"/>
            <w:hideMark/>
          </w:tcPr>
          <w:p w14:paraId="5ABDDA5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Kailash Sacred Landscape Conservation and Development Initiative</w:t>
            </w:r>
          </w:p>
        </w:tc>
        <w:tc>
          <w:tcPr>
            <w:tcW w:w="1489" w:type="dxa"/>
            <w:shd w:val="clear" w:color="auto" w:fill="auto"/>
            <w:tcMar>
              <w:top w:w="0" w:type="dxa"/>
              <w:left w:w="45" w:type="dxa"/>
              <w:bottom w:w="0" w:type="dxa"/>
              <w:right w:w="45" w:type="dxa"/>
            </w:tcMar>
            <w:vAlign w:val="center"/>
            <w:hideMark/>
          </w:tcPr>
          <w:p w14:paraId="406E45B3" w14:textId="77777777" w:rsidR="002302CC" w:rsidRPr="009A3193" w:rsidRDefault="0060714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Kotru et al., 2020; Sharma et al 2010; Zomer and Oli, 2011</w:t>
            </w:r>
          </w:p>
        </w:tc>
        <w:tc>
          <w:tcPr>
            <w:tcW w:w="1559" w:type="dxa"/>
            <w:shd w:val="clear" w:color="auto" w:fill="auto"/>
            <w:tcMar>
              <w:top w:w="0" w:type="dxa"/>
              <w:left w:w="45" w:type="dxa"/>
              <w:bottom w:w="0" w:type="dxa"/>
              <w:right w:w="45" w:type="dxa"/>
            </w:tcMar>
            <w:vAlign w:val="center"/>
            <w:hideMark/>
          </w:tcPr>
          <w:p w14:paraId="6174B4CC"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Kotru et al. 2020</w:t>
            </w:r>
          </w:p>
        </w:tc>
        <w:tc>
          <w:tcPr>
            <w:tcW w:w="1559" w:type="dxa"/>
            <w:shd w:val="clear" w:color="auto" w:fill="auto"/>
            <w:tcMar>
              <w:top w:w="0" w:type="dxa"/>
              <w:left w:w="45" w:type="dxa"/>
              <w:bottom w:w="0" w:type="dxa"/>
              <w:right w:w="45" w:type="dxa"/>
            </w:tcMar>
            <w:vAlign w:val="center"/>
            <w:hideMark/>
          </w:tcPr>
          <w:p w14:paraId="5548EEF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Uddin et al. 2015; Zomer et al., 2014</w:t>
            </w:r>
          </w:p>
        </w:tc>
        <w:tc>
          <w:tcPr>
            <w:tcW w:w="1418" w:type="dxa"/>
            <w:shd w:val="clear" w:color="auto" w:fill="auto"/>
            <w:tcMar>
              <w:top w:w="0" w:type="dxa"/>
              <w:left w:w="45" w:type="dxa"/>
              <w:bottom w:w="0" w:type="dxa"/>
              <w:right w:w="45" w:type="dxa"/>
            </w:tcMar>
            <w:vAlign w:val="center"/>
            <w:hideMark/>
          </w:tcPr>
          <w:p w14:paraId="6A047968" w14:textId="77777777" w:rsidR="002302CC" w:rsidRPr="009A3193" w:rsidRDefault="004D2B29"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Badola et al., 2017</w:t>
            </w:r>
            <w:r w:rsidR="002302CC" w:rsidRPr="009A3193">
              <w:rPr>
                <w:rFonts w:ascii="Arial" w:eastAsia="Times New Roman" w:hAnsi="Arial" w:cs="Arial"/>
                <w:color w:val="000000"/>
                <w:sz w:val="18"/>
                <w:szCs w:val="18"/>
                <w:lang w:val="en-GB" w:eastAsia="fr-FR"/>
              </w:rPr>
              <w:t>; Liniger et al., 2020</w:t>
            </w:r>
          </w:p>
        </w:tc>
        <w:tc>
          <w:tcPr>
            <w:tcW w:w="1275" w:type="dxa"/>
            <w:shd w:val="clear" w:color="auto" w:fill="auto"/>
            <w:tcMar>
              <w:top w:w="0" w:type="dxa"/>
              <w:left w:w="45" w:type="dxa"/>
              <w:bottom w:w="0" w:type="dxa"/>
              <w:right w:w="45" w:type="dxa"/>
            </w:tcMar>
            <w:vAlign w:val="center"/>
            <w:hideMark/>
          </w:tcPr>
          <w:p w14:paraId="48B27867" w14:textId="77777777" w:rsidR="002302CC" w:rsidRPr="009A3193" w:rsidRDefault="004D2B29"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Badola et al. 2017</w:t>
            </w:r>
            <w:r w:rsidR="002302CC" w:rsidRPr="009A3193">
              <w:rPr>
                <w:rFonts w:ascii="Arial" w:eastAsia="Times New Roman" w:hAnsi="Arial" w:cs="Arial"/>
                <w:color w:val="000000"/>
                <w:sz w:val="18"/>
                <w:szCs w:val="18"/>
                <w:lang w:val="en-GB" w:eastAsia="fr-FR"/>
              </w:rPr>
              <w:t>; Tewari et al., 2020; Thapa et al., 2018; and Chaudhary et al., 2020</w:t>
            </w:r>
          </w:p>
        </w:tc>
        <w:tc>
          <w:tcPr>
            <w:tcW w:w="0" w:type="auto"/>
            <w:shd w:val="clear" w:color="auto" w:fill="auto"/>
            <w:tcMar>
              <w:top w:w="0" w:type="dxa"/>
              <w:left w:w="45" w:type="dxa"/>
              <w:bottom w:w="0" w:type="dxa"/>
              <w:right w:w="45" w:type="dxa"/>
            </w:tcMar>
            <w:vAlign w:val="center"/>
            <w:hideMark/>
          </w:tcPr>
          <w:p w14:paraId="01C1D74C" w14:textId="77777777" w:rsidR="002302CC" w:rsidRPr="009A3193" w:rsidRDefault="006324A6"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Adl</w:t>
            </w:r>
            <w:r w:rsidR="002302CC" w:rsidRPr="009A3193">
              <w:rPr>
                <w:rFonts w:ascii="Arial" w:eastAsia="Times New Roman" w:hAnsi="Arial" w:cs="Arial"/>
                <w:color w:val="000000"/>
                <w:sz w:val="18"/>
                <w:szCs w:val="18"/>
                <w:lang w:val="en-GB" w:eastAsia="fr-FR"/>
              </w:rPr>
              <w:t>er et al., 2013; Pandey et al., 2016; Nepal et al 2018</w:t>
            </w:r>
          </w:p>
        </w:tc>
      </w:tr>
      <w:tr w:rsidR="002302CC" w:rsidRPr="009A3193" w14:paraId="49BFB8CF" w14:textId="77777777" w:rsidTr="00FA3AD6">
        <w:trPr>
          <w:trHeight w:val="240"/>
        </w:trPr>
        <w:tc>
          <w:tcPr>
            <w:tcW w:w="0" w:type="auto"/>
            <w:shd w:val="clear" w:color="auto" w:fill="auto"/>
            <w:tcMar>
              <w:top w:w="0" w:type="dxa"/>
              <w:left w:w="45" w:type="dxa"/>
              <w:bottom w:w="0" w:type="dxa"/>
              <w:right w:w="45" w:type="dxa"/>
            </w:tcMar>
            <w:vAlign w:val="center"/>
            <w:hideMark/>
          </w:tcPr>
          <w:p w14:paraId="6A05203C"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CS2</w:t>
            </w:r>
          </w:p>
        </w:tc>
        <w:tc>
          <w:tcPr>
            <w:tcW w:w="0" w:type="auto"/>
            <w:shd w:val="clear" w:color="auto" w:fill="auto"/>
            <w:tcMar>
              <w:top w:w="0" w:type="dxa"/>
              <w:left w:w="45" w:type="dxa"/>
              <w:bottom w:w="0" w:type="dxa"/>
              <w:right w:w="45" w:type="dxa"/>
            </w:tcMar>
            <w:vAlign w:val="center"/>
            <w:hideMark/>
          </w:tcPr>
          <w:p w14:paraId="61B29DEA"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Cultural landscapes in Central Europe</w:t>
            </w:r>
          </w:p>
        </w:tc>
        <w:tc>
          <w:tcPr>
            <w:tcW w:w="1489" w:type="dxa"/>
            <w:shd w:val="clear" w:color="auto" w:fill="auto"/>
            <w:tcMar>
              <w:top w:w="0" w:type="dxa"/>
              <w:left w:w="45" w:type="dxa"/>
              <w:bottom w:w="0" w:type="dxa"/>
              <w:right w:w="45" w:type="dxa"/>
            </w:tcMar>
            <w:vAlign w:val="center"/>
            <w:hideMark/>
          </w:tcPr>
          <w:p w14:paraId="1C60FBCB"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Tieskens et</w:t>
            </w:r>
            <w:r w:rsidR="005B2A7C" w:rsidRPr="009A3193">
              <w:rPr>
                <w:rFonts w:ascii="Arial" w:eastAsia="Times New Roman" w:hAnsi="Arial" w:cs="Arial"/>
                <w:color w:val="000000"/>
                <w:sz w:val="18"/>
                <w:szCs w:val="18"/>
                <w:lang w:val="en-GB" w:eastAsia="fr-FR"/>
              </w:rPr>
              <w:t xml:space="preserve"> al. 2017;</w:t>
            </w:r>
            <w:r w:rsidR="005B2A7C" w:rsidRPr="009A3193">
              <w:rPr>
                <w:rFonts w:ascii="Arial" w:eastAsia="Times New Roman" w:hAnsi="Arial" w:cs="Arial"/>
                <w:color w:val="000000"/>
                <w:sz w:val="18"/>
                <w:szCs w:val="18"/>
                <w:lang w:val="en-GB" w:eastAsia="fr-FR"/>
              </w:rPr>
              <w:br/>
              <w:t>Bengtsson et al. 2018</w:t>
            </w:r>
          </w:p>
        </w:tc>
        <w:tc>
          <w:tcPr>
            <w:tcW w:w="1559" w:type="dxa"/>
            <w:shd w:val="clear" w:color="auto" w:fill="auto"/>
            <w:tcMar>
              <w:top w:w="0" w:type="dxa"/>
              <w:left w:w="45" w:type="dxa"/>
              <w:bottom w:w="0" w:type="dxa"/>
              <w:right w:w="45" w:type="dxa"/>
            </w:tcMar>
            <w:vAlign w:val="center"/>
            <w:hideMark/>
          </w:tcPr>
          <w:p w14:paraId="4FA84FCB"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Tieskens et</w:t>
            </w:r>
            <w:r w:rsidR="005B2A7C" w:rsidRPr="009A3193">
              <w:rPr>
                <w:rFonts w:ascii="Arial" w:eastAsia="Times New Roman" w:hAnsi="Arial" w:cs="Arial"/>
                <w:color w:val="000000"/>
                <w:sz w:val="18"/>
                <w:szCs w:val="18"/>
                <w:lang w:val="en-GB" w:eastAsia="fr-FR"/>
              </w:rPr>
              <w:t xml:space="preserve"> al. 2017;</w:t>
            </w:r>
            <w:r w:rsidR="005B2A7C" w:rsidRPr="009A3193">
              <w:rPr>
                <w:rFonts w:ascii="Arial" w:eastAsia="Times New Roman" w:hAnsi="Arial" w:cs="Arial"/>
                <w:color w:val="000000"/>
                <w:sz w:val="18"/>
                <w:szCs w:val="18"/>
                <w:lang w:val="en-GB" w:eastAsia="fr-FR"/>
              </w:rPr>
              <w:br/>
              <w:t>Bengtsson et al. 2018</w:t>
            </w:r>
          </w:p>
        </w:tc>
        <w:tc>
          <w:tcPr>
            <w:tcW w:w="1559" w:type="dxa"/>
            <w:shd w:val="clear" w:color="auto" w:fill="auto"/>
            <w:tcMar>
              <w:top w:w="0" w:type="dxa"/>
              <w:left w:w="45" w:type="dxa"/>
              <w:bottom w:w="0" w:type="dxa"/>
              <w:right w:w="45" w:type="dxa"/>
            </w:tcMar>
            <w:vAlign w:val="center"/>
            <w:hideMark/>
          </w:tcPr>
          <w:p w14:paraId="070A0FAB" w14:textId="77777777" w:rsidR="002302CC" w:rsidRPr="009A3193" w:rsidRDefault="005B2A7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Bengtsson et al. 2018</w:t>
            </w:r>
          </w:p>
        </w:tc>
        <w:tc>
          <w:tcPr>
            <w:tcW w:w="1418" w:type="dxa"/>
            <w:shd w:val="clear" w:color="auto" w:fill="auto"/>
            <w:tcMar>
              <w:top w:w="0" w:type="dxa"/>
              <w:left w:w="45" w:type="dxa"/>
              <w:bottom w:w="0" w:type="dxa"/>
              <w:right w:w="45" w:type="dxa"/>
            </w:tcMar>
            <w:vAlign w:val="center"/>
            <w:hideMark/>
          </w:tcPr>
          <w:p w14:paraId="2807BC55" w14:textId="77777777" w:rsidR="002302CC" w:rsidRPr="009A3193" w:rsidRDefault="005B2A7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Bengtsson et al. 2018</w:t>
            </w:r>
          </w:p>
        </w:tc>
        <w:tc>
          <w:tcPr>
            <w:tcW w:w="1275" w:type="dxa"/>
            <w:shd w:val="clear" w:color="auto" w:fill="auto"/>
            <w:tcMar>
              <w:top w:w="0" w:type="dxa"/>
              <w:left w:w="45" w:type="dxa"/>
              <w:bottom w:w="0" w:type="dxa"/>
              <w:right w:w="45" w:type="dxa"/>
            </w:tcMar>
            <w:vAlign w:val="center"/>
            <w:hideMark/>
          </w:tcPr>
          <w:p w14:paraId="4BD0DEF9"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Schaub et al. 2020</w:t>
            </w:r>
          </w:p>
        </w:tc>
        <w:tc>
          <w:tcPr>
            <w:tcW w:w="0" w:type="auto"/>
            <w:shd w:val="clear" w:color="auto" w:fill="auto"/>
            <w:tcMar>
              <w:top w:w="0" w:type="dxa"/>
              <w:left w:w="45" w:type="dxa"/>
              <w:bottom w:w="0" w:type="dxa"/>
              <w:right w:w="45" w:type="dxa"/>
            </w:tcMar>
            <w:vAlign w:val="center"/>
            <w:hideMark/>
          </w:tcPr>
          <w:p w14:paraId="2706C4FC" w14:textId="77777777" w:rsidR="002302CC" w:rsidRPr="009A3193" w:rsidRDefault="002302CC" w:rsidP="001F0640">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Tieskens et al. 2017;</w:t>
            </w:r>
            <w:r w:rsidR="001F0640" w:rsidRPr="009A3193">
              <w:rPr>
                <w:rFonts w:ascii="Arial" w:eastAsia="Times New Roman" w:hAnsi="Arial" w:cs="Arial"/>
                <w:color w:val="000000"/>
                <w:sz w:val="18"/>
                <w:szCs w:val="18"/>
                <w:lang w:val="en-GB" w:eastAsia="fr-FR"/>
              </w:rPr>
              <w:t xml:space="preserve"> </w:t>
            </w:r>
            <w:r w:rsidR="005B2A7C" w:rsidRPr="009A3193">
              <w:rPr>
                <w:rFonts w:ascii="Arial" w:eastAsia="Times New Roman" w:hAnsi="Arial" w:cs="Arial"/>
                <w:color w:val="000000"/>
                <w:sz w:val="18"/>
                <w:szCs w:val="18"/>
                <w:lang w:val="en-GB" w:eastAsia="fr-FR"/>
              </w:rPr>
              <w:t>Bengtsson et al. 2018</w:t>
            </w:r>
          </w:p>
        </w:tc>
      </w:tr>
      <w:tr w:rsidR="002302CC" w:rsidRPr="009A3193" w14:paraId="37FD5E28" w14:textId="77777777" w:rsidTr="00FA3AD6">
        <w:trPr>
          <w:trHeight w:val="240"/>
        </w:trPr>
        <w:tc>
          <w:tcPr>
            <w:tcW w:w="0" w:type="auto"/>
            <w:shd w:val="clear" w:color="auto" w:fill="auto"/>
            <w:tcMar>
              <w:top w:w="0" w:type="dxa"/>
              <w:left w:w="45" w:type="dxa"/>
              <w:bottom w:w="0" w:type="dxa"/>
              <w:right w:w="45" w:type="dxa"/>
            </w:tcMar>
            <w:vAlign w:val="center"/>
            <w:hideMark/>
          </w:tcPr>
          <w:p w14:paraId="5B21BF0E"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CS3</w:t>
            </w:r>
          </w:p>
        </w:tc>
        <w:tc>
          <w:tcPr>
            <w:tcW w:w="0" w:type="auto"/>
            <w:shd w:val="clear" w:color="auto" w:fill="auto"/>
            <w:tcMar>
              <w:top w:w="0" w:type="dxa"/>
              <w:left w:w="45" w:type="dxa"/>
              <w:bottom w:w="0" w:type="dxa"/>
              <w:right w:w="45" w:type="dxa"/>
            </w:tcMar>
            <w:vAlign w:val="center"/>
            <w:hideMark/>
          </w:tcPr>
          <w:p w14:paraId="38AB5E7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Irrigated rice terraces and forests in South-East Asia</w:t>
            </w:r>
          </w:p>
        </w:tc>
        <w:tc>
          <w:tcPr>
            <w:tcW w:w="1489" w:type="dxa"/>
            <w:shd w:val="clear" w:color="auto" w:fill="auto"/>
            <w:tcMar>
              <w:top w:w="0" w:type="dxa"/>
              <w:left w:w="45" w:type="dxa"/>
              <w:bottom w:w="0" w:type="dxa"/>
              <w:right w:w="45" w:type="dxa"/>
            </w:tcMar>
            <w:vAlign w:val="center"/>
            <w:hideMark/>
          </w:tcPr>
          <w:p w14:paraId="2153E807"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Dominik et al. 2018;</w:t>
            </w:r>
            <w:r w:rsidRPr="009A3193">
              <w:rPr>
                <w:rFonts w:ascii="Arial" w:eastAsia="Times New Roman" w:hAnsi="Arial" w:cs="Arial"/>
                <w:color w:val="000000"/>
                <w:sz w:val="18"/>
                <w:szCs w:val="18"/>
                <w:lang w:val="en-GB" w:eastAsia="fr-FR"/>
              </w:rPr>
              <w:br/>
              <w:t>Settele et al. 2018</w:t>
            </w:r>
          </w:p>
        </w:tc>
        <w:tc>
          <w:tcPr>
            <w:tcW w:w="1559" w:type="dxa"/>
            <w:shd w:val="clear" w:color="auto" w:fill="auto"/>
            <w:tcMar>
              <w:top w:w="0" w:type="dxa"/>
              <w:left w:w="45" w:type="dxa"/>
              <w:bottom w:w="0" w:type="dxa"/>
              <w:right w:w="45" w:type="dxa"/>
            </w:tcMar>
            <w:vAlign w:val="center"/>
            <w:hideMark/>
          </w:tcPr>
          <w:p w14:paraId="2AF9247E"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Dominik et al. 2018,</w:t>
            </w:r>
            <w:r w:rsidRPr="009A3193">
              <w:rPr>
                <w:rFonts w:ascii="Arial" w:eastAsia="Times New Roman" w:hAnsi="Arial" w:cs="Arial"/>
                <w:color w:val="000000"/>
                <w:sz w:val="18"/>
                <w:szCs w:val="18"/>
                <w:lang w:val="en-GB" w:eastAsia="fr-FR"/>
              </w:rPr>
              <w:br/>
              <w:t>Settele et al. 2018</w:t>
            </w:r>
          </w:p>
        </w:tc>
        <w:tc>
          <w:tcPr>
            <w:tcW w:w="1559" w:type="dxa"/>
            <w:shd w:val="clear" w:color="auto" w:fill="auto"/>
            <w:tcMar>
              <w:top w:w="0" w:type="dxa"/>
              <w:left w:w="45" w:type="dxa"/>
              <w:bottom w:w="0" w:type="dxa"/>
              <w:right w:w="45" w:type="dxa"/>
            </w:tcMar>
            <w:vAlign w:val="center"/>
            <w:hideMark/>
          </w:tcPr>
          <w:p w14:paraId="32F9C858"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Saunois et al 2016;</w:t>
            </w:r>
            <w:r w:rsidRPr="009A3193">
              <w:rPr>
                <w:rFonts w:ascii="Arial" w:eastAsia="Times New Roman" w:hAnsi="Arial" w:cs="Arial"/>
                <w:color w:val="000000"/>
                <w:sz w:val="18"/>
                <w:szCs w:val="18"/>
                <w:lang w:val="en-GB" w:eastAsia="fr-FR"/>
              </w:rPr>
              <w:br/>
              <w:t>Zhang et al. 2020</w:t>
            </w:r>
          </w:p>
        </w:tc>
        <w:tc>
          <w:tcPr>
            <w:tcW w:w="1418" w:type="dxa"/>
            <w:shd w:val="clear" w:color="auto" w:fill="auto"/>
            <w:tcMar>
              <w:top w:w="0" w:type="dxa"/>
              <w:left w:w="45" w:type="dxa"/>
              <w:bottom w:w="0" w:type="dxa"/>
              <w:right w:w="45" w:type="dxa"/>
            </w:tcMar>
            <w:vAlign w:val="center"/>
            <w:hideMark/>
          </w:tcPr>
          <w:p w14:paraId="3387B841"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Sattler et al. 2020</w:t>
            </w:r>
          </w:p>
        </w:tc>
        <w:tc>
          <w:tcPr>
            <w:tcW w:w="1275" w:type="dxa"/>
            <w:shd w:val="clear" w:color="auto" w:fill="auto"/>
            <w:tcMar>
              <w:top w:w="0" w:type="dxa"/>
              <w:left w:w="45" w:type="dxa"/>
              <w:bottom w:w="0" w:type="dxa"/>
              <w:right w:w="45" w:type="dxa"/>
            </w:tcMar>
            <w:vAlign w:val="center"/>
            <w:hideMark/>
          </w:tcPr>
          <w:p w14:paraId="78B458BF"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Settele et al. 2018</w:t>
            </w:r>
          </w:p>
        </w:tc>
        <w:tc>
          <w:tcPr>
            <w:tcW w:w="0" w:type="auto"/>
            <w:shd w:val="clear" w:color="auto" w:fill="auto"/>
            <w:tcMar>
              <w:top w:w="0" w:type="dxa"/>
              <w:left w:w="45" w:type="dxa"/>
              <w:bottom w:w="0" w:type="dxa"/>
              <w:right w:w="45" w:type="dxa"/>
            </w:tcMar>
            <w:vAlign w:val="center"/>
            <w:hideMark/>
          </w:tcPr>
          <w:p w14:paraId="39BD8E00"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Settele et al. 2018</w:t>
            </w:r>
          </w:p>
        </w:tc>
      </w:tr>
      <w:tr w:rsidR="002302CC" w:rsidRPr="009A3193" w14:paraId="7F221875" w14:textId="77777777" w:rsidTr="00FA3AD6">
        <w:trPr>
          <w:trHeight w:val="240"/>
        </w:trPr>
        <w:tc>
          <w:tcPr>
            <w:tcW w:w="0" w:type="auto"/>
            <w:shd w:val="clear" w:color="auto" w:fill="auto"/>
            <w:tcMar>
              <w:top w:w="0" w:type="dxa"/>
              <w:left w:w="45" w:type="dxa"/>
              <w:bottom w:w="0" w:type="dxa"/>
              <w:right w:w="45" w:type="dxa"/>
            </w:tcMar>
            <w:vAlign w:val="center"/>
            <w:hideMark/>
          </w:tcPr>
          <w:p w14:paraId="0E11FB4D"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CS4</w:t>
            </w:r>
          </w:p>
        </w:tc>
        <w:tc>
          <w:tcPr>
            <w:tcW w:w="0" w:type="auto"/>
            <w:shd w:val="clear" w:color="auto" w:fill="auto"/>
            <w:tcMar>
              <w:top w:w="0" w:type="dxa"/>
              <w:left w:w="45" w:type="dxa"/>
              <w:bottom w:w="0" w:type="dxa"/>
              <w:right w:w="45" w:type="dxa"/>
            </w:tcMar>
            <w:vAlign w:val="center"/>
            <w:hideMark/>
          </w:tcPr>
          <w:p w14:paraId="62E2797C"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The Coral Triangle Initiative</w:t>
            </w:r>
          </w:p>
        </w:tc>
        <w:tc>
          <w:tcPr>
            <w:tcW w:w="1489" w:type="dxa"/>
            <w:shd w:val="clear" w:color="auto" w:fill="auto"/>
            <w:tcMar>
              <w:top w:w="0" w:type="dxa"/>
              <w:left w:w="45" w:type="dxa"/>
              <w:bottom w:w="0" w:type="dxa"/>
              <w:right w:w="45" w:type="dxa"/>
            </w:tcMar>
            <w:vAlign w:val="center"/>
            <w:hideMark/>
          </w:tcPr>
          <w:p w14:paraId="255B72F3"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Kleypas et al. 2021; Warren et al. 2018; Alongi 2</w:t>
            </w:r>
            <w:r w:rsidR="004856EA" w:rsidRPr="009A3193">
              <w:rPr>
                <w:rFonts w:ascii="Arial" w:eastAsia="Times New Roman" w:hAnsi="Arial" w:cs="Arial"/>
                <w:sz w:val="18"/>
                <w:szCs w:val="18"/>
                <w:lang w:val="en-GB" w:eastAsia="fr-FR"/>
              </w:rPr>
              <w:t>014; Alongi &amp; Mukhopadhyay, 2015</w:t>
            </w:r>
            <w:r w:rsidRPr="009A3193">
              <w:rPr>
                <w:rFonts w:ascii="Arial" w:eastAsia="Times New Roman" w:hAnsi="Arial" w:cs="Arial"/>
                <w:sz w:val="18"/>
                <w:szCs w:val="18"/>
                <w:lang w:val="en-GB" w:eastAsia="fr-FR"/>
              </w:rPr>
              <w:t>)</w:t>
            </w:r>
          </w:p>
        </w:tc>
        <w:tc>
          <w:tcPr>
            <w:tcW w:w="1559" w:type="dxa"/>
            <w:shd w:val="clear" w:color="auto" w:fill="auto"/>
            <w:tcMar>
              <w:top w:w="0" w:type="dxa"/>
              <w:left w:w="45" w:type="dxa"/>
              <w:bottom w:w="0" w:type="dxa"/>
              <w:right w:w="45" w:type="dxa"/>
            </w:tcMar>
            <w:vAlign w:val="center"/>
            <w:hideMark/>
          </w:tcPr>
          <w:p w14:paraId="40559324"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Hoegh-Guldberg et al. 2009; Kleypas et al. 2021; Alongi 2</w:t>
            </w:r>
            <w:r w:rsidR="004856EA" w:rsidRPr="009A3193">
              <w:rPr>
                <w:rFonts w:ascii="Arial" w:eastAsia="Times New Roman" w:hAnsi="Arial" w:cs="Arial"/>
                <w:sz w:val="18"/>
                <w:szCs w:val="18"/>
                <w:lang w:val="en-GB" w:eastAsia="fr-FR"/>
              </w:rPr>
              <w:t>014; Alongi &amp; Mukhopadhyay, 2015</w:t>
            </w:r>
            <w:r w:rsidRPr="009A3193">
              <w:rPr>
                <w:rFonts w:ascii="Arial" w:eastAsia="Times New Roman" w:hAnsi="Arial" w:cs="Arial"/>
                <w:sz w:val="18"/>
                <w:szCs w:val="18"/>
                <w:lang w:val="en-GB" w:eastAsia="fr-FR"/>
              </w:rPr>
              <w:t>; Williams et al. 2017</w:t>
            </w:r>
          </w:p>
        </w:tc>
        <w:tc>
          <w:tcPr>
            <w:tcW w:w="1559" w:type="dxa"/>
            <w:shd w:val="clear" w:color="auto" w:fill="auto"/>
            <w:tcMar>
              <w:top w:w="0" w:type="dxa"/>
              <w:left w:w="45" w:type="dxa"/>
              <w:bottom w:w="0" w:type="dxa"/>
              <w:right w:w="45" w:type="dxa"/>
            </w:tcMar>
            <w:vAlign w:val="center"/>
            <w:hideMark/>
          </w:tcPr>
          <w:p w14:paraId="2DFAB521"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Stankovic et al. 2021; Kleypas et al. 2021; Lovelock and Duarte 2019; Hoegh-Guldberg et al. 2009; Alongi 2</w:t>
            </w:r>
            <w:r w:rsidR="004856EA" w:rsidRPr="009A3193">
              <w:rPr>
                <w:rFonts w:ascii="Arial" w:eastAsia="Times New Roman" w:hAnsi="Arial" w:cs="Arial"/>
                <w:sz w:val="18"/>
                <w:szCs w:val="18"/>
                <w:lang w:val="en-GB" w:eastAsia="fr-FR"/>
              </w:rPr>
              <w:t>014; Alongi &amp; Mukhopadhyay, 2015</w:t>
            </w:r>
            <w:r w:rsidRPr="009A3193">
              <w:rPr>
                <w:rFonts w:ascii="Arial" w:eastAsia="Times New Roman" w:hAnsi="Arial" w:cs="Arial"/>
                <w:sz w:val="18"/>
                <w:szCs w:val="18"/>
                <w:lang w:val="en-GB" w:eastAsia="fr-FR"/>
              </w:rPr>
              <w:t>); Hoegh-Guldberg et al. 2019a,b</w:t>
            </w:r>
          </w:p>
        </w:tc>
        <w:tc>
          <w:tcPr>
            <w:tcW w:w="1418" w:type="dxa"/>
            <w:shd w:val="clear" w:color="auto" w:fill="auto"/>
            <w:tcMar>
              <w:top w:w="0" w:type="dxa"/>
              <w:left w:w="45" w:type="dxa"/>
              <w:bottom w:w="0" w:type="dxa"/>
              <w:right w:w="45" w:type="dxa"/>
            </w:tcMar>
            <w:vAlign w:val="center"/>
            <w:hideMark/>
          </w:tcPr>
          <w:p w14:paraId="06037FCB"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Stankovic et al. 2021; Quevedo et al 2021</w:t>
            </w:r>
          </w:p>
        </w:tc>
        <w:tc>
          <w:tcPr>
            <w:tcW w:w="1275" w:type="dxa"/>
            <w:shd w:val="clear" w:color="auto" w:fill="auto"/>
            <w:tcMar>
              <w:top w:w="0" w:type="dxa"/>
              <w:left w:w="45" w:type="dxa"/>
              <w:bottom w:w="0" w:type="dxa"/>
              <w:right w:w="45" w:type="dxa"/>
            </w:tcMar>
            <w:vAlign w:val="center"/>
            <w:hideMark/>
          </w:tcPr>
          <w:p w14:paraId="4F4A4931"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Linggi et al. 2019; Anugrah</w:t>
            </w:r>
            <w:r w:rsidR="00186FE6" w:rsidRPr="009A3193">
              <w:rPr>
                <w:rFonts w:ascii="Arial" w:eastAsia="Times New Roman" w:hAnsi="Arial" w:cs="Arial"/>
                <w:sz w:val="18"/>
                <w:szCs w:val="18"/>
                <w:lang w:val="en-GB" w:eastAsia="fr-FR"/>
              </w:rPr>
              <w:t xml:space="preserve"> et al. 2020; Quevedo et al 2021</w:t>
            </w:r>
          </w:p>
        </w:tc>
        <w:tc>
          <w:tcPr>
            <w:tcW w:w="0" w:type="auto"/>
            <w:shd w:val="clear" w:color="auto" w:fill="auto"/>
            <w:tcMar>
              <w:top w:w="0" w:type="dxa"/>
              <w:left w:w="45" w:type="dxa"/>
              <w:bottom w:w="0" w:type="dxa"/>
              <w:right w:w="45" w:type="dxa"/>
            </w:tcMar>
            <w:vAlign w:val="center"/>
            <w:hideMark/>
          </w:tcPr>
          <w:p w14:paraId="6FE6AA59"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Hoegh-Guldberg et al. 2009; Chan et al. 2019</w:t>
            </w:r>
          </w:p>
        </w:tc>
      </w:tr>
      <w:tr w:rsidR="002302CC" w:rsidRPr="009A3193" w14:paraId="54872AFB" w14:textId="77777777" w:rsidTr="00FA3AD6">
        <w:trPr>
          <w:trHeight w:val="240"/>
        </w:trPr>
        <w:tc>
          <w:tcPr>
            <w:tcW w:w="0" w:type="auto"/>
            <w:shd w:val="clear" w:color="auto" w:fill="auto"/>
            <w:tcMar>
              <w:top w:w="0" w:type="dxa"/>
              <w:left w:w="45" w:type="dxa"/>
              <w:bottom w:w="0" w:type="dxa"/>
              <w:right w:w="45" w:type="dxa"/>
            </w:tcMar>
            <w:vAlign w:val="center"/>
            <w:hideMark/>
          </w:tcPr>
          <w:p w14:paraId="5A1131B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CS5</w:t>
            </w:r>
          </w:p>
        </w:tc>
        <w:tc>
          <w:tcPr>
            <w:tcW w:w="0" w:type="auto"/>
            <w:shd w:val="clear" w:color="auto" w:fill="auto"/>
            <w:tcMar>
              <w:top w:w="0" w:type="dxa"/>
              <w:left w:w="45" w:type="dxa"/>
              <w:bottom w:w="0" w:type="dxa"/>
              <w:right w:w="45" w:type="dxa"/>
            </w:tcMar>
            <w:vAlign w:val="center"/>
            <w:hideMark/>
          </w:tcPr>
          <w:p w14:paraId="60AD4B5D"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Biodiversity-friendly cities and urban areas</w:t>
            </w:r>
          </w:p>
        </w:tc>
        <w:tc>
          <w:tcPr>
            <w:tcW w:w="1489" w:type="dxa"/>
            <w:shd w:val="clear" w:color="auto" w:fill="auto"/>
            <w:tcMar>
              <w:top w:w="0" w:type="dxa"/>
              <w:left w:w="45" w:type="dxa"/>
              <w:bottom w:w="0" w:type="dxa"/>
              <w:right w:w="45" w:type="dxa"/>
            </w:tcMar>
            <w:vAlign w:val="center"/>
            <w:hideMark/>
          </w:tcPr>
          <w:p w14:paraId="733121B9" w14:textId="77777777" w:rsidR="002302CC" w:rsidRPr="009A3193" w:rsidRDefault="004C2402"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Frie</w:t>
            </w:r>
            <w:r w:rsidR="002302CC" w:rsidRPr="009A3193">
              <w:rPr>
                <w:rFonts w:ascii="Arial" w:eastAsia="Times New Roman" w:hAnsi="Arial" w:cs="Arial"/>
                <w:sz w:val="18"/>
                <w:szCs w:val="18"/>
                <w:lang w:val="en-GB" w:eastAsia="fr-FR"/>
              </w:rPr>
              <w:t>ss et al, 2015; Everard et al., 2014; Alongi 2</w:t>
            </w:r>
            <w:r w:rsidR="004856EA" w:rsidRPr="009A3193">
              <w:rPr>
                <w:rFonts w:ascii="Arial" w:eastAsia="Times New Roman" w:hAnsi="Arial" w:cs="Arial"/>
                <w:sz w:val="18"/>
                <w:szCs w:val="18"/>
                <w:lang w:val="en-GB" w:eastAsia="fr-FR"/>
              </w:rPr>
              <w:t>014; Alongi &amp; Mukhopadhyay, 2015</w:t>
            </w:r>
            <w:r w:rsidR="002302CC" w:rsidRPr="009A3193">
              <w:rPr>
                <w:rFonts w:ascii="Arial" w:eastAsia="Times New Roman" w:hAnsi="Arial" w:cs="Arial"/>
                <w:sz w:val="18"/>
                <w:szCs w:val="18"/>
                <w:lang w:val="en-GB" w:eastAsia="fr-FR"/>
              </w:rPr>
              <w:t>)</w:t>
            </w:r>
          </w:p>
        </w:tc>
        <w:tc>
          <w:tcPr>
            <w:tcW w:w="1559" w:type="dxa"/>
            <w:shd w:val="clear" w:color="auto" w:fill="auto"/>
            <w:tcMar>
              <w:top w:w="0" w:type="dxa"/>
              <w:left w:w="45" w:type="dxa"/>
              <w:bottom w:w="0" w:type="dxa"/>
              <w:right w:w="45" w:type="dxa"/>
            </w:tcMar>
            <w:vAlign w:val="center"/>
            <w:hideMark/>
          </w:tcPr>
          <w:p w14:paraId="3EE7A879" w14:textId="77777777" w:rsidR="002302CC" w:rsidRPr="009A3193" w:rsidRDefault="004C2402"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Frie</w:t>
            </w:r>
            <w:r w:rsidR="002302CC" w:rsidRPr="009A3193">
              <w:rPr>
                <w:rFonts w:ascii="Arial" w:eastAsia="Times New Roman" w:hAnsi="Arial" w:cs="Arial"/>
                <w:sz w:val="18"/>
                <w:szCs w:val="18"/>
                <w:lang w:val="en-GB" w:eastAsia="fr-FR"/>
              </w:rPr>
              <w:t>ss et al, 2015; Everard et al., 2014; Alongi 2</w:t>
            </w:r>
            <w:r w:rsidR="004856EA" w:rsidRPr="009A3193">
              <w:rPr>
                <w:rFonts w:ascii="Arial" w:eastAsia="Times New Roman" w:hAnsi="Arial" w:cs="Arial"/>
                <w:sz w:val="18"/>
                <w:szCs w:val="18"/>
                <w:lang w:val="en-GB" w:eastAsia="fr-FR"/>
              </w:rPr>
              <w:t>014; Alongi &amp; Mukhopadhyay, 2015</w:t>
            </w:r>
            <w:r w:rsidR="002302CC" w:rsidRPr="009A3193">
              <w:rPr>
                <w:rFonts w:ascii="Arial" w:eastAsia="Times New Roman" w:hAnsi="Arial" w:cs="Arial"/>
                <w:sz w:val="18"/>
                <w:szCs w:val="18"/>
                <w:lang w:val="en-GB" w:eastAsia="fr-FR"/>
              </w:rPr>
              <w:t>)</w:t>
            </w:r>
          </w:p>
        </w:tc>
        <w:tc>
          <w:tcPr>
            <w:tcW w:w="1559" w:type="dxa"/>
            <w:shd w:val="clear" w:color="auto" w:fill="auto"/>
            <w:tcMar>
              <w:top w:w="0" w:type="dxa"/>
              <w:left w:w="45" w:type="dxa"/>
              <w:bottom w:w="0" w:type="dxa"/>
              <w:right w:w="45" w:type="dxa"/>
            </w:tcMar>
            <w:vAlign w:val="center"/>
            <w:hideMark/>
          </w:tcPr>
          <w:p w14:paraId="583703F2"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Alongi 2</w:t>
            </w:r>
            <w:r w:rsidR="004856EA" w:rsidRPr="009A3193">
              <w:rPr>
                <w:rFonts w:ascii="Arial" w:eastAsia="Times New Roman" w:hAnsi="Arial" w:cs="Arial"/>
                <w:sz w:val="18"/>
                <w:szCs w:val="18"/>
                <w:lang w:val="en-GB" w:eastAsia="fr-FR"/>
              </w:rPr>
              <w:t>014; Alongi &amp; Mukhopadhyay, 2015; Alongi et al., 2016</w:t>
            </w:r>
            <w:r w:rsidR="0017475D" w:rsidRPr="009A3193">
              <w:rPr>
                <w:rFonts w:ascii="Arial" w:eastAsia="Times New Roman" w:hAnsi="Arial" w:cs="Arial"/>
                <w:sz w:val="18"/>
                <w:szCs w:val="18"/>
                <w:lang w:val="en-GB" w:eastAsia="fr-FR"/>
              </w:rPr>
              <w:t>; Bul</w:t>
            </w:r>
            <w:r w:rsidRPr="009A3193">
              <w:rPr>
                <w:rFonts w:ascii="Arial" w:eastAsia="Times New Roman" w:hAnsi="Arial" w:cs="Arial"/>
                <w:sz w:val="18"/>
                <w:szCs w:val="18"/>
                <w:lang w:val="en-GB" w:eastAsia="fr-FR"/>
              </w:rPr>
              <w:t>mer et al., 2020; Donato et al., 2011)</w:t>
            </w:r>
          </w:p>
        </w:tc>
        <w:tc>
          <w:tcPr>
            <w:tcW w:w="1418" w:type="dxa"/>
            <w:shd w:val="clear" w:color="auto" w:fill="auto"/>
            <w:tcMar>
              <w:top w:w="0" w:type="dxa"/>
              <w:left w:w="45" w:type="dxa"/>
              <w:bottom w:w="0" w:type="dxa"/>
              <w:right w:w="45" w:type="dxa"/>
            </w:tcMar>
            <w:vAlign w:val="center"/>
            <w:hideMark/>
          </w:tcPr>
          <w:p w14:paraId="519F3A86" w14:textId="77777777" w:rsidR="002302CC" w:rsidRPr="009A3193" w:rsidRDefault="004C2402"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Frie</w:t>
            </w:r>
            <w:r w:rsidR="002302CC" w:rsidRPr="009A3193">
              <w:rPr>
                <w:rFonts w:ascii="Arial" w:eastAsia="Times New Roman" w:hAnsi="Arial" w:cs="Arial"/>
                <w:sz w:val="18"/>
                <w:szCs w:val="18"/>
                <w:lang w:val="en-GB" w:eastAsia="fr-FR"/>
              </w:rPr>
              <w:t>ss et al., 2015</w:t>
            </w:r>
          </w:p>
        </w:tc>
        <w:tc>
          <w:tcPr>
            <w:tcW w:w="1275" w:type="dxa"/>
            <w:shd w:val="clear" w:color="auto" w:fill="auto"/>
            <w:tcMar>
              <w:top w:w="0" w:type="dxa"/>
              <w:left w:w="45" w:type="dxa"/>
              <w:bottom w:w="0" w:type="dxa"/>
              <w:right w:w="45" w:type="dxa"/>
            </w:tcMar>
            <w:vAlign w:val="center"/>
            <w:hideMark/>
          </w:tcPr>
          <w:p w14:paraId="6494F7D3" w14:textId="77777777" w:rsidR="002302CC" w:rsidRPr="009A3193" w:rsidRDefault="004856EA"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Alongi et al., 2016</w:t>
            </w:r>
          </w:p>
        </w:tc>
        <w:tc>
          <w:tcPr>
            <w:tcW w:w="0" w:type="auto"/>
            <w:shd w:val="clear" w:color="auto" w:fill="auto"/>
            <w:tcMar>
              <w:top w:w="0" w:type="dxa"/>
              <w:left w:w="45" w:type="dxa"/>
              <w:bottom w:w="0" w:type="dxa"/>
              <w:right w:w="45" w:type="dxa"/>
            </w:tcMar>
            <w:vAlign w:val="center"/>
            <w:hideMark/>
          </w:tcPr>
          <w:p w14:paraId="41F44EFE" w14:textId="77777777" w:rsidR="002302CC" w:rsidRPr="009A3193" w:rsidRDefault="004856EA"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Alongi et al., 2016; Alongi &amp; Mukhopadhyay, 2015</w:t>
            </w:r>
            <w:r w:rsidR="002302CC" w:rsidRPr="009A3193">
              <w:rPr>
                <w:rFonts w:ascii="Arial" w:eastAsia="Times New Roman" w:hAnsi="Arial" w:cs="Arial"/>
                <w:sz w:val="18"/>
                <w:szCs w:val="18"/>
                <w:lang w:val="en-GB" w:eastAsia="fr-FR"/>
              </w:rPr>
              <w:t xml:space="preserve">; </w:t>
            </w:r>
          </w:p>
        </w:tc>
      </w:tr>
      <w:tr w:rsidR="002302CC" w:rsidRPr="009A3193" w14:paraId="1EE62296" w14:textId="77777777" w:rsidTr="00FA3AD6">
        <w:trPr>
          <w:trHeight w:val="780"/>
        </w:trPr>
        <w:tc>
          <w:tcPr>
            <w:tcW w:w="0" w:type="auto"/>
            <w:shd w:val="clear" w:color="auto" w:fill="auto"/>
            <w:tcMar>
              <w:top w:w="0" w:type="dxa"/>
              <w:left w:w="45" w:type="dxa"/>
              <w:bottom w:w="0" w:type="dxa"/>
              <w:right w:w="45" w:type="dxa"/>
            </w:tcMar>
            <w:vAlign w:val="center"/>
            <w:hideMark/>
          </w:tcPr>
          <w:p w14:paraId="6088CEAD"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CS6</w:t>
            </w:r>
          </w:p>
        </w:tc>
        <w:tc>
          <w:tcPr>
            <w:tcW w:w="0" w:type="auto"/>
            <w:shd w:val="clear" w:color="auto" w:fill="auto"/>
            <w:tcMar>
              <w:top w:w="0" w:type="dxa"/>
              <w:left w:w="45" w:type="dxa"/>
              <w:bottom w:w="0" w:type="dxa"/>
              <w:right w:w="45" w:type="dxa"/>
            </w:tcMar>
            <w:vAlign w:val="center"/>
            <w:hideMark/>
          </w:tcPr>
          <w:p w14:paraId="7B6DA779"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 xml:space="preserve">The Sundarbans (India-Bangladesh) </w:t>
            </w:r>
          </w:p>
        </w:tc>
        <w:tc>
          <w:tcPr>
            <w:tcW w:w="1489" w:type="dxa"/>
            <w:shd w:val="clear" w:color="auto" w:fill="auto"/>
            <w:tcMar>
              <w:top w:w="0" w:type="dxa"/>
              <w:left w:w="45" w:type="dxa"/>
              <w:bottom w:w="0" w:type="dxa"/>
              <w:right w:w="45" w:type="dxa"/>
            </w:tcMar>
            <w:vAlign w:val="center"/>
            <w:hideMark/>
          </w:tcPr>
          <w:p w14:paraId="38BECAFD"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IUCN, 2017; Awty-Carroll et al., 2019; Mukul et al., 2019; IUCN, 2020</w:t>
            </w:r>
          </w:p>
        </w:tc>
        <w:tc>
          <w:tcPr>
            <w:tcW w:w="1559" w:type="dxa"/>
            <w:shd w:val="clear" w:color="auto" w:fill="auto"/>
            <w:tcMar>
              <w:top w:w="0" w:type="dxa"/>
              <w:left w:w="45" w:type="dxa"/>
              <w:bottom w:w="0" w:type="dxa"/>
              <w:right w:w="45" w:type="dxa"/>
            </w:tcMar>
            <w:vAlign w:val="center"/>
            <w:hideMark/>
          </w:tcPr>
          <w:p w14:paraId="0A7E1378"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IUCN, 2017; Awty-Carroll et al., 2019; Mukul et al., 2019; IUCN, 2020</w:t>
            </w:r>
          </w:p>
        </w:tc>
        <w:tc>
          <w:tcPr>
            <w:tcW w:w="1559" w:type="dxa"/>
            <w:shd w:val="clear" w:color="auto" w:fill="auto"/>
            <w:tcMar>
              <w:top w:w="0" w:type="dxa"/>
              <w:left w:w="45" w:type="dxa"/>
              <w:bottom w:w="0" w:type="dxa"/>
              <w:right w:w="45" w:type="dxa"/>
            </w:tcMar>
            <w:vAlign w:val="center"/>
            <w:hideMark/>
          </w:tcPr>
          <w:p w14:paraId="21BDA7FB"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Sannigrahi et al., 2020a, b</w:t>
            </w:r>
          </w:p>
        </w:tc>
        <w:tc>
          <w:tcPr>
            <w:tcW w:w="1418" w:type="dxa"/>
            <w:shd w:val="clear" w:color="auto" w:fill="auto"/>
            <w:tcMar>
              <w:top w:w="0" w:type="dxa"/>
              <w:left w:w="45" w:type="dxa"/>
              <w:bottom w:w="0" w:type="dxa"/>
              <w:right w:w="45" w:type="dxa"/>
            </w:tcMar>
            <w:vAlign w:val="center"/>
            <w:hideMark/>
          </w:tcPr>
          <w:p w14:paraId="03E2034E"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Sannigrahi et al., 2020a, b</w:t>
            </w:r>
          </w:p>
        </w:tc>
        <w:tc>
          <w:tcPr>
            <w:tcW w:w="1275" w:type="dxa"/>
            <w:shd w:val="clear" w:color="auto" w:fill="auto"/>
            <w:tcMar>
              <w:top w:w="0" w:type="dxa"/>
              <w:left w:w="45" w:type="dxa"/>
              <w:bottom w:w="0" w:type="dxa"/>
              <w:right w:w="45" w:type="dxa"/>
            </w:tcMar>
            <w:vAlign w:val="center"/>
            <w:hideMark/>
          </w:tcPr>
          <w:p w14:paraId="10A586E1"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Uddin et al., 2013; Hossain et al., 2016</w:t>
            </w:r>
          </w:p>
        </w:tc>
        <w:tc>
          <w:tcPr>
            <w:tcW w:w="0" w:type="auto"/>
            <w:shd w:val="clear" w:color="auto" w:fill="auto"/>
            <w:tcMar>
              <w:top w:w="0" w:type="dxa"/>
              <w:left w:w="45" w:type="dxa"/>
              <w:bottom w:w="0" w:type="dxa"/>
              <w:right w:w="45" w:type="dxa"/>
            </w:tcMar>
            <w:vAlign w:val="center"/>
            <w:hideMark/>
          </w:tcPr>
          <w:p w14:paraId="39341A6A" w14:textId="77777777" w:rsidR="002302CC" w:rsidRPr="009A3193" w:rsidRDefault="002302CC" w:rsidP="00FA3AD6">
            <w:pPr>
              <w:spacing w:after="0" w:line="240" w:lineRule="auto"/>
              <w:rPr>
                <w:rFonts w:ascii="Arial" w:eastAsia="Times New Roman" w:hAnsi="Arial" w:cs="Arial"/>
                <w:sz w:val="18"/>
                <w:szCs w:val="18"/>
                <w:lang w:val="en-GB" w:eastAsia="fr-FR"/>
              </w:rPr>
            </w:pPr>
          </w:p>
        </w:tc>
      </w:tr>
      <w:tr w:rsidR="002302CC" w:rsidRPr="009A3193" w14:paraId="03CE677F" w14:textId="77777777" w:rsidTr="00FA3AD6">
        <w:trPr>
          <w:trHeight w:val="240"/>
        </w:trPr>
        <w:tc>
          <w:tcPr>
            <w:tcW w:w="0" w:type="auto"/>
            <w:shd w:val="clear" w:color="auto" w:fill="auto"/>
            <w:tcMar>
              <w:top w:w="0" w:type="dxa"/>
              <w:left w:w="45" w:type="dxa"/>
              <w:bottom w:w="0" w:type="dxa"/>
              <w:right w:w="45" w:type="dxa"/>
            </w:tcMar>
            <w:vAlign w:val="center"/>
            <w:hideMark/>
          </w:tcPr>
          <w:p w14:paraId="7DC9924E"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CS7</w:t>
            </w:r>
          </w:p>
        </w:tc>
        <w:tc>
          <w:tcPr>
            <w:tcW w:w="0" w:type="auto"/>
            <w:shd w:val="clear" w:color="auto" w:fill="auto"/>
            <w:tcMar>
              <w:top w:w="0" w:type="dxa"/>
              <w:left w:w="45" w:type="dxa"/>
              <w:bottom w:w="0" w:type="dxa"/>
              <w:right w:w="45" w:type="dxa"/>
            </w:tcMar>
            <w:vAlign w:val="center"/>
            <w:hideMark/>
          </w:tcPr>
          <w:p w14:paraId="38FEB4EB"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Southern Ocean</w:t>
            </w:r>
            <w:r w:rsidR="00A0148D" w:rsidRPr="009A3193">
              <w:rPr>
                <w:rFonts w:ascii="Arial" w:eastAsia="Times New Roman" w:hAnsi="Arial" w:cs="Arial"/>
                <w:sz w:val="18"/>
                <w:szCs w:val="18"/>
                <w:lang w:val="en-GB" w:eastAsia="fr-FR"/>
              </w:rPr>
              <w:t xml:space="preserve"> South Georgia Island</w:t>
            </w:r>
          </w:p>
        </w:tc>
        <w:tc>
          <w:tcPr>
            <w:tcW w:w="1489" w:type="dxa"/>
            <w:shd w:val="clear" w:color="auto" w:fill="auto"/>
            <w:tcMar>
              <w:top w:w="0" w:type="dxa"/>
              <w:left w:w="45" w:type="dxa"/>
              <w:bottom w:w="0" w:type="dxa"/>
              <w:right w:w="45" w:type="dxa"/>
            </w:tcMar>
            <w:vAlign w:val="center"/>
            <w:hideMark/>
          </w:tcPr>
          <w:p w14:paraId="1E6F7B82"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Barnes et al., 2011; Trathan et al., 2014</w:t>
            </w:r>
          </w:p>
        </w:tc>
        <w:tc>
          <w:tcPr>
            <w:tcW w:w="1559" w:type="dxa"/>
            <w:shd w:val="clear" w:color="auto" w:fill="auto"/>
            <w:tcMar>
              <w:top w:w="0" w:type="dxa"/>
              <w:left w:w="45" w:type="dxa"/>
              <w:bottom w:w="0" w:type="dxa"/>
              <w:right w:w="45" w:type="dxa"/>
            </w:tcMar>
            <w:vAlign w:val="center"/>
            <w:hideMark/>
          </w:tcPr>
          <w:p w14:paraId="35E1DF6D"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Hogg et al., 2011; Trathan et al., 2014</w:t>
            </w:r>
          </w:p>
        </w:tc>
        <w:tc>
          <w:tcPr>
            <w:tcW w:w="1559" w:type="dxa"/>
            <w:shd w:val="clear" w:color="auto" w:fill="auto"/>
            <w:tcMar>
              <w:top w:w="0" w:type="dxa"/>
              <w:left w:w="45" w:type="dxa"/>
              <w:bottom w:w="0" w:type="dxa"/>
              <w:right w:w="45" w:type="dxa"/>
            </w:tcMar>
            <w:vAlign w:val="center"/>
            <w:hideMark/>
          </w:tcPr>
          <w:p w14:paraId="35453117"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Barnes &amp; Sands, 2017</w:t>
            </w:r>
          </w:p>
        </w:tc>
        <w:tc>
          <w:tcPr>
            <w:tcW w:w="1418" w:type="dxa"/>
            <w:shd w:val="clear" w:color="auto" w:fill="auto"/>
            <w:tcMar>
              <w:top w:w="0" w:type="dxa"/>
              <w:left w:w="45" w:type="dxa"/>
              <w:bottom w:w="0" w:type="dxa"/>
              <w:right w:w="45" w:type="dxa"/>
            </w:tcMar>
            <w:vAlign w:val="center"/>
            <w:hideMark/>
          </w:tcPr>
          <w:p w14:paraId="3A7906B0"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Trathan et al., 2014; Cavanagh et al., 2021</w:t>
            </w:r>
          </w:p>
        </w:tc>
        <w:tc>
          <w:tcPr>
            <w:tcW w:w="1275" w:type="dxa"/>
            <w:shd w:val="clear" w:color="auto" w:fill="auto"/>
            <w:tcMar>
              <w:top w:w="0" w:type="dxa"/>
              <w:left w:w="45" w:type="dxa"/>
              <w:bottom w:w="0" w:type="dxa"/>
              <w:right w:w="45" w:type="dxa"/>
            </w:tcMar>
            <w:vAlign w:val="center"/>
            <w:hideMark/>
          </w:tcPr>
          <w:p w14:paraId="500264C7"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Trathan et al., 2014; Cavanagh et al., 2021</w:t>
            </w:r>
          </w:p>
        </w:tc>
        <w:tc>
          <w:tcPr>
            <w:tcW w:w="0" w:type="auto"/>
            <w:shd w:val="clear" w:color="auto" w:fill="auto"/>
            <w:tcMar>
              <w:top w:w="0" w:type="dxa"/>
              <w:left w:w="45" w:type="dxa"/>
              <w:bottom w:w="0" w:type="dxa"/>
              <w:right w:w="45" w:type="dxa"/>
            </w:tcMar>
            <w:vAlign w:val="center"/>
            <w:hideMark/>
          </w:tcPr>
          <w:p w14:paraId="06E11424"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Trathan et al., 2014; Cavanagh et al., 2021</w:t>
            </w:r>
          </w:p>
        </w:tc>
      </w:tr>
      <w:tr w:rsidR="002302CC" w:rsidRPr="009A3193" w14:paraId="0D6B4ACB" w14:textId="77777777" w:rsidTr="00FA3AD6">
        <w:trPr>
          <w:trHeight w:val="870"/>
        </w:trPr>
        <w:tc>
          <w:tcPr>
            <w:tcW w:w="0" w:type="auto"/>
            <w:shd w:val="clear" w:color="auto" w:fill="auto"/>
            <w:tcMar>
              <w:top w:w="0" w:type="dxa"/>
              <w:left w:w="45" w:type="dxa"/>
              <w:bottom w:w="0" w:type="dxa"/>
              <w:right w:w="45" w:type="dxa"/>
            </w:tcMar>
            <w:vAlign w:val="center"/>
            <w:hideMark/>
          </w:tcPr>
          <w:p w14:paraId="20653261"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CS8</w:t>
            </w:r>
          </w:p>
        </w:tc>
        <w:tc>
          <w:tcPr>
            <w:tcW w:w="0" w:type="auto"/>
            <w:shd w:val="clear" w:color="auto" w:fill="auto"/>
            <w:tcMar>
              <w:top w:w="0" w:type="dxa"/>
              <w:left w:w="45" w:type="dxa"/>
              <w:bottom w:w="0" w:type="dxa"/>
              <w:right w:w="45" w:type="dxa"/>
            </w:tcMar>
            <w:vAlign w:val="center"/>
            <w:hideMark/>
          </w:tcPr>
          <w:p w14:paraId="654A7267"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Marine Biodiversity Beyond National Jurisdiction, South Orkney Islands</w:t>
            </w:r>
          </w:p>
        </w:tc>
        <w:tc>
          <w:tcPr>
            <w:tcW w:w="1489" w:type="dxa"/>
            <w:shd w:val="clear" w:color="auto" w:fill="auto"/>
            <w:tcMar>
              <w:top w:w="0" w:type="dxa"/>
              <w:left w:w="45" w:type="dxa"/>
              <w:bottom w:w="0" w:type="dxa"/>
              <w:right w:w="45" w:type="dxa"/>
            </w:tcMar>
            <w:vAlign w:val="center"/>
            <w:hideMark/>
          </w:tcPr>
          <w:p w14:paraId="7413B7FA"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Trathan &amp; Grant, 2020</w:t>
            </w:r>
          </w:p>
        </w:tc>
        <w:tc>
          <w:tcPr>
            <w:tcW w:w="1559" w:type="dxa"/>
            <w:shd w:val="clear" w:color="auto" w:fill="auto"/>
            <w:tcMar>
              <w:top w:w="0" w:type="dxa"/>
              <w:left w:w="45" w:type="dxa"/>
              <w:bottom w:w="0" w:type="dxa"/>
              <w:right w:w="45" w:type="dxa"/>
            </w:tcMar>
            <w:vAlign w:val="center"/>
            <w:hideMark/>
          </w:tcPr>
          <w:p w14:paraId="3385D481"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Trathan &amp; Grant, 2020</w:t>
            </w:r>
          </w:p>
        </w:tc>
        <w:tc>
          <w:tcPr>
            <w:tcW w:w="1559" w:type="dxa"/>
            <w:shd w:val="clear" w:color="auto" w:fill="auto"/>
            <w:tcMar>
              <w:top w:w="0" w:type="dxa"/>
              <w:left w:w="45" w:type="dxa"/>
              <w:bottom w:w="0" w:type="dxa"/>
              <w:right w:w="45" w:type="dxa"/>
            </w:tcMar>
            <w:vAlign w:val="center"/>
            <w:hideMark/>
          </w:tcPr>
          <w:p w14:paraId="303614E2"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Barnes et al., 2016</w:t>
            </w:r>
          </w:p>
        </w:tc>
        <w:tc>
          <w:tcPr>
            <w:tcW w:w="1418" w:type="dxa"/>
            <w:shd w:val="clear" w:color="auto" w:fill="auto"/>
            <w:tcMar>
              <w:top w:w="0" w:type="dxa"/>
              <w:left w:w="45" w:type="dxa"/>
              <w:bottom w:w="0" w:type="dxa"/>
              <w:right w:w="45" w:type="dxa"/>
            </w:tcMar>
            <w:vAlign w:val="center"/>
            <w:hideMark/>
          </w:tcPr>
          <w:p w14:paraId="25CBE889"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Grant et al., 2013; Cavanagh et al., 2021</w:t>
            </w:r>
          </w:p>
        </w:tc>
        <w:tc>
          <w:tcPr>
            <w:tcW w:w="1275" w:type="dxa"/>
            <w:shd w:val="clear" w:color="auto" w:fill="auto"/>
            <w:tcMar>
              <w:top w:w="0" w:type="dxa"/>
              <w:left w:w="45" w:type="dxa"/>
              <w:bottom w:w="0" w:type="dxa"/>
              <w:right w:w="45" w:type="dxa"/>
            </w:tcMar>
            <w:vAlign w:val="center"/>
            <w:hideMark/>
          </w:tcPr>
          <w:p w14:paraId="1AA49FB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Grant et al., 2013; Cavanagh et al., 2021</w:t>
            </w:r>
          </w:p>
        </w:tc>
        <w:tc>
          <w:tcPr>
            <w:tcW w:w="0" w:type="auto"/>
            <w:shd w:val="clear" w:color="auto" w:fill="auto"/>
            <w:tcMar>
              <w:top w:w="0" w:type="dxa"/>
              <w:left w:w="45" w:type="dxa"/>
              <w:bottom w:w="0" w:type="dxa"/>
              <w:right w:w="45" w:type="dxa"/>
            </w:tcMar>
            <w:vAlign w:val="center"/>
            <w:hideMark/>
          </w:tcPr>
          <w:p w14:paraId="3890286A"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Grant et al., 2013; Cavanagh et al., 2021</w:t>
            </w:r>
          </w:p>
        </w:tc>
      </w:tr>
      <w:tr w:rsidR="002302CC" w:rsidRPr="009A3193" w14:paraId="69C3A6E8" w14:textId="77777777" w:rsidTr="00FA3AD6">
        <w:trPr>
          <w:trHeight w:val="240"/>
        </w:trPr>
        <w:tc>
          <w:tcPr>
            <w:tcW w:w="0" w:type="auto"/>
            <w:shd w:val="clear" w:color="auto" w:fill="auto"/>
            <w:tcMar>
              <w:top w:w="0" w:type="dxa"/>
              <w:left w:w="45" w:type="dxa"/>
              <w:bottom w:w="0" w:type="dxa"/>
              <w:right w:w="45" w:type="dxa"/>
            </w:tcMar>
            <w:vAlign w:val="center"/>
            <w:hideMark/>
          </w:tcPr>
          <w:p w14:paraId="682110E1"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CS9</w:t>
            </w:r>
          </w:p>
        </w:tc>
        <w:tc>
          <w:tcPr>
            <w:tcW w:w="0" w:type="auto"/>
            <w:shd w:val="clear" w:color="auto" w:fill="auto"/>
            <w:tcMar>
              <w:top w:w="0" w:type="dxa"/>
              <w:left w:w="45" w:type="dxa"/>
              <w:bottom w:w="0" w:type="dxa"/>
              <w:right w:w="45" w:type="dxa"/>
            </w:tcMar>
            <w:vAlign w:val="center"/>
            <w:hideMark/>
          </w:tcPr>
          <w:p w14:paraId="57917E59"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Bush encroachment Southern Africa</w:t>
            </w:r>
          </w:p>
        </w:tc>
        <w:tc>
          <w:tcPr>
            <w:tcW w:w="1489" w:type="dxa"/>
            <w:shd w:val="clear" w:color="auto" w:fill="auto"/>
            <w:tcMar>
              <w:top w:w="0" w:type="dxa"/>
              <w:left w:w="45" w:type="dxa"/>
              <w:bottom w:w="0" w:type="dxa"/>
              <w:right w:w="45" w:type="dxa"/>
            </w:tcMar>
            <w:vAlign w:val="center"/>
            <w:hideMark/>
          </w:tcPr>
          <w:p w14:paraId="03A90AC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Joubert et al., 2012; Smit et al., 2016</w:t>
            </w:r>
          </w:p>
        </w:tc>
        <w:tc>
          <w:tcPr>
            <w:tcW w:w="1559" w:type="dxa"/>
            <w:shd w:val="clear" w:color="auto" w:fill="auto"/>
            <w:tcMar>
              <w:top w:w="0" w:type="dxa"/>
              <w:left w:w="45" w:type="dxa"/>
              <w:bottom w:w="0" w:type="dxa"/>
              <w:right w:w="45" w:type="dxa"/>
            </w:tcMar>
            <w:vAlign w:val="center"/>
            <w:hideMark/>
          </w:tcPr>
          <w:p w14:paraId="070F441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Stevens et al., 2017</w:t>
            </w:r>
          </w:p>
        </w:tc>
        <w:tc>
          <w:tcPr>
            <w:tcW w:w="1559" w:type="dxa"/>
            <w:shd w:val="clear" w:color="auto" w:fill="auto"/>
            <w:tcMar>
              <w:top w:w="0" w:type="dxa"/>
              <w:left w:w="45" w:type="dxa"/>
              <w:bottom w:w="0" w:type="dxa"/>
              <w:right w:w="45" w:type="dxa"/>
            </w:tcMar>
            <w:vAlign w:val="center"/>
            <w:hideMark/>
          </w:tcPr>
          <w:p w14:paraId="6FB4115A"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Ministry of Environment and Tourism, 2011); Bond et al., 2005, Stevens et al., 2017</w:t>
            </w:r>
          </w:p>
        </w:tc>
        <w:tc>
          <w:tcPr>
            <w:tcW w:w="1418" w:type="dxa"/>
            <w:shd w:val="clear" w:color="auto" w:fill="auto"/>
            <w:tcMar>
              <w:top w:w="0" w:type="dxa"/>
              <w:left w:w="45" w:type="dxa"/>
              <w:bottom w:w="0" w:type="dxa"/>
              <w:right w:w="45" w:type="dxa"/>
            </w:tcMar>
            <w:vAlign w:val="center"/>
            <w:hideMark/>
          </w:tcPr>
          <w:p w14:paraId="6A0A923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Ministry of Environment and Tourism, 2011; Bond et al., 2005, Stevens et al., 2017</w:t>
            </w:r>
          </w:p>
        </w:tc>
        <w:tc>
          <w:tcPr>
            <w:tcW w:w="1275" w:type="dxa"/>
            <w:shd w:val="clear" w:color="auto" w:fill="auto"/>
            <w:tcMar>
              <w:top w:w="0" w:type="dxa"/>
              <w:left w:w="45" w:type="dxa"/>
              <w:bottom w:w="0" w:type="dxa"/>
              <w:right w:w="45" w:type="dxa"/>
            </w:tcMar>
            <w:vAlign w:val="center"/>
            <w:hideMark/>
          </w:tcPr>
          <w:p w14:paraId="3298572B"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Creed et al., 2019; McNulty et al., 2018</w:t>
            </w:r>
          </w:p>
        </w:tc>
        <w:tc>
          <w:tcPr>
            <w:tcW w:w="0" w:type="auto"/>
            <w:shd w:val="clear" w:color="auto" w:fill="auto"/>
            <w:tcMar>
              <w:top w:w="0" w:type="dxa"/>
              <w:left w:w="45" w:type="dxa"/>
              <w:bottom w:w="0" w:type="dxa"/>
              <w:right w:w="45" w:type="dxa"/>
            </w:tcMar>
            <w:vAlign w:val="center"/>
            <w:hideMark/>
          </w:tcPr>
          <w:p w14:paraId="1954EAE2"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van Wilgen et al., 2012</w:t>
            </w:r>
          </w:p>
        </w:tc>
      </w:tr>
      <w:tr w:rsidR="002302CC" w:rsidRPr="009A3193" w14:paraId="101D569A" w14:textId="77777777" w:rsidTr="00FA3AD6">
        <w:trPr>
          <w:trHeight w:val="240"/>
        </w:trPr>
        <w:tc>
          <w:tcPr>
            <w:tcW w:w="0" w:type="auto"/>
            <w:shd w:val="clear" w:color="auto" w:fill="auto"/>
            <w:tcMar>
              <w:top w:w="0" w:type="dxa"/>
              <w:left w:w="45" w:type="dxa"/>
              <w:bottom w:w="0" w:type="dxa"/>
              <w:right w:w="45" w:type="dxa"/>
            </w:tcMar>
            <w:vAlign w:val="center"/>
            <w:hideMark/>
          </w:tcPr>
          <w:p w14:paraId="11E70513"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CS10</w:t>
            </w:r>
          </w:p>
        </w:tc>
        <w:tc>
          <w:tcPr>
            <w:tcW w:w="0" w:type="auto"/>
            <w:shd w:val="clear" w:color="auto" w:fill="auto"/>
            <w:tcMar>
              <w:top w:w="0" w:type="dxa"/>
              <w:left w:w="45" w:type="dxa"/>
              <w:bottom w:w="0" w:type="dxa"/>
              <w:right w:w="45" w:type="dxa"/>
            </w:tcMar>
            <w:vAlign w:val="center"/>
            <w:hideMark/>
          </w:tcPr>
          <w:p w14:paraId="66BA67DE"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Amazonian rainforest</w:t>
            </w:r>
          </w:p>
        </w:tc>
        <w:tc>
          <w:tcPr>
            <w:tcW w:w="1489" w:type="dxa"/>
            <w:shd w:val="clear" w:color="auto" w:fill="auto"/>
            <w:tcMar>
              <w:top w:w="0" w:type="dxa"/>
              <w:left w:w="45" w:type="dxa"/>
              <w:bottom w:w="0" w:type="dxa"/>
              <w:right w:w="45" w:type="dxa"/>
            </w:tcMar>
            <w:vAlign w:val="center"/>
            <w:hideMark/>
          </w:tcPr>
          <w:p w14:paraId="182F91CF"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Soares-Filho et al 2010; Joly et al 2018; Scarano et al 2018</w:t>
            </w:r>
          </w:p>
        </w:tc>
        <w:tc>
          <w:tcPr>
            <w:tcW w:w="1559" w:type="dxa"/>
            <w:shd w:val="clear" w:color="auto" w:fill="auto"/>
            <w:tcMar>
              <w:top w:w="0" w:type="dxa"/>
              <w:left w:w="45" w:type="dxa"/>
              <w:bottom w:w="0" w:type="dxa"/>
              <w:right w:w="45" w:type="dxa"/>
            </w:tcMar>
            <w:vAlign w:val="center"/>
            <w:hideMark/>
          </w:tcPr>
          <w:p w14:paraId="73F963B9"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Ribeiro et al 2016; Joly et al 2018</w:t>
            </w:r>
          </w:p>
        </w:tc>
        <w:tc>
          <w:tcPr>
            <w:tcW w:w="1559" w:type="dxa"/>
            <w:shd w:val="clear" w:color="auto" w:fill="auto"/>
            <w:tcMar>
              <w:top w:w="0" w:type="dxa"/>
              <w:left w:w="45" w:type="dxa"/>
              <w:bottom w:w="0" w:type="dxa"/>
              <w:right w:w="45" w:type="dxa"/>
            </w:tcMar>
            <w:vAlign w:val="center"/>
            <w:hideMark/>
          </w:tcPr>
          <w:p w14:paraId="4173B2E2"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Soar</w:t>
            </w:r>
            <w:r w:rsidR="00D14CE9" w:rsidRPr="009A3193">
              <w:rPr>
                <w:rFonts w:ascii="Arial" w:eastAsia="Times New Roman" w:hAnsi="Arial" w:cs="Arial"/>
                <w:sz w:val="18"/>
                <w:szCs w:val="18"/>
                <w:lang w:val="en-GB" w:eastAsia="fr-FR"/>
              </w:rPr>
              <w:t xml:space="preserve">es-Filho et al 2010; Hall </w:t>
            </w:r>
            <w:r w:rsidRPr="009A3193">
              <w:rPr>
                <w:rFonts w:ascii="Arial" w:eastAsia="Times New Roman" w:hAnsi="Arial" w:cs="Arial"/>
                <w:sz w:val="18"/>
                <w:szCs w:val="18"/>
                <w:lang w:val="en-GB" w:eastAsia="fr-FR"/>
              </w:rPr>
              <w:t xml:space="preserve">2008: Malhi et al </w:t>
            </w:r>
            <w:r w:rsidRPr="009A3193">
              <w:rPr>
                <w:rFonts w:ascii="Arial" w:eastAsia="Times New Roman" w:hAnsi="Arial" w:cs="Arial"/>
                <w:sz w:val="18"/>
                <w:szCs w:val="18"/>
                <w:lang w:val="en-GB" w:eastAsia="fr-FR"/>
              </w:rPr>
              <w:lastRenderedPageBreak/>
              <w:t>2008;Phillips et al 2017</w:t>
            </w:r>
          </w:p>
        </w:tc>
        <w:tc>
          <w:tcPr>
            <w:tcW w:w="1418" w:type="dxa"/>
            <w:shd w:val="clear" w:color="auto" w:fill="auto"/>
            <w:tcMar>
              <w:top w:w="0" w:type="dxa"/>
              <w:left w:w="45" w:type="dxa"/>
              <w:bottom w:w="0" w:type="dxa"/>
              <w:right w:w="45" w:type="dxa"/>
            </w:tcMar>
            <w:vAlign w:val="center"/>
            <w:hideMark/>
          </w:tcPr>
          <w:p w14:paraId="0EA2598D" w14:textId="77777777" w:rsidR="002302CC" w:rsidRPr="009A3193" w:rsidRDefault="00D14CE9"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lastRenderedPageBreak/>
              <w:t xml:space="preserve">Hall </w:t>
            </w:r>
            <w:r w:rsidR="002302CC" w:rsidRPr="009A3193">
              <w:rPr>
                <w:rFonts w:ascii="Arial" w:eastAsia="Times New Roman" w:hAnsi="Arial" w:cs="Arial"/>
                <w:sz w:val="18"/>
                <w:szCs w:val="18"/>
                <w:lang w:val="en-GB" w:eastAsia="fr-FR"/>
              </w:rPr>
              <w:t xml:space="preserve">2008; Castello et al 2013; van Soesbergen &amp; </w:t>
            </w:r>
            <w:r w:rsidR="002302CC" w:rsidRPr="009A3193">
              <w:rPr>
                <w:rFonts w:ascii="Arial" w:eastAsia="Times New Roman" w:hAnsi="Arial" w:cs="Arial"/>
                <w:sz w:val="18"/>
                <w:szCs w:val="18"/>
                <w:lang w:val="en-GB" w:eastAsia="fr-FR"/>
              </w:rPr>
              <w:lastRenderedPageBreak/>
              <w:t>Mulligan 2014; Joly et al 2018</w:t>
            </w:r>
          </w:p>
        </w:tc>
        <w:tc>
          <w:tcPr>
            <w:tcW w:w="1275" w:type="dxa"/>
            <w:shd w:val="clear" w:color="auto" w:fill="auto"/>
            <w:tcMar>
              <w:top w:w="0" w:type="dxa"/>
              <w:left w:w="45" w:type="dxa"/>
              <w:bottom w:w="0" w:type="dxa"/>
              <w:right w:w="45" w:type="dxa"/>
            </w:tcMar>
            <w:vAlign w:val="center"/>
            <w:hideMark/>
          </w:tcPr>
          <w:p w14:paraId="05523AB6"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lastRenderedPageBreak/>
              <w:t xml:space="preserve">Scarano et al 2020; Goulding et al </w:t>
            </w:r>
            <w:r w:rsidRPr="009A3193">
              <w:rPr>
                <w:rFonts w:ascii="Arial" w:eastAsia="Times New Roman" w:hAnsi="Arial" w:cs="Arial"/>
                <w:sz w:val="18"/>
                <w:szCs w:val="18"/>
                <w:lang w:val="en-GB" w:eastAsia="fr-FR"/>
              </w:rPr>
              <w:lastRenderedPageBreak/>
              <w:t>2019; Joly et al 2018</w:t>
            </w:r>
          </w:p>
        </w:tc>
        <w:tc>
          <w:tcPr>
            <w:tcW w:w="0" w:type="auto"/>
            <w:shd w:val="clear" w:color="auto" w:fill="auto"/>
            <w:tcMar>
              <w:top w:w="0" w:type="dxa"/>
              <w:left w:w="45" w:type="dxa"/>
              <w:bottom w:w="0" w:type="dxa"/>
              <w:right w:w="45" w:type="dxa"/>
            </w:tcMar>
            <w:vAlign w:val="center"/>
            <w:hideMark/>
          </w:tcPr>
          <w:p w14:paraId="3EA30C5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lastRenderedPageBreak/>
              <w:t>Soares-Filho et al 2010, Pires et al 2019; Joly et al 2018</w:t>
            </w:r>
          </w:p>
        </w:tc>
      </w:tr>
      <w:tr w:rsidR="002302CC" w:rsidRPr="009A3193" w14:paraId="63C5CE3D" w14:textId="77777777" w:rsidTr="00FA3AD6">
        <w:trPr>
          <w:trHeight w:val="240"/>
        </w:trPr>
        <w:tc>
          <w:tcPr>
            <w:tcW w:w="0" w:type="auto"/>
            <w:shd w:val="clear" w:color="auto" w:fill="auto"/>
            <w:tcMar>
              <w:top w:w="0" w:type="dxa"/>
              <w:left w:w="45" w:type="dxa"/>
              <w:bottom w:w="0" w:type="dxa"/>
              <w:right w:w="45" w:type="dxa"/>
            </w:tcMar>
            <w:vAlign w:val="center"/>
            <w:hideMark/>
          </w:tcPr>
          <w:p w14:paraId="50900220"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lastRenderedPageBreak/>
              <w:t>CS11</w:t>
            </w:r>
          </w:p>
        </w:tc>
        <w:tc>
          <w:tcPr>
            <w:tcW w:w="0" w:type="auto"/>
            <w:shd w:val="clear" w:color="auto" w:fill="auto"/>
            <w:tcMar>
              <w:top w:w="0" w:type="dxa"/>
              <w:left w:w="45" w:type="dxa"/>
              <w:bottom w:w="0" w:type="dxa"/>
              <w:right w:w="45" w:type="dxa"/>
            </w:tcMar>
            <w:vAlign w:val="center"/>
            <w:hideMark/>
          </w:tcPr>
          <w:p w14:paraId="3FAE5799"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Pleistocene Park, N</w:t>
            </w:r>
            <w:r w:rsidR="00A0148D" w:rsidRPr="009A3193">
              <w:rPr>
                <w:rFonts w:ascii="Arial" w:eastAsia="Times New Roman" w:hAnsi="Arial" w:cs="Arial"/>
                <w:color w:val="000000"/>
                <w:sz w:val="18"/>
                <w:szCs w:val="18"/>
                <w:lang w:val="en-GB" w:eastAsia="fr-FR"/>
              </w:rPr>
              <w:t xml:space="preserve">ortheastern </w:t>
            </w:r>
            <w:r w:rsidRPr="009A3193">
              <w:rPr>
                <w:rFonts w:ascii="Arial" w:eastAsia="Times New Roman" w:hAnsi="Arial" w:cs="Arial"/>
                <w:color w:val="000000"/>
                <w:sz w:val="18"/>
                <w:szCs w:val="18"/>
                <w:lang w:val="en-GB" w:eastAsia="fr-FR"/>
              </w:rPr>
              <w:t>Siberia</w:t>
            </w:r>
          </w:p>
        </w:tc>
        <w:tc>
          <w:tcPr>
            <w:tcW w:w="1489" w:type="dxa"/>
            <w:shd w:val="clear" w:color="auto" w:fill="auto"/>
            <w:tcMar>
              <w:top w:w="0" w:type="dxa"/>
              <w:left w:w="45" w:type="dxa"/>
              <w:bottom w:w="0" w:type="dxa"/>
              <w:right w:w="45" w:type="dxa"/>
            </w:tcMar>
            <w:vAlign w:val="center"/>
            <w:hideMark/>
          </w:tcPr>
          <w:p w14:paraId="1E63577C"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 xml:space="preserve">Zimov 2005; Kintisch, 2015 </w:t>
            </w:r>
          </w:p>
        </w:tc>
        <w:tc>
          <w:tcPr>
            <w:tcW w:w="1559" w:type="dxa"/>
            <w:shd w:val="clear" w:color="auto" w:fill="auto"/>
            <w:tcMar>
              <w:top w:w="0" w:type="dxa"/>
              <w:left w:w="45" w:type="dxa"/>
              <w:bottom w:w="0" w:type="dxa"/>
              <w:right w:w="45" w:type="dxa"/>
            </w:tcMar>
            <w:vAlign w:val="center"/>
            <w:hideMark/>
          </w:tcPr>
          <w:p w14:paraId="641FEDC9"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Beer et al., 2020</w:t>
            </w:r>
          </w:p>
        </w:tc>
        <w:tc>
          <w:tcPr>
            <w:tcW w:w="1559" w:type="dxa"/>
            <w:shd w:val="clear" w:color="auto" w:fill="auto"/>
            <w:tcMar>
              <w:top w:w="0" w:type="dxa"/>
              <w:left w:w="45" w:type="dxa"/>
              <w:bottom w:w="0" w:type="dxa"/>
              <w:right w:w="45" w:type="dxa"/>
            </w:tcMar>
            <w:vAlign w:val="center"/>
            <w:hideMark/>
          </w:tcPr>
          <w:p w14:paraId="37F22BA2"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Cahoon et al., 2012; Falk et al., 2015; te Beest et al., 2016; Schmitz et al., 2018</w:t>
            </w:r>
          </w:p>
        </w:tc>
        <w:tc>
          <w:tcPr>
            <w:tcW w:w="1418" w:type="dxa"/>
            <w:shd w:val="clear" w:color="auto" w:fill="auto"/>
            <w:tcMar>
              <w:top w:w="0" w:type="dxa"/>
              <w:left w:w="45" w:type="dxa"/>
              <w:bottom w:w="0" w:type="dxa"/>
              <w:right w:w="45" w:type="dxa"/>
            </w:tcMar>
            <w:vAlign w:val="center"/>
            <w:hideMark/>
          </w:tcPr>
          <w:p w14:paraId="6080CA1B"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Macias-Fauria et al., 2020</w:t>
            </w:r>
          </w:p>
        </w:tc>
        <w:tc>
          <w:tcPr>
            <w:tcW w:w="1275" w:type="dxa"/>
            <w:shd w:val="clear" w:color="auto" w:fill="auto"/>
            <w:tcMar>
              <w:top w:w="0" w:type="dxa"/>
              <w:left w:w="45" w:type="dxa"/>
              <w:bottom w:w="0" w:type="dxa"/>
              <w:right w:w="45" w:type="dxa"/>
            </w:tcMar>
            <w:vAlign w:val="center"/>
            <w:hideMark/>
          </w:tcPr>
          <w:p w14:paraId="47D648FF"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Macias-Fauria et al., 2020</w:t>
            </w:r>
          </w:p>
        </w:tc>
        <w:tc>
          <w:tcPr>
            <w:tcW w:w="0" w:type="auto"/>
            <w:shd w:val="clear" w:color="auto" w:fill="auto"/>
            <w:tcMar>
              <w:top w:w="0" w:type="dxa"/>
              <w:left w:w="45" w:type="dxa"/>
              <w:bottom w:w="0" w:type="dxa"/>
              <w:right w:w="45" w:type="dxa"/>
            </w:tcMar>
            <w:vAlign w:val="center"/>
            <w:hideMark/>
          </w:tcPr>
          <w:p w14:paraId="02BB3AA7"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 xml:space="preserve">Kintisch, 2015; Macias-Fauria et al., 2020 </w:t>
            </w:r>
          </w:p>
        </w:tc>
      </w:tr>
      <w:tr w:rsidR="002302CC" w:rsidRPr="009A3193" w14:paraId="68892FBE" w14:textId="77777777" w:rsidTr="00FA3AD6">
        <w:trPr>
          <w:trHeight w:val="240"/>
        </w:trPr>
        <w:tc>
          <w:tcPr>
            <w:tcW w:w="0" w:type="auto"/>
            <w:shd w:val="clear" w:color="auto" w:fill="auto"/>
            <w:tcMar>
              <w:top w:w="0" w:type="dxa"/>
              <w:left w:w="45" w:type="dxa"/>
              <w:bottom w:w="0" w:type="dxa"/>
              <w:right w:w="45" w:type="dxa"/>
            </w:tcMar>
            <w:vAlign w:val="center"/>
            <w:hideMark/>
          </w:tcPr>
          <w:p w14:paraId="3685F57F"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CS12</w:t>
            </w:r>
          </w:p>
        </w:tc>
        <w:tc>
          <w:tcPr>
            <w:tcW w:w="0" w:type="auto"/>
            <w:shd w:val="clear" w:color="auto" w:fill="auto"/>
            <w:tcMar>
              <w:top w:w="0" w:type="dxa"/>
              <w:left w:w="45" w:type="dxa"/>
              <w:bottom w:w="0" w:type="dxa"/>
              <w:right w:w="45" w:type="dxa"/>
            </w:tcMar>
            <w:vAlign w:val="center"/>
            <w:hideMark/>
          </w:tcPr>
          <w:p w14:paraId="4C27D2DE"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African peatlands</w:t>
            </w:r>
          </w:p>
        </w:tc>
        <w:tc>
          <w:tcPr>
            <w:tcW w:w="1489" w:type="dxa"/>
            <w:shd w:val="clear" w:color="auto" w:fill="auto"/>
            <w:tcMar>
              <w:top w:w="0" w:type="dxa"/>
              <w:left w:w="45" w:type="dxa"/>
              <w:bottom w:w="0" w:type="dxa"/>
              <w:right w:w="45" w:type="dxa"/>
            </w:tcMar>
            <w:vAlign w:val="center"/>
            <w:hideMark/>
          </w:tcPr>
          <w:p w14:paraId="2ED15E4C"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Dargie et al., 2019)</w:t>
            </w:r>
          </w:p>
        </w:tc>
        <w:tc>
          <w:tcPr>
            <w:tcW w:w="1559" w:type="dxa"/>
            <w:shd w:val="clear" w:color="auto" w:fill="auto"/>
            <w:tcMar>
              <w:top w:w="0" w:type="dxa"/>
              <w:left w:w="45" w:type="dxa"/>
              <w:bottom w:w="0" w:type="dxa"/>
              <w:right w:w="45" w:type="dxa"/>
            </w:tcMar>
            <w:vAlign w:val="center"/>
            <w:hideMark/>
          </w:tcPr>
          <w:p w14:paraId="311B66AC"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Dargie et al., 2017, 2019; Fay and Agangna 1991; Rainey et al, 2010; Inogwabini et al. 2012; Riley and Huchzermeyer 1999</w:t>
            </w:r>
          </w:p>
        </w:tc>
        <w:tc>
          <w:tcPr>
            <w:tcW w:w="1559" w:type="dxa"/>
            <w:shd w:val="clear" w:color="auto" w:fill="auto"/>
            <w:tcMar>
              <w:top w:w="0" w:type="dxa"/>
              <w:left w:w="45" w:type="dxa"/>
              <w:bottom w:w="0" w:type="dxa"/>
              <w:right w:w="45" w:type="dxa"/>
            </w:tcMar>
            <w:vAlign w:val="center"/>
            <w:hideMark/>
          </w:tcPr>
          <w:p w14:paraId="033E9EE4"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Dargie et al., 2017, 2019; Hooijer et al., 2010; Könönen et al., 2016</w:t>
            </w:r>
          </w:p>
        </w:tc>
        <w:tc>
          <w:tcPr>
            <w:tcW w:w="1418" w:type="dxa"/>
            <w:shd w:val="clear" w:color="auto" w:fill="auto"/>
            <w:tcMar>
              <w:top w:w="0" w:type="dxa"/>
              <w:left w:w="45" w:type="dxa"/>
              <w:bottom w:w="0" w:type="dxa"/>
              <w:right w:w="45" w:type="dxa"/>
            </w:tcMar>
            <w:vAlign w:val="center"/>
            <w:hideMark/>
          </w:tcPr>
          <w:p w14:paraId="14625278"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Dargie et al., 2019</w:t>
            </w:r>
          </w:p>
        </w:tc>
        <w:tc>
          <w:tcPr>
            <w:tcW w:w="1275" w:type="dxa"/>
            <w:shd w:val="clear" w:color="auto" w:fill="auto"/>
            <w:tcMar>
              <w:top w:w="0" w:type="dxa"/>
              <w:left w:w="45" w:type="dxa"/>
              <w:bottom w:w="0" w:type="dxa"/>
              <w:right w:w="45" w:type="dxa"/>
            </w:tcMar>
            <w:vAlign w:val="center"/>
            <w:hideMark/>
          </w:tcPr>
          <w:p w14:paraId="1B027D92" w14:textId="77777777" w:rsidR="002302CC" w:rsidRPr="009A3193" w:rsidRDefault="002302CC" w:rsidP="00FA3AD6">
            <w:pPr>
              <w:spacing w:after="0" w:line="240" w:lineRule="auto"/>
              <w:rPr>
                <w:rFonts w:ascii="Arial" w:eastAsia="Times New Roman" w:hAnsi="Arial" w:cs="Arial"/>
                <w:sz w:val="18"/>
                <w:szCs w:val="18"/>
                <w:lang w:val="en-GB" w:eastAsia="fr-FR"/>
              </w:rPr>
            </w:pPr>
            <w:r w:rsidRPr="009A3193">
              <w:rPr>
                <w:rFonts w:ascii="Arial" w:eastAsia="Times New Roman" w:hAnsi="Arial" w:cs="Arial"/>
                <w:sz w:val="18"/>
                <w:szCs w:val="18"/>
                <w:lang w:val="en-GB" w:eastAsia="fr-FR"/>
              </w:rPr>
              <w:t>Dargie et al., 2019; Jauhiainen et al. 2012</w:t>
            </w:r>
          </w:p>
        </w:tc>
        <w:tc>
          <w:tcPr>
            <w:tcW w:w="0" w:type="auto"/>
            <w:shd w:val="clear" w:color="auto" w:fill="auto"/>
            <w:tcMar>
              <w:top w:w="0" w:type="dxa"/>
              <w:left w:w="45" w:type="dxa"/>
              <w:bottom w:w="0" w:type="dxa"/>
              <w:right w:w="45" w:type="dxa"/>
            </w:tcMar>
            <w:vAlign w:val="center"/>
            <w:hideMark/>
          </w:tcPr>
          <w:p w14:paraId="49980874" w14:textId="77777777" w:rsidR="002302CC" w:rsidRPr="009A3193" w:rsidRDefault="002302CC" w:rsidP="00FA3AD6">
            <w:pPr>
              <w:spacing w:after="0" w:line="240" w:lineRule="auto"/>
              <w:rPr>
                <w:rFonts w:ascii="Arial" w:eastAsia="Times New Roman" w:hAnsi="Arial" w:cs="Arial"/>
                <w:color w:val="000000"/>
                <w:sz w:val="18"/>
                <w:szCs w:val="18"/>
                <w:lang w:val="en-GB" w:eastAsia="fr-FR"/>
              </w:rPr>
            </w:pPr>
            <w:r w:rsidRPr="009A3193">
              <w:rPr>
                <w:rFonts w:ascii="Arial" w:eastAsia="Times New Roman" w:hAnsi="Arial" w:cs="Arial"/>
                <w:color w:val="000000"/>
                <w:sz w:val="18"/>
                <w:szCs w:val="18"/>
                <w:lang w:val="en-GB" w:eastAsia="fr-FR"/>
              </w:rPr>
              <w:t>Dargie et al., 2019</w:t>
            </w:r>
          </w:p>
        </w:tc>
      </w:tr>
    </w:tbl>
    <w:p w14:paraId="71F9718C" w14:textId="77777777" w:rsidR="009B1269" w:rsidRPr="009A3193" w:rsidRDefault="009B1269">
      <w:pPr>
        <w:rPr>
          <w:b/>
          <w:lang w:val="en-GB"/>
        </w:rPr>
      </w:pPr>
    </w:p>
    <w:p w14:paraId="09860CC9" w14:textId="77777777" w:rsidR="009B1269" w:rsidRPr="009A3193" w:rsidRDefault="009B1269">
      <w:pPr>
        <w:rPr>
          <w:b/>
          <w:lang w:val="en-GB"/>
        </w:rPr>
      </w:pPr>
      <w:r w:rsidRPr="009A3193">
        <w:rPr>
          <w:b/>
          <w:lang w:val="en-GB"/>
        </w:rPr>
        <w:br w:type="page"/>
      </w:r>
    </w:p>
    <w:p w14:paraId="76A5377C" w14:textId="34EC1E16" w:rsidR="009B1269" w:rsidRPr="009A3193" w:rsidRDefault="009B1269" w:rsidP="009B1269">
      <w:pPr>
        <w:rPr>
          <w:sz w:val="20"/>
          <w:lang w:val="en-GB"/>
        </w:rPr>
      </w:pPr>
      <w:r w:rsidRPr="009A3193">
        <w:rPr>
          <w:b/>
          <w:lang w:val="en-GB"/>
        </w:rPr>
        <w:lastRenderedPageBreak/>
        <w:t>Table S3 </w:t>
      </w:r>
      <w:r w:rsidRPr="009A3193">
        <w:rPr>
          <w:lang w:val="en-GB"/>
        </w:rPr>
        <w:t xml:space="preserve">: </w:t>
      </w:r>
      <w:r w:rsidRPr="009A3193">
        <w:rPr>
          <w:sz w:val="20"/>
          <w:lang w:val="en-GB"/>
        </w:rPr>
        <w:t>Full description of case studies supporting Figure 1</w:t>
      </w:r>
      <w:r w:rsidR="001339F3">
        <w:rPr>
          <w:sz w:val="20"/>
          <w:lang w:val="en-GB"/>
        </w:rPr>
        <w:t>, Table 2</w:t>
      </w:r>
      <w:bookmarkStart w:id="0" w:name="_GoBack"/>
      <w:bookmarkEnd w:id="0"/>
      <w:r w:rsidRPr="009A3193">
        <w:rPr>
          <w:sz w:val="20"/>
          <w:lang w:val="en-GB"/>
        </w:rPr>
        <w:t xml:space="preserve"> and section 3</w:t>
      </w:r>
      <w:r w:rsidR="009E0697" w:rsidRPr="009A3193">
        <w:rPr>
          <w:sz w:val="20"/>
          <w:lang w:val="en-GB"/>
        </w:rPr>
        <w:t>. Biodiversity and conservation objectives are described, as well as the potential effects on climate change mitigation, the main nature’s contributions to people, the trade-offs and synergies between multiple uses and functions of the ecosystems, and when relevant the main governance challenges, underlying cross-sectoral and transboundary aspects.</w:t>
      </w: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725"/>
        <w:gridCol w:w="8331"/>
      </w:tblGrid>
      <w:tr w:rsidR="00901FAF" w:rsidRPr="009A3193" w14:paraId="0632B428" w14:textId="77777777" w:rsidTr="00115605">
        <w:trPr>
          <w:trHeight w:val="567"/>
        </w:trPr>
        <w:tc>
          <w:tcPr>
            <w:tcW w:w="0" w:type="auto"/>
            <w:shd w:val="clear" w:color="auto" w:fill="1F4E79" w:themeFill="accent1" w:themeFillShade="80"/>
            <w:vAlign w:val="center"/>
          </w:tcPr>
          <w:p w14:paraId="3B4E804A" w14:textId="77777777" w:rsidR="001045AA" w:rsidRPr="009A3193" w:rsidRDefault="001045AA" w:rsidP="00115605">
            <w:pPr>
              <w:spacing w:before="60" w:after="60"/>
              <w:rPr>
                <w:rFonts w:ascii="Arial" w:hAnsi="Arial" w:cs="Arial"/>
                <w:color w:val="FFFFFF" w:themeColor="background1"/>
                <w:sz w:val="18"/>
                <w:szCs w:val="20"/>
                <w:lang w:val="en-GB"/>
              </w:rPr>
            </w:pPr>
            <w:r w:rsidRPr="009A3193">
              <w:rPr>
                <w:rFonts w:ascii="Arial" w:hAnsi="Arial" w:cs="Arial"/>
                <w:color w:val="FFFFFF" w:themeColor="background1"/>
                <w:sz w:val="18"/>
                <w:szCs w:val="20"/>
                <w:lang w:val="en-GB"/>
              </w:rPr>
              <w:t>Case Study</w:t>
            </w:r>
            <w:r w:rsidR="009B5D53" w:rsidRPr="009A3193">
              <w:rPr>
                <w:rFonts w:ascii="Arial" w:hAnsi="Arial" w:cs="Arial"/>
                <w:color w:val="FFFFFF" w:themeColor="background1"/>
                <w:sz w:val="18"/>
                <w:szCs w:val="20"/>
                <w:lang w:val="en-GB"/>
              </w:rPr>
              <w:t xml:space="preserve"> number</w:t>
            </w:r>
          </w:p>
        </w:tc>
        <w:tc>
          <w:tcPr>
            <w:tcW w:w="0" w:type="auto"/>
            <w:shd w:val="clear" w:color="auto" w:fill="1F4E79" w:themeFill="accent1" w:themeFillShade="80"/>
            <w:vAlign w:val="center"/>
          </w:tcPr>
          <w:p w14:paraId="4D9C749E" w14:textId="77777777" w:rsidR="001045AA" w:rsidRPr="009A3193" w:rsidRDefault="009B5D53" w:rsidP="00115605">
            <w:pPr>
              <w:spacing w:before="60" w:after="60"/>
              <w:rPr>
                <w:rFonts w:ascii="Arial" w:hAnsi="Arial" w:cs="Arial"/>
                <w:color w:val="FFFFFF" w:themeColor="background1"/>
                <w:sz w:val="18"/>
                <w:szCs w:val="20"/>
                <w:lang w:val="en-GB"/>
              </w:rPr>
            </w:pPr>
            <w:r w:rsidRPr="009A3193">
              <w:rPr>
                <w:rFonts w:ascii="Arial" w:hAnsi="Arial" w:cs="Arial"/>
                <w:color w:val="FFFFFF" w:themeColor="background1"/>
                <w:sz w:val="18"/>
                <w:szCs w:val="20"/>
                <w:lang w:val="en-GB"/>
              </w:rPr>
              <w:t>Description</w:t>
            </w:r>
          </w:p>
        </w:tc>
      </w:tr>
      <w:tr w:rsidR="00901FAF" w:rsidRPr="009A3193" w14:paraId="12B283ED" w14:textId="77777777" w:rsidTr="006A2115">
        <w:trPr>
          <w:trHeight w:val="170"/>
        </w:trPr>
        <w:tc>
          <w:tcPr>
            <w:tcW w:w="725" w:type="dxa"/>
            <w:shd w:val="clear" w:color="auto" w:fill="1F4E79" w:themeFill="accent1" w:themeFillShade="80"/>
            <w:vAlign w:val="center"/>
          </w:tcPr>
          <w:p w14:paraId="62362571" w14:textId="77777777" w:rsidR="001045AA" w:rsidRPr="009A3193" w:rsidRDefault="009B5D53" w:rsidP="00115605">
            <w:pPr>
              <w:spacing w:before="120" w:after="120"/>
              <w:rPr>
                <w:rFonts w:ascii="Arial" w:hAnsi="Arial" w:cs="Arial"/>
                <w:color w:val="FFFFFF" w:themeColor="background1"/>
                <w:sz w:val="18"/>
                <w:szCs w:val="20"/>
                <w:lang w:val="en-GB"/>
              </w:rPr>
            </w:pPr>
            <w:r w:rsidRPr="009A3193">
              <w:rPr>
                <w:rFonts w:ascii="Arial" w:hAnsi="Arial" w:cs="Arial"/>
                <w:color w:val="FFFFFF" w:themeColor="background1"/>
                <w:sz w:val="18"/>
                <w:szCs w:val="20"/>
                <w:lang w:val="en-GB"/>
              </w:rPr>
              <w:t>CS 1</w:t>
            </w:r>
          </w:p>
        </w:tc>
        <w:tc>
          <w:tcPr>
            <w:tcW w:w="8331" w:type="dxa"/>
            <w:shd w:val="clear" w:color="auto" w:fill="1F4E79" w:themeFill="accent1" w:themeFillShade="80"/>
            <w:vAlign w:val="center"/>
          </w:tcPr>
          <w:p w14:paraId="524741C2" w14:textId="77777777" w:rsidR="001045AA" w:rsidRPr="009A3193" w:rsidRDefault="006E1B27" w:rsidP="00115605">
            <w:pPr>
              <w:spacing w:before="120" w:after="120"/>
              <w:rPr>
                <w:rFonts w:ascii="Arial" w:hAnsi="Arial" w:cs="Arial"/>
                <w:color w:val="FFFFFF" w:themeColor="background1"/>
                <w:sz w:val="18"/>
                <w:szCs w:val="20"/>
                <w:lang w:val="en-GB"/>
              </w:rPr>
            </w:pPr>
            <w:r w:rsidRPr="009A3193">
              <w:rPr>
                <w:rFonts w:ascii="Arial" w:hAnsi="Arial" w:cs="Arial"/>
                <w:color w:val="FFFFFF" w:themeColor="background1"/>
                <w:sz w:val="18"/>
                <w:szCs w:val="20"/>
                <w:lang w:val="en-GB"/>
              </w:rPr>
              <w:t>Kailash Sacred Landscape Conservation and Development Initiative</w:t>
            </w:r>
          </w:p>
        </w:tc>
      </w:tr>
      <w:tr w:rsidR="00B00A6D" w:rsidRPr="009A3193" w14:paraId="273CF700" w14:textId="77777777" w:rsidTr="006A2115">
        <w:tc>
          <w:tcPr>
            <w:tcW w:w="725" w:type="dxa"/>
            <w:shd w:val="clear" w:color="auto" w:fill="E6E6E6"/>
          </w:tcPr>
          <w:p w14:paraId="657BC368" w14:textId="77777777" w:rsidR="00B00A6D" w:rsidRPr="009A3193" w:rsidRDefault="00B00A6D" w:rsidP="00DA73F5">
            <w:pPr>
              <w:jc w:val="both"/>
              <w:rPr>
                <w:rFonts w:ascii="Arial" w:hAnsi="Arial" w:cs="Arial"/>
                <w:sz w:val="18"/>
                <w:szCs w:val="18"/>
                <w:lang w:val="en-GB"/>
              </w:rPr>
            </w:pPr>
          </w:p>
        </w:tc>
        <w:tc>
          <w:tcPr>
            <w:tcW w:w="8331" w:type="dxa"/>
            <w:shd w:val="clear" w:color="auto" w:fill="E6E6E6"/>
          </w:tcPr>
          <w:p w14:paraId="58046258" w14:textId="77777777" w:rsidR="00C36194" w:rsidRPr="009A3193" w:rsidRDefault="00C36194" w:rsidP="009F2131">
            <w:pPr>
              <w:spacing w:line="264" w:lineRule="auto"/>
              <w:jc w:val="both"/>
              <w:rPr>
                <w:rFonts w:ascii="Arial" w:hAnsi="Arial" w:cs="Arial"/>
                <w:sz w:val="18"/>
                <w:szCs w:val="18"/>
                <w:lang w:val="en-GB"/>
              </w:rPr>
            </w:pPr>
            <w:r w:rsidRPr="009A3193">
              <w:rPr>
                <w:rFonts w:ascii="Arial" w:hAnsi="Arial" w:cs="Arial"/>
                <w:sz w:val="18"/>
                <w:szCs w:val="18"/>
                <w:lang w:val="en-GB"/>
              </w:rPr>
              <w:t>Biodiversity conservation and climate change impact mitigation or adaptation are important environmental management interventions in the Himalayan landscape. Conserving biodiversity through a (transboundary) landscape approach has been getting traction in the Hindu Kush Himalayas. With conservation and development objectives, Kailash Sacred Landscape (KSL) Conservation and Development Initiative was launched in 2010 covering 31,000 km</w:t>
            </w:r>
            <w:r w:rsidRPr="009A3193">
              <w:rPr>
                <w:rFonts w:ascii="Arial" w:hAnsi="Arial" w:cs="Arial"/>
                <w:sz w:val="18"/>
                <w:szCs w:val="18"/>
                <w:vertAlign w:val="superscript"/>
                <w:lang w:val="en-GB"/>
              </w:rPr>
              <w:t>2</w:t>
            </w:r>
            <w:r w:rsidRPr="009A3193">
              <w:rPr>
                <w:rFonts w:ascii="Arial" w:hAnsi="Arial" w:cs="Arial"/>
                <w:sz w:val="18"/>
                <w:szCs w:val="18"/>
                <w:lang w:val="en-GB"/>
              </w:rPr>
              <w:t xml:space="preserve"> inhabited by 1,300,000 people among Nepal, India, and China (Tibet Autonomous Region) </w:t>
            </w:r>
            <w:hyperlink r:id="rId6">
              <w:r w:rsidR="00580433" w:rsidRPr="009A3193">
                <w:rPr>
                  <w:rFonts w:ascii="Arial" w:hAnsi="Arial" w:cs="Arial"/>
                  <w:sz w:val="18"/>
                  <w:szCs w:val="18"/>
                  <w:lang w:val="en-GB"/>
                </w:rPr>
                <w:t>(</w:t>
              </w:r>
              <w:r w:rsidRPr="009A3193">
                <w:rPr>
                  <w:rFonts w:ascii="Arial" w:hAnsi="Arial" w:cs="Arial"/>
                  <w:sz w:val="18"/>
                  <w:szCs w:val="18"/>
                  <w:lang w:val="en-GB"/>
                </w:rPr>
                <w:t>Zomer &amp; Oli, 2011)</w:t>
              </w:r>
            </w:hyperlink>
            <w:r w:rsidRPr="009A3193">
              <w:rPr>
                <w:rFonts w:ascii="Arial" w:hAnsi="Arial" w:cs="Arial"/>
                <w:sz w:val="18"/>
                <w:szCs w:val="18"/>
                <w:lang w:val="en-GB"/>
              </w:rPr>
              <w:t>. This landscape is vitally important for biodiversity conservation and ecosystem services (high altitude forests, rangelands, and globally threatened species - snow leopard (</w:t>
            </w:r>
            <w:r w:rsidRPr="009A3193">
              <w:rPr>
                <w:rFonts w:ascii="Arial" w:hAnsi="Arial" w:cs="Arial"/>
                <w:i/>
                <w:sz w:val="18"/>
                <w:szCs w:val="18"/>
                <w:lang w:val="en-GB"/>
              </w:rPr>
              <w:t>Uncia uncia</w:t>
            </w:r>
            <w:r w:rsidRPr="009A3193">
              <w:rPr>
                <w:rFonts w:ascii="Arial" w:hAnsi="Arial" w:cs="Arial"/>
                <w:sz w:val="18"/>
                <w:szCs w:val="18"/>
                <w:lang w:val="en-GB"/>
              </w:rPr>
              <w:t>) and Himalayan musk deer (</w:t>
            </w:r>
            <w:r w:rsidRPr="009A3193">
              <w:rPr>
                <w:rFonts w:ascii="Arial" w:hAnsi="Arial" w:cs="Arial"/>
                <w:i/>
                <w:sz w:val="18"/>
                <w:szCs w:val="18"/>
                <w:lang w:val="en-GB"/>
              </w:rPr>
              <w:t>Moschus chrysogaster</w:t>
            </w:r>
            <w:r w:rsidRPr="009A3193">
              <w:rPr>
                <w:rFonts w:ascii="Arial" w:hAnsi="Arial" w:cs="Arial"/>
                <w:sz w:val="18"/>
                <w:szCs w:val="18"/>
                <w:lang w:val="en-GB"/>
              </w:rPr>
              <w:t>); sacred sites for pilgrimage from Nepal and India: Mount Kailash and lake Mansarover; and source of water for Asia’s four major rivers: the Indus, the Sutlej, the Brahmaputra, and the Karnali</w:t>
            </w:r>
            <w:r w:rsidR="001E370C" w:rsidRPr="009A3193">
              <w:rPr>
                <w:rFonts w:ascii="Arial" w:hAnsi="Arial" w:cs="Arial"/>
                <w:sz w:val="18"/>
                <w:szCs w:val="18"/>
                <w:lang w:val="en-GB"/>
              </w:rPr>
              <w:t xml:space="preserve"> </w:t>
            </w:r>
            <w:hyperlink r:id="rId7">
              <w:r w:rsidR="00580433" w:rsidRPr="009A3193">
                <w:rPr>
                  <w:rFonts w:ascii="Arial" w:hAnsi="Arial" w:cs="Arial"/>
                  <w:sz w:val="18"/>
                  <w:szCs w:val="18"/>
                  <w:lang w:val="en-GB"/>
                </w:rPr>
                <w:t xml:space="preserve">(Uddin et al., 2015; </w:t>
              </w:r>
              <w:r w:rsidRPr="009A3193">
                <w:rPr>
                  <w:rFonts w:ascii="Arial" w:hAnsi="Arial" w:cs="Arial"/>
                  <w:sz w:val="18"/>
                  <w:szCs w:val="18"/>
                  <w:lang w:val="en-GB"/>
                </w:rPr>
                <w:t>Zomer &amp; Oli, 2011)</w:t>
              </w:r>
            </w:hyperlink>
            <w:r w:rsidRPr="009A3193">
              <w:rPr>
                <w:rFonts w:ascii="Arial" w:hAnsi="Arial" w:cs="Arial"/>
                <w:sz w:val="18"/>
                <w:szCs w:val="18"/>
                <w:lang w:val="en-GB"/>
              </w:rPr>
              <w:t>.</w:t>
            </w:r>
          </w:p>
          <w:p w14:paraId="3B3DA395" w14:textId="77777777" w:rsidR="00C36194" w:rsidRPr="009A3193" w:rsidRDefault="00C36194" w:rsidP="009F2131">
            <w:pPr>
              <w:spacing w:before="120" w:line="264" w:lineRule="auto"/>
              <w:jc w:val="both"/>
              <w:rPr>
                <w:rFonts w:ascii="Arial" w:hAnsi="Arial" w:cs="Arial"/>
                <w:sz w:val="18"/>
                <w:szCs w:val="18"/>
                <w:lang w:val="en-GB"/>
              </w:rPr>
            </w:pPr>
            <w:r w:rsidRPr="009A3193">
              <w:rPr>
                <w:rFonts w:ascii="Arial" w:hAnsi="Arial" w:cs="Arial"/>
                <w:sz w:val="18"/>
                <w:szCs w:val="18"/>
                <w:lang w:val="en-GB"/>
              </w:rPr>
              <w:t xml:space="preserve">Restoration of forest and rangelands </w:t>
            </w:r>
            <w:hyperlink r:id="rId8">
              <w:r w:rsidR="00580433" w:rsidRPr="009A3193">
                <w:rPr>
                  <w:rFonts w:ascii="Arial" w:hAnsi="Arial" w:cs="Arial"/>
                  <w:sz w:val="18"/>
                  <w:szCs w:val="18"/>
                  <w:lang w:val="en-GB"/>
                </w:rPr>
                <w:t>(</w:t>
              </w:r>
              <w:r w:rsidRPr="009A3193">
                <w:rPr>
                  <w:rFonts w:ascii="Arial" w:hAnsi="Arial" w:cs="Arial"/>
                  <w:sz w:val="18"/>
                  <w:szCs w:val="18"/>
                  <w:lang w:val="en-GB"/>
                </w:rPr>
                <w:t>Uddin et al., 2015)</w:t>
              </w:r>
            </w:hyperlink>
            <w:r w:rsidRPr="009A3193">
              <w:rPr>
                <w:rFonts w:ascii="Arial" w:hAnsi="Arial" w:cs="Arial"/>
                <w:sz w:val="18"/>
                <w:szCs w:val="18"/>
                <w:lang w:val="en-GB"/>
              </w:rPr>
              <w:t xml:space="preserve">, protection of endangered species and their habitats </w:t>
            </w:r>
            <w:hyperlink r:id="rId9">
              <w:r w:rsidRPr="009A3193">
                <w:rPr>
                  <w:rFonts w:ascii="Arial" w:hAnsi="Arial" w:cs="Arial"/>
                  <w:sz w:val="18"/>
                  <w:szCs w:val="18"/>
                  <w:lang w:val="en-GB"/>
                </w:rPr>
                <w:t>(Sharma et al., 2010)</w:t>
              </w:r>
            </w:hyperlink>
            <w:r w:rsidRPr="009A3193">
              <w:rPr>
                <w:rFonts w:ascii="Arial" w:hAnsi="Arial" w:cs="Arial"/>
                <w:sz w:val="18"/>
                <w:szCs w:val="18"/>
                <w:lang w:val="en-GB"/>
              </w:rPr>
              <w:t xml:space="preserve">, sustainable (farm) land management practices </w:t>
            </w:r>
            <w:hyperlink r:id="rId10">
              <w:r w:rsidRPr="009A3193">
                <w:rPr>
                  <w:rFonts w:ascii="Arial" w:hAnsi="Arial" w:cs="Arial"/>
                  <w:sz w:val="18"/>
                  <w:szCs w:val="18"/>
                  <w:lang w:val="en-GB"/>
                </w:rPr>
                <w:t>(Aryal et al., 2018; Liniger et al., 2020)</w:t>
              </w:r>
            </w:hyperlink>
            <w:r w:rsidRPr="009A3193">
              <w:rPr>
                <w:rFonts w:ascii="Arial" w:hAnsi="Arial" w:cs="Arial"/>
                <w:sz w:val="18"/>
                <w:szCs w:val="18"/>
                <w:lang w:val="en-GB"/>
              </w:rPr>
              <w:t xml:space="preserve">, heritage protection and cultural tourism </w:t>
            </w:r>
            <w:hyperlink r:id="rId11">
              <w:r w:rsidRPr="009A3193">
                <w:rPr>
                  <w:rFonts w:ascii="Arial" w:hAnsi="Arial" w:cs="Arial"/>
                  <w:sz w:val="18"/>
                  <w:szCs w:val="18"/>
                  <w:lang w:val="en-GB"/>
                </w:rPr>
                <w:t>(Adler et al., 2013; Pandey et al., 2016)</w:t>
              </w:r>
            </w:hyperlink>
            <w:r w:rsidRPr="009A3193">
              <w:rPr>
                <w:rFonts w:ascii="Arial" w:hAnsi="Arial" w:cs="Arial"/>
                <w:sz w:val="18"/>
                <w:szCs w:val="18"/>
                <w:lang w:val="en-GB"/>
              </w:rPr>
              <w:t xml:space="preserve"> were promoted as a way to conserve biodiversity, provide or generate ecosystem services </w:t>
            </w:r>
            <w:hyperlink r:id="rId12">
              <w:r w:rsidRPr="009A3193">
                <w:rPr>
                  <w:rFonts w:ascii="Arial" w:hAnsi="Arial" w:cs="Arial"/>
                  <w:sz w:val="18"/>
                  <w:szCs w:val="18"/>
                  <w:lang w:val="en-GB"/>
                </w:rPr>
                <w:t>(Nepal et al., 2018)</w:t>
              </w:r>
            </w:hyperlink>
            <w:r w:rsidRPr="009A3193">
              <w:rPr>
                <w:rFonts w:ascii="Arial" w:hAnsi="Arial" w:cs="Arial"/>
                <w:sz w:val="18"/>
                <w:szCs w:val="18"/>
                <w:lang w:val="en-GB"/>
              </w:rPr>
              <w:t>, mitigate climate change (through carbon sequestration), and support livelihoods.</w:t>
            </w:r>
          </w:p>
          <w:p w14:paraId="46B96E42" w14:textId="77777777" w:rsidR="00C36194" w:rsidRPr="009A3193" w:rsidRDefault="00C36194" w:rsidP="009F2131">
            <w:pPr>
              <w:spacing w:line="264" w:lineRule="auto"/>
              <w:jc w:val="both"/>
              <w:rPr>
                <w:rFonts w:ascii="Arial" w:hAnsi="Arial" w:cs="Arial"/>
                <w:sz w:val="18"/>
                <w:szCs w:val="18"/>
                <w:lang w:val="en-GB"/>
              </w:rPr>
            </w:pPr>
            <w:r w:rsidRPr="009A3193">
              <w:rPr>
                <w:rFonts w:ascii="Arial" w:hAnsi="Arial" w:cs="Arial"/>
                <w:sz w:val="18"/>
                <w:szCs w:val="18"/>
                <w:lang w:val="en-GB"/>
              </w:rPr>
              <w:t xml:space="preserve">Recent review of the landscape initiative indicated that the transboundary landscape approach was successful in establishing biodiversity corridors, adopting approaches to ecosystem management and conservation, and also contributing to household incomes </w:t>
            </w:r>
            <w:hyperlink r:id="rId13">
              <w:r w:rsidRPr="009A3193">
                <w:rPr>
                  <w:rFonts w:ascii="Arial" w:hAnsi="Arial" w:cs="Arial"/>
                  <w:sz w:val="18"/>
                  <w:szCs w:val="18"/>
                  <w:lang w:val="en-GB"/>
                </w:rPr>
                <w:t>(Kotru et al., 2020)</w:t>
              </w:r>
            </w:hyperlink>
            <w:r w:rsidRPr="009A3193">
              <w:rPr>
                <w:rFonts w:ascii="Arial" w:hAnsi="Arial" w:cs="Arial"/>
                <w:sz w:val="18"/>
                <w:szCs w:val="18"/>
                <w:lang w:val="en-GB"/>
              </w:rPr>
              <w:t>. In particular, the initiative contributed to conservation of snow leopard and musk deer – flagship threatened species of the region. Restoration of forests and rangelands and sustainable management of farmlands contributed to climate change mitigation through carbon sequestration.</w:t>
            </w:r>
          </w:p>
          <w:p w14:paraId="52C7BFBA" w14:textId="77777777" w:rsidR="00C36194" w:rsidRPr="009A3193" w:rsidRDefault="00C36194" w:rsidP="009F2131">
            <w:pPr>
              <w:spacing w:before="120" w:line="264" w:lineRule="auto"/>
              <w:jc w:val="both"/>
              <w:rPr>
                <w:rFonts w:ascii="Arial" w:hAnsi="Arial" w:cs="Arial"/>
                <w:sz w:val="18"/>
                <w:szCs w:val="18"/>
                <w:lang w:val="en-GB"/>
              </w:rPr>
            </w:pPr>
            <w:r w:rsidRPr="009A3193">
              <w:rPr>
                <w:rFonts w:ascii="Arial" w:hAnsi="Arial" w:cs="Arial"/>
                <w:sz w:val="18"/>
                <w:szCs w:val="18"/>
                <w:lang w:val="en-GB"/>
              </w:rPr>
              <w:t xml:space="preserve">The effect on regulating ecosystem services through landscape restoration include protection of water sources and rejuvenation of springs in the landscape, which contributed to increased availability of water </w:t>
            </w:r>
            <w:hyperlink r:id="rId14">
              <w:r w:rsidRPr="009A3193">
                <w:rPr>
                  <w:rFonts w:ascii="Arial" w:hAnsi="Arial" w:cs="Arial"/>
                  <w:sz w:val="18"/>
                  <w:szCs w:val="18"/>
                  <w:lang w:val="en-GB"/>
                </w:rPr>
                <w:t>(Liniger et al., 2020; Badola et al., 2017)</w:t>
              </w:r>
            </w:hyperlink>
            <w:r w:rsidRPr="009A3193">
              <w:rPr>
                <w:rFonts w:ascii="Arial" w:hAnsi="Arial" w:cs="Arial"/>
                <w:sz w:val="18"/>
                <w:szCs w:val="18"/>
                <w:lang w:val="en-GB"/>
              </w:rPr>
              <w:t xml:space="preserve">. </w:t>
            </w:r>
            <w:r w:rsidR="004D4EE0" w:rsidRPr="009A3193">
              <w:rPr>
                <w:rFonts w:ascii="Arial" w:hAnsi="Arial" w:cs="Arial"/>
                <w:sz w:val="18"/>
                <w:szCs w:val="18"/>
                <w:lang w:val="en-GB"/>
              </w:rPr>
              <w:t>H</w:t>
            </w:r>
            <w:r w:rsidRPr="009A3193">
              <w:rPr>
                <w:rFonts w:ascii="Arial" w:hAnsi="Arial" w:cs="Arial"/>
                <w:sz w:val="18"/>
                <w:szCs w:val="18"/>
                <w:lang w:val="en-GB"/>
              </w:rPr>
              <w:t xml:space="preserve">oney and associated pollination services </w:t>
            </w:r>
            <w:r w:rsidR="004D4EE0" w:rsidRPr="009A3193">
              <w:rPr>
                <w:rFonts w:ascii="Arial" w:hAnsi="Arial" w:cs="Arial"/>
                <w:sz w:val="18"/>
                <w:szCs w:val="18"/>
                <w:lang w:val="en-GB"/>
              </w:rPr>
              <w:t>are</w:t>
            </w:r>
            <w:r w:rsidRPr="009A3193">
              <w:rPr>
                <w:rFonts w:ascii="Arial" w:hAnsi="Arial" w:cs="Arial"/>
                <w:sz w:val="18"/>
                <w:szCs w:val="18"/>
                <w:lang w:val="en-GB"/>
              </w:rPr>
              <w:t xml:space="preserve"> also </w:t>
            </w:r>
            <w:r w:rsidR="004D4EE0" w:rsidRPr="009A3193">
              <w:rPr>
                <w:rFonts w:ascii="Arial" w:hAnsi="Arial" w:cs="Arial"/>
                <w:sz w:val="18"/>
                <w:szCs w:val="18"/>
                <w:lang w:val="en-GB"/>
              </w:rPr>
              <w:t>forest by-products</w:t>
            </w:r>
            <w:r w:rsidRPr="009A3193">
              <w:rPr>
                <w:rFonts w:ascii="Arial" w:hAnsi="Arial" w:cs="Arial"/>
                <w:sz w:val="18"/>
                <w:szCs w:val="18"/>
                <w:lang w:val="en-GB"/>
              </w:rPr>
              <w:t>. It is important to note that shifting snowlines, rapid melting of snow, and formation of glacier lakes are significant risks of climate change in the KSL, affecting water availability and livelihoods of thousands of communities that rely on water supplied by the major rivers originating at KSL.</w:t>
            </w:r>
          </w:p>
          <w:p w14:paraId="54133609" w14:textId="77777777" w:rsidR="00C36194" w:rsidRPr="009A3193" w:rsidRDefault="00C36194" w:rsidP="009F2131">
            <w:pPr>
              <w:spacing w:before="120" w:line="264" w:lineRule="auto"/>
              <w:jc w:val="both"/>
              <w:rPr>
                <w:rFonts w:ascii="Arial" w:hAnsi="Arial" w:cs="Arial"/>
                <w:sz w:val="18"/>
                <w:szCs w:val="18"/>
                <w:lang w:val="en-GB"/>
              </w:rPr>
            </w:pPr>
            <w:r w:rsidRPr="009A3193">
              <w:rPr>
                <w:rFonts w:ascii="Arial" w:hAnsi="Arial" w:cs="Arial"/>
                <w:sz w:val="18"/>
                <w:szCs w:val="18"/>
                <w:lang w:val="en-GB"/>
              </w:rPr>
              <w:t xml:space="preserve">Medicinal plants, forest products (such as honey) and fodder by replacing invasive alien species are some of the key provisioning services generated in the KSL through restoration activities </w:t>
            </w:r>
            <w:hyperlink r:id="rId15">
              <w:r w:rsidR="00580433" w:rsidRPr="009A3193">
                <w:rPr>
                  <w:rFonts w:ascii="Arial" w:hAnsi="Arial" w:cs="Arial"/>
                  <w:sz w:val="18"/>
                  <w:szCs w:val="18"/>
                  <w:lang w:val="en-GB"/>
                </w:rPr>
                <w:t>(</w:t>
              </w:r>
              <w:r w:rsidRPr="009A3193">
                <w:rPr>
                  <w:rFonts w:ascii="Arial" w:hAnsi="Arial" w:cs="Arial"/>
                  <w:sz w:val="18"/>
                  <w:szCs w:val="18"/>
                  <w:lang w:val="en-GB"/>
                </w:rPr>
                <w:t>Chaudhary et al., 2020; Thapa et al., 2018)</w:t>
              </w:r>
            </w:hyperlink>
            <w:r w:rsidRPr="009A3193">
              <w:rPr>
                <w:rFonts w:ascii="Arial" w:hAnsi="Arial" w:cs="Arial"/>
                <w:sz w:val="18"/>
                <w:szCs w:val="18"/>
                <w:lang w:val="en-GB"/>
              </w:rPr>
              <w:t>. The age-old pilgrimage to Kailash and Mansarovar (mainly) by Hindus is a non-material cultural and spiritual service offered by KSL.</w:t>
            </w:r>
          </w:p>
          <w:p w14:paraId="000CCD97" w14:textId="77777777" w:rsidR="00C36194" w:rsidRPr="009A3193" w:rsidRDefault="00C36194" w:rsidP="009F2131">
            <w:pPr>
              <w:spacing w:line="264" w:lineRule="auto"/>
              <w:jc w:val="both"/>
              <w:rPr>
                <w:rFonts w:ascii="Arial" w:hAnsi="Arial" w:cs="Arial"/>
                <w:sz w:val="18"/>
                <w:szCs w:val="18"/>
                <w:lang w:val="en-GB"/>
              </w:rPr>
            </w:pPr>
            <w:r w:rsidRPr="009A3193">
              <w:rPr>
                <w:rFonts w:ascii="Arial" w:hAnsi="Arial" w:cs="Arial"/>
                <w:sz w:val="18"/>
                <w:szCs w:val="18"/>
                <w:lang w:val="en-GB"/>
              </w:rPr>
              <w:t>The increased tourism activities in KLS could potentially have trade-offs between household livelihood support (through tourism, hotel and trekking services) and climate change impacts (through waste generation and forest degradation for fuel and other purposes). Raising environment</w:t>
            </w:r>
            <w:r w:rsidR="004D4EE0" w:rsidRPr="009A3193">
              <w:rPr>
                <w:rFonts w:ascii="Arial" w:hAnsi="Arial" w:cs="Arial"/>
                <w:sz w:val="18"/>
                <w:szCs w:val="18"/>
                <w:lang w:val="en-GB"/>
              </w:rPr>
              <w:t xml:space="preserve">al awareness and developing </w:t>
            </w:r>
            <w:r w:rsidRPr="009A3193">
              <w:rPr>
                <w:rFonts w:ascii="Arial" w:hAnsi="Arial" w:cs="Arial"/>
                <w:sz w:val="18"/>
                <w:szCs w:val="18"/>
                <w:lang w:val="en-GB"/>
              </w:rPr>
              <w:t>sustainable tourism practices will help to minimise the unintended impacts of tourism.</w:t>
            </w:r>
          </w:p>
          <w:p w14:paraId="0637D6ED" w14:textId="77777777" w:rsidR="00B00A6D" w:rsidRPr="009A3193" w:rsidRDefault="00C36194" w:rsidP="009F2131">
            <w:pPr>
              <w:spacing w:before="120" w:line="264" w:lineRule="auto"/>
              <w:jc w:val="both"/>
              <w:rPr>
                <w:rFonts w:ascii="Arial" w:hAnsi="Arial" w:cs="Arial"/>
                <w:sz w:val="18"/>
                <w:szCs w:val="18"/>
                <w:lang w:val="en-GB"/>
              </w:rPr>
            </w:pPr>
            <w:r w:rsidRPr="009A3193">
              <w:rPr>
                <w:rFonts w:ascii="Arial" w:hAnsi="Arial" w:cs="Arial"/>
                <w:sz w:val="18"/>
                <w:szCs w:val="18"/>
                <w:lang w:val="en-GB"/>
              </w:rPr>
              <w:t xml:space="preserve">Climate change modelling in the KSL found that an upward shift in elevation of bioclimatic zones, decreases in area of the highest elevation zones, and large expansion of the lower tropical and subtropical zones can be expected by the year 2050 </w:t>
            </w:r>
            <w:hyperlink r:id="rId16">
              <w:r w:rsidR="00580433" w:rsidRPr="009A3193">
                <w:rPr>
                  <w:rFonts w:ascii="Arial" w:hAnsi="Arial" w:cs="Arial"/>
                  <w:sz w:val="18"/>
                  <w:szCs w:val="18"/>
                  <w:lang w:val="en-GB"/>
                </w:rPr>
                <w:t>(</w:t>
              </w:r>
              <w:r w:rsidRPr="009A3193">
                <w:rPr>
                  <w:rFonts w:ascii="Arial" w:hAnsi="Arial" w:cs="Arial"/>
                  <w:sz w:val="18"/>
                  <w:szCs w:val="18"/>
                  <w:lang w:val="en-GB"/>
                </w:rPr>
                <w:t>Zomer et al., 2014)</w:t>
              </w:r>
            </w:hyperlink>
            <w:r w:rsidRPr="009A3193">
              <w:rPr>
                <w:rFonts w:ascii="Arial" w:hAnsi="Arial" w:cs="Arial"/>
                <w:sz w:val="18"/>
                <w:szCs w:val="18"/>
                <w:lang w:val="en-GB"/>
              </w:rPr>
              <w:t>. This change would indicate a major threat to biodiversity and a high risk of extinction for species endemic to these strata, or adapted to its specific conditions, especially for those species which are already under environmental pressure from land use change and other anthropogenic processes. For example, the decline in production of caterpillar fungus (</w:t>
            </w:r>
            <w:r w:rsidRPr="009A3193">
              <w:rPr>
                <w:rFonts w:ascii="Arial" w:hAnsi="Arial" w:cs="Arial"/>
                <w:i/>
                <w:sz w:val="18"/>
                <w:szCs w:val="18"/>
                <w:lang w:val="en-GB"/>
              </w:rPr>
              <w:t>Ophiocordyceps sinensis</w:t>
            </w:r>
            <w:r w:rsidRPr="009A3193">
              <w:rPr>
                <w:rFonts w:ascii="Arial" w:hAnsi="Arial" w:cs="Arial"/>
                <w:sz w:val="18"/>
                <w:szCs w:val="18"/>
                <w:lang w:val="en-GB"/>
              </w:rPr>
              <w:t xml:space="preserve">) - a highly valued, commercially traded medicinal plant in the region - is attributed to both overharvesting and climate change </w:t>
            </w:r>
            <w:hyperlink r:id="rId17">
              <w:r w:rsidRPr="009A3193">
                <w:rPr>
                  <w:rFonts w:ascii="Arial" w:hAnsi="Arial" w:cs="Arial"/>
                  <w:sz w:val="18"/>
                  <w:szCs w:val="18"/>
                  <w:lang w:val="en-GB"/>
                </w:rPr>
                <w:t>(Hopping et al., 2018)</w:t>
              </w:r>
            </w:hyperlink>
            <w:r w:rsidRPr="009A3193">
              <w:rPr>
                <w:rFonts w:ascii="Arial" w:hAnsi="Arial" w:cs="Arial"/>
                <w:sz w:val="18"/>
                <w:szCs w:val="18"/>
                <w:lang w:val="en-GB"/>
              </w:rPr>
              <w:t xml:space="preserve">, affecting livelihoods of local people. Conservation and sustainable development in KSL need to be tailored and modified considering the changing climatic conditions and shifting bioclimatic zones, ecoregions and species ranges in the landscapes. In addition, to achieve the twin goals of biodiversity conservation and climate change mitigation, apart from site specific interventions, policy and practice coordination among key stakeholders (government agencies, I/NGOs, local people) is needed to upscale the positive learnings from KSL to other part of the Hindu Kush Himalaya </w:t>
            </w:r>
            <w:hyperlink r:id="rId18">
              <w:r w:rsidRPr="009A3193">
                <w:rPr>
                  <w:rFonts w:ascii="Arial" w:hAnsi="Arial" w:cs="Arial"/>
                  <w:sz w:val="18"/>
                  <w:szCs w:val="18"/>
                  <w:lang w:val="en-GB"/>
                </w:rPr>
                <w:t>(Kotru et al., 2020)</w:t>
              </w:r>
            </w:hyperlink>
            <w:r w:rsidRPr="009A3193">
              <w:rPr>
                <w:rFonts w:ascii="Arial" w:hAnsi="Arial" w:cs="Arial"/>
                <w:sz w:val="18"/>
                <w:szCs w:val="18"/>
                <w:lang w:val="en-GB"/>
              </w:rPr>
              <w:t>.</w:t>
            </w:r>
          </w:p>
        </w:tc>
      </w:tr>
      <w:tr w:rsidR="00901FAF" w:rsidRPr="009A3193" w14:paraId="46ABFDEE" w14:textId="77777777" w:rsidTr="006A2115">
        <w:trPr>
          <w:trHeight w:val="170"/>
        </w:trPr>
        <w:tc>
          <w:tcPr>
            <w:tcW w:w="725" w:type="dxa"/>
            <w:shd w:val="clear" w:color="auto" w:fill="1F4E79" w:themeFill="accent1" w:themeFillShade="80"/>
            <w:vAlign w:val="center"/>
          </w:tcPr>
          <w:p w14:paraId="68DC8545" w14:textId="77777777" w:rsidR="001045AA"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lastRenderedPageBreak/>
              <w:t>CS 2</w:t>
            </w:r>
          </w:p>
        </w:tc>
        <w:tc>
          <w:tcPr>
            <w:tcW w:w="8331" w:type="dxa"/>
            <w:shd w:val="clear" w:color="auto" w:fill="1F4E79" w:themeFill="accent1" w:themeFillShade="80"/>
            <w:vAlign w:val="center"/>
          </w:tcPr>
          <w:p w14:paraId="6EF1A0A0" w14:textId="77777777" w:rsidR="001045AA" w:rsidRPr="009A3193" w:rsidRDefault="006E1B27" w:rsidP="00115605">
            <w:pPr>
              <w:tabs>
                <w:tab w:val="left" w:pos="1461"/>
              </w:tabs>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Cultural landscapes in Central Europe</w:t>
            </w:r>
          </w:p>
        </w:tc>
      </w:tr>
      <w:tr w:rsidR="00B00A6D" w:rsidRPr="009A3193" w14:paraId="6D5CA264" w14:textId="77777777" w:rsidTr="006A2115">
        <w:tc>
          <w:tcPr>
            <w:tcW w:w="725" w:type="dxa"/>
            <w:shd w:val="clear" w:color="auto" w:fill="E6E6E6"/>
          </w:tcPr>
          <w:p w14:paraId="4F396B34" w14:textId="77777777" w:rsidR="00B00A6D" w:rsidRPr="009A3193" w:rsidRDefault="00B00A6D">
            <w:pPr>
              <w:rPr>
                <w:rFonts w:ascii="Arial" w:hAnsi="Arial" w:cs="Arial"/>
                <w:sz w:val="18"/>
                <w:szCs w:val="18"/>
                <w:lang w:val="en-GB"/>
              </w:rPr>
            </w:pPr>
          </w:p>
        </w:tc>
        <w:tc>
          <w:tcPr>
            <w:tcW w:w="8331" w:type="dxa"/>
            <w:shd w:val="clear" w:color="auto" w:fill="E6E6E6"/>
          </w:tcPr>
          <w:p w14:paraId="68D27843" w14:textId="77777777" w:rsidR="00B00A6D"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Biodiversity conservation in European cultural landscapes is heavily based on moderately used landscapes </w:t>
            </w:r>
            <w:hyperlink r:id="rId19">
              <w:r w:rsidRPr="009A3193">
                <w:rPr>
                  <w:rFonts w:ascii="Arial" w:hAnsi="Arial" w:cs="Arial"/>
                  <w:sz w:val="18"/>
                  <w:szCs w:val="18"/>
                  <w:lang w:val="en-GB"/>
                </w:rPr>
                <w:t>(Tieskens et al., 2017)</w:t>
              </w:r>
            </w:hyperlink>
            <w:r w:rsidRPr="009A3193">
              <w:rPr>
                <w:rFonts w:ascii="Arial" w:hAnsi="Arial" w:cs="Arial"/>
                <w:sz w:val="18"/>
                <w:szCs w:val="18"/>
                <w:lang w:val="en-GB"/>
              </w:rPr>
              <w:t>. A core component are wet and dry grasslands which harbour the highest diversity of many insects (with many endangered species), especially flower visiting groups which often are also pollinators. Maintaining high diversity requires grazing by or mowing for cattle, sheep, goats. Especially cattle are a well-known methane source and thus biodiversity conservation has some negative climate impacts (but low stocking densities, which are required for the habitat management, should be quantitatively negligible), more importantly, such open areas are not available for carbon sequestration through (re)forestation. The areas are culturally/economically important as a source of high-quality meat (beef), culturally for recreation (nature's beauty), economically as insurance for sustainable pollination under modified ecosystem states (e.g., pollinator replacement in crops under climate change).</w:t>
            </w:r>
          </w:p>
        </w:tc>
      </w:tr>
      <w:tr w:rsidR="00901FAF" w:rsidRPr="009A3193" w14:paraId="4DF15FE9" w14:textId="77777777" w:rsidTr="006A2115">
        <w:trPr>
          <w:trHeight w:val="170"/>
        </w:trPr>
        <w:tc>
          <w:tcPr>
            <w:tcW w:w="725" w:type="dxa"/>
            <w:shd w:val="clear" w:color="auto" w:fill="1F4E79" w:themeFill="accent1" w:themeFillShade="80"/>
            <w:vAlign w:val="center"/>
          </w:tcPr>
          <w:p w14:paraId="15CEC06E" w14:textId="77777777" w:rsidR="001045AA"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CS 3</w:t>
            </w:r>
          </w:p>
        </w:tc>
        <w:tc>
          <w:tcPr>
            <w:tcW w:w="8331" w:type="dxa"/>
            <w:shd w:val="clear" w:color="auto" w:fill="1F4E79" w:themeFill="accent1" w:themeFillShade="80"/>
            <w:vAlign w:val="center"/>
          </w:tcPr>
          <w:p w14:paraId="37B8F73B" w14:textId="77777777" w:rsidR="001045AA" w:rsidRPr="009A3193" w:rsidRDefault="006E1B27"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Irrigated rice terraces and forests in South-East Asia</w:t>
            </w:r>
          </w:p>
        </w:tc>
      </w:tr>
      <w:tr w:rsidR="00B00A6D" w:rsidRPr="009A3193" w14:paraId="5B130DF6" w14:textId="77777777" w:rsidTr="006A2115">
        <w:tc>
          <w:tcPr>
            <w:tcW w:w="725" w:type="dxa"/>
            <w:shd w:val="clear" w:color="auto" w:fill="E6E6E6"/>
          </w:tcPr>
          <w:p w14:paraId="3FF94071" w14:textId="77777777" w:rsidR="00B00A6D" w:rsidRPr="009A3193" w:rsidRDefault="00B00A6D" w:rsidP="00DA73F5">
            <w:pPr>
              <w:jc w:val="both"/>
              <w:rPr>
                <w:rFonts w:ascii="Arial" w:hAnsi="Arial" w:cs="Arial"/>
                <w:sz w:val="18"/>
                <w:szCs w:val="18"/>
                <w:lang w:val="en-GB"/>
              </w:rPr>
            </w:pPr>
          </w:p>
        </w:tc>
        <w:tc>
          <w:tcPr>
            <w:tcW w:w="8331" w:type="dxa"/>
            <w:shd w:val="clear" w:color="auto" w:fill="E6E6E6"/>
          </w:tcPr>
          <w:p w14:paraId="5829FDE0"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Conservation of natural forests in mountains of higher elevations in SE Asia (Indonesia, Vietnam, Philippines) guarantees water supply for the complex irrigated rice terrace systems, especially in areas with more pronounced dry seasons. As stability of terraces is dependent on continuous water supply, this continuity during dry seasons is guaranteed through the buffered (seasonally balanced) runoff of forests. In order to maintain these forests and their diversity the direct dependence of the land use system upon these is an important incentive for their preservation. The downside of the maintenance of the irrigated terraces is the methane they produce, the positive component is the diversity of human cultures, varieties and a contribution to food security </w:t>
            </w:r>
            <w:hyperlink r:id="rId20">
              <w:r w:rsidRPr="009A3193">
                <w:rPr>
                  <w:rFonts w:ascii="Arial" w:hAnsi="Arial" w:cs="Arial"/>
                  <w:sz w:val="18"/>
                  <w:szCs w:val="18"/>
                  <w:lang w:val="en-GB"/>
                </w:rPr>
                <w:t>(Settele et al., 2018)</w:t>
              </w:r>
            </w:hyperlink>
            <w:r w:rsidRPr="009A3193">
              <w:rPr>
                <w:rFonts w:ascii="Arial" w:hAnsi="Arial" w:cs="Arial"/>
                <w:sz w:val="18"/>
                <w:szCs w:val="18"/>
                <w:lang w:val="en-GB"/>
              </w:rPr>
              <w:t>.</w:t>
            </w:r>
          </w:p>
          <w:p w14:paraId="5DFD5782" w14:textId="77777777" w:rsidR="00B00A6D"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Irrigated rice agriculture has evolved over centuries and led to a well-balanced food web in paddies with an insect diversity even higher than in many (pristine) temperate forests. This diversity reduces the risk of pest outbreaks and stabilizes yield. Pesticides normally rather cause pest problems than solving them - and replacing irrigated rice with upland crops also puts stable production at risk. This often is combined with environmental pollution. Maintaining biodiversity in irrigated rice ecosystems stabilizes yields, but methane is a negative by-product of these systems, which often also act as wetland conservation sites within the Ramsar Convention.</w:t>
            </w:r>
          </w:p>
        </w:tc>
      </w:tr>
      <w:tr w:rsidR="00901FAF" w:rsidRPr="009A3193" w14:paraId="370D34D6" w14:textId="77777777" w:rsidTr="006A2115">
        <w:trPr>
          <w:trHeight w:val="170"/>
        </w:trPr>
        <w:tc>
          <w:tcPr>
            <w:tcW w:w="725" w:type="dxa"/>
            <w:shd w:val="clear" w:color="auto" w:fill="1F4E79" w:themeFill="accent1" w:themeFillShade="80"/>
            <w:vAlign w:val="center"/>
          </w:tcPr>
          <w:p w14:paraId="050B7A40" w14:textId="77777777" w:rsidR="001045AA"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CS 4</w:t>
            </w:r>
          </w:p>
        </w:tc>
        <w:tc>
          <w:tcPr>
            <w:tcW w:w="8331" w:type="dxa"/>
            <w:shd w:val="clear" w:color="auto" w:fill="1F4E79" w:themeFill="accent1" w:themeFillShade="80"/>
            <w:vAlign w:val="center"/>
          </w:tcPr>
          <w:p w14:paraId="245DA199" w14:textId="77777777" w:rsidR="001045AA" w:rsidRPr="009A3193" w:rsidRDefault="006E1B27"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The Coral Triangle Initiative (CTI)</w:t>
            </w:r>
          </w:p>
        </w:tc>
      </w:tr>
      <w:tr w:rsidR="00B00A6D" w:rsidRPr="009A3193" w14:paraId="2D354073" w14:textId="77777777" w:rsidTr="006A2115">
        <w:tc>
          <w:tcPr>
            <w:tcW w:w="725" w:type="dxa"/>
            <w:shd w:val="clear" w:color="auto" w:fill="E6E6E6"/>
          </w:tcPr>
          <w:p w14:paraId="10B0CFCF" w14:textId="77777777" w:rsidR="00B00A6D" w:rsidRPr="009A3193" w:rsidRDefault="00B00A6D" w:rsidP="00DA73F5">
            <w:pPr>
              <w:jc w:val="both"/>
              <w:rPr>
                <w:rFonts w:ascii="Arial" w:hAnsi="Arial" w:cs="Arial"/>
                <w:sz w:val="18"/>
                <w:szCs w:val="18"/>
                <w:lang w:val="en-GB"/>
              </w:rPr>
            </w:pPr>
          </w:p>
        </w:tc>
        <w:tc>
          <w:tcPr>
            <w:tcW w:w="8331" w:type="dxa"/>
            <w:shd w:val="clear" w:color="auto" w:fill="E6E6E6"/>
          </w:tcPr>
          <w:p w14:paraId="6A20F869"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A quarter of the world's marine biodiversity is concentrated in an approximately triangular region shared by six countries (Malaysia, Indonesia, Philippines, Timor-Leste, Solomon Islands and Papua New Guinea) </w:t>
            </w:r>
            <w:hyperlink r:id="rId21">
              <w:r w:rsidRPr="009A3193">
                <w:rPr>
                  <w:rFonts w:ascii="Arial" w:hAnsi="Arial" w:cs="Arial"/>
                  <w:sz w:val="18"/>
                  <w:szCs w:val="18"/>
                  <w:lang w:val="en-GB"/>
                </w:rPr>
                <w:t>(Veron et al., 2009)</w:t>
              </w:r>
            </w:hyperlink>
            <w:r w:rsidRPr="009A3193">
              <w:rPr>
                <w:rFonts w:ascii="Arial" w:hAnsi="Arial" w:cs="Arial"/>
                <w:sz w:val="18"/>
                <w:szCs w:val="18"/>
                <w:lang w:val="en-GB"/>
              </w:rPr>
              <w:t xml:space="preserve">. This region also is home to hundreds of millions of people who live largely coastally and depend on </w:t>
            </w:r>
            <w:r w:rsidR="00533401" w:rsidRPr="009A3193">
              <w:rPr>
                <w:rFonts w:ascii="Arial" w:hAnsi="Arial" w:cs="Arial"/>
                <w:sz w:val="18"/>
                <w:szCs w:val="18"/>
                <w:lang w:val="en-GB"/>
              </w:rPr>
              <w:t>marine</w:t>
            </w:r>
            <w:r w:rsidRPr="009A3193">
              <w:rPr>
                <w:rFonts w:ascii="Arial" w:hAnsi="Arial" w:cs="Arial"/>
                <w:sz w:val="18"/>
                <w:szCs w:val="18"/>
                <w:lang w:val="en-GB"/>
              </w:rPr>
              <w:t xml:space="preserve"> ecosystems for food and income </w:t>
            </w:r>
            <w:hyperlink r:id="rId22">
              <w:r w:rsidRPr="009A3193">
                <w:rPr>
                  <w:rFonts w:ascii="Arial" w:hAnsi="Arial" w:cs="Arial"/>
                  <w:sz w:val="18"/>
                  <w:szCs w:val="18"/>
                  <w:lang w:val="en-GB"/>
                </w:rPr>
                <w:t>(Foale et al., 2013)</w:t>
              </w:r>
            </w:hyperlink>
            <w:r w:rsidRPr="009A3193">
              <w:rPr>
                <w:rFonts w:ascii="Arial" w:hAnsi="Arial" w:cs="Arial"/>
                <w:sz w:val="18"/>
                <w:szCs w:val="18"/>
                <w:lang w:val="en-GB"/>
              </w:rPr>
              <w:t>. Both people and ecosystems are being threatened by a number of local (e.g., pollution, over-</w:t>
            </w:r>
            <w:r w:rsidR="00533401" w:rsidRPr="009A3193">
              <w:rPr>
                <w:rFonts w:ascii="Arial" w:hAnsi="Arial" w:cs="Arial"/>
                <w:sz w:val="18"/>
                <w:szCs w:val="18"/>
                <w:lang w:val="en-GB"/>
              </w:rPr>
              <w:t>fishing</w:t>
            </w:r>
            <w:r w:rsidRPr="009A3193">
              <w:rPr>
                <w:rFonts w:ascii="Arial" w:hAnsi="Arial" w:cs="Arial"/>
                <w:sz w:val="18"/>
                <w:szCs w:val="18"/>
                <w:lang w:val="en-GB"/>
              </w:rPr>
              <w:t>) and global (e.g., sea-level rise</w:t>
            </w:r>
            <w:r w:rsidR="00533401" w:rsidRPr="009A3193">
              <w:rPr>
                <w:rFonts w:ascii="Arial" w:hAnsi="Arial" w:cs="Arial"/>
                <w:sz w:val="18"/>
                <w:szCs w:val="18"/>
                <w:lang w:val="en-GB"/>
              </w:rPr>
              <w:t>,</w:t>
            </w:r>
            <w:r w:rsidRPr="009A3193">
              <w:rPr>
                <w:rFonts w:ascii="Arial" w:hAnsi="Arial" w:cs="Arial"/>
                <w:sz w:val="18"/>
                <w:szCs w:val="18"/>
                <w:lang w:val="en-GB"/>
              </w:rPr>
              <w:t xml:space="preserve"> ocean warming and acidification) stressors </w:t>
            </w:r>
            <w:hyperlink r:id="rId23">
              <w:r w:rsidRPr="009A3193">
                <w:rPr>
                  <w:rFonts w:ascii="Arial" w:hAnsi="Arial" w:cs="Arial"/>
                  <w:sz w:val="18"/>
                  <w:szCs w:val="18"/>
                  <w:lang w:val="en-GB"/>
                </w:rPr>
                <w:t>(Burke et al., 2012)</w:t>
              </w:r>
            </w:hyperlink>
            <w:r w:rsidRPr="009A3193">
              <w:rPr>
                <w:rFonts w:ascii="Arial" w:hAnsi="Arial" w:cs="Arial"/>
                <w:sz w:val="18"/>
                <w:szCs w:val="18"/>
                <w:lang w:val="en-GB"/>
              </w:rPr>
              <w:t>. Sea level rise is a considerable challenge with ecosystem</w:t>
            </w:r>
            <w:r w:rsidR="00470FEF" w:rsidRPr="009A3193">
              <w:rPr>
                <w:rFonts w:ascii="Arial" w:hAnsi="Arial" w:cs="Arial"/>
                <w:sz w:val="18"/>
                <w:szCs w:val="18"/>
                <w:lang w:val="en-GB"/>
              </w:rPr>
              <w:t>s such as mangroves and seagrass beds</w:t>
            </w:r>
            <w:r w:rsidRPr="009A3193">
              <w:rPr>
                <w:rFonts w:ascii="Arial" w:hAnsi="Arial" w:cs="Arial"/>
                <w:sz w:val="18"/>
                <w:szCs w:val="18"/>
                <w:lang w:val="en-GB"/>
              </w:rPr>
              <w:t xml:space="preserve">, where shoreward migration can be thwarted by coastal development by humans leading to ‘coastal squeeze’ </w:t>
            </w:r>
            <w:hyperlink r:id="rId24">
              <w:r w:rsidRPr="009A3193">
                <w:rPr>
                  <w:rFonts w:ascii="Arial" w:hAnsi="Arial" w:cs="Arial"/>
                  <w:sz w:val="18"/>
                  <w:szCs w:val="18"/>
                  <w:lang w:val="en-GB"/>
                </w:rPr>
                <w:t>(Mills et al., 2016)</w:t>
              </w:r>
            </w:hyperlink>
            <w:r w:rsidRPr="009A3193">
              <w:rPr>
                <w:rFonts w:ascii="Arial" w:hAnsi="Arial" w:cs="Arial"/>
                <w:sz w:val="18"/>
                <w:szCs w:val="18"/>
                <w:lang w:val="en-GB"/>
              </w:rPr>
              <w:t>.</w:t>
            </w:r>
          </w:p>
          <w:p w14:paraId="0DE6C78A"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Due to the rising impacts from these threats, and demonstrable decreases in the health of coastal ecosystems throughout the Coral Triangle, Indonesian President Susilo Bambang Yudhoyono and the other leaders of the 5 CTI nations proposed a multilateral partnership in 2007 to safeguard the coastal resources of the CTI along with the many coastal communities and economies. The CTI was one of the first marine transboundary conservation and socioeconomic initiatives, establishing large integrated zoning across the six countries </w:t>
            </w:r>
            <w:hyperlink r:id="rId25">
              <w:r w:rsidRPr="009A3193">
                <w:rPr>
                  <w:rFonts w:ascii="Arial" w:hAnsi="Arial" w:cs="Arial"/>
                  <w:sz w:val="18"/>
                  <w:szCs w:val="18"/>
                  <w:lang w:val="en-GB"/>
                </w:rPr>
                <w:t>(Weeks et al., 2014)</w:t>
              </w:r>
            </w:hyperlink>
            <w:r w:rsidRPr="009A3193">
              <w:rPr>
                <w:rFonts w:ascii="Arial" w:hAnsi="Arial" w:cs="Arial"/>
                <w:sz w:val="18"/>
                <w:szCs w:val="18"/>
                <w:lang w:val="en-GB"/>
              </w:rPr>
              <w:t xml:space="preserve">. Since 2007, the six CTI nations have worked collectively towards designating priority seascapes, applying ecosystem-based fisheries management, conservation planning, marine protected area networks, marine protected areas, marine reserves and multiple-use zoning, and actions to preserve threatened species </w:t>
            </w:r>
            <w:hyperlink r:id="rId26">
              <w:r w:rsidRPr="009A3193">
                <w:rPr>
                  <w:rFonts w:ascii="Arial" w:hAnsi="Arial" w:cs="Arial"/>
                  <w:sz w:val="18"/>
                  <w:szCs w:val="18"/>
                  <w:lang w:val="en-GB"/>
                </w:rPr>
                <w:t>(Asaad et al., 2018)</w:t>
              </w:r>
            </w:hyperlink>
            <w:r w:rsidRPr="009A3193">
              <w:rPr>
                <w:rFonts w:ascii="Arial" w:hAnsi="Arial" w:cs="Arial"/>
                <w:sz w:val="18"/>
                <w:szCs w:val="18"/>
                <w:lang w:val="en-GB"/>
              </w:rPr>
              <w:t xml:space="preserve">. Increasingly, regeneration and restoration projects have begun to replant mangrove forests with reciprocal benefits in terms of biodiversity and climate mitigation (reforestation, storage of carbon in stabilised sediments </w:t>
            </w:r>
            <w:hyperlink r:id="rId27">
              <w:r w:rsidRPr="009A3193">
                <w:rPr>
                  <w:rFonts w:ascii="Arial" w:hAnsi="Arial" w:cs="Arial"/>
                  <w:sz w:val="18"/>
                  <w:szCs w:val="18"/>
                  <w:lang w:val="en-GB"/>
                </w:rPr>
                <w:t xml:space="preserve">(Loh et al., </w:t>
              </w:r>
              <w:r w:rsidR="00580433" w:rsidRPr="009A3193">
                <w:rPr>
                  <w:rFonts w:ascii="Arial" w:hAnsi="Arial" w:cs="Arial"/>
                  <w:sz w:val="18"/>
                  <w:szCs w:val="18"/>
                  <w:lang w:val="en-GB"/>
                </w:rPr>
                <w:t xml:space="preserve">2018; Thorhaug et al., 2020; </w:t>
              </w:r>
              <w:r w:rsidRPr="009A3193">
                <w:rPr>
                  <w:rFonts w:ascii="Arial" w:hAnsi="Arial" w:cs="Arial"/>
                  <w:sz w:val="18"/>
                  <w:szCs w:val="18"/>
                  <w:lang w:val="en-GB"/>
                </w:rPr>
                <w:t>Alongi et al., 2016)</w:t>
              </w:r>
            </w:hyperlink>
            <w:r w:rsidRPr="009A3193">
              <w:rPr>
                <w:rFonts w:ascii="Arial" w:hAnsi="Arial" w:cs="Arial"/>
                <w:sz w:val="18"/>
                <w:szCs w:val="18"/>
                <w:lang w:val="en-GB"/>
              </w:rPr>
              <w:t xml:space="preserve"> and activities which benefit biodiversity (habitat for biodiversity, fisheries, nursery grounds). These benefits have the potential to stabilise coastal populations and reduce poverty, helping maintain biodiversity, protect people </w:t>
            </w:r>
            <w:hyperlink r:id="rId28">
              <w:r w:rsidRPr="009A3193">
                <w:rPr>
                  <w:rFonts w:ascii="Arial" w:hAnsi="Arial" w:cs="Arial"/>
                  <w:sz w:val="18"/>
                  <w:szCs w:val="18"/>
                  <w:lang w:val="en-GB"/>
                </w:rPr>
                <w:t>(Guannel et al., 2016)</w:t>
              </w:r>
            </w:hyperlink>
            <w:r w:rsidRPr="009A3193">
              <w:rPr>
                <w:rFonts w:ascii="Arial" w:hAnsi="Arial" w:cs="Arial"/>
                <w:sz w:val="18"/>
                <w:szCs w:val="18"/>
                <w:lang w:val="en-GB"/>
              </w:rPr>
              <w:t xml:space="preserve">, and healthy coastal economies under climate change </w:t>
            </w:r>
            <w:hyperlink r:id="rId29">
              <w:r w:rsidRPr="009A3193">
                <w:rPr>
                  <w:rFonts w:ascii="Arial" w:hAnsi="Arial" w:cs="Arial"/>
                  <w:sz w:val="18"/>
                  <w:szCs w:val="18"/>
                  <w:lang w:val="en-GB"/>
                </w:rPr>
                <w:t>(Hoegh-Guldberg et al., 2009)</w:t>
              </w:r>
            </w:hyperlink>
            <w:r w:rsidRPr="009A3193">
              <w:rPr>
                <w:rFonts w:ascii="Arial" w:hAnsi="Arial" w:cs="Arial"/>
                <w:sz w:val="18"/>
                <w:szCs w:val="18"/>
                <w:lang w:val="en-GB"/>
              </w:rPr>
              <w:t>.</w:t>
            </w:r>
          </w:p>
          <w:p w14:paraId="6981A21E" w14:textId="77777777" w:rsidR="00B00A6D" w:rsidRPr="009A3193" w:rsidRDefault="00C36194" w:rsidP="007E6143">
            <w:pPr>
              <w:spacing w:before="60" w:after="120" w:line="264" w:lineRule="auto"/>
              <w:jc w:val="both"/>
              <w:rPr>
                <w:rFonts w:ascii="Arial" w:hAnsi="Arial" w:cs="Arial"/>
                <w:sz w:val="18"/>
                <w:szCs w:val="18"/>
                <w:lang w:val="en-GB"/>
              </w:rPr>
            </w:pPr>
            <w:r w:rsidRPr="009A3193">
              <w:rPr>
                <w:rFonts w:ascii="Arial" w:hAnsi="Arial" w:cs="Arial"/>
                <w:sz w:val="18"/>
                <w:szCs w:val="18"/>
                <w:lang w:val="en-GB"/>
              </w:rPr>
              <w:t xml:space="preserve">The actions taken by the Coral Triangle initiative are expected to affect a range of ecosystem services as well as biodiversity. For example, actions taken to protect mangrove, coral reefs and seagrass ecosystems, and thereby biodiversity, also lead the preservation of regulating NCPs such as the provision of fish habitat, removal of sediment, nutrients and pollutants from water running into coastal areas, as well as the maintenance of soils and muds, protection from storms and coastal wave stress. Other actions are expected to impact material NCPs, such as food and fisheries, fuel for fires, medicinal </w:t>
            </w:r>
            <w:r w:rsidRPr="009A3193">
              <w:rPr>
                <w:rFonts w:ascii="Arial" w:hAnsi="Arial" w:cs="Arial"/>
                <w:sz w:val="18"/>
                <w:szCs w:val="18"/>
                <w:lang w:val="en-GB"/>
              </w:rPr>
              <w:lastRenderedPageBreak/>
              <w:t xml:space="preserve">products, among other contributions </w:t>
            </w:r>
            <w:hyperlink r:id="rId30">
              <w:r w:rsidRPr="009A3193">
                <w:rPr>
                  <w:rFonts w:ascii="Arial" w:hAnsi="Arial" w:cs="Arial"/>
                  <w:sz w:val="18"/>
                  <w:szCs w:val="18"/>
                  <w:lang w:val="en-GB"/>
                </w:rPr>
                <w:t>(Friess et al., 2020)</w:t>
              </w:r>
            </w:hyperlink>
            <w:r w:rsidRPr="009A3193">
              <w:rPr>
                <w:rFonts w:ascii="Arial" w:hAnsi="Arial" w:cs="Arial"/>
                <w:sz w:val="18"/>
                <w:szCs w:val="18"/>
                <w:lang w:val="en-GB"/>
              </w:rPr>
              <w:t xml:space="preserve">. Many of the ecosystems along the coastlines of the Coral Triangle also play significant roles in the culture of many communities that occupy the coastal areas of the Coral Triangle. These non-material contributions are extremely valuable </w:t>
            </w:r>
            <w:r w:rsidR="00BE4D30" w:rsidRPr="009A3193">
              <w:rPr>
                <w:rFonts w:ascii="Arial" w:hAnsi="Arial" w:cs="Arial"/>
                <w:sz w:val="18"/>
                <w:szCs w:val="18"/>
                <w:lang w:val="en-GB"/>
              </w:rPr>
              <w:t>even though</w:t>
            </w:r>
            <w:r w:rsidRPr="009A3193">
              <w:rPr>
                <w:rFonts w:ascii="Arial" w:hAnsi="Arial" w:cs="Arial"/>
                <w:sz w:val="18"/>
                <w:szCs w:val="18"/>
                <w:lang w:val="en-GB"/>
              </w:rPr>
              <w:t xml:space="preserve"> the strict economic evaluation of such benefits is often impossible </w:t>
            </w:r>
            <w:hyperlink r:id="rId31">
              <w:r w:rsidR="00580433" w:rsidRPr="009A3193">
                <w:rPr>
                  <w:rFonts w:ascii="Arial" w:hAnsi="Arial" w:cs="Arial"/>
                  <w:sz w:val="18"/>
                  <w:szCs w:val="18"/>
                  <w:lang w:val="en-GB"/>
                </w:rPr>
                <w:t>(</w:t>
              </w:r>
              <w:r w:rsidRPr="009A3193">
                <w:rPr>
                  <w:rFonts w:ascii="Arial" w:hAnsi="Arial" w:cs="Arial"/>
                  <w:sz w:val="18"/>
                  <w:szCs w:val="18"/>
                  <w:lang w:val="en-GB"/>
                </w:rPr>
                <w:t>Barbier, 2017)</w:t>
              </w:r>
            </w:hyperlink>
            <w:r w:rsidRPr="009A3193">
              <w:rPr>
                <w:rFonts w:ascii="Arial" w:hAnsi="Arial" w:cs="Arial"/>
                <w:sz w:val="18"/>
                <w:szCs w:val="18"/>
                <w:lang w:val="en-GB"/>
              </w:rPr>
              <w:t xml:space="preserve">. </w:t>
            </w:r>
          </w:p>
        </w:tc>
      </w:tr>
      <w:tr w:rsidR="00901FAF" w:rsidRPr="009A3193" w14:paraId="512F3666" w14:textId="77777777" w:rsidTr="006A2115">
        <w:trPr>
          <w:trHeight w:val="170"/>
        </w:trPr>
        <w:tc>
          <w:tcPr>
            <w:tcW w:w="725" w:type="dxa"/>
            <w:shd w:val="clear" w:color="auto" w:fill="1F4E79" w:themeFill="accent1" w:themeFillShade="80"/>
            <w:vAlign w:val="center"/>
          </w:tcPr>
          <w:p w14:paraId="6EF656AA" w14:textId="77777777" w:rsidR="001045AA"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lastRenderedPageBreak/>
              <w:t>CS 5</w:t>
            </w:r>
          </w:p>
        </w:tc>
        <w:tc>
          <w:tcPr>
            <w:tcW w:w="8331" w:type="dxa"/>
            <w:shd w:val="clear" w:color="auto" w:fill="1F4E79" w:themeFill="accent1" w:themeFillShade="80"/>
            <w:vAlign w:val="center"/>
          </w:tcPr>
          <w:p w14:paraId="7B679E42" w14:textId="77777777" w:rsidR="001045AA" w:rsidRPr="009A3193" w:rsidRDefault="006E1B27"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Biodiversity-friendly cities and urban areas</w:t>
            </w:r>
          </w:p>
        </w:tc>
      </w:tr>
      <w:tr w:rsidR="00B00A6D" w:rsidRPr="009A3193" w14:paraId="370D41A9" w14:textId="77777777" w:rsidTr="006A2115">
        <w:tc>
          <w:tcPr>
            <w:tcW w:w="725" w:type="dxa"/>
            <w:shd w:val="clear" w:color="auto" w:fill="E6E6E6"/>
          </w:tcPr>
          <w:p w14:paraId="1B46BA9A" w14:textId="77777777" w:rsidR="00B00A6D" w:rsidRPr="009A3193" w:rsidRDefault="00B00A6D" w:rsidP="003F5851">
            <w:pPr>
              <w:jc w:val="both"/>
              <w:rPr>
                <w:rFonts w:ascii="Arial" w:hAnsi="Arial" w:cs="Arial"/>
                <w:sz w:val="18"/>
                <w:szCs w:val="18"/>
                <w:lang w:val="en-GB"/>
              </w:rPr>
            </w:pPr>
          </w:p>
        </w:tc>
        <w:tc>
          <w:tcPr>
            <w:tcW w:w="8331" w:type="dxa"/>
            <w:shd w:val="clear" w:color="auto" w:fill="E6E6E6"/>
          </w:tcPr>
          <w:p w14:paraId="03716DBB"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Safeguarding mangrove ecosystems in cities can conserve the rich biodiversity that resides in them as well as assist in climate change adaptation and mitigation. It is increasingly being demonstrated that blue carbon ecosystems including mangroves, seagrass meadows, intertidal mud flats, saltmarshes, etc., play a major role in aquatic carbon fluxes and hence, contribute greatly to global climate change mitigation </w:t>
            </w:r>
            <w:hyperlink r:id="rId32">
              <w:r w:rsidRPr="009A3193">
                <w:rPr>
                  <w:rFonts w:ascii="Arial" w:hAnsi="Arial" w:cs="Arial"/>
                  <w:sz w:val="18"/>
                  <w:szCs w:val="18"/>
                  <w:lang w:val="en-GB"/>
                </w:rPr>
                <w:t>(Bulmer et al., 2020)</w:t>
              </w:r>
            </w:hyperlink>
            <w:r w:rsidRPr="009A3193">
              <w:rPr>
                <w:rFonts w:ascii="Arial" w:hAnsi="Arial" w:cs="Arial"/>
                <w:sz w:val="18"/>
                <w:szCs w:val="18"/>
                <w:lang w:val="en-GB"/>
              </w:rPr>
              <w:t xml:space="preserve">. However, these coastal marine ecosystems in particular mangroves, coral reefs, etc., are also most profoundly affected by and vulnerable to climate change that cause sea-level rise and habitat destruction. These effects have a large negative impact on carbon sequestration and carbon stocks. </w:t>
            </w:r>
          </w:p>
          <w:p w14:paraId="318B52DC"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It has been shown that even in a highly densely populated city like Singapore, mangrove forests that account only for a very small amount of Singapore’s area can play a disproportionate role in carbon storage across the urbanized area compared to other urban forest types </w:t>
            </w:r>
            <w:hyperlink r:id="rId33">
              <w:r w:rsidRPr="009A3193">
                <w:rPr>
                  <w:rFonts w:ascii="Arial" w:hAnsi="Arial" w:cs="Arial"/>
                  <w:sz w:val="18"/>
                  <w:szCs w:val="18"/>
                  <w:lang w:val="en-GB"/>
                </w:rPr>
                <w:t>(Friess et al., 2015)</w:t>
              </w:r>
            </w:hyperlink>
            <w:r w:rsidRPr="009A3193">
              <w:rPr>
                <w:rFonts w:ascii="Arial" w:hAnsi="Arial" w:cs="Arial"/>
                <w:sz w:val="18"/>
                <w:szCs w:val="18"/>
                <w:lang w:val="en-GB"/>
              </w:rPr>
              <w:t xml:space="preserve">. Benefits of fringing mangrove ecosystems have also been documented in Mumbai, India </w:t>
            </w:r>
            <w:hyperlink r:id="rId34">
              <w:r w:rsidRPr="009A3193">
                <w:rPr>
                  <w:rFonts w:ascii="Arial" w:hAnsi="Arial" w:cs="Arial"/>
                  <w:sz w:val="18"/>
                  <w:szCs w:val="18"/>
                  <w:lang w:val="en-GB"/>
                </w:rPr>
                <w:t>(Everard et al., 2014)</w:t>
              </w:r>
            </w:hyperlink>
            <w:r w:rsidRPr="009A3193">
              <w:rPr>
                <w:rFonts w:ascii="Arial" w:hAnsi="Arial" w:cs="Arial"/>
                <w:sz w:val="18"/>
                <w:szCs w:val="18"/>
                <w:lang w:val="en-GB"/>
              </w:rPr>
              <w:t xml:space="preserve">. Upscaling from a city level, the carbon storage capacity in Indonesia’s coastal wetlands including mangrove ecosystems and seagrass meadows is of global significance </w:t>
            </w:r>
            <w:hyperlink r:id="rId35">
              <w:r w:rsidR="00580433" w:rsidRPr="009A3193">
                <w:rPr>
                  <w:rFonts w:ascii="Arial" w:hAnsi="Arial" w:cs="Arial"/>
                  <w:sz w:val="18"/>
                  <w:szCs w:val="18"/>
                  <w:lang w:val="en-GB"/>
                </w:rPr>
                <w:t>(</w:t>
              </w:r>
              <w:r w:rsidRPr="009A3193">
                <w:rPr>
                  <w:rFonts w:ascii="Arial" w:hAnsi="Arial" w:cs="Arial"/>
                  <w:sz w:val="18"/>
                  <w:szCs w:val="18"/>
                  <w:lang w:val="en-GB"/>
                </w:rPr>
                <w:t>Alongi &amp; Mukhopadhyay, 2015)</w:t>
              </w:r>
            </w:hyperlink>
            <w:r w:rsidRPr="009A3193">
              <w:rPr>
                <w:rFonts w:ascii="Arial" w:hAnsi="Arial" w:cs="Arial"/>
                <w:sz w:val="18"/>
                <w:szCs w:val="18"/>
                <w:lang w:val="en-GB"/>
              </w:rPr>
              <w:t xml:space="preserve">. Coastal forested ecosystems including mangroves may store more than three times that of terrestrial forests </w:t>
            </w:r>
            <w:hyperlink r:id="rId36">
              <w:r w:rsidR="00580433" w:rsidRPr="009A3193">
                <w:rPr>
                  <w:rFonts w:ascii="Arial" w:hAnsi="Arial" w:cs="Arial"/>
                  <w:sz w:val="18"/>
                  <w:szCs w:val="18"/>
                  <w:lang w:val="en-GB"/>
                </w:rPr>
                <w:t xml:space="preserve">(Alongi, 2014; </w:t>
              </w:r>
              <w:r w:rsidRPr="009A3193">
                <w:rPr>
                  <w:rFonts w:ascii="Arial" w:hAnsi="Arial" w:cs="Arial"/>
                  <w:sz w:val="18"/>
                  <w:szCs w:val="18"/>
                  <w:lang w:val="en-GB"/>
                </w:rPr>
                <w:t>Alongi &amp; Mukhopadhyay, 2015; Donato et al., 2011)</w:t>
              </w:r>
            </w:hyperlink>
            <w:r w:rsidRPr="009A3193">
              <w:rPr>
                <w:rFonts w:ascii="Arial" w:hAnsi="Arial" w:cs="Arial"/>
                <w:sz w:val="18"/>
                <w:szCs w:val="18"/>
                <w:lang w:val="en-GB"/>
              </w:rPr>
              <w:t xml:space="preserve">, hence, helping in the mitigation of carbon emissions and augmentation of carbon stock. This could contribute to the offsetting of carbon emissions by anthropogenic activities associated with urbanisation, like residential, commercial and industrial land use. Hence, the higher carbon storage per unit area of mangroves compared to other vegetation types argues strongly for the conservation of mangroves in urban areas where trade-offs are crucial in decision-making. </w:t>
            </w:r>
          </w:p>
          <w:p w14:paraId="48F6970A" w14:textId="77777777" w:rsidR="00B00A6D" w:rsidRPr="009A3193" w:rsidRDefault="00C36194" w:rsidP="007E6143">
            <w:pPr>
              <w:spacing w:before="60" w:after="120" w:line="264" w:lineRule="auto"/>
              <w:jc w:val="both"/>
              <w:rPr>
                <w:rFonts w:ascii="Arial" w:hAnsi="Arial" w:cs="Arial"/>
                <w:sz w:val="18"/>
                <w:szCs w:val="18"/>
                <w:lang w:val="en-GB"/>
              </w:rPr>
            </w:pPr>
            <w:r w:rsidRPr="009A3193">
              <w:rPr>
                <w:rFonts w:ascii="Arial" w:hAnsi="Arial" w:cs="Arial"/>
                <w:sz w:val="18"/>
                <w:szCs w:val="18"/>
                <w:lang w:val="en-GB"/>
              </w:rPr>
              <w:t xml:space="preserve">In addition to carbon sequestration throughout the year and acting as a carbon sink, mangroves contribute multiple benefits, including provision of habitats for biodiversity, coastal protection, food sources and roosts for migratory birds, nurseries for marine organisms, recreation, education, etc. This demonstrates how nature-based solutions like safeguarding and restoration of mangroves in coastal cities contribute significantly and synergistically to biodiversity conservation and climate mitigation </w:t>
            </w:r>
            <w:hyperlink r:id="rId37">
              <w:r w:rsidR="00580433" w:rsidRPr="009A3193">
                <w:rPr>
                  <w:rFonts w:ascii="Arial" w:hAnsi="Arial" w:cs="Arial"/>
                  <w:sz w:val="18"/>
                  <w:szCs w:val="18"/>
                  <w:lang w:val="en-GB"/>
                </w:rPr>
                <w:t xml:space="preserve">(Alongi, 2014; </w:t>
              </w:r>
              <w:r w:rsidRPr="009A3193">
                <w:rPr>
                  <w:rFonts w:ascii="Arial" w:hAnsi="Arial" w:cs="Arial"/>
                  <w:sz w:val="18"/>
                  <w:szCs w:val="18"/>
                  <w:lang w:val="en-GB"/>
                </w:rPr>
                <w:t>Alongi &amp; Mukhopadhyay, 2015)</w:t>
              </w:r>
            </w:hyperlink>
            <w:r w:rsidRPr="009A3193">
              <w:rPr>
                <w:rFonts w:ascii="Arial" w:hAnsi="Arial" w:cs="Arial"/>
                <w:sz w:val="18"/>
                <w:szCs w:val="18"/>
                <w:lang w:val="en-GB"/>
              </w:rPr>
              <w:t>.</w:t>
            </w:r>
          </w:p>
        </w:tc>
      </w:tr>
      <w:tr w:rsidR="00901FAF" w:rsidRPr="009A3193" w14:paraId="6A9FEDA6" w14:textId="77777777" w:rsidTr="006A2115">
        <w:trPr>
          <w:trHeight w:val="170"/>
        </w:trPr>
        <w:tc>
          <w:tcPr>
            <w:tcW w:w="725" w:type="dxa"/>
            <w:shd w:val="clear" w:color="auto" w:fill="1F4E79" w:themeFill="accent1" w:themeFillShade="80"/>
            <w:vAlign w:val="center"/>
          </w:tcPr>
          <w:p w14:paraId="129CC0DF" w14:textId="77777777" w:rsidR="001045AA"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CS 6</w:t>
            </w:r>
          </w:p>
        </w:tc>
        <w:tc>
          <w:tcPr>
            <w:tcW w:w="8331" w:type="dxa"/>
            <w:shd w:val="clear" w:color="auto" w:fill="1F4E79" w:themeFill="accent1" w:themeFillShade="80"/>
            <w:vAlign w:val="center"/>
          </w:tcPr>
          <w:p w14:paraId="229FE1A3" w14:textId="77777777" w:rsidR="001045AA" w:rsidRPr="009A3193" w:rsidRDefault="006C160A"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The Sundarbans (India-Bangladesh)</w:t>
            </w:r>
          </w:p>
        </w:tc>
      </w:tr>
      <w:tr w:rsidR="00B00A6D" w:rsidRPr="009A3193" w14:paraId="568DD8F0" w14:textId="77777777" w:rsidTr="006A2115">
        <w:tc>
          <w:tcPr>
            <w:tcW w:w="725" w:type="dxa"/>
            <w:shd w:val="clear" w:color="auto" w:fill="E6E6E6"/>
          </w:tcPr>
          <w:p w14:paraId="146CE56E" w14:textId="77777777" w:rsidR="00B00A6D" w:rsidRPr="009A3193" w:rsidRDefault="00B00A6D" w:rsidP="003F5851">
            <w:pPr>
              <w:jc w:val="both"/>
              <w:rPr>
                <w:rFonts w:ascii="Arial" w:hAnsi="Arial" w:cs="Arial"/>
                <w:sz w:val="18"/>
                <w:szCs w:val="18"/>
                <w:lang w:val="en-GB"/>
              </w:rPr>
            </w:pPr>
          </w:p>
        </w:tc>
        <w:tc>
          <w:tcPr>
            <w:tcW w:w="8331" w:type="dxa"/>
            <w:shd w:val="clear" w:color="auto" w:fill="E6E6E6"/>
          </w:tcPr>
          <w:p w14:paraId="30AA648F" w14:textId="77777777" w:rsidR="003F5851"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The Sundarbans is the world’s largest mangrove forest stretching over 10,263 km</w:t>
            </w:r>
            <w:r w:rsidRPr="009A3193">
              <w:rPr>
                <w:rFonts w:ascii="Arial" w:hAnsi="Arial" w:cs="Arial"/>
                <w:sz w:val="18"/>
                <w:szCs w:val="18"/>
                <w:vertAlign w:val="superscript"/>
                <w:lang w:val="en-GB"/>
              </w:rPr>
              <w:t>2</w:t>
            </w:r>
            <w:r w:rsidRPr="009A3193">
              <w:rPr>
                <w:rFonts w:ascii="Arial" w:hAnsi="Arial" w:cs="Arial"/>
                <w:sz w:val="18"/>
                <w:szCs w:val="18"/>
                <w:lang w:val="en-GB"/>
              </w:rPr>
              <w:t xml:space="preserve">, located at the delta of the rivers Ganga, Brahmaputra and Meghna between Bangladesh (~60%) and India (~40%), which contains four protected areas designated as UNESCO’s World Natural Heritage sites (one in India and three in Bangladesh). The biodiversity of this area, Bangladesh side alone, includes 355 species of birds, 49 species of mammals including Bengal tiger, 87 species of reptiles, 14 amphibians, 291 species of fish, and 334 species of plants </w:t>
            </w:r>
            <w:hyperlink r:id="rId38">
              <w:r w:rsidRPr="009A3193">
                <w:rPr>
                  <w:rFonts w:ascii="Arial" w:hAnsi="Arial" w:cs="Arial"/>
                  <w:sz w:val="18"/>
                  <w:szCs w:val="18"/>
                  <w:lang w:val="en-GB"/>
                </w:rPr>
                <w:t>(Mukul et al., 2019)</w:t>
              </w:r>
            </w:hyperlink>
            <w:r w:rsidRPr="009A3193">
              <w:rPr>
                <w:rFonts w:ascii="Arial" w:hAnsi="Arial" w:cs="Arial"/>
                <w:sz w:val="18"/>
                <w:szCs w:val="18"/>
                <w:lang w:val="en-GB"/>
              </w:rPr>
              <w:t>. It also serves as a large sink of CO</w:t>
            </w:r>
            <w:r w:rsidRPr="009A3193">
              <w:rPr>
                <w:rFonts w:ascii="Arial" w:hAnsi="Arial" w:cs="Arial"/>
                <w:sz w:val="18"/>
                <w:szCs w:val="18"/>
                <w:vertAlign w:val="subscript"/>
                <w:lang w:val="en-GB"/>
              </w:rPr>
              <w:t>2</w:t>
            </w:r>
            <w:r w:rsidRPr="009A3193">
              <w:rPr>
                <w:rFonts w:ascii="Arial" w:hAnsi="Arial" w:cs="Arial"/>
                <w:sz w:val="18"/>
                <w:szCs w:val="18"/>
                <w:lang w:val="en-GB"/>
              </w:rPr>
              <w:t>. The Sundarbans is home to about 7.2 million</w:t>
            </w:r>
            <w:r w:rsidR="002F2AE6" w:rsidRPr="009A3193">
              <w:rPr>
                <w:rFonts w:ascii="Arial" w:hAnsi="Arial" w:cs="Arial"/>
                <w:sz w:val="18"/>
                <w:szCs w:val="18"/>
                <w:lang w:val="en-GB"/>
              </w:rPr>
              <w:t xml:space="preserve"> people</w:t>
            </w:r>
            <w:r w:rsidRPr="009A3193">
              <w:rPr>
                <w:rFonts w:ascii="Arial" w:hAnsi="Arial" w:cs="Arial"/>
                <w:sz w:val="18"/>
                <w:szCs w:val="18"/>
                <w:lang w:val="en-GB"/>
              </w:rPr>
              <w:t xml:space="preserve">, half of which are landless and are dependent on rain-fed agriculture and provisioning services from mangroves for livelihoods (e.g., timber, honey, fish) </w:t>
            </w:r>
            <w:hyperlink r:id="rId39">
              <w:r w:rsidRPr="009A3193">
                <w:rPr>
                  <w:rFonts w:ascii="Arial" w:hAnsi="Arial" w:cs="Arial"/>
                  <w:sz w:val="18"/>
                  <w:szCs w:val="18"/>
                  <w:lang w:val="en-GB"/>
                </w:rPr>
                <w:t>(IUCN,</w:t>
              </w:r>
              <w:r w:rsidR="00580433" w:rsidRPr="009A3193">
                <w:rPr>
                  <w:rFonts w:ascii="Arial" w:hAnsi="Arial" w:cs="Arial"/>
                  <w:sz w:val="18"/>
                  <w:szCs w:val="18"/>
                  <w:lang w:val="en-GB"/>
                </w:rPr>
                <w:t xml:space="preserve"> 2017, 2020; Sannigrahi, Pilla, </w:t>
              </w:r>
              <w:r w:rsidRPr="009A3193">
                <w:rPr>
                  <w:rFonts w:ascii="Arial" w:hAnsi="Arial" w:cs="Arial"/>
                  <w:sz w:val="18"/>
                  <w:szCs w:val="18"/>
                  <w:lang w:val="en-GB"/>
                </w:rPr>
                <w:t>et al., 2020)</w:t>
              </w:r>
            </w:hyperlink>
            <w:r w:rsidR="003F5851" w:rsidRPr="009A3193">
              <w:rPr>
                <w:rFonts w:ascii="Arial" w:hAnsi="Arial" w:cs="Arial"/>
                <w:sz w:val="18"/>
                <w:szCs w:val="18"/>
                <w:lang w:val="en-GB"/>
              </w:rPr>
              <w:t>.</w:t>
            </w:r>
          </w:p>
          <w:p w14:paraId="13E09340" w14:textId="77777777" w:rsidR="003F5851"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While mangrove extent in the Sundarbans has remained stable to date with very little net loss, an overall negative trend was observed </w:t>
            </w:r>
            <w:hyperlink r:id="rId40">
              <w:r w:rsidRPr="009A3193">
                <w:rPr>
                  <w:rFonts w:ascii="Arial" w:hAnsi="Arial" w:cs="Arial"/>
                  <w:sz w:val="18"/>
                  <w:szCs w:val="18"/>
                  <w:lang w:val="en-GB"/>
                </w:rPr>
                <w:t>(Awty-Carroll et al., 2019)</w:t>
              </w:r>
            </w:hyperlink>
            <w:r w:rsidRPr="009A3193">
              <w:rPr>
                <w:rFonts w:ascii="Arial" w:hAnsi="Arial" w:cs="Arial"/>
                <w:sz w:val="18"/>
                <w:szCs w:val="18"/>
                <w:lang w:val="en-GB"/>
              </w:rPr>
              <w:t xml:space="preserve">. A part of highly degraded mudflats has been restored by the extensive utilization of native grass species </w:t>
            </w:r>
            <w:hyperlink r:id="rId41">
              <w:r w:rsidRPr="009A3193">
                <w:rPr>
                  <w:rFonts w:ascii="Arial" w:hAnsi="Arial" w:cs="Arial"/>
                  <w:sz w:val="18"/>
                  <w:szCs w:val="18"/>
                  <w:lang w:val="en-GB"/>
                </w:rPr>
                <w:t>(Begam et al., 2017)</w:t>
              </w:r>
            </w:hyperlink>
            <w:r w:rsidRPr="009A3193">
              <w:rPr>
                <w:rFonts w:ascii="Arial" w:hAnsi="Arial" w:cs="Arial"/>
                <w:sz w:val="18"/>
                <w:szCs w:val="18"/>
                <w:lang w:val="en-GB"/>
              </w:rPr>
              <w:t xml:space="preserve">. Habitat services, gas regulation, carbon sequestration, and disturbance regulations (e.g., against cyclones and storm surge) are often evaluated to be the most important ecosystem services </w:t>
            </w:r>
            <w:hyperlink r:id="rId42">
              <w:r w:rsidRPr="009A3193">
                <w:rPr>
                  <w:rFonts w:ascii="Arial" w:hAnsi="Arial" w:cs="Arial"/>
                  <w:sz w:val="18"/>
                  <w:szCs w:val="18"/>
                  <w:lang w:val="en-GB"/>
                </w:rPr>
                <w:t>(Sannigrahi, Pilla, et al., 2020; Sannigrahi, Zhang, et al., 2020)</w:t>
              </w:r>
            </w:hyperlink>
            <w:r w:rsidRPr="009A3193">
              <w:rPr>
                <w:rFonts w:ascii="Arial" w:hAnsi="Arial" w:cs="Arial"/>
                <w:sz w:val="18"/>
                <w:szCs w:val="18"/>
                <w:lang w:val="en-GB"/>
              </w:rPr>
              <w:t xml:space="preserve">, but the provisioning services (e.g. timber, fish) and cultural services (e.g. tourism) are often prioritized in practice for revenue generation for locals </w:t>
            </w:r>
            <w:hyperlink r:id="rId43">
              <w:r w:rsidR="00580433" w:rsidRPr="009A3193">
                <w:rPr>
                  <w:rFonts w:ascii="Arial" w:hAnsi="Arial" w:cs="Arial"/>
                  <w:sz w:val="18"/>
                  <w:szCs w:val="18"/>
                  <w:lang w:val="en-GB"/>
                </w:rPr>
                <w:t>(</w:t>
              </w:r>
              <w:r w:rsidRPr="009A3193">
                <w:rPr>
                  <w:rFonts w:ascii="Arial" w:hAnsi="Arial" w:cs="Arial"/>
                  <w:sz w:val="18"/>
                  <w:szCs w:val="18"/>
                  <w:lang w:val="en-GB"/>
                </w:rPr>
                <w:t>Uddin et al., 2013)</w:t>
              </w:r>
            </w:hyperlink>
            <w:r w:rsidRPr="009A3193">
              <w:rPr>
                <w:rFonts w:ascii="Arial" w:hAnsi="Arial" w:cs="Arial"/>
                <w:sz w:val="18"/>
                <w:szCs w:val="18"/>
                <w:lang w:val="en-GB"/>
              </w:rPr>
              <w:t xml:space="preserve">. Similarly, non-food ecosystem services such as water availability and quality have deteriorated since the 1980s while improved food and inland fish production contributed to reducing the population below the poverty line </w:t>
            </w:r>
            <w:hyperlink r:id="rId44">
              <w:r w:rsidRPr="009A3193">
                <w:rPr>
                  <w:rFonts w:ascii="Arial" w:hAnsi="Arial" w:cs="Arial"/>
                  <w:sz w:val="18"/>
                  <w:szCs w:val="18"/>
                  <w:lang w:val="en-GB"/>
                </w:rPr>
                <w:t>(Hossain et al., 2016)</w:t>
              </w:r>
            </w:hyperlink>
            <w:r w:rsidRPr="009A3193">
              <w:rPr>
                <w:rFonts w:ascii="Arial" w:hAnsi="Arial" w:cs="Arial"/>
                <w:sz w:val="18"/>
                <w:szCs w:val="18"/>
                <w:lang w:val="en-GB"/>
              </w:rPr>
              <w:t>. There are trade-offs between the pursuit of material benefits for local livelihood and regulating benefits (climate mitigation and water quality) through mangrove conservation.</w:t>
            </w:r>
          </w:p>
          <w:p w14:paraId="297DB4CD" w14:textId="77777777" w:rsidR="00B00A6D" w:rsidRPr="009A3193" w:rsidRDefault="00C36194" w:rsidP="007E6143">
            <w:pPr>
              <w:spacing w:before="60" w:after="120" w:line="264" w:lineRule="auto"/>
              <w:jc w:val="both"/>
              <w:rPr>
                <w:rFonts w:ascii="Arial" w:hAnsi="Arial" w:cs="Arial"/>
                <w:sz w:val="18"/>
                <w:szCs w:val="18"/>
                <w:lang w:val="en-GB"/>
              </w:rPr>
            </w:pPr>
            <w:r w:rsidRPr="009A3193">
              <w:rPr>
                <w:rFonts w:ascii="Arial" w:hAnsi="Arial" w:cs="Arial"/>
                <w:sz w:val="18"/>
                <w:szCs w:val="18"/>
                <w:lang w:val="en-GB"/>
              </w:rPr>
              <w:t xml:space="preserve">Recently, the mangroves and wildlife of the Sundarbans are becoming increasingly vulnerable to the combination of natural and anthropogenic direct drivers such as cyclone, sea-level rise, soil and water salinization, and flooding, industrial and urban development, embankment construction, aquaculture development and poaching of wildlife </w:t>
            </w:r>
            <w:hyperlink r:id="rId45">
              <w:r w:rsidRPr="009A3193">
                <w:rPr>
                  <w:rFonts w:ascii="Arial" w:hAnsi="Arial" w:cs="Arial"/>
                  <w:sz w:val="18"/>
                  <w:szCs w:val="18"/>
                  <w:lang w:val="en-GB"/>
                </w:rPr>
                <w:t>(Mehvar et al., 2019; Mukul et al., 2019; Sánchez-Triana et al., 2018)</w:t>
              </w:r>
            </w:hyperlink>
            <w:r w:rsidRPr="009A3193">
              <w:rPr>
                <w:rFonts w:ascii="Arial" w:hAnsi="Arial" w:cs="Arial"/>
                <w:sz w:val="18"/>
                <w:szCs w:val="18"/>
                <w:lang w:val="en-GB"/>
              </w:rPr>
              <w:t>. Among the total loss of 107 km</w:t>
            </w:r>
            <w:r w:rsidRPr="009A3193">
              <w:rPr>
                <w:rFonts w:ascii="Arial" w:hAnsi="Arial" w:cs="Arial"/>
                <w:sz w:val="18"/>
                <w:szCs w:val="18"/>
                <w:vertAlign w:val="superscript"/>
                <w:lang w:val="en-GB"/>
              </w:rPr>
              <w:t>2</w:t>
            </w:r>
            <w:r w:rsidRPr="009A3193">
              <w:rPr>
                <w:rFonts w:ascii="Arial" w:hAnsi="Arial" w:cs="Arial"/>
                <w:sz w:val="18"/>
                <w:szCs w:val="18"/>
                <w:lang w:val="en-GB"/>
              </w:rPr>
              <w:t xml:space="preserve"> of mangroves between the year 1975 and 2013, 60 % was lost </w:t>
            </w:r>
            <w:r w:rsidRPr="009A3193">
              <w:rPr>
                <w:rFonts w:ascii="Arial" w:hAnsi="Arial" w:cs="Arial"/>
                <w:sz w:val="18"/>
                <w:szCs w:val="18"/>
                <w:lang w:val="en-GB"/>
              </w:rPr>
              <w:lastRenderedPageBreak/>
              <w:t>due to water erosion and 23 % was converted to barren lands, and the potential CO</w:t>
            </w:r>
            <w:r w:rsidRPr="009A3193">
              <w:rPr>
                <w:rFonts w:ascii="Arial" w:hAnsi="Arial" w:cs="Arial"/>
                <w:sz w:val="18"/>
                <w:szCs w:val="18"/>
                <w:vertAlign w:val="subscript"/>
                <w:lang w:val="en-GB"/>
              </w:rPr>
              <w:t>2</w:t>
            </w:r>
            <w:r w:rsidRPr="009A3193">
              <w:rPr>
                <w:rFonts w:ascii="Arial" w:hAnsi="Arial" w:cs="Arial"/>
                <w:sz w:val="18"/>
                <w:szCs w:val="18"/>
                <w:lang w:val="en-GB"/>
              </w:rPr>
              <w:t xml:space="preserve"> emission due to the loss and degradation of mangroves was estimated to be 1567.98 ± 551.69 Gg during this period </w:t>
            </w:r>
            <w:hyperlink r:id="rId46">
              <w:r w:rsidRPr="009A3193">
                <w:rPr>
                  <w:rFonts w:ascii="Arial" w:hAnsi="Arial" w:cs="Arial"/>
                  <w:sz w:val="18"/>
                  <w:szCs w:val="18"/>
                  <w:lang w:val="en-GB"/>
                </w:rPr>
                <w:t>(Akhand et al., 2017)</w:t>
              </w:r>
            </w:hyperlink>
            <w:r w:rsidRPr="009A3193">
              <w:rPr>
                <w:rFonts w:ascii="Arial" w:hAnsi="Arial" w:cs="Arial"/>
                <w:sz w:val="18"/>
                <w:szCs w:val="18"/>
                <w:lang w:val="en-GB"/>
              </w:rPr>
              <w:t xml:space="preserve">. The Sundarbans stretch across two countries and socioeconomic activities in one country, whether within or outside of the Sundarbans, affects the ecosystems and ecosystem services of the Sundarbans in the other. Although the importance of transboundary cooperation has been recognized and the Memorandum of Understanding between Bangladesh and India on Conservation of the Sundarbans was signed in 2011, there has been no formalized joint management and surveillance protocol of the protected areas implemented to date </w:t>
            </w:r>
            <w:hyperlink r:id="rId47">
              <w:r w:rsidRPr="009A3193">
                <w:rPr>
                  <w:rFonts w:ascii="Arial" w:hAnsi="Arial" w:cs="Arial"/>
                  <w:sz w:val="18"/>
                  <w:szCs w:val="18"/>
                  <w:lang w:val="en-GB"/>
                </w:rPr>
                <w:t>(IUCN, 2017, 2020)</w:t>
              </w:r>
            </w:hyperlink>
            <w:r w:rsidRPr="009A3193">
              <w:rPr>
                <w:rFonts w:ascii="Arial" w:hAnsi="Arial" w:cs="Arial"/>
                <w:sz w:val="18"/>
                <w:szCs w:val="18"/>
                <w:lang w:val="en-GB"/>
              </w:rPr>
              <w:t>.</w:t>
            </w:r>
          </w:p>
        </w:tc>
      </w:tr>
      <w:tr w:rsidR="00901FAF" w:rsidRPr="009A3193" w14:paraId="2676BBAE" w14:textId="77777777" w:rsidTr="006A2115">
        <w:trPr>
          <w:trHeight w:val="170"/>
        </w:trPr>
        <w:tc>
          <w:tcPr>
            <w:tcW w:w="725" w:type="dxa"/>
            <w:shd w:val="clear" w:color="auto" w:fill="1F4E79" w:themeFill="accent1" w:themeFillShade="80"/>
            <w:vAlign w:val="center"/>
          </w:tcPr>
          <w:p w14:paraId="1AC85F6F" w14:textId="77777777" w:rsidR="001045AA"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lastRenderedPageBreak/>
              <w:t>CS 7</w:t>
            </w:r>
          </w:p>
        </w:tc>
        <w:tc>
          <w:tcPr>
            <w:tcW w:w="8331" w:type="dxa"/>
            <w:shd w:val="clear" w:color="auto" w:fill="1F4E79" w:themeFill="accent1" w:themeFillShade="80"/>
            <w:vAlign w:val="center"/>
          </w:tcPr>
          <w:p w14:paraId="1401DC8D" w14:textId="77777777" w:rsidR="001045AA" w:rsidRPr="009A3193" w:rsidRDefault="003336AF"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Southern Ocean South Georgia Island</w:t>
            </w:r>
          </w:p>
        </w:tc>
      </w:tr>
      <w:tr w:rsidR="00B00A6D" w:rsidRPr="009A3193" w14:paraId="4A97481D" w14:textId="77777777" w:rsidTr="006A2115">
        <w:tc>
          <w:tcPr>
            <w:tcW w:w="725" w:type="dxa"/>
            <w:shd w:val="clear" w:color="auto" w:fill="E6E6E6"/>
          </w:tcPr>
          <w:p w14:paraId="340ACD5D" w14:textId="77777777" w:rsidR="00B00A6D" w:rsidRPr="009A3193" w:rsidRDefault="00B00A6D" w:rsidP="003F5851">
            <w:pPr>
              <w:jc w:val="both"/>
              <w:rPr>
                <w:rFonts w:ascii="Arial" w:hAnsi="Arial" w:cs="Arial"/>
                <w:sz w:val="18"/>
                <w:szCs w:val="18"/>
                <w:lang w:val="en-GB"/>
              </w:rPr>
            </w:pPr>
          </w:p>
        </w:tc>
        <w:tc>
          <w:tcPr>
            <w:tcW w:w="8331" w:type="dxa"/>
            <w:shd w:val="clear" w:color="auto" w:fill="E6E6E6"/>
          </w:tcPr>
          <w:p w14:paraId="1D7549BF"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South Georgia is a remote (UK overseas territory) island at the northernmost limit of the Southern Ocean, in the Atlantic sector. It is an extremely important site for biodiversity being a critical site for many whales, seals and many seabirds, including the most important site for iconic species such as the Wandering Albatross </w:t>
            </w:r>
            <w:hyperlink r:id="rId48">
              <w:r w:rsidR="00580433" w:rsidRPr="009A3193">
                <w:rPr>
                  <w:rFonts w:ascii="Arial" w:hAnsi="Arial" w:cs="Arial"/>
                  <w:sz w:val="18"/>
                  <w:szCs w:val="18"/>
                  <w:lang w:val="en-GB"/>
                </w:rPr>
                <w:t>(</w:t>
              </w:r>
              <w:r w:rsidRPr="009A3193">
                <w:rPr>
                  <w:rFonts w:ascii="Arial" w:hAnsi="Arial" w:cs="Arial"/>
                  <w:sz w:val="18"/>
                  <w:szCs w:val="18"/>
                  <w:lang w:val="en-GB"/>
                </w:rPr>
                <w:t>Rogers et al., 2015)</w:t>
              </w:r>
            </w:hyperlink>
            <w:r w:rsidRPr="009A3193">
              <w:rPr>
                <w:rFonts w:ascii="Arial" w:hAnsi="Arial" w:cs="Arial"/>
                <w:sz w:val="18"/>
                <w:szCs w:val="18"/>
                <w:lang w:val="en-GB"/>
              </w:rPr>
              <w:t xml:space="preserve">. There are very few non-indigenous invaders, most species are endemic, and there are more species known than around Galapagos </w:t>
            </w:r>
            <w:hyperlink r:id="rId49">
              <w:r w:rsidR="00580433" w:rsidRPr="009A3193">
                <w:rPr>
                  <w:rFonts w:ascii="Arial" w:hAnsi="Arial" w:cs="Arial"/>
                  <w:sz w:val="18"/>
                  <w:szCs w:val="18"/>
                  <w:lang w:val="en-GB"/>
                </w:rPr>
                <w:t xml:space="preserve">(Hogg et al., 2011; </w:t>
              </w:r>
              <w:r w:rsidRPr="009A3193">
                <w:rPr>
                  <w:rFonts w:ascii="Arial" w:hAnsi="Arial" w:cs="Arial"/>
                  <w:sz w:val="18"/>
                  <w:szCs w:val="18"/>
                  <w:lang w:val="en-GB"/>
                </w:rPr>
                <w:t>Rogers et al., 2015)</w:t>
              </w:r>
            </w:hyperlink>
            <w:r w:rsidRPr="009A3193">
              <w:rPr>
                <w:rFonts w:ascii="Arial" w:hAnsi="Arial" w:cs="Arial"/>
                <w:sz w:val="18"/>
                <w:szCs w:val="18"/>
                <w:lang w:val="en-GB"/>
              </w:rPr>
              <w:t xml:space="preserve">. Two key biodiversity-focused change action measures at different scales have changed species survival prospects and climate mitigation potential. The global moratorium on whaling has particular significance at the baleen whale hotspot of South Georgia. Those waters are key feeding grounds and have just revealed recovery levels, e.g., of blue whales </w:t>
            </w:r>
            <w:hyperlink r:id="rId50">
              <w:r w:rsidRPr="009A3193">
                <w:rPr>
                  <w:rFonts w:ascii="Arial" w:hAnsi="Arial" w:cs="Arial"/>
                  <w:sz w:val="18"/>
                  <w:szCs w:val="18"/>
                  <w:lang w:val="en-GB"/>
                </w:rPr>
                <w:t>(Calderan et al., 2020)</w:t>
              </w:r>
            </w:hyperlink>
            <w:r w:rsidRPr="009A3193">
              <w:rPr>
                <w:rFonts w:ascii="Arial" w:hAnsi="Arial" w:cs="Arial"/>
                <w:sz w:val="18"/>
                <w:szCs w:val="18"/>
                <w:lang w:val="en-GB"/>
              </w:rPr>
              <w:t xml:space="preserve"> which are also key carbon stores. The fishery (e.g., for Patagonian Toothfish) around SG has become one of the most tightly restricted. Very few vessels are accepted for licensing in the fishery, each is tracked, has an observer and unique hooks (so their presence in seabirds can be traced). This limited fishery now takes place in one of the world’s largest Marine Protected Areas. With no bottom trawling or shallow longlining, the high surface productivity can be converted to benthic carbon storage, with crucially high genuine sequestration potential </w:t>
            </w:r>
            <w:hyperlink r:id="rId51">
              <w:r w:rsidRPr="009A3193">
                <w:rPr>
                  <w:rFonts w:ascii="Arial" w:hAnsi="Arial" w:cs="Arial"/>
                  <w:sz w:val="18"/>
                  <w:szCs w:val="18"/>
                  <w:lang w:val="en-GB"/>
                </w:rPr>
                <w:t>(Barnes &amp; Sands, 2017)</w:t>
              </w:r>
            </w:hyperlink>
            <w:r w:rsidRPr="009A3193">
              <w:rPr>
                <w:rFonts w:ascii="Arial" w:hAnsi="Arial" w:cs="Arial"/>
                <w:sz w:val="18"/>
                <w:szCs w:val="18"/>
                <w:lang w:val="en-GB"/>
              </w:rPr>
              <w:t>. Such work has shown that seabed biodiversity hotspots are coincident with those of blue carbon storage and sequestration potential.</w:t>
            </w:r>
          </w:p>
          <w:p w14:paraId="379AD983" w14:textId="77777777" w:rsidR="00B00A6D" w:rsidRPr="009A3193" w:rsidRDefault="00C36194" w:rsidP="007E6143">
            <w:pPr>
              <w:spacing w:before="60" w:after="120" w:line="264" w:lineRule="auto"/>
              <w:jc w:val="both"/>
              <w:rPr>
                <w:rFonts w:ascii="Arial" w:hAnsi="Arial" w:cs="Arial"/>
                <w:sz w:val="18"/>
                <w:szCs w:val="18"/>
                <w:lang w:val="en-GB"/>
              </w:rPr>
            </w:pPr>
            <w:r w:rsidRPr="009A3193">
              <w:rPr>
                <w:rFonts w:ascii="Arial" w:hAnsi="Arial" w:cs="Arial"/>
                <w:sz w:val="18"/>
                <w:szCs w:val="18"/>
                <w:lang w:val="en-GB"/>
              </w:rPr>
              <w:t>The Marine Protected Area created around South Georgia is one of the world’s biggest and encapsulates a hotspot of endemism, population of en</w:t>
            </w:r>
            <w:r w:rsidR="009201B6" w:rsidRPr="009A3193">
              <w:rPr>
                <w:rFonts w:ascii="Arial" w:hAnsi="Arial" w:cs="Arial"/>
                <w:sz w:val="18"/>
                <w:szCs w:val="18"/>
                <w:lang w:val="en-GB"/>
              </w:rPr>
              <w:t>dangered iconic species (e.g., wandering a</w:t>
            </w:r>
            <w:r w:rsidRPr="009A3193">
              <w:rPr>
                <w:rFonts w:ascii="Arial" w:hAnsi="Arial" w:cs="Arial"/>
                <w:sz w:val="18"/>
                <w:szCs w:val="18"/>
                <w:lang w:val="en-GB"/>
              </w:rPr>
              <w:t>lbatross), an important carbon sink of oceanic productivity and one of the tightest regulated fishery and tourism industries. In many ways it represents a model of minimising impacts on biodiversity and ecosystem services in a climate change hotspot.</w:t>
            </w:r>
          </w:p>
        </w:tc>
      </w:tr>
      <w:tr w:rsidR="00901FAF" w:rsidRPr="009A3193" w14:paraId="068AF73F" w14:textId="77777777" w:rsidTr="006A2115">
        <w:trPr>
          <w:trHeight w:val="170"/>
        </w:trPr>
        <w:tc>
          <w:tcPr>
            <w:tcW w:w="725" w:type="dxa"/>
            <w:shd w:val="clear" w:color="auto" w:fill="1F4E79" w:themeFill="accent1" w:themeFillShade="80"/>
            <w:vAlign w:val="center"/>
          </w:tcPr>
          <w:p w14:paraId="28B64BFD" w14:textId="77777777" w:rsidR="009B5D53"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CS 8</w:t>
            </w:r>
          </w:p>
        </w:tc>
        <w:tc>
          <w:tcPr>
            <w:tcW w:w="8331" w:type="dxa"/>
            <w:shd w:val="clear" w:color="auto" w:fill="1F4E79" w:themeFill="accent1" w:themeFillShade="80"/>
            <w:vAlign w:val="center"/>
          </w:tcPr>
          <w:p w14:paraId="748DFF60" w14:textId="77777777" w:rsidR="009B5D53" w:rsidRPr="009A3193" w:rsidRDefault="006C160A"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Marine Biodiversity Beyond National Jurisdiction, South Orkney Islands</w:t>
            </w:r>
          </w:p>
        </w:tc>
      </w:tr>
      <w:tr w:rsidR="00B00A6D" w:rsidRPr="009A3193" w14:paraId="76AC0E2A" w14:textId="77777777" w:rsidTr="006A2115">
        <w:tc>
          <w:tcPr>
            <w:tcW w:w="725" w:type="dxa"/>
            <w:shd w:val="clear" w:color="auto" w:fill="E6E6E6"/>
          </w:tcPr>
          <w:p w14:paraId="1C3BD89F" w14:textId="77777777" w:rsidR="00B00A6D" w:rsidRPr="009A3193" w:rsidRDefault="00B00A6D" w:rsidP="003F5851">
            <w:pPr>
              <w:jc w:val="both"/>
              <w:rPr>
                <w:rFonts w:ascii="Arial" w:hAnsi="Arial" w:cs="Arial"/>
                <w:sz w:val="18"/>
                <w:szCs w:val="18"/>
                <w:lang w:val="en-GB"/>
              </w:rPr>
            </w:pPr>
          </w:p>
        </w:tc>
        <w:tc>
          <w:tcPr>
            <w:tcW w:w="8331" w:type="dxa"/>
            <w:shd w:val="clear" w:color="auto" w:fill="E6E6E6"/>
          </w:tcPr>
          <w:p w14:paraId="3EF21019"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Approximately 60% of ocean is area beyond national jurisdiction (ABNJ), but because most of this is remote ocean or polar land it can be societally ‘out of sight and mind’. Such areas hold 50% of oceanic primary productivity and an important fraction of the planet’s biodiversity and very significant current and future climate mitigation in the form of carbon storage. Global to local initiatives (within jurisdiction) have attempted to reduce biodiversity threats. For example</w:t>
            </w:r>
            <w:r w:rsidR="009477F2" w:rsidRPr="009A3193">
              <w:rPr>
                <w:rFonts w:ascii="Arial" w:hAnsi="Arial" w:cs="Arial"/>
                <w:sz w:val="18"/>
                <w:szCs w:val="18"/>
                <w:lang w:val="en-GB"/>
              </w:rPr>
              <w:t>,</w:t>
            </w:r>
            <w:r w:rsidRPr="009A3193">
              <w:rPr>
                <w:rFonts w:ascii="Arial" w:hAnsi="Arial" w:cs="Arial"/>
                <w:sz w:val="18"/>
                <w:szCs w:val="18"/>
                <w:lang w:val="en-GB"/>
              </w:rPr>
              <w:t xml:space="preserve"> plastic waste reduction can have a disproportionately high (positive) effect in the high seas, as it is a massive sink. Specific actions focussed beyond ABNJ have included the recent establishment of High Seas Marine Protected Areas, such as south of the South Orkney Islands and part of the Ross Sea, both in the Southern Ocean </w:t>
            </w:r>
            <w:hyperlink r:id="rId52">
              <w:r w:rsidRPr="009A3193">
                <w:rPr>
                  <w:rFonts w:ascii="Arial" w:hAnsi="Arial" w:cs="Arial"/>
                  <w:sz w:val="18"/>
                  <w:szCs w:val="18"/>
                  <w:lang w:val="en-GB"/>
                </w:rPr>
                <w:t>(Trathan et al., 2014)</w:t>
              </w:r>
            </w:hyperlink>
            <w:r w:rsidRPr="009A3193">
              <w:rPr>
                <w:rFonts w:ascii="Arial" w:hAnsi="Arial" w:cs="Arial"/>
                <w:sz w:val="18"/>
                <w:szCs w:val="18"/>
                <w:lang w:val="en-GB"/>
              </w:rPr>
              <w:t xml:space="preserve">. Such areas could be major targets of emerging mesopelagic fisheries and marine mining. The aim has been to safeguard unique and important areas with high seabird, seal and cetacean concentrations but also have anomalously high richness of endemic invertebrates and strong ecosystem services. The South Orkney Islands are a polar hotspot of carbon capture and storage, and unlike lower latitude hotspots, this is a rare and valuable negative feedback on climate change </w:t>
            </w:r>
            <w:hyperlink r:id="rId53">
              <w:r w:rsidRPr="009A3193">
                <w:rPr>
                  <w:rFonts w:ascii="Arial" w:hAnsi="Arial" w:cs="Arial"/>
                  <w:sz w:val="18"/>
                  <w:szCs w:val="18"/>
                  <w:lang w:val="en-GB"/>
                </w:rPr>
                <w:t>(Barnes et al., 2016)</w:t>
              </w:r>
            </w:hyperlink>
            <w:r w:rsidRPr="009A3193">
              <w:rPr>
                <w:rFonts w:ascii="Arial" w:hAnsi="Arial" w:cs="Arial"/>
                <w:sz w:val="18"/>
                <w:szCs w:val="18"/>
                <w:lang w:val="en-GB"/>
              </w:rPr>
              <w:t xml:space="preserve">. Thus, protection of the South Orkney islands has added climate mitigation value beyond the natural capital of existing blue carbon storage because climate-forced glacier retreat and sea ice losses are increasing phytoplankton blooms </w:t>
            </w:r>
            <w:hyperlink r:id="rId54">
              <w:r w:rsidRPr="009A3193">
                <w:rPr>
                  <w:rFonts w:ascii="Arial" w:hAnsi="Arial" w:cs="Arial"/>
                  <w:sz w:val="18"/>
                  <w:szCs w:val="18"/>
                  <w:lang w:val="en-GB"/>
                </w:rPr>
                <w:t>(Arrigo et al., 2008)</w:t>
              </w:r>
            </w:hyperlink>
            <w:r w:rsidRPr="009A3193">
              <w:rPr>
                <w:rFonts w:ascii="Arial" w:hAnsi="Arial" w:cs="Arial"/>
                <w:sz w:val="18"/>
                <w:szCs w:val="18"/>
                <w:lang w:val="en-GB"/>
              </w:rPr>
              <w:t xml:space="preserve"> and consequently benthic carbon storage </w:t>
            </w:r>
            <w:hyperlink r:id="rId55">
              <w:r w:rsidRPr="009A3193">
                <w:rPr>
                  <w:rFonts w:ascii="Arial" w:hAnsi="Arial" w:cs="Arial"/>
                  <w:sz w:val="18"/>
                  <w:szCs w:val="18"/>
                  <w:lang w:val="en-GB"/>
                </w:rPr>
                <w:t>(Barnes et al., 2016)</w:t>
              </w:r>
            </w:hyperlink>
            <w:r w:rsidRPr="009A3193">
              <w:rPr>
                <w:rFonts w:ascii="Arial" w:hAnsi="Arial" w:cs="Arial"/>
                <w:sz w:val="18"/>
                <w:szCs w:val="18"/>
                <w:lang w:val="en-GB"/>
              </w:rPr>
              <w:t xml:space="preserve"> there. </w:t>
            </w:r>
          </w:p>
          <w:p w14:paraId="67605BBB" w14:textId="77777777" w:rsidR="00B00A6D"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Safeguarding hotspots of biodiversity and carbon sequestration is particularly difficult when it requires unanimous agreement from multiple nations, so there are few high seas protected areas – despite representing much of planet Earth. Amongst the world’s first, around the South Orkney Islands, has &gt;1200 species across 24 phyla, most are endemic, only two are non-native and it is a recognized polar carbon sequestration hotspot, due to highly productive ecosystem services.</w:t>
            </w:r>
          </w:p>
        </w:tc>
      </w:tr>
    </w:tbl>
    <w:p w14:paraId="41A85D6A" w14:textId="77777777" w:rsidR="00FC49E2" w:rsidRPr="009A3193" w:rsidRDefault="00FC49E2">
      <w:pPr>
        <w:rPr>
          <w:lang w:val="en-GB"/>
        </w:rPr>
      </w:pPr>
      <w:r w:rsidRPr="009A3193">
        <w:rPr>
          <w:lang w:val="en-GB"/>
        </w:rPr>
        <w:br w:type="page"/>
      </w:r>
    </w:p>
    <w:p w14:paraId="73148498" w14:textId="77777777" w:rsidR="00A72F22" w:rsidRPr="009A3193" w:rsidRDefault="00A72F22">
      <w:pPr>
        <w:rPr>
          <w:lang w:val="en-GB"/>
        </w:rPr>
      </w:pPr>
    </w:p>
    <w:p w14:paraId="752FBA4B" w14:textId="77777777" w:rsidR="00A72F22" w:rsidRPr="009A3193" w:rsidRDefault="00A72F22">
      <w:pPr>
        <w:rPr>
          <w:lang w:val="en-GB"/>
        </w:rPr>
      </w:pPr>
    </w:p>
    <w:p w14:paraId="430AD1D9" w14:textId="77777777" w:rsidR="00A72F22" w:rsidRPr="009A3193" w:rsidRDefault="00A72F22">
      <w:pPr>
        <w:rPr>
          <w:lang w:val="en-GB"/>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725"/>
        <w:gridCol w:w="8331"/>
      </w:tblGrid>
      <w:tr w:rsidR="00901FAF" w:rsidRPr="009A3193" w14:paraId="4F0E913A" w14:textId="77777777" w:rsidTr="006A2115">
        <w:trPr>
          <w:trHeight w:val="170"/>
        </w:trPr>
        <w:tc>
          <w:tcPr>
            <w:tcW w:w="725" w:type="dxa"/>
            <w:shd w:val="clear" w:color="auto" w:fill="1F4E79" w:themeFill="accent1" w:themeFillShade="80"/>
            <w:vAlign w:val="center"/>
          </w:tcPr>
          <w:p w14:paraId="11213C64" w14:textId="77777777" w:rsidR="009B5D53"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CS 9</w:t>
            </w:r>
          </w:p>
        </w:tc>
        <w:tc>
          <w:tcPr>
            <w:tcW w:w="8331" w:type="dxa"/>
            <w:shd w:val="clear" w:color="auto" w:fill="1F4E79" w:themeFill="accent1" w:themeFillShade="80"/>
            <w:vAlign w:val="center"/>
          </w:tcPr>
          <w:p w14:paraId="4316718A" w14:textId="77777777" w:rsidR="009B5D53" w:rsidRPr="009A3193" w:rsidRDefault="006C160A"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Bush encroachment, Southern Africa</w:t>
            </w:r>
          </w:p>
        </w:tc>
      </w:tr>
      <w:tr w:rsidR="00B00A6D" w:rsidRPr="009A3193" w14:paraId="07CE1419" w14:textId="77777777" w:rsidTr="006A2115">
        <w:tc>
          <w:tcPr>
            <w:tcW w:w="725" w:type="dxa"/>
            <w:shd w:val="clear" w:color="auto" w:fill="E6E6E6"/>
          </w:tcPr>
          <w:p w14:paraId="7CE62C97" w14:textId="77777777" w:rsidR="00B00A6D" w:rsidRPr="009A3193" w:rsidRDefault="00B00A6D" w:rsidP="003F5851">
            <w:pPr>
              <w:spacing w:before="60" w:after="60" w:line="264" w:lineRule="auto"/>
              <w:jc w:val="both"/>
              <w:rPr>
                <w:rFonts w:ascii="Arial" w:hAnsi="Arial" w:cs="Arial"/>
                <w:sz w:val="18"/>
                <w:szCs w:val="18"/>
                <w:lang w:val="en-GB"/>
              </w:rPr>
            </w:pPr>
          </w:p>
        </w:tc>
        <w:tc>
          <w:tcPr>
            <w:tcW w:w="8331" w:type="dxa"/>
            <w:shd w:val="clear" w:color="auto" w:fill="E6E6E6"/>
          </w:tcPr>
          <w:p w14:paraId="2549AAD9"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Disturbance-driven tropical ecosystems generally have much lower standing biomass than is potentially the case in the absence of disturbance </w:t>
            </w:r>
            <w:hyperlink r:id="rId56">
              <w:r w:rsidRPr="009A3193">
                <w:rPr>
                  <w:rFonts w:ascii="Arial" w:hAnsi="Arial" w:cs="Arial"/>
                  <w:sz w:val="18"/>
                  <w:szCs w:val="18"/>
                  <w:lang w:val="en-GB"/>
                </w:rPr>
                <w:t>(Bond et al., 2005)</w:t>
              </w:r>
            </w:hyperlink>
            <w:r w:rsidRPr="009A3193">
              <w:rPr>
                <w:rFonts w:ascii="Arial" w:hAnsi="Arial" w:cs="Arial"/>
                <w:sz w:val="18"/>
                <w:szCs w:val="18"/>
                <w:lang w:val="en-GB"/>
              </w:rPr>
              <w:t xml:space="preserve">. Wildfire and browsing pressure maintain these systems in an “open” condition, and has done so for millennia, resulting in the iconic grassland and savanna landscapes and forest-averse diversity of tropical Africa, South America, and Australasia. Substantial conservation effort is associated with maintaining high value nature-based tourism in Africa (in a range of areas), but this applies to a lesser extent on other continents. </w:t>
            </w:r>
          </w:p>
          <w:p w14:paraId="162C0267"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A substantial portion of these lands have been targeted by aspirational afforestation programs, creating, in certain areas, a conflict between mitigation and biodiversity outcomes on a global scale (as well as with implications for forest-water interactions). In some of these regions, a poorly understood mix of management actions and climate change drivers, including (but not limited to) increasing CO</w:t>
            </w:r>
            <w:r w:rsidRPr="009A3193">
              <w:rPr>
                <w:rFonts w:ascii="Arial" w:hAnsi="Arial" w:cs="Arial"/>
                <w:sz w:val="18"/>
                <w:szCs w:val="18"/>
                <w:vertAlign w:val="subscript"/>
                <w:lang w:val="en-GB"/>
              </w:rPr>
              <w:t>2</w:t>
            </w:r>
            <w:r w:rsidRPr="009A3193">
              <w:rPr>
                <w:rFonts w:ascii="Arial" w:hAnsi="Arial" w:cs="Arial"/>
                <w:sz w:val="18"/>
                <w:szCs w:val="18"/>
                <w:lang w:val="en-GB"/>
              </w:rPr>
              <w:t xml:space="preserve"> fertilization of tree growth, is leading to the conversion of these open ecosystems to a state of bush encroachment </w:t>
            </w:r>
            <w:hyperlink r:id="rId57">
              <w:r w:rsidRPr="009A3193">
                <w:rPr>
                  <w:rFonts w:ascii="Arial" w:hAnsi="Arial" w:cs="Arial"/>
                  <w:sz w:val="18"/>
                  <w:szCs w:val="18"/>
                  <w:lang w:val="en-GB"/>
                </w:rPr>
                <w:t>(Stevens et al., 2017)</w:t>
              </w:r>
            </w:hyperlink>
            <w:r w:rsidRPr="009A3193">
              <w:rPr>
                <w:rFonts w:ascii="Arial" w:hAnsi="Arial" w:cs="Arial"/>
                <w:sz w:val="18"/>
                <w:szCs w:val="18"/>
                <w:lang w:val="en-GB"/>
              </w:rPr>
              <w:t xml:space="preserve">, with, amongst other impacts, reduced palatability and grazing capacity. </w:t>
            </w:r>
          </w:p>
          <w:p w14:paraId="3164EC68" w14:textId="1DEED0EE" w:rsidR="00B00A6D"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Experimental efforts using extreme fires and mechanical harvesting have been tested as a way of reversing these trends </w:t>
            </w:r>
            <w:hyperlink r:id="rId58">
              <w:r w:rsidRPr="009A3193">
                <w:rPr>
                  <w:rFonts w:ascii="Arial" w:hAnsi="Arial" w:cs="Arial"/>
                  <w:sz w:val="18"/>
                  <w:szCs w:val="18"/>
                  <w:lang w:val="en-GB"/>
                </w:rPr>
                <w:t>(Joubert et al., 2012; Smit et al., 2016)</w:t>
              </w:r>
            </w:hyperlink>
            <w:r w:rsidRPr="009A3193">
              <w:rPr>
                <w:rFonts w:ascii="Arial" w:hAnsi="Arial" w:cs="Arial"/>
                <w:sz w:val="18"/>
                <w:szCs w:val="18"/>
                <w:lang w:val="en-GB"/>
              </w:rPr>
              <w:t xml:space="preserve">. The expected effects on biodiversity include reduced success of multiple species dependent on open, disturbance driven systems. Examples include the plains fauna of Africa, with clear direct impacts already visible for vulture, cheetah, and a myriad of smaller grassland bird species. Birds of woodlands and forests appear to be increasing in abundance in these regions. There are potentially substantive mitigation implications. In Namibia, for example, the extent of natural afforestation by bush encroachment is sufficiently large to offset national fossil fuel emissions </w:t>
            </w:r>
            <w:hyperlink r:id="rId59">
              <w:r w:rsidRPr="009A3193">
                <w:rPr>
                  <w:rFonts w:ascii="Arial" w:hAnsi="Arial" w:cs="Arial"/>
                  <w:sz w:val="18"/>
                  <w:szCs w:val="18"/>
                  <w:lang w:val="en-GB"/>
                </w:rPr>
                <w:t>(Ministry of Environment and Tourism, 2011)</w:t>
              </w:r>
            </w:hyperlink>
            <w:r w:rsidRPr="009A3193">
              <w:rPr>
                <w:rFonts w:ascii="Arial" w:hAnsi="Arial" w:cs="Arial"/>
                <w:sz w:val="18"/>
                <w:szCs w:val="18"/>
                <w:lang w:val="en-GB"/>
              </w:rPr>
              <w:t xml:space="preserve">. Maintenance of these open ecosystems will ensure the persistence of disturbance driven habitats, with important effects on landscape level water use </w:t>
            </w:r>
            <w:hyperlink r:id="rId60">
              <w:r w:rsidR="00580433" w:rsidRPr="009A3193">
                <w:rPr>
                  <w:rFonts w:ascii="Arial" w:hAnsi="Arial" w:cs="Arial"/>
                  <w:sz w:val="18"/>
                  <w:szCs w:val="18"/>
                  <w:lang w:val="en-GB"/>
                </w:rPr>
                <w:t>(e.g.</w:t>
              </w:r>
              <w:r w:rsidR="009A3193">
                <w:rPr>
                  <w:rFonts w:ascii="Arial" w:hAnsi="Arial" w:cs="Arial"/>
                  <w:sz w:val="18"/>
                  <w:szCs w:val="18"/>
                  <w:lang w:val="en-GB"/>
                </w:rPr>
                <w:t>,</w:t>
              </w:r>
              <w:r w:rsidR="00580433" w:rsidRPr="009A3193">
                <w:rPr>
                  <w:rFonts w:ascii="Arial" w:hAnsi="Arial" w:cs="Arial"/>
                  <w:sz w:val="18"/>
                  <w:szCs w:val="18"/>
                  <w:lang w:val="en-GB"/>
                </w:rPr>
                <w:t xml:space="preserve"> </w:t>
              </w:r>
              <w:r w:rsidRPr="009A3193">
                <w:rPr>
                  <w:rFonts w:ascii="Arial" w:hAnsi="Arial" w:cs="Arial"/>
                  <w:sz w:val="18"/>
                  <w:szCs w:val="18"/>
                  <w:lang w:val="en-GB"/>
                </w:rPr>
                <w:t>Creed et al., 2019)</w:t>
              </w:r>
            </w:hyperlink>
            <w:r w:rsidRPr="009A3193">
              <w:rPr>
                <w:rFonts w:ascii="Arial" w:hAnsi="Arial" w:cs="Arial"/>
                <w:sz w:val="18"/>
                <w:szCs w:val="18"/>
                <w:lang w:val="en-GB"/>
              </w:rPr>
              <w:t xml:space="preserve"> and the maintenance of lower intensity wildfire regimes. Open ecosystems also provide multiple material services centered on subsistence livelihoods, including extensive grazing and thatching, and the irreplaceable cultural elements associated with these lifestyles. Afforestation using non-indigenous tree species, in order to generate higher growth rates, has been shown to degrade almost every ecosystem service mentioned above, leading to woody plant invasions, drying up water flows, intensifying fire regimes, reducing biodiversity, and destroying historical livelihoods </w:t>
            </w:r>
            <w:hyperlink r:id="rId61">
              <w:r w:rsidR="00580433" w:rsidRPr="009A3193">
                <w:rPr>
                  <w:rFonts w:ascii="Arial" w:hAnsi="Arial" w:cs="Arial"/>
                  <w:sz w:val="18"/>
                  <w:szCs w:val="18"/>
                  <w:lang w:val="en-GB"/>
                </w:rPr>
                <w:t>(</w:t>
              </w:r>
              <w:r w:rsidRPr="009A3193">
                <w:rPr>
                  <w:rFonts w:ascii="Arial" w:hAnsi="Arial" w:cs="Arial"/>
                  <w:sz w:val="18"/>
                  <w:szCs w:val="18"/>
                  <w:lang w:val="en-GB"/>
                </w:rPr>
                <w:t>Creed et al., 2019; McNulty et al., 2018)</w:t>
              </w:r>
            </w:hyperlink>
            <w:r w:rsidRPr="009A3193">
              <w:rPr>
                <w:rFonts w:ascii="Arial" w:hAnsi="Arial" w:cs="Arial"/>
                <w:sz w:val="18"/>
                <w:szCs w:val="18"/>
                <w:lang w:val="en-GB"/>
              </w:rPr>
              <w:t xml:space="preserve">. Recognition of the natural cooling effects of high albedo, and the plethora of ecosystem services under threat in tropical open ecosystems would provide opportunities for sustainable management of these systems for both local and global benefit. In South Africa, active removal of woody encroachers has created millions of job opportunities and slowed encroachment and protected endemic diversity over hundreds of thousands of hectares </w:t>
            </w:r>
            <w:hyperlink r:id="rId62">
              <w:r w:rsidRPr="009A3193">
                <w:rPr>
                  <w:rFonts w:ascii="Arial" w:hAnsi="Arial" w:cs="Arial"/>
                  <w:sz w:val="18"/>
                  <w:szCs w:val="18"/>
                  <w:lang w:val="en-GB"/>
                </w:rPr>
                <w:t>(van Wilgen et al., 2012)</w:t>
              </w:r>
            </w:hyperlink>
            <w:r w:rsidRPr="009A3193">
              <w:rPr>
                <w:rFonts w:ascii="Arial" w:hAnsi="Arial" w:cs="Arial"/>
                <w:sz w:val="18"/>
                <w:szCs w:val="18"/>
                <w:lang w:val="en-GB"/>
              </w:rPr>
              <w:t>.</w:t>
            </w:r>
          </w:p>
        </w:tc>
      </w:tr>
    </w:tbl>
    <w:p w14:paraId="07E5AD0C" w14:textId="77777777" w:rsidR="00FC49E2" w:rsidRPr="009A3193" w:rsidRDefault="00FC49E2">
      <w:pPr>
        <w:rPr>
          <w:lang w:val="en-GB"/>
        </w:rPr>
      </w:pPr>
      <w:r w:rsidRPr="009A3193">
        <w:rPr>
          <w:lang w:val="en-GB"/>
        </w:rPr>
        <w:br w:type="page"/>
      </w:r>
    </w:p>
    <w:p w14:paraId="112C4E0C" w14:textId="77777777" w:rsidR="00A72F22" w:rsidRPr="009A3193" w:rsidRDefault="00A72F22">
      <w:pPr>
        <w:rPr>
          <w:lang w:val="en-GB"/>
        </w:rPr>
      </w:pPr>
    </w:p>
    <w:p w14:paraId="6BBAEE09" w14:textId="77777777" w:rsidR="00A72F22" w:rsidRPr="009A3193" w:rsidRDefault="00A72F22">
      <w:pPr>
        <w:rPr>
          <w:lang w:val="en-GB"/>
        </w:rPr>
      </w:pPr>
    </w:p>
    <w:p w14:paraId="7D4ABAA3" w14:textId="77777777" w:rsidR="00A72F22" w:rsidRPr="009A3193" w:rsidRDefault="00A72F22">
      <w:pPr>
        <w:rPr>
          <w:lang w:val="en-GB"/>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725"/>
        <w:gridCol w:w="8331"/>
      </w:tblGrid>
      <w:tr w:rsidR="00901FAF" w:rsidRPr="009A3193" w14:paraId="40DF025B" w14:textId="77777777" w:rsidTr="006A2115">
        <w:trPr>
          <w:trHeight w:val="170"/>
        </w:trPr>
        <w:tc>
          <w:tcPr>
            <w:tcW w:w="725" w:type="dxa"/>
            <w:shd w:val="clear" w:color="auto" w:fill="1F4E79" w:themeFill="accent1" w:themeFillShade="80"/>
            <w:vAlign w:val="center"/>
          </w:tcPr>
          <w:p w14:paraId="36E70AA8" w14:textId="77777777" w:rsidR="009B5D53"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CS 10</w:t>
            </w:r>
          </w:p>
        </w:tc>
        <w:tc>
          <w:tcPr>
            <w:tcW w:w="8331" w:type="dxa"/>
            <w:shd w:val="clear" w:color="auto" w:fill="1F4E79" w:themeFill="accent1" w:themeFillShade="80"/>
            <w:vAlign w:val="center"/>
          </w:tcPr>
          <w:p w14:paraId="5890AA38" w14:textId="77777777" w:rsidR="009B5D53" w:rsidRPr="009A3193" w:rsidRDefault="006C160A"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Amazonian rainforest</w:t>
            </w:r>
          </w:p>
        </w:tc>
      </w:tr>
      <w:tr w:rsidR="00B00A6D" w:rsidRPr="009A3193" w14:paraId="727C18AC" w14:textId="77777777" w:rsidTr="006A2115">
        <w:tc>
          <w:tcPr>
            <w:tcW w:w="725" w:type="dxa"/>
            <w:shd w:val="clear" w:color="auto" w:fill="E6E6E6"/>
          </w:tcPr>
          <w:p w14:paraId="466A38FF" w14:textId="77777777" w:rsidR="00B00A6D" w:rsidRPr="009A3193" w:rsidRDefault="00B00A6D" w:rsidP="00DA73F5">
            <w:pPr>
              <w:jc w:val="both"/>
              <w:rPr>
                <w:rFonts w:ascii="Arial" w:hAnsi="Arial" w:cs="Arial"/>
                <w:sz w:val="18"/>
                <w:szCs w:val="18"/>
                <w:lang w:val="en-GB"/>
              </w:rPr>
            </w:pPr>
          </w:p>
        </w:tc>
        <w:tc>
          <w:tcPr>
            <w:tcW w:w="8331" w:type="dxa"/>
            <w:shd w:val="clear" w:color="auto" w:fill="E6E6E6"/>
          </w:tcPr>
          <w:p w14:paraId="7419639A"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The Amazon rainforest is more than a case; it is key to understanding the biodiversity-climate interlinkages at a global scale. The region harbours an impressive number of species, provides ecosystem services that operate at the planetary scale, many of them directly related to climate (i.e., carbon storage, water cycling), across nine countries where around 30 million persons live with different cultures </w:t>
            </w:r>
            <w:hyperlink r:id="rId63">
              <w:r w:rsidRPr="009A3193">
                <w:rPr>
                  <w:rFonts w:ascii="Arial" w:hAnsi="Arial" w:cs="Arial"/>
                  <w:sz w:val="18"/>
                  <w:szCs w:val="18"/>
                  <w:lang w:val="en-GB"/>
                </w:rPr>
                <w:t>(Joly et al., 2018)</w:t>
              </w:r>
            </w:hyperlink>
            <w:r w:rsidRPr="009A3193">
              <w:rPr>
                <w:rFonts w:ascii="Arial" w:hAnsi="Arial" w:cs="Arial"/>
                <w:sz w:val="18"/>
                <w:szCs w:val="18"/>
                <w:lang w:val="en-GB"/>
              </w:rPr>
              <w:t xml:space="preserve">. The Amazon is responsible for delivering all sorts of ecosystem services, despite essential gaps in the scientific literature </w:t>
            </w:r>
            <w:hyperlink r:id="rId64">
              <w:r w:rsidRPr="009A3193">
                <w:rPr>
                  <w:rFonts w:ascii="Arial" w:hAnsi="Arial" w:cs="Arial"/>
                  <w:sz w:val="18"/>
                  <w:szCs w:val="18"/>
                  <w:lang w:val="en-GB"/>
                </w:rPr>
                <w:t>(Pires et al., 2018)</w:t>
              </w:r>
            </w:hyperlink>
            <w:r w:rsidRPr="009A3193">
              <w:rPr>
                <w:rFonts w:ascii="Arial" w:hAnsi="Arial" w:cs="Arial"/>
                <w:sz w:val="18"/>
                <w:szCs w:val="18"/>
                <w:lang w:val="en-GB"/>
              </w:rPr>
              <w:t>. Forest products, such as ‘açai’, are responsible for mobilizing more than US$ 1.5 billion y</w:t>
            </w:r>
            <w:r w:rsidRPr="009A3193">
              <w:rPr>
                <w:rFonts w:ascii="Arial" w:hAnsi="Arial" w:cs="Arial"/>
                <w:sz w:val="18"/>
                <w:szCs w:val="18"/>
                <w:vertAlign w:val="superscript"/>
                <w:lang w:val="en-GB"/>
              </w:rPr>
              <w:t>-1</w:t>
            </w:r>
            <w:r w:rsidRPr="009A3193">
              <w:rPr>
                <w:rFonts w:ascii="Arial" w:hAnsi="Arial" w:cs="Arial"/>
                <w:sz w:val="18"/>
                <w:szCs w:val="18"/>
                <w:lang w:val="en-GB"/>
              </w:rPr>
              <w:t xml:space="preserve"> </w:t>
            </w:r>
            <w:hyperlink r:id="rId65">
              <w:r w:rsidRPr="009A3193">
                <w:rPr>
                  <w:rFonts w:ascii="Arial" w:hAnsi="Arial" w:cs="Arial"/>
                  <w:sz w:val="18"/>
                  <w:szCs w:val="18"/>
                  <w:lang w:val="en-GB"/>
                </w:rPr>
                <w:t>(Scarano et al., 2020)</w:t>
              </w:r>
            </w:hyperlink>
            <w:r w:rsidRPr="009A3193">
              <w:rPr>
                <w:rFonts w:ascii="Arial" w:hAnsi="Arial" w:cs="Arial"/>
                <w:sz w:val="18"/>
                <w:szCs w:val="18"/>
                <w:lang w:val="en-GB"/>
              </w:rPr>
              <w:t xml:space="preserve">, but with an unexplored potential. Although recent estimates predict that the biome has around 82% of its original vegetation </w:t>
            </w:r>
            <w:hyperlink r:id="rId66">
              <w:r w:rsidRPr="009A3193">
                <w:rPr>
                  <w:rFonts w:ascii="Arial" w:hAnsi="Arial" w:cs="Arial"/>
                  <w:sz w:val="18"/>
                  <w:szCs w:val="18"/>
                  <w:lang w:val="en-GB"/>
                </w:rPr>
                <w:t>(Lapola et al., 2014)</w:t>
              </w:r>
            </w:hyperlink>
            <w:r w:rsidRPr="009A3193">
              <w:rPr>
                <w:rFonts w:ascii="Arial" w:hAnsi="Arial" w:cs="Arial"/>
                <w:sz w:val="18"/>
                <w:szCs w:val="18"/>
                <w:lang w:val="en-GB"/>
              </w:rPr>
              <w:t xml:space="preserve">, it is quickly losing its ability to provide services </w:t>
            </w:r>
            <w:hyperlink r:id="rId67">
              <w:r w:rsidRPr="009A3193">
                <w:rPr>
                  <w:rFonts w:ascii="Arial" w:hAnsi="Arial" w:cs="Arial"/>
                  <w:sz w:val="18"/>
                  <w:szCs w:val="18"/>
                  <w:lang w:val="en-GB"/>
                </w:rPr>
                <w:t>(Solen et al., 2018)</w:t>
              </w:r>
            </w:hyperlink>
            <w:r w:rsidRPr="009A3193">
              <w:rPr>
                <w:rFonts w:ascii="Arial" w:hAnsi="Arial" w:cs="Arial"/>
                <w:sz w:val="18"/>
                <w:szCs w:val="18"/>
                <w:lang w:val="en-GB"/>
              </w:rPr>
              <w:t xml:space="preserve">. Deforestation is the most critical threat to the biome and triggers several processes that speed up its degradation (i.e., forest fires, ‘savannization’, drought) </w:t>
            </w:r>
            <w:hyperlink r:id="rId68">
              <w:r w:rsidR="00580433" w:rsidRPr="009A3193">
                <w:rPr>
                  <w:rFonts w:ascii="Arial" w:hAnsi="Arial" w:cs="Arial"/>
                  <w:sz w:val="18"/>
                  <w:szCs w:val="18"/>
                  <w:lang w:val="en-GB"/>
                </w:rPr>
                <w:t>(</w:t>
              </w:r>
              <w:r w:rsidRPr="009A3193">
                <w:rPr>
                  <w:rFonts w:ascii="Arial" w:hAnsi="Arial" w:cs="Arial"/>
                  <w:sz w:val="18"/>
                  <w:szCs w:val="18"/>
                  <w:lang w:val="en-GB"/>
                </w:rPr>
                <w:t>Barlow et al., 2020; Nobre &amp; Borma, 2009)</w:t>
              </w:r>
            </w:hyperlink>
            <w:r w:rsidRPr="009A3193">
              <w:rPr>
                <w:rFonts w:ascii="Arial" w:hAnsi="Arial" w:cs="Arial"/>
                <w:sz w:val="18"/>
                <w:szCs w:val="18"/>
                <w:lang w:val="en-GB"/>
              </w:rPr>
              <w:t>. In 2020, Brazil registered a total of 76.674 km</w:t>
            </w:r>
            <w:r w:rsidRPr="009A3193">
              <w:rPr>
                <w:rFonts w:ascii="Arial" w:hAnsi="Arial" w:cs="Arial"/>
                <w:sz w:val="18"/>
                <w:szCs w:val="18"/>
                <w:vertAlign w:val="superscript"/>
                <w:lang w:val="en-GB"/>
              </w:rPr>
              <w:t>2</w:t>
            </w:r>
            <w:r w:rsidRPr="009A3193">
              <w:rPr>
                <w:rFonts w:ascii="Arial" w:hAnsi="Arial" w:cs="Arial"/>
                <w:sz w:val="18"/>
                <w:szCs w:val="18"/>
                <w:lang w:val="en-GB"/>
              </w:rPr>
              <w:t xml:space="preserve"> lost due to fire in the biome, which is equivalent to the area of Panamá.</w:t>
            </w:r>
          </w:p>
          <w:p w14:paraId="0D0F0A67" w14:textId="77777777" w:rsidR="00C36194"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Deforestation in the biome is centred in the Brazilian portion and along the Andean piedmont caused mainly by the expansion of cattle and soybean production </w:t>
            </w:r>
            <w:hyperlink r:id="rId69">
              <w:r w:rsidRPr="009A3193">
                <w:rPr>
                  <w:rFonts w:ascii="Arial" w:hAnsi="Arial" w:cs="Arial"/>
                  <w:sz w:val="18"/>
                  <w:szCs w:val="18"/>
                  <w:lang w:val="en-GB"/>
                </w:rPr>
                <w:t>(Malhi et al., 2008)</w:t>
              </w:r>
            </w:hyperlink>
            <w:r w:rsidRPr="009A3193">
              <w:rPr>
                <w:rFonts w:ascii="Arial" w:hAnsi="Arial" w:cs="Arial"/>
                <w:sz w:val="18"/>
                <w:szCs w:val="18"/>
                <w:lang w:val="en-GB"/>
              </w:rPr>
              <w:t xml:space="preserve">. Although around 29% of the biome is in protected areas in Brazil, including indigenous lands, its management fails in preventing deforestation </w:t>
            </w:r>
            <w:hyperlink r:id="rId70">
              <w:r w:rsidRPr="009A3193">
                <w:rPr>
                  <w:rFonts w:ascii="Arial" w:hAnsi="Arial" w:cs="Arial"/>
                  <w:sz w:val="18"/>
                  <w:szCs w:val="18"/>
                  <w:lang w:val="en-GB"/>
                </w:rPr>
                <w:t>(Joly et al., 2018)</w:t>
              </w:r>
            </w:hyperlink>
            <w:r w:rsidRPr="009A3193">
              <w:rPr>
                <w:rFonts w:ascii="Arial" w:hAnsi="Arial" w:cs="Arial"/>
                <w:sz w:val="18"/>
                <w:szCs w:val="18"/>
                <w:lang w:val="en-GB"/>
              </w:rPr>
              <w:t>. The biome faces other critical land-use pressures that can compromise the biodiversity therein and climate-related services. The building of big dams is expected to cause a substantial increas</w:t>
            </w:r>
            <w:r w:rsidR="00580433" w:rsidRPr="009A3193">
              <w:rPr>
                <w:rFonts w:ascii="Arial" w:hAnsi="Arial" w:cs="Arial"/>
                <w:sz w:val="18"/>
                <w:szCs w:val="18"/>
                <w:lang w:val="en-GB"/>
              </w:rPr>
              <w:t xml:space="preserve">e in the carbon dioxide (81 to </w:t>
            </w:r>
            <w:r w:rsidRPr="009A3193">
              <w:rPr>
                <w:rFonts w:ascii="Arial" w:hAnsi="Arial" w:cs="Arial"/>
                <w:sz w:val="18"/>
                <w:szCs w:val="18"/>
                <w:lang w:val="en-GB"/>
              </w:rPr>
              <w:t>310 Tg of CO</w:t>
            </w:r>
            <w:r w:rsidRPr="009A3193">
              <w:rPr>
                <w:rFonts w:ascii="Arial" w:hAnsi="Arial" w:cs="Arial"/>
                <w:sz w:val="18"/>
                <w:szCs w:val="18"/>
                <w:vertAlign w:val="subscript"/>
                <w:lang w:val="en-GB"/>
              </w:rPr>
              <w:t>2</w:t>
            </w:r>
            <w:r w:rsidRPr="009A3193">
              <w:rPr>
                <w:rFonts w:ascii="Arial" w:hAnsi="Arial" w:cs="Arial"/>
                <w:sz w:val="18"/>
                <w:szCs w:val="18"/>
                <w:lang w:val="en-GB"/>
              </w:rPr>
              <w:t>) and methane release (9 to 21 Tg of CH</w:t>
            </w:r>
            <w:r w:rsidRPr="009A3193">
              <w:rPr>
                <w:rFonts w:ascii="Arial" w:hAnsi="Arial" w:cs="Arial"/>
                <w:sz w:val="18"/>
                <w:szCs w:val="18"/>
                <w:vertAlign w:val="subscript"/>
                <w:lang w:val="en-GB"/>
              </w:rPr>
              <w:t>4</w:t>
            </w:r>
            <w:r w:rsidRPr="009A3193">
              <w:rPr>
                <w:rFonts w:ascii="Arial" w:hAnsi="Arial" w:cs="Arial"/>
                <w:sz w:val="18"/>
                <w:szCs w:val="18"/>
                <w:lang w:val="en-GB"/>
              </w:rPr>
              <w:t xml:space="preserve">) </w:t>
            </w:r>
            <w:hyperlink r:id="rId71">
              <w:r w:rsidRPr="009A3193">
                <w:rPr>
                  <w:rFonts w:ascii="Arial" w:hAnsi="Arial" w:cs="Arial"/>
                  <w:sz w:val="18"/>
                  <w:szCs w:val="18"/>
                  <w:lang w:val="en-GB"/>
                </w:rPr>
                <w:t>(de Faria et al., 2015)</w:t>
              </w:r>
            </w:hyperlink>
            <w:r w:rsidRPr="009A3193">
              <w:rPr>
                <w:rFonts w:ascii="Arial" w:hAnsi="Arial" w:cs="Arial"/>
                <w:sz w:val="18"/>
                <w:szCs w:val="18"/>
                <w:lang w:val="en-GB"/>
              </w:rPr>
              <w:t xml:space="preserve">. It is expected that in specific conditions, carbon emission of such a ‘clean energy’ production can be compared to fossil-based power plants </w:t>
            </w:r>
            <w:hyperlink r:id="rId72">
              <w:r w:rsidRPr="009A3193">
                <w:rPr>
                  <w:rFonts w:ascii="Arial" w:hAnsi="Arial" w:cs="Arial"/>
                  <w:sz w:val="18"/>
                  <w:szCs w:val="18"/>
                  <w:lang w:val="en-GB"/>
                </w:rPr>
                <w:t>(de Faria et al., 2015; Fearnside, 2016)</w:t>
              </w:r>
            </w:hyperlink>
            <w:r w:rsidRPr="009A3193">
              <w:rPr>
                <w:rFonts w:ascii="Arial" w:hAnsi="Arial" w:cs="Arial"/>
                <w:sz w:val="18"/>
                <w:szCs w:val="18"/>
                <w:lang w:val="en-GB"/>
              </w:rPr>
              <w:t xml:space="preserve">. Mining is another driver of change in the biome that threatens biodiversity and human livelihood </w:t>
            </w:r>
            <w:hyperlink r:id="rId73">
              <w:r w:rsidRPr="009A3193">
                <w:rPr>
                  <w:rFonts w:ascii="Arial" w:hAnsi="Arial" w:cs="Arial"/>
                  <w:sz w:val="18"/>
                  <w:szCs w:val="18"/>
                  <w:lang w:val="en-GB"/>
                </w:rPr>
                <w:t>(Rosa et al., 2018)</w:t>
              </w:r>
            </w:hyperlink>
            <w:r w:rsidRPr="009A3193">
              <w:rPr>
                <w:rFonts w:ascii="Arial" w:hAnsi="Arial" w:cs="Arial"/>
                <w:sz w:val="18"/>
                <w:szCs w:val="18"/>
                <w:lang w:val="en-GB"/>
              </w:rPr>
              <w:t>.</w:t>
            </w:r>
          </w:p>
          <w:p w14:paraId="150EC3D9" w14:textId="77777777" w:rsidR="00B00A6D"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Thus, to conserve and manage protected areas, restoring degraded lands and strategic land planning in the region are identified as the main actions able to protect biodiversity and ecosystem services, at the same time as promoting climate mitigation </w:t>
            </w:r>
            <w:hyperlink r:id="rId74">
              <w:r w:rsidRPr="009A3193">
                <w:rPr>
                  <w:rFonts w:ascii="Arial" w:hAnsi="Arial" w:cs="Arial"/>
                  <w:sz w:val="18"/>
                  <w:szCs w:val="18"/>
                  <w:lang w:val="en-GB"/>
                </w:rPr>
                <w:t>(Soares-Filho et al., 2010)</w:t>
              </w:r>
            </w:hyperlink>
            <w:r w:rsidRPr="009A3193">
              <w:rPr>
                <w:rFonts w:ascii="Arial" w:hAnsi="Arial" w:cs="Arial"/>
                <w:sz w:val="18"/>
                <w:szCs w:val="18"/>
                <w:lang w:val="en-GB"/>
              </w:rPr>
              <w:t xml:space="preserve">. Ensuring efficiency in the implementation of these protected areas is conditional on promoting such mitigation impact </w:t>
            </w:r>
            <w:hyperlink r:id="rId75">
              <w:r w:rsidRPr="009A3193">
                <w:rPr>
                  <w:rFonts w:ascii="Arial" w:hAnsi="Arial" w:cs="Arial"/>
                  <w:sz w:val="18"/>
                  <w:szCs w:val="18"/>
                  <w:lang w:val="en-GB"/>
                </w:rPr>
                <w:t>(Brienen et al., 2015; Phillips et al., 2017)</w:t>
              </w:r>
            </w:hyperlink>
            <w:r w:rsidRPr="009A3193">
              <w:rPr>
                <w:rFonts w:ascii="Arial" w:hAnsi="Arial" w:cs="Arial"/>
                <w:sz w:val="18"/>
                <w:szCs w:val="18"/>
                <w:lang w:val="en-GB"/>
              </w:rPr>
              <w:t xml:space="preserve">. For example, planning in the establishment of dams in the region could effectively reduce carbon emission and present better cost-benefit strategies </w:t>
            </w:r>
            <w:hyperlink r:id="rId76">
              <w:r w:rsidRPr="009A3193">
                <w:rPr>
                  <w:rFonts w:ascii="Arial" w:hAnsi="Arial" w:cs="Arial"/>
                  <w:sz w:val="18"/>
                  <w:szCs w:val="18"/>
                  <w:lang w:val="en-GB"/>
                </w:rPr>
                <w:t>(Almeida et al., 2019)</w:t>
              </w:r>
            </w:hyperlink>
            <w:r w:rsidRPr="009A3193">
              <w:rPr>
                <w:rFonts w:ascii="Arial" w:hAnsi="Arial" w:cs="Arial"/>
                <w:sz w:val="18"/>
                <w:szCs w:val="18"/>
                <w:lang w:val="en-GB"/>
              </w:rPr>
              <w:t xml:space="preserve">. In this sense, the role of local and indigenous people is fundamental to protect forest areas and ensure those benefits </w:t>
            </w:r>
            <w:hyperlink r:id="rId77">
              <w:r w:rsidRPr="009A3193">
                <w:rPr>
                  <w:rFonts w:ascii="Arial" w:hAnsi="Arial" w:cs="Arial"/>
                  <w:sz w:val="18"/>
                  <w:szCs w:val="18"/>
                  <w:lang w:val="en-GB"/>
                </w:rPr>
                <w:t>(Joly et al., 2018)</w:t>
              </w:r>
            </w:hyperlink>
            <w:r w:rsidRPr="009A3193">
              <w:rPr>
                <w:rFonts w:ascii="Arial" w:hAnsi="Arial" w:cs="Arial"/>
                <w:sz w:val="18"/>
                <w:szCs w:val="18"/>
                <w:lang w:val="en-GB"/>
              </w:rPr>
              <w:t xml:space="preserve">. Land degradation in indigenous lands is lower than in other categories of protected areas, and it is the most effective land tenure in reducing carbon emissions </w:t>
            </w:r>
            <w:hyperlink r:id="rId78">
              <w:r w:rsidRPr="009A3193">
                <w:rPr>
                  <w:rFonts w:ascii="Arial" w:hAnsi="Arial" w:cs="Arial"/>
                  <w:sz w:val="18"/>
                  <w:szCs w:val="18"/>
                  <w:lang w:val="en-GB"/>
                </w:rPr>
                <w:t>(Soares-Filho et al., 2010)</w:t>
              </w:r>
            </w:hyperlink>
            <w:r w:rsidRPr="009A3193">
              <w:rPr>
                <w:rFonts w:ascii="Arial" w:hAnsi="Arial" w:cs="Arial"/>
                <w:sz w:val="18"/>
                <w:szCs w:val="18"/>
                <w:lang w:val="en-GB"/>
              </w:rPr>
              <w:t>. The participation of traditional and indigenous people on the decision processes will help to protect the Amazon and reach the ambitious planetary environmental targets in the coming years.</w:t>
            </w:r>
          </w:p>
        </w:tc>
      </w:tr>
    </w:tbl>
    <w:p w14:paraId="1DCB6B35" w14:textId="77777777" w:rsidR="00FC49E2" w:rsidRPr="009A3193" w:rsidRDefault="00FC49E2">
      <w:pPr>
        <w:rPr>
          <w:lang w:val="en-GB"/>
        </w:rPr>
      </w:pPr>
      <w:r w:rsidRPr="009A3193">
        <w:rPr>
          <w:lang w:val="en-GB"/>
        </w:rPr>
        <w:br w:type="page"/>
      </w: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725"/>
        <w:gridCol w:w="8331"/>
      </w:tblGrid>
      <w:tr w:rsidR="00901FAF" w:rsidRPr="009A3193" w14:paraId="25F52A36" w14:textId="77777777" w:rsidTr="006A2115">
        <w:trPr>
          <w:trHeight w:val="170"/>
        </w:trPr>
        <w:tc>
          <w:tcPr>
            <w:tcW w:w="725" w:type="dxa"/>
            <w:shd w:val="clear" w:color="auto" w:fill="1F4E79" w:themeFill="accent1" w:themeFillShade="80"/>
            <w:vAlign w:val="center"/>
          </w:tcPr>
          <w:p w14:paraId="1FDC9950" w14:textId="77777777" w:rsidR="009B5D53"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lastRenderedPageBreak/>
              <w:t>CS 11</w:t>
            </w:r>
          </w:p>
        </w:tc>
        <w:tc>
          <w:tcPr>
            <w:tcW w:w="8331" w:type="dxa"/>
            <w:shd w:val="clear" w:color="auto" w:fill="1F4E79" w:themeFill="accent1" w:themeFillShade="80"/>
            <w:vAlign w:val="center"/>
          </w:tcPr>
          <w:p w14:paraId="6CF2495B" w14:textId="77777777" w:rsidR="009B5D53" w:rsidRPr="009A3193" w:rsidRDefault="006C160A"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 xml:space="preserve">Pleistocene Park, </w:t>
            </w:r>
            <w:r w:rsidR="003336AF" w:rsidRPr="009A3193">
              <w:rPr>
                <w:rFonts w:ascii="Arial" w:hAnsi="Arial" w:cs="Arial"/>
                <w:color w:val="FFFFFF" w:themeColor="background1"/>
                <w:sz w:val="18"/>
                <w:szCs w:val="18"/>
                <w:lang w:val="en-GB"/>
              </w:rPr>
              <w:t>Northeastern</w:t>
            </w:r>
            <w:r w:rsidRPr="009A3193">
              <w:rPr>
                <w:rFonts w:ascii="Arial" w:hAnsi="Arial" w:cs="Arial"/>
                <w:color w:val="FFFFFF" w:themeColor="background1"/>
                <w:sz w:val="18"/>
                <w:szCs w:val="18"/>
                <w:lang w:val="en-GB"/>
              </w:rPr>
              <w:t xml:space="preserve"> Siberia</w:t>
            </w:r>
          </w:p>
        </w:tc>
      </w:tr>
      <w:tr w:rsidR="00B00A6D" w:rsidRPr="009A3193" w14:paraId="4C7111F8" w14:textId="77777777" w:rsidTr="006A2115">
        <w:tc>
          <w:tcPr>
            <w:tcW w:w="725" w:type="dxa"/>
            <w:shd w:val="clear" w:color="auto" w:fill="E6E6E6"/>
          </w:tcPr>
          <w:p w14:paraId="496120B9" w14:textId="77777777" w:rsidR="00B00A6D" w:rsidRPr="009A3193" w:rsidRDefault="00B00A6D" w:rsidP="00DA73F5">
            <w:pPr>
              <w:jc w:val="both"/>
              <w:rPr>
                <w:rFonts w:ascii="Arial" w:hAnsi="Arial" w:cs="Arial"/>
                <w:sz w:val="18"/>
                <w:szCs w:val="18"/>
                <w:lang w:val="en-GB"/>
              </w:rPr>
            </w:pPr>
          </w:p>
        </w:tc>
        <w:tc>
          <w:tcPr>
            <w:tcW w:w="8331" w:type="dxa"/>
            <w:shd w:val="clear" w:color="auto" w:fill="E6E6E6"/>
          </w:tcPr>
          <w:p w14:paraId="2E314182" w14:textId="77777777" w:rsidR="003F5851"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Pleistocene Park (PlPark) was established to re-wild the mammoth steppe in the Kolyma river lowland north of the Arctic Circle near Chersky, Northeastern Siberia </w:t>
            </w:r>
            <w:hyperlink r:id="rId79">
              <w:r w:rsidRPr="009A3193">
                <w:rPr>
                  <w:rFonts w:ascii="Arial" w:hAnsi="Arial" w:cs="Arial"/>
                  <w:sz w:val="18"/>
                  <w:szCs w:val="18"/>
                  <w:lang w:val="en-GB"/>
                </w:rPr>
                <w:t>(Kintisch, 2015; Zimov, 2005)</w:t>
              </w:r>
            </w:hyperlink>
            <w:r w:rsidRPr="009A3193">
              <w:rPr>
                <w:rFonts w:ascii="Arial" w:hAnsi="Arial" w:cs="Arial"/>
                <w:sz w:val="18"/>
                <w:szCs w:val="18"/>
                <w:lang w:val="en-GB"/>
              </w:rPr>
              <w:t xml:space="preserve">. It was revealed that simultaneous prevention or at least postponement of permafrost thawing can be achieved. In 1996, a 2000-hectare area was fenced, and different herbivores (elk, moose, reindeer, yakutian horses, musk oxen, yaks and bison) were introduced into this park in order to study their effect on plant species composition, vegetation productivity, and soil temperature regime </w:t>
            </w:r>
            <w:hyperlink r:id="rId80">
              <w:r w:rsidRPr="009A3193">
                <w:rPr>
                  <w:rFonts w:ascii="Arial" w:hAnsi="Arial" w:cs="Arial"/>
                  <w:sz w:val="18"/>
                  <w:szCs w:val="18"/>
                  <w:lang w:val="en-GB"/>
                </w:rPr>
                <w:t>(Beer et al., 2020)</w:t>
              </w:r>
            </w:hyperlink>
            <w:r w:rsidRPr="009A3193">
              <w:rPr>
                <w:rFonts w:ascii="Arial" w:hAnsi="Arial" w:cs="Arial"/>
                <w:sz w:val="18"/>
                <w:szCs w:val="18"/>
                <w:lang w:val="en-GB"/>
              </w:rPr>
              <w:t xml:space="preserve">. PlPark and the associated Northeast Science Station, in addition to the scientific advances made by the staff, provide a year-round base for international research in arctic biology, geophysics and atmospheric physics and serve as a teaching lab for undergraduate and graduate students </w:t>
            </w:r>
            <w:hyperlink r:id="rId81">
              <w:r w:rsidRPr="009A3193">
                <w:rPr>
                  <w:rFonts w:ascii="Arial" w:hAnsi="Arial" w:cs="Arial"/>
                  <w:sz w:val="18"/>
                  <w:szCs w:val="18"/>
                  <w:lang w:val="en-GB"/>
                </w:rPr>
                <w:t>(Kintisch, 2015)</w:t>
              </w:r>
            </w:hyperlink>
            <w:r w:rsidRPr="009A3193">
              <w:rPr>
                <w:rFonts w:ascii="Arial" w:hAnsi="Arial" w:cs="Arial"/>
                <w:sz w:val="18"/>
                <w:szCs w:val="18"/>
                <w:lang w:val="en-GB"/>
              </w:rPr>
              <w:t xml:space="preserve">. There is also a potential for employment and new tourism economies </w:t>
            </w:r>
            <w:hyperlink r:id="rId82">
              <w:r w:rsidRPr="009A3193">
                <w:rPr>
                  <w:rFonts w:ascii="Arial" w:hAnsi="Arial" w:cs="Arial"/>
                  <w:sz w:val="18"/>
                  <w:szCs w:val="18"/>
                  <w:lang w:val="en-GB"/>
                </w:rPr>
                <w:t>(Macias-Fauria M. et al., 2020)</w:t>
              </w:r>
            </w:hyperlink>
            <w:r w:rsidR="003F5851" w:rsidRPr="009A3193">
              <w:rPr>
                <w:rFonts w:ascii="Arial" w:hAnsi="Arial" w:cs="Arial"/>
                <w:sz w:val="18"/>
                <w:szCs w:val="18"/>
                <w:lang w:val="en-GB"/>
              </w:rPr>
              <w:t>.</w:t>
            </w:r>
          </w:p>
          <w:p w14:paraId="32AAEC13" w14:textId="77777777" w:rsidR="003F5851"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Winter grazing and movements by the animals compact snow, thereby substantially decreasing the thermal insulation efficiency of snow. This allows much colder freezing of soil in winter, hence colder overall mean annual soil temperature. In the PlPark, an herbivore density of 114 individuals per km</w:t>
            </w:r>
            <w:r w:rsidRPr="009A3193">
              <w:rPr>
                <w:rFonts w:ascii="Arial" w:hAnsi="Arial" w:cs="Arial"/>
                <w:sz w:val="18"/>
                <w:szCs w:val="18"/>
                <w:vertAlign w:val="superscript"/>
                <w:lang w:val="en-GB"/>
              </w:rPr>
              <w:t>2</w:t>
            </w:r>
            <w:r w:rsidRPr="009A3193">
              <w:rPr>
                <w:rFonts w:ascii="Arial" w:hAnsi="Arial" w:cs="Arial"/>
                <w:sz w:val="18"/>
                <w:szCs w:val="18"/>
                <w:lang w:val="en-GB"/>
              </w:rPr>
              <w:t xml:space="preserve"> led to an overall average reduction of snow depth by 50%. The mean annual difference of soil temperature at 90 cm depth inside and outside the PlPark is −1.9 °C </w:t>
            </w:r>
            <w:hyperlink r:id="rId83">
              <w:r w:rsidRPr="009A3193">
                <w:rPr>
                  <w:rFonts w:ascii="Arial" w:hAnsi="Arial" w:cs="Arial"/>
                  <w:sz w:val="18"/>
                  <w:szCs w:val="18"/>
                  <w:lang w:val="en-GB"/>
                </w:rPr>
                <w:t>(Beer et al., 2020)</w:t>
              </w:r>
            </w:hyperlink>
            <w:r w:rsidRPr="009A3193">
              <w:rPr>
                <w:rFonts w:ascii="Arial" w:hAnsi="Arial" w:cs="Arial"/>
                <w:sz w:val="18"/>
                <w:szCs w:val="18"/>
                <w:lang w:val="en-GB"/>
              </w:rPr>
              <w:t xml:space="preserve">. Large herbivores grazing pressure on Arctic tundra ecosystems can have a positive effect on carbon dynamics by changing the plant species composition—including tundra herbs and shrubs, and boreal trees—by selectively foraging. Decrease in shrub cover and leaf area increases summer albedo </w:t>
            </w:r>
            <w:hyperlink r:id="rId84">
              <w:r w:rsidRPr="009A3193">
                <w:rPr>
                  <w:rFonts w:ascii="Arial" w:hAnsi="Arial" w:cs="Arial"/>
                  <w:sz w:val="18"/>
                  <w:szCs w:val="18"/>
                  <w:lang w:val="en-GB"/>
                </w:rPr>
                <w:t>(Cahoon et al., 2012; Falk et al., 2015; Schmitz et al., 2018; Beest et al., 2016)</w:t>
              </w:r>
            </w:hyperlink>
            <w:r w:rsidRPr="009A3193">
              <w:rPr>
                <w:rFonts w:ascii="Arial" w:hAnsi="Arial" w:cs="Arial"/>
                <w:sz w:val="18"/>
                <w:szCs w:val="18"/>
                <w:lang w:val="en-GB"/>
              </w:rPr>
              <w:t>, however it decreases CO</w:t>
            </w:r>
            <w:r w:rsidRPr="009A3193">
              <w:rPr>
                <w:rFonts w:ascii="Arial" w:hAnsi="Arial" w:cs="Arial"/>
                <w:sz w:val="18"/>
                <w:szCs w:val="18"/>
                <w:vertAlign w:val="subscript"/>
                <w:lang w:val="en-GB"/>
              </w:rPr>
              <w:t xml:space="preserve">2 </w:t>
            </w:r>
            <w:r w:rsidRPr="009A3193">
              <w:rPr>
                <w:rFonts w:ascii="Arial" w:hAnsi="Arial" w:cs="Arial"/>
                <w:sz w:val="18"/>
                <w:szCs w:val="18"/>
                <w:lang w:val="en-GB"/>
              </w:rPr>
              <w:t xml:space="preserve">uptake </w:t>
            </w:r>
            <w:hyperlink r:id="rId85">
              <w:r w:rsidRPr="009A3193">
                <w:rPr>
                  <w:rFonts w:ascii="Arial" w:hAnsi="Arial" w:cs="Arial"/>
                  <w:sz w:val="18"/>
                  <w:szCs w:val="18"/>
                  <w:lang w:val="en-GB"/>
                </w:rPr>
                <w:t>(Schmitz et al., 2018)</w:t>
              </w:r>
            </w:hyperlink>
            <w:r w:rsidRPr="009A3193">
              <w:rPr>
                <w:rFonts w:ascii="Arial" w:hAnsi="Arial" w:cs="Arial"/>
                <w:sz w:val="18"/>
                <w:szCs w:val="18"/>
                <w:lang w:val="en-GB"/>
              </w:rPr>
              <w:t xml:space="preserve"> and decrease shading of the soil surface, so increases soil temperature. Megafauna in the Arctic promote grass establishment in slowly growing wet moss/shrubby tundra and allows a revival of a sustainable, highly productive ecosystem. Besides, grasses reduce soil moisture more effectively than mosses through high rates of evapotranspiration </w:t>
            </w:r>
            <w:hyperlink r:id="rId86">
              <w:r w:rsidR="00580433" w:rsidRPr="009A3193">
                <w:rPr>
                  <w:rFonts w:ascii="Arial" w:hAnsi="Arial" w:cs="Arial"/>
                  <w:sz w:val="18"/>
                  <w:szCs w:val="18"/>
                  <w:lang w:val="en-GB"/>
                </w:rPr>
                <w:t xml:space="preserve">(Macias-Fauria </w:t>
              </w:r>
              <w:r w:rsidRPr="009A3193">
                <w:rPr>
                  <w:rFonts w:ascii="Arial" w:hAnsi="Arial" w:cs="Arial"/>
                  <w:sz w:val="18"/>
                  <w:szCs w:val="18"/>
                  <w:lang w:val="en-GB"/>
                </w:rPr>
                <w:t>et al., 2020)</w:t>
              </w:r>
            </w:hyperlink>
            <w:r w:rsidRPr="009A3193">
              <w:rPr>
                <w:rFonts w:ascii="Arial" w:hAnsi="Arial" w:cs="Arial"/>
                <w:sz w:val="18"/>
                <w:szCs w:val="18"/>
                <w:lang w:val="en-GB"/>
              </w:rPr>
              <w:t>. This process already takes place in PlPark. Establishment of high productivity grasslands on the big territory can be a long-term sustainable mechanism for absorption of GHGs from the atmosphere and carbon storage by soil, hence contributing to carbon sequestration in the Arctic. However, CH</w:t>
            </w:r>
            <w:r w:rsidRPr="009A3193">
              <w:rPr>
                <w:rFonts w:ascii="Arial" w:hAnsi="Arial" w:cs="Arial"/>
                <w:sz w:val="18"/>
                <w:szCs w:val="18"/>
                <w:vertAlign w:val="subscript"/>
                <w:lang w:val="en-GB"/>
              </w:rPr>
              <w:t>4</w:t>
            </w:r>
            <w:r w:rsidRPr="009A3193">
              <w:rPr>
                <w:rFonts w:ascii="Arial" w:hAnsi="Arial" w:cs="Arial"/>
                <w:sz w:val="18"/>
                <w:szCs w:val="18"/>
                <w:lang w:val="en-GB"/>
              </w:rPr>
              <w:t xml:space="preserve"> release by large animals could have a negative effect on carbon cycle </w:t>
            </w:r>
            <w:hyperlink r:id="rId87">
              <w:r w:rsidRPr="009A3193">
                <w:rPr>
                  <w:rFonts w:ascii="Arial" w:hAnsi="Arial" w:cs="Arial"/>
                  <w:sz w:val="18"/>
                  <w:szCs w:val="18"/>
                  <w:lang w:val="en-GB"/>
                </w:rPr>
                <w:t>(Falk et al., 2015; Schmitz et al., 2018)</w:t>
              </w:r>
            </w:hyperlink>
            <w:r w:rsidR="003F5851" w:rsidRPr="009A3193">
              <w:rPr>
                <w:rFonts w:ascii="Arial" w:hAnsi="Arial" w:cs="Arial"/>
                <w:sz w:val="18"/>
                <w:szCs w:val="18"/>
                <w:lang w:val="en-GB"/>
              </w:rPr>
              <w:t>.</w:t>
            </w:r>
          </w:p>
          <w:p w14:paraId="622F5231" w14:textId="77777777" w:rsidR="00B00A6D"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 xml:space="preserve">Benefits and trade-offs of large herbivores grazing for climate change mitigation in the Arctic depend on ecosystem type, grazing pressure, time scale and/or grazer community </w:t>
            </w:r>
            <w:hyperlink r:id="rId88">
              <w:r w:rsidR="00580433" w:rsidRPr="009A3193">
                <w:rPr>
                  <w:rFonts w:ascii="Arial" w:hAnsi="Arial" w:cs="Arial"/>
                  <w:sz w:val="18"/>
                  <w:szCs w:val="18"/>
                  <w:lang w:val="en-GB"/>
                </w:rPr>
                <w:t xml:space="preserve">(Falk et al., 2015; Ylänne </w:t>
              </w:r>
              <w:r w:rsidRPr="009A3193">
                <w:rPr>
                  <w:rFonts w:ascii="Arial" w:hAnsi="Arial" w:cs="Arial"/>
                  <w:sz w:val="18"/>
                  <w:szCs w:val="18"/>
                  <w:lang w:val="en-GB"/>
                </w:rPr>
                <w:t>et al., 2020)</w:t>
              </w:r>
            </w:hyperlink>
            <w:r w:rsidRPr="009A3193">
              <w:rPr>
                <w:rFonts w:ascii="Arial" w:hAnsi="Arial" w:cs="Arial"/>
                <w:sz w:val="18"/>
                <w:szCs w:val="18"/>
                <w:lang w:val="en-GB"/>
              </w:rPr>
              <w:t xml:space="preserve">. To better understand and quantify interaction of all the processes involved, future monitoring and research is needed </w:t>
            </w:r>
            <w:hyperlink r:id="rId89">
              <w:r w:rsidR="00580433" w:rsidRPr="009A3193">
                <w:rPr>
                  <w:rFonts w:ascii="Arial" w:hAnsi="Arial" w:cs="Arial"/>
                  <w:sz w:val="18"/>
                  <w:szCs w:val="18"/>
                  <w:lang w:val="en-GB"/>
                </w:rPr>
                <w:t>(Macias-Fauria</w:t>
              </w:r>
              <w:r w:rsidRPr="009A3193">
                <w:rPr>
                  <w:rFonts w:ascii="Arial" w:hAnsi="Arial" w:cs="Arial"/>
                  <w:sz w:val="18"/>
                  <w:szCs w:val="18"/>
                  <w:lang w:val="en-GB"/>
                </w:rPr>
                <w:t xml:space="preserve"> et al., 2020)</w:t>
              </w:r>
            </w:hyperlink>
            <w:r w:rsidRPr="009A3193">
              <w:rPr>
                <w:rFonts w:ascii="Arial" w:hAnsi="Arial" w:cs="Arial"/>
                <w:sz w:val="18"/>
                <w:szCs w:val="18"/>
                <w:lang w:val="en-GB"/>
              </w:rPr>
              <w:t>. Soil cooling effect, albedo increase, and additional carbon sequestration may prevent or at least postpone permafrost thawing. Such ecosystem management practices could be scaled up in Arctic permafrost areas and play a significant role as an ecosystem-based solution for global climate change mitigation strategy.</w:t>
            </w:r>
          </w:p>
        </w:tc>
      </w:tr>
      <w:tr w:rsidR="00901FAF" w:rsidRPr="009A3193" w14:paraId="07FBA23B" w14:textId="77777777" w:rsidTr="006A2115">
        <w:trPr>
          <w:trHeight w:val="170"/>
        </w:trPr>
        <w:tc>
          <w:tcPr>
            <w:tcW w:w="725" w:type="dxa"/>
            <w:shd w:val="clear" w:color="auto" w:fill="1F4E79" w:themeFill="accent1" w:themeFillShade="80"/>
            <w:vAlign w:val="center"/>
          </w:tcPr>
          <w:p w14:paraId="28CB2DB6" w14:textId="77777777" w:rsidR="009B5D53" w:rsidRPr="009A3193" w:rsidRDefault="009B5D53"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CS 12</w:t>
            </w:r>
          </w:p>
        </w:tc>
        <w:tc>
          <w:tcPr>
            <w:tcW w:w="8331" w:type="dxa"/>
            <w:shd w:val="clear" w:color="auto" w:fill="1F4E79" w:themeFill="accent1" w:themeFillShade="80"/>
            <w:vAlign w:val="center"/>
          </w:tcPr>
          <w:p w14:paraId="15A5780F" w14:textId="77777777" w:rsidR="009B5D53" w:rsidRPr="009A3193" w:rsidRDefault="006C160A" w:rsidP="00115605">
            <w:pPr>
              <w:spacing w:before="120" w:after="120"/>
              <w:rPr>
                <w:rFonts w:ascii="Arial" w:hAnsi="Arial" w:cs="Arial"/>
                <w:color w:val="FFFFFF" w:themeColor="background1"/>
                <w:sz w:val="18"/>
                <w:szCs w:val="18"/>
                <w:lang w:val="en-GB"/>
              </w:rPr>
            </w:pPr>
            <w:r w:rsidRPr="009A3193">
              <w:rPr>
                <w:rFonts w:ascii="Arial" w:hAnsi="Arial" w:cs="Arial"/>
                <w:color w:val="FFFFFF" w:themeColor="background1"/>
                <w:sz w:val="18"/>
                <w:szCs w:val="18"/>
                <w:lang w:val="en-GB"/>
              </w:rPr>
              <w:t>African peatlands</w:t>
            </w:r>
          </w:p>
        </w:tc>
      </w:tr>
      <w:tr w:rsidR="00B00A6D" w:rsidRPr="009A3193" w14:paraId="21AC894B" w14:textId="77777777" w:rsidTr="006A2115">
        <w:tc>
          <w:tcPr>
            <w:tcW w:w="725" w:type="dxa"/>
            <w:shd w:val="clear" w:color="auto" w:fill="E6E6E6"/>
          </w:tcPr>
          <w:p w14:paraId="5B8B6F8C" w14:textId="77777777" w:rsidR="00B00A6D" w:rsidRPr="009A3193" w:rsidRDefault="00B00A6D" w:rsidP="00DA73F5">
            <w:pPr>
              <w:jc w:val="both"/>
              <w:rPr>
                <w:rFonts w:ascii="Arial" w:hAnsi="Arial" w:cs="Arial"/>
                <w:sz w:val="18"/>
                <w:szCs w:val="18"/>
                <w:lang w:val="en-GB"/>
              </w:rPr>
            </w:pPr>
          </w:p>
        </w:tc>
        <w:tc>
          <w:tcPr>
            <w:tcW w:w="8331" w:type="dxa"/>
            <w:shd w:val="clear" w:color="auto" w:fill="E6E6E6"/>
          </w:tcPr>
          <w:p w14:paraId="0F433DF5" w14:textId="77777777" w:rsidR="00B00A6D" w:rsidRPr="009A3193" w:rsidRDefault="00C36194" w:rsidP="003F5851">
            <w:pPr>
              <w:spacing w:before="60" w:after="60" w:line="264" w:lineRule="auto"/>
              <w:jc w:val="both"/>
              <w:rPr>
                <w:rFonts w:ascii="Arial" w:hAnsi="Arial" w:cs="Arial"/>
                <w:sz w:val="18"/>
                <w:szCs w:val="18"/>
                <w:lang w:val="en-GB"/>
              </w:rPr>
            </w:pPr>
            <w:r w:rsidRPr="009A3193">
              <w:rPr>
                <w:rFonts w:ascii="Arial" w:hAnsi="Arial" w:cs="Arial"/>
                <w:sz w:val="18"/>
                <w:szCs w:val="18"/>
                <w:lang w:val="en-GB"/>
              </w:rPr>
              <w:t>African peatlands are located mainly in African tropical forests where high rainfall and limited drainage support the accumulation of peat deposits. The peatlands of the central Congo Basin cover roughly 145,500 km</w:t>
            </w:r>
            <w:r w:rsidRPr="009A3193">
              <w:rPr>
                <w:rFonts w:ascii="Arial" w:hAnsi="Arial" w:cs="Arial"/>
                <w:sz w:val="18"/>
                <w:szCs w:val="18"/>
                <w:vertAlign w:val="superscript"/>
                <w:lang w:val="en-GB"/>
              </w:rPr>
              <w:t>2</w:t>
            </w:r>
            <w:r w:rsidR="00AA21DA" w:rsidRPr="009A3193">
              <w:rPr>
                <w:rFonts w:ascii="Arial" w:hAnsi="Arial" w:cs="Arial"/>
                <w:sz w:val="18"/>
                <w:szCs w:val="18"/>
                <w:lang w:val="en-GB"/>
              </w:rPr>
              <w:t xml:space="preserve"> and store about 112.2 GtCO</w:t>
            </w:r>
            <w:r w:rsidR="00AA21DA" w:rsidRPr="009A3193">
              <w:rPr>
                <w:rFonts w:ascii="Arial" w:hAnsi="Arial" w:cs="Arial"/>
                <w:sz w:val="18"/>
                <w:szCs w:val="18"/>
                <w:vertAlign w:val="subscript"/>
                <w:lang w:val="en-GB"/>
              </w:rPr>
              <w:t>2</w:t>
            </w:r>
            <w:r w:rsidR="00AA21DA" w:rsidRPr="009A3193">
              <w:rPr>
                <w:rFonts w:ascii="Arial" w:hAnsi="Arial" w:cs="Arial"/>
                <w:sz w:val="18"/>
                <w:szCs w:val="18"/>
                <w:lang w:val="en-GB"/>
              </w:rPr>
              <w:t>e</w:t>
            </w:r>
            <w:r w:rsidRPr="009A3193">
              <w:rPr>
                <w:rFonts w:ascii="Arial" w:hAnsi="Arial" w:cs="Arial"/>
                <w:sz w:val="18"/>
                <w:szCs w:val="18"/>
                <w:lang w:val="en-GB"/>
              </w:rPr>
              <w:t xml:space="preserve"> of carbon </w:t>
            </w:r>
            <w:hyperlink r:id="rId90">
              <w:r w:rsidRPr="009A3193">
                <w:rPr>
                  <w:rFonts w:ascii="Arial" w:hAnsi="Arial" w:cs="Arial"/>
                  <w:sz w:val="18"/>
                  <w:szCs w:val="18"/>
                  <w:lang w:val="en-GB"/>
                </w:rPr>
                <w:t>(Dargie et al., 2017)</w:t>
              </w:r>
            </w:hyperlink>
            <w:r w:rsidRPr="009A3193">
              <w:rPr>
                <w:rFonts w:ascii="Arial" w:hAnsi="Arial" w:cs="Arial"/>
                <w:sz w:val="18"/>
                <w:szCs w:val="18"/>
                <w:lang w:val="en-GB"/>
              </w:rPr>
              <w:t xml:space="preserve">. The peatlands support unique and iconic biodiversity, much of which is undocumented (e.g. fish, plant and invertebrate species), but including well documented populations of large vertebrates like lowland gorilla, forest elephant, chimpanzee, and bonobo </w:t>
            </w:r>
            <w:hyperlink r:id="rId91">
              <w:r w:rsidRPr="009A3193">
                <w:rPr>
                  <w:rFonts w:ascii="Arial" w:hAnsi="Arial" w:cs="Arial"/>
                  <w:sz w:val="18"/>
                  <w:szCs w:val="18"/>
                  <w:lang w:val="en-GB"/>
                </w:rPr>
                <w:t>(Fay &amp; Agnagna, 1991; Inogwabini et al., 2012; Rainey et al., 2010)</w:t>
              </w:r>
            </w:hyperlink>
            <w:r w:rsidRPr="009A3193">
              <w:rPr>
                <w:rFonts w:ascii="Arial" w:hAnsi="Arial" w:cs="Arial"/>
                <w:sz w:val="18"/>
                <w:szCs w:val="18"/>
                <w:lang w:val="en-GB"/>
              </w:rPr>
              <w:t xml:space="preserve">, and smaller vertebrates including monkeys and dwarf crocodile </w:t>
            </w:r>
            <w:hyperlink r:id="rId92">
              <w:r w:rsidRPr="009A3193">
                <w:rPr>
                  <w:rFonts w:ascii="Arial" w:hAnsi="Arial" w:cs="Arial"/>
                  <w:sz w:val="18"/>
                  <w:szCs w:val="18"/>
                  <w:lang w:val="en-GB"/>
                </w:rPr>
                <w:t>(Riley &amp; Huchzermeyer, 1999)</w:t>
              </w:r>
            </w:hyperlink>
            <w:r w:rsidRPr="009A3193">
              <w:rPr>
                <w:rFonts w:ascii="Arial" w:hAnsi="Arial" w:cs="Arial"/>
                <w:sz w:val="18"/>
                <w:szCs w:val="18"/>
                <w:lang w:val="en-GB"/>
              </w:rPr>
              <w:t xml:space="preserve">. These lands sustainably support indigenous populations that rely on small scale agriculture and fishing </w:t>
            </w:r>
            <w:hyperlink r:id="rId93">
              <w:r w:rsidRPr="009A3193">
                <w:rPr>
                  <w:rFonts w:ascii="Arial" w:hAnsi="Arial" w:cs="Arial"/>
                  <w:sz w:val="18"/>
                  <w:szCs w:val="18"/>
                  <w:lang w:val="en-GB"/>
                </w:rPr>
                <w:t>(Dargie et al., 2019)</w:t>
              </w:r>
            </w:hyperlink>
            <w:r w:rsidRPr="009A3193">
              <w:rPr>
                <w:rFonts w:ascii="Arial" w:hAnsi="Arial" w:cs="Arial"/>
                <w:sz w:val="18"/>
                <w:szCs w:val="18"/>
                <w:lang w:val="en-GB"/>
              </w:rPr>
              <w:t xml:space="preserve">. Current land use change includes active drainage and deforestation, which reduces carbon stocks above and below ground </w:t>
            </w:r>
            <w:hyperlink r:id="rId94">
              <w:r w:rsidRPr="009A3193">
                <w:rPr>
                  <w:rFonts w:ascii="Arial" w:hAnsi="Arial" w:cs="Arial"/>
                  <w:sz w:val="18"/>
                  <w:szCs w:val="18"/>
                  <w:lang w:val="en-GB"/>
                </w:rPr>
                <w:t>(Hooijer et al., 2010; Könönen et al., 2016)</w:t>
              </w:r>
            </w:hyperlink>
            <w:r w:rsidRPr="009A3193">
              <w:rPr>
                <w:rFonts w:ascii="Arial" w:hAnsi="Arial" w:cs="Arial"/>
                <w:sz w:val="18"/>
                <w:szCs w:val="18"/>
                <w:lang w:val="en-GB"/>
              </w:rPr>
              <w:t xml:space="preserve">, and can introduce wildfire </w:t>
            </w:r>
            <w:hyperlink r:id="rId95">
              <w:r w:rsidRPr="009A3193">
                <w:rPr>
                  <w:rFonts w:ascii="Arial" w:hAnsi="Arial" w:cs="Arial"/>
                  <w:sz w:val="18"/>
                  <w:szCs w:val="18"/>
                  <w:lang w:val="en-GB"/>
                </w:rPr>
                <w:t>(Jauhiainen et al., 2012)</w:t>
              </w:r>
            </w:hyperlink>
            <w:r w:rsidRPr="009A3193">
              <w:rPr>
                <w:rFonts w:ascii="Arial" w:hAnsi="Arial" w:cs="Arial"/>
                <w:sz w:val="18"/>
                <w:szCs w:val="18"/>
                <w:lang w:val="en-GB"/>
              </w:rPr>
              <w:t xml:space="preserve">. While indigenous use appears sustainable, new concessions for palm oil production that may be encouraged by international funding and incentives, new road development, hydrocarbon exploration, and planned water transfer schemes in the Congo Basin </w:t>
            </w:r>
            <w:hyperlink r:id="rId96">
              <w:r w:rsidRPr="009A3193">
                <w:rPr>
                  <w:rFonts w:ascii="Arial" w:hAnsi="Arial" w:cs="Arial"/>
                  <w:sz w:val="18"/>
                  <w:szCs w:val="18"/>
                  <w:lang w:val="en-GB"/>
                </w:rPr>
                <w:t>(Dargie et al., 2019)</w:t>
              </w:r>
            </w:hyperlink>
            <w:r w:rsidRPr="009A3193">
              <w:rPr>
                <w:rFonts w:ascii="Arial" w:hAnsi="Arial" w:cs="Arial"/>
                <w:sz w:val="18"/>
                <w:szCs w:val="18"/>
                <w:lang w:val="en-GB"/>
              </w:rPr>
              <w:t xml:space="preserve"> induces significant degradation of this carbon store. Only 11% of peatlands (16,600km</w:t>
            </w:r>
            <w:r w:rsidRPr="009A3193">
              <w:rPr>
                <w:rFonts w:ascii="Arial" w:hAnsi="Arial" w:cs="Arial"/>
                <w:sz w:val="18"/>
                <w:szCs w:val="18"/>
                <w:vertAlign w:val="superscript"/>
                <w:lang w:val="en-GB"/>
              </w:rPr>
              <w:t>2</w:t>
            </w:r>
            <w:r w:rsidRPr="009A3193">
              <w:rPr>
                <w:rFonts w:ascii="Arial" w:hAnsi="Arial" w:cs="Arial"/>
                <w:sz w:val="18"/>
                <w:szCs w:val="18"/>
                <w:lang w:val="en-GB"/>
              </w:rPr>
              <w:t xml:space="preserve">) is located within nationally recognised protected areas. </w:t>
            </w:r>
            <w:hyperlink r:id="rId97">
              <w:r w:rsidRPr="009A3193">
                <w:rPr>
                  <w:rFonts w:ascii="Arial" w:hAnsi="Arial" w:cs="Arial"/>
                  <w:sz w:val="18"/>
                  <w:szCs w:val="18"/>
                  <w:lang w:val="en-GB"/>
                </w:rPr>
                <w:t>(Dargie et al., 2019)</w:t>
              </w:r>
            </w:hyperlink>
            <w:r w:rsidRPr="009A3193">
              <w:rPr>
                <w:rFonts w:ascii="Arial" w:hAnsi="Arial" w:cs="Arial"/>
                <w:sz w:val="18"/>
                <w:szCs w:val="18"/>
                <w:lang w:val="en-GB"/>
              </w:rPr>
              <w:t xml:space="preserve"> propose that conservation and mitigation objectives could be supported by climate, biodiversity and development funding, with clear synergistic benefits between these apparent in this case study. </w:t>
            </w:r>
          </w:p>
        </w:tc>
      </w:tr>
    </w:tbl>
    <w:p w14:paraId="731BB8F1" w14:textId="77777777" w:rsidR="003871D3" w:rsidRPr="009A3193" w:rsidRDefault="003871D3">
      <w:pPr>
        <w:rPr>
          <w:lang w:val="en-GB"/>
        </w:rPr>
      </w:pPr>
      <w:r w:rsidRPr="009A3193">
        <w:rPr>
          <w:lang w:val="en-GB"/>
        </w:rPr>
        <w:br w:type="page"/>
      </w:r>
    </w:p>
    <w:p w14:paraId="0992E652" w14:textId="0C9E696B" w:rsidR="003871D3" w:rsidRPr="00D96F5B" w:rsidRDefault="003871D3">
      <w:pPr>
        <w:rPr>
          <w:b/>
          <w:sz w:val="24"/>
          <w:lang w:val="en-GB"/>
        </w:rPr>
      </w:pPr>
      <w:r w:rsidRPr="00D96F5B">
        <w:rPr>
          <w:b/>
          <w:sz w:val="24"/>
          <w:lang w:val="en-GB"/>
        </w:rPr>
        <w:lastRenderedPageBreak/>
        <w:t>References</w:t>
      </w:r>
      <w:r w:rsidR="00D96F5B" w:rsidRPr="00D96F5B">
        <w:rPr>
          <w:b/>
          <w:sz w:val="24"/>
          <w:lang w:val="en-GB"/>
        </w:rPr>
        <w:t xml:space="preserve"> </w:t>
      </w:r>
      <w:r w:rsidR="00D96F5B">
        <w:rPr>
          <w:b/>
          <w:sz w:val="24"/>
          <w:lang w:val="en-GB"/>
        </w:rPr>
        <w:t>(for Tables S1, S2, S3)</w:t>
      </w:r>
    </w:p>
    <w:p w14:paraId="639A998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Abreu, R. C. R., Hoffmann, W. A., Vasconcelos, H. L., Pilon, N. A., Rossatto, D. R., &amp; Durigan, G. (2017). The biodiversity cost of carbon sequestration in tropical savanna. Science Advances, 3(8), e1701284. https://doi.org/10.1126/sciadv.1701284</w:t>
      </w:r>
    </w:p>
    <w:p w14:paraId="3CFFA8C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Adler, C. E., McEvoy, D., Chhetri, P., &amp; Kruk, E. (2013). The role of tourism in a changing climate for conservation and development. A problem-oriented study in the Kailash Sacred Landscape, Nepal. Policy Sciences, 46(2), 161–178. https://doi.org/10.1007/s11077-012-9168-4</w:t>
      </w:r>
    </w:p>
    <w:p w14:paraId="36FBB07E" w14:textId="7D55BEA6"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Akhand, A., Mukhopadhyay, A., Chanda, A., Mukherjee, S., Das, A., Das, S., Hazra, S., Mitra, D., Choudhury, S. B., &amp; Rao, K. H. (2017). Potential CO2 </w:t>
      </w:r>
      <w:r w:rsidR="00802249">
        <w:rPr>
          <w:sz w:val="20"/>
          <w:szCs w:val="20"/>
          <w:lang w:val="en-GB"/>
        </w:rPr>
        <w:t>e</w:t>
      </w:r>
      <w:r w:rsidRPr="009A3193">
        <w:rPr>
          <w:sz w:val="20"/>
          <w:szCs w:val="20"/>
          <w:lang w:val="en-GB"/>
        </w:rPr>
        <w:t xml:space="preserve">mission </w:t>
      </w:r>
      <w:r w:rsidR="00802249">
        <w:rPr>
          <w:sz w:val="20"/>
          <w:szCs w:val="20"/>
          <w:lang w:val="en-GB"/>
        </w:rPr>
        <w:t>d</w:t>
      </w:r>
      <w:r w:rsidRPr="009A3193">
        <w:rPr>
          <w:sz w:val="20"/>
          <w:szCs w:val="20"/>
          <w:lang w:val="en-GB"/>
        </w:rPr>
        <w:t xml:space="preserve">ue to </w:t>
      </w:r>
      <w:r w:rsidR="00802249">
        <w:rPr>
          <w:sz w:val="20"/>
          <w:szCs w:val="20"/>
          <w:lang w:val="en-GB"/>
        </w:rPr>
        <w:t>l</w:t>
      </w:r>
      <w:r w:rsidRPr="009A3193">
        <w:rPr>
          <w:sz w:val="20"/>
          <w:szCs w:val="20"/>
          <w:lang w:val="en-GB"/>
        </w:rPr>
        <w:t xml:space="preserve">oss of </w:t>
      </w:r>
      <w:r w:rsidR="00802249">
        <w:rPr>
          <w:sz w:val="20"/>
          <w:szCs w:val="20"/>
          <w:lang w:val="en-GB"/>
        </w:rPr>
        <w:t>a</w:t>
      </w:r>
      <w:r w:rsidRPr="009A3193">
        <w:rPr>
          <w:sz w:val="20"/>
          <w:szCs w:val="20"/>
          <w:lang w:val="en-GB"/>
        </w:rPr>
        <w:t xml:space="preserve">bove </w:t>
      </w:r>
      <w:r w:rsidR="00802249">
        <w:rPr>
          <w:sz w:val="20"/>
          <w:szCs w:val="20"/>
          <w:lang w:val="en-GB"/>
        </w:rPr>
        <w:t>g</w:t>
      </w:r>
      <w:r w:rsidRPr="009A3193">
        <w:rPr>
          <w:sz w:val="20"/>
          <w:szCs w:val="20"/>
          <w:lang w:val="en-GB"/>
        </w:rPr>
        <w:t xml:space="preserve">round </w:t>
      </w:r>
      <w:r w:rsidR="00802249">
        <w:rPr>
          <w:sz w:val="20"/>
          <w:szCs w:val="20"/>
          <w:lang w:val="en-GB"/>
        </w:rPr>
        <w:t>b</w:t>
      </w:r>
      <w:r w:rsidRPr="009A3193">
        <w:rPr>
          <w:sz w:val="20"/>
          <w:szCs w:val="20"/>
          <w:lang w:val="en-GB"/>
        </w:rPr>
        <w:t xml:space="preserve">iomass from the </w:t>
      </w:r>
      <w:r w:rsidR="00802249">
        <w:rPr>
          <w:sz w:val="20"/>
          <w:szCs w:val="20"/>
          <w:lang w:val="en-GB"/>
        </w:rPr>
        <w:t>I</w:t>
      </w:r>
      <w:r w:rsidRPr="009A3193">
        <w:rPr>
          <w:sz w:val="20"/>
          <w:szCs w:val="20"/>
          <w:lang w:val="en-GB"/>
        </w:rPr>
        <w:t xml:space="preserve">ndian Sundarban </w:t>
      </w:r>
      <w:r w:rsidR="00802249">
        <w:rPr>
          <w:sz w:val="20"/>
          <w:szCs w:val="20"/>
          <w:lang w:val="en-GB"/>
        </w:rPr>
        <w:t>m</w:t>
      </w:r>
      <w:r w:rsidRPr="009A3193">
        <w:rPr>
          <w:sz w:val="20"/>
          <w:szCs w:val="20"/>
          <w:lang w:val="en-GB"/>
        </w:rPr>
        <w:t xml:space="preserve">angroves </w:t>
      </w:r>
      <w:r w:rsidR="00802249">
        <w:rPr>
          <w:sz w:val="20"/>
          <w:szCs w:val="20"/>
          <w:lang w:val="en-GB"/>
        </w:rPr>
        <w:t>d</w:t>
      </w:r>
      <w:r w:rsidRPr="009A3193">
        <w:rPr>
          <w:sz w:val="20"/>
          <w:szCs w:val="20"/>
          <w:lang w:val="en-GB"/>
        </w:rPr>
        <w:t xml:space="preserve">uring the </w:t>
      </w:r>
      <w:r w:rsidR="00802249">
        <w:rPr>
          <w:sz w:val="20"/>
          <w:szCs w:val="20"/>
          <w:lang w:val="en-GB"/>
        </w:rPr>
        <w:t>l</w:t>
      </w:r>
      <w:r w:rsidRPr="009A3193">
        <w:rPr>
          <w:sz w:val="20"/>
          <w:szCs w:val="20"/>
          <w:lang w:val="en-GB"/>
        </w:rPr>
        <w:t xml:space="preserve">ast </w:t>
      </w:r>
      <w:r w:rsidR="00802249">
        <w:rPr>
          <w:sz w:val="20"/>
          <w:szCs w:val="20"/>
          <w:lang w:val="en-GB"/>
        </w:rPr>
        <w:t>f</w:t>
      </w:r>
      <w:r w:rsidRPr="009A3193">
        <w:rPr>
          <w:sz w:val="20"/>
          <w:szCs w:val="20"/>
          <w:lang w:val="en-GB"/>
        </w:rPr>
        <w:t xml:space="preserve">our </w:t>
      </w:r>
      <w:r w:rsidR="00802249">
        <w:rPr>
          <w:sz w:val="20"/>
          <w:szCs w:val="20"/>
          <w:lang w:val="en-GB"/>
        </w:rPr>
        <w:t>d</w:t>
      </w:r>
      <w:r w:rsidRPr="009A3193">
        <w:rPr>
          <w:sz w:val="20"/>
          <w:szCs w:val="20"/>
          <w:lang w:val="en-GB"/>
        </w:rPr>
        <w:t>ecades. Journal of the Indian Society of Remote Sensing, 45(1), 147–154. https://doi.org/10.1007/s12524-016-0567-4</w:t>
      </w:r>
    </w:p>
    <w:p w14:paraId="70AE9A7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Albrecht, M., Kleijn, D., Williams, N. M., Tschumi, M., Blaauw, B. R., Bommarco, R., Campbell, A. J., Dainese, M., Drummond, F. A., Entling, M. H., Ganser, D., Arjen de Groot, G., Goulson, D., Grab, H., Hamilton, H., Herzog, F., Isaacs, R., Jacot, K., Jeanneret, P., … Sutter, L. (2020). The effectiveness of flower strips and hedgerows on pest control, </w:t>
      </w:r>
      <w:r w:rsidRPr="00C5573C">
        <w:rPr>
          <w:sz w:val="20"/>
          <w:szCs w:val="20"/>
          <w:lang w:val="en-GB"/>
        </w:rPr>
        <w:t xml:space="preserve">pollination services and crop yield: A quantitative synthesis. Ecology Letters, 23(10), 1488–1498. </w:t>
      </w:r>
      <w:hyperlink r:id="rId98" w:history="1">
        <w:r w:rsidRPr="00C5573C">
          <w:rPr>
            <w:rStyle w:val="Lienhypertexte"/>
            <w:color w:val="auto"/>
            <w:sz w:val="20"/>
            <w:szCs w:val="20"/>
            <w:u w:val="none"/>
            <w:lang w:val="en-GB"/>
          </w:rPr>
          <w:t>https://doi.org/10.1111/ele.13576</w:t>
        </w:r>
      </w:hyperlink>
    </w:p>
    <w:p w14:paraId="75683552" w14:textId="77777777" w:rsidR="009A5685" w:rsidRPr="009A3193" w:rsidRDefault="009A5685" w:rsidP="009A3193">
      <w:pPr>
        <w:pStyle w:val="Paragraphedeliste"/>
        <w:numPr>
          <w:ilvl w:val="0"/>
          <w:numId w:val="1"/>
        </w:numPr>
        <w:ind w:left="360"/>
        <w:rPr>
          <w:sz w:val="20"/>
          <w:szCs w:val="20"/>
          <w:lang w:val="en-GB"/>
        </w:rPr>
      </w:pPr>
      <w:r w:rsidRPr="009A3193">
        <w:rPr>
          <w:rFonts w:cstheme="minorHAnsi"/>
          <w:sz w:val="20"/>
          <w:szCs w:val="20"/>
          <w:lang w:val="en-GB"/>
        </w:rPr>
        <w:t>Alhashimi, L., Aljawi, L., Gashgari, R., &amp; Almoudi, A. (2018). The Effect of Rooftop Garden on Reducing the Internal Temperature of the Rooms in Buildings. Proceedings of the 4th World Congress on Mechanical, Chemical, and Material Engineering (MCM’18) Madrid, Spain - August 16-18, 2018. https://doi.org/10.11159/icmie18.114</w:t>
      </w:r>
    </w:p>
    <w:p w14:paraId="39D27B42" w14:textId="529394E0"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Almeida, R.M.; Shi, Q.; Gomes-Selman, J.M.; Wu, X.; Xue, Y.; Angarita, H.; Barros, N.; Forsberg, B.R.; García-Villacorta, R.; Hamilton, S.K.; et al. </w:t>
      </w:r>
      <w:r w:rsidR="00203C9C" w:rsidRPr="009A3193">
        <w:rPr>
          <w:sz w:val="20"/>
          <w:szCs w:val="20"/>
          <w:lang w:val="en-GB"/>
        </w:rPr>
        <w:t xml:space="preserve">2019. </w:t>
      </w:r>
      <w:r w:rsidRPr="009A3193">
        <w:rPr>
          <w:sz w:val="20"/>
          <w:szCs w:val="20"/>
          <w:lang w:val="en-GB"/>
        </w:rPr>
        <w:t>Reducing greenhouse gas emissions of Amazon hydropower with strategic</w:t>
      </w:r>
      <w:r w:rsidR="00203C9C" w:rsidRPr="009A3193">
        <w:rPr>
          <w:sz w:val="20"/>
          <w:szCs w:val="20"/>
          <w:lang w:val="en-GB"/>
        </w:rPr>
        <w:t xml:space="preserve"> dam planning. Nat. Commun.</w:t>
      </w:r>
      <w:r w:rsidRPr="009A3193">
        <w:rPr>
          <w:sz w:val="20"/>
          <w:szCs w:val="20"/>
          <w:lang w:val="en-GB"/>
        </w:rPr>
        <w:t xml:space="preserve"> 10, 4281.</w:t>
      </w:r>
      <w:r w:rsidR="00C5573C" w:rsidRPr="00C5573C">
        <w:t xml:space="preserve"> </w:t>
      </w:r>
      <w:r w:rsidR="00C5573C" w:rsidRPr="00C5573C">
        <w:rPr>
          <w:sz w:val="20"/>
          <w:szCs w:val="20"/>
          <w:lang w:val="en-GB"/>
        </w:rPr>
        <w:t>https://doi.org/10.1038/s41467-019-12179-5</w:t>
      </w:r>
    </w:p>
    <w:p w14:paraId="5ACF5F2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Alongi, D. M. (2014). Carbon cycling and storage in mangrove forests. Annual Review of Marine Science, 6, 195–219. https://doi.org/10.1146/annurev-marine-010213-135020</w:t>
      </w:r>
    </w:p>
    <w:p w14:paraId="60833722"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Alongi, D. M., &amp; Mukhopadhyay, S. K. (2015). Contribution of mangroves to coastal carbon cycling in low latitude seas. Agricultural and Forest Meteorology, 213, 266–272. https://doi.org/10.1016/j.agrformet.2014.10.005</w:t>
      </w:r>
    </w:p>
    <w:p w14:paraId="24E701D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Alongi, D., Murdiyarso, D., Fourqurean, J., Kauffman, J., Hutahaean, A., Crooks, S., Lovelock, C., Howard, J., Herr, D., &amp; Fortes, M. (2016). Indonesia’s blue carbon: A globally significant and vulnerable sink for seagrass and mangrove carbon. Wetlands Ecology and Management, 24(1), 3–13. https://doi.org/10.1007/s11273-015-9446-y</w:t>
      </w:r>
    </w:p>
    <w:p w14:paraId="4D3F9EC7" w14:textId="77777777" w:rsidR="009A5685" w:rsidRPr="009A3193" w:rsidRDefault="009A5685" w:rsidP="009A3193">
      <w:pPr>
        <w:pStyle w:val="Paragraphedeliste"/>
        <w:numPr>
          <w:ilvl w:val="0"/>
          <w:numId w:val="1"/>
        </w:numPr>
        <w:ind w:left="357" w:hanging="357"/>
        <w:rPr>
          <w:sz w:val="20"/>
          <w:szCs w:val="20"/>
          <w:lang w:val="en-GB"/>
        </w:rPr>
      </w:pPr>
      <w:bookmarkStart w:id="1" w:name="_Hlk77560857"/>
      <w:r w:rsidRPr="009A3193">
        <w:rPr>
          <w:sz w:val="20"/>
          <w:szCs w:val="20"/>
          <w:lang w:val="en-GB"/>
        </w:rPr>
        <w:t xml:space="preserve">Anugrah </w:t>
      </w:r>
      <w:r w:rsidR="00AB5A3E" w:rsidRPr="009A3193">
        <w:rPr>
          <w:sz w:val="20"/>
          <w:szCs w:val="20"/>
          <w:lang w:val="en-GB"/>
        </w:rPr>
        <w:t xml:space="preserve">A. P., Putra B. A., Burhanuddin </w:t>
      </w:r>
      <w:r w:rsidRPr="009A3193">
        <w:rPr>
          <w:sz w:val="20"/>
          <w:szCs w:val="20"/>
          <w:lang w:val="en-GB"/>
        </w:rPr>
        <w:t>et al., 2020</w:t>
      </w:r>
      <w:r w:rsidR="00AB5A3E" w:rsidRPr="009A3193">
        <w:rPr>
          <w:sz w:val="20"/>
          <w:szCs w:val="20"/>
          <w:lang w:val="en-GB"/>
        </w:rPr>
        <w:t>. Implementation of coral triangle initiative on coral reefs, fisheries, and food security (CTI-CFF) in Indonesia and Philippines. IOP Conf. Ser.: Earth Environ. Sci. 575 012154</w:t>
      </w:r>
    </w:p>
    <w:bookmarkEnd w:id="1"/>
    <w:p w14:paraId="1CBB1F2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Arrigo, K. R., van Dijken, G. L., &amp; Bushinsky, S. (2008). Primary production in the Southern Ocean, 1997–2006. Journal of Geophysical Research: Oceans, 113(C8), C08004. https://doi.org/10.1029/2007JC004551</w:t>
      </w:r>
    </w:p>
    <w:p w14:paraId="51A79D8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Aryal, K., Poudel, S., Chaudary, R. P., Chettri, N., Ning, W., Shaoliang, Y., &amp; Kotru, R. (2018). Conservation and management practices of traditional crop genetic diversity by the farmers: A case from Kailash Sacred Landscape, Nepal. Journal of Agriculture and Environment, 18, 15–28. https://doi.org/10.3126/aej.v18i0.19886</w:t>
      </w:r>
    </w:p>
    <w:p w14:paraId="2652DC8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Asaad, I., Lundquist, C. J., Erdmann, M. V., Van Hooidonk, R., &amp; Costello, M. J. (2018). Designating spatial priorities for marine biodiversity conservation in the Coral Triangle. Frontiers in Marine Science, 5, 400. https://doi.org/10.3389/fmars.2018.00400</w:t>
      </w:r>
    </w:p>
    <w:p w14:paraId="53E3A98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Atwood, T. B., Connolly, R. M., Ritchie, E. G., Lovelock, C. E., Heithaus, M. R., Hays, G. C., Fourqurean, J. W., &amp; Macreadie, P. I. (2015). Predators help protect carbon stocks in blue carbon ecosystems. Nature Climate Change, 5(12), 1038–1045. https://doi.org/10.1038/nclimate2763</w:t>
      </w:r>
    </w:p>
    <w:p w14:paraId="5FEC2CA9" w14:textId="0070A41C"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Atwood, T. B., Witt, A., Mayorga, J., Hammill, E., &amp; Sala, E. (2020). Global </w:t>
      </w:r>
      <w:r w:rsidR="00814524">
        <w:rPr>
          <w:sz w:val="20"/>
          <w:szCs w:val="20"/>
          <w:lang w:val="en-GB"/>
        </w:rPr>
        <w:t>p</w:t>
      </w:r>
      <w:r w:rsidRPr="009A3193">
        <w:rPr>
          <w:sz w:val="20"/>
          <w:szCs w:val="20"/>
          <w:lang w:val="en-GB"/>
        </w:rPr>
        <w:t xml:space="preserve">atterns in </w:t>
      </w:r>
      <w:r w:rsidR="00814524">
        <w:rPr>
          <w:sz w:val="20"/>
          <w:szCs w:val="20"/>
          <w:lang w:val="en-GB"/>
        </w:rPr>
        <w:t>m</w:t>
      </w:r>
      <w:r w:rsidRPr="009A3193">
        <w:rPr>
          <w:sz w:val="20"/>
          <w:szCs w:val="20"/>
          <w:lang w:val="en-GB"/>
        </w:rPr>
        <w:t xml:space="preserve">arine </w:t>
      </w:r>
      <w:r w:rsidR="00814524">
        <w:rPr>
          <w:sz w:val="20"/>
          <w:szCs w:val="20"/>
          <w:lang w:val="en-GB"/>
        </w:rPr>
        <w:t>s</w:t>
      </w:r>
      <w:r w:rsidRPr="009A3193">
        <w:rPr>
          <w:sz w:val="20"/>
          <w:szCs w:val="20"/>
          <w:lang w:val="en-GB"/>
        </w:rPr>
        <w:t xml:space="preserve">ediment </w:t>
      </w:r>
      <w:r w:rsidR="00814524">
        <w:rPr>
          <w:sz w:val="20"/>
          <w:szCs w:val="20"/>
          <w:lang w:val="en-GB"/>
        </w:rPr>
        <w:t>c</w:t>
      </w:r>
      <w:r w:rsidRPr="009A3193">
        <w:rPr>
          <w:sz w:val="20"/>
          <w:szCs w:val="20"/>
          <w:lang w:val="en-GB"/>
        </w:rPr>
        <w:t xml:space="preserve">arbon </w:t>
      </w:r>
      <w:r w:rsidR="00814524">
        <w:rPr>
          <w:sz w:val="20"/>
          <w:szCs w:val="20"/>
          <w:lang w:val="en-GB"/>
        </w:rPr>
        <w:t>s</w:t>
      </w:r>
      <w:r w:rsidRPr="009A3193">
        <w:rPr>
          <w:sz w:val="20"/>
          <w:szCs w:val="20"/>
          <w:lang w:val="en-GB"/>
        </w:rPr>
        <w:t>tocks. Frontiers in Marine Science, 7, 165. https://doi.org/10.3389/fmars.2020.00165</w:t>
      </w:r>
    </w:p>
    <w:p w14:paraId="027A3035" w14:textId="4E0BE256"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Awty-Carroll, K., Bunting, P., Hardy, A., &amp; Bell, G. (2019). Using </w:t>
      </w:r>
      <w:r w:rsidR="0034380F">
        <w:rPr>
          <w:sz w:val="20"/>
          <w:szCs w:val="20"/>
          <w:lang w:val="en-GB"/>
        </w:rPr>
        <w:t>c</w:t>
      </w:r>
      <w:r w:rsidRPr="009A3193">
        <w:rPr>
          <w:sz w:val="20"/>
          <w:szCs w:val="20"/>
          <w:lang w:val="en-GB"/>
        </w:rPr>
        <w:t xml:space="preserve">ontinuous </w:t>
      </w:r>
      <w:r w:rsidR="0034380F">
        <w:rPr>
          <w:sz w:val="20"/>
          <w:szCs w:val="20"/>
          <w:lang w:val="en-GB"/>
        </w:rPr>
        <w:t>c</w:t>
      </w:r>
      <w:r w:rsidRPr="009A3193">
        <w:rPr>
          <w:sz w:val="20"/>
          <w:szCs w:val="20"/>
          <w:lang w:val="en-GB"/>
        </w:rPr>
        <w:t xml:space="preserve">hange </w:t>
      </w:r>
      <w:r w:rsidR="0034380F">
        <w:rPr>
          <w:sz w:val="20"/>
          <w:szCs w:val="20"/>
          <w:lang w:val="en-GB"/>
        </w:rPr>
        <w:t>d</w:t>
      </w:r>
      <w:r w:rsidRPr="009A3193">
        <w:rPr>
          <w:sz w:val="20"/>
          <w:szCs w:val="20"/>
          <w:lang w:val="en-GB"/>
        </w:rPr>
        <w:t xml:space="preserve">etection and </w:t>
      </w:r>
      <w:r w:rsidR="0034380F">
        <w:rPr>
          <w:sz w:val="20"/>
          <w:szCs w:val="20"/>
          <w:lang w:val="en-GB"/>
        </w:rPr>
        <w:t>c</w:t>
      </w:r>
      <w:r w:rsidRPr="009A3193">
        <w:rPr>
          <w:sz w:val="20"/>
          <w:szCs w:val="20"/>
          <w:lang w:val="en-GB"/>
        </w:rPr>
        <w:t xml:space="preserve">lassification of </w:t>
      </w:r>
      <w:r w:rsidR="008B1CB0">
        <w:rPr>
          <w:sz w:val="20"/>
          <w:szCs w:val="20"/>
          <w:lang w:val="en-GB"/>
        </w:rPr>
        <w:t>L</w:t>
      </w:r>
      <w:r w:rsidR="008B1CB0" w:rsidRPr="009A3193">
        <w:rPr>
          <w:sz w:val="20"/>
          <w:szCs w:val="20"/>
          <w:lang w:val="en-GB"/>
        </w:rPr>
        <w:t>andsat</w:t>
      </w:r>
      <w:r w:rsidRPr="009A3193">
        <w:rPr>
          <w:sz w:val="20"/>
          <w:szCs w:val="20"/>
          <w:lang w:val="en-GB"/>
        </w:rPr>
        <w:t xml:space="preserve"> </w:t>
      </w:r>
      <w:r w:rsidR="0034380F">
        <w:rPr>
          <w:sz w:val="20"/>
          <w:szCs w:val="20"/>
          <w:lang w:val="en-GB"/>
        </w:rPr>
        <w:t>d</w:t>
      </w:r>
      <w:r w:rsidRPr="009A3193">
        <w:rPr>
          <w:sz w:val="20"/>
          <w:szCs w:val="20"/>
          <w:lang w:val="en-GB"/>
        </w:rPr>
        <w:t>at</w:t>
      </w:r>
      <w:r w:rsidRPr="00F40A20">
        <w:rPr>
          <w:sz w:val="20"/>
          <w:szCs w:val="20"/>
          <w:lang w:val="en-GB"/>
        </w:rPr>
        <w:t xml:space="preserve">a to </w:t>
      </w:r>
      <w:r w:rsidR="0034380F">
        <w:rPr>
          <w:sz w:val="20"/>
          <w:szCs w:val="20"/>
          <w:lang w:val="en-GB"/>
        </w:rPr>
        <w:t>i</w:t>
      </w:r>
      <w:r w:rsidRPr="00F40A20">
        <w:rPr>
          <w:sz w:val="20"/>
          <w:szCs w:val="20"/>
          <w:lang w:val="en-GB"/>
        </w:rPr>
        <w:t xml:space="preserve">nvestigate </w:t>
      </w:r>
      <w:r w:rsidR="0034380F">
        <w:rPr>
          <w:sz w:val="20"/>
          <w:szCs w:val="20"/>
          <w:lang w:val="en-GB"/>
        </w:rPr>
        <w:t>l</w:t>
      </w:r>
      <w:r w:rsidRPr="00F40A20">
        <w:rPr>
          <w:sz w:val="20"/>
          <w:szCs w:val="20"/>
          <w:lang w:val="en-GB"/>
        </w:rPr>
        <w:t>ong-</w:t>
      </w:r>
      <w:r w:rsidR="0034380F">
        <w:rPr>
          <w:sz w:val="20"/>
          <w:szCs w:val="20"/>
          <w:lang w:val="en-GB"/>
        </w:rPr>
        <w:t>t</w:t>
      </w:r>
      <w:r w:rsidRPr="00F40A20">
        <w:rPr>
          <w:sz w:val="20"/>
          <w:szCs w:val="20"/>
          <w:lang w:val="en-GB"/>
        </w:rPr>
        <w:t xml:space="preserve">erm </w:t>
      </w:r>
      <w:r w:rsidR="0034380F">
        <w:rPr>
          <w:sz w:val="20"/>
          <w:szCs w:val="20"/>
          <w:lang w:val="en-GB"/>
        </w:rPr>
        <w:t>m</w:t>
      </w:r>
      <w:r w:rsidRPr="00F40A20">
        <w:rPr>
          <w:sz w:val="20"/>
          <w:szCs w:val="20"/>
          <w:lang w:val="en-GB"/>
        </w:rPr>
        <w:t xml:space="preserve">angrove </w:t>
      </w:r>
      <w:r w:rsidR="0034380F">
        <w:rPr>
          <w:sz w:val="20"/>
          <w:szCs w:val="20"/>
          <w:lang w:val="en-GB"/>
        </w:rPr>
        <w:t>d</w:t>
      </w:r>
      <w:r w:rsidRPr="00F40A20">
        <w:rPr>
          <w:sz w:val="20"/>
          <w:szCs w:val="20"/>
          <w:lang w:val="en-GB"/>
        </w:rPr>
        <w:t xml:space="preserve">ynamics in the Sundarbans </w:t>
      </w:r>
      <w:r w:rsidR="0034380F">
        <w:rPr>
          <w:sz w:val="20"/>
          <w:szCs w:val="20"/>
          <w:lang w:val="en-GB"/>
        </w:rPr>
        <w:t>r</w:t>
      </w:r>
      <w:r w:rsidRPr="00F40A20">
        <w:rPr>
          <w:sz w:val="20"/>
          <w:szCs w:val="20"/>
          <w:lang w:val="en-GB"/>
        </w:rPr>
        <w:t xml:space="preserve">egion. Remote Sensing, 11(23), 2833. </w:t>
      </w:r>
      <w:hyperlink r:id="rId99" w:history="1">
        <w:r w:rsidRPr="00F40A20">
          <w:rPr>
            <w:rStyle w:val="Lienhypertexte"/>
            <w:color w:val="auto"/>
            <w:sz w:val="20"/>
            <w:szCs w:val="20"/>
            <w:u w:val="none"/>
            <w:lang w:val="en-GB"/>
          </w:rPr>
          <w:t>https://doi.org/10.3390/rs11232833</w:t>
        </w:r>
      </w:hyperlink>
    </w:p>
    <w:p w14:paraId="24980872" w14:textId="77777777" w:rsidR="009A5685" w:rsidRPr="009A3193" w:rsidRDefault="009A5685" w:rsidP="009A3193">
      <w:pPr>
        <w:pStyle w:val="Paragraphedeliste"/>
        <w:numPr>
          <w:ilvl w:val="0"/>
          <w:numId w:val="1"/>
        </w:numPr>
        <w:ind w:left="360"/>
        <w:rPr>
          <w:sz w:val="20"/>
          <w:szCs w:val="20"/>
          <w:lang w:val="en-GB"/>
        </w:rPr>
      </w:pPr>
      <w:r w:rsidRPr="009A3193">
        <w:rPr>
          <w:color w:val="000000"/>
          <w:sz w:val="20"/>
          <w:szCs w:val="20"/>
          <w:lang w:val="en-GB"/>
        </w:rPr>
        <w:t>Badola, E., Rawal, R.S. &amp; Dhyani, P.P. (2017). Stories of success-narratives from a sacred land. GBPIHED, Almora, Uttarakhand (India).</w:t>
      </w:r>
    </w:p>
    <w:p w14:paraId="7788B0D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Balmford, Andrew, Amano, T., Bartlett, H., Chadwick, D., Collins, A., Edwards, D., Field, R., Garnsworthy, P., Green, R., Smith, P., Waters, H., Whitmore, A., Broom, D. M., Chara, J., Finch, T., Garnett, E., Gathorne-Hardy, A., Hernandez-Medrano, J., Herrero, M., … Eisner, R. (2018). The environmental costs and benefits of high-yield farming. Nature Sustainability, 1(9), 477–485. https://doi.org/10.1038/s41893-018-0138-5</w:t>
      </w:r>
    </w:p>
    <w:p w14:paraId="51F423A2" w14:textId="156EFD3A"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Bajželj, B., Richards K</w:t>
      </w:r>
      <w:r w:rsidR="008B1CB0">
        <w:rPr>
          <w:sz w:val="20"/>
          <w:szCs w:val="20"/>
          <w:lang w:val="en-GB"/>
        </w:rPr>
        <w:t>.</w:t>
      </w:r>
      <w:r w:rsidRPr="009A3193">
        <w:rPr>
          <w:sz w:val="20"/>
          <w:szCs w:val="20"/>
          <w:lang w:val="en-GB"/>
        </w:rPr>
        <w:t xml:space="preserve"> S</w:t>
      </w:r>
      <w:r w:rsidR="008B1CB0">
        <w:rPr>
          <w:sz w:val="20"/>
          <w:szCs w:val="20"/>
          <w:lang w:val="en-GB"/>
        </w:rPr>
        <w:t>.</w:t>
      </w:r>
      <w:r w:rsidRPr="009A3193">
        <w:rPr>
          <w:sz w:val="20"/>
          <w:szCs w:val="20"/>
          <w:lang w:val="en-GB"/>
        </w:rPr>
        <w:t>, Allwood J</w:t>
      </w:r>
      <w:r w:rsidR="008B1CB0">
        <w:rPr>
          <w:sz w:val="20"/>
          <w:szCs w:val="20"/>
          <w:lang w:val="en-GB"/>
        </w:rPr>
        <w:t>.</w:t>
      </w:r>
      <w:r w:rsidRPr="009A3193">
        <w:rPr>
          <w:sz w:val="20"/>
          <w:szCs w:val="20"/>
          <w:lang w:val="en-GB"/>
        </w:rPr>
        <w:t xml:space="preserve"> M</w:t>
      </w:r>
      <w:r w:rsidR="008B1CB0">
        <w:rPr>
          <w:sz w:val="20"/>
          <w:szCs w:val="20"/>
          <w:lang w:val="en-GB"/>
        </w:rPr>
        <w:t>.</w:t>
      </w:r>
      <w:r w:rsidRPr="009A3193">
        <w:rPr>
          <w:sz w:val="20"/>
          <w:szCs w:val="20"/>
          <w:lang w:val="en-GB"/>
        </w:rPr>
        <w:t>, Smith P</w:t>
      </w:r>
      <w:r w:rsidR="008B1CB0">
        <w:rPr>
          <w:sz w:val="20"/>
          <w:szCs w:val="20"/>
          <w:lang w:val="en-GB"/>
        </w:rPr>
        <w:t>.</w:t>
      </w:r>
      <w:r w:rsidRPr="009A3193">
        <w:rPr>
          <w:sz w:val="20"/>
          <w:szCs w:val="20"/>
          <w:lang w:val="en-GB"/>
        </w:rPr>
        <w:t>, Dennis J</w:t>
      </w:r>
      <w:r w:rsidR="008B1CB0">
        <w:rPr>
          <w:sz w:val="20"/>
          <w:szCs w:val="20"/>
          <w:lang w:val="en-GB"/>
        </w:rPr>
        <w:t>.</w:t>
      </w:r>
      <w:r w:rsidRPr="009A3193">
        <w:rPr>
          <w:sz w:val="20"/>
          <w:szCs w:val="20"/>
          <w:lang w:val="en-GB"/>
        </w:rPr>
        <w:t xml:space="preserve"> S</w:t>
      </w:r>
      <w:r w:rsidR="008B1CB0">
        <w:rPr>
          <w:sz w:val="20"/>
          <w:szCs w:val="20"/>
          <w:lang w:val="en-GB"/>
        </w:rPr>
        <w:t>.</w:t>
      </w:r>
      <w:r w:rsidRPr="009A3193">
        <w:rPr>
          <w:sz w:val="20"/>
          <w:szCs w:val="20"/>
          <w:lang w:val="en-GB"/>
        </w:rPr>
        <w:t>, Curmi E</w:t>
      </w:r>
      <w:r w:rsidR="008B1CB0">
        <w:rPr>
          <w:sz w:val="20"/>
          <w:szCs w:val="20"/>
          <w:lang w:val="en-GB"/>
        </w:rPr>
        <w:t>.</w:t>
      </w:r>
      <w:r w:rsidRPr="009A3193">
        <w:rPr>
          <w:sz w:val="20"/>
          <w:szCs w:val="20"/>
          <w:lang w:val="en-GB"/>
        </w:rPr>
        <w:t xml:space="preserve"> and Gilligan C</w:t>
      </w:r>
      <w:r w:rsidR="008B1CB0">
        <w:rPr>
          <w:sz w:val="20"/>
          <w:szCs w:val="20"/>
          <w:lang w:val="en-GB"/>
        </w:rPr>
        <w:t xml:space="preserve">. </w:t>
      </w:r>
      <w:r w:rsidRPr="009A3193">
        <w:rPr>
          <w:sz w:val="20"/>
          <w:szCs w:val="20"/>
          <w:lang w:val="en-GB"/>
        </w:rPr>
        <w:t xml:space="preserve">A </w:t>
      </w:r>
      <w:r w:rsidR="008B1CB0">
        <w:rPr>
          <w:sz w:val="20"/>
          <w:szCs w:val="20"/>
          <w:lang w:val="en-GB"/>
        </w:rPr>
        <w:t>(</w:t>
      </w:r>
      <w:r w:rsidRPr="009A3193">
        <w:rPr>
          <w:sz w:val="20"/>
          <w:szCs w:val="20"/>
          <w:lang w:val="en-GB"/>
        </w:rPr>
        <w:t>2014</w:t>
      </w:r>
      <w:r w:rsidR="008B1CB0">
        <w:rPr>
          <w:sz w:val="20"/>
          <w:szCs w:val="20"/>
          <w:lang w:val="en-GB"/>
        </w:rPr>
        <w:t>).</w:t>
      </w:r>
      <w:r w:rsidRPr="009A3193">
        <w:rPr>
          <w:sz w:val="20"/>
          <w:szCs w:val="20"/>
          <w:lang w:val="en-GB"/>
        </w:rPr>
        <w:t xml:space="preserve"> Importance of food</w:t>
      </w:r>
      <w:r w:rsidR="00F40A20">
        <w:rPr>
          <w:sz w:val="20"/>
          <w:szCs w:val="20"/>
          <w:lang w:val="en-GB"/>
        </w:rPr>
        <w:t xml:space="preserve"> </w:t>
      </w:r>
      <w:r w:rsidRPr="009A3193">
        <w:rPr>
          <w:sz w:val="20"/>
          <w:szCs w:val="20"/>
          <w:lang w:val="en-GB"/>
        </w:rPr>
        <w:t>demand management for climate mitigation Nat. Clim. Change 4 924–9</w:t>
      </w:r>
      <w:r w:rsidR="00F40A20">
        <w:rPr>
          <w:sz w:val="20"/>
          <w:szCs w:val="20"/>
          <w:lang w:val="en-GB"/>
        </w:rPr>
        <w:t xml:space="preserve">. </w:t>
      </w:r>
      <w:r w:rsidR="00F40A20" w:rsidRPr="00F40A20">
        <w:rPr>
          <w:sz w:val="20"/>
          <w:szCs w:val="20"/>
          <w:lang w:val="en-GB"/>
        </w:rPr>
        <w:t>https://doi.org/10.1038/nclimate2353</w:t>
      </w:r>
    </w:p>
    <w:p w14:paraId="1E07D24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Barbier, Edward B. (2017). Marine ecosystem services. Current Biology, 27(11), R507–R510. https://doi.org/10.1016/j.cub.2017.03.020</w:t>
      </w:r>
    </w:p>
    <w:p w14:paraId="2D1B7C4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Barlow, Jos, Berenguer, E., Carmenta, R., &amp; França, F. (2020). Clarifying Amazonia’s burning crisis. Global Change Biology, 26(2), 319–321. </w:t>
      </w:r>
      <w:hyperlink r:id="rId100" w:history="1">
        <w:r w:rsidRPr="00920B90">
          <w:rPr>
            <w:rStyle w:val="Lienhypertexte"/>
            <w:color w:val="auto"/>
            <w:sz w:val="20"/>
            <w:szCs w:val="20"/>
            <w:u w:val="none"/>
            <w:lang w:val="en-GB"/>
          </w:rPr>
          <w:t>https://doi.org/10.1111/gcb.14872</w:t>
        </w:r>
      </w:hyperlink>
    </w:p>
    <w:p w14:paraId="127BCBB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Barnes, D. K. A., &amp; Sands, C. J. (2017). Functional group diversity is key to Southern Ocean benthic carbon pathways. PLOS ONE, 12(6), e0179735. https://doi.org/10.1371/journal.pone.0179735</w:t>
      </w:r>
    </w:p>
    <w:p w14:paraId="32432B76"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Barnes, D. K. A., Ireland, L., Hogg, O. T., Morley, S., Enderlein, P., &amp; Sands, C. J. (2016). Why is the South Orkney Island shelf (the world’s first high seas marine protected area) a carbon immobilization hotspot? Global Change Biology, 22(3), 1110–1120. https://doi.org/10.1111/gcb.13157</w:t>
      </w:r>
    </w:p>
    <w:p w14:paraId="55E70AA2" w14:textId="6DF76583"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Barnes, D. K. A., Collins, M. A., Brickle, P., Fretwell, P., Griffiths, H. J., Herbert, D., Hogg, O. T. and C. J. Sands. </w:t>
      </w:r>
      <w:r w:rsidR="00920B90">
        <w:rPr>
          <w:sz w:val="20"/>
          <w:szCs w:val="20"/>
          <w:lang w:val="en-GB"/>
        </w:rPr>
        <w:t>(</w:t>
      </w:r>
      <w:r w:rsidRPr="009A3193">
        <w:rPr>
          <w:sz w:val="20"/>
          <w:szCs w:val="20"/>
          <w:lang w:val="en-GB"/>
        </w:rPr>
        <w:t>2011</w:t>
      </w:r>
      <w:r w:rsidR="00920B90">
        <w:rPr>
          <w:sz w:val="20"/>
          <w:szCs w:val="20"/>
          <w:lang w:val="en-GB"/>
        </w:rPr>
        <w:t>)</w:t>
      </w:r>
      <w:r w:rsidRPr="009A3193">
        <w:rPr>
          <w:sz w:val="20"/>
          <w:szCs w:val="20"/>
          <w:lang w:val="en-GB"/>
        </w:rPr>
        <w:t>. The need to implement the Convention on Biological Diversity at the high latitude site, South Georgia. Antarctic Science 23(4), 323–331. doi:10.1017/S0954102011000253</w:t>
      </w:r>
    </w:p>
    <w:p w14:paraId="1B8FCE9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Bayraktarov, E., Saunders, M. I., Abdullah, S., Mills, M., Beher, J., Possingham, H. P., Mumby, P. J., &amp; Lovelock, C. E. (2016). The cost and feasibility of marine coastal restoration. Ecological Applications, 26(4), 1055–1074. https://doi.org/10.1890/15-1077|</w:t>
      </w:r>
    </w:p>
    <w:p w14:paraId="76F5DD68"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Beatley, T. (2016). Handbook of Biophilic City Planning and Design. Island Press.</w:t>
      </w:r>
    </w:p>
    <w:p w14:paraId="513BDB76"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Beer, C., Zimov, N., Olofsson, J., Porada, P., &amp; Zimov, S. (2020). Protection of Permafrost Soils from Thawing by Increasing Herbivore Density. Scientific Reports, 10(1), 4170. https://doi.org/10.1038/s41598-020-60938-y</w:t>
      </w:r>
    </w:p>
    <w:p w14:paraId="005F214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Begam, Mst. M., Sutradhar, T., Chowdhury, R., Mukherjee, C., Basak, S. K., &amp; Ray, K. (2017). Native salt-tolerant grass species for habitat restoration, their acclimation and contribution to improving edaphic conditions: A study from a degraded mangrove in the Indian Sundarbans. Hydrobiologia, 803(1), 373–387. https://doi.org/10.1007/s10750-017-3320-2</w:t>
      </w:r>
    </w:p>
    <w:p w14:paraId="5C8D3BD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Bengtsson, M., Alfredsson, E., Cohen, M., Lorek, S., &amp; Schroeder, P. (2018). Transforming systems of consumption and production for achieving the sustainable development goals: Moving beyond efficiency. Sustainability Science, 13(6), 1533–1547. https://doi.org/10.1007/s11625-018-0582-1</w:t>
      </w:r>
    </w:p>
    <w:p w14:paraId="313EBCF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Bond, W. J., &amp; Midgley, G. F. (2012). Carbon dioxide and the uneasy interactions of trees and savannah grasses. Philosophical Transactions of the Royal Society B: Biological Sciences, 367(1588), 601–612. https://doi.org/10.1098/rstb.2011.0182</w:t>
      </w:r>
    </w:p>
    <w:p w14:paraId="4EE5427A"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Bond, W. J., Stevens, N., Midgley, G. F., &amp; Lehmann, C. E. R. (2019). The Trouble with Trees: Afforestation Plans for Africa. Trends in Ecology &amp; Evolution, 34(11), 963–965. https://doi.org/10.1016/j.tree.2019.08.003</w:t>
      </w:r>
    </w:p>
    <w:p w14:paraId="4C3412DE" w14:textId="65149FBB"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Bond, W. J., Woodward, F. I., &amp; Midgley, G. F. (2005). The global distribution of ecosystems in a world without fire. New Phytologist, 165(2), 525–538.</w:t>
      </w:r>
      <w:r w:rsidR="00A14346">
        <w:rPr>
          <w:sz w:val="20"/>
          <w:szCs w:val="20"/>
          <w:lang w:val="en-GB"/>
        </w:rPr>
        <w:t xml:space="preserve"> </w:t>
      </w:r>
      <w:r w:rsidR="00A14346" w:rsidRPr="00A14346">
        <w:rPr>
          <w:sz w:val="20"/>
          <w:szCs w:val="20"/>
          <w:lang w:val="en-GB"/>
        </w:rPr>
        <w:t>https://doi.org/10.1111/j.1469-8137.2004.01252.x</w:t>
      </w:r>
    </w:p>
    <w:p w14:paraId="04C4B29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Brienen, R. J. W., Phillips, O. L., Feldpausch, T. R., Gloor, E., Baker, T. R., Lloyd, J., Lopez-Gonzalez, G., Monteagudo-Mendoza, A., Malhi, Y., Lewis, S. L., Vásquez Martinez, R., Alexiades, M., Álvarez Dávila, E., Alvarez-Loayza, P., Andrade, A., Aragão, L. E. O. C., Araujo-Murakami, A., Arets, E. J. M. M., Arroyo, L., … Zagt, R. J. (2015). Long-term decline of the Amazon carbon sink. Nature, 519(7543), 344–348. https://doi.org/10.1038/nature14283</w:t>
      </w:r>
    </w:p>
    <w:p w14:paraId="0904A3A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Bull, Joseph William, &amp; Strange, N. (2018). The global extent of biodiversity offset implementation under no net loss policies. Nature Sustainability, 1(12), 790–798. https://doi.org/10.1038/s41893-018-0176-z</w:t>
      </w:r>
    </w:p>
    <w:p w14:paraId="1205F743" w14:textId="54C56CCA"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Bulmer, R. H., Stephenson, F., Jones, H. F. E., Townshed, M., Hillman, J. R., Schwendenmann, L., &amp; Lundquist, C. J. (2020). Blue </w:t>
      </w:r>
      <w:r w:rsidR="00D04C7C">
        <w:rPr>
          <w:sz w:val="20"/>
          <w:szCs w:val="20"/>
          <w:lang w:val="en-GB"/>
        </w:rPr>
        <w:t>c</w:t>
      </w:r>
      <w:r w:rsidRPr="009A3193">
        <w:rPr>
          <w:sz w:val="20"/>
          <w:szCs w:val="20"/>
          <w:lang w:val="en-GB"/>
        </w:rPr>
        <w:t xml:space="preserve">arbon </w:t>
      </w:r>
      <w:r w:rsidR="00D04C7C">
        <w:rPr>
          <w:sz w:val="20"/>
          <w:szCs w:val="20"/>
          <w:lang w:val="en-GB"/>
        </w:rPr>
        <w:t>s</w:t>
      </w:r>
      <w:r w:rsidRPr="009A3193">
        <w:rPr>
          <w:sz w:val="20"/>
          <w:szCs w:val="20"/>
          <w:lang w:val="en-GB"/>
        </w:rPr>
        <w:t xml:space="preserve">tocks and </w:t>
      </w:r>
      <w:r w:rsidR="00D04C7C">
        <w:rPr>
          <w:sz w:val="20"/>
          <w:szCs w:val="20"/>
          <w:lang w:val="en-GB"/>
        </w:rPr>
        <w:t>c</w:t>
      </w:r>
      <w:r w:rsidRPr="009A3193">
        <w:rPr>
          <w:sz w:val="20"/>
          <w:szCs w:val="20"/>
          <w:lang w:val="en-GB"/>
        </w:rPr>
        <w:t>ross-</w:t>
      </w:r>
      <w:r w:rsidR="00D04C7C">
        <w:rPr>
          <w:sz w:val="20"/>
          <w:szCs w:val="20"/>
          <w:lang w:val="en-GB"/>
        </w:rPr>
        <w:t>h</w:t>
      </w:r>
      <w:r w:rsidRPr="009A3193">
        <w:rPr>
          <w:sz w:val="20"/>
          <w:szCs w:val="20"/>
          <w:lang w:val="en-GB"/>
        </w:rPr>
        <w:t xml:space="preserve">abitat </w:t>
      </w:r>
      <w:r w:rsidR="00D04C7C">
        <w:rPr>
          <w:sz w:val="20"/>
          <w:szCs w:val="20"/>
          <w:lang w:val="en-GB"/>
        </w:rPr>
        <w:t>s</w:t>
      </w:r>
      <w:r w:rsidRPr="009A3193">
        <w:rPr>
          <w:sz w:val="20"/>
          <w:szCs w:val="20"/>
          <w:lang w:val="en-GB"/>
        </w:rPr>
        <w:t>ubsidies. Frontiers in Marine Science, 7(Article 380). https://doi.org/10.3389/fmars.2020.00380</w:t>
      </w:r>
    </w:p>
    <w:p w14:paraId="09EB796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Burke, L., Reytar, K., Spalding, M., &amp; Perry, A. (2012). Reefs at risk revisited in the Coral Triangle. Washington, DC World Resources Institute, The Nature Conservancy. https://pdf.wri.org/reefs_at_risk_revisited.pdf</w:t>
      </w:r>
    </w:p>
    <w:p w14:paraId="299DBA9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Byron-Cox, R. (2020). From Desertification to Land Degradation Neutrality: The UNCCD and the Development of Legal Instruments for Protection of Soils. In Legal Instruments for Sustainable Soil Management in Africa (pp. 1–13). Springer.</w:t>
      </w:r>
    </w:p>
    <w:p w14:paraId="230B051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Cahoon, S. M. P., Sullivan, P. F., Post, E., &amp; Welker, J. M. (2012). Large herbivores limit CO2 uptake and suppress carbon cycle responses to warming in West Greenland. Global Change Biology, 18(2), 469–479. https://doi.org/10.1111/j.1365-2486.2011.02528.x</w:t>
      </w:r>
    </w:p>
    <w:p w14:paraId="78CF614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Calderan, S. V., Black, A., Branch, T. A., Collins, M. A., Kelly, N., Leaper, R., Lurcock, S., Miller, B. S., Moore, M., Olson, P. A., Ana </w:t>
      </w:r>
      <w:r w:rsidRPr="009A3193">
        <w:rPr>
          <w:rFonts w:ascii="Calibri" w:hAnsi="Calibri" w:cs="Calibri"/>
          <w:sz w:val="20"/>
          <w:szCs w:val="20"/>
          <w:lang w:val="en-GB"/>
        </w:rPr>
        <w:t></w:t>
      </w:r>
      <w:r w:rsidRPr="009A3193">
        <w:rPr>
          <w:sz w:val="20"/>
          <w:szCs w:val="20"/>
          <w:lang w:val="en-GB"/>
        </w:rPr>
        <w:t>irovi</w:t>
      </w:r>
      <w:r w:rsidRPr="009A3193">
        <w:rPr>
          <w:rFonts w:cs="Calibri"/>
          <w:sz w:val="20"/>
          <w:szCs w:val="20"/>
          <w:lang w:val="en-GB"/>
        </w:rPr>
        <w:t>ć</w:t>
      </w:r>
      <w:r w:rsidRPr="009A3193">
        <w:rPr>
          <w:sz w:val="20"/>
          <w:szCs w:val="20"/>
          <w:lang w:val="en-GB"/>
        </w:rPr>
        <w:t>, Wood, A. G., &amp; Jackson, J. A. (2020). South Georgia blue whales five decades after the end of whaling. Endangered Species Research, 43, 359</w:t>
      </w:r>
      <w:r w:rsidRPr="009A3193">
        <w:rPr>
          <w:rFonts w:cs="Calibri"/>
          <w:sz w:val="20"/>
          <w:szCs w:val="20"/>
          <w:lang w:val="en-GB"/>
        </w:rPr>
        <w:t>–</w:t>
      </w:r>
      <w:r w:rsidRPr="009A3193">
        <w:rPr>
          <w:sz w:val="20"/>
          <w:szCs w:val="20"/>
          <w:lang w:val="en-GB"/>
        </w:rPr>
        <w:t>373. https://doi.org/10.3354/esr01077</w:t>
      </w:r>
    </w:p>
    <w:p w14:paraId="46D4C347" w14:textId="46E71B98"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Castello, L., McGrath, D. G., Hess, L. L., Coe, M. T., Lefebvre, P. A., Petry, P., Macedo, M. N., Reno, V. F., and C. C. Arantes. </w:t>
      </w:r>
      <w:r w:rsidR="00A14346">
        <w:rPr>
          <w:sz w:val="20"/>
          <w:szCs w:val="20"/>
          <w:lang w:val="en-GB"/>
        </w:rPr>
        <w:t>(</w:t>
      </w:r>
      <w:r w:rsidRPr="009A3193">
        <w:rPr>
          <w:sz w:val="20"/>
          <w:szCs w:val="20"/>
          <w:lang w:val="en-GB"/>
        </w:rPr>
        <w:t>2013</w:t>
      </w:r>
      <w:r w:rsidR="00A14346">
        <w:rPr>
          <w:sz w:val="20"/>
          <w:szCs w:val="20"/>
          <w:lang w:val="en-GB"/>
        </w:rPr>
        <w:t>)</w:t>
      </w:r>
      <w:r w:rsidRPr="009A3193">
        <w:rPr>
          <w:sz w:val="20"/>
          <w:szCs w:val="20"/>
          <w:lang w:val="en-GB"/>
        </w:rPr>
        <w:t>. The vulnerability of Amazon freshwater ecosystems. Conservation Letters 6:4 July/August (2013) 217–229, doi: 10.1111/conl.12008</w:t>
      </w:r>
    </w:p>
    <w:p w14:paraId="6B5461D1" w14:textId="77777777" w:rsidR="009A5685" w:rsidRPr="009A3193" w:rsidRDefault="009A5685" w:rsidP="009A3193">
      <w:pPr>
        <w:pStyle w:val="Paragraphedeliste"/>
        <w:numPr>
          <w:ilvl w:val="0"/>
          <w:numId w:val="1"/>
        </w:numPr>
        <w:ind w:left="360"/>
        <w:rPr>
          <w:rFonts w:cstheme="minorHAnsi"/>
          <w:sz w:val="20"/>
          <w:szCs w:val="20"/>
          <w:lang w:val="en-GB"/>
        </w:rPr>
      </w:pPr>
      <w:r w:rsidRPr="009A3193">
        <w:rPr>
          <w:rFonts w:cstheme="minorHAnsi"/>
          <w:sz w:val="20"/>
          <w:szCs w:val="20"/>
          <w:shd w:val="clear" w:color="auto" w:fill="FFFFFF"/>
          <w:lang w:val="en-GB"/>
        </w:rPr>
        <w:lastRenderedPageBreak/>
        <w:t>Cavanagh, R. D., Melbourne-Thomas, J., Grant, S. M., Barnes, D. K. A., Hughes, K. A., Halfter, D., et al. (2021). Future risks for Southern Ocean ecosystem services under climate change. Front. Ecol. Evol. 7:615214. doi: 10.3389/fmars.2020.615214</w:t>
      </w:r>
    </w:p>
    <w:p w14:paraId="1F3985C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Chan, L. (2019). Chapter 5: Nature in the City. In Planning Singapore: The Experimental City (pp. 109–129). Routledge.</w:t>
      </w:r>
    </w:p>
    <w:p w14:paraId="7CCD66F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Chappell, A., Baldock, J., &amp; Sanderman, J. (2016). The global significance of omitting soil erosion from soil organic carbon cycling schemes. Nature Climate Change, 6(2), 187–191. https://doi.org/10.1038/nclimate2829</w:t>
      </w:r>
    </w:p>
    <w:p w14:paraId="6EF4563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Chappell, A., Webb, N. P., Leys, J. F., Waters, C. M., Orgill, S., &amp; Eyres, M. J. (2019). Minimising soil organic carbon erosion by wind is critical for land degradation neutrality. Environmental Science &amp; Policy, 93, 43–52. https://doi.org/10.1016/j.envsci.2018.12.020</w:t>
      </w:r>
    </w:p>
    <w:p w14:paraId="2E9B79D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Chaudhary, A., Sarkar, M. S., Adhikari, B. S., &amp; Rawat, G. S. (2020). </w:t>
      </w:r>
      <w:r w:rsidRPr="00814524">
        <w:rPr>
          <w:i/>
          <w:iCs/>
          <w:sz w:val="20"/>
          <w:szCs w:val="20"/>
          <w:lang w:val="en-GB"/>
        </w:rPr>
        <w:t>Ageratina adenophora</w:t>
      </w:r>
      <w:r w:rsidRPr="009A3193">
        <w:rPr>
          <w:sz w:val="20"/>
          <w:szCs w:val="20"/>
          <w:lang w:val="en-GB"/>
        </w:rPr>
        <w:t xml:space="preserve"> and </w:t>
      </w:r>
      <w:r w:rsidRPr="00814524">
        <w:rPr>
          <w:i/>
          <w:iCs/>
          <w:sz w:val="20"/>
          <w:szCs w:val="20"/>
          <w:lang w:val="en-GB"/>
        </w:rPr>
        <w:t>Lantana camara</w:t>
      </w:r>
      <w:r w:rsidRPr="009A3193">
        <w:rPr>
          <w:sz w:val="20"/>
          <w:szCs w:val="20"/>
          <w:lang w:val="en-GB"/>
        </w:rPr>
        <w:t xml:space="preserve"> in Kailash Sacred Landscape, India: Current distribution and future climatic scenarios through modeling. BioRxiv, 2020.09.14.295899. https://doi.org/10.1101/2020.09.14.295899</w:t>
      </w:r>
    </w:p>
    <w:p w14:paraId="1D9DA6B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Coady, D., Parry, I., Le, N.-P., &amp; Shang, B. (2019). Global fossil fuel subsidies remain large: An update based on country-level estimates. IMF Working Papers, 19(89), 39. http://dx.doi.org/10.5089/9781484393178.001</w:t>
      </w:r>
    </w:p>
    <w:p w14:paraId="441269A4" w14:textId="1B032633"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Creed, I. F., Jones, J. A., Archer, E., Claassen, M., Ellison, D., McNulty, S. G., van Noordwijk, M., Vira, B., Wei, X., Bishop, K., Blanco, J. A., Gush, M., Gyawali, D., Jobbágy, E., Lara, A., Little, C., Martin-Ortega, J., Mukherji, A., Murdiyarso, D., … Xu, J. (2019). Managing </w:t>
      </w:r>
      <w:r w:rsidR="00D77E61">
        <w:rPr>
          <w:sz w:val="20"/>
          <w:szCs w:val="20"/>
          <w:lang w:val="en-GB"/>
        </w:rPr>
        <w:t>f</w:t>
      </w:r>
      <w:r w:rsidRPr="009A3193">
        <w:rPr>
          <w:sz w:val="20"/>
          <w:szCs w:val="20"/>
          <w:lang w:val="en-GB"/>
        </w:rPr>
        <w:t xml:space="preserve">orests for </w:t>
      </w:r>
      <w:r w:rsidR="00D77E61">
        <w:rPr>
          <w:sz w:val="20"/>
          <w:szCs w:val="20"/>
          <w:lang w:val="en-GB"/>
        </w:rPr>
        <w:t>b</w:t>
      </w:r>
      <w:r w:rsidRPr="009A3193">
        <w:rPr>
          <w:sz w:val="20"/>
          <w:szCs w:val="20"/>
          <w:lang w:val="en-GB"/>
        </w:rPr>
        <w:t xml:space="preserve">oth </w:t>
      </w:r>
      <w:r w:rsidR="00D77E61">
        <w:rPr>
          <w:sz w:val="20"/>
          <w:szCs w:val="20"/>
          <w:lang w:val="en-GB"/>
        </w:rPr>
        <w:t>d</w:t>
      </w:r>
      <w:r w:rsidRPr="009A3193">
        <w:rPr>
          <w:sz w:val="20"/>
          <w:szCs w:val="20"/>
          <w:lang w:val="en-GB"/>
        </w:rPr>
        <w:t xml:space="preserve">ownstream and </w:t>
      </w:r>
      <w:r w:rsidR="00D77E61">
        <w:rPr>
          <w:sz w:val="20"/>
          <w:szCs w:val="20"/>
          <w:lang w:val="en-GB"/>
        </w:rPr>
        <w:t>d</w:t>
      </w:r>
      <w:r w:rsidRPr="009A3193">
        <w:rPr>
          <w:sz w:val="20"/>
          <w:szCs w:val="20"/>
          <w:lang w:val="en-GB"/>
        </w:rPr>
        <w:t xml:space="preserve">ownwind </w:t>
      </w:r>
      <w:r w:rsidR="00D77E61">
        <w:rPr>
          <w:sz w:val="20"/>
          <w:szCs w:val="20"/>
          <w:lang w:val="en-GB"/>
        </w:rPr>
        <w:t>w</w:t>
      </w:r>
      <w:r w:rsidRPr="009A3193">
        <w:rPr>
          <w:sz w:val="20"/>
          <w:szCs w:val="20"/>
          <w:lang w:val="en-GB"/>
        </w:rPr>
        <w:t>ater. Frontiers in Forests and Global Change, 2. https://doi.org/10.3389/ffgc.2019.00064</w:t>
      </w:r>
    </w:p>
    <w:p w14:paraId="116B8F46" w14:textId="50DD3E46"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Creed, I., Noordwijk, M. van, Archer, E., Claassen, M., Ellison, D., Jones, J. A., McNulty, S. G., Vira, B., &amp; Wei, X. . (2018). Forest, trees and water on a changing planet: How contemporary science can inform policy and practice. In:</w:t>
      </w:r>
      <w:r w:rsidR="008A0DCA">
        <w:rPr>
          <w:sz w:val="20"/>
          <w:szCs w:val="20"/>
          <w:lang w:val="en-GB"/>
        </w:rPr>
        <w:t xml:space="preserve"> </w:t>
      </w:r>
      <w:r w:rsidRPr="009A3193">
        <w:rPr>
          <w:sz w:val="20"/>
          <w:szCs w:val="20"/>
          <w:lang w:val="en-GB"/>
        </w:rPr>
        <w:t>Forest and Water on a Changing Planet: Vulnerability, Adaptation and Governance Opportunities: A Global Assessment Report (I.F. Creed and M. van Noordwijk, Eds.). IUFRO World Series, 38, 171–175.</w:t>
      </w:r>
    </w:p>
    <w:p w14:paraId="666429F9" w14:textId="3E016474"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Dargie, G. C., Lawson, I. T., Rayden, T. J., Miles, L., Mitchard, E. T. A., Page, S. E., Bocko, Y. E., Ifo, S. A., &amp; Lewis, S. L. (2019). Congo Basin peatlands: Threats and conservation priorities. </w:t>
      </w:r>
      <w:r w:rsidR="00436128">
        <w:rPr>
          <w:sz w:val="20"/>
          <w:szCs w:val="20"/>
          <w:lang w:val="en-GB"/>
        </w:rPr>
        <w:t>M</w:t>
      </w:r>
      <w:r w:rsidRPr="009A3193">
        <w:rPr>
          <w:sz w:val="20"/>
          <w:szCs w:val="20"/>
          <w:lang w:val="en-GB"/>
        </w:rPr>
        <w:t xml:space="preserve">itigation and </w:t>
      </w:r>
      <w:r w:rsidR="00436128">
        <w:rPr>
          <w:sz w:val="20"/>
          <w:szCs w:val="20"/>
          <w:lang w:val="en-GB"/>
        </w:rPr>
        <w:t>a</w:t>
      </w:r>
      <w:r w:rsidRPr="009A3193">
        <w:rPr>
          <w:sz w:val="20"/>
          <w:szCs w:val="20"/>
          <w:lang w:val="en-GB"/>
        </w:rPr>
        <w:t xml:space="preserve">daptation </w:t>
      </w:r>
      <w:r w:rsidR="00436128">
        <w:rPr>
          <w:sz w:val="20"/>
          <w:szCs w:val="20"/>
          <w:lang w:val="en-GB"/>
        </w:rPr>
        <w:t>s</w:t>
      </w:r>
      <w:r w:rsidRPr="009A3193">
        <w:rPr>
          <w:sz w:val="20"/>
          <w:szCs w:val="20"/>
          <w:lang w:val="en-GB"/>
        </w:rPr>
        <w:t xml:space="preserve">trategies for </w:t>
      </w:r>
      <w:r w:rsidR="00436128">
        <w:rPr>
          <w:sz w:val="20"/>
          <w:szCs w:val="20"/>
          <w:lang w:val="en-GB"/>
        </w:rPr>
        <w:t>g</w:t>
      </w:r>
      <w:r w:rsidRPr="009A3193">
        <w:rPr>
          <w:sz w:val="20"/>
          <w:szCs w:val="20"/>
          <w:lang w:val="en-GB"/>
        </w:rPr>
        <w:t xml:space="preserve">lobal </w:t>
      </w:r>
      <w:r w:rsidR="00436128">
        <w:rPr>
          <w:sz w:val="20"/>
          <w:szCs w:val="20"/>
          <w:lang w:val="en-GB"/>
        </w:rPr>
        <w:t>c</w:t>
      </w:r>
      <w:r w:rsidRPr="009A3193">
        <w:rPr>
          <w:sz w:val="20"/>
          <w:szCs w:val="20"/>
          <w:lang w:val="en-GB"/>
        </w:rPr>
        <w:t>hange, 24(4), 669–686. https://doi.org/10.1007/s11027-017-9774-8</w:t>
      </w:r>
    </w:p>
    <w:p w14:paraId="2BAB227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Dargie, G. C., Lewis, S. L., Lawson, I. T., Mitchard, E. T. A., Page, S. E., Bocko, Y. E., &amp; Ifo, S. A. (2017). Age, extent and carbon storage of the central Congo Basin peatland complex. Nature, 542(7639), 86–90. https://doi.org/10.1038/nature21048</w:t>
      </w:r>
    </w:p>
    <w:p w14:paraId="5F56872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de Faria, F. A. M., Jaramillo, P., Sawakuchi, H. O., Richey, J. E., &amp; Barros, N. (2015). Estimating greenhouse gas emissions from future Amazonian hydroelectric reservoirs. Environmental Research Letters, 10(12), 124019. https://doi.org/10.1088/1748-9326/10/12/124019</w:t>
      </w:r>
    </w:p>
    <w:p w14:paraId="158C8F8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de Leon, P. (2010). Analysis of Forest Financing in Guatemala: Country case study presented at the First Meeting of the Open-ended Intergovernmental Ad Hoc Expert Group on Forest Financing—Sept 2010—Nairobi, Kenya. United Nations.</w:t>
      </w:r>
    </w:p>
    <w:p w14:paraId="4C6C1BF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Dinerstein, E., Joshi, A. R., Vynne, C., Lee, A. T. L., Pharand-Deschênes, F., França, M., Fernando, S., Birch, T., Burkart, K., Asner, G. P., &amp; Olson, D. (2020). A “Global Safety Net” to reverse biodiversity loss and stabilize Earth’s climate. Science Advances, 6(36), eabb2824. https://doi.org/10.1126/sciadv.abb2824</w:t>
      </w:r>
    </w:p>
    <w:p w14:paraId="6A7ABE35" w14:textId="54CFC3DA"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Dominik, C., Seppelt, R., Horgan, </w:t>
      </w:r>
      <w:r w:rsidRPr="008A0DCA">
        <w:rPr>
          <w:sz w:val="20"/>
          <w:szCs w:val="20"/>
          <w:lang w:val="en-GB"/>
        </w:rPr>
        <w:t>F.G., Settele, J. and Václavík, T., 2018. Landscape composition, configuration, and trophic interactions shape arthropod communities in rice agroecosystems. Journal of Applied Ecology, 55, 2461-2472.</w:t>
      </w:r>
      <w:r w:rsidR="008A0DCA" w:rsidRPr="008A0DCA">
        <w:rPr>
          <w:sz w:val="20"/>
          <w:szCs w:val="20"/>
          <w:lang w:val="en-GB"/>
        </w:rPr>
        <w:t xml:space="preserve"> </w:t>
      </w:r>
      <w:hyperlink r:id="rId101" w:history="1">
        <w:r w:rsidR="008A0DCA" w:rsidRPr="008A0DCA">
          <w:rPr>
            <w:rStyle w:val="Lienhypertexte"/>
            <w:rFonts w:cs="Open Sans"/>
            <w:color w:val="auto"/>
            <w:sz w:val="20"/>
            <w:szCs w:val="20"/>
            <w:u w:val="none"/>
            <w:shd w:val="clear" w:color="auto" w:fill="FFFFFF"/>
          </w:rPr>
          <w:t>https://doi.org/10.1111/1365-2664.13226</w:t>
        </w:r>
      </w:hyperlink>
    </w:p>
    <w:p w14:paraId="01DFD66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Donato, D. C., Kauffman, J. B., Murdiyarso, D., Kurnianto, S., Stidham, M., &amp; Kanninen, M. (2011). Mangroves among the most carbon-rich forests in the tropics. Nature Geoscience, 4(5), 293–297. https://doi.org/10.1038/ngeo1123</w:t>
      </w:r>
    </w:p>
    <w:p w14:paraId="03316E36" w14:textId="788B2346"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Duarte, Wu, J., Xiao, X., Bruhn, A., &amp; Krause-Jensen, D. (2017). Can </w:t>
      </w:r>
      <w:r w:rsidR="00436128">
        <w:rPr>
          <w:sz w:val="20"/>
          <w:szCs w:val="20"/>
          <w:lang w:val="en-GB"/>
        </w:rPr>
        <w:t>s</w:t>
      </w:r>
      <w:r w:rsidRPr="009A3193">
        <w:rPr>
          <w:sz w:val="20"/>
          <w:szCs w:val="20"/>
          <w:lang w:val="en-GB"/>
        </w:rPr>
        <w:t xml:space="preserve">eaweed </w:t>
      </w:r>
      <w:r w:rsidR="00436128">
        <w:rPr>
          <w:sz w:val="20"/>
          <w:szCs w:val="20"/>
          <w:lang w:val="en-GB"/>
        </w:rPr>
        <w:t>f</w:t>
      </w:r>
      <w:r w:rsidRPr="009A3193">
        <w:rPr>
          <w:sz w:val="20"/>
          <w:szCs w:val="20"/>
          <w:lang w:val="en-GB"/>
        </w:rPr>
        <w:t xml:space="preserve">arming </w:t>
      </w:r>
      <w:r w:rsidR="00436128">
        <w:rPr>
          <w:sz w:val="20"/>
          <w:szCs w:val="20"/>
          <w:lang w:val="en-GB"/>
        </w:rPr>
        <w:t>p</w:t>
      </w:r>
      <w:r w:rsidRPr="009A3193">
        <w:rPr>
          <w:sz w:val="20"/>
          <w:szCs w:val="20"/>
          <w:lang w:val="en-GB"/>
        </w:rPr>
        <w:t xml:space="preserve">lay a </w:t>
      </w:r>
      <w:r w:rsidR="00436128">
        <w:rPr>
          <w:sz w:val="20"/>
          <w:szCs w:val="20"/>
          <w:lang w:val="en-GB"/>
        </w:rPr>
        <w:t>r</w:t>
      </w:r>
      <w:r w:rsidRPr="009A3193">
        <w:rPr>
          <w:sz w:val="20"/>
          <w:szCs w:val="20"/>
          <w:lang w:val="en-GB"/>
        </w:rPr>
        <w:t xml:space="preserve">ole in </w:t>
      </w:r>
      <w:r w:rsidR="00436128">
        <w:rPr>
          <w:sz w:val="20"/>
          <w:szCs w:val="20"/>
          <w:lang w:val="en-GB"/>
        </w:rPr>
        <w:t>c</w:t>
      </w:r>
      <w:r w:rsidRPr="009A3193">
        <w:rPr>
          <w:sz w:val="20"/>
          <w:szCs w:val="20"/>
          <w:lang w:val="en-GB"/>
        </w:rPr>
        <w:t xml:space="preserve">limate </w:t>
      </w:r>
      <w:r w:rsidR="00436128">
        <w:rPr>
          <w:sz w:val="20"/>
          <w:szCs w:val="20"/>
          <w:lang w:val="en-GB"/>
        </w:rPr>
        <w:t>c</w:t>
      </w:r>
      <w:r w:rsidRPr="009A3193">
        <w:rPr>
          <w:sz w:val="20"/>
          <w:szCs w:val="20"/>
          <w:lang w:val="en-GB"/>
        </w:rPr>
        <w:t xml:space="preserve">hange </w:t>
      </w:r>
      <w:r w:rsidR="00436128">
        <w:rPr>
          <w:sz w:val="20"/>
          <w:szCs w:val="20"/>
          <w:lang w:val="en-GB"/>
        </w:rPr>
        <w:t>m</w:t>
      </w:r>
      <w:r w:rsidRPr="009A3193">
        <w:rPr>
          <w:sz w:val="20"/>
          <w:szCs w:val="20"/>
          <w:lang w:val="en-GB"/>
        </w:rPr>
        <w:t xml:space="preserve">itigation and </w:t>
      </w:r>
      <w:r w:rsidR="00436128">
        <w:rPr>
          <w:sz w:val="20"/>
          <w:szCs w:val="20"/>
          <w:lang w:val="en-GB"/>
        </w:rPr>
        <w:t>a</w:t>
      </w:r>
      <w:r w:rsidRPr="009A3193">
        <w:rPr>
          <w:sz w:val="20"/>
          <w:szCs w:val="20"/>
          <w:lang w:val="en-GB"/>
        </w:rPr>
        <w:t>daptation? In Frontiers in Marine Science. Frontiers Media SA. https://doi.org/10.3389/fmars.2017.00100</w:t>
      </w:r>
    </w:p>
    <w:p w14:paraId="1A5DCEF6" w14:textId="0625679C"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Ekawati, S., Subarudi, Budiningsih, K., Sari, G. K., &amp; Muttaqin, M. Z. (2019). Policies affecting the implementation of REDD+ in Indonesia (cases in Papua, Riau and Central Kalimantan). Assessing </w:t>
      </w:r>
      <w:r w:rsidR="00436128">
        <w:rPr>
          <w:sz w:val="20"/>
          <w:szCs w:val="20"/>
          <w:lang w:val="en-GB"/>
        </w:rPr>
        <w:t>p</w:t>
      </w:r>
      <w:r w:rsidRPr="009A3193">
        <w:rPr>
          <w:sz w:val="20"/>
          <w:szCs w:val="20"/>
          <w:lang w:val="en-GB"/>
        </w:rPr>
        <w:t xml:space="preserve">olicies to </w:t>
      </w:r>
      <w:r w:rsidR="00436128">
        <w:rPr>
          <w:sz w:val="20"/>
          <w:szCs w:val="20"/>
          <w:lang w:val="en-GB"/>
        </w:rPr>
        <w:t>r</w:t>
      </w:r>
      <w:r w:rsidRPr="009A3193">
        <w:rPr>
          <w:sz w:val="20"/>
          <w:szCs w:val="20"/>
          <w:lang w:val="en-GB"/>
        </w:rPr>
        <w:t xml:space="preserve">educe </w:t>
      </w:r>
      <w:r w:rsidR="00436128">
        <w:rPr>
          <w:sz w:val="20"/>
          <w:szCs w:val="20"/>
          <w:lang w:val="en-GB"/>
        </w:rPr>
        <w:t>e</w:t>
      </w:r>
      <w:r w:rsidRPr="009A3193">
        <w:rPr>
          <w:sz w:val="20"/>
          <w:szCs w:val="20"/>
          <w:lang w:val="en-GB"/>
        </w:rPr>
        <w:t xml:space="preserve">missions from </w:t>
      </w:r>
      <w:r w:rsidR="00436128">
        <w:rPr>
          <w:sz w:val="20"/>
          <w:szCs w:val="20"/>
          <w:lang w:val="en-GB"/>
        </w:rPr>
        <w:t>l</w:t>
      </w:r>
      <w:r w:rsidRPr="009A3193">
        <w:rPr>
          <w:sz w:val="20"/>
          <w:szCs w:val="20"/>
          <w:lang w:val="en-GB"/>
        </w:rPr>
        <w:t xml:space="preserve">and </w:t>
      </w:r>
      <w:r w:rsidR="00436128">
        <w:rPr>
          <w:sz w:val="20"/>
          <w:szCs w:val="20"/>
          <w:lang w:val="en-GB"/>
        </w:rPr>
        <w:t>u</w:t>
      </w:r>
      <w:r w:rsidRPr="009A3193">
        <w:rPr>
          <w:sz w:val="20"/>
          <w:szCs w:val="20"/>
          <w:lang w:val="en-GB"/>
        </w:rPr>
        <w:t xml:space="preserve">se </w:t>
      </w:r>
      <w:r w:rsidR="00436128">
        <w:rPr>
          <w:sz w:val="20"/>
          <w:szCs w:val="20"/>
          <w:lang w:val="en-GB"/>
        </w:rPr>
        <w:t>c</w:t>
      </w:r>
      <w:r w:rsidRPr="009A3193">
        <w:rPr>
          <w:sz w:val="20"/>
          <w:szCs w:val="20"/>
          <w:lang w:val="en-GB"/>
        </w:rPr>
        <w:t>hange in Indonesia, 108, 101939. https://doi.org/10.1016/j.forpol.2019.05.025</w:t>
      </w:r>
    </w:p>
    <w:p w14:paraId="1BD96677" w14:textId="1329AF2F"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Engle, V. (2011). Estimating the </w:t>
      </w:r>
      <w:r w:rsidR="00436128">
        <w:rPr>
          <w:sz w:val="20"/>
          <w:szCs w:val="20"/>
          <w:lang w:val="en-GB"/>
        </w:rPr>
        <w:t>p</w:t>
      </w:r>
      <w:r w:rsidRPr="009A3193">
        <w:rPr>
          <w:sz w:val="20"/>
          <w:szCs w:val="20"/>
          <w:lang w:val="en-GB"/>
        </w:rPr>
        <w:t xml:space="preserve">rovision of </w:t>
      </w:r>
      <w:r w:rsidR="00436128">
        <w:rPr>
          <w:sz w:val="20"/>
          <w:szCs w:val="20"/>
          <w:lang w:val="en-GB"/>
        </w:rPr>
        <w:t>e</w:t>
      </w:r>
      <w:r w:rsidRPr="009A3193">
        <w:rPr>
          <w:sz w:val="20"/>
          <w:szCs w:val="20"/>
          <w:lang w:val="en-GB"/>
        </w:rPr>
        <w:t xml:space="preserve">cosystem </w:t>
      </w:r>
      <w:r w:rsidR="00436128">
        <w:rPr>
          <w:sz w:val="20"/>
          <w:szCs w:val="20"/>
          <w:lang w:val="en-GB"/>
        </w:rPr>
        <w:t>s</w:t>
      </w:r>
      <w:r w:rsidRPr="009A3193">
        <w:rPr>
          <w:sz w:val="20"/>
          <w:szCs w:val="20"/>
          <w:lang w:val="en-GB"/>
        </w:rPr>
        <w:t xml:space="preserve">ervices by Gulf of Mexico </w:t>
      </w:r>
      <w:r w:rsidR="00436128">
        <w:rPr>
          <w:sz w:val="20"/>
          <w:szCs w:val="20"/>
          <w:lang w:val="en-GB"/>
        </w:rPr>
        <w:t>c</w:t>
      </w:r>
      <w:r w:rsidRPr="009A3193">
        <w:rPr>
          <w:sz w:val="20"/>
          <w:szCs w:val="20"/>
          <w:lang w:val="en-GB"/>
        </w:rPr>
        <w:t xml:space="preserve">oastal </w:t>
      </w:r>
      <w:r w:rsidR="00436128">
        <w:rPr>
          <w:sz w:val="20"/>
          <w:szCs w:val="20"/>
          <w:lang w:val="en-GB"/>
        </w:rPr>
        <w:t>w</w:t>
      </w:r>
      <w:r w:rsidRPr="009A3193">
        <w:rPr>
          <w:sz w:val="20"/>
          <w:szCs w:val="20"/>
          <w:lang w:val="en-GB"/>
        </w:rPr>
        <w:t>etlands. Wetlands, 31, 179–193. https://doi.org/10.1007/s13157-010-0132-9</w:t>
      </w:r>
    </w:p>
    <w:p w14:paraId="7E3CB0C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Enzi, V., Cameron, B., Dezsényi, P., Gedge, D., Mann, G., &amp; Pitha, U. (2017). Nature-Based Solutions and Buildings – The Power of Surfaces to Help Cities Adapt to Climate Change and to Deliver Biodiversity (pp. 159–183). https://doi.org/10.1007/978-3-319-56091-5_10</w:t>
      </w:r>
    </w:p>
    <w:p w14:paraId="79577A5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Epple, C., Rangel, G., Jenkins, M., &amp; Guth, M. (2016). Managing ecosystems in the context of climate change mitigation: A review of current knowledge and recommendations to support ecosystem-based mitigation actions that look beyond terrestrial forests. Secretariat of the Convention on Biological Diversity.</w:t>
      </w:r>
    </w:p>
    <w:p w14:paraId="2BFE568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Ermgassen, Sophus O. S. E. zu, Baker, J., Griffiths, R. A., Strange, N., Struebig, M. J., &amp; Bull, J. W. (2019). The ecological outcomes of biodiversity offsets under “no net loss” policies: A global review. Conservation Letters, 12(6), e12664. https://doi.org/10.1111/conl.12664</w:t>
      </w:r>
    </w:p>
    <w:p w14:paraId="5749F538"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Everard, M., Jha, R., &amp; Russell, S. (2014). The benefits of fringing mangrove systems to Mumbai. Aquatic Conservation: Marine and Freshwater Ecosystems, 24. https://doi.org/10.1002/aqc.2433</w:t>
      </w:r>
    </w:p>
    <w:p w14:paraId="4B515B6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Falk, J. M., Schmidt, N. M., Christensen, T. R., &amp; Ström, L. (2015). Large herbivore grazing affects the vegetation structure and greenhouse gas balance in a high arctic mire. Environmental Research Letters, 10(4), 045001. https://doi.org/10.1088/1748-9326/10/4/045001</w:t>
      </w:r>
    </w:p>
    <w:p w14:paraId="0B2D6EF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Fay, J. M., &amp; Agnagna, M. (1991). A population survey of forest elephants (</w:t>
      </w:r>
      <w:r w:rsidRPr="008D3851">
        <w:rPr>
          <w:i/>
          <w:iCs/>
          <w:sz w:val="20"/>
          <w:szCs w:val="20"/>
          <w:lang w:val="en-GB"/>
        </w:rPr>
        <w:t>Loxodonta africana cyclotis</w:t>
      </w:r>
      <w:r w:rsidRPr="009A3193">
        <w:rPr>
          <w:sz w:val="20"/>
          <w:szCs w:val="20"/>
          <w:lang w:val="en-GB"/>
        </w:rPr>
        <w:t>) in northern Congo. African Journal of Ecology, 29(3), 177–187. https://doi.org/10.1111/j.1365-2028.1991.tb01000.x</w:t>
      </w:r>
    </w:p>
    <w:p w14:paraId="6907CC8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Fearnside, P. M. (2016). Greenhouse gas emissions from Brazil’s Amazonian hydroelectric dams. Environmental Research Letters, 11(1), 011002. https://doi.org/10.1088/1748-9326/11/1/011002</w:t>
      </w:r>
    </w:p>
    <w:p w14:paraId="6B3F4BF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Fensholt, R., Langanke, T., Rasmussen, K., Reenberg, A., Prince, S. D., Tucker, C., Scholes, R. J., Le, Q. B., Bondeau, A., Eastman, R., Epstein, H., Gaughan, A. E., Hellden, U., Mbow, C., Olsson, L., Paruelo, J., Schweitzer, C., Seaquist, J., &amp; Wessels, K. (2012). Greenness in semi-arid areas across the globe 1981–2007—An Earth Observing Satellite based analysis of trends and drivers. Remote Sensing of Environment, 121, 144–158. https://doi.org/10.1016/j.rse.2012.01.017</w:t>
      </w:r>
    </w:p>
    <w:p w14:paraId="7651F72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Foale, S., Adhuri, D., Aliño, P., Allison, E., Andrew, N., Cohen, P., Evans, L., Fabinyi, M., Fidelman, P., Gregory, C., Stacey, N., Tanzer, J., &amp; Weeratunge, N. (2013). Food security and the Coral Triangle Initiative. Marine Policy, 38, 174–183. https://doi.org/10.1016/j.marpol.2012.05.033</w:t>
      </w:r>
    </w:p>
    <w:p w14:paraId="41847F3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Franks, M., Lessmann, K., Jakob, M., Steckel, J. C., &amp; Edenhofer, O. (2018). Mobilizing domestic resources for the Agenda 2030 via carbon pricing. Nature Sustainability, 1(7), 350–357. https://doi.org/10.1038/s41893-018-0083-3</w:t>
      </w:r>
    </w:p>
    <w:p w14:paraId="13125E2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Friess, D. A., Richards, D. R., &amp; Phang, V. X. H. (2015). Mangrove forests store high densities of carbon across the tropical urban landscape of Singapore. Urban Ecosystem. https://doi.org/10.1007/s11252-015-0511-3</w:t>
      </w:r>
    </w:p>
    <w:p w14:paraId="42B2652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Friess, D. A., Yando, E. S., Alemu, J. B., Wong, L.-W., Soto, S. D., &amp; Bhatia, N. (2020). Ecosystem Services and Disservices of Mangrove Forests and Salt Marshes. Oceanography and Marine Biology. https://doi.org/10.3390/f7090183</w:t>
      </w:r>
    </w:p>
    <w:p w14:paraId="50DEFCA7"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Froehlich, H. E., Afflerbach, J. C., Frazier, M., &amp; Halpern, B. S. (2019). Blue Growth Potential to Mitigate Climate Change through Seaweed Offsetting. Current Biology, 29(18), 3087-3093.e3. https://doi.org/10.1016/j.cub.2019.07.041</w:t>
      </w:r>
    </w:p>
    <w:p w14:paraId="158F860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Gallego-Sala, A. V., Charman, D. J., Brewer, S., Page, S. E., Prentice, I. C., Friedlingstein, P., Moreton, S., Amesbury, M. J., Beilman, D. W., Björck, S., Blyakharchuk, T., Bochicchio, C., Booth, R. K., Bunbury, J., Camill, P., Carless, D., Chimner, R. A., Clifford, M., Cressey, E., … Zhao, Y. (2018). Latitudinal limits to the predicted increase of the peatland carbon sink with warming. Nature Climate Change, 8(10), 907–913. https://doi.org/10.1038/s41558-018-0271-1</w:t>
      </w:r>
    </w:p>
    <w:p w14:paraId="3E16BCC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Gizachew, B., Astrup, R., Vedeld, P., Zahabu, E. M., &amp; Duguma, L. A. (2017). REDD+ in Africa: Contexts and challenges. Natural Resources Forum, 41(2), 92–104. https://doi.org/10.1111/1477-8947.12119</w:t>
      </w:r>
    </w:p>
    <w:p w14:paraId="0955C5AA"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Gosnell, H., Grimm, K., &amp; Goldstein, B. E. (2020). A half century of Holistic Management: What does the evidence reveal? Agriculture and Human Values, 37(3), 849–867. https://doi.org/10.1007/s10460-020-10016-w</w:t>
      </w:r>
    </w:p>
    <w:p w14:paraId="58FD0C6B" w14:textId="77777777" w:rsidR="00463E22" w:rsidRPr="00463E22" w:rsidRDefault="009A5685" w:rsidP="00463E22">
      <w:pPr>
        <w:pStyle w:val="Paragraphedeliste"/>
        <w:numPr>
          <w:ilvl w:val="0"/>
          <w:numId w:val="1"/>
        </w:numPr>
        <w:ind w:left="360"/>
        <w:rPr>
          <w:sz w:val="20"/>
          <w:szCs w:val="20"/>
          <w:lang w:val="en-GB"/>
        </w:rPr>
      </w:pPr>
      <w:r w:rsidRPr="009A3193">
        <w:rPr>
          <w:sz w:val="20"/>
          <w:szCs w:val="20"/>
          <w:lang w:val="en-GB"/>
        </w:rPr>
        <w:t xml:space="preserve">Goulding, M., Venticinque, E., Ribeiro, M. L. d. B., Barthem, R. B., Leite, R. G., Forsberg, B., … Cañas, C. (2019). </w:t>
      </w:r>
      <w:r w:rsidRPr="00463E22">
        <w:rPr>
          <w:sz w:val="20"/>
          <w:szCs w:val="20"/>
          <w:lang w:val="en-GB"/>
        </w:rPr>
        <w:t>Ecosystem-based management of Amazon fisheries and wetlands. Fish and Fisheries, 20(1), 138–158.</w:t>
      </w:r>
      <w:r w:rsidR="00463E22" w:rsidRPr="00463E22">
        <w:rPr>
          <w:sz w:val="20"/>
          <w:szCs w:val="20"/>
          <w:lang w:val="en-GB"/>
        </w:rPr>
        <w:t xml:space="preserve"> </w:t>
      </w:r>
      <w:hyperlink r:id="rId102" w:history="1">
        <w:r w:rsidR="00463E22" w:rsidRPr="00463E22">
          <w:rPr>
            <w:rStyle w:val="Lienhypertexte"/>
            <w:rFonts w:cs="Open Sans"/>
            <w:color w:val="auto"/>
            <w:sz w:val="20"/>
            <w:szCs w:val="20"/>
            <w:u w:val="none"/>
            <w:shd w:val="clear" w:color="auto" w:fill="FFFFFF"/>
          </w:rPr>
          <w:t>https://doi.org/10.1111/faf.12328</w:t>
        </w:r>
      </w:hyperlink>
    </w:p>
    <w:p w14:paraId="449313A8" w14:textId="5C93E56C" w:rsidR="009A5685" w:rsidRPr="00463E22" w:rsidRDefault="009A5685" w:rsidP="00463E22">
      <w:pPr>
        <w:pStyle w:val="Paragraphedeliste"/>
        <w:numPr>
          <w:ilvl w:val="0"/>
          <w:numId w:val="1"/>
        </w:numPr>
        <w:ind w:left="360"/>
        <w:rPr>
          <w:sz w:val="20"/>
          <w:szCs w:val="20"/>
          <w:lang w:val="en-GB"/>
        </w:rPr>
      </w:pPr>
      <w:r w:rsidRPr="00463E22">
        <w:rPr>
          <w:sz w:val="20"/>
          <w:szCs w:val="20"/>
          <w:lang w:val="en-GB"/>
        </w:rPr>
        <w:t>Grant</w:t>
      </w:r>
      <w:r w:rsidR="00927519" w:rsidRPr="00463E22">
        <w:rPr>
          <w:sz w:val="20"/>
          <w:szCs w:val="20"/>
          <w:lang w:val="en-GB"/>
        </w:rPr>
        <w:t xml:space="preserve"> S. M., Hill S., Trathan P. N., Murphy E. J.</w:t>
      </w:r>
      <w:r w:rsidRPr="00463E22">
        <w:rPr>
          <w:sz w:val="20"/>
          <w:szCs w:val="20"/>
          <w:lang w:val="en-GB"/>
        </w:rPr>
        <w:t>, 2013</w:t>
      </w:r>
      <w:r w:rsidR="00927519" w:rsidRPr="00463E22">
        <w:rPr>
          <w:sz w:val="20"/>
          <w:szCs w:val="20"/>
          <w:lang w:val="en-GB"/>
        </w:rPr>
        <w:t>. Ecosystem services of the Southern Ocean: Trade-offs in decision-making. Antarctic Science 25(5):603-617</w:t>
      </w:r>
      <w:r w:rsidR="00463E22" w:rsidRPr="00463E22">
        <w:rPr>
          <w:sz w:val="20"/>
          <w:szCs w:val="20"/>
          <w:lang w:val="en-GB"/>
        </w:rPr>
        <w:t xml:space="preserve">. </w:t>
      </w:r>
      <w:r w:rsidR="00A508BF" w:rsidRPr="00A508BF">
        <w:rPr>
          <w:sz w:val="20"/>
          <w:szCs w:val="20"/>
        </w:rPr>
        <w:t>https://doi.org/10.1017/S0954102013000308</w:t>
      </w:r>
    </w:p>
    <w:p w14:paraId="5966007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Guannel, G., Arkema, K., Ruggiero, P., &amp; Verutes, G. (2016). The power of three: Coral reefs, seagrasses and mangroves protect coastal regions and increase their resilience. PloS One, 11(7), e0158094. https://doi.org/10.1371/journal.pone.0158094 </w:t>
      </w:r>
    </w:p>
    <w:p w14:paraId="392C359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Gullison, R. E., Frumhoff, P. C., Canadell, J. G., Field, C. B., Nepstad, D. C., Hayhoe, K., Avissar, R., Curran, L. M., Friedlingstein, P., Jones, C. D., &amp; Nobre, C. (2007). ENVIRONMENT: Tropical Forests and Climate Policy. Science, 316(5827), 985–986. https://doi.org/10.1126/science.1136163</w:t>
      </w:r>
    </w:p>
    <w:p w14:paraId="22449D8D" w14:textId="77777777" w:rsidR="009A3193" w:rsidRPr="009A3193" w:rsidRDefault="009A5685" w:rsidP="009A3193">
      <w:pPr>
        <w:pStyle w:val="Paragraphedeliste"/>
        <w:numPr>
          <w:ilvl w:val="0"/>
          <w:numId w:val="1"/>
        </w:numPr>
        <w:ind w:left="360"/>
        <w:rPr>
          <w:sz w:val="20"/>
          <w:szCs w:val="20"/>
          <w:lang w:val="en-GB"/>
        </w:rPr>
      </w:pPr>
      <w:r w:rsidRPr="009A3193">
        <w:rPr>
          <w:sz w:val="20"/>
          <w:szCs w:val="20"/>
          <w:lang w:val="en-GB"/>
        </w:rPr>
        <w:t>Gustavsson, J., Cederberg, C., &amp; Sonesson, U. (2011). Global food losses and food waste: Extent, causes and prevention ; study conducted for the International Congress Save Food! at Interpack 2011, [16 - 17 May], Düsseldorf, Germany. Food and Agriculture Organization of the United Nations.</w:t>
      </w:r>
    </w:p>
    <w:p w14:paraId="6BBBCB3D" w14:textId="34725C1D" w:rsidR="009A5685" w:rsidRPr="009A3193" w:rsidRDefault="00D14CE9" w:rsidP="009A3193">
      <w:pPr>
        <w:pStyle w:val="Paragraphedeliste"/>
        <w:numPr>
          <w:ilvl w:val="0"/>
          <w:numId w:val="1"/>
        </w:numPr>
        <w:ind w:left="360"/>
        <w:rPr>
          <w:sz w:val="20"/>
          <w:szCs w:val="20"/>
          <w:lang w:val="en-GB"/>
        </w:rPr>
      </w:pPr>
      <w:r w:rsidRPr="009A3193">
        <w:rPr>
          <w:sz w:val="20"/>
          <w:szCs w:val="20"/>
          <w:lang w:val="en-GB"/>
        </w:rPr>
        <w:t>Hall A. 2008. Better RED than dead: paying the people for environmental services in Amazonia. Phil. Trans. R. Soc. B. 363:1925–1932. doi:10.1098/rstb.2007.0034</w:t>
      </w:r>
    </w:p>
    <w:p w14:paraId="1E70DE4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Heilmayr, R., Echeverría, C., &amp; Lambin, E. F. (2020). Impacts of Chilean forest subsidies on forest cover, carbon and biodiversity. Nature Sustainability, 3(9), 701–709. https://doi.org/10.1038/s41893-020-0547-0</w:t>
      </w:r>
    </w:p>
    <w:p w14:paraId="6B0BC153"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Heithaus, M. R., Alcoverro, T., Arthur, R., Burkholder, D. A., Coates, K. A., Christianen, M. J. A., Kelkar, N., Manuel, S. A., Wirsing, A. J., Kenworthy, W. J., &amp; Fourqurean, J. W. (2014). Seagrasses in the age of sea turtle conservation and shark overfishing. Frontiers in Marine Science, 1. https://doi.org/10.3389/fmars.2014.00028</w:t>
      </w:r>
    </w:p>
    <w:p w14:paraId="4FE8BEF7" w14:textId="77777777" w:rsidR="009A3193" w:rsidRPr="009A3193" w:rsidRDefault="009A5685" w:rsidP="009A3193">
      <w:pPr>
        <w:pStyle w:val="Paragraphedeliste"/>
        <w:numPr>
          <w:ilvl w:val="0"/>
          <w:numId w:val="1"/>
        </w:numPr>
        <w:ind w:left="360"/>
        <w:rPr>
          <w:sz w:val="20"/>
          <w:szCs w:val="20"/>
          <w:lang w:val="en-GB"/>
        </w:rPr>
      </w:pPr>
      <w:r w:rsidRPr="009A3193">
        <w:rPr>
          <w:sz w:val="20"/>
          <w:szCs w:val="20"/>
          <w:lang w:val="en-GB"/>
        </w:rPr>
        <w:t>Hoegh-Guldberg, Ove, Hoegh-Guldberg, H., Veron, J. E. N., Green, A., Gomez, E. D., Ambariyanto, A., &amp; Hansen, L. (2009). The coral triangle and climate change: Ecosystems, people and societies at risk.</w:t>
      </w:r>
    </w:p>
    <w:p w14:paraId="48EFC823" w14:textId="542770E1" w:rsidR="009A3193" w:rsidRPr="009A3193" w:rsidRDefault="00271474" w:rsidP="009A3193">
      <w:pPr>
        <w:pStyle w:val="Paragraphedeliste"/>
        <w:numPr>
          <w:ilvl w:val="0"/>
          <w:numId w:val="1"/>
        </w:numPr>
        <w:ind w:left="360"/>
        <w:rPr>
          <w:sz w:val="20"/>
          <w:szCs w:val="20"/>
          <w:lang w:val="en-GB"/>
        </w:rPr>
      </w:pPr>
      <w:r w:rsidRPr="007F3FAD">
        <w:rPr>
          <w:sz w:val="20"/>
          <w:szCs w:val="20"/>
          <w:lang w:val="en-GB"/>
        </w:rPr>
        <w:t>Hoegh-Guldberg</w:t>
      </w:r>
      <w:r w:rsidR="00D648F4" w:rsidRPr="007F3FAD">
        <w:rPr>
          <w:sz w:val="20"/>
          <w:szCs w:val="20"/>
          <w:lang w:val="en-GB"/>
        </w:rPr>
        <w:t xml:space="preserve"> O., Pendleton L., Kaup A. </w:t>
      </w:r>
      <w:r w:rsidR="007F3FAD" w:rsidRPr="007F3FAD">
        <w:rPr>
          <w:sz w:val="20"/>
          <w:szCs w:val="20"/>
          <w:lang w:val="en-GB"/>
        </w:rPr>
        <w:t>(</w:t>
      </w:r>
      <w:r w:rsidR="00D648F4" w:rsidRPr="007F3FAD">
        <w:rPr>
          <w:sz w:val="20"/>
          <w:szCs w:val="20"/>
          <w:lang w:val="en-GB"/>
        </w:rPr>
        <w:t>2019</w:t>
      </w:r>
      <w:r w:rsidR="00F70E50" w:rsidRPr="007F3FAD">
        <w:rPr>
          <w:sz w:val="20"/>
          <w:szCs w:val="20"/>
          <w:lang w:val="en-GB"/>
        </w:rPr>
        <w:t>a</w:t>
      </w:r>
      <w:r w:rsidR="007F3FAD" w:rsidRPr="007F3FAD">
        <w:rPr>
          <w:sz w:val="20"/>
          <w:szCs w:val="20"/>
          <w:lang w:val="en-GB"/>
        </w:rPr>
        <w:t>)</w:t>
      </w:r>
      <w:r w:rsidRPr="007F3FAD">
        <w:rPr>
          <w:sz w:val="20"/>
          <w:szCs w:val="20"/>
          <w:lang w:val="en-GB"/>
        </w:rPr>
        <w:t>. People and the changing nature of coral reefs.</w:t>
      </w:r>
      <w:r w:rsidR="00D648F4" w:rsidRPr="007F3FAD">
        <w:rPr>
          <w:sz w:val="20"/>
          <w:szCs w:val="20"/>
          <w:lang w:val="en-GB"/>
        </w:rPr>
        <w:t xml:space="preserve"> Regional Studies in Marine Science 30:100699</w:t>
      </w:r>
      <w:r w:rsidR="007F3FAD" w:rsidRPr="007F3FAD">
        <w:rPr>
          <w:sz w:val="20"/>
          <w:szCs w:val="20"/>
          <w:lang w:val="en-GB"/>
        </w:rPr>
        <w:t xml:space="preserve">. </w:t>
      </w:r>
      <w:hyperlink r:id="rId103" w:tgtFrame="_blank" w:tooltip="Persistent link using digital object identifier" w:history="1">
        <w:r w:rsidR="007F3FAD" w:rsidRPr="007F3FAD">
          <w:rPr>
            <w:rStyle w:val="Lienhypertexte"/>
            <w:rFonts w:cs="Arial"/>
            <w:color w:val="auto"/>
            <w:sz w:val="20"/>
            <w:szCs w:val="20"/>
            <w:u w:val="none"/>
          </w:rPr>
          <w:t>https://doi.org/10.1016/j.rsma.2019.100699</w:t>
        </w:r>
      </w:hyperlink>
    </w:p>
    <w:p w14:paraId="78B13379" w14:textId="53BFBBB9" w:rsidR="00F05BBF" w:rsidRPr="009A3193" w:rsidRDefault="00F05BBF" w:rsidP="009A3193">
      <w:pPr>
        <w:pStyle w:val="Paragraphedeliste"/>
        <w:numPr>
          <w:ilvl w:val="0"/>
          <w:numId w:val="1"/>
        </w:numPr>
        <w:ind w:left="360"/>
        <w:rPr>
          <w:sz w:val="20"/>
          <w:szCs w:val="20"/>
          <w:lang w:val="en-GB"/>
        </w:rPr>
      </w:pPr>
      <w:r w:rsidRPr="009A3193">
        <w:rPr>
          <w:sz w:val="20"/>
          <w:szCs w:val="20"/>
          <w:lang w:val="en-GB"/>
        </w:rPr>
        <w:t xml:space="preserve">Hoegh-Guldberg. O., </w:t>
      </w:r>
      <w:r w:rsidR="00D91E94" w:rsidRPr="009A3193">
        <w:rPr>
          <w:sz w:val="20"/>
          <w:szCs w:val="20"/>
          <w:lang w:val="en-GB"/>
        </w:rPr>
        <w:t xml:space="preserve">Caldeira K., Chopin T., Gaines S., Haugan P., Hermer M . </w:t>
      </w:r>
      <w:r w:rsidR="00F70E50" w:rsidRPr="009A3193">
        <w:rPr>
          <w:sz w:val="20"/>
          <w:szCs w:val="20"/>
          <w:lang w:val="en-GB"/>
        </w:rPr>
        <w:t xml:space="preserve">et al. </w:t>
      </w:r>
      <w:r w:rsidR="007F3FAD">
        <w:rPr>
          <w:sz w:val="20"/>
          <w:szCs w:val="20"/>
          <w:lang w:val="en-GB"/>
        </w:rPr>
        <w:t>(</w:t>
      </w:r>
      <w:r w:rsidR="00F70E50" w:rsidRPr="009A3193">
        <w:rPr>
          <w:sz w:val="20"/>
          <w:szCs w:val="20"/>
          <w:lang w:val="en-GB"/>
        </w:rPr>
        <w:t>2019b</w:t>
      </w:r>
      <w:r w:rsidR="007F3FAD">
        <w:rPr>
          <w:sz w:val="20"/>
          <w:szCs w:val="20"/>
          <w:lang w:val="en-GB"/>
        </w:rPr>
        <w:t>)</w:t>
      </w:r>
      <w:r w:rsidR="00F70E50" w:rsidRPr="009A3193">
        <w:rPr>
          <w:sz w:val="20"/>
          <w:szCs w:val="20"/>
          <w:lang w:val="en-GB"/>
        </w:rPr>
        <w:t xml:space="preserve">. </w:t>
      </w:r>
      <w:r w:rsidRPr="009A3193">
        <w:rPr>
          <w:sz w:val="20"/>
          <w:szCs w:val="20"/>
          <w:lang w:val="en-GB"/>
        </w:rPr>
        <w:t>The Ocean as a Solution to Cl</w:t>
      </w:r>
      <w:r w:rsidR="001451E4" w:rsidRPr="009A3193">
        <w:rPr>
          <w:sz w:val="20"/>
          <w:szCs w:val="20"/>
          <w:lang w:val="en-GB"/>
        </w:rPr>
        <w:t>imate Change: Five Opportu</w:t>
      </w:r>
      <w:r w:rsidR="00F70E50" w:rsidRPr="009A3193">
        <w:rPr>
          <w:sz w:val="20"/>
          <w:szCs w:val="20"/>
          <w:lang w:val="en-GB"/>
        </w:rPr>
        <w:t>nities for Action.</w:t>
      </w:r>
      <w:r w:rsidRPr="009A3193">
        <w:rPr>
          <w:sz w:val="20"/>
          <w:szCs w:val="20"/>
          <w:lang w:val="en-GB"/>
        </w:rPr>
        <w:t xml:space="preserve"> Report. Washington, DC: World Resources Institute. Available online at http://www.oceanpanel.org/climate </w:t>
      </w:r>
    </w:p>
    <w:p w14:paraId="4110A3C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Hogg, O. T., Barnes, D. K. A., &amp; Griffiths, H. J. (2011). Highly Diverse, Poorly Studied and Uniquely Threatened by Climate Change: An Assessment of Marine Biodiversity on South Georgia’s Continental Shelf. PLOS ONE, 6(5), e19795.</w:t>
      </w:r>
      <w:r w:rsidRPr="007F3FAD">
        <w:rPr>
          <w:sz w:val="20"/>
          <w:szCs w:val="20"/>
          <w:lang w:val="en-GB"/>
        </w:rPr>
        <w:t xml:space="preserve"> </w:t>
      </w:r>
      <w:hyperlink r:id="rId104" w:history="1">
        <w:r w:rsidRPr="007F3FAD">
          <w:rPr>
            <w:rStyle w:val="Lienhypertexte"/>
            <w:color w:val="auto"/>
            <w:sz w:val="20"/>
            <w:szCs w:val="20"/>
            <w:u w:val="none"/>
            <w:lang w:val="en-GB"/>
          </w:rPr>
          <w:t>https://doi.org/10.1371/journal.pone.0019795</w:t>
        </w:r>
      </w:hyperlink>
    </w:p>
    <w:p w14:paraId="366764F4" w14:textId="7AEA55D8"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Hooijer, A., Page, S., Canadell, J. G., Silvius, M., Kwadijk, J., Wösten, H., &amp; Jauhiainen, J. (2010). Current and future CO</w:t>
      </w:r>
      <w:r w:rsidR="008D3851">
        <w:rPr>
          <w:sz w:val="20"/>
          <w:szCs w:val="20"/>
          <w:lang w:val="en-GB"/>
        </w:rPr>
        <w:t xml:space="preserve">2 </w:t>
      </w:r>
      <w:r w:rsidRPr="007F3FAD">
        <w:rPr>
          <w:sz w:val="20"/>
          <w:szCs w:val="20"/>
          <w:lang w:val="en-GB"/>
        </w:rPr>
        <w:t xml:space="preserve">emissions from drained peatlands in Southeast Asia. Biogeosciences, 7(5), 1505–1514. </w:t>
      </w:r>
      <w:hyperlink r:id="rId105" w:history="1">
        <w:r w:rsidRPr="007F3FAD">
          <w:rPr>
            <w:rStyle w:val="Lienhypertexte"/>
            <w:color w:val="auto"/>
            <w:sz w:val="20"/>
            <w:szCs w:val="20"/>
            <w:u w:val="none"/>
            <w:lang w:val="en-GB"/>
          </w:rPr>
          <w:t>https://doi.org/10.5194/bg-7-1505-2010</w:t>
        </w:r>
      </w:hyperlink>
    </w:p>
    <w:p w14:paraId="3798BAC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Hooper, D. U., Adair, E. C., Cardinale, B. J., Byrnes, J. E. K., Hungate, B. A., Matulich, K. L., Gonzalez, A., Duffy, J. E., Gamfeldt, L., &amp; O’Connor, M. I. (2012). A global synthesis reveals biodiversity loss as a major driver of ecosystem change. Nature, 486(7401), 105–108</w:t>
      </w:r>
      <w:r w:rsidRPr="007F3FAD">
        <w:rPr>
          <w:sz w:val="20"/>
          <w:szCs w:val="20"/>
          <w:lang w:val="en-GB"/>
        </w:rPr>
        <w:t xml:space="preserve">. </w:t>
      </w:r>
      <w:hyperlink r:id="rId106" w:history="1">
        <w:r w:rsidRPr="007F3FAD">
          <w:rPr>
            <w:rStyle w:val="Lienhypertexte"/>
            <w:color w:val="auto"/>
            <w:sz w:val="20"/>
            <w:szCs w:val="20"/>
            <w:u w:val="none"/>
            <w:lang w:val="en-GB"/>
          </w:rPr>
          <w:t>https://doi.org/10.1038/nature11118</w:t>
        </w:r>
      </w:hyperlink>
    </w:p>
    <w:p w14:paraId="79436CB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Hopping, K., Chignell, S., &amp; Lambin, E. (2018). The demise of caterpillar fungus in the Himalayan region due to cli</w:t>
      </w:r>
      <w:r w:rsidRPr="007F3FAD">
        <w:rPr>
          <w:sz w:val="20"/>
          <w:szCs w:val="20"/>
          <w:lang w:val="en-GB"/>
        </w:rPr>
        <w:t xml:space="preserve">mate change and overharvesting. Proceedings of the National Academy of Sciences, 115. </w:t>
      </w:r>
      <w:hyperlink r:id="rId107" w:history="1">
        <w:r w:rsidRPr="007F3FAD">
          <w:rPr>
            <w:rStyle w:val="Lienhypertexte"/>
            <w:color w:val="auto"/>
            <w:sz w:val="20"/>
            <w:szCs w:val="20"/>
            <w:u w:val="none"/>
            <w:lang w:val="en-GB"/>
          </w:rPr>
          <w:t>https://doi.org/10.1073/pnas.1811591115</w:t>
        </w:r>
      </w:hyperlink>
    </w:p>
    <w:p w14:paraId="2AADA5C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Hossain, Md. S., Dearing, J. A., Rahman, M. M., &amp; Salehin, M. (2016). Recent changes in ecosystem services and human well-being in the Bangladesh coastal zone. Regional Environmental Change, 16(2), 429–443. https://doi.org/10.1007/s10113-014-0748-z</w:t>
      </w:r>
    </w:p>
    <w:p w14:paraId="62BEB21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Huntley, B. J., &amp; Redford, K. H. (2014). Mainstreaming  Biodiversity in Practice: A STAP Advisory Document. Global Environment Facility.</w:t>
      </w:r>
    </w:p>
    <w:p w14:paraId="48C21509" w14:textId="78E190CF"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Inogwabini, B.-I., Abokome, M., Kamenge, T., Mbende, L., &amp; Mboka, L. (2012). Preliminary bonobo and chimpanzee nesting by habitat type in the northern </w:t>
      </w:r>
      <w:r w:rsidRPr="007F3FAD">
        <w:rPr>
          <w:sz w:val="20"/>
          <w:szCs w:val="20"/>
          <w:lang w:val="en-GB"/>
        </w:rPr>
        <w:t>Lac Tumba Landscape, Democratic Republic of Congo. African Journal of Ecology, 50(3), 285–298.</w:t>
      </w:r>
      <w:r w:rsidR="007F3FAD" w:rsidRPr="007F3FAD">
        <w:rPr>
          <w:sz w:val="20"/>
          <w:szCs w:val="20"/>
          <w:lang w:val="en-GB"/>
        </w:rPr>
        <w:t xml:space="preserve"> </w:t>
      </w:r>
      <w:hyperlink r:id="rId108" w:history="1">
        <w:r w:rsidR="007F3FAD" w:rsidRPr="007F3FAD">
          <w:rPr>
            <w:rStyle w:val="Lienhypertexte"/>
            <w:rFonts w:cs="Open Sans"/>
            <w:color w:val="auto"/>
            <w:sz w:val="20"/>
            <w:szCs w:val="20"/>
            <w:u w:val="none"/>
            <w:shd w:val="clear" w:color="auto" w:fill="FFFFFF"/>
          </w:rPr>
          <w:t>https://doi.org/10.1111/j.1365-2028.2012.01323.x</w:t>
        </w:r>
      </w:hyperlink>
    </w:p>
    <w:p w14:paraId="58ADD27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IUCN. (2017). The Sundarbans 2017 Conservation Outlook Assessment. IUCN.</w:t>
      </w:r>
    </w:p>
    <w:p w14:paraId="1F6FCAB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IUCN. (2020). Sundarbans National Park 2020 Conservation Outlook Assessment (p. 24) [2020 Conservation Outlook Assessment]. IUCN.</w:t>
      </w:r>
    </w:p>
    <w:p w14:paraId="1EBFA94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Jahangir, M. M. R., Richards, K., Healy, M., Gill, L., Müller, C., Johnston, P., &amp; Fenton, O. (2016). Carbon and nitrogen dynamics and greenhouse gas emissions in constructed wetlands treating wastewater: A review. Hydrology and Earth System Sciences, 20, 109–123. https://doi.org/10.5194/hess-20-109-2016</w:t>
      </w:r>
    </w:p>
    <w:p w14:paraId="39CD5BB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Jantz, P., Goetz, S., &amp; Laporte, N. (2014). Carbon stock corridors to mitigate climate change and promote biodiversity in the tropics. Nature Climate Change, 4(2), 138–142. https://doi.org/10.1038/nclimate2105</w:t>
      </w:r>
    </w:p>
    <w:p w14:paraId="16433B7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Jauhiainen, J., Hooijer, A., &amp; Page, S. E. (2012). Carbon dioxide emissions from an Acacia plantation on peatland in Sumatra, Indonesia. Biogeosciences, 9(2), 617–630. https://doi.org/10.5194/bg-9-617-2012</w:t>
      </w:r>
    </w:p>
    <w:p w14:paraId="2C4C22FD" w14:textId="52AAD4E0"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Jia, G., Shevliakova, E., Artaxo, P., De Noblet-Ducoudre, N., Houghton, R., House, J., Kitajima, K., Lennard, C., Popp, A., Sirin, A., Sukumar, R., &amp; </w:t>
      </w:r>
      <w:r w:rsidRPr="006F0165">
        <w:rPr>
          <w:sz w:val="20"/>
          <w:szCs w:val="20"/>
          <w:lang w:val="en-GB"/>
        </w:rPr>
        <w:t>Verchot, L. (2019).</w:t>
      </w:r>
      <w:r w:rsidRPr="009A3193">
        <w:rPr>
          <w:sz w:val="20"/>
          <w:szCs w:val="20"/>
          <w:lang w:val="en-GB"/>
        </w:rPr>
        <w:t xml:space="preserve"> Land–climate interactions. In Climate Change and Land: An IPCC special report on climate change, desertification, land degradation, sustainable land management, food security, and greenhouse gas fluxes in terrestrial ecosystems [P.R. Shukla, J. Skea, E. Calvo Buendia, V. Masson-Delmotte, H.-O. Pörtner, D.C. Roberts, P. Zhai, R.  Slade, S. Connors, R. van Diemen, M. Ferrat, E. Haughey, S. Luz, S.  Neogi, M. Pathak, J. Petzold, J. Portugal Pereira, P. Vyas, E. Huntley, K. Kissick, M, Belkacemi, J. Malley, (eds.)] (pp. 131–247).</w:t>
      </w:r>
    </w:p>
    <w:p w14:paraId="7FE6FB9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Joly, C. A., Scarano, F. R., Bustamante, M., Gadda, T., Metzger, J. P., Seixas, C. S., Ometto, J.-P., Pires, A. P. F., Boesing, A. L., Sousa, F. D. R., Quintão, J. M., Gonçalves, L., Padgurschi, M. C. G., Aquino, M. F. S. de, Castro, P. D. de, &amp; Santos, I. de L. (2018). Sumário para tomadores de decisão: 1o diagnóstico brasileiro de biodiversidade e serviços ecossistêmicos. 10.5935. https://doi.org/10.5935/978-85-5697-707-6</w:t>
      </w:r>
    </w:p>
    <w:p w14:paraId="5B4E5B65" w14:textId="325499A4"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Joubert, D. F., Smit, G. N., &amp; Hoffman, M. T. (2012). The role of fire in preventing transitions from a grass </w:t>
      </w:r>
      <w:r w:rsidRPr="00BF5B12">
        <w:rPr>
          <w:sz w:val="20"/>
          <w:szCs w:val="20"/>
          <w:lang w:val="en-GB"/>
        </w:rPr>
        <w:t>dominated state to a bush thickened state in arid savannas. Journal of Arid Environments, 87, 1–7.</w:t>
      </w:r>
      <w:r w:rsidR="00BF5B12" w:rsidRPr="00BF5B12">
        <w:rPr>
          <w:sz w:val="20"/>
          <w:szCs w:val="20"/>
          <w:lang w:val="en-GB"/>
        </w:rPr>
        <w:t xml:space="preserve"> </w:t>
      </w:r>
      <w:hyperlink r:id="rId109" w:tgtFrame="_blank" w:tooltip="Persistent link using digital object identifier" w:history="1">
        <w:r w:rsidR="00BF5B12" w:rsidRPr="00BF5B12">
          <w:rPr>
            <w:rStyle w:val="Lienhypertexte"/>
            <w:rFonts w:cs="Arial"/>
            <w:color w:val="auto"/>
            <w:sz w:val="20"/>
            <w:szCs w:val="20"/>
            <w:u w:val="none"/>
          </w:rPr>
          <w:t>https://doi.org/10.1016/j.jaridenv.2012.06.012</w:t>
        </w:r>
      </w:hyperlink>
    </w:p>
    <w:p w14:paraId="68150AA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Kemppinen, K. M. S., Collins, P. M., Hole, D. G., Wolf, C., Ripple, W. J., &amp; Gerber, L. R. (2020). Global reforestation and biodiversity conservation. Conservation Biology, 34(5), 1221–1228. https://doi.org/10.1111/cobi.13478</w:t>
      </w:r>
    </w:p>
    <w:p w14:paraId="0A45B3A2"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Kintisch, E. (2015). Born to rewild. Science, 350(6265), 1148–1151. https://doi.org/10.1126/science.350.6265.1148</w:t>
      </w:r>
    </w:p>
    <w:p w14:paraId="2F090BF8"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Kleypas, J., Allemand, D., Anthony, K., Baker, A. C., Beck, M. W., Hale, L. Z., Hilmi, N., Hoegh-Guldberg, O., Hughes, T., Kaufman, L., Kayanne, H., Magnan, A. K., Mcleod, E., Mumby, P., Palumbi, S., Richmond, R. H., Rinkevich, B., Steneck, R. S., Voolstra, C. R., … Gattuso, J.-P. (2021). Designing a blueprint for coral reef survival. Biological Conservation, 257, 109107. https://doi.org/10.1016/j.biocon.2021.109107</w:t>
      </w:r>
    </w:p>
    <w:p w14:paraId="091CF2D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Könönen, M., Jauhiainen, J., Laiho, R., Spetz, P., Kusin, K., Limin, S., &amp; Vasander, H. (2016). Land use increases the recalcitrance of tropical peat. Wetlands Ecology and Management, 24(6), 717–731. https://doi.org/10.1007/s11273-016-9498-7</w:t>
      </w:r>
    </w:p>
    <w:p w14:paraId="369C584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Kotru, R. K., Shakya, B., Joshi, S., Gurung, J., Ali, G., Amatya, S., &amp; Pant, B. (2020). Biodiversity Conservation and Management in the Hindu Kush Himalayan Region: Are Transboundary Landscapes a Promising Solution? Mountain Research and Development, 40(2). https://doi.org/10.1659/MRD-JOURNAL-D-19-00053.1</w:t>
      </w:r>
    </w:p>
    <w:p w14:paraId="26F45F0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Kuuluvainen, T., Lindberg, H., Vanha-Majamaa, I., Keto-Tokoi, P., &amp; Punttila, P. (2019). Low-level retention forestry, certification, and biodiversity: Case Finland. Ecological Processes, 8(1), 47. https://doi.org/10.1186/s13717-019-0198-0</w:t>
      </w:r>
    </w:p>
    <w:p w14:paraId="07EEA6A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Lapola, D. M., Martinelli, L. A., Peres, C. A., Ometto, J. P. H. B., Ferreira, M. E., Nobre, C. A., Aguiar, A. P. D., Bustamante, M. M. C., Cardoso, M. F., Costa, M. H., Joly, C. A., Leite, C. C., Moutinho, P., Sampaio, G., Strassburg, B. B. N., &amp; Vieira, I. C. G. (2014). Pervasive transition of the Brazilian land-use system. Nature Climate Change, 4(1), 27–35. https://doi.org/10.1038/nclimate2056</w:t>
      </w:r>
    </w:p>
    <w:p w14:paraId="697CFC7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Laurance, W. F., Sayer, J., &amp; Cassman, K. G. (2014). Agricultural expansion and its impacts on tropical nature. Trends in Ecology &amp; Evolution, 29(2), 107–116. https://doi.org/10.1016/j.tree.2013.12.001</w:t>
      </w:r>
    </w:p>
    <w:p w14:paraId="7AEEFF6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Lavery, T. J., Roudnew, B., Gill, P., Seymour, J., Seuront, L., Johnson, G., Mitchell, J. G., &amp; Smetacek, V. (2010). Iron defecation by sperm whales stimulates carbon export in the Southern Ocean. Proceedings of the Royal Society B: Biological Sciences, 277(1699), 3527–3531. https://doi.org/10.1098/rspb.2010.0863</w:t>
      </w:r>
    </w:p>
    <w:p w14:paraId="3DC82061" w14:textId="77777777" w:rsidR="009A5685" w:rsidRPr="00E45ACB" w:rsidRDefault="009A5685" w:rsidP="009A3193">
      <w:pPr>
        <w:pStyle w:val="Paragraphedeliste"/>
        <w:numPr>
          <w:ilvl w:val="0"/>
          <w:numId w:val="1"/>
        </w:numPr>
        <w:ind w:left="360"/>
        <w:rPr>
          <w:sz w:val="20"/>
          <w:szCs w:val="20"/>
          <w:lang w:val="en-GB"/>
        </w:rPr>
      </w:pPr>
      <w:r w:rsidRPr="009A3193">
        <w:rPr>
          <w:sz w:val="20"/>
          <w:szCs w:val="20"/>
          <w:lang w:val="en-GB"/>
        </w:rPr>
        <w:t xml:space="preserve">Lewis, Simon L., Wheeler, C. E., Mitchard, E. T. A., &amp; Koch, A. (2019). Restoring natural forests is the best way to </w:t>
      </w:r>
      <w:r w:rsidRPr="00E45ACB">
        <w:rPr>
          <w:sz w:val="20"/>
          <w:szCs w:val="20"/>
          <w:lang w:val="en-GB"/>
        </w:rPr>
        <w:t>remove atmospheric carbon. Nature, 568(7750), 25–28. https://doi.org/10.1038/d41586-019-01026-8</w:t>
      </w:r>
    </w:p>
    <w:p w14:paraId="0A5392B8" w14:textId="390211BA" w:rsidR="00E45ACB" w:rsidRPr="00DD399D" w:rsidRDefault="00E45ACB" w:rsidP="009A3193">
      <w:pPr>
        <w:pStyle w:val="Paragraphedeliste"/>
        <w:numPr>
          <w:ilvl w:val="0"/>
          <w:numId w:val="1"/>
        </w:numPr>
        <w:ind w:left="360"/>
        <w:rPr>
          <w:sz w:val="20"/>
          <w:szCs w:val="20"/>
          <w:lang w:val="en-GB"/>
        </w:rPr>
      </w:pPr>
      <w:r w:rsidRPr="00DD399D">
        <w:rPr>
          <w:sz w:val="20"/>
          <w:szCs w:val="20"/>
        </w:rPr>
        <w:t xml:space="preserve">Linggi, P.P. and Burhanuddin, A. </w:t>
      </w:r>
      <w:r w:rsidR="0037394A" w:rsidRPr="00DD399D">
        <w:rPr>
          <w:sz w:val="20"/>
          <w:szCs w:val="20"/>
        </w:rPr>
        <w:t>(</w:t>
      </w:r>
      <w:r w:rsidRPr="00DD399D">
        <w:rPr>
          <w:sz w:val="20"/>
          <w:szCs w:val="20"/>
        </w:rPr>
        <w:t>2019</w:t>
      </w:r>
      <w:r w:rsidR="0037394A" w:rsidRPr="00DD399D">
        <w:rPr>
          <w:sz w:val="20"/>
          <w:szCs w:val="20"/>
        </w:rPr>
        <w:t>)</w:t>
      </w:r>
      <w:r w:rsidRPr="00DD399D">
        <w:rPr>
          <w:sz w:val="20"/>
          <w:szCs w:val="20"/>
        </w:rPr>
        <w:t>. The role of coral triangle initiative on coral reefs, fisheries, and food securities in Indonesia’s environmental conservation. IOP Conf. Series: Earth and Environmental Science 343 (2019) 012092. doi:10.1088/1755-1315/343/1/ 012092.</w:t>
      </w:r>
    </w:p>
    <w:p w14:paraId="23DB05F1" w14:textId="168869E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Liniger, H. P., Bandy, J., Bhuchar, S., &amp; Joshi, R. (2020). Spring Revival through Sustainable Land Management (SLM) in the Himalayan foothills: Uttarakhand, North India. WOCAT SLM Policy Brief, No. 1. WOCAT.</w:t>
      </w:r>
    </w:p>
    <w:p w14:paraId="247FC4F2" w14:textId="77777777" w:rsidR="009A5685" w:rsidRPr="0037394A" w:rsidRDefault="009A5685" w:rsidP="0037394A">
      <w:pPr>
        <w:pStyle w:val="Paragraphedeliste"/>
        <w:numPr>
          <w:ilvl w:val="0"/>
          <w:numId w:val="1"/>
        </w:numPr>
        <w:ind w:left="357" w:hanging="357"/>
        <w:rPr>
          <w:sz w:val="20"/>
          <w:szCs w:val="20"/>
          <w:lang w:val="en-GB"/>
        </w:rPr>
      </w:pPr>
      <w:r w:rsidRPr="009A3193">
        <w:rPr>
          <w:sz w:val="20"/>
          <w:szCs w:val="20"/>
          <w:lang w:val="en-GB"/>
        </w:rPr>
        <w:t>Loh, I., Chong, J., &amp; Baird, M. (2018). The conservation of coral reefs through mangrove management. Biodiversity, 19(1–2), 95–100. https</w:t>
      </w:r>
      <w:r w:rsidRPr="0037394A">
        <w:rPr>
          <w:sz w:val="20"/>
          <w:szCs w:val="20"/>
          <w:lang w:val="en-GB"/>
        </w:rPr>
        <w:t>://doi.org/10.1080/14888386.2018.1473168</w:t>
      </w:r>
    </w:p>
    <w:p w14:paraId="77ABF11A" w14:textId="0B91DE3D" w:rsidR="0037394A" w:rsidRPr="0037394A" w:rsidRDefault="0037394A" w:rsidP="0037394A">
      <w:pPr>
        <w:pStyle w:val="Paragraphedeliste"/>
        <w:numPr>
          <w:ilvl w:val="0"/>
          <w:numId w:val="1"/>
        </w:numPr>
        <w:ind w:left="357" w:hanging="357"/>
        <w:rPr>
          <w:sz w:val="20"/>
          <w:szCs w:val="20"/>
          <w:lang w:val="en-GB"/>
        </w:rPr>
      </w:pPr>
      <w:r w:rsidRPr="0037394A">
        <w:rPr>
          <w:sz w:val="20"/>
          <w:szCs w:val="20"/>
        </w:rPr>
        <w:t xml:space="preserve">Lovelock CE, Duarte CM. </w:t>
      </w:r>
      <w:r>
        <w:rPr>
          <w:sz w:val="20"/>
          <w:szCs w:val="20"/>
        </w:rPr>
        <w:t>(</w:t>
      </w:r>
      <w:r w:rsidRPr="0037394A">
        <w:rPr>
          <w:sz w:val="20"/>
          <w:szCs w:val="20"/>
        </w:rPr>
        <w:t>2019</w:t>
      </w:r>
      <w:r>
        <w:rPr>
          <w:sz w:val="20"/>
          <w:szCs w:val="20"/>
        </w:rPr>
        <w:t>).</w:t>
      </w:r>
      <w:r w:rsidRPr="0037394A">
        <w:rPr>
          <w:sz w:val="20"/>
          <w:szCs w:val="20"/>
        </w:rPr>
        <w:t xml:space="preserve"> Dimensions of Blue Carbon and emerging perspectives. Biol. Lett. 15: 20180781. </w:t>
      </w:r>
      <w:hyperlink r:id="rId110" w:history="1">
        <w:r w:rsidRPr="0037394A">
          <w:rPr>
            <w:rStyle w:val="Lienhypertexte"/>
            <w:color w:val="auto"/>
            <w:sz w:val="20"/>
            <w:szCs w:val="20"/>
            <w:u w:val="none"/>
          </w:rPr>
          <w:t>http://dx.doi.org/10.1098/rsbl.2018.0781</w:t>
        </w:r>
      </w:hyperlink>
    </w:p>
    <w:p w14:paraId="7B0FB06A" w14:textId="65228096"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Macias-Fauria M., Jepson P., Zimov N., &amp; Malhi Y. (2020). Pleistocene Arctic megafaunal ecological engineering as a natural climate solution? Philosophical Transactions. R. Soc. B, 375(20190122). https://doi.org/10.1098/rstb.2019.0122</w:t>
      </w:r>
    </w:p>
    <w:p w14:paraId="23EFDC3A"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Mackey, B., Kormos, C. F., Keith, H., Moomaw, W. R., Houghton, R. A., Mittermeier, R. A., Hole, D., &amp; Hugh, S. (2020). Understanding the importance of primary tropical forest protection as a mitigation strategy. Mitigation and Adaptation Strategies for Global Change, 25(5), 763–787. https://doi.org/10.1007/s11027-019-09891-4</w:t>
      </w:r>
    </w:p>
    <w:p w14:paraId="43E0718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Malhi, Y., Roberts, J. T., Betts, R. A., Killeen, T. J., Li, W., &amp; Nobre, C. A. (2008). Climate Change, Deforestation, and the Fate of the Amazon. Science, 319(5860), 169–172. https://doi.org/10.1126/science.1146961</w:t>
      </w:r>
    </w:p>
    <w:p w14:paraId="146FA3A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Mariani, G., Cheung, W. W. L., Lyet, A., Sala, E., Mayorga, J., Velez, L., Gaines, S. D., Dejean, T., Troussellier, M., &amp; Mouillot, D. (2020). Let more big fish sink: Fisheries prevent blue carbon sequestration—half in unprofitable areas. Science Advances, 6(44), eabb4848. https://doi.org/10.1126/sciadv.abb4848</w:t>
      </w:r>
    </w:p>
    <w:p w14:paraId="19E526B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McNicol, I. M., Ryan, C. M., &amp; Mitchard, E. T. A. (2018). Carbon losses from deforestation and widespread degradation offset by extensive growth in African woodlands. Nature Communications, 9(1), 3045. https://doi.org/10.1038/s41467-018-05386-z</w:t>
      </w:r>
    </w:p>
    <w:p w14:paraId="070A078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McNulty, S. G., Archer, E. R., Gush, M. B., Van Noordwijk, M., Ellison, D., Blanco, J. A., Xu, J., Bishop, K., Wei, X. A., &amp; Vira, B. (2018). Determinants of the forest-water relationship. International Union of Forest Research Organizations (IUFRO). https://researchspace.csir.co.za/dspace/handle/10204/10338</w:t>
      </w:r>
    </w:p>
    <w:p w14:paraId="26D08F5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Mehvar, S., Filatova, T., Sarker, M. H., Dastgheib, A., &amp; Ranasinghe, R. (2019). Climate change-driven losses in ecosystem services of coastal wetlands: A case study in the West coast of Bangladesh. Ocean &amp; Coastal Management, 169, 273–283. https://doi.org/10.1016/j.ocecoaman.2018.12.009</w:t>
      </w:r>
    </w:p>
    <w:p w14:paraId="2A185573"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Melillo, J. M., Lu, X., Kicklighter, D. W., Reilly, J. M., Cai, Y., &amp; Sokolov, A. P. (2016). Protected areas’ role in climate-change mitigation. Ambio, 45(2), 133–145. https://doi.org/10.1007/s13280-015-0693-1</w:t>
      </w:r>
    </w:p>
    <w:p w14:paraId="0292E9E2"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Mills, M., Leon, J. X., Saunders, M. I., Bell, J., Liu, Y., O’Mara, J., Lovelock, C. E., Mumby, P. J., Phinn, S., &amp; Possingham, H. P. (2016). Reconciling development and conservation under coastal squeeze from rising sea level. Conservation Letters, 9(5), 361–368. https://doi.org/10.1111/conl.12213</w:t>
      </w:r>
    </w:p>
    <w:p w14:paraId="5923330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Ministry of Environment and Tourism. (2011). Namibia Second National Communication to the United Nations Framework Convention on Climate Change.</w:t>
      </w:r>
    </w:p>
    <w:p w14:paraId="366A838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Mukul, S. A., Alamgir, M., Sohel, Md. S. I., Pert, P. L., Herbohn, J., Turton, S. M., Khan, Md. S. I., Munim, S. A., Reza, A. H. M. A., &amp; Laurance, W. F. (2019). Combined effects of climate change and sea-level rise project dramatic habitat loss of the globally endangered Bengal tiger in the Bangladesh Sundarbans. Science of The Total Environment, 663, 830–840. https://doi.org/10.1016/j.scitotenv.2019.01.383</w:t>
      </w:r>
    </w:p>
    <w:p w14:paraId="2F445138"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Naqvi, S. W. A., Bange, H., Farias, L., Monteiro, P., Scranton, M., &amp; J, Z. (2010). Marine Hypoxia/Anoxia as a Source of CH4 and N2O. Biogeosciences, 7. https://doi.org/10.5194/bg-7-2159-2010</w:t>
      </w:r>
    </w:p>
    <w:p w14:paraId="6AECAB41"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Nepal, M., Rai, R., Saudamini, D., Bhatta, L., Kotru, R., Khadayat, M., Rawal, R., &amp; Gcs, N. (2018). Valuing Cultural Services of the Kailash Sacred Landscape for Sustainable Management. Sustainability, 10. https://doi.org/10.3390/su10103638</w:t>
      </w:r>
    </w:p>
    <w:p w14:paraId="1472DB9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Nobre, C. A., &amp; Borma, L. D. S. (2009). ‘Tipping points’ for the Amazon Forest. Current Opinion in Environmental Sustainability, 1(1), 28–36. https://doi.org/10.1016/j.cosust.2009.07.003</w:t>
      </w:r>
    </w:p>
    <w:p w14:paraId="156011B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OECD. (2019). Biodiversity: Finance and the Economic and Business Case for Action, report prepared for the G7 Environment Ministers’ Meeting, 5-6 May 2019. OECD.</w:t>
      </w:r>
    </w:p>
    <w:p w14:paraId="21957B98" w14:textId="77777777" w:rsidR="009A5685" w:rsidRPr="009A3193" w:rsidRDefault="009A5685" w:rsidP="009A3193">
      <w:pPr>
        <w:pStyle w:val="Paragraphedeliste"/>
        <w:numPr>
          <w:ilvl w:val="0"/>
          <w:numId w:val="1"/>
        </w:numPr>
        <w:ind w:left="357" w:hanging="357"/>
        <w:rPr>
          <w:rFonts w:cstheme="minorHAnsi"/>
          <w:sz w:val="20"/>
          <w:szCs w:val="20"/>
          <w:lang w:val="en-GB"/>
        </w:rPr>
      </w:pPr>
      <w:r w:rsidRPr="009A3193">
        <w:rPr>
          <w:rFonts w:cstheme="minorHAnsi"/>
          <w:sz w:val="20"/>
          <w:szCs w:val="20"/>
          <w:lang w:val="en-GB"/>
        </w:rPr>
        <w:t>Pandey, A., Kotru, R., &amp; Pradhan, N. (2016). Bridging cultural heritage, conservation and development through a transboundary landscape approach. Asian Sacred Natural Sites: Philosophy and Practice in Protected Areas and Conservation, 145–158.</w:t>
      </w:r>
    </w:p>
    <w:p w14:paraId="7EB33A53" w14:textId="77777777" w:rsidR="009A5685" w:rsidRPr="009A3193" w:rsidRDefault="009A5685" w:rsidP="009A3193">
      <w:pPr>
        <w:pStyle w:val="Paragraphedeliste"/>
        <w:numPr>
          <w:ilvl w:val="0"/>
          <w:numId w:val="1"/>
        </w:numPr>
        <w:ind w:left="357" w:hanging="357"/>
        <w:rPr>
          <w:sz w:val="20"/>
          <w:szCs w:val="20"/>
          <w:lang w:val="en-GB"/>
        </w:rPr>
      </w:pPr>
      <w:r w:rsidRPr="009A3193">
        <w:rPr>
          <w:rFonts w:cstheme="minorHAnsi"/>
          <w:sz w:val="20"/>
          <w:szCs w:val="20"/>
          <w:lang w:val="en-GB"/>
        </w:rPr>
        <w:t>Panfil, S., &amp; Harvey, C. (2015). REDD</w:t>
      </w:r>
      <w:r w:rsidRPr="009A3193">
        <w:rPr>
          <w:sz w:val="20"/>
          <w:szCs w:val="20"/>
          <w:lang w:val="en-GB"/>
        </w:rPr>
        <w:t>+ and Biodiversity Conservation: A Review of the Biodiversity Goals, Monitoring Methods, and Impacts of 80 REDD+ Projects. Conservation Letters, 9. https://doi.org/10.1111/conl.12188</w:t>
      </w:r>
    </w:p>
    <w:p w14:paraId="3CD186A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Pangala, S. R., Enrich-Prast, A., Basso, L. S., Peixoto, R. B., Bastviken, D., Hornibrook, E. R. C., Gatti, L. V., Marotta, H., Calazans, L. S. B., Sakuragui, C. M., Bastos, W. R., Malm, O., Gloor, E., Miller, J. B., &amp; Gauci, V. (2017). Large emissions from floodplain trees close the Amazon methane budget. Nature, 552(7684), 230–234. https://doi.org/10.1038/nature24639</w:t>
      </w:r>
    </w:p>
    <w:p w14:paraId="4D26875C" w14:textId="64D4EDD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Passow, U., &amp; Carlson, C. (2012). The biological pump in a high CO</w:t>
      </w:r>
      <w:r w:rsidRPr="003B542C">
        <w:rPr>
          <w:sz w:val="20"/>
          <w:szCs w:val="20"/>
          <w:vertAlign w:val="subscript"/>
          <w:lang w:val="en-GB"/>
        </w:rPr>
        <w:t>2</w:t>
      </w:r>
      <w:r w:rsidRPr="009A3193">
        <w:rPr>
          <w:sz w:val="20"/>
          <w:szCs w:val="20"/>
          <w:lang w:val="en-GB"/>
        </w:rPr>
        <w:t xml:space="preserve"> world. Marine Ecology Progress Series, 470, 249–271. https://doi.org/10.3354/meps09985</w:t>
      </w:r>
    </w:p>
    <w:p w14:paraId="5A23A917" w14:textId="77777777" w:rsidR="009A5685" w:rsidRPr="009A3193" w:rsidRDefault="009A5685" w:rsidP="009A3193">
      <w:pPr>
        <w:pStyle w:val="Paragraphedeliste"/>
        <w:numPr>
          <w:ilvl w:val="0"/>
          <w:numId w:val="1"/>
        </w:numPr>
        <w:ind w:left="360"/>
        <w:rPr>
          <w:rFonts w:cstheme="minorHAnsi"/>
          <w:sz w:val="20"/>
          <w:szCs w:val="20"/>
          <w:lang w:val="en-GB"/>
        </w:rPr>
      </w:pPr>
      <w:r w:rsidRPr="009A3193">
        <w:rPr>
          <w:rFonts w:cstheme="minorHAnsi"/>
          <w:sz w:val="20"/>
          <w:szCs w:val="20"/>
          <w:shd w:val="clear" w:color="auto" w:fill="FCFCFC"/>
          <w:lang w:val="en-GB"/>
        </w:rPr>
        <w:t>Pendleton, L., King, P., Mohn, C., Webster, D. G., Vaughn, R and P. N. Adams. 2011. Estimating the potential economic im</w:t>
      </w:r>
      <w:r w:rsidRPr="002C391D">
        <w:rPr>
          <w:rFonts w:cstheme="minorHAnsi"/>
          <w:sz w:val="20"/>
          <w:szCs w:val="20"/>
          <w:shd w:val="clear" w:color="auto" w:fill="FCFCFC"/>
          <w:lang w:val="en-GB"/>
        </w:rPr>
        <w:t xml:space="preserve">pacts of climate change on Southern California beaches. Climatic Change 109, 277–298. </w:t>
      </w:r>
      <w:hyperlink r:id="rId111" w:history="1">
        <w:r w:rsidRPr="002C391D">
          <w:rPr>
            <w:rStyle w:val="Lienhypertexte"/>
            <w:rFonts w:cstheme="minorHAnsi"/>
            <w:color w:val="auto"/>
            <w:sz w:val="20"/>
            <w:szCs w:val="20"/>
            <w:u w:val="none"/>
            <w:shd w:val="clear" w:color="auto" w:fill="FCFCFC"/>
            <w:lang w:val="en-GB"/>
          </w:rPr>
          <w:t>https://doi.org/10.1007/s10584-011-0309-0</w:t>
        </w:r>
      </w:hyperlink>
    </w:p>
    <w:p w14:paraId="251ABAF0" w14:textId="5D376C55"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Pendleton L, Donato DC, Murray BC, Crooks S, Jenkins WA, Sifleet, S., Craft, C., Fourqurean, J. W., Kauffman, J. B., Marba, N., Megonigal, P., Pidgeon, E., Herr, D., Gordon, D. and A. Baldera. </w:t>
      </w:r>
      <w:r w:rsidR="003B542C">
        <w:rPr>
          <w:sz w:val="20"/>
          <w:szCs w:val="20"/>
          <w:lang w:val="en-GB"/>
        </w:rPr>
        <w:t>(</w:t>
      </w:r>
      <w:r w:rsidRPr="009A3193">
        <w:rPr>
          <w:sz w:val="20"/>
          <w:szCs w:val="20"/>
          <w:lang w:val="en-GB"/>
        </w:rPr>
        <w:t>2012</w:t>
      </w:r>
      <w:r w:rsidR="003B542C">
        <w:rPr>
          <w:sz w:val="20"/>
          <w:szCs w:val="20"/>
          <w:lang w:val="en-GB"/>
        </w:rPr>
        <w:t>)</w:t>
      </w:r>
      <w:r w:rsidRPr="009A3193">
        <w:rPr>
          <w:sz w:val="20"/>
          <w:szCs w:val="20"/>
          <w:lang w:val="en-GB"/>
        </w:rPr>
        <w:t xml:space="preserve">. Estimating global “blue carbon” emissions </w:t>
      </w:r>
      <w:r w:rsidRPr="002C391D">
        <w:rPr>
          <w:sz w:val="20"/>
          <w:szCs w:val="20"/>
          <w:lang w:val="en-GB"/>
        </w:rPr>
        <w:t xml:space="preserve">from conversion and degradation of vegetated coastal ecosystems. PLoS ONE 7:e43542 </w:t>
      </w:r>
      <w:hyperlink r:id="rId112" w:history="1">
        <w:r w:rsidRPr="002C391D">
          <w:rPr>
            <w:rStyle w:val="Lienhypertexte"/>
            <w:color w:val="auto"/>
            <w:sz w:val="20"/>
            <w:szCs w:val="20"/>
            <w:u w:val="none"/>
            <w:lang w:val="en-GB"/>
          </w:rPr>
          <w:t>https://doi.org/10.1371/journal.pone.0043542</w:t>
        </w:r>
      </w:hyperlink>
    </w:p>
    <w:p w14:paraId="0D824C07" w14:textId="77777777" w:rsidR="009A5685" w:rsidRPr="009A3193" w:rsidRDefault="009A5685" w:rsidP="009A3193">
      <w:pPr>
        <w:pStyle w:val="Paragraphedeliste"/>
        <w:numPr>
          <w:ilvl w:val="0"/>
          <w:numId w:val="1"/>
        </w:numPr>
        <w:ind w:left="360"/>
        <w:rPr>
          <w:sz w:val="20"/>
          <w:szCs w:val="20"/>
          <w:lang w:val="en-GB"/>
        </w:rPr>
      </w:pPr>
      <w:r w:rsidRPr="009A3193">
        <w:rPr>
          <w:rFonts w:cstheme="minorHAnsi"/>
          <w:sz w:val="20"/>
          <w:szCs w:val="20"/>
          <w:lang w:val="en-GB"/>
        </w:rPr>
        <w:t>Pershing, A. J., Christensen, L. B., Record, N. R., Sherwood, G. D., &amp; Stetson, P.</w:t>
      </w:r>
      <w:r w:rsidRPr="009A3193">
        <w:rPr>
          <w:sz w:val="20"/>
          <w:szCs w:val="20"/>
          <w:lang w:val="en-GB"/>
        </w:rPr>
        <w:t xml:space="preserve"> B. (2010). The Impact of Whaling on the Ocean Carbon Cycle: Why Bigger Was Better. PLoS ONE, 5(8), e12444. https://doi.org/10.1371/journal.pone.0012444</w:t>
      </w:r>
    </w:p>
    <w:p w14:paraId="5AAB5CE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Phalan, B., Onial, M., Balmford, A., &amp; Green, R. E. (2011). Reconciling Food Production and Biodiversity Conservation: Land Sharing and Land Sparing Compared. Science, 333(6047), 1289–1291. https://doi.org/10.1126/science.1208742</w:t>
      </w:r>
    </w:p>
    <w:p w14:paraId="7B187BE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Phillips, O. L., Brienen, R. J. W., &amp; the RAINFOR collaboration. (2017). Carbon uptake by mature Amazon forests has mitigated Amazon nations’ carbon emissions. Carbon Balance and Management, 12(1), 1. https://doi.org/10.1186/s13021-016-0069-2</w:t>
      </w:r>
    </w:p>
    <w:p w14:paraId="7557747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Pires, A. P. F., Amaral, A. G., Padgurschi, M. C. G., Joly, C. A., &amp; Scarano, F. R. (2018). Biodiversity research still falls short of creating links with ecosystem services and human well-being in a global hotspot. Ecosystem Services, 34, 68–73. https://doi.org/10.1016/j.ecoser.2018.10.001</w:t>
      </w:r>
    </w:p>
    <w:p w14:paraId="371CB23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Pires, A. P. F., Srivastava, D. S., &amp; Farjalla, V. F. (2018). Is Biodiversity Able to Buffer Ecosystems from Climate Change? What We Know and What We Don’t. BioScience, 68(4), 273–280. https://doi.org/10.1093/biosci/biy013</w:t>
      </w:r>
    </w:p>
    <w:p w14:paraId="62ED6A27"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Pretty, J., Benton, T. G., Bharucha, Z. P., Dicks, L. V., Flora, C. B., Godfray, H. C. J., Goulson, D., Hartley, S., Lampkin, N., Morris, C., Pierzynski, G., Prasad, P. V. V., Reganold, J., Rockström, J., Smith, P., Thorne, P., &amp; Wratten, S. (2018). Global assessment of agricultural system redesign for sustainable intensification. Nature Sustainability, 1(8), 441–446. https://doi.org/10.1038/s41893-018-0114-0</w:t>
      </w:r>
    </w:p>
    <w:p w14:paraId="490E3E46"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Queensland Department of Science, Information Technology and Innovation. (2017). Land cover change in Queensland 2015–16: Statewide Landcover and Trees Study Report (p. 57).</w:t>
      </w:r>
    </w:p>
    <w:p w14:paraId="4277D0A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Quevedo, J.M.D.; Uchiyama, Y.; Muhmad Lukman, K.; Kohsaka, R. How Blue Carbon Ecosystems Are Perceived by Local Communities in the Coral Triangle: </w:t>
      </w:r>
      <w:r w:rsidRPr="002C391D">
        <w:rPr>
          <w:sz w:val="20"/>
          <w:szCs w:val="20"/>
          <w:lang w:val="en-GB"/>
        </w:rPr>
        <w:t xml:space="preserve">Comparative and Empirical Examinations in the Philippines and Indonesia. Sustainability 2021, 13, 127. </w:t>
      </w:r>
      <w:hyperlink r:id="rId113" w:history="1">
        <w:r w:rsidRPr="002C391D">
          <w:rPr>
            <w:rStyle w:val="Lienhypertexte"/>
            <w:color w:val="auto"/>
            <w:sz w:val="20"/>
            <w:szCs w:val="20"/>
            <w:u w:val="none"/>
            <w:lang w:val="en-GB"/>
          </w:rPr>
          <w:t>https://dx.doi.org/10.3390/su13010127</w:t>
        </w:r>
      </w:hyperlink>
    </w:p>
    <w:p w14:paraId="098D8778"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Rabalais, N., Cai, W.-J., Carstensen, J., Conley, D., Fry, B., Hu, X., Quiñones-Rivera, Z., Rosenberg, R., Slomp, C. P., Turner, R., Voss, M., Wissel, B., &amp; Zhang, J. (2014). Eutrophication-Driven Deoxygenation in the Coastal Ocean. Oceanography (Washington D.C.), 27, 172–183. https://doi.org/10.5670/oceanog.2014.21</w:t>
      </w:r>
    </w:p>
    <w:p w14:paraId="1592BB6C" w14:textId="16F3610C"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Redford, K. H., Huntley, B. J., Roe, D., Hammond, T., Zimsky, M., Lovejoy, T. E., da Fonseca, G. A. B., Rodriguez, C. M., &amp; Cowling, R. M. (2015). Mainstreaming Biodiversity: Conservation for the Twenty-First Century. Frontiers in Ecology and Evolution, 3(Article 137), 1</w:t>
      </w:r>
      <w:r w:rsidRPr="002C391D">
        <w:rPr>
          <w:sz w:val="20"/>
          <w:szCs w:val="20"/>
          <w:lang w:val="en-GB"/>
        </w:rPr>
        <w:t>–7.</w:t>
      </w:r>
      <w:r w:rsidR="002C391D" w:rsidRPr="002C391D">
        <w:rPr>
          <w:sz w:val="20"/>
          <w:szCs w:val="20"/>
          <w:lang w:val="en-GB"/>
        </w:rPr>
        <w:t xml:space="preserve"> </w:t>
      </w:r>
      <w:hyperlink r:id="rId114" w:history="1">
        <w:r w:rsidR="002C391D" w:rsidRPr="002C391D">
          <w:rPr>
            <w:rStyle w:val="Lienhypertexte"/>
            <w:color w:val="020202"/>
            <w:sz w:val="20"/>
            <w:szCs w:val="20"/>
            <w:u w:val="none"/>
            <w:shd w:val="clear" w:color="auto" w:fill="FFFFFF"/>
          </w:rPr>
          <w:t>https://doi.org/10.3389/fevo.2015.00137</w:t>
        </w:r>
      </w:hyperlink>
    </w:p>
    <w:p w14:paraId="392CD3E2" w14:textId="77777777" w:rsidR="009A5685" w:rsidRPr="009A3193" w:rsidRDefault="009A5685" w:rsidP="009A3193">
      <w:pPr>
        <w:pStyle w:val="Paragraphedeliste"/>
        <w:numPr>
          <w:ilvl w:val="0"/>
          <w:numId w:val="1"/>
        </w:numPr>
        <w:ind w:left="360"/>
        <w:rPr>
          <w:sz w:val="20"/>
          <w:szCs w:val="20"/>
          <w:lang w:val="en-GB"/>
        </w:rPr>
      </w:pPr>
      <w:r w:rsidRPr="009A3193">
        <w:rPr>
          <w:rFonts w:cstheme="minorHAnsi"/>
          <w:color w:val="202020"/>
          <w:sz w:val="20"/>
          <w:szCs w:val="20"/>
          <w:shd w:val="clear" w:color="auto" w:fill="FFFFFF"/>
          <w:lang w:val="en-GB"/>
        </w:rPr>
        <w:t>Ribeiro, B. R., Sales, L. P., Marco, P. De and R. Loyola (2016) Assessing Mammal Exposure to Climate Change in the Brazilian Amazon. PloS one: 1–13. pmid:27829036 https://doi.org/10.1371/journal.pone.0165073</w:t>
      </w:r>
    </w:p>
    <w:p w14:paraId="07C9610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Riley, J., &amp; Huchzermeyer, F. W. (1999). African Dwarf Crocodiles in the Likouala Swamp Forests of the Congo Basin: Habitat, Density, and Nesting. Copeia, 1999(2), 313. https://doi.org/10.2307/1447477</w:t>
      </w:r>
    </w:p>
    <w:p w14:paraId="539C919A"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Rogers, Alex D., Yesson, C., &amp; Gravestock, P. (2015). A Biophysical and Economic Profile of South Georgia and the South Sandwich Islands as Potential Large-Scale Antarctic Protected Areas. In Advances in Marine Biology (Vol. 70, pp. 1–286). Elsevier. https://doi.org/10.1016/bs.amb.2015.06.001</w:t>
      </w:r>
    </w:p>
    <w:p w14:paraId="388A9A0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Roman, Joe, &amp; McCarthy, J. J. (2010). The Whale Pump: Marine Mammals Enhance Primary Productivity in a Coastal Basin. PLoS ONE, 5(10), e13255. https://doi.org/10.1371/journal.pone.0013255</w:t>
      </w:r>
    </w:p>
    <w:p w14:paraId="384423F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Romijn, H. A. (2011). Land clearing and greenhouse gas emissions from </w:t>
      </w:r>
      <w:r w:rsidRPr="003B542C">
        <w:rPr>
          <w:i/>
          <w:iCs/>
          <w:sz w:val="20"/>
          <w:szCs w:val="20"/>
          <w:lang w:val="en-GB"/>
        </w:rPr>
        <w:t xml:space="preserve">Jatropha </w:t>
      </w:r>
      <w:r w:rsidRPr="009A3193">
        <w:rPr>
          <w:sz w:val="20"/>
          <w:szCs w:val="20"/>
          <w:lang w:val="en-GB"/>
        </w:rPr>
        <w:t>biofuels on African Miombo Woodlands. Sustainability of Biofuels, 39(10), 5751–5762. https://doi.org/10.1016/j.enpol.2010.07.041</w:t>
      </w:r>
    </w:p>
    <w:p w14:paraId="292556C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Rosa, J. C. S., Sánchez, L. E., &amp; Morrison-Saunders, A. (2018). Getting to ‘agreed’ post-mining land use – an ecosystem services approach. Impact Assessment and Project Appraisal, 36(3), 220–229. https://doi.org/10.1080/14615517.2018.1445175</w:t>
      </w:r>
    </w:p>
    <w:p w14:paraId="187F278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Saba, G. K., Burd, A. B., Dunne, J. P., Hernández‐León, S., Martin, A. H., Rose, K. A., Salisbury, J., Steinberg, D. K., Trueman, C. N., Wilson, R. W., &amp; Wilson, S. E. (2021). Toward a better understanding of fish‐based contribution to ocean carbon flux. Limnology and Oceanography, lno.11709. https://doi.org/10.1002/lno.11709</w:t>
      </w:r>
    </w:p>
    <w:p w14:paraId="611B221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Sala, E., Mayorga, J., Bradley, D., Cabral, R. B., Atwood, T. B., Auber, A., Cheung, W., Costello, C., Ferretti, F., Friedlander, A. M., Gaines, S. D., Garilao, C., Goodell, W., Halpern, B. S., Hinson, A., Kaschner, K., Kesner-Reyes, K., Leprieur, F., McGowan, J., … Lubchenco, J. (2021). Protecting the global ocean for biodiversity, food and climate. Nature. https://doi.org/10.1038/s41586-021-03371-z</w:t>
      </w:r>
    </w:p>
    <w:p w14:paraId="68F8400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Sánchez-Triana, E., Ortolano, L., &amp; Paul, T. (2018). Managing water-related risks in the West Bengal Sundarbans: Policy alternatives and institutions. International Journal of Water Resources Development, 34(1), 78–96. https://doi.org/10.1080/07900627.2016.1202099</w:t>
      </w:r>
    </w:p>
    <w:p w14:paraId="16BCF455"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Sannigrahi, S., Pilla, F., Basu, B., Basu, A. S., Zhang, Q., Wang, Y., Joshi, P. K., Chakraborti, S., Coscieme, L., Keesstra, S., Roy, P. S., &amp; Sutton, P. C. (2020). Identification of Conservation Priority Zones Using Spatially Explicit Valued Ecosystem Services: A Case from the Indian Sundarbans. Integrated Environmental Assessment and Management, 16(5), 773–787. https://doi.org/10.1002/ieam.4287</w:t>
      </w:r>
    </w:p>
    <w:p w14:paraId="69F625A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Sannigrahi, S., Zhang, Q., Joshi, P. K., Sutton, P. C., Keesstra, S., Roy, P. S., Pilla, F., Basu, B., Wang, Y., Jha, S., Paul, S. K., &amp; Sen, S. (2020). Examining effects of climate change and land use dynamic on biophysical and economic values of </w:t>
      </w:r>
      <w:r w:rsidRPr="00E05FE4">
        <w:rPr>
          <w:sz w:val="20"/>
          <w:szCs w:val="20"/>
          <w:lang w:val="en-GB"/>
        </w:rPr>
        <w:t xml:space="preserve">ecosystem services of a natural reserve region. Journal of Cleaner Production, 257, 120424. </w:t>
      </w:r>
      <w:hyperlink r:id="rId115" w:history="1">
        <w:r w:rsidRPr="00E05FE4">
          <w:rPr>
            <w:rStyle w:val="Lienhypertexte"/>
            <w:color w:val="auto"/>
            <w:sz w:val="20"/>
            <w:szCs w:val="20"/>
            <w:u w:val="none"/>
            <w:lang w:val="en-GB"/>
          </w:rPr>
          <w:t>https://doi.org/10.1016/j.jclepro.2020.120424</w:t>
        </w:r>
      </w:hyperlink>
    </w:p>
    <w:p w14:paraId="230FBAD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Sattler, C.; Schrader, J.; Farkas, V.M.; Settele, J.; Franzén, M. Pesticide diversity in </w:t>
      </w:r>
      <w:r w:rsidRPr="00E05FE4">
        <w:rPr>
          <w:sz w:val="20"/>
          <w:szCs w:val="20"/>
          <w:lang w:val="en-GB"/>
        </w:rPr>
        <w:t xml:space="preserve">rice growing areas of Northern Vietnam. Paddy. Water Environ. 2018, 16, 339–352. </w:t>
      </w:r>
      <w:hyperlink r:id="rId116" w:tgtFrame="_blank" w:tooltip="Persistent link using digital object identifier" w:history="1">
        <w:r w:rsidRPr="00E05FE4">
          <w:rPr>
            <w:rStyle w:val="Lienhypertexte"/>
            <w:rFonts w:cs="Arial"/>
            <w:color w:val="auto"/>
            <w:sz w:val="20"/>
            <w:szCs w:val="20"/>
            <w:u w:val="none"/>
            <w:lang w:val="en-GB"/>
          </w:rPr>
          <w:t>https://doi.org/10.1016/j.agee.2020.106927</w:t>
        </w:r>
      </w:hyperlink>
    </w:p>
    <w:p w14:paraId="3B507CAF" w14:textId="747046AD" w:rsidR="00E05FE4" w:rsidRPr="00E05FE4" w:rsidRDefault="009A5685" w:rsidP="00E05FE4">
      <w:pPr>
        <w:pStyle w:val="Paragraphedeliste"/>
        <w:numPr>
          <w:ilvl w:val="0"/>
          <w:numId w:val="1"/>
        </w:numPr>
        <w:ind w:left="360"/>
        <w:rPr>
          <w:sz w:val="20"/>
          <w:szCs w:val="20"/>
          <w:lang w:val="en-GB"/>
        </w:rPr>
      </w:pPr>
      <w:r w:rsidRPr="009A3193">
        <w:rPr>
          <w:sz w:val="20"/>
          <w:szCs w:val="20"/>
          <w:lang w:val="en-GB"/>
        </w:rPr>
        <w:t>Saunois, M., Bousquet, P., Poulter, B., Peregon, A., Ciais, P., Canadell, J. G., Dlugokencky, E. J., Etiope, G., Bastviken, D., Houweling, S., Janssens-Maenhout, G., Tubiello, F. N., Castaldi, S., Jackson, R. B., Alexe, M., Arora, V. K., Beerling, D. J., Bergamaschi, P., Blake, D. R., … Zhu, Q. (2016). The global methane budget 2000–2012. Earth System Science Data, 8(2), 697</w:t>
      </w:r>
      <w:r w:rsidRPr="00E05FE4">
        <w:rPr>
          <w:sz w:val="20"/>
          <w:szCs w:val="20"/>
          <w:lang w:val="en-GB"/>
        </w:rPr>
        <w:t xml:space="preserve">–751. </w:t>
      </w:r>
      <w:hyperlink r:id="rId117" w:history="1">
        <w:r w:rsidR="00E05FE4" w:rsidRPr="00E05FE4">
          <w:rPr>
            <w:rStyle w:val="Lienhypertexte"/>
            <w:color w:val="auto"/>
            <w:sz w:val="20"/>
            <w:szCs w:val="20"/>
            <w:u w:val="none"/>
            <w:lang w:val="en-GB"/>
          </w:rPr>
          <w:t>https://doi.org/10.5194/essd-8-697-2016</w:t>
        </w:r>
      </w:hyperlink>
    </w:p>
    <w:p w14:paraId="3ED48368" w14:textId="3243EB5F" w:rsidR="00E05FE4" w:rsidRPr="00E05FE4" w:rsidRDefault="00E05FE4" w:rsidP="00E05FE4">
      <w:pPr>
        <w:pStyle w:val="Paragraphedeliste"/>
        <w:numPr>
          <w:ilvl w:val="0"/>
          <w:numId w:val="1"/>
        </w:numPr>
        <w:ind w:left="357" w:hanging="357"/>
        <w:rPr>
          <w:sz w:val="20"/>
          <w:szCs w:val="20"/>
          <w:lang w:val="en-GB"/>
        </w:rPr>
      </w:pPr>
      <w:r w:rsidRPr="00E05FE4">
        <w:rPr>
          <w:sz w:val="20"/>
          <w:szCs w:val="20"/>
        </w:rPr>
        <w:t>Scarano, F. R., Garcia, K., Diaz-deLeon, A., Queiroz., H. L., Rodríguez Osuna., V., Silvestri, L. C., Díaz M., C. F., Pérez-Maqueo, O., Rosales B., M., Salabarria F., D. M., Zanetti, E. A., and Farinaci, J. S. Chapter 6: Options for governance and decision-making across scales and sectors. In IPBES (2018). The IPBES regional assessment report on biodiversity and ecosystem services for the Americas. Rice, J., Seixas, C. S., Zaccagnini, M. E., Bedoya-Gaitán, M., and Valderrama, N. (eds.). Secretariat of the Intergovernmental Science-Policy Platform on Biodiversity and Ecosystem Services, Bonn, Germany, pp. 521-581.</w:t>
      </w:r>
    </w:p>
    <w:p w14:paraId="08A280AF" w14:textId="15E9A10F" w:rsidR="009A3193" w:rsidRPr="00E05FE4" w:rsidRDefault="009A5685" w:rsidP="009A3193">
      <w:pPr>
        <w:pStyle w:val="Paragraphedeliste"/>
        <w:numPr>
          <w:ilvl w:val="0"/>
          <w:numId w:val="1"/>
        </w:numPr>
        <w:ind w:left="360"/>
        <w:rPr>
          <w:sz w:val="20"/>
          <w:szCs w:val="20"/>
          <w:lang w:val="en-GB"/>
        </w:rPr>
      </w:pPr>
      <w:r w:rsidRPr="00E05FE4">
        <w:rPr>
          <w:sz w:val="20"/>
          <w:szCs w:val="20"/>
          <w:lang w:val="en-GB"/>
        </w:rPr>
        <w:t xml:space="preserve">Scarano, F. R., Santos, A. S., Kahn, S., Nobre, C., Marengo, J., Ometto, J.-P., Ceotto, P., Loyola, R., Pires, A. P. F., Ribeiro, J. B., &amp; Carneiro, B. L. R. (2020). Summary for Policymakers - Environmental Power of Biodiversity: An innovative path for Brazil. Editora Cubo. </w:t>
      </w:r>
      <w:hyperlink r:id="rId118" w:history="1">
        <w:r w:rsidR="009A3193" w:rsidRPr="00E05FE4">
          <w:rPr>
            <w:rStyle w:val="Lienhypertexte"/>
            <w:color w:val="auto"/>
            <w:sz w:val="20"/>
            <w:szCs w:val="20"/>
            <w:u w:val="none"/>
            <w:lang w:val="en-GB"/>
          </w:rPr>
          <w:t>https://doi.org/10.4322/978-65-86819-02-1</w:t>
        </w:r>
      </w:hyperlink>
    </w:p>
    <w:p w14:paraId="724000A3" w14:textId="32DCEF1D"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Schaub </w:t>
      </w:r>
      <w:r w:rsidR="0010218E" w:rsidRPr="009A3193">
        <w:rPr>
          <w:sz w:val="20"/>
          <w:szCs w:val="20"/>
          <w:lang w:val="en-GB"/>
        </w:rPr>
        <w:t>S., Finger R., Leiber F., Probst S., Kreuzer M., Weigelt A., Buchmann N., Scherer-Lorenzen M.</w:t>
      </w:r>
      <w:r w:rsidRPr="009A3193">
        <w:rPr>
          <w:sz w:val="20"/>
          <w:szCs w:val="20"/>
          <w:lang w:val="en-GB"/>
        </w:rPr>
        <w:t xml:space="preserve"> 2020</w:t>
      </w:r>
      <w:r w:rsidR="0010218E" w:rsidRPr="009A3193">
        <w:rPr>
          <w:sz w:val="20"/>
          <w:szCs w:val="20"/>
          <w:lang w:val="en-GB"/>
        </w:rPr>
        <w:t>. Plant diversity effects on forage quality, yield and revenues of semi-natural grasslands. Nature Communications 11, 768</w:t>
      </w:r>
      <w:r w:rsidR="0010218E" w:rsidRPr="00170A32">
        <w:rPr>
          <w:sz w:val="20"/>
          <w:szCs w:val="20"/>
          <w:lang w:val="en-GB"/>
        </w:rPr>
        <w:t>.</w:t>
      </w:r>
      <w:r w:rsidR="00170A32" w:rsidRPr="00170A32">
        <w:rPr>
          <w:sz w:val="20"/>
          <w:szCs w:val="20"/>
          <w:lang w:val="en-GB"/>
        </w:rPr>
        <w:t xml:space="preserve"> </w:t>
      </w:r>
      <w:r w:rsidR="00170A32" w:rsidRPr="00170A32">
        <w:rPr>
          <w:rFonts w:cs="Arial"/>
          <w:sz w:val="20"/>
          <w:szCs w:val="20"/>
          <w:shd w:val="clear" w:color="auto" w:fill="FFFFFF"/>
        </w:rPr>
        <w:t>doi: </w:t>
      </w:r>
      <w:hyperlink r:id="rId119" w:tgtFrame="_blank" w:history="1">
        <w:r w:rsidR="00170A32" w:rsidRPr="00170A32">
          <w:rPr>
            <w:rStyle w:val="Lienhypertexte"/>
            <w:rFonts w:cs="Arial"/>
            <w:color w:val="auto"/>
            <w:sz w:val="20"/>
            <w:szCs w:val="20"/>
            <w:u w:val="none"/>
            <w:shd w:val="clear" w:color="auto" w:fill="FFFFFF"/>
          </w:rPr>
          <w:t>10.1038/s41467-020-14541-4</w:t>
        </w:r>
      </w:hyperlink>
    </w:p>
    <w:p w14:paraId="1C6558D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Schmitz, O. J., Wilmers, C. C., Leroux, S. J., Doughty, C. E., Atwood, T. B., Galetti, M., Davies, A. B., &amp; Goetz, S. J. (2018). Animals and the zoogeochemistry of the carbon cycle. Science, 362(6419), eaar3213. https://doi.org/10.1126/science.aar3213</w:t>
      </w:r>
    </w:p>
    <w:p w14:paraId="770CF71B"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Secretariat of the Convention on Biological Diversity. (2012). Cities and Biodiversity Outlook. Secretariat of the Convention on Biological Diversity.</w:t>
      </w:r>
    </w:p>
    <w:p w14:paraId="4770B4F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Settele, Josef, Heong, K. L., Kühn, I., Klotz, S., Spangenberg, J. H., Arida, G., Beaurepaire, A., Beck, S., Bergmeier, E., Burkhard, B., Brandl, R., Bustamante, J. V., Butler, A., Cabbigat, J., Le, X. C., Catindig, J. L. A., Ho, V. C., Le, Q. C., Dang, K. B., … Wiemers, M. (2018). Rice ecosystem services in South-east Asia. Paddy and Water Environment, 16(2), 211–224. https://doi.org/10.1007/s10333-018-0656-9</w:t>
      </w:r>
    </w:p>
    <w:p w14:paraId="49DACF14"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Sharma, E., Chettri, N., &amp; Oli, K. P. (2010). Mountain biodiversity conservation and management: A paradigm shift in policies and practices in the Hindu Kush-Himalayas. Ecological Research, 25(5), 909–923. https://doi.org/10.1007/s11284-010-0747-6</w:t>
      </w:r>
    </w:p>
    <w:p w14:paraId="6A471552" w14:textId="50F77CFA"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Shi, H., Li, X., Liu, X., Wang, S., Liu, X., Zhang, H., Tang, D., Li, T., 2020. Global protected areas boost the carbon sequestration capacity: evidences from econometric causal analysis. Sci. Total Environ. 715, 137001. </w:t>
      </w:r>
      <w:r w:rsidR="00170A32" w:rsidRPr="00170A32">
        <w:rPr>
          <w:sz w:val="20"/>
          <w:szCs w:val="20"/>
          <w:lang w:val="en-GB"/>
        </w:rPr>
        <w:t>doi: 10.1016/j.scitotenv.2020.137001.</w:t>
      </w:r>
    </w:p>
    <w:p w14:paraId="4409C993"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Sileshi, G. W. (2016). The magnitude and spatial extent of influence of </w:t>
      </w:r>
      <w:r w:rsidRPr="006E276C">
        <w:rPr>
          <w:i/>
          <w:iCs/>
          <w:sz w:val="20"/>
          <w:szCs w:val="20"/>
          <w:lang w:val="en-GB"/>
        </w:rPr>
        <w:t>Faidherbia albida</w:t>
      </w:r>
      <w:r w:rsidRPr="009A3193">
        <w:rPr>
          <w:sz w:val="20"/>
          <w:szCs w:val="20"/>
          <w:lang w:val="en-GB"/>
        </w:rPr>
        <w:t xml:space="preserve"> trees on soil properties and primary productivity in drylands. Journal of Arid Environments, 132, 1–14. https://doi.org/10.1016/j.jaridenv.2016.03.002</w:t>
      </w:r>
    </w:p>
    <w:p w14:paraId="4686DDA0" w14:textId="11C628C5"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Smit, I. P., Asner, G. P., Govender, N., Vaughn, N. R., &amp; van Wilgen, B. W. (2016). An examination of the potential efficacy of high‐in</w:t>
      </w:r>
      <w:r w:rsidRPr="006E276C">
        <w:rPr>
          <w:sz w:val="20"/>
          <w:szCs w:val="20"/>
          <w:lang w:val="en-GB"/>
        </w:rPr>
        <w:t>tensity fires for reversing woody encroachment in savannas. Journal of Applied Ecology, 53(5), 1623–1633.</w:t>
      </w:r>
      <w:r w:rsidR="006E276C" w:rsidRPr="006E276C">
        <w:rPr>
          <w:sz w:val="20"/>
          <w:szCs w:val="20"/>
          <w:lang w:val="en-GB"/>
        </w:rPr>
        <w:t xml:space="preserve"> </w:t>
      </w:r>
      <w:hyperlink r:id="rId120" w:history="1">
        <w:r w:rsidR="006E276C" w:rsidRPr="006E276C">
          <w:rPr>
            <w:rStyle w:val="Lienhypertexte"/>
            <w:rFonts w:cs="Open Sans"/>
            <w:color w:val="auto"/>
            <w:sz w:val="20"/>
            <w:szCs w:val="20"/>
            <w:u w:val="none"/>
            <w:shd w:val="clear" w:color="auto" w:fill="FFFFFF"/>
          </w:rPr>
          <w:t>https://doi.org/10.1111/1365-2664.12738</w:t>
        </w:r>
      </w:hyperlink>
    </w:p>
    <w:p w14:paraId="0A6992A3" w14:textId="139849A4" w:rsidR="009A3193" w:rsidRPr="009A3193" w:rsidRDefault="009A5685" w:rsidP="009A3193">
      <w:pPr>
        <w:pStyle w:val="Paragraphedeliste"/>
        <w:numPr>
          <w:ilvl w:val="0"/>
          <w:numId w:val="1"/>
        </w:numPr>
        <w:ind w:left="360"/>
        <w:rPr>
          <w:sz w:val="20"/>
          <w:szCs w:val="20"/>
          <w:lang w:val="en-GB"/>
        </w:rPr>
      </w:pPr>
      <w:r w:rsidRPr="009A3193">
        <w:rPr>
          <w:sz w:val="20"/>
          <w:szCs w:val="20"/>
          <w:lang w:val="en-GB"/>
        </w:rPr>
        <w:t>Smith, P., Calvin, K., Nkem, J., Campbell, D., Cherubini, F., Grassi, G., Korotkov, V., Hoang, A. L., Lwasa, S., McElwee, P., Nkonya, E., Saigusa, N., Soussana, J. F., Taboada, M. A., Manning, F. C., Nampanzira, D., Arias-Navarro, C., Vizzarri, M., House, J., … Arneth, A. (2020</w:t>
      </w:r>
      <w:r w:rsidR="00134FA7" w:rsidRPr="009A3193">
        <w:rPr>
          <w:sz w:val="20"/>
          <w:szCs w:val="20"/>
          <w:lang w:val="en-GB"/>
        </w:rPr>
        <w:t>a</w:t>
      </w:r>
      <w:r w:rsidRPr="009A3193">
        <w:rPr>
          <w:sz w:val="20"/>
          <w:szCs w:val="20"/>
          <w:lang w:val="en-GB"/>
        </w:rPr>
        <w:t xml:space="preserve">). Which practices co-deliver food security, climate change mitigation and adaptation, and </w:t>
      </w:r>
      <w:r w:rsidRPr="006E276C">
        <w:rPr>
          <w:sz w:val="20"/>
          <w:szCs w:val="20"/>
          <w:lang w:val="en-GB"/>
        </w:rPr>
        <w:t xml:space="preserve">combat land degradation and desertification? Global Change Biology, 26(3), 1532–1575. </w:t>
      </w:r>
      <w:hyperlink r:id="rId121" w:history="1">
        <w:r w:rsidR="009A3193" w:rsidRPr="006E276C">
          <w:rPr>
            <w:rStyle w:val="Lienhypertexte"/>
            <w:color w:val="auto"/>
            <w:sz w:val="20"/>
            <w:szCs w:val="20"/>
            <w:u w:val="none"/>
            <w:lang w:val="en-GB"/>
          </w:rPr>
          <w:t>https://doi.org/10.1111/gcb.14878</w:t>
        </w:r>
      </w:hyperlink>
    </w:p>
    <w:p w14:paraId="425B8821" w14:textId="72A963F7" w:rsidR="00F56504" w:rsidRPr="009A3193" w:rsidRDefault="00F56504" w:rsidP="009A3193">
      <w:pPr>
        <w:pStyle w:val="Paragraphedeliste"/>
        <w:numPr>
          <w:ilvl w:val="0"/>
          <w:numId w:val="1"/>
        </w:numPr>
        <w:ind w:left="360"/>
        <w:rPr>
          <w:sz w:val="20"/>
          <w:szCs w:val="20"/>
          <w:lang w:val="en-GB"/>
        </w:rPr>
      </w:pPr>
      <w:r w:rsidRPr="009A3193">
        <w:rPr>
          <w:rFonts w:cstheme="majorHAnsi"/>
          <w:sz w:val="20"/>
          <w:szCs w:val="20"/>
          <w:lang w:val="en-GB"/>
        </w:rPr>
        <w:t>Smith, T., Beagley, L., Bull, J. W., Milner-Gulland, E. J., Smith, M., Vorhies, F., &amp; Addison, P. F. E. (2020b). Biodiversity means business: Reframing global biodiversity goals</w:t>
      </w:r>
      <w:r w:rsidR="003B542C">
        <w:rPr>
          <w:rFonts w:cstheme="majorHAnsi"/>
          <w:sz w:val="20"/>
          <w:szCs w:val="20"/>
          <w:lang w:val="en-GB"/>
        </w:rPr>
        <w:t xml:space="preserve"> </w:t>
      </w:r>
      <w:r w:rsidRPr="009A3193">
        <w:rPr>
          <w:rFonts w:cstheme="majorHAnsi"/>
          <w:sz w:val="20"/>
          <w:szCs w:val="20"/>
          <w:lang w:val="en-GB"/>
        </w:rPr>
        <w:t>for the private sector. Conservation Letters, 13, e12690. https://doi.org/10.1111/conl.12690</w:t>
      </w:r>
    </w:p>
    <w:p w14:paraId="4C82237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Soares-Filho, B., Moutinho, P., Nepstad, D., Anderson, A., Rodrigues, H., Garcia, R., Dietzsch, L., Merry, F., Bowman, M., Hissa, L., Silvestrini, R., &amp; Maretti, C. (2010). Role of Brazilian Amazon protected areas in climate change mitigation. Proceedings of the National Academy of Sciences, 107(24), 10821–10826. https://doi.org/10.1073/pnas.0913048107</w:t>
      </w:r>
    </w:p>
    <w:p w14:paraId="379879E2"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Solen, L. C., Nicolas, J., de Sartre Xavier, A., Thibaud, D., Simon, D., Michel, G., &amp; Johan, O. (2018). Impacts of Agricultural Practices and Individual Life Characteristics on Ecosystem Services: A Case Study on Family Farmers in the Context of an Amazonian Pioneer Front. Environmental Management, 61(5), 772–785. https://doi.org/10.1007/s00267-018-1004-y</w:t>
      </w:r>
    </w:p>
    <w:p w14:paraId="6F88962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Sonter, L. J., Gordon, A., Archibald, C., Simmonds, J. S., Ward, M., Metzger, J. P., Rhodes, J. R., &amp; Maron, M. (2020). Offsetting impacts of development on biodiversity and ecosystem services. Ambio, 49(4), 892–902. https://doi.org/10.1007/s13280-019-01245-3</w:t>
      </w:r>
    </w:p>
    <w:p w14:paraId="5B0D9488" w14:textId="4BC33094" w:rsidR="006E276C" w:rsidRPr="006E276C" w:rsidRDefault="009A5685" w:rsidP="006E276C">
      <w:pPr>
        <w:pStyle w:val="Paragraphedeliste"/>
        <w:numPr>
          <w:ilvl w:val="0"/>
          <w:numId w:val="1"/>
        </w:numPr>
        <w:ind w:left="360"/>
        <w:rPr>
          <w:sz w:val="20"/>
          <w:szCs w:val="20"/>
          <w:lang w:val="en-GB"/>
        </w:rPr>
      </w:pPr>
      <w:r w:rsidRPr="009A3193">
        <w:rPr>
          <w:sz w:val="20"/>
          <w:szCs w:val="20"/>
          <w:lang w:val="en-GB"/>
        </w:rPr>
        <w:t>Spencer, T., Schuerch, M., Nicholls, R. J., Hinkel, J., Lincke, D., Vafeidis, A. T., Reef, R., McFadden, L., &amp; Brown, S. (2016). Global coastal wetland change under sea-level rise and related stresses: The DIVA Wetland Change Model. Global and Planetary Change, 139, 15–30.</w:t>
      </w:r>
      <w:r w:rsidRPr="006E276C">
        <w:rPr>
          <w:sz w:val="20"/>
          <w:szCs w:val="20"/>
          <w:lang w:val="en-GB"/>
        </w:rPr>
        <w:t xml:space="preserve"> </w:t>
      </w:r>
      <w:hyperlink r:id="rId122" w:history="1">
        <w:r w:rsidR="006E276C" w:rsidRPr="006E276C">
          <w:rPr>
            <w:rStyle w:val="Lienhypertexte"/>
            <w:color w:val="auto"/>
            <w:sz w:val="20"/>
            <w:szCs w:val="20"/>
            <w:u w:val="none"/>
            <w:lang w:val="en-GB"/>
          </w:rPr>
          <w:t>https://doi.org/10.1016/j.gloplacha.2015.12.018</w:t>
        </w:r>
      </w:hyperlink>
    </w:p>
    <w:p w14:paraId="75692B6E" w14:textId="67A4F4BC" w:rsidR="006E276C" w:rsidRPr="006E276C" w:rsidRDefault="006E276C" w:rsidP="006E276C">
      <w:pPr>
        <w:pStyle w:val="Paragraphedeliste"/>
        <w:numPr>
          <w:ilvl w:val="0"/>
          <w:numId w:val="1"/>
        </w:numPr>
        <w:ind w:left="360"/>
        <w:rPr>
          <w:sz w:val="20"/>
          <w:szCs w:val="20"/>
          <w:lang w:val="en-GB"/>
        </w:rPr>
      </w:pPr>
      <w:r w:rsidRPr="006E276C">
        <w:rPr>
          <w:sz w:val="20"/>
          <w:szCs w:val="20"/>
          <w:lang w:val="en-GB"/>
        </w:rPr>
        <w:t xml:space="preserve">Stankovic M., Ambo-Rappe R., Carly F., Dangan-Galon F., Fortes M. D., Hossain M. S., Kiswara W., Luong C. V., Minh-Thu P., Mishra A. K., Noiraksar T., Nurdin N., Panyawai J., Rattanachot E., Rozaimi M.,, Soe Htun U., Prathep A. (2021). Quantification of blue carbon in seagrass ecosystems of Southeast Asia and their potential for climate change mitigation, Science of The Total Environment 783: 146858. </w:t>
      </w:r>
      <w:hyperlink r:id="rId123" w:history="1">
        <w:r w:rsidRPr="006E276C">
          <w:rPr>
            <w:rStyle w:val="Lienhypertexte"/>
            <w:color w:val="auto"/>
            <w:sz w:val="20"/>
            <w:szCs w:val="20"/>
            <w:u w:val="none"/>
            <w:lang w:val="en-GB"/>
          </w:rPr>
          <w:t>https://doi.org/10.1016/j.scitotenv.2021.146858</w:t>
        </w:r>
      </w:hyperlink>
      <w:r w:rsidRPr="006E276C">
        <w:rPr>
          <w:sz w:val="20"/>
          <w:szCs w:val="20"/>
          <w:lang w:val="en-GB"/>
        </w:rPr>
        <w:t>.</w:t>
      </w:r>
    </w:p>
    <w:p w14:paraId="36FE6669" w14:textId="492040F7" w:rsidR="009A5685" w:rsidRPr="006E276C" w:rsidRDefault="009A5685" w:rsidP="006E276C">
      <w:pPr>
        <w:pStyle w:val="Paragraphedeliste"/>
        <w:numPr>
          <w:ilvl w:val="0"/>
          <w:numId w:val="1"/>
        </w:numPr>
        <w:ind w:left="360"/>
        <w:rPr>
          <w:sz w:val="20"/>
          <w:szCs w:val="20"/>
          <w:lang w:val="en-GB"/>
        </w:rPr>
      </w:pPr>
      <w:r w:rsidRPr="006E276C">
        <w:rPr>
          <w:sz w:val="20"/>
          <w:szCs w:val="20"/>
          <w:lang w:val="en-GB"/>
        </w:rPr>
        <w:t>Stevens, N., Lehmann, C. E. R., Murphy, B. P., &amp; Durigan, G. (2017). Savanna woody encroachment is widespread across three continents. Global Change Biology, 23(1), 235–244. https://doi.org/10.1111/gcb.13409</w:t>
      </w:r>
    </w:p>
    <w:p w14:paraId="58AB8A0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te Beest, M., Sitters, J., Ménard, C. B., &amp; Olofsson, J. (2016). Reindeer grazing increases summer albedo by reducing shrub abundance in Arctic tundra. Environmental Research Letters, 11(12), 125013. https://doi.org/10.1088/1748-9326/aa5128</w:t>
      </w:r>
    </w:p>
    <w:p w14:paraId="47DC38F7"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Tewari, P., Singh, R., Nagarkoti, P., &amp; Gumber, S. (2020). Temporal Changes in Livelihood and Land Usage Patterns: Case Study of a Primitive Tribe, Van Raji, from Uttarakhand, India (pp. 213–228). https://doi.org/10.1007/978-981-15-4712-6_13</w:t>
      </w:r>
    </w:p>
    <w:p w14:paraId="66823B90"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Thapa, S., Chitale, V., Rijal, S. J., Bisht, N., &amp; Shrestha, B. B. (2018). Understanding the dynamics in distribution of invasive alien plant species under predicted climate change in Western Himalaya. PLOS ONE, 13(4), e0195752. https://doi.org/10.1371/journal.pone.0195752</w:t>
      </w:r>
    </w:p>
    <w:p w14:paraId="2D33E95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Thorhaug, A., Gallagher, J. B., Kiswara, W., Prathep, A., Huang, X., Yap, T.-K., Dorward, S., &amp; Berlyn, G. (2020). Coastal and estuarine blue carbon stocks in the greater Southeast Asia region: Seagrasses and mangroves per </w:t>
      </w:r>
      <w:r w:rsidRPr="009A3193">
        <w:rPr>
          <w:sz w:val="20"/>
          <w:szCs w:val="20"/>
          <w:lang w:val="en-GB"/>
        </w:rPr>
        <w:lastRenderedPageBreak/>
        <w:t>nation and sum of total. Marine Pollution Bulletin, 160, 111168. https://doi.org/10.1016/j.marpolbul.2020.111168</w:t>
      </w:r>
    </w:p>
    <w:p w14:paraId="3B8C7DC3"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Tieskens, K. F., Schulp, C. J. E., Levers, C., Lieskovský, J., Kuemmerle, T., Plieninger, T., &amp; Verburg, P. H. (2017). Characterizing European cultural landscapes: Accounting for structure, management intensity and value of agricultural and </w:t>
      </w:r>
      <w:r w:rsidRPr="00A02143">
        <w:rPr>
          <w:sz w:val="20"/>
          <w:szCs w:val="20"/>
          <w:lang w:val="en-GB"/>
        </w:rPr>
        <w:t xml:space="preserve">forest landscapes. Land Use Policy, 62, 29–39. </w:t>
      </w:r>
      <w:hyperlink r:id="rId124" w:history="1">
        <w:r w:rsidRPr="00A02143">
          <w:rPr>
            <w:rStyle w:val="Lienhypertexte"/>
            <w:color w:val="auto"/>
            <w:sz w:val="20"/>
            <w:szCs w:val="20"/>
            <w:u w:val="none"/>
            <w:lang w:val="en-GB"/>
          </w:rPr>
          <w:t>https://doi.org/10.1016/j.landusepol.2016.12.001</w:t>
        </w:r>
      </w:hyperlink>
    </w:p>
    <w:p w14:paraId="17C167A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shd w:val="clear" w:color="auto" w:fill="FFFFFF"/>
          <w:lang w:val="en-GB"/>
        </w:rPr>
        <w:t>Trathan, P. N., and Grant, S. M. (2020</w:t>
      </w:r>
      <w:r w:rsidRPr="009A3193">
        <w:rPr>
          <w:sz w:val="20"/>
          <w:szCs w:val="20"/>
          <w:lang w:val="en-GB"/>
        </w:rPr>
        <w:t xml:space="preserve">). </w:t>
      </w:r>
      <w:r w:rsidRPr="00A02143">
        <w:rPr>
          <w:sz w:val="20"/>
          <w:szCs w:val="20"/>
          <w:shd w:val="clear" w:color="auto" w:fill="FFFFFF"/>
          <w:lang w:val="en-GB"/>
        </w:rPr>
        <w:t>Chapter 4 - The South Orkney Islands Southern Shelf Marine Protected Area: Towards the establishment of marine spatial protection within international waters in the Southern Ocean, Editor(s): John Humphreys, Robert W.E. Clark, Marine Protected Areas, pg. 67-98</w:t>
      </w:r>
      <w:r w:rsidRPr="00A02143">
        <w:rPr>
          <w:sz w:val="20"/>
          <w:szCs w:val="20"/>
          <w:lang w:val="en-GB"/>
        </w:rPr>
        <w:t xml:space="preserve"> </w:t>
      </w:r>
      <w:hyperlink r:id="rId125" w:tgtFrame="_blank" w:tooltip="Persistent link using digital object identifier" w:history="1">
        <w:r w:rsidRPr="00A02143">
          <w:rPr>
            <w:rStyle w:val="Lienhypertexte"/>
            <w:rFonts w:cs="Arial"/>
            <w:color w:val="auto"/>
            <w:sz w:val="20"/>
            <w:szCs w:val="20"/>
            <w:u w:val="none"/>
            <w:lang w:val="en-GB"/>
          </w:rPr>
          <w:t>https://doi.org/10.1016/B978-0-08-102698-4.00004-6</w:t>
        </w:r>
      </w:hyperlink>
    </w:p>
    <w:p w14:paraId="71B3166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Trathan, P. N., Collins, M. A., Grant, S. M., Belchier, M., Barnes, D. K. A., Brown, J., &amp; Staniland, I. (2014). The South Georgia and the South Sandwich Islands MPA: Protecting A Biodiverse Oceanic Island Chain Situated in the Flow of the Antarctic Circumpolar Current. ADVANCES IN MARINE BIOLOGY, 69, 15–78.</w:t>
      </w:r>
    </w:p>
    <w:p w14:paraId="1D66F003"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Uddin, K., Chaudhary, S., Chettri, N., Kotru, R., Murthy, M., Chaudhary, R. P., Ning, W., Shrestha, S. M., &amp; Gautam, S. K. (2015). The changing land cover and fragmenting forest on the Roof of the World: A case study in Nepal’s Kailash Sacred Landscape. Landscape and Urban Planning, 141, 1–10. https://doi.org/10.1016/j.landurbplan.2015.04.003</w:t>
      </w:r>
    </w:p>
    <w:p w14:paraId="11126A0D"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Uddin, Md. S., de Ruyter van Steveninck, E., Stuip, M., &amp; Shah, M. A. R. (2013). Economic valuation of provisioning and cultural services of a protected mangrove ecosystem: A case study on Sundarbans Reserve Forest, Bangladesh. Ecosystem Services, 5, 88–93. https://doi.org/10.1016/j.ecoser.2013.07.002</w:t>
      </w:r>
    </w:p>
    <w:p w14:paraId="0A7B28BA"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United Nations, Department of Economic and Social Affairs, Population Division. (2018). World Urbanization Prospects: The 2018 Revision (ST/ESA/SER.A/420). United Nations, Department of Economic and Social Affairs.</w:t>
      </w:r>
    </w:p>
    <w:p w14:paraId="31D61D4C"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United Nations Economist Network. (2020). Report of the UN Economist Network for the UN 75th Anniversary: Shaping the Trends of Our Time. United Nations.</w:t>
      </w:r>
    </w:p>
    <w:p w14:paraId="7E2EA926"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van Meijl, J. C. M., Havlík, P., Lotze-Campen, H., Stehfest, H., Witzke, P., Bodirsky, B., van Dijk, M., Doelman, M., Humpenoeder, F., Levin-Koopman, J., Mueller, C., Popp, A., Tabeau, A. A., &amp; Valin, H. (2017). Challenges of global agriculture in a climate </w:t>
      </w:r>
      <w:r w:rsidRPr="00A02143">
        <w:rPr>
          <w:sz w:val="20"/>
          <w:szCs w:val="20"/>
          <w:lang w:val="en-GB"/>
        </w:rPr>
        <w:t xml:space="preserve">change context by 2050: AgCLIM50 (I. Pérez Domínguez &amp; T. Fellmann, Eds.). Publications Office. </w:t>
      </w:r>
      <w:hyperlink r:id="rId126" w:history="1">
        <w:r w:rsidRPr="00A02143">
          <w:rPr>
            <w:rStyle w:val="Lienhypertexte"/>
            <w:color w:val="auto"/>
            <w:sz w:val="20"/>
            <w:szCs w:val="20"/>
            <w:u w:val="none"/>
            <w:lang w:val="en-GB"/>
          </w:rPr>
          <w:t>https://data.europa.eu/doi/10.2760/772445</w:t>
        </w:r>
      </w:hyperlink>
    </w:p>
    <w:p w14:paraId="5F1C0E04" w14:textId="240D7D2F" w:rsidR="009A5685" w:rsidRPr="00A02143" w:rsidRDefault="009A5685" w:rsidP="009A3193">
      <w:pPr>
        <w:pStyle w:val="Paragraphedeliste"/>
        <w:numPr>
          <w:ilvl w:val="0"/>
          <w:numId w:val="1"/>
        </w:numPr>
        <w:ind w:left="360"/>
        <w:rPr>
          <w:sz w:val="20"/>
          <w:szCs w:val="20"/>
          <w:lang w:val="en-GB"/>
        </w:rPr>
      </w:pPr>
      <w:r w:rsidRPr="009A3193">
        <w:rPr>
          <w:sz w:val="20"/>
          <w:szCs w:val="20"/>
          <w:lang w:val="en-GB"/>
        </w:rPr>
        <w:t>van Soesbergen, A. J. J. and M. Mulligan. 2014. Modelling multiple threats to water security in the Peruvian Amazon using the Water World policy support system. Earth Syst. Dyn., 5, pp. 55-65</w:t>
      </w:r>
      <w:r w:rsidR="00A02143">
        <w:rPr>
          <w:sz w:val="20"/>
          <w:szCs w:val="20"/>
          <w:lang w:val="en-GB"/>
        </w:rPr>
        <w:t xml:space="preserve">. </w:t>
      </w:r>
      <w:r w:rsidR="00A02143" w:rsidRPr="00A02143">
        <w:rPr>
          <w:rFonts w:cs="Open Sans"/>
          <w:sz w:val="20"/>
          <w:szCs w:val="20"/>
          <w:shd w:val="clear" w:color="auto" w:fill="FFFFFF"/>
        </w:rPr>
        <w:t>https://doi.org/10.5194/esd-5-55-2014</w:t>
      </w:r>
    </w:p>
    <w:p w14:paraId="525288FE" w14:textId="243FA12C" w:rsidR="009A5685" w:rsidRPr="009A3193" w:rsidRDefault="009A5685" w:rsidP="009A3193">
      <w:pPr>
        <w:pStyle w:val="Paragraphedeliste"/>
        <w:numPr>
          <w:ilvl w:val="0"/>
          <w:numId w:val="1"/>
        </w:numPr>
        <w:ind w:left="360"/>
        <w:rPr>
          <w:sz w:val="20"/>
          <w:szCs w:val="20"/>
          <w:lang w:val="en-GB"/>
        </w:rPr>
      </w:pPr>
      <w:r w:rsidRPr="00A02143">
        <w:rPr>
          <w:sz w:val="20"/>
          <w:szCs w:val="20"/>
          <w:lang w:val="en-GB"/>
        </w:rPr>
        <w:t xml:space="preserve">van Wilgen, B. W., Forsyth, G. G., Le Maitre, D. C., </w:t>
      </w:r>
      <w:r w:rsidRPr="009A3193">
        <w:rPr>
          <w:sz w:val="20"/>
          <w:szCs w:val="20"/>
          <w:lang w:val="en-GB"/>
        </w:rPr>
        <w:t>Wannenburgh, A., Kotzé, J. D., van den Berg, E., &amp; Henderson, L. (2012). An assessment of the effectiveness of a large, national-scale invasive alien plant control strategy in South Africa. Biological Conservation, 148(1), 28–</w:t>
      </w:r>
      <w:r w:rsidRPr="00A02143">
        <w:rPr>
          <w:sz w:val="20"/>
          <w:szCs w:val="20"/>
          <w:lang w:val="en-GB"/>
        </w:rPr>
        <w:t>38.</w:t>
      </w:r>
      <w:r w:rsidR="00A02143" w:rsidRPr="00A02143">
        <w:rPr>
          <w:sz w:val="20"/>
          <w:szCs w:val="20"/>
          <w:lang w:val="en-GB"/>
        </w:rPr>
        <w:t xml:space="preserve"> </w:t>
      </w:r>
      <w:r w:rsidR="00A02143" w:rsidRPr="00A02143">
        <w:rPr>
          <w:sz w:val="20"/>
          <w:szCs w:val="20"/>
        </w:rPr>
        <w:t>doi:10.1016/j.biocon.2011.12.035</w:t>
      </w:r>
    </w:p>
    <w:p w14:paraId="435E546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Veron, J. E., Devantier, L. M., Turak, E., Green, A. L., Kininmonth, S., Stafford-Smith, M., &amp; Peterson, N. (2009). Delineating the coral triangle. Galaxea, Journal of Coral Reef Studies, 11(2), 91–100. https://doi.org/10.3755/galaxea.11.91</w:t>
      </w:r>
    </w:p>
    <w:p w14:paraId="14DA1033"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Warren, R., Price, J., VanDerWal, J., Cornelius, S., &amp; Sohl, H. (2018). The implications of the United Nations Paris Agreement on climate change for globally significant biodiversity areas. Climatic Change, 147(3–4), 395–409. https://doi.org/10.1007/s10584-018-2158-6</w:t>
      </w:r>
    </w:p>
    <w:p w14:paraId="0CAC4142"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Weeks, R., Aliño, P. M., Atkinson, S., Beldia, P., Binson, A., Campos, W. L., Djohani, R., Green, A. L., Hamilton, R., &amp; Horigue, V. (2014). Developing marine protected area networks in the Coral Triangle: Good practices for expanding the Coral Triangle Marine Protected Area System. Coastal Management, 42(2), 183–205. https://doi.org/10.1080/08920753.2014.877768</w:t>
      </w:r>
    </w:p>
    <w:p w14:paraId="47503474" w14:textId="358F9849" w:rsidR="009A5685" w:rsidRPr="00A02143" w:rsidRDefault="009A5685" w:rsidP="009A3193">
      <w:pPr>
        <w:pStyle w:val="Paragraphedeliste"/>
        <w:numPr>
          <w:ilvl w:val="0"/>
          <w:numId w:val="1"/>
        </w:numPr>
        <w:ind w:left="360"/>
        <w:rPr>
          <w:sz w:val="20"/>
          <w:szCs w:val="20"/>
          <w:lang w:val="en-GB"/>
        </w:rPr>
      </w:pPr>
      <w:r w:rsidRPr="009A3193">
        <w:rPr>
          <w:sz w:val="20"/>
          <w:szCs w:val="20"/>
          <w:lang w:val="en-GB"/>
        </w:rPr>
        <w:t xml:space="preserve">West, T. A., Börner, J., &amp; Fearnside, P. M. (2019). Climatic benefits from the 2006–2017 avoided deforestation in </w:t>
      </w:r>
      <w:r w:rsidRPr="00A02143">
        <w:rPr>
          <w:sz w:val="20"/>
          <w:szCs w:val="20"/>
          <w:lang w:val="en-GB"/>
        </w:rPr>
        <w:t>Amazonian Brazil. Frontiers in Forests and Global Change, 2, 52.</w:t>
      </w:r>
      <w:r w:rsidR="00A02143" w:rsidRPr="00A02143">
        <w:rPr>
          <w:sz w:val="20"/>
          <w:szCs w:val="20"/>
          <w:lang w:val="en-GB"/>
        </w:rPr>
        <w:t xml:space="preserve"> </w:t>
      </w:r>
      <w:hyperlink r:id="rId127" w:history="1">
        <w:r w:rsidR="00A02143" w:rsidRPr="00A02143">
          <w:rPr>
            <w:color w:val="020202"/>
            <w:sz w:val="20"/>
            <w:szCs w:val="20"/>
            <w:shd w:val="clear" w:color="auto" w:fill="FFFFFF"/>
          </w:rPr>
          <w:t>https://doi.org/10.3389/ffgc.2019.00052</w:t>
        </w:r>
      </w:hyperlink>
    </w:p>
    <w:p w14:paraId="6AF917CF"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Wigley, B. J., Augustine, D. J., Coetsee, C., Ratnam, J., &amp; Sankaran, M. (2020). Grasses continue to trump trees at soil carbon sequestration following herbivore exclusion in a semiarid African savanna. Ecology, 101(5). https://doi.org/10.1002/ecy.3008</w:t>
      </w:r>
    </w:p>
    <w:p w14:paraId="71135FF3" w14:textId="71E5B7BE" w:rsidR="009A5685" w:rsidRPr="009A3193" w:rsidRDefault="00F93E4B" w:rsidP="00A02143">
      <w:pPr>
        <w:pStyle w:val="Paragraphedeliste"/>
        <w:numPr>
          <w:ilvl w:val="0"/>
          <w:numId w:val="1"/>
        </w:numPr>
        <w:ind w:left="357" w:hanging="357"/>
        <w:rPr>
          <w:sz w:val="20"/>
          <w:szCs w:val="20"/>
          <w:lang w:val="en-GB"/>
        </w:rPr>
      </w:pPr>
      <w:r w:rsidRPr="009A3193">
        <w:rPr>
          <w:sz w:val="20"/>
          <w:szCs w:val="20"/>
          <w:lang w:val="en-GB"/>
        </w:rPr>
        <w:t xml:space="preserve">Williams S.L., Ambo-Rappe R., Sur C., Abbott J.M., Li S.R., et al. 2017. Species richness accelerates marine ecosystem </w:t>
      </w:r>
      <w:r w:rsidRPr="00A02143">
        <w:rPr>
          <w:sz w:val="20"/>
          <w:szCs w:val="20"/>
          <w:lang w:val="en-GB"/>
        </w:rPr>
        <w:t>restoration in the Coral Triangle. PNAS 114 (45) : 11986-11991.</w:t>
      </w:r>
      <w:r w:rsidR="00A02143" w:rsidRPr="00A02143">
        <w:rPr>
          <w:sz w:val="20"/>
          <w:szCs w:val="20"/>
          <w:lang w:val="en-GB"/>
        </w:rPr>
        <w:t xml:space="preserve"> </w:t>
      </w:r>
      <w:hyperlink r:id="rId128" w:history="1">
        <w:r w:rsidR="00A02143" w:rsidRPr="00A02143">
          <w:rPr>
            <w:rFonts w:cs="Open Sans"/>
            <w:sz w:val="20"/>
            <w:szCs w:val="20"/>
            <w:shd w:val="clear" w:color="auto" w:fill="FFFFFF"/>
          </w:rPr>
          <w:t>https://doi.org/10.1073/pnas.1707962114</w:t>
        </w:r>
      </w:hyperlink>
    </w:p>
    <w:p w14:paraId="0F54E1F2"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Wilmers, C. C., Estes, J. A., Edwards, M., Laidre, K. L., &amp; Konar, B. (2012). Do trophic cascades affect the storage and flux of atmospheric carbon? An analysis of sea otters and kelp forests. Frontiers in Ecology and the Environment, 10(8), 409–415. https://doi.org/10.1890/110176</w:t>
      </w:r>
    </w:p>
    <w:p w14:paraId="466CAD59"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Wong, N. H., Cheong, D. K. W., Yan, H., Soh, J., Ong, C. L., &amp; Sia, A. (2003). The effects of rooftop garden on energy consumption of a commercial building in Singapore. Energy and Buildings, 35(4), 353–364. https://doi.org/10.1016/S0378-7788(02)00108-1</w:t>
      </w:r>
    </w:p>
    <w:p w14:paraId="5242FE28"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lastRenderedPageBreak/>
        <w:t>Xiao, X., Agustí, S., Lin, F., Li, K., Pan, Y., Yu, Y., Zheng, Y., Wu, J., &amp; Duarte, C. (2017). Nutrient removal from Chinese coastal waters by large-scale seaweed aquaculture. Scientific Reports, 7, 46613. https://doi.org/10.1038/srep46613</w:t>
      </w:r>
    </w:p>
    <w:p w14:paraId="6F1D21AA"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Ylänne H., Kaarlejärvi, E., Väisänen, M., Männistö, M. K., Ahonen, S. H. K., Olofsson, J., &amp; Stark, S. (2020). Removal of grazers alters the response of tundra soil carbon to warming and enhanced nitrogen availability. Ecological Monographs, 90(1:e01396). https://doi.org/10.1002/ecm.1396</w:t>
      </w:r>
    </w:p>
    <w:p w14:paraId="4BA16E7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Yu, K. (2020, July 30). Sponge City: Leveraging Nature As Ecological Infrastructure. CLC Webinar Series: Cities Adapting to a Disrupted World. https://www.clc.gov.sg/events/webinars/view/sponge-cities</w:t>
      </w:r>
    </w:p>
    <w:p w14:paraId="0B18BBC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Yusuf, H. M., Treydte, A. C., &amp; Sauerborn, J. (2015). Managing Semi-Arid Rangelands for Carbon Storage: Grazing and Woody Encroachment Effects on Soil Carbon and Nitrogen. PLOS ONE, 10(10), e0109063. https://doi.org/10.1371/journal.pone.0109063</w:t>
      </w:r>
    </w:p>
    <w:p w14:paraId="4EE9941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Zhang, G., Xiao, X., Dong, J., Xin, F., Zhang, Y., Qin, Y., Doughty, R., &amp; Moore, B. (2020). Fingerprint of rice paddies in spatial–temporal dynamics of atmospheric methane concentration in monsoon Asia. Nature Communications, 11, 554. https://doi.org/10.1038/s41467-019-14155-5</w:t>
      </w:r>
    </w:p>
    <w:p w14:paraId="71E42B45" w14:textId="3D28802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 xml:space="preserve">Zimov, S. A. (2005). </w:t>
      </w:r>
      <w:r w:rsidR="003B542C">
        <w:rPr>
          <w:sz w:val="20"/>
          <w:szCs w:val="20"/>
          <w:lang w:val="en-GB"/>
        </w:rPr>
        <w:t>Essays on Science and Society</w:t>
      </w:r>
      <w:r w:rsidRPr="009A3193">
        <w:rPr>
          <w:sz w:val="20"/>
          <w:szCs w:val="20"/>
          <w:lang w:val="en-GB"/>
        </w:rPr>
        <w:t>: Pleistocene Park: Return of the Mammoth’s Ecosystem. Science, 308(5723), 796–798. https://doi.org/10.1126/science.1113442</w:t>
      </w:r>
    </w:p>
    <w:p w14:paraId="595CF73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Zomer, R. J., Trabucco, A., Metzger, M. J., Wang, M., Oli, K. P., &amp; Xu, J. (2014). Projected climate change impacts on spatial distribution of bioclimatic zones and ecoregions within the Kailash Sacred Landscape of China, India, Nepal. Climatic Change, 125(3), 445–460. https://doi.org/10.1007/s10584-014-1176-2</w:t>
      </w:r>
    </w:p>
    <w:p w14:paraId="5E85E50E" w14:textId="77777777" w:rsidR="009A5685" w:rsidRPr="009A3193" w:rsidRDefault="009A5685" w:rsidP="009A3193">
      <w:pPr>
        <w:pStyle w:val="Paragraphedeliste"/>
        <w:numPr>
          <w:ilvl w:val="0"/>
          <w:numId w:val="1"/>
        </w:numPr>
        <w:ind w:left="360"/>
        <w:rPr>
          <w:sz w:val="20"/>
          <w:szCs w:val="20"/>
          <w:lang w:val="en-GB"/>
        </w:rPr>
      </w:pPr>
      <w:r w:rsidRPr="009A3193">
        <w:rPr>
          <w:sz w:val="20"/>
          <w:szCs w:val="20"/>
          <w:lang w:val="en-GB"/>
        </w:rPr>
        <w:t>Zomer, R., &amp; Oli, K. P. (2011). Kailash sacred landscape conservation initiative – Feasibility assessment report. ICIMOD.</w:t>
      </w:r>
    </w:p>
    <w:p w14:paraId="51B13AA1" w14:textId="77777777" w:rsidR="003871D3" w:rsidRPr="009A3193" w:rsidRDefault="003871D3">
      <w:pPr>
        <w:rPr>
          <w:lang w:val="en-GB"/>
        </w:rPr>
      </w:pPr>
    </w:p>
    <w:p w14:paraId="17230596" w14:textId="77777777" w:rsidR="003871D3" w:rsidRPr="009A3193" w:rsidRDefault="003871D3">
      <w:pPr>
        <w:rPr>
          <w:lang w:val="en-GB"/>
        </w:rPr>
      </w:pPr>
    </w:p>
    <w:sectPr w:rsidR="003871D3" w:rsidRPr="009A3193" w:rsidSect="004326A0">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3193"/>
    <w:multiLevelType w:val="hybridMultilevel"/>
    <w:tmpl w:val="001C7D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44B455E"/>
    <w:multiLevelType w:val="multilevel"/>
    <w:tmpl w:val="B56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39"/>
    <w:rsid w:val="00032A4F"/>
    <w:rsid w:val="000369A8"/>
    <w:rsid w:val="000A6F1E"/>
    <w:rsid w:val="000C4686"/>
    <w:rsid w:val="0010218E"/>
    <w:rsid w:val="001045AA"/>
    <w:rsid w:val="00115605"/>
    <w:rsid w:val="001339F3"/>
    <w:rsid w:val="00134FA7"/>
    <w:rsid w:val="001451E4"/>
    <w:rsid w:val="00170A32"/>
    <w:rsid w:val="0017475D"/>
    <w:rsid w:val="00180D6F"/>
    <w:rsid w:val="00186FE6"/>
    <w:rsid w:val="001A784A"/>
    <w:rsid w:val="001B1F96"/>
    <w:rsid w:val="001D639C"/>
    <w:rsid w:val="001E370C"/>
    <w:rsid w:val="001F0640"/>
    <w:rsid w:val="001F7510"/>
    <w:rsid w:val="00203C9C"/>
    <w:rsid w:val="002302CC"/>
    <w:rsid w:val="00271474"/>
    <w:rsid w:val="00295413"/>
    <w:rsid w:val="002C391D"/>
    <w:rsid w:val="002F2AE6"/>
    <w:rsid w:val="00331EC2"/>
    <w:rsid w:val="003336AF"/>
    <w:rsid w:val="0034380F"/>
    <w:rsid w:val="0037394A"/>
    <w:rsid w:val="003871D3"/>
    <w:rsid w:val="003B542C"/>
    <w:rsid w:val="003F5851"/>
    <w:rsid w:val="00406FCB"/>
    <w:rsid w:val="00420619"/>
    <w:rsid w:val="004326A0"/>
    <w:rsid w:val="00436128"/>
    <w:rsid w:val="00463E22"/>
    <w:rsid w:val="00470FEF"/>
    <w:rsid w:val="004856EA"/>
    <w:rsid w:val="00494F46"/>
    <w:rsid w:val="004C2402"/>
    <w:rsid w:val="004D2B29"/>
    <w:rsid w:val="004D4EE0"/>
    <w:rsid w:val="004F34D9"/>
    <w:rsid w:val="00525176"/>
    <w:rsid w:val="00533401"/>
    <w:rsid w:val="00545D26"/>
    <w:rsid w:val="00580433"/>
    <w:rsid w:val="005919C0"/>
    <w:rsid w:val="00593DD3"/>
    <w:rsid w:val="005A1F9C"/>
    <w:rsid w:val="005B2A7C"/>
    <w:rsid w:val="005C465D"/>
    <w:rsid w:val="005D5FFE"/>
    <w:rsid w:val="00603E11"/>
    <w:rsid w:val="0060657E"/>
    <w:rsid w:val="0060714C"/>
    <w:rsid w:val="00610EF1"/>
    <w:rsid w:val="006324A6"/>
    <w:rsid w:val="00677A23"/>
    <w:rsid w:val="00686C94"/>
    <w:rsid w:val="0068710F"/>
    <w:rsid w:val="006A2115"/>
    <w:rsid w:val="006C160A"/>
    <w:rsid w:val="006D3C40"/>
    <w:rsid w:val="006E1B27"/>
    <w:rsid w:val="006E276C"/>
    <w:rsid w:val="006E3526"/>
    <w:rsid w:val="006F0165"/>
    <w:rsid w:val="007165B3"/>
    <w:rsid w:val="00716AE8"/>
    <w:rsid w:val="0079212B"/>
    <w:rsid w:val="007A6B5E"/>
    <w:rsid w:val="007D186F"/>
    <w:rsid w:val="007E3CFD"/>
    <w:rsid w:val="007E6143"/>
    <w:rsid w:val="007F3FAD"/>
    <w:rsid w:val="00802249"/>
    <w:rsid w:val="00814524"/>
    <w:rsid w:val="008A0795"/>
    <w:rsid w:val="008A0DCA"/>
    <w:rsid w:val="008B1CB0"/>
    <w:rsid w:val="008C7944"/>
    <w:rsid w:val="008D3851"/>
    <w:rsid w:val="008F4D50"/>
    <w:rsid w:val="00901FAF"/>
    <w:rsid w:val="009201B6"/>
    <w:rsid w:val="00920B90"/>
    <w:rsid w:val="00925CD0"/>
    <w:rsid w:val="00927519"/>
    <w:rsid w:val="009477F2"/>
    <w:rsid w:val="00954DD0"/>
    <w:rsid w:val="009A3193"/>
    <w:rsid w:val="009A5685"/>
    <w:rsid w:val="009B1269"/>
    <w:rsid w:val="009B35E2"/>
    <w:rsid w:val="009B5D53"/>
    <w:rsid w:val="009C55C4"/>
    <w:rsid w:val="009E0697"/>
    <w:rsid w:val="009F2131"/>
    <w:rsid w:val="009F31BD"/>
    <w:rsid w:val="009F34D6"/>
    <w:rsid w:val="009F7277"/>
    <w:rsid w:val="00A0148D"/>
    <w:rsid w:val="00A02143"/>
    <w:rsid w:val="00A02FCB"/>
    <w:rsid w:val="00A14346"/>
    <w:rsid w:val="00A508BF"/>
    <w:rsid w:val="00A53B8B"/>
    <w:rsid w:val="00A72F22"/>
    <w:rsid w:val="00A83B8F"/>
    <w:rsid w:val="00AA21DA"/>
    <w:rsid w:val="00AB5A3E"/>
    <w:rsid w:val="00AC58BD"/>
    <w:rsid w:val="00AD0D09"/>
    <w:rsid w:val="00B00A6D"/>
    <w:rsid w:val="00B057F0"/>
    <w:rsid w:val="00B21C7C"/>
    <w:rsid w:val="00B37639"/>
    <w:rsid w:val="00BA37EE"/>
    <w:rsid w:val="00BE4D30"/>
    <w:rsid w:val="00BF5B12"/>
    <w:rsid w:val="00C24C9F"/>
    <w:rsid w:val="00C321B8"/>
    <w:rsid w:val="00C36194"/>
    <w:rsid w:val="00C5573C"/>
    <w:rsid w:val="00C91CB0"/>
    <w:rsid w:val="00C9414E"/>
    <w:rsid w:val="00D04C7C"/>
    <w:rsid w:val="00D14CE9"/>
    <w:rsid w:val="00D60B90"/>
    <w:rsid w:val="00D648F4"/>
    <w:rsid w:val="00D77E61"/>
    <w:rsid w:val="00D91E94"/>
    <w:rsid w:val="00D9633D"/>
    <w:rsid w:val="00D96F5B"/>
    <w:rsid w:val="00DA4096"/>
    <w:rsid w:val="00DA73F5"/>
    <w:rsid w:val="00DC59A8"/>
    <w:rsid w:val="00DD399D"/>
    <w:rsid w:val="00DF6488"/>
    <w:rsid w:val="00E05FE4"/>
    <w:rsid w:val="00E45ACB"/>
    <w:rsid w:val="00E56383"/>
    <w:rsid w:val="00E764DE"/>
    <w:rsid w:val="00E92762"/>
    <w:rsid w:val="00E9276E"/>
    <w:rsid w:val="00EC5BF5"/>
    <w:rsid w:val="00EE6A54"/>
    <w:rsid w:val="00F05BBF"/>
    <w:rsid w:val="00F40A20"/>
    <w:rsid w:val="00F56504"/>
    <w:rsid w:val="00F70E50"/>
    <w:rsid w:val="00F93E4B"/>
    <w:rsid w:val="00FA3AD6"/>
    <w:rsid w:val="00FC49E2"/>
    <w:rsid w:val="00FD6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04AA"/>
  <w15:chartTrackingRefBased/>
  <w15:docId w15:val="{60BDEA16-41EA-4B53-BB1C-8FBE9375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633D"/>
    <w:pPr>
      <w:spacing w:after="0" w:line="240" w:lineRule="auto"/>
    </w:pPr>
    <w:rPr>
      <w:lang w:val="en-ZA"/>
    </w:rPr>
  </w:style>
  <w:style w:type="character" w:styleId="Marquedecommentaire">
    <w:name w:val="annotation reference"/>
    <w:basedOn w:val="Policepardfaut"/>
    <w:uiPriority w:val="99"/>
    <w:semiHidden/>
    <w:unhideWhenUsed/>
    <w:rsid w:val="00603E11"/>
    <w:rPr>
      <w:sz w:val="16"/>
      <w:szCs w:val="16"/>
    </w:rPr>
  </w:style>
  <w:style w:type="paragraph" w:styleId="Commentaire">
    <w:name w:val="annotation text"/>
    <w:basedOn w:val="Normal"/>
    <w:link w:val="CommentaireCar"/>
    <w:uiPriority w:val="99"/>
    <w:semiHidden/>
    <w:unhideWhenUsed/>
    <w:rsid w:val="00603E11"/>
    <w:pPr>
      <w:spacing w:line="240" w:lineRule="auto"/>
    </w:pPr>
    <w:rPr>
      <w:rFonts w:ascii="Calibri" w:eastAsia="Calibri" w:hAnsi="Calibri" w:cs="Calibri"/>
      <w:sz w:val="20"/>
      <w:szCs w:val="20"/>
      <w:lang w:val="en-GB" w:eastAsia="fr-FR"/>
    </w:rPr>
  </w:style>
  <w:style w:type="character" w:customStyle="1" w:styleId="CommentaireCar">
    <w:name w:val="Commentaire Car"/>
    <w:basedOn w:val="Policepardfaut"/>
    <w:link w:val="Commentaire"/>
    <w:uiPriority w:val="99"/>
    <w:semiHidden/>
    <w:rsid w:val="00603E11"/>
    <w:rPr>
      <w:rFonts w:ascii="Calibri" w:eastAsia="Calibri" w:hAnsi="Calibri" w:cs="Calibri"/>
      <w:sz w:val="20"/>
      <w:szCs w:val="20"/>
      <w:lang w:val="en-GB" w:eastAsia="fr-FR"/>
    </w:rPr>
  </w:style>
  <w:style w:type="paragraph" w:styleId="Textedebulles">
    <w:name w:val="Balloon Text"/>
    <w:basedOn w:val="Normal"/>
    <w:link w:val="TextedebullesCar"/>
    <w:uiPriority w:val="99"/>
    <w:semiHidden/>
    <w:unhideWhenUsed/>
    <w:rsid w:val="00603E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E11"/>
    <w:rPr>
      <w:rFonts w:ascii="Segoe UI" w:hAnsi="Segoe UI" w:cs="Segoe UI"/>
      <w:sz w:val="18"/>
      <w:szCs w:val="18"/>
    </w:rPr>
  </w:style>
  <w:style w:type="table" w:styleId="Grilledutableau">
    <w:name w:val="Table Grid"/>
    <w:basedOn w:val="TableauNormal"/>
    <w:uiPriority w:val="39"/>
    <w:rsid w:val="0010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5685"/>
    <w:pPr>
      <w:spacing w:after="0" w:line="240" w:lineRule="auto"/>
      <w:ind w:left="720"/>
      <w:contextualSpacing/>
    </w:pPr>
    <w:rPr>
      <w:sz w:val="24"/>
      <w:szCs w:val="24"/>
    </w:rPr>
  </w:style>
  <w:style w:type="character" w:styleId="Lienhypertexte">
    <w:name w:val="Hyperlink"/>
    <w:basedOn w:val="Policepardfaut"/>
    <w:uiPriority w:val="99"/>
    <w:unhideWhenUsed/>
    <w:rsid w:val="009A5685"/>
    <w:rPr>
      <w:color w:val="0563C1" w:themeColor="hyperlink"/>
      <w:u w:val="single"/>
    </w:rPr>
  </w:style>
  <w:style w:type="character" w:customStyle="1" w:styleId="UnresolvedMention">
    <w:name w:val="Unresolved Mention"/>
    <w:basedOn w:val="Policepardfaut"/>
    <w:uiPriority w:val="99"/>
    <w:semiHidden/>
    <w:unhideWhenUsed/>
    <w:rsid w:val="009A3193"/>
    <w:rPr>
      <w:color w:val="605E5C"/>
      <w:shd w:val="clear" w:color="auto" w:fill="E1DFDD"/>
    </w:rPr>
  </w:style>
  <w:style w:type="paragraph" w:customStyle="1" w:styleId="nova-e-listitem">
    <w:name w:val="nova-e-list__item"/>
    <w:basedOn w:val="Normal"/>
    <w:rsid w:val="00463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0262">
      <w:bodyDiv w:val="1"/>
      <w:marLeft w:val="0"/>
      <w:marRight w:val="0"/>
      <w:marTop w:val="0"/>
      <w:marBottom w:val="0"/>
      <w:divBdr>
        <w:top w:val="none" w:sz="0" w:space="0" w:color="auto"/>
        <w:left w:val="none" w:sz="0" w:space="0" w:color="auto"/>
        <w:bottom w:val="none" w:sz="0" w:space="0" w:color="auto"/>
        <w:right w:val="none" w:sz="0" w:space="0" w:color="auto"/>
      </w:divBdr>
    </w:div>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13982162">
      <w:bodyDiv w:val="1"/>
      <w:marLeft w:val="0"/>
      <w:marRight w:val="0"/>
      <w:marTop w:val="0"/>
      <w:marBottom w:val="0"/>
      <w:divBdr>
        <w:top w:val="none" w:sz="0" w:space="0" w:color="auto"/>
        <w:left w:val="none" w:sz="0" w:space="0" w:color="auto"/>
        <w:bottom w:val="none" w:sz="0" w:space="0" w:color="auto"/>
        <w:right w:val="none" w:sz="0" w:space="0" w:color="auto"/>
      </w:divBdr>
    </w:div>
    <w:div w:id="413748313">
      <w:bodyDiv w:val="1"/>
      <w:marLeft w:val="0"/>
      <w:marRight w:val="0"/>
      <w:marTop w:val="0"/>
      <w:marBottom w:val="0"/>
      <w:divBdr>
        <w:top w:val="none" w:sz="0" w:space="0" w:color="auto"/>
        <w:left w:val="none" w:sz="0" w:space="0" w:color="auto"/>
        <w:bottom w:val="none" w:sz="0" w:space="0" w:color="auto"/>
        <w:right w:val="none" w:sz="0" w:space="0" w:color="auto"/>
      </w:divBdr>
    </w:div>
    <w:div w:id="480194389">
      <w:bodyDiv w:val="1"/>
      <w:marLeft w:val="0"/>
      <w:marRight w:val="0"/>
      <w:marTop w:val="0"/>
      <w:marBottom w:val="0"/>
      <w:divBdr>
        <w:top w:val="none" w:sz="0" w:space="0" w:color="auto"/>
        <w:left w:val="none" w:sz="0" w:space="0" w:color="auto"/>
        <w:bottom w:val="none" w:sz="0" w:space="0" w:color="auto"/>
        <w:right w:val="none" w:sz="0" w:space="0" w:color="auto"/>
      </w:divBdr>
    </w:div>
    <w:div w:id="498276353">
      <w:bodyDiv w:val="1"/>
      <w:marLeft w:val="0"/>
      <w:marRight w:val="0"/>
      <w:marTop w:val="0"/>
      <w:marBottom w:val="0"/>
      <w:divBdr>
        <w:top w:val="none" w:sz="0" w:space="0" w:color="auto"/>
        <w:left w:val="none" w:sz="0" w:space="0" w:color="auto"/>
        <w:bottom w:val="none" w:sz="0" w:space="0" w:color="auto"/>
        <w:right w:val="none" w:sz="0" w:space="0" w:color="auto"/>
      </w:divBdr>
    </w:div>
    <w:div w:id="528252136">
      <w:bodyDiv w:val="1"/>
      <w:marLeft w:val="0"/>
      <w:marRight w:val="0"/>
      <w:marTop w:val="0"/>
      <w:marBottom w:val="0"/>
      <w:divBdr>
        <w:top w:val="none" w:sz="0" w:space="0" w:color="auto"/>
        <w:left w:val="none" w:sz="0" w:space="0" w:color="auto"/>
        <w:bottom w:val="none" w:sz="0" w:space="0" w:color="auto"/>
        <w:right w:val="none" w:sz="0" w:space="0" w:color="auto"/>
      </w:divBdr>
    </w:div>
    <w:div w:id="744303292">
      <w:bodyDiv w:val="1"/>
      <w:marLeft w:val="0"/>
      <w:marRight w:val="0"/>
      <w:marTop w:val="0"/>
      <w:marBottom w:val="0"/>
      <w:divBdr>
        <w:top w:val="none" w:sz="0" w:space="0" w:color="auto"/>
        <w:left w:val="none" w:sz="0" w:space="0" w:color="auto"/>
        <w:bottom w:val="none" w:sz="0" w:space="0" w:color="auto"/>
        <w:right w:val="none" w:sz="0" w:space="0" w:color="auto"/>
      </w:divBdr>
    </w:div>
    <w:div w:id="803548811">
      <w:bodyDiv w:val="1"/>
      <w:marLeft w:val="0"/>
      <w:marRight w:val="0"/>
      <w:marTop w:val="0"/>
      <w:marBottom w:val="0"/>
      <w:divBdr>
        <w:top w:val="none" w:sz="0" w:space="0" w:color="auto"/>
        <w:left w:val="none" w:sz="0" w:space="0" w:color="auto"/>
        <w:bottom w:val="none" w:sz="0" w:space="0" w:color="auto"/>
        <w:right w:val="none" w:sz="0" w:space="0" w:color="auto"/>
      </w:divBdr>
    </w:div>
    <w:div w:id="872109128">
      <w:bodyDiv w:val="1"/>
      <w:marLeft w:val="0"/>
      <w:marRight w:val="0"/>
      <w:marTop w:val="0"/>
      <w:marBottom w:val="0"/>
      <w:divBdr>
        <w:top w:val="none" w:sz="0" w:space="0" w:color="auto"/>
        <w:left w:val="none" w:sz="0" w:space="0" w:color="auto"/>
        <w:bottom w:val="none" w:sz="0" w:space="0" w:color="auto"/>
        <w:right w:val="none" w:sz="0" w:space="0" w:color="auto"/>
      </w:divBdr>
    </w:div>
    <w:div w:id="911503199">
      <w:bodyDiv w:val="1"/>
      <w:marLeft w:val="0"/>
      <w:marRight w:val="0"/>
      <w:marTop w:val="0"/>
      <w:marBottom w:val="0"/>
      <w:divBdr>
        <w:top w:val="none" w:sz="0" w:space="0" w:color="auto"/>
        <w:left w:val="none" w:sz="0" w:space="0" w:color="auto"/>
        <w:bottom w:val="none" w:sz="0" w:space="0" w:color="auto"/>
        <w:right w:val="none" w:sz="0" w:space="0" w:color="auto"/>
      </w:divBdr>
    </w:div>
    <w:div w:id="921917293">
      <w:bodyDiv w:val="1"/>
      <w:marLeft w:val="0"/>
      <w:marRight w:val="0"/>
      <w:marTop w:val="0"/>
      <w:marBottom w:val="0"/>
      <w:divBdr>
        <w:top w:val="none" w:sz="0" w:space="0" w:color="auto"/>
        <w:left w:val="none" w:sz="0" w:space="0" w:color="auto"/>
        <w:bottom w:val="none" w:sz="0" w:space="0" w:color="auto"/>
        <w:right w:val="none" w:sz="0" w:space="0" w:color="auto"/>
      </w:divBdr>
    </w:div>
    <w:div w:id="968166624">
      <w:bodyDiv w:val="1"/>
      <w:marLeft w:val="0"/>
      <w:marRight w:val="0"/>
      <w:marTop w:val="0"/>
      <w:marBottom w:val="0"/>
      <w:divBdr>
        <w:top w:val="none" w:sz="0" w:space="0" w:color="auto"/>
        <w:left w:val="none" w:sz="0" w:space="0" w:color="auto"/>
        <w:bottom w:val="none" w:sz="0" w:space="0" w:color="auto"/>
        <w:right w:val="none" w:sz="0" w:space="0" w:color="auto"/>
      </w:divBdr>
    </w:div>
    <w:div w:id="977884217">
      <w:bodyDiv w:val="1"/>
      <w:marLeft w:val="0"/>
      <w:marRight w:val="0"/>
      <w:marTop w:val="0"/>
      <w:marBottom w:val="0"/>
      <w:divBdr>
        <w:top w:val="none" w:sz="0" w:space="0" w:color="auto"/>
        <w:left w:val="none" w:sz="0" w:space="0" w:color="auto"/>
        <w:bottom w:val="none" w:sz="0" w:space="0" w:color="auto"/>
        <w:right w:val="none" w:sz="0" w:space="0" w:color="auto"/>
      </w:divBdr>
    </w:div>
    <w:div w:id="1095903203">
      <w:bodyDiv w:val="1"/>
      <w:marLeft w:val="0"/>
      <w:marRight w:val="0"/>
      <w:marTop w:val="0"/>
      <w:marBottom w:val="0"/>
      <w:divBdr>
        <w:top w:val="none" w:sz="0" w:space="0" w:color="auto"/>
        <w:left w:val="none" w:sz="0" w:space="0" w:color="auto"/>
        <w:bottom w:val="none" w:sz="0" w:space="0" w:color="auto"/>
        <w:right w:val="none" w:sz="0" w:space="0" w:color="auto"/>
      </w:divBdr>
    </w:div>
    <w:div w:id="1181973035">
      <w:bodyDiv w:val="1"/>
      <w:marLeft w:val="0"/>
      <w:marRight w:val="0"/>
      <w:marTop w:val="0"/>
      <w:marBottom w:val="0"/>
      <w:divBdr>
        <w:top w:val="none" w:sz="0" w:space="0" w:color="auto"/>
        <w:left w:val="none" w:sz="0" w:space="0" w:color="auto"/>
        <w:bottom w:val="none" w:sz="0" w:space="0" w:color="auto"/>
        <w:right w:val="none" w:sz="0" w:space="0" w:color="auto"/>
      </w:divBdr>
    </w:div>
    <w:div w:id="1255625314">
      <w:bodyDiv w:val="1"/>
      <w:marLeft w:val="0"/>
      <w:marRight w:val="0"/>
      <w:marTop w:val="0"/>
      <w:marBottom w:val="0"/>
      <w:divBdr>
        <w:top w:val="none" w:sz="0" w:space="0" w:color="auto"/>
        <w:left w:val="none" w:sz="0" w:space="0" w:color="auto"/>
        <w:bottom w:val="none" w:sz="0" w:space="0" w:color="auto"/>
        <w:right w:val="none" w:sz="0" w:space="0" w:color="auto"/>
      </w:divBdr>
    </w:div>
    <w:div w:id="1280604908">
      <w:bodyDiv w:val="1"/>
      <w:marLeft w:val="0"/>
      <w:marRight w:val="0"/>
      <w:marTop w:val="0"/>
      <w:marBottom w:val="0"/>
      <w:divBdr>
        <w:top w:val="none" w:sz="0" w:space="0" w:color="auto"/>
        <w:left w:val="none" w:sz="0" w:space="0" w:color="auto"/>
        <w:bottom w:val="none" w:sz="0" w:space="0" w:color="auto"/>
        <w:right w:val="none" w:sz="0" w:space="0" w:color="auto"/>
      </w:divBdr>
    </w:div>
    <w:div w:id="1304432001">
      <w:bodyDiv w:val="1"/>
      <w:marLeft w:val="0"/>
      <w:marRight w:val="0"/>
      <w:marTop w:val="0"/>
      <w:marBottom w:val="0"/>
      <w:divBdr>
        <w:top w:val="none" w:sz="0" w:space="0" w:color="auto"/>
        <w:left w:val="none" w:sz="0" w:space="0" w:color="auto"/>
        <w:bottom w:val="none" w:sz="0" w:space="0" w:color="auto"/>
        <w:right w:val="none" w:sz="0" w:space="0" w:color="auto"/>
      </w:divBdr>
    </w:div>
    <w:div w:id="1378313697">
      <w:bodyDiv w:val="1"/>
      <w:marLeft w:val="0"/>
      <w:marRight w:val="0"/>
      <w:marTop w:val="0"/>
      <w:marBottom w:val="0"/>
      <w:divBdr>
        <w:top w:val="none" w:sz="0" w:space="0" w:color="auto"/>
        <w:left w:val="none" w:sz="0" w:space="0" w:color="auto"/>
        <w:bottom w:val="none" w:sz="0" w:space="0" w:color="auto"/>
        <w:right w:val="none" w:sz="0" w:space="0" w:color="auto"/>
      </w:divBdr>
    </w:div>
    <w:div w:id="1458917145">
      <w:bodyDiv w:val="1"/>
      <w:marLeft w:val="0"/>
      <w:marRight w:val="0"/>
      <w:marTop w:val="0"/>
      <w:marBottom w:val="0"/>
      <w:divBdr>
        <w:top w:val="none" w:sz="0" w:space="0" w:color="auto"/>
        <w:left w:val="none" w:sz="0" w:space="0" w:color="auto"/>
        <w:bottom w:val="none" w:sz="0" w:space="0" w:color="auto"/>
        <w:right w:val="none" w:sz="0" w:space="0" w:color="auto"/>
      </w:divBdr>
    </w:div>
    <w:div w:id="1468429427">
      <w:bodyDiv w:val="1"/>
      <w:marLeft w:val="0"/>
      <w:marRight w:val="0"/>
      <w:marTop w:val="0"/>
      <w:marBottom w:val="0"/>
      <w:divBdr>
        <w:top w:val="none" w:sz="0" w:space="0" w:color="auto"/>
        <w:left w:val="none" w:sz="0" w:space="0" w:color="auto"/>
        <w:bottom w:val="none" w:sz="0" w:space="0" w:color="auto"/>
        <w:right w:val="none" w:sz="0" w:space="0" w:color="auto"/>
      </w:divBdr>
    </w:div>
    <w:div w:id="1483960240">
      <w:bodyDiv w:val="1"/>
      <w:marLeft w:val="0"/>
      <w:marRight w:val="0"/>
      <w:marTop w:val="0"/>
      <w:marBottom w:val="0"/>
      <w:divBdr>
        <w:top w:val="none" w:sz="0" w:space="0" w:color="auto"/>
        <w:left w:val="none" w:sz="0" w:space="0" w:color="auto"/>
        <w:bottom w:val="none" w:sz="0" w:space="0" w:color="auto"/>
        <w:right w:val="none" w:sz="0" w:space="0" w:color="auto"/>
      </w:divBdr>
    </w:div>
    <w:div w:id="1499737414">
      <w:bodyDiv w:val="1"/>
      <w:marLeft w:val="0"/>
      <w:marRight w:val="0"/>
      <w:marTop w:val="0"/>
      <w:marBottom w:val="0"/>
      <w:divBdr>
        <w:top w:val="none" w:sz="0" w:space="0" w:color="auto"/>
        <w:left w:val="none" w:sz="0" w:space="0" w:color="auto"/>
        <w:bottom w:val="none" w:sz="0" w:space="0" w:color="auto"/>
        <w:right w:val="none" w:sz="0" w:space="0" w:color="auto"/>
      </w:divBdr>
    </w:div>
    <w:div w:id="1665470560">
      <w:bodyDiv w:val="1"/>
      <w:marLeft w:val="0"/>
      <w:marRight w:val="0"/>
      <w:marTop w:val="0"/>
      <w:marBottom w:val="0"/>
      <w:divBdr>
        <w:top w:val="none" w:sz="0" w:space="0" w:color="auto"/>
        <w:left w:val="none" w:sz="0" w:space="0" w:color="auto"/>
        <w:bottom w:val="none" w:sz="0" w:space="0" w:color="auto"/>
        <w:right w:val="none" w:sz="0" w:space="0" w:color="auto"/>
      </w:divBdr>
    </w:div>
    <w:div w:id="1666932795">
      <w:bodyDiv w:val="1"/>
      <w:marLeft w:val="0"/>
      <w:marRight w:val="0"/>
      <w:marTop w:val="0"/>
      <w:marBottom w:val="0"/>
      <w:divBdr>
        <w:top w:val="none" w:sz="0" w:space="0" w:color="auto"/>
        <w:left w:val="none" w:sz="0" w:space="0" w:color="auto"/>
        <w:bottom w:val="none" w:sz="0" w:space="0" w:color="auto"/>
        <w:right w:val="none" w:sz="0" w:space="0" w:color="auto"/>
      </w:divBdr>
    </w:div>
    <w:div w:id="1674989885">
      <w:bodyDiv w:val="1"/>
      <w:marLeft w:val="0"/>
      <w:marRight w:val="0"/>
      <w:marTop w:val="0"/>
      <w:marBottom w:val="0"/>
      <w:divBdr>
        <w:top w:val="none" w:sz="0" w:space="0" w:color="auto"/>
        <w:left w:val="none" w:sz="0" w:space="0" w:color="auto"/>
        <w:bottom w:val="none" w:sz="0" w:space="0" w:color="auto"/>
        <w:right w:val="none" w:sz="0" w:space="0" w:color="auto"/>
      </w:divBdr>
    </w:div>
    <w:div w:id="1871065427">
      <w:bodyDiv w:val="1"/>
      <w:marLeft w:val="0"/>
      <w:marRight w:val="0"/>
      <w:marTop w:val="0"/>
      <w:marBottom w:val="0"/>
      <w:divBdr>
        <w:top w:val="none" w:sz="0" w:space="0" w:color="auto"/>
        <w:left w:val="none" w:sz="0" w:space="0" w:color="auto"/>
        <w:bottom w:val="none" w:sz="0" w:space="0" w:color="auto"/>
        <w:right w:val="none" w:sz="0" w:space="0" w:color="auto"/>
      </w:divBdr>
    </w:div>
    <w:div w:id="1918443565">
      <w:bodyDiv w:val="1"/>
      <w:marLeft w:val="0"/>
      <w:marRight w:val="0"/>
      <w:marTop w:val="0"/>
      <w:marBottom w:val="0"/>
      <w:divBdr>
        <w:top w:val="none" w:sz="0" w:space="0" w:color="auto"/>
        <w:left w:val="none" w:sz="0" w:space="0" w:color="auto"/>
        <w:bottom w:val="none" w:sz="0" w:space="0" w:color="auto"/>
        <w:right w:val="none" w:sz="0" w:space="0" w:color="auto"/>
      </w:divBdr>
    </w:div>
    <w:div w:id="1937592380">
      <w:bodyDiv w:val="1"/>
      <w:marLeft w:val="0"/>
      <w:marRight w:val="0"/>
      <w:marTop w:val="0"/>
      <w:marBottom w:val="0"/>
      <w:divBdr>
        <w:top w:val="none" w:sz="0" w:space="0" w:color="auto"/>
        <w:left w:val="none" w:sz="0" w:space="0" w:color="auto"/>
        <w:bottom w:val="none" w:sz="0" w:space="0" w:color="auto"/>
        <w:right w:val="none" w:sz="0" w:space="0" w:color="auto"/>
      </w:divBdr>
    </w:div>
    <w:div w:id="1969578831">
      <w:bodyDiv w:val="1"/>
      <w:marLeft w:val="0"/>
      <w:marRight w:val="0"/>
      <w:marTop w:val="0"/>
      <w:marBottom w:val="0"/>
      <w:divBdr>
        <w:top w:val="none" w:sz="0" w:space="0" w:color="auto"/>
        <w:left w:val="none" w:sz="0" w:space="0" w:color="auto"/>
        <w:bottom w:val="none" w:sz="0" w:space="0" w:color="auto"/>
        <w:right w:val="none" w:sz="0" w:space="0" w:color="auto"/>
      </w:divBdr>
    </w:div>
    <w:div w:id="1997681828">
      <w:bodyDiv w:val="1"/>
      <w:marLeft w:val="0"/>
      <w:marRight w:val="0"/>
      <w:marTop w:val="0"/>
      <w:marBottom w:val="0"/>
      <w:divBdr>
        <w:top w:val="none" w:sz="0" w:space="0" w:color="auto"/>
        <w:left w:val="none" w:sz="0" w:space="0" w:color="auto"/>
        <w:bottom w:val="none" w:sz="0" w:space="0" w:color="auto"/>
        <w:right w:val="none" w:sz="0" w:space="0" w:color="auto"/>
      </w:divBdr>
    </w:div>
    <w:div w:id="2074690861">
      <w:bodyDiv w:val="1"/>
      <w:marLeft w:val="0"/>
      <w:marRight w:val="0"/>
      <w:marTop w:val="0"/>
      <w:marBottom w:val="0"/>
      <w:divBdr>
        <w:top w:val="none" w:sz="0" w:space="0" w:color="auto"/>
        <w:left w:val="none" w:sz="0" w:space="0" w:color="auto"/>
        <w:bottom w:val="none" w:sz="0" w:space="0" w:color="auto"/>
        <w:right w:val="none" w:sz="0" w:space="0" w:color="auto"/>
      </w:divBdr>
    </w:div>
    <w:div w:id="2087724705">
      <w:bodyDiv w:val="1"/>
      <w:marLeft w:val="0"/>
      <w:marRight w:val="0"/>
      <w:marTop w:val="0"/>
      <w:marBottom w:val="0"/>
      <w:divBdr>
        <w:top w:val="none" w:sz="0" w:space="0" w:color="auto"/>
        <w:left w:val="none" w:sz="0" w:space="0" w:color="auto"/>
        <w:bottom w:val="none" w:sz="0" w:space="0" w:color="auto"/>
        <w:right w:val="none" w:sz="0" w:space="0" w:color="auto"/>
      </w:divBdr>
    </w:div>
    <w:div w:id="2087728303">
      <w:bodyDiv w:val="1"/>
      <w:marLeft w:val="0"/>
      <w:marRight w:val="0"/>
      <w:marTop w:val="0"/>
      <w:marBottom w:val="0"/>
      <w:divBdr>
        <w:top w:val="none" w:sz="0" w:space="0" w:color="auto"/>
        <w:left w:val="none" w:sz="0" w:space="0" w:color="auto"/>
        <w:bottom w:val="none" w:sz="0" w:space="0" w:color="auto"/>
        <w:right w:val="none" w:sz="0" w:space="0" w:color="auto"/>
      </w:divBdr>
    </w:div>
    <w:div w:id="21206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otero.org/google-docs/?50CNHj" TargetMode="External"/><Relationship Id="rId117" Type="http://schemas.openxmlformats.org/officeDocument/2006/relationships/hyperlink" Target="https://doi.org/10.5194/essd-8-697-2016" TargetMode="External"/><Relationship Id="rId21" Type="http://schemas.openxmlformats.org/officeDocument/2006/relationships/hyperlink" Target="https://www.zotero.org/google-docs/?9D7FFZ" TargetMode="External"/><Relationship Id="rId42" Type="http://schemas.openxmlformats.org/officeDocument/2006/relationships/hyperlink" Target="https://www.zotero.org/google-docs/?TcxdoI" TargetMode="External"/><Relationship Id="rId47" Type="http://schemas.openxmlformats.org/officeDocument/2006/relationships/hyperlink" Target="https://www.zotero.org/google-docs/?JqutAT" TargetMode="External"/><Relationship Id="rId63" Type="http://schemas.openxmlformats.org/officeDocument/2006/relationships/hyperlink" Target="https://www.zotero.org/google-docs/?2gPD4m" TargetMode="External"/><Relationship Id="rId68" Type="http://schemas.openxmlformats.org/officeDocument/2006/relationships/hyperlink" Target="https://www.zotero.org/google-docs/?0vAiSa" TargetMode="External"/><Relationship Id="rId84" Type="http://schemas.openxmlformats.org/officeDocument/2006/relationships/hyperlink" Target="https://www.zotero.org/google-docs/?rEtiwI" TargetMode="External"/><Relationship Id="rId89" Type="http://schemas.openxmlformats.org/officeDocument/2006/relationships/hyperlink" Target="https://www.zotero.org/google-docs/?dV8tWc" TargetMode="External"/><Relationship Id="rId112" Type="http://schemas.openxmlformats.org/officeDocument/2006/relationships/hyperlink" Target="https://doi.org/10.1371/journal.pone.0043542" TargetMode="External"/><Relationship Id="rId16" Type="http://schemas.openxmlformats.org/officeDocument/2006/relationships/hyperlink" Target="https://www.zotero.org/google-docs/?hQt7GR" TargetMode="External"/><Relationship Id="rId107" Type="http://schemas.openxmlformats.org/officeDocument/2006/relationships/hyperlink" Target="https://doi.org/10.1073/pnas.1811591115" TargetMode="External"/><Relationship Id="rId11" Type="http://schemas.openxmlformats.org/officeDocument/2006/relationships/hyperlink" Target="https://www.zotero.org/google-docs/?ZUAPyG" TargetMode="External"/><Relationship Id="rId32" Type="http://schemas.openxmlformats.org/officeDocument/2006/relationships/hyperlink" Target="https://www.zotero.org/google-docs/?f8NSbH" TargetMode="External"/><Relationship Id="rId37" Type="http://schemas.openxmlformats.org/officeDocument/2006/relationships/hyperlink" Target="https://www.zotero.org/google-docs/?mlwA96" TargetMode="External"/><Relationship Id="rId53" Type="http://schemas.openxmlformats.org/officeDocument/2006/relationships/hyperlink" Target="https://www.zotero.org/google-docs/?pFffra" TargetMode="External"/><Relationship Id="rId58" Type="http://schemas.openxmlformats.org/officeDocument/2006/relationships/hyperlink" Target="https://www.zotero.org/google-docs/?Tqi7r7" TargetMode="External"/><Relationship Id="rId74" Type="http://schemas.openxmlformats.org/officeDocument/2006/relationships/hyperlink" Target="https://www.zotero.org/google-docs/?wRWND1" TargetMode="External"/><Relationship Id="rId79" Type="http://schemas.openxmlformats.org/officeDocument/2006/relationships/hyperlink" Target="https://www.zotero.org/google-docs/?YXZKE0" TargetMode="External"/><Relationship Id="rId102" Type="http://schemas.openxmlformats.org/officeDocument/2006/relationships/hyperlink" Target="https://doi.org/10.1111/faf.12328" TargetMode="External"/><Relationship Id="rId123" Type="http://schemas.openxmlformats.org/officeDocument/2006/relationships/hyperlink" Target="https://doi.org/10.1016/j.scitotenv.2021.146858" TargetMode="External"/><Relationship Id="rId128" Type="http://schemas.openxmlformats.org/officeDocument/2006/relationships/hyperlink" Target="https://doi.org/10.1073/pnas.1707962114" TargetMode="External"/><Relationship Id="rId5" Type="http://schemas.openxmlformats.org/officeDocument/2006/relationships/webSettings" Target="webSettings.xml"/><Relationship Id="rId90" Type="http://schemas.openxmlformats.org/officeDocument/2006/relationships/hyperlink" Target="https://www.zotero.org/google-docs/?R8eVYf" TargetMode="External"/><Relationship Id="rId95" Type="http://schemas.openxmlformats.org/officeDocument/2006/relationships/hyperlink" Target="https://www.zotero.org/google-docs/?76UQhl" TargetMode="External"/><Relationship Id="rId19" Type="http://schemas.openxmlformats.org/officeDocument/2006/relationships/hyperlink" Target="https://www.zotero.org/google-docs/?K8AwVu" TargetMode="External"/><Relationship Id="rId14" Type="http://schemas.openxmlformats.org/officeDocument/2006/relationships/hyperlink" Target="https://www.zotero.org/google-docs/?UpX79M" TargetMode="External"/><Relationship Id="rId22" Type="http://schemas.openxmlformats.org/officeDocument/2006/relationships/hyperlink" Target="https://www.zotero.org/google-docs/?wLRg0o" TargetMode="External"/><Relationship Id="rId27" Type="http://schemas.openxmlformats.org/officeDocument/2006/relationships/hyperlink" Target="https://www.zotero.org/google-docs/?0qNm1X" TargetMode="External"/><Relationship Id="rId30" Type="http://schemas.openxmlformats.org/officeDocument/2006/relationships/hyperlink" Target="https://www.zotero.org/google-docs/?KTyokx" TargetMode="External"/><Relationship Id="rId35" Type="http://schemas.openxmlformats.org/officeDocument/2006/relationships/hyperlink" Target="https://www.zotero.org/google-docs/?sWeWYb" TargetMode="External"/><Relationship Id="rId43" Type="http://schemas.openxmlformats.org/officeDocument/2006/relationships/hyperlink" Target="https://www.zotero.org/google-docs/?0i8Xss" TargetMode="External"/><Relationship Id="rId48" Type="http://schemas.openxmlformats.org/officeDocument/2006/relationships/hyperlink" Target="https://www.zotero.org/google-docs/?rfRjfF" TargetMode="External"/><Relationship Id="rId56" Type="http://schemas.openxmlformats.org/officeDocument/2006/relationships/hyperlink" Target="https://www.zotero.org/google-docs/?6MEBcT" TargetMode="External"/><Relationship Id="rId64" Type="http://schemas.openxmlformats.org/officeDocument/2006/relationships/hyperlink" Target="https://www.zotero.org/google-docs/?yAEWRs" TargetMode="External"/><Relationship Id="rId69" Type="http://schemas.openxmlformats.org/officeDocument/2006/relationships/hyperlink" Target="https://www.zotero.org/google-docs/?wRktyO" TargetMode="External"/><Relationship Id="rId77" Type="http://schemas.openxmlformats.org/officeDocument/2006/relationships/hyperlink" Target="https://www.zotero.org/google-docs/?I3lQv6" TargetMode="External"/><Relationship Id="rId100" Type="http://schemas.openxmlformats.org/officeDocument/2006/relationships/hyperlink" Target="https://doi.org/10.1111/gcb.14872" TargetMode="External"/><Relationship Id="rId105" Type="http://schemas.openxmlformats.org/officeDocument/2006/relationships/hyperlink" Target="https://doi.org/10.5194/bg-7-1505-2010" TargetMode="External"/><Relationship Id="rId113" Type="http://schemas.openxmlformats.org/officeDocument/2006/relationships/hyperlink" Target="https://dx.doi.org/10.3390/su13010127" TargetMode="External"/><Relationship Id="rId118" Type="http://schemas.openxmlformats.org/officeDocument/2006/relationships/hyperlink" Target="https://doi.org/10.4322/978-65-86819-02-1" TargetMode="External"/><Relationship Id="rId126" Type="http://schemas.openxmlformats.org/officeDocument/2006/relationships/hyperlink" Target="https://data.europa.eu/doi/10.2760/772445" TargetMode="External"/><Relationship Id="rId8" Type="http://schemas.openxmlformats.org/officeDocument/2006/relationships/hyperlink" Target="https://www.zotero.org/google-docs/?P2wOOD" TargetMode="External"/><Relationship Id="rId51" Type="http://schemas.openxmlformats.org/officeDocument/2006/relationships/hyperlink" Target="https://www.zotero.org/google-docs/?Yf9xwa" TargetMode="External"/><Relationship Id="rId72" Type="http://schemas.openxmlformats.org/officeDocument/2006/relationships/hyperlink" Target="https://www.zotero.org/google-docs/?z9lTA7" TargetMode="External"/><Relationship Id="rId80" Type="http://schemas.openxmlformats.org/officeDocument/2006/relationships/hyperlink" Target="https://www.zotero.org/google-docs/?axy49N" TargetMode="External"/><Relationship Id="rId85" Type="http://schemas.openxmlformats.org/officeDocument/2006/relationships/hyperlink" Target="https://www.zotero.org/google-docs/?aiAlSa" TargetMode="External"/><Relationship Id="rId93" Type="http://schemas.openxmlformats.org/officeDocument/2006/relationships/hyperlink" Target="https://www.zotero.org/google-docs/?32tJI3" TargetMode="External"/><Relationship Id="rId98" Type="http://schemas.openxmlformats.org/officeDocument/2006/relationships/hyperlink" Target="https://doi.org/10.1111/ele.13576" TargetMode="External"/><Relationship Id="rId121" Type="http://schemas.openxmlformats.org/officeDocument/2006/relationships/hyperlink" Target="https://doi.org/10.1111/gcb.14878" TargetMode="External"/><Relationship Id="rId3" Type="http://schemas.openxmlformats.org/officeDocument/2006/relationships/styles" Target="styles.xml"/><Relationship Id="rId12" Type="http://schemas.openxmlformats.org/officeDocument/2006/relationships/hyperlink" Target="https://www.zotero.org/google-docs/?lmjZYg" TargetMode="External"/><Relationship Id="rId17" Type="http://schemas.openxmlformats.org/officeDocument/2006/relationships/hyperlink" Target="https://www.zotero.org/google-docs/?krUwMq" TargetMode="External"/><Relationship Id="rId25" Type="http://schemas.openxmlformats.org/officeDocument/2006/relationships/hyperlink" Target="https://www.zotero.org/google-docs/?1DouVu" TargetMode="External"/><Relationship Id="rId33" Type="http://schemas.openxmlformats.org/officeDocument/2006/relationships/hyperlink" Target="https://www.zotero.org/google-docs/?mbWfaR" TargetMode="External"/><Relationship Id="rId38" Type="http://schemas.openxmlformats.org/officeDocument/2006/relationships/hyperlink" Target="https://www.zotero.org/google-docs/?CykDmE" TargetMode="External"/><Relationship Id="rId46" Type="http://schemas.openxmlformats.org/officeDocument/2006/relationships/hyperlink" Target="https://www.zotero.org/google-docs/?DlKBlg" TargetMode="External"/><Relationship Id="rId59" Type="http://schemas.openxmlformats.org/officeDocument/2006/relationships/hyperlink" Target="https://www.zotero.org/google-docs/?auhFnk" TargetMode="External"/><Relationship Id="rId67" Type="http://schemas.openxmlformats.org/officeDocument/2006/relationships/hyperlink" Target="https://www.zotero.org/google-docs/?F6nbfr" TargetMode="External"/><Relationship Id="rId103" Type="http://schemas.openxmlformats.org/officeDocument/2006/relationships/hyperlink" Target="https://doi.org/10.1016/j.rsma.2019.100699" TargetMode="External"/><Relationship Id="rId108" Type="http://schemas.openxmlformats.org/officeDocument/2006/relationships/hyperlink" Target="https://doi.org/10.1111/j.1365-2028.2012.01323.x" TargetMode="External"/><Relationship Id="rId116" Type="http://schemas.openxmlformats.org/officeDocument/2006/relationships/hyperlink" Target="https://doi.org/10.1016/j.agee.2020.106927" TargetMode="External"/><Relationship Id="rId124" Type="http://schemas.openxmlformats.org/officeDocument/2006/relationships/hyperlink" Target="https://doi.org/10.1016/j.landusepol.2016.12.001" TargetMode="External"/><Relationship Id="rId129" Type="http://schemas.openxmlformats.org/officeDocument/2006/relationships/fontTable" Target="fontTable.xml"/><Relationship Id="rId20" Type="http://schemas.openxmlformats.org/officeDocument/2006/relationships/hyperlink" Target="https://www.zotero.org/google-docs/?NhW6fS" TargetMode="External"/><Relationship Id="rId41" Type="http://schemas.openxmlformats.org/officeDocument/2006/relationships/hyperlink" Target="https://www.zotero.org/google-docs/?PANJTH" TargetMode="External"/><Relationship Id="rId54" Type="http://schemas.openxmlformats.org/officeDocument/2006/relationships/hyperlink" Target="https://www.zotero.org/google-docs/?s6F6bh" TargetMode="External"/><Relationship Id="rId62" Type="http://schemas.openxmlformats.org/officeDocument/2006/relationships/hyperlink" Target="https://www.zotero.org/google-docs/?vM3msz" TargetMode="External"/><Relationship Id="rId70" Type="http://schemas.openxmlformats.org/officeDocument/2006/relationships/hyperlink" Target="https://www.zotero.org/google-docs/?iOI3ur" TargetMode="External"/><Relationship Id="rId75" Type="http://schemas.openxmlformats.org/officeDocument/2006/relationships/hyperlink" Target="https://www.zotero.org/google-docs/?zRAR9V" TargetMode="External"/><Relationship Id="rId83" Type="http://schemas.openxmlformats.org/officeDocument/2006/relationships/hyperlink" Target="https://www.zotero.org/google-docs/?PbxAgs" TargetMode="External"/><Relationship Id="rId88" Type="http://schemas.openxmlformats.org/officeDocument/2006/relationships/hyperlink" Target="https://www.zotero.org/google-docs/?gVK9wC" TargetMode="External"/><Relationship Id="rId91" Type="http://schemas.openxmlformats.org/officeDocument/2006/relationships/hyperlink" Target="https://www.zotero.org/google-docs/?yLrmk9" TargetMode="External"/><Relationship Id="rId96" Type="http://schemas.openxmlformats.org/officeDocument/2006/relationships/hyperlink" Target="https://www.zotero.org/google-docs/?lf0SaN" TargetMode="External"/><Relationship Id="rId111" Type="http://schemas.openxmlformats.org/officeDocument/2006/relationships/hyperlink" Target="https://doi.org/10.1007/s10584-011-0309-0" TargetMode="External"/><Relationship Id="rId1" Type="http://schemas.openxmlformats.org/officeDocument/2006/relationships/customXml" Target="../customXml/item1.xml"/><Relationship Id="rId6" Type="http://schemas.openxmlformats.org/officeDocument/2006/relationships/hyperlink" Target="https://www.zotero.org/google-docs/?GFgBQU" TargetMode="External"/><Relationship Id="rId15" Type="http://schemas.openxmlformats.org/officeDocument/2006/relationships/hyperlink" Target="https://www.zotero.org/google-docs/?TivcPG" TargetMode="External"/><Relationship Id="rId23" Type="http://schemas.openxmlformats.org/officeDocument/2006/relationships/hyperlink" Target="https://www.zotero.org/google-docs/?UXyCom" TargetMode="External"/><Relationship Id="rId28" Type="http://schemas.openxmlformats.org/officeDocument/2006/relationships/hyperlink" Target="https://www.zotero.org/google-docs/?naJjAt" TargetMode="External"/><Relationship Id="rId36" Type="http://schemas.openxmlformats.org/officeDocument/2006/relationships/hyperlink" Target="https://www.zotero.org/google-docs/?lq6feT" TargetMode="External"/><Relationship Id="rId49" Type="http://schemas.openxmlformats.org/officeDocument/2006/relationships/hyperlink" Target="https://www.zotero.org/google-docs/?Cm42lf" TargetMode="External"/><Relationship Id="rId57" Type="http://schemas.openxmlformats.org/officeDocument/2006/relationships/hyperlink" Target="https://www.zotero.org/google-docs/?PYGf1B" TargetMode="External"/><Relationship Id="rId106" Type="http://schemas.openxmlformats.org/officeDocument/2006/relationships/hyperlink" Target="https://doi.org/10.1038/nature11118" TargetMode="External"/><Relationship Id="rId114" Type="http://schemas.openxmlformats.org/officeDocument/2006/relationships/hyperlink" Target="https://doi.org/10.3389/fevo.2015.00137" TargetMode="External"/><Relationship Id="rId119" Type="http://schemas.openxmlformats.org/officeDocument/2006/relationships/hyperlink" Target="https://home.fao.org/,DanaInfo=dx.doi.org,SSL+10.1038%2Fs41467-020-14541-4" TargetMode="External"/><Relationship Id="rId127" Type="http://schemas.openxmlformats.org/officeDocument/2006/relationships/hyperlink" Target="https://doi.org/10.3389/ffgc.2019.00052" TargetMode="External"/><Relationship Id="rId10" Type="http://schemas.openxmlformats.org/officeDocument/2006/relationships/hyperlink" Target="https://www.zotero.org/google-docs/?sL1iFd" TargetMode="External"/><Relationship Id="rId31" Type="http://schemas.openxmlformats.org/officeDocument/2006/relationships/hyperlink" Target="https://www.zotero.org/google-docs/?rowIwb" TargetMode="External"/><Relationship Id="rId44" Type="http://schemas.openxmlformats.org/officeDocument/2006/relationships/hyperlink" Target="https://www.zotero.org/google-docs/?nobbvz" TargetMode="External"/><Relationship Id="rId52" Type="http://schemas.openxmlformats.org/officeDocument/2006/relationships/hyperlink" Target="https://www.zotero.org/google-docs/?bClKOk" TargetMode="External"/><Relationship Id="rId60" Type="http://schemas.openxmlformats.org/officeDocument/2006/relationships/hyperlink" Target="https://www.zotero.org/google-docs/?ampTDB" TargetMode="External"/><Relationship Id="rId65" Type="http://schemas.openxmlformats.org/officeDocument/2006/relationships/hyperlink" Target="https://www.zotero.org/google-docs/?qBo74S" TargetMode="External"/><Relationship Id="rId73" Type="http://schemas.openxmlformats.org/officeDocument/2006/relationships/hyperlink" Target="https://www.zotero.org/google-docs/?m7gbwj" TargetMode="External"/><Relationship Id="rId78" Type="http://schemas.openxmlformats.org/officeDocument/2006/relationships/hyperlink" Target="https://www.zotero.org/google-docs/?mlAvmx" TargetMode="External"/><Relationship Id="rId81" Type="http://schemas.openxmlformats.org/officeDocument/2006/relationships/hyperlink" Target="https://www.zotero.org/google-docs/?Z55tiX" TargetMode="External"/><Relationship Id="rId86" Type="http://schemas.openxmlformats.org/officeDocument/2006/relationships/hyperlink" Target="https://www.zotero.org/google-docs/?AmUgLy" TargetMode="External"/><Relationship Id="rId94" Type="http://schemas.openxmlformats.org/officeDocument/2006/relationships/hyperlink" Target="https://www.zotero.org/google-docs/?ENjriZ" TargetMode="External"/><Relationship Id="rId99" Type="http://schemas.openxmlformats.org/officeDocument/2006/relationships/hyperlink" Target="https://doi.org/10.3390/rs11232833" TargetMode="External"/><Relationship Id="rId101" Type="http://schemas.openxmlformats.org/officeDocument/2006/relationships/hyperlink" Target="https://doi.org/10.1111/1365-2664.13226" TargetMode="External"/><Relationship Id="rId122" Type="http://schemas.openxmlformats.org/officeDocument/2006/relationships/hyperlink" Target="https://doi.org/10.1016/j.gloplacha.2015.12.018"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otero.org/google-docs/?w7jqaT" TargetMode="External"/><Relationship Id="rId13" Type="http://schemas.openxmlformats.org/officeDocument/2006/relationships/hyperlink" Target="https://www.zotero.org/google-docs/?fMKdWO" TargetMode="External"/><Relationship Id="rId18" Type="http://schemas.openxmlformats.org/officeDocument/2006/relationships/hyperlink" Target="https://www.zotero.org/google-docs/?tgfaXq" TargetMode="External"/><Relationship Id="rId39" Type="http://schemas.openxmlformats.org/officeDocument/2006/relationships/hyperlink" Target="https://www.zotero.org/google-docs/?itUrLg" TargetMode="External"/><Relationship Id="rId109" Type="http://schemas.openxmlformats.org/officeDocument/2006/relationships/hyperlink" Target="https://doi.org/10.1016/j.jaridenv.2012.06.012" TargetMode="External"/><Relationship Id="rId34" Type="http://schemas.openxmlformats.org/officeDocument/2006/relationships/hyperlink" Target="https://www.zotero.org/google-docs/?ha0xq8" TargetMode="External"/><Relationship Id="rId50" Type="http://schemas.openxmlformats.org/officeDocument/2006/relationships/hyperlink" Target="https://www.zotero.org/google-docs/?tqv0yd" TargetMode="External"/><Relationship Id="rId55" Type="http://schemas.openxmlformats.org/officeDocument/2006/relationships/hyperlink" Target="https://www.zotero.org/google-docs/?fbMZfQ" TargetMode="External"/><Relationship Id="rId76" Type="http://schemas.openxmlformats.org/officeDocument/2006/relationships/hyperlink" Target="https://www.zotero.org/google-docs/?neTeOi" TargetMode="External"/><Relationship Id="rId97" Type="http://schemas.openxmlformats.org/officeDocument/2006/relationships/hyperlink" Target="https://www.zotero.org/google-docs/?Tk7Pd2" TargetMode="External"/><Relationship Id="rId104" Type="http://schemas.openxmlformats.org/officeDocument/2006/relationships/hyperlink" Target="https://doi.org/10.1371/journal.pone.0019795" TargetMode="External"/><Relationship Id="rId120" Type="http://schemas.openxmlformats.org/officeDocument/2006/relationships/hyperlink" Target="https://doi.org/10.1111/1365-2664.12738" TargetMode="External"/><Relationship Id="rId125" Type="http://schemas.openxmlformats.org/officeDocument/2006/relationships/hyperlink" Target="https://doi.org/10.1016/B978-0-08-102698-4.00004-6" TargetMode="External"/><Relationship Id="rId7" Type="http://schemas.openxmlformats.org/officeDocument/2006/relationships/hyperlink" Target="https://www.zotero.org/google-docs/?26dQO9" TargetMode="External"/><Relationship Id="rId71" Type="http://schemas.openxmlformats.org/officeDocument/2006/relationships/hyperlink" Target="https://www.zotero.org/google-docs/?mG8bH2" TargetMode="External"/><Relationship Id="rId92" Type="http://schemas.openxmlformats.org/officeDocument/2006/relationships/hyperlink" Target="https://www.zotero.org/google-docs/?SagmgG" TargetMode="External"/><Relationship Id="rId2" Type="http://schemas.openxmlformats.org/officeDocument/2006/relationships/numbering" Target="numbering.xml"/><Relationship Id="rId29" Type="http://schemas.openxmlformats.org/officeDocument/2006/relationships/hyperlink" Target="https://www.zotero.org/google-docs/?fQCkGR" TargetMode="External"/><Relationship Id="rId24" Type="http://schemas.openxmlformats.org/officeDocument/2006/relationships/hyperlink" Target="https://www.zotero.org/google-docs/?nYgtLe" TargetMode="External"/><Relationship Id="rId40" Type="http://schemas.openxmlformats.org/officeDocument/2006/relationships/hyperlink" Target="https://www.zotero.org/google-docs/?xmXqJz" TargetMode="External"/><Relationship Id="rId45" Type="http://schemas.openxmlformats.org/officeDocument/2006/relationships/hyperlink" Target="https://www.zotero.org/google-docs/?AbAu5s" TargetMode="External"/><Relationship Id="rId66" Type="http://schemas.openxmlformats.org/officeDocument/2006/relationships/hyperlink" Target="https://www.zotero.org/google-docs/?7nfCZk" TargetMode="External"/><Relationship Id="rId87" Type="http://schemas.openxmlformats.org/officeDocument/2006/relationships/hyperlink" Target="https://www.zotero.org/google-docs/?YAuCKT" TargetMode="External"/><Relationship Id="rId110" Type="http://schemas.openxmlformats.org/officeDocument/2006/relationships/hyperlink" Target="http://dx.doi.org/10.1098/rsbl.2018.0781" TargetMode="External"/><Relationship Id="rId115" Type="http://schemas.openxmlformats.org/officeDocument/2006/relationships/hyperlink" Target="https://doi.org/10.1016/j.jclepro.2020.120424" TargetMode="External"/><Relationship Id="rId61" Type="http://schemas.openxmlformats.org/officeDocument/2006/relationships/hyperlink" Target="https://www.zotero.org/google-docs/?OI2e58" TargetMode="External"/><Relationship Id="rId82" Type="http://schemas.openxmlformats.org/officeDocument/2006/relationships/hyperlink" Target="https://www.zotero.org/google-docs/?67ZlQ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44BC-CA04-4499-A26F-C7F69111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16508</Words>
  <Characters>90794</Characters>
  <Application>Microsoft Office Word</Application>
  <DocSecurity>0</DocSecurity>
  <Lines>756</Lines>
  <Paragraphs>214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Yunne Shin</dc:creator>
  <cp:keywords/>
  <dc:description/>
  <cp:lastModifiedBy>Yunne Shin</cp:lastModifiedBy>
  <cp:revision>4</cp:revision>
  <dcterms:created xsi:type="dcterms:W3CDTF">2022-01-06T15:58:00Z</dcterms:created>
  <dcterms:modified xsi:type="dcterms:W3CDTF">2022-01-06T15:59:00Z</dcterms:modified>
</cp:coreProperties>
</file>