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174ACAF" w14:textId="57AEC65C" w:rsidR="000D2838" w:rsidRDefault="00654E8F" w:rsidP="000D2838">
      <w:pPr>
        <w:pStyle w:val="Titre1"/>
      </w:pPr>
      <w:r w:rsidRPr="00994A3D">
        <w:t xml:space="preserve">Supplementary </w:t>
      </w:r>
      <w:r w:rsidR="005008EC">
        <w:t>Tables</w:t>
      </w:r>
    </w:p>
    <w:p w14:paraId="108C891F" w14:textId="586F8016" w:rsidR="000D2838" w:rsidRDefault="00675740" w:rsidP="000D2838">
      <w:r w:rsidRPr="00675740">
        <w:rPr>
          <w:noProof/>
        </w:rPr>
        <w:drawing>
          <wp:inline distT="0" distB="0" distL="0" distR="0" wp14:anchorId="4891A9BA" wp14:editId="6EC123C7">
            <wp:extent cx="6208395" cy="3524250"/>
            <wp:effectExtent l="0" t="0" r="190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8395" cy="3524250"/>
                    </a:xfrm>
                    <a:prstGeom prst="rect">
                      <a:avLst/>
                    </a:prstGeom>
                  </pic:spPr>
                </pic:pic>
              </a:graphicData>
            </a:graphic>
          </wp:inline>
        </w:drawing>
      </w:r>
    </w:p>
    <w:p w14:paraId="069EF800" w14:textId="11C006EC" w:rsidR="007D2E63" w:rsidRPr="000D2838" w:rsidRDefault="000D2838" w:rsidP="000D2838">
      <w:pPr>
        <w:jc w:val="both"/>
        <w:rPr>
          <w:rFonts w:cs="Times New Roman"/>
          <w:bCs/>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009B444E">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rFonts w:cs="Times New Roman"/>
          <w:b/>
          <w:szCs w:val="24"/>
        </w:rPr>
        <w:t xml:space="preserve"> </w:t>
      </w:r>
      <w:r w:rsidR="007D2E63" w:rsidRPr="007D2E63">
        <w:rPr>
          <w:rFonts w:cs="Times New Roman"/>
          <w:bCs/>
          <w:szCs w:val="24"/>
        </w:rPr>
        <w:t>Temperature</w:t>
      </w:r>
      <w:r w:rsidR="007D2E63">
        <w:rPr>
          <w:rFonts w:cs="Times New Roman"/>
          <w:bCs/>
          <w:szCs w:val="24"/>
        </w:rPr>
        <w:t xml:space="preserve">, salinity, </w:t>
      </w:r>
      <w:r w:rsidR="00675740">
        <w:rPr>
          <w:rFonts w:cs="Times New Roman"/>
          <w:bCs/>
          <w:szCs w:val="24"/>
        </w:rPr>
        <w:t xml:space="preserve">dissolved </w:t>
      </w:r>
      <w:r w:rsidR="007D2E63">
        <w:rPr>
          <w:rFonts w:cs="Times New Roman"/>
          <w:szCs w:val="24"/>
          <w:lang w:val="en-GB"/>
        </w:rPr>
        <w:t>c</w:t>
      </w:r>
      <w:r>
        <w:rPr>
          <w:rFonts w:cs="Times New Roman"/>
          <w:szCs w:val="24"/>
          <w:lang w:val="en-GB"/>
        </w:rPr>
        <w:t>ation</w:t>
      </w:r>
      <w:r w:rsidR="00427269">
        <w:rPr>
          <w:rFonts w:cs="Times New Roman"/>
          <w:szCs w:val="24"/>
          <w:lang w:val="en-GB"/>
        </w:rPr>
        <w:t>s</w:t>
      </w:r>
      <w:r w:rsidR="007D2E63">
        <w:rPr>
          <w:rFonts w:cs="Times New Roman"/>
          <w:szCs w:val="24"/>
          <w:lang w:val="en-GB"/>
        </w:rPr>
        <w:t xml:space="preserve"> </w:t>
      </w:r>
      <w:r w:rsidR="00F23188">
        <w:rPr>
          <w:rFonts w:cs="Times New Roman"/>
          <w:szCs w:val="24"/>
          <w:lang w:val="en-GB"/>
        </w:rPr>
        <w:t>(</w:t>
      </w:r>
      <w:r w:rsidR="00675740">
        <w:rPr>
          <w:rFonts w:cs="Times New Roman"/>
          <w:szCs w:val="24"/>
          <w:lang w:val="en-GB"/>
        </w:rPr>
        <w:t>DCa</w:t>
      </w:r>
      <w:r w:rsidR="00F23188">
        <w:rPr>
          <w:rFonts w:cs="Times New Roman"/>
          <w:szCs w:val="24"/>
          <w:lang w:val="en-GB"/>
        </w:rPr>
        <w:t xml:space="preserve">, </w:t>
      </w:r>
      <w:r w:rsidR="00675740">
        <w:rPr>
          <w:rFonts w:cs="Times New Roman"/>
          <w:szCs w:val="24"/>
          <w:lang w:val="en-GB"/>
        </w:rPr>
        <w:t>D</w:t>
      </w:r>
      <w:r w:rsidR="00F23188">
        <w:rPr>
          <w:rFonts w:cs="Times New Roman"/>
          <w:szCs w:val="24"/>
          <w:lang w:val="en-GB"/>
        </w:rPr>
        <w:t xml:space="preserve">K, </w:t>
      </w:r>
      <w:r w:rsidR="00675740">
        <w:rPr>
          <w:rFonts w:cs="Times New Roman"/>
          <w:szCs w:val="24"/>
          <w:lang w:val="en-GB"/>
        </w:rPr>
        <w:t>D</w:t>
      </w:r>
      <w:r w:rsidR="00F23188">
        <w:rPr>
          <w:rFonts w:cs="Times New Roman"/>
          <w:szCs w:val="24"/>
          <w:lang w:val="en-GB"/>
        </w:rPr>
        <w:t xml:space="preserve">Mg, </w:t>
      </w:r>
      <w:r w:rsidR="00675740">
        <w:rPr>
          <w:rFonts w:cs="Times New Roman"/>
          <w:szCs w:val="24"/>
          <w:lang w:val="en-GB"/>
        </w:rPr>
        <w:t>D</w:t>
      </w:r>
      <w:r w:rsidR="00F23188">
        <w:rPr>
          <w:rFonts w:cs="Times New Roman"/>
          <w:szCs w:val="24"/>
          <w:lang w:val="en-GB"/>
        </w:rPr>
        <w:t xml:space="preserve">Na) </w:t>
      </w:r>
      <w:r>
        <w:rPr>
          <w:rFonts w:cs="Times New Roman"/>
          <w:szCs w:val="24"/>
          <w:lang w:val="en-GB"/>
        </w:rPr>
        <w:t>and</w:t>
      </w:r>
      <w:r w:rsidR="007D2E63">
        <w:rPr>
          <w:rFonts w:cs="Times New Roman"/>
          <w:szCs w:val="24"/>
          <w:lang w:val="en-GB"/>
        </w:rPr>
        <w:t xml:space="preserve"> </w:t>
      </w:r>
      <w:r w:rsidR="00675740">
        <w:rPr>
          <w:rFonts w:cs="Times New Roman"/>
          <w:szCs w:val="24"/>
          <w:lang w:val="en-GB"/>
        </w:rPr>
        <w:t xml:space="preserve">dissolved </w:t>
      </w:r>
      <w:r w:rsidR="007D2E63">
        <w:rPr>
          <w:rFonts w:cs="Times New Roman"/>
          <w:szCs w:val="24"/>
          <w:lang w:val="en-GB"/>
        </w:rPr>
        <w:t>anion</w:t>
      </w:r>
      <w:r w:rsidR="00427269">
        <w:rPr>
          <w:rFonts w:cs="Times New Roman"/>
          <w:szCs w:val="24"/>
          <w:lang w:val="en-GB"/>
        </w:rPr>
        <w:t>s</w:t>
      </w:r>
      <w:r w:rsidR="007D2E63">
        <w:rPr>
          <w:rFonts w:cs="Times New Roman"/>
          <w:szCs w:val="24"/>
          <w:lang w:val="en-GB"/>
        </w:rPr>
        <w:t xml:space="preserve"> </w:t>
      </w:r>
      <w:r w:rsidR="00F23188">
        <w:rPr>
          <w:rFonts w:cs="Times New Roman"/>
          <w:szCs w:val="24"/>
          <w:lang w:val="en-GB"/>
        </w:rPr>
        <w:t>(</w:t>
      </w:r>
      <w:r w:rsidR="00675740">
        <w:rPr>
          <w:rFonts w:cs="Times New Roman"/>
          <w:szCs w:val="24"/>
          <w:lang w:val="en-GB"/>
        </w:rPr>
        <w:t>D</w:t>
      </w:r>
      <w:r w:rsidR="00F23188">
        <w:rPr>
          <w:rFonts w:cs="Times New Roman"/>
          <w:szCs w:val="24"/>
          <w:lang w:val="en-GB"/>
        </w:rPr>
        <w:t xml:space="preserve">Cl, </w:t>
      </w:r>
      <w:r w:rsidR="00675740">
        <w:rPr>
          <w:rFonts w:cs="Times New Roman"/>
          <w:szCs w:val="24"/>
          <w:lang w:val="en-GB"/>
        </w:rPr>
        <w:t>D</w:t>
      </w:r>
      <w:r w:rsidR="00F23188">
        <w:rPr>
          <w:rFonts w:cs="Times New Roman"/>
          <w:szCs w:val="24"/>
          <w:lang w:val="en-GB"/>
        </w:rPr>
        <w:t xml:space="preserve">Br, </w:t>
      </w:r>
      <w:r w:rsidR="00675740">
        <w:rPr>
          <w:rFonts w:cs="Times New Roman"/>
          <w:szCs w:val="24"/>
          <w:lang w:val="en-GB"/>
        </w:rPr>
        <w:t>D</w:t>
      </w:r>
      <w:r w:rsidR="00F23188">
        <w:rPr>
          <w:rFonts w:cs="Times New Roman"/>
          <w:szCs w:val="24"/>
          <w:lang w:val="en-GB"/>
        </w:rPr>
        <w:t>SO</w:t>
      </w:r>
      <w:r w:rsidR="00F23188" w:rsidRPr="00D06D60">
        <w:rPr>
          <w:rFonts w:cs="Times New Roman"/>
          <w:szCs w:val="24"/>
          <w:vertAlign w:val="subscript"/>
          <w:lang w:val="en-GB"/>
        </w:rPr>
        <w:t>4</w:t>
      </w:r>
      <w:r w:rsidR="00F23188">
        <w:rPr>
          <w:rFonts w:cs="Times New Roman"/>
          <w:szCs w:val="24"/>
          <w:lang w:val="en-GB"/>
        </w:rPr>
        <w:t xml:space="preserve">) </w:t>
      </w:r>
      <w:r w:rsidR="007D2E63">
        <w:rPr>
          <w:rFonts w:cs="Times New Roman"/>
          <w:szCs w:val="24"/>
          <w:lang w:val="en-GB"/>
        </w:rPr>
        <w:t>concentrations</w:t>
      </w:r>
      <w:r w:rsidRPr="00974D52">
        <w:rPr>
          <w:rFonts w:cs="Times New Roman"/>
          <w:szCs w:val="24"/>
          <w:lang w:val="en-GB"/>
        </w:rPr>
        <w:t xml:space="preserve"> </w:t>
      </w:r>
      <w:r>
        <w:rPr>
          <w:rFonts w:cs="Times New Roman"/>
          <w:szCs w:val="24"/>
          <w:lang w:val="en-GB"/>
        </w:rPr>
        <w:t>at six CTD casts from</w:t>
      </w:r>
      <w:r w:rsidRPr="00974D52">
        <w:rPr>
          <w:rFonts w:cs="Times New Roman"/>
          <w:szCs w:val="24"/>
          <w:lang w:val="en-GB"/>
        </w:rPr>
        <w:t xml:space="preserve"> the </w:t>
      </w:r>
      <w:r w:rsidR="00427269" w:rsidRPr="00C25345">
        <w:rPr>
          <w:szCs w:val="24"/>
        </w:rPr>
        <w:t>MoMARsat’1</w:t>
      </w:r>
      <w:r w:rsidR="00427269">
        <w:rPr>
          <w:szCs w:val="24"/>
        </w:rPr>
        <w:t>9</w:t>
      </w:r>
      <w:r>
        <w:rPr>
          <w:rFonts w:cs="Times New Roman"/>
          <w:szCs w:val="24"/>
          <w:lang w:val="en-GB"/>
        </w:rPr>
        <w:t xml:space="preserve"> cruise</w:t>
      </w:r>
      <w:r w:rsidRPr="000D2838">
        <w:rPr>
          <w:rFonts w:cs="Times New Roman"/>
          <w:bCs/>
          <w:szCs w:val="24"/>
        </w:rPr>
        <w:t>.</w:t>
      </w:r>
    </w:p>
    <w:p w14:paraId="31602E0D" w14:textId="75866864" w:rsidR="005008EC" w:rsidRPr="005008EC" w:rsidRDefault="00DF40D6" w:rsidP="005008EC">
      <w:r w:rsidRPr="00DF40D6">
        <w:rPr>
          <w:noProof/>
        </w:rPr>
        <w:drawing>
          <wp:inline distT="0" distB="0" distL="0" distR="0" wp14:anchorId="405FC0EF" wp14:editId="10BA6839">
            <wp:extent cx="6208395" cy="1583690"/>
            <wp:effectExtent l="0" t="0" r="190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395" cy="1583690"/>
                    </a:xfrm>
                    <a:prstGeom prst="rect">
                      <a:avLst/>
                    </a:prstGeom>
                  </pic:spPr>
                </pic:pic>
              </a:graphicData>
            </a:graphic>
          </wp:inline>
        </w:drawing>
      </w:r>
    </w:p>
    <w:p w14:paraId="275976D4" w14:textId="0ED63F97" w:rsidR="005008EC" w:rsidRDefault="005008EC" w:rsidP="0000158E">
      <w:pPr>
        <w:jc w:val="both"/>
        <w:rPr>
          <w:rFonts w:cs="Times New Roman"/>
          <w:bCs/>
          <w:szCs w:val="24"/>
          <w:lang w:val="fr-FR"/>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009B444E">
        <w:rPr>
          <w:rFonts w:cs="Times New Roman"/>
          <w:b/>
          <w:szCs w:val="24"/>
        </w:rPr>
        <w:t>S</w:t>
      </w:r>
      <w:r w:rsidR="000D2838">
        <w:rPr>
          <w:rFonts w:cs="Times New Roman"/>
          <w:b/>
          <w:szCs w:val="24"/>
        </w:rPr>
        <w:t>2</w:t>
      </w:r>
      <w:r w:rsidRPr="0001436A">
        <w:rPr>
          <w:rFonts w:cs="Times New Roman"/>
          <w:b/>
          <w:szCs w:val="24"/>
        </w:rPr>
        <w:t>.</w:t>
      </w:r>
      <w:r w:rsidR="00483C0E">
        <w:rPr>
          <w:rFonts w:cs="Times New Roman"/>
          <w:b/>
          <w:szCs w:val="24"/>
        </w:rPr>
        <w:t xml:space="preserve"> </w:t>
      </w:r>
      <w:r w:rsidR="0000189A">
        <w:rPr>
          <w:rFonts w:cs="Times New Roman"/>
          <w:bCs/>
          <w:szCs w:val="24"/>
        </w:rPr>
        <w:t>End-members</w:t>
      </w:r>
      <w:r w:rsidR="00483C0E">
        <w:rPr>
          <w:rFonts w:cs="Times New Roman"/>
          <w:bCs/>
          <w:szCs w:val="24"/>
        </w:rPr>
        <w:t xml:space="preserve"> chemical compositions</w:t>
      </w:r>
      <w:r w:rsidR="0000189A">
        <w:rPr>
          <w:rFonts w:cs="Times New Roman"/>
          <w:bCs/>
          <w:szCs w:val="24"/>
        </w:rPr>
        <w:t xml:space="preserve"> of Lucky strike hydrothermal fluids </w:t>
      </w:r>
      <w:r w:rsidR="00483C0E">
        <w:rPr>
          <w:rFonts w:cs="Times New Roman"/>
          <w:bCs/>
          <w:szCs w:val="24"/>
        </w:rPr>
        <w:fldChar w:fldCharType="begin"/>
      </w:r>
      <w:r w:rsidR="00483C0E">
        <w:rPr>
          <w:rFonts w:cs="Times New Roman"/>
          <w:bCs/>
          <w:szCs w:val="24"/>
        </w:rPr>
        <w:instrText xml:space="preserve"> ADDIN ZOTERO_ITEM CSL_CITATION {"citationID":"x9HGUgSc","properties":{"formattedCitation":"(Charlou et al., 2000; Chavagnac et al., 2018; Leleu, 2017; Pester et al., 2012; Von Damm et al., 1998)","plainCitation":"(Charlou et al., 2000; Chavagnac et al., 2018; Leleu, 2017; Pester et al., 2012; Von Damm et al., 1998)","noteIndex":0},"citationItems":[{"id":3588,"uris":["http://zotero.org/users/3520919/items/TM23CMQE"],"uri":["http://zotero.org/users/3520919/items/TM23CMQE"],"itemData":{"id":3588,"type":"article-journal","abstract":"During the DIVA 1 cruise in May 1994, a series of 19 dives was conducted using the French submersible Nautile at the topographic highs of three volcanic segments centered at 37°17′N, 37°50′N and 38°20′N, respectively, south of the Azores Triple Junction (ATJ) on the Mid-Atlantic Ridge (MAR). Hydrothermal fluids were collected at the Lucky Strike (LS) hydrothermal field, discovered at 37°17′N in 1993, and at a new hydrothermal site called Menez Gwen (MGw) discovered at 37°50′N during this cruise. Both systems are relatively shallow compared to other MAR systems with seafloor depths of 1700 and 850 m, respectively, characteristics which make them unique among the already known sites on the MAR. The characteristics of the LS fluids are the same as in 1993 and include temperatures ranging from 170°C to 324°C, variable chlorinities lower than seawater, low hydrogen sulfide (&lt;3.0 mmol/kg), high Ba concentrations (up to 80 μmol/kg), low metal concentrations and high gas contents, and distinct chemical end-members indicative of significant geographic control of the venting system. In contrast, the very clear MGw fluids at 37°50′N show a rather uniform exit temperature (285°C) and chemical compositions with chlorinities (360–380 mmol/kg) lower than at LS and corresponding lower concentrations of cations, H2S (1.8 mmol/kg), metals and silica (8–11.5 mmol/kg), due to the lower temperature (T) and pressure (P) of the system. In the two systems, fluid chemistry is strongly affected by phase separation. At the low-pressure conditions of these sites, phase relations in the NaCl–H2O system dictate production of an extremely low salinity. The higher salinities observed in fluids thus indicate that mixing of extremely low salinity vapor with single-phase hydrothermal seawater is the dominant process controlling Cl concentrations. Depletions and enrichments of elements in solutions are also explained by the involvement of fluid-rock reactions. The enrichment of Ba, K, Cs and Rb in the fluids is linked to the enriched character of these elements in basalts. Relatively high pH and Ca, low Li, Sr and metals are related to the highly altered basaltic substrate in the reaction zone. Low Sr/Ca and high Ca/Na ratios are explained by albitization within the crust. The increase of degassing when approaching the Azores may be related to the carbon-enriched basaltic crust near the Azores hot spot. Isotopic ratios show that CO2, CH4 and helium gases have a magmatic signature. Compared to other deeper sites on the MAR, all fluids collected at LS and MGw are gas-enriched, except for H2S and helium, whose both concentration and isotopic ratio compare well with other hydrothermal fluids. The high CH4 concentration associated with unsaturated hydrocarbons and the high CH4/3He ratios also suggest a contribution of CH4 generated by serpentinization of ultramafic rocks by Fischer–Tropsch catalysis of CO2 reduction.","container-title":"Chemical Geology","DOI":"10.1016/S0009-2541(00)00244-8","ISSN":"0009-2541","issue":"1","journalAbbreviation":"Chemical Geology","language":"en","page":"49-75","source":"ScienceDirect","title":"Compared geochemical signatures and the evolution of Menez Gwen (37°50′N) and Lucky Strike (37°17′N) hydrothermal fluids, south of the Azores Triple Junction on the Mid-Atlantic Ridge","volume":"171","author":[{"family":"Charlou","given":"J. L"},{"family":"Donval","given":"J. P"},{"family":"Douville","given":"E"},{"family":"Jean-Baptiste","given":"P"},{"family":"Radford-Knoery","given":"J"},{"family":"Fouquet","given":"Y"},{"family":"Dapoigny","given":"A"},{"family":"Stievenard","given":"M"}],"issued":{"date-parts":[["2000",12,22]]}}},{"id":3442,"uris":["http://zotero.org/users/3520919/items/P4CILBB7"],"uri":["http://zotero.org/users/3520919/items/P4CILBB7"],"itemData":{"id":3442,"type":"article-journal","abstract":"This study aims at characterizing the subseaﬂoor architecture of the Lucky Strike hydrothermal ﬁeld (LSHF) based on an extensive chemical database of the various vents. Our analysis is motivated by the discovery in 2013 of a new active high-temperature site, named Capelinhos, approximately 1.5 km east of the LSHF. Capelinhos ﬂuids display particular chemical features with chloride and metal (Fe and Mn) concentrations 2 times lower and 4 times higher, respectively, compared to other vent sites. Trace element partitioning over the entire chlorinity range indicates a single deep ﬂuid source feeding all the venting sites. Applying the Si-Cl geothermobarometer at Capelinhos, we ﬁnd phase separation conditions at 435–440 °C and 370–390 bars (2,500–2,800 m below seaﬂoor) consistent with former estimates for the LSHF, while temperatures of ﬂuid-rock last equilibrium are estimated at ~400 °C for Capelinhos and 350–375 °C for the other sites based on the Fe-Mn geothermometer. We interpret these discrepancies in thermodynamic conditions beneath the sites in terms of crustal residence time, which are likely related to permeability variations across the hydrothermal upﬂow zone. We propose that conductive cooling of the upﬂowing ﬂuids from the phase separation zone to the seaﬂoor, beneath the main ﬁeld vent sites, lowers the T conditions of last ﬂuid-rock equilibrium, enabling ~65% of Fe mobilized in the reaction zone to be stored. In comparison, Capelinhos ﬂuids are transported more rapidly from the reaction zone to the seaﬂoor along a high-angle fracture system. The ﬂuids venting at Capelinhos are more representative of the deeper part of the hydrothermal reaction zone.","container-title":"Geochemistry, Geophysics, Geosystems","DOI":"10.1029/2018GC007765","ISSN":"1525-2027, 1525-2027","issue":"11","journalAbbreviation":"Geochem. Geophys. Geosyst.","language":"en","page":"4444-4458","source":"DOI.org (Crossref)","title":"Spatial Variations in Vent Chemistry at the Lucky Strike Hydrothermal Field, Mid‐Atlantic Ridge (37°N): Updates for Subseafloor Flow Geometry From the Newly Discovered Capelinhos Vent","title-short":"Spatial Variations in Vent Chemistry at the Lucky Strike Hydrothermal Field, Mid‐Atlantic Ridge (37°N)","volume":"19","author":[{"family":"Chavagnac","given":"V."},{"family":"Leleu","given":"T."},{"family":"Fontaine","given":"F."},{"family":"Cannat","given":"M."},{"family":"Ceuleneer","given":"G."},{"family":"Castillo","given":"A."}],"issued":{"date-parts":[["2018",11]]}}},{"id":3582,"uris":["http://zotero.org/users/3520919/items/UQSBBLHC"],"uri":["http://zotero.org/users/3520919/items/UQSBBLHC"],"itemData":{"id":3582,"type":"thesis","event-place":"Toulouse","publisher":"UT3 Paul Sabatier","publisher-place":"Toulouse","title":"Variabilité spatio-temporelle de la composition des fluides hydrothermaux (observatoire fond de mer EMSO-Açores, Lucky Strike) : traçage de la circulation hydrothermale et quantification des flux chimiques associés","author":[{"family":"Leleu","given":"Thomas"}],"issued":{"date-parts":[["2017",1,27]]}}},{"id":3591,"uris":["http://zotero.org/users/3520919/items/7GNFEEUI"],"uri":["http://zotero.org/users/3520919/items/7GNFEEUI"],"itemData":{"id":3591,"type":"article-journal","abstract":"As part of an integrated study conducted at the Lucky Strike Seamount (Mid-Atlantic Ridge, 37°17′N) in 2008, gas-tight sampling devices were used to collect high-temperature (</w:instrText>
      </w:r>
      <w:r w:rsidR="00483C0E">
        <w:rPr>
          <w:rFonts w:ascii="Cambria Math" w:hAnsi="Cambria Math" w:cs="Cambria Math"/>
          <w:bCs/>
          <w:szCs w:val="24"/>
        </w:rPr>
        <w:instrText>∼</w:instrText>
      </w:r>
      <w:r w:rsidR="00483C0E">
        <w:rPr>
          <w:rFonts w:cs="Times New Roman"/>
          <w:bCs/>
          <w:szCs w:val="24"/>
        </w:rPr>
        <w:instrText>300°C) hydrothermal fluids issuing from sulfide structures distributed throughout the vent field located in the summit depression. Compared with previous observations from 1993 to 1997, the most substantial changes in vent fluid compositions are dramatically increased CO2 concentrations (</w:instrText>
      </w:r>
      <w:r w:rsidR="00483C0E">
        <w:rPr>
          <w:rFonts w:ascii="Cambria Math" w:hAnsi="Cambria Math" w:cs="Cambria Math"/>
          <w:bCs/>
          <w:szCs w:val="24"/>
        </w:rPr>
        <w:instrText>∼</w:instrText>
      </w:r>
      <w:r w:rsidR="00483C0E">
        <w:rPr>
          <w:rFonts w:cs="Times New Roman"/>
          <w:bCs/>
          <w:szCs w:val="24"/>
        </w:rPr>
        <w:instrText xml:space="preserve">5×, up to 133mmol/L) and the observation of vent fluids enriched in dissolved chloride relative to seawater. Combined with an increase in δ13CCO2 values by </w:instrText>
      </w:r>
      <w:r w:rsidR="00483C0E">
        <w:rPr>
          <w:rFonts w:ascii="Cambria Math" w:hAnsi="Cambria Math" w:cs="Cambria Math"/>
          <w:bCs/>
          <w:szCs w:val="24"/>
        </w:rPr>
        <w:instrText>∼</w:instrText>
      </w:r>
      <w:r w:rsidR="00483C0E">
        <w:rPr>
          <w:rFonts w:cs="Times New Roman"/>
          <w:bCs/>
          <w:szCs w:val="24"/>
        </w:rPr>
        <w:instrText>4‰ in 2008, the elevated CO2 indicates replenishment of the magmatic heat source and may be indicative of a recent magmatic event. The additional supporting fluid chemistry is, however, similar to that of the previous sampling intervals, necessitating a reassessment of the subseafloor controls on vent fluid chemistry at Lucky Strike in the context of recently obtained geophysical data that provides the depth/extent of a steady-state magma chamber. Two-phase behavior is indicated by the chloride variability in the vent fluids; and comparison with experimental data for the associated chloride-dependent partitioning of minor/trace elements suggests the possibility of a similar source fluid for all the vent structures, while limiting the likelihood of shallow phase separation and subseafloor mixing for the hydrothermal end-members. A recently calibrated Fe/Mn geothermometer indicates minimum subseafloor equilibration temperatures of 350–385°C. However, constraints imposed by dissolved Si/Cl in conjunction with geophysical observations are consistent with peak reaction conditions at temperatures of 430–475°C and pressures near the top of the axial magma chamber (</w:instrText>
      </w:r>
      <w:r w:rsidR="00483C0E">
        <w:rPr>
          <w:rFonts w:ascii="Cambria Math" w:hAnsi="Cambria Math" w:cs="Cambria Math"/>
          <w:bCs/>
          <w:szCs w:val="24"/>
        </w:rPr>
        <w:instrText>∼</w:instrText>
      </w:r>
      <w:r w:rsidR="00483C0E">
        <w:rPr>
          <w:rFonts w:cs="Times New Roman"/>
          <w:bCs/>
          <w:szCs w:val="24"/>
        </w:rPr>
        <w:instrText xml:space="preserve">410–480bars), where magmatic CO2 becomes entrained in the circulating fluids. The distance between the magma chamber and the seafloor at Lucky Strike is substantially greater than at most faster spreading ridges; and we propose the resulting increased residence time in the up-flow zone leads to the re-equilibration of temperature sensitive transition metals at conditions less extreme than those associated with peak reaction. Agreement between experimental data, thermodynamic model calculations, and dissolved concentrations of Fe, Cu, Zn, H2, and H2S in the Lucky Strike fluids reinforce the hypothesis of pH-redox equilibria for transition metals at relatively oxidizing conditions and temperatures predicted by the empirical Fe/Mn geothermometer. In-situ pH measurements of the high-temperature fluids exiting the seafloor are also consistent with the model calculations.","container-title":"Geochimica et Cosmochimica Acta","DOI":"10.1016/j.gca.2012.05.018","ISSN":"0016-7037","journalAbbreviation":"Geochimica et Cosmochimica Acta","language":"en","page":"303-322","source":"ScienceDirect","title":"Subseafloor phase equilibria in high-temperature hydrothermal fluids of the Lucky Strike Seamount (Mid-Atlantic Ridge, 37°17′N)","volume":"90","author":[{"family":"Pester","given":"Nicholas J."},{"family":"Reeves","given":"Eoghan P."},{"family":"Rough","given":"Mikaella E."},{"family":"Ding","given":"Kang"},{"family":"Seewald","given":"Jeffrey S."},{"family":"Seyfried","given":"William E."}],"issued":{"date-parts":[["2012",8,1]]}}},{"id":3583,"uris":["http://zotero.org/users/3520919/items/BIEQI34G"],"uri":["http://zotero.org/users/3520919/items/BIEQI34G"],"itemData":{"id":3583,"type":"article-journal","abstract":"Hydrothermal vent fluids were collected from the Lucky Strike site at 37°17′N on the Mid-Atlantic Ridge in both 1993 and 1996. Seven vents were sampled with the DSV Alvin in 1993 and six vents were sampled in 1996 using the ROV Jason during the LUSTRE '96 Cruise. As three of the vents were sampled in both 1993 and in 1996, a time series of vent fluid chemistry is also reported. Measured temperatures ranged from 202 to 333°C at the 1618–1726 m depth of the vent field, which is located on Lucky Strike Seamount. These fluids are either equal to or less than the local bottom seawater in chlorinity. While the range in fluid compositions at Lucky Strike is generally within that observed elsewhere, the unusual aspects of the fluid chemistries are the relatively high pH and low Fe, Mn, Li and Zn. We attribute this, as well as an usually low Sr/Ca ratio, to reaction with a highly altered substrate. The high Si and Cu contents suggest a deep, as well as hot, source for these fluids. The fluid compositions therefore suggest formation by super-critical phase separation at a depth not less than 1300 m below the seafloor, and reaction with a relatively oxic, and previously altered, substrate. There is temporal variability in some of the vent fluid compositions as Li, K, Ca and Fe concentrations have increased in some of the vents, as has the Fe/Mn (molar) ratio, although the chlorinities have remained essentially constant from 1993 to 1996. While there is </w:instrText>
      </w:r>
      <w:r w:rsidR="00483C0E" w:rsidRPr="00483C0E">
        <w:rPr>
          <w:rFonts w:cs="Times New Roman"/>
          <w:bCs/>
          <w:szCs w:val="24"/>
          <w:lang w:val="fr-FR"/>
        </w:rPr>
        <w:instrText xml:space="preserve">not a simple relationship between vent fluid compositions (or temperatures) and distance from the lava lake at the summit of the seamount, the vent fluids from many of the vents can be shown to be related to others, often at distances &gt;200 m. The most southeasterly vents (Eiffel Tower and the Marker/Mounds vents) are distinct in chlorinity and other chemical parameters from the rest of the vents, although closely related to each other within the southeastern area. Similarly all of the vents not in this one area, appear closely related to each other. This suggests one or two source fluids for many of the vents, as is also inferred to be the case at TAG, but which is in contrast to observations on faster spreading ridges. This may suggest inherently different plumbing for hydrothermal systems at slower versus faster spreading ridges.","container-title":"Earth and Planetary Science Letters","DOI":"10.1016/S0012-821X(98)00108-3","ISSN":"0012-821X","issue":"3","journalAbbreviation":"Earth and Planetary Science Letters","language":"en","page":"521-536","source":"ScienceDirect","title":"The geochemical controls on vent fluids from the Lucky Strike vent field, Mid-Atlantic Ridge","volume":"160","author":[{"family":"Von Damm","given":"K. L."},{"family":"Bray","given":"A. M."},{"family":"Buttermore","given":"L. G."},{"family":"Oosting","given":"S. E."}],"issued":{"date-parts":[["1998",8,1]]}}}],"schema":"https://github.com/citation-style-language/schema/raw/master/csl-citation.json"} </w:instrText>
      </w:r>
      <w:r w:rsidR="00483C0E">
        <w:rPr>
          <w:rFonts w:cs="Times New Roman"/>
          <w:bCs/>
          <w:szCs w:val="24"/>
        </w:rPr>
        <w:fldChar w:fldCharType="separate"/>
      </w:r>
      <w:r w:rsidR="00483C0E" w:rsidRPr="00483C0E">
        <w:rPr>
          <w:rFonts w:cs="Times New Roman"/>
          <w:bCs/>
          <w:noProof/>
          <w:szCs w:val="24"/>
          <w:lang w:val="fr-FR"/>
        </w:rPr>
        <w:t>(Charlou et al., 2000; Chavagnac et al., 2018; Leleu, 2017; Pester et al., 2012; Von Damm et al., 1998)</w:t>
      </w:r>
      <w:r w:rsidR="00483C0E">
        <w:rPr>
          <w:rFonts w:cs="Times New Roman"/>
          <w:bCs/>
          <w:szCs w:val="24"/>
        </w:rPr>
        <w:fldChar w:fldCharType="end"/>
      </w:r>
      <w:r w:rsidR="00483C0E" w:rsidRPr="00483C0E">
        <w:rPr>
          <w:rFonts w:cs="Times New Roman"/>
          <w:bCs/>
          <w:szCs w:val="24"/>
          <w:lang w:val="fr-FR"/>
        </w:rPr>
        <w:t xml:space="preserve"> and seawater</w:t>
      </w:r>
      <w:r w:rsidR="0000189A">
        <w:rPr>
          <w:rFonts w:cs="Times New Roman"/>
          <w:bCs/>
          <w:szCs w:val="24"/>
          <w:lang w:val="fr-FR"/>
        </w:rPr>
        <w:t xml:space="preserve"> </w:t>
      </w:r>
      <w:r w:rsidR="00483C0E">
        <w:rPr>
          <w:rFonts w:cs="Times New Roman"/>
          <w:bCs/>
          <w:szCs w:val="24"/>
        </w:rPr>
        <w:fldChar w:fldCharType="begin"/>
      </w:r>
      <w:r w:rsidR="00671965">
        <w:rPr>
          <w:rFonts w:cs="Times New Roman"/>
          <w:bCs/>
          <w:szCs w:val="24"/>
          <w:lang w:val="fr-FR"/>
        </w:rPr>
        <w:instrText xml:space="preserve"> ADDIN ZOTERO_ITEM CSL_CITATION {"citationID":"7LCGLUpV","properties":{"formattedCitation":"(El Meknassi et al., 2018; El Meknassi et al., 2020; Leleu, 2017; Millero et al., 2008)","plainCitation":"(El Meknassi et al., 2018; El Meknassi et al., 2020; Leleu, 2017; Millero et al., 2008)","noteIndex":0},"citationItems":[{"id":3465,"uris":["http://zotero.org/users/3520919/items/A52FH7NM"],"uri":["http://zotero.org/users/3520919/items/A52FH7NM"],"itemData":{"id":3465,"type":"article-journal","abstract":"The reconstruction of past variations in seawater strontium isotope ratios (87Sr/86Sr) from marine carbonate skeletons (MCSs) is based on the assumption that the Sr isotope composition of oceans is homogeneous worldwide. However, fossil materials are mainly from shelf domains whose modern Sr budget is known to be very sensitive to continental Sr fluxes. Their reliability as chemostratigraphic tools or weathering proxies may thus be questioned, especially because no formal appraisal of biological and environmental biases has been done on a global scale. Here, we provide new modern MCS 87Sr/86Sr values from various marine environments that we analyze statistically in regards to extensive compilations of MCS and water data. We show that most MCS 87Sr/86Sr values fall within the range of those of modern oceanic waters (0.709172 ± 23). Others, concerning ~30% of studied localities, may display slight to considerable offsets compared to the 87Sr/86Sr signature of modern seawater (±250 × 10–6). These patterns mainly concern bivalves and gastropods, or more generally epibenthic and eurytopic organisms, from coastal domains with water mass restriction, low salinity, or strong continental supplies (fjords, lagoons, endorheic basins). Beyond classical fluvial freshwater influences, submarine groundwater discharges may lead to a less radiogenic 87Sr/86Sr signature of MCSs even in lagoons with euhaline conditions (e.g., Oualidia lagoon, Morocco). All biases considered, this calls for caution in relative dating, as we calculate that half the values of the Phanerozoic 87Sr/86Sr curve cannot provide time calibration accuracy better than ±3 m.y., which is necessary to discriminate the shorter stages.","container-title":"Geology","DOI":"10.1130/G45380.1","ISSN":"0091-7613","issue":"11","language":"en","page":"1003-1006","source":"DOI.org (Crossref)","title":"Sr isotope ratios of modern carbonate shells: Good and bad news for chemostratigraphy","title-short":"Sr isotope ratios of modern carbonate shells","volume":"46","author":[{"family":"El Meknassi","given":"S."},{"family":"Dera","given":"G."},{"family":"Cardone","given":"T."},{"family":"De Rafélis","given":"M."},{"family":"Brahmi","given":"C."},{"family":"Chavagnac","given":"V."}],"issued":{"date-parts":[["2018",11,1]]}}},{"id":3463,"uris":["http://zotero.org/users/3520919/items/PISA3UUD"],"uri":["http://zotero.org/users/3520919/items/PISA3UUD"],"itemData":{"id":3463,"type":"article-journal","abstract":"To better constrain the Sr isotope budget in marginal domains without any fluvial inputs, we analyzed the chemical composition and 87Sr/86Sr ratio of waters and shells from four locations: two coastal lagoons, one hemipelagic platform and one open marine shelf. Our results highlight homogeneous 87Sr/86Sr ratios typical of oligotrophic oceanic waters (OOW) (i.e., 0.709172 ± 0.000023) in the Pacific Tatakoto atoll and along a Mediterranean shore to offshore transect (~25 km off Banyuls-sur-Mer, BSM). This attests that oceanic inputs from oligotrophic areas remain the main Sr source in open shelf areas compared with submarine groundwater discharges (SGD) or particulate dissolution influences. In BSM, only foreshore data are more radiogenic, possibly due to rainwater mixing, local groundwater springs or more efficient particle dissolution in the intertidal zone. In restricted areas, we report variable 87Sr/86Sr ratios between the Salses-Leucate (France) and Oualidia (Morocco) lagoons. The first one has homogeneous 87Sr/86Sr ratio typical of OOW except close to SGD. In Oualidia, 87Sr/86Sr ratios decrease by 1.2 × 10−3 from OOW values close to the Atlantic inlet to progressively less radiogenic ones upstream within the interior of the lagoon. These differences depend on several factors including the leaky, restricted or choked morphology of lagoons modulating the oceanic Sr inputs, but also SGD fluxes whose 87Sr/86Sr ratios and Sr concentrations are highly variable according to the nature of rocks leached in karstic aquifer. In Oualidia, the low 87Sr/86Sr ratios correspond to high Sr concentrations (up to 150 μmol·l−1) issued from the dissolution of Mesozoic evaporites, leading to SGD fluxes accounting for 60% of the local Sr budget. Through data compilation, we show that similar 87Sr/86Sr gradients and processes prevail at the whole Mediterranean scale. Finally, we postulate that high coastal water retention times can also account for anom­ alous coastal 87Sr/86Sr ratios and that the combination of water mass restriction, SGD, bioadsorption and early diagenetic processes could decrease seawater Sr concentrations in some marginal areas.","container-title":"Chemical Geology","DOI":"10.1016/j.chemgeo.2020.119874","ISSN":"00092541","journalAbbreviation":"Chemical Geology","language":"en","page":"119874","source":"DOI.org (Crossref)","title":"Seawater 87Sr/86Sr ratios along continental margins: Patterns and processes in open and restricted shelf domains","title-short":"Seawater 87Sr/86Sr ratios along continental margins","volume":"558","author":[{"family":"El Meknassi","given":"Sofia"},{"family":"Dera","given":"Guillaume"},{"family":"De Rafélis","given":"Marc"},{"family":"Brahmi","given":"Chloé"},{"family":"Lartaud","given":"Franck"},{"family":"Hodel","given":"Florent"},{"family":"Jeandel","given":"Catherine"},{"family":"Menjot","given":"Ludovic"},{"family":"Mounic","given":"Stéphanie"},{"family":"Henry","given":"Manuel"},{"family":"Besson","given":"Philippe"},{"family":"Chavagnac","given":"Valérie"}],"issued":{"date-parts":[["2020",12]]}}},{"id":3582,"uris":["http://zotero.org/users/3520919/items/UQSBBLHC"],"uri":["http://zotero.org/users/3520919/items/UQSBBLHC"],"itemData":{"id":3582,"type":"thesis","event-place":"Toulouse","publisher":"UT3 Paul Sabatier","publisher-place":"Toulouse","title":"Variabilité spatio-temporelle de la composition des fluides hydrothermaux (observatoire fond de mer EMSO-Açores, Lucky Strike) : traçage de la circulation hydrothermale et quantification des flux chimiques associés","author":[{"family":"Leleu","given":"Thomas"}],"issued":{"date-parts":[["2017",1,27]]}}},{"id":3457,"uris":["http://zotero.org/users/3520919/items/94M4Q6GY"],"uri":["http://zotero.org/users/3520919/items/94M4Q6GY"],"itemData":{"id":3457,"type":"article-journal","abstract":"Fundamental determinations of the physical properties of seawater have previously been made for Atlantic surface waters, referred to as ‘‘Standard Seawater’’. In this paper a Reference Composition consisting of the major components of Atlantic surface seawater is determined using these earlier analytical measurements. The stoichiometry of sea salt introduced here is thus based on the most accurate prior determination of the composition, adjusted to achieve charge balance and making use of the 2005 atomic weights. Reference Seawater is deﬁned as any seawater that has the Reference Composition and a new Reference-Composition Salinity SR is deﬁned to provide the best available estimate of the Absolute Salinity of both Reference Seawater and the Standard Seawater that was used in the measurements of the physical properties. From a practical point of view, the value of SR can be related to the Practical Salinity S by SR ¼ ð35:16504=35Þ g kgÀ1 Â S. Reference Seawater that has been ‘‘normalized’’ to a Practical Salinity of 35 has a Reference-Composition Salinity of exactly SR ¼ 35.16504 g kgÀ1.","container-title":"Deep Sea Research Part I: Oceanographic Research Papers","DOI":"10.1016/j.dsr.2007.10.001","ISSN":"09670637","issue":"1","journalAbbreviation":"Deep Sea Research Part I: Oceanographic Research Papers","language":"en","page":"50-72","source":"DOI.org (Crossref)","title":"The composition of Standard Seawater and the definition of the Reference-Composition Salinity Scale","volume":"55","author":[{"family":"Millero","given":"Frank J."},{"family":"Feistel","given":"Rainer"},{"family":"Wright","given":"Daniel G."},{"family":"McDougall","given":"Trevor J."}],"issued":{"date-parts":[["2008",1]]}}}],"schema":"https://github.com/citation-style-language/schema/raw/master/csl-citation.json"} </w:instrText>
      </w:r>
      <w:r w:rsidR="00483C0E">
        <w:rPr>
          <w:rFonts w:cs="Times New Roman"/>
          <w:bCs/>
          <w:szCs w:val="24"/>
        </w:rPr>
        <w:fldChar w:fldCharType="separate"/>
      </w:r>
      <w:r w:rsidR="00671965">
        <w:rPr>
          <w:rFonts w:cs="Times New Roman"/>
          <w:bCs/>
          <w:noProof/>
          <w:szCs w:val="24"/>
          <w:lang w:val="fr-FR"/>
        </w:rPr>
        <w:t>(El Meknassi et al., 2018; El Meknassi et al., 2020; Leleu, 2017; Millero et al., 2008)</w:t>
      </w:r>
      <w:r w:rsidR="00483C0E">
        <w:rPr>
          <w:rFonts w:cs="Times New Roman"/>
          <w:bCs/>
          <w:szCs w:val="24"/>
        </w:rPr>
        <w:fldChar w:fldCharType="end"/>
      </w:r>
      <w:r w:rsidR="0000158E" w:rsidRPr="0000158E">
        <w:rPr>
          <w:rFonts w:cs="Times New Roman"/>
          <w:bCs/>
          <w:szCs w:val="24"/>
          <w:lang w:val="fr-FR"/>
        </w:rPr>
        <w:t>.</w:t>
      </w:r>
      <w:r w:rsidR="0006508E">
        <w:rPr>
          <w:rFonts w:cs="Times New Roman"/>
          <w:bCs/>
          <w:szCs w:val="24"/>
          <w:lang w:val="fr-FR"/>
        </w:rPr>
        <w:t xml:space="preserve"> </w:t>
      </w:r>
    </w:p>
    <w:p w14:paraId="5C457952" w14:textId="54016351" w:rsidR="003412A3" w:rsidRPr="00901F79" w:rsidRDefault="00F22AFC" w:rsidP="0000158E">
      <w:pPr>
        <w:jc w:val="both"/>
        <w:rPr>
          <w:rFonts w:cs="Times New Roman"/>
          <w:b/>
          <w:szCs w:val="24"/>
          <w:lang w:val="fr-FR"/>
        </w:rPr>
      </w:pPr>
      <w:r w:rsidRPr="00F22AFC">
        <w:rPr>
          <w:rFonts w:cs="Times New Roman"/>
          <w:b/>
          <w:noProof/>
          <w:szCs w:val="24"/>
          <w:lang w:val="fr-FR"/>
        </w:rPr>
        <w:lastRenderedPageBreak/>
        <w:drawing>
          <wp:inline distT="0" distB="0" distL="0" distR="0" wp14:anchorId="544C0BA4" wp14:editId="745749B7">
            <wp:extent cx="5769033" cy="7791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5360" cy="7799719"/>
                    </a:xfrm>
                    <a:prstGeom prst="rect">
                      <a:avLst/>
                    </a:prstGeom>
                  </pic:spPr>
                </pic:pic>
              </a:graphicData>
            </a:graphic>
          </wp:inline>
        </w:drawing>
      </w:r>
    </w:p>
    <w:p w14:paraId="1BB47D53" w14:textId="4C522BA4" w:rsidR="00963FCD" w:rsidRDefault="0056719C" w:rsidP="0000158E">
      <w:pPr>
        <w:jc w:val="both"/>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009B444E">
        <w:rPr>
          <w:rFonts w:cs="Times New Roman"/>
          <w:b/>
          <w:szCs w:val="24"/>
        </w:rPr>
        <w:t>S</w:t>
      </w:r>
      <w:r w:rsidR="000D2838">
        <w:rPr>
          <w:rFonts w:cs="Times New Roman"/>
          <w:b/>
          <w:szCs w:val="24"/>
        </w:rPr>
        <w:t>3</w:t>
      </w:r>
      <w:r w:rsidRPr="0001436A">
        <w:rPr>
          <w:rFonts w:cs="Times New Roman"/>
          <w:b/>
          <w:szCs w:val="24"/>
        </w:rPr>
        <w:t>.</w:t>
      </w:r>
      <w:r>
        <w:rPr>
          <w:rFonts w:cs="Times New Roman"/>
          <w:b/>
          <w:szCs w:val="24"/>
        </w:rPr>
        <w:t xml:space="preserve"> </w:t>
      </w:r>
      <w:r w:rsidR="002E43F6">
        <w:t>C</w:t>
      </w:r>
      <w:r w:rsidR="002E43F6" w:rsidRPr="00FB7B20">
        <w:t>urrent speed</w:t>
      </w:r>
      <w:r w:rsidR="002E43F6">
        <w:t xml:space="preserve"> </w:t>
      </w:r>
      <w:r w:rsidR="002E43F6" w:rsidRPr="00FB7B20">
        <w:t xml:space="preserve">direction </w:t>
      </w:r>
      <w:r w:rsidR="002E43F6">
        <w:t xml:space="preserve">(u, v) and </w:t>
      </w:r>
      <w:r w:rsidR="002E43F6" w:rsidRPr="00FB7B20">
        <w:t>intensities</w:t>
      </w:r>
      <w:r w:rsidR="002E43F6">
        <w:t>,</w:t>
      </w:r>
      <w:r w:rsidR="002E43F6" w:rsidRPr="00FB7B20">
        <w:t xml:space="preserve"> acquired via ADCP</w:t>
      </w:r>
      <w:r w:rsidR="002E43F6">
        <w:t>,</w:t>
      </w:r>
      <w:r w:rsidR="002E43F6" w:rsidRPr="00FB7B20">
        <w:t xml:space="preserve"> at the </w:t>
      </w:r>
      <w:r w:rsidR="002E43F6">
        <w:t>six</w:t>
      </w:r>
      <w:r w:rsidR="002E43F6" w:rsidRPr="00FB7B20">
        <w:t xml:space="preserve"> CTD casts</w:t>
      </w:r>
      <w:r w:rsidR="002E43F6">
        <w:t>.</w:t>
      </w:r>
    </w:p>
    <w:p w14:paraId="250FE1D8" w14:textId="77777777" w:rsidR="001D24D4" w:rsidRDefault="001D24D4" w:rsidP="001D24D4">
      <w:pPr>
        <w:pStyle w:val="Titre1"/>
      </w:pPr>
      <w:r w:rsidRPr="00994A3D">
        <w:lastRenderedPageBreak/>
        <w:t>Supplementary Figures</w:t>
      </w:r>
    </w:p>
    <w:p w14:paraId="7B65BC41" w14:textId="07611DBB" w:rsidR="00DE23E8" w:rsidRPr="009B444E" w:rsidRDefault="001D24D4" w:rsidP="001D24D4">
      <w:pPr>
        <w:pStyle w:val="Titre1"/>
        <w:numPr>
          <w:ilvl w:val="0"/>
          <w:numId w:val="0"/>
        </w:numPr>
        <w:rPr>
          <w:b w:val="0"/>
          <w:bCs/>
        </w:rPr>
      </w:pPr>
      <w:r w:rsidRPr="00994A3D">
        <w:t xml:space="preserve"> </w:t>
      </w:r>
      <w:r>
        <w:rPr>
          <w:noProof/>
        </w:rPr>
        <w:drawing>
          <wp:inline distT="0" distB="0" distL="0" distR="0" wp14:anchorId="342B8C26" wp14:editId="05AC4AA6">
            <wp:extent cx="5663272" cy="37279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81" b="14793"/>
                    <a:stretch/>
                  </pic:blipFill>
                  <pic:spPr bwMode="auto">
                    <a:xfrm>
                      <a:off x="0" y="0"/>
                      <a:ext cx="5663272" cy="3727939"/>
                    </a:xfrm>
                    <a:prstGeom prst="rect">
                      <a:avLst/>
                    </a:prstGeom>
                    <a:ln>
                      <a:noFill/>
                    </a:ln>
                    <a:extLst>
                      <a:ext uri="{53640926-AAD7-44D8-BBD7-CCE9431645EC}">
                        <a14:shadowObscured xmlns:a14="http://schemas.microsoft.com/office/drawing/2010/main"/>
                      </a:ext>
                    </a:extLst>
                  </pic:spPr>
                </pic:pic>
              </a:graphicData>
            </a:graphic>
          </wp:inline>
        </w:drawing>
      </w:r>
      <w:r w:rsidR="00994A3D" w:rsidRPr="0001436A">
        <w:t xml:space="preserve">Supplementary Figure </w:t>
      </w:r>
      <w:r w:rsidR="009B444E">
        <w:t>S</w:t>
      </w:r>
      <w:r w:rsidR="00E33F16">
        <w:fldChar w:fldCharType="begin"/>
      </w:r>
      <w:r w:rsidR="00E33F16">
        <w:instrText xml:space="preserve"> SEQ Figure \* ARABIC </w:instrText>
      </w:r>
      <w:r w:rsidR="00E33F16">
        <w:fldChar w:fldCharType="separate"/>
      </w:r>
      <w:r w:rsidR="00ED20B5">
        <w:rPr>
          <w:noProof/>
        </w:rPr>
        <w:t>1</w:t>
      </w:r>
      <w:r w:rsidR="00E33F16">
        <w:rPr>
          <w:noProof/>
        </w:rPr>
        <w:fldChar w:fldCharType="end"/>
      </w:r>
      <w:r w:rsidR="00994A3D" w:rsidRPr="0001436A">
        <w:t>.</w:t>
      </w:r>
      <w:r w:rsidR="00994A3D" w:rsidRPr="001549D3">
        <w:t xml:space="preserve"> </w:t>
      </w:r>
      <w:r w:rsidR="001F6E9D" w:rsidRPr="009B444E">
        <w:rPr>
          <w:b w:val="0"/>
          <w:bCs/>
        </w:rPr>
        <w:t xml:space="preserve">Scatter plot of the </w:t>
      </w:r>
      <w:r w:rsidR="001F6E9D" w:rsidRPr="009B444E">
        <w:rPr>
          <w:b w:val="0"/>
          <w:bCs/>
          <w:color w:val="000000" w:themeColor="text1"/>
        </w:rPr>
        <w:t>D</w:t>
      </w:r>
      <w:r w:rsidR="001F6E9D" w:rsidRPr="009B444E">
        <w:rPr>
          <w:rFonts w:cstheme="minorHAnsi"/>
          <w:b w:val="0"/>
          <w:bCs/>
          <w:color w:val="000000" w:themeColor="text1"/>
        </w:rPr>
        <w:t xml:space="preserve">Li </w:t>
      </w:r>
      <w:r w:rsidR="001F6E9D" w:rsidRPr="009B444E">
        <w:rPr>
          <w:b w:val="0"/>
          <w:bCs/>
        </w:rPr>
        <w:t xml:space="preserve">vs DSr values for the six CTD casts. The linear regression line (black line) as well as the data uncertainties are displayed. </w:t>
      </w:r>
    </w:p>
    <w:p w14:paraId="22739939" w14:textId="277A2CC9" w:rsidR="001F6E9D" w:rsidRDefault="00800C66" w:rsidP="002A1852">
      <w:pPr>
        <w:keepNext/>
        <w:jc w:val="both"/>
      </w:pPr>
      <w:r>
        <w:rPr>
          <w:noProof/>
        </w:rPr>
        <w:lastRenderedPageBreak/>
        <w:drawing>
          <wp:inline distT="0" distB="0" distL="0" distR="0" wp14:anchorId="1514E773" wp14:editId="4BFE2342">
            <wp:extent cx="6208395" cy="4647565"/>
            <wp:effectExtent l="0" t="0" r="190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2_revised.jpg"/>
                    <pic:cNvPicPr/>
                  </pic:nvPicPr>
                  <pic:blipFill>
                    <a:blip r:embed="rId12">
                      <a:extLst>
                        <a:ext uri="{28A0092B-C50C-407E-A947-70E740481C1C}">
                          <a14:useLocalDpi xmlns:a14="http://schemas.microsoft.com/office/drawing/2010/main" val="0"/>
                        </a:ext>
                      </a:extLst>
                    </a:blip>
                    <a:stretch>
                      <a:fillRect/>
                    </a:stretch>
                  </pic:blipFill>
                  <pic:spPr>
                    <a:xfrm>
                      <a:off x="0" y="0"/>
                      <a:ext cx="6208395" cy="4647565"/>
                    </a:xfrm>
                    <a:prstGeom prst="rect">
                      <a:avLst/>
                    </a:prstGeom>
                  </pic:spPr>
                </pic:pic>
              </a:graphicData>
            </a:graphic>
          </wp:inline>
        </w:drawing>
      </w:r>
    </w:p>
    <w:p w14:paraId="579B482D" w14:textId="33BE38AB" w:rsidR="001F6E9D" w:rsidRDefault="001F6E9D" w:rsidP="001F6E9D">
      <w:pPr>
        <w:keepNext/>
        <w:jc w:val="both"/>
      </w:pPr>
      <w:r w:rsidRPr="0001436A">
        <w:rPr>
          <w:rFonts w:cs="Times New Roman"/>
          <w:b/>
          <w:szCs w:val="24"/>
        </w:rPr>
        <w:t xml:space="preserve">Supplementary Figure </w:t>
      </w:r>
      <w:r w:rsidR="009B444E">
        <w:rPr>
          <w:rFonts w:cs="Times New Roman"/>
          <w:b/>
          <w:szCs w:val="24"/>
        </w:rPr>
        <w:t>S</w:t>
      </w:r>
      <w:r>
        <w:rPr>
          <w:rFonts w:cs="Times New Roman"/>
          <w:b/>
          <w:szCs w:val="24"/>
        </w:rPr>
        <w:t>2</w:t>
      </w:r>
      <w:r w:rsidRPr="0001436A">
        <w:rPr>
          <w:rFonts w:cs="Times New Roman"/>
          <w:b/>
          <w:szCs w:val="24"/>
        </w:rPr>
        <w:t>.</w:t>
      </w:r>
      <w:r w:rsidRPr="001549D3">
        <w:rPr>
          <w:rFonts w:cs="Times New Roman"/>
          <w:szCs w:val="24"/>
        </w:rPr>
        <w:t xml:space="preserve"> </w:t>
      </w:r>
      <w:r>
        <w:t>P</w:t>
      </w:r>
      <w:r w:rsidRPr="00FB7B20">
        <w:t xml:space="preserve">rofiles of current speed intensities and direction at the </w:t>
      </w:r>
      <w:r>
        <w:t>six</w:t>
      </w:r>
      <w:r w:rsidRPr="00FB7B20">
        <w:t xml:space="preserve"> CTD casts reported</w:t>
      </w:r>
      <w:r w:rsidRPr="00EE5E4D">
        <w:t xml:space="preserve"> </w:t>
      </w:r>
      <w:r>
        <w:t>with the d</w:t>
      </w:r>
      <w:r w:rsidRPr="00EE5E4D">
        <w:t>issolved Sr and Li concentrations (a</w:t>
      </w:r>
      <w:r>
        <w:t xml:space="preserve">, </w:t>
      </w:r>
      <w:r w:rsidRPr="00EE5E4D">
        <w:t xml:space="preserve">c) and </w:t>
      </w:r>
      <w:r>
        <w:t xml:space="preserve">their </w:t>
      </w:r>
      <w:r w:rsidRPr="00EE5E4D">
        <w:t>isotopic compositions (b</w:t>
      </w:r>
      <w:r>
        <w:t xml:space="preserve">, </w:t>
      </w:r>
      <w:r w:rsidRPr="00EE5E4D">
        <w:t xml:space="preserve">d) </w:t>
      </w:r>
      <w:r>
        <w:t xml:space="preserve">on top of </w:t>
      </w:r>
      <w:r w:rsidRPr="00EE5E4D">
        <w:t>the LSHF bathymetric map</w:t>
      </w:r>
      <w:r w:rsidRPr="00FB7B20">
        <w:t>.</w:t>
      </w:r>
    </w:p>
    <w:p w14:paraId="7CACA59A" w14:textId="77777777" w:rsidR="001F6E9D" w:rsidRPr="001549D3" w:rsidRDefault="001F6E9D" w:rsidP="002A1852">
      <w:pPr>
        <w:keepNext/>
        <w:jc w:val="both"/>
      </w:pPr>
    </w:p>
    <w:sectPr w:rsidR="001F6E9D"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82F81" w14:textId="77777777" w:rsidR="00E33F16" w:rsidRDefault="00E33F16" w:rsidP="00117666">
      <w:pPr>
        <w:spacing w:after="0"/>
      </w:pPr>
      <w:r>
        <w:separator/>
      </w:r>
    </w:p>
  </w:endnote>
  <w:endnote w:type="continuationSeparator" w:id="0">
    <w:p w14:paraId="52597363" w14:textId="77777777" w:rsidR="00E33F16" w:rsidRDefault="00E33F1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D3CA4" w14:textId="77777777" w:rsidR="00E33F16" w:rsidRDefault="00E33F16" w:rsidP="00117666">
      <w:pPr>
        <w:spacing w:after="0"/>
      </w:pPr>
      <w:r>
        <w:separator/>
      </w:r>
    </w:p>
  </w:footnote>
  <w:footnote w:type="continuationSeparator" w:id="0">
    <w:p w14:paraId="37FED2F6" w14:textId="77777777" w:rsidR="00E33F16" w:rsidRDefault="00E33F1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58E"/>
    <w:rsid w:val="0000189A"/>
    <w:rsid w:val="0001436A"/>
    <w:rsid w:val="00034304"/>
    <w:rsid w:val="00035434"/>
    <w:rsid w:val="000508DF"/>
    <w:rsid w:val="00052A14"/>
    <w:rsid w:val="0006508E"/>
    <w:rsid w:val="00077D53"/>
    <w:rsid w:val="0009739A"/>
    <w:rsid w:val="000C2AF9"/>
    <w:rsid w:val="000D2838"/>
    <w:rsid w:val="000F5729"/>
    <w:rsid w:val="00105FD9"/>
    <w:rsid w:val="00117666"/>
    <w:rsid w:val="001549D3"/>
    <w:rsid w:val="00160065"/>
    <w:rsid w:val="00177D84"/>
    <w:rsid w:val="001D24D4"/>
    <w:rsid w:val="001F6E9D"/>
    <w:rsid w:val="001F74EA"/>
    <w:rsid w:val="00204672"/>
    <w:rsid w:val="002401F3"/>
    <w:rsid w:val="00267D18"/>
    <w:rsid w:val="00274347"/>
    <w:rsid w:val="002868E2"/>
    <w:rsid w:val="002869C3"/>
    <w:rsid w:val="002936E4"/>
    <w:rsid w:val="002A1852"/>
    <w:rsid w:val="002B4A57"/>
    <w:rsid w:val="002C74CA"/>
    <w:rsid w:val="002E43F6"/>
    <w:rsid w:val="003123F4"/>
    <w:rsid w:val="003412A3"/>
    <w:rsid w:val="003544FB"/>
    <w:rsid w:val="003D2F2D"/>
    <w:rsid w:val="00401590"/>
    <w:rsid w:val="00427269"/>
    <w:rsid w:val="00435F40"/>
    <w:rsid w:val="00447801"/>
    <w:rsid w:val="00452E9C"/>
    <w:rsid w:val="004735C8"/>
    <w:rsid w:val="00483C0E"/>
    <w:rsid w:val="004947A6"/>
    <w:rsid w:val="004961FF"/>
    <w:rsid w:val="005008EC"/>
    <w:rsid w:val="00517A89"/>
    <w:rsid w:val="005250F2"/>
    <w:rsid w:val="0056719C"/>
    <w:rsid w:val="00593EEA"/>
    <w:rsid w:val="005A5EEE"/>
    <w:rsid w:val="006375C7"/>
    <w:rsid w:val="00654E8F"/>
    <w:rsid w:val="00660D05"/>
    <w:rsid w:val="00671965"/>
    <w:rsid w:val="00675740"/>
    <w:rsid w:val="006820B1"/>
    <w:rsid w:val="006B7D14"/>
    <w:rsid w:val="00701727"/>
    <w:rsid w:val="0070566C"/>
    <w:rsid w:val="007060E2"/>
    <w:rsid w:val="00714C50"/>
    <w:rsid w:val="00725A7D"/>
    <w:rsid w:val="007501BE"/>
    <w:rsid w:val="0075146E"/>
    <w:rsid w:val="00790BB3"/>
    <w:rsid w:val="007C206C"/>
    <w:rsid w:val="007D2E63"/>
    <w:rsid w:val="00800C66"/>
    <w:rsid w:val="00817DD6"/>
    <w:rsid w:val="0083759F"/>
    <w:rsid w:val="00885156"/>
    <w:rsid w:val="008A2E45"/>
    <w:rsid w:val="00901F79"/>
    <w:rsid w:val="009151AA"/>
    <w:rsid w:val="0092585E"/>
    <w:rsid w:val="0093429D"/>
    <w:rsid w:val="00943573"/>
    <w:rsid w:val="00963FCD"/>
    <w:rsid w:val="00964134"/>
    <w:rsid w:val="00970F7D"/>
    <w:rsid w:val="00994A3D"/>
    <w:rsid w:val="00997CE1"/>
    <w:rsid w:val="009A36DC"/>
    <w:rsid w:val="009B444E"/>
    <w:rsid w:val="009C2B12"/>
    <w:rsid w:val="00A174D9"/>
    <w:rsid w:val="00A71DB1"/>
    <w:rsid w:val="00AA4D24"/>
    <w:rsid w:val="00AB6715"/>
    <w:rsid w:val="00AE6B51"/>
    <w:rsid w:val="00B1671E"/>
    <w:rsid w:val="00B25EB8"/>
    <w:rsid w:val="00B37F4D"/>
    <w:rsid w:val="00B92151"/>
    <w:rsid w:val="00C343B3"/>
    <w:rsid w:val="00C52A7B"/>
    <w:rsid w:val="00C56BAF"/>
    <w:rsid w:val="00C679AA"/>
    <w:rsid w:val="00C75972"/>
    <w:rsid w:val="00CD066B"/>
    <w:rsid w:val="00CE4FEE"/>
    <w:rsid w:val="00D060CF"/>
    <w:rsid w:val="00D83F54"/>
    <w:rsid w:val="00DB59C3"/>
    <w:rsid w:val="00DC259A"/>
    <w:rsid w:val="00DE23E8"/>
    <w:rsid w:val="00DF40D6"/>
    <w:rsid w:val="00DF7A69"/>
    <w:rsid w:val="00E33F16"/>
    <w:rsid w:val="00E52377"/>
    <w:rsid w:val="00E537AD"/>
    <w:rsid w:val="00E64E17"/>
    <w:rsid w:val="00E866C9"/>
    <w:rsid w:val="00EA3D3C"/>
    <w:rsid w:val="00EC090A"/>
    <w:rsid w:val="00ED20B5"/>
    <w:rsid w:val="00F22AFC"/>
    <w:rsid w:val="00F23188"/>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80644248">
      <w:bodyDiv w:val="1"/>
      <w:marLeft w:val="0"/>
      <w:marRight w:val="0"/>
      <w:marTop w:val="0"/>
      <w:marBottom w:val="0"/>
      <w:divBdr>
        <w:top w:val="none" w:sz="0" w:space="0" w:color="auto"/>
        <w:left w:val="none" w:sz="0" w:space="0" w:color="auto"/>
        <w:bottom w:val="none" w:sz="0" w:space="0" w:color="auto"/>
        <w:right w:val="none" w:sz="0" w:space="0" w:color="auto"/>
      </w:divBdr>
      <w:divsChild>
        <w:div w:id="1029138362">
          <w:marLeft w:val="0"/>
          <w:marRight w:val="0"/>
          <w:marTop w:val="0"/>
          <w:marBottom w:val="0"/>
          <w:divBdr>
            <w:top w:val="none" w:sz="0" w:space="0" w:color="auto"/>
            <w:left w:val="none" w:sz="0" w:space="0" w:color="auto"/>
            <w:bottom w:val="none" w:sz="0" w:space="0" w:color="auto"/>
            <w:right w:val="none" w:sz="0" w:space="0" w:color="auto"/>
          </w:divBdr>
          <w:divsChild>
            <w:div w:id="662857760">
              <w:marLeft w:val="0"/>
              <w:marRight w:val="0"/>
              <w:marTop w:val="0"/>
              <w:marBottom w:val="0"/>
              <w:divBdr>
                <w:top w:val="none" w:sz="0" w:space="0" w:color="auto"/>
                <w:left w:val="none" w:sz="0" w:space="0" w:color="auto"/>
                <w:bottom w:val="none" w:sz="0" w:space="0" w:color="auto"/>
                <w:right w:val="none" w:sz="0" w:space="0" w:color="auto"/>
              </w:divBdr>
              <w:divsChild>
                <w:div w:id="1145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4564">
      <w:bodyDiv w:val="1"/>
      <w:marLeft w:val="0"/>
      <w:marRight w:val="0"/>
      <w:marTop w:val="0"/>
      <w:marBottom w:val="0"/>
      <w:divBdr>
        <w:top w:val="none" w:sz="0" w:space="0" w:color="auto"/>
        <w:left w:val="none" w:sz="0" w:space="0" w:color="auto"/>
        <w:bottom w:val="none" w:sz="0" w:space="0" w:color="auto"/>
        <w:right w:val="none" w:sz="0" w:space="0" w:color="auto"/>
      </w:divBdr>
      <w:divsChild>
        <w:div w:id="136920372">
          <w:marLeft w:val="0"/>
          <w:marRight w:val="0"/>
          <w:marTop w:val="0"/>
          <w:marBottom w:val="0"/>
          <w:divBdr>
            <w:top w:val="none" w:sz="0" w:space="0" w:color="auto"/>
            <w:left w:val="none" w:sz="0" w:space="0" w:color="auto"/>
            <w:bottom w:val="none" w:sz="0" w:space="0" w:color="auto"/>
            <w:right w:val="none" w:sz="0" w:space="0" w:color="auto"/>
          </w:divBdr>
          <w:divsChild>
            <w:div w:id="905530440">
              <w:marLeft w:val="0"/>
              <w:marRight w:val="0"/>
              <w:marTop w:val="0"/>
              <w:marBottom w:val="0"/>
              <w:divBdr>
                <w:top w:val="none" w:sz="0" w:space="0" w:color="auto"/>
                <w:left w:val="none" w:sz="0" w:space="0" w:color="auto"/>
                <w:bottom w:val="none" w:sz="0" w:space="0" w:color="auto"/>
                <w:right w:val="none" w:sz="0" w:space="0" w:color="auto"/>
              </w:divBdr>
              <w:divsChild>
                <w:div w:id="5293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4</Pages>
  <Words>3683</Words>
  <Characters>20259</Characters>
  <Application>Microsoft Office Word</Application>
  <DocSecurity>0</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Lise Artigue</cp:lastModifiedBy>
  <cp:revision>2</cp:revision>
  <cp:lastPrinted>2013-10-03T12:51:00Z</cp:lastPrinted>
  <dcterms:created xsi:type="dcterms:W3CDTF">2022-01-26T19:49:00Z</dcterms:created>
  <dcterms:modified xsi:type="dcterms:W3CDTF">2022-01-26T19:49:00Z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zotero-version="5.0.97-beta.46+4cfa23050"&gt;&lt;session id="0IIYsamw"/&gt;&lt;style id="http://www.zotero.org/styles/apa-la" locale="en-US" hasBibliography="1" bibliographyStyleHasBeenSet="0"/&gt;&lt;prefs&gt;&lt;pref name="fieldType" value="Field"/&gt;&lt;pref</vt:lpwstr>
  </property>
  <property fmtid="{D5CDD505-2E9C-101B-9397-08002B2CF9AE}" pid="3" name="ZOTERO_PREF_2">
    <vt:lpwstr> name="automaticJournalAbbreviations" value="true"/&gt;&lt;/prefs&gt;&lt;/data&gt;</vt:lpwstr>
  </property>
</Properties>
</file>