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6DC6C" w14:textId="77777777" w:rsidR="00DD06F4" w:rsidRDefault="004B4DFA">
      <w:r w:rsidRPr="004B4DFA">
        <w:rPr>
          <w:b/>
        </w:rPr>
        <w:t>Earthquake triggering in Bute Inlet</w:t>
      </w:r>
    </w:p>
    <w:p w14:paraId="0132D1F0" w14:textId="77777777" w:rsidR="000A51CB" w:rsidRDefault="004B4DFA">
      <w:r>
        <w:t xml:space="preserve">Although </w:t>
      </w:r>
      <w:r w:rsidR="00213C85">
        <w:t xml:space="preserve">Bute Inlet is not directly in a seismically active location, many </w:t>
      </w:r>
      <w:r w:rsidR="00213C85" w:rsidRPr="00213C85">
        <w:t>earthquakes occur along the plate boundaries between the Pacific plate, Juan de Fuca plate, and North American plate as well as (Juan de Fuca Ridge, Cascadia subduction zone, Queen charlotte Fault</w:t>
      </w:r>
      <w:r w:rsidR="00213C85">
        <w:t>.</w:t>
      </w:r>
      <w:r w:rsidR="00E0366A">
        <w:t xml:space="preserve"> However, it is unclear how close earthquakes need to be to be able to trigger turbidity currents. We used the USGS </w:t>
      </w:r>
      <w:r w:rsidR="000A51CB">
        <w:t>‘</w:t>
      </w:r>
      <w:r w:rsidR="00E0366A">
        <w:t>DYFI</w:t>
      </w:r>
      <w:r w:rsidR="000A51CB">
        <w:t>’</w:t>
      </w:r>
      <w:r w:rsidR="00E0366A">
        <w:t xml:space="preserve"> and </w:t>
      </w:r>
      <w:r w:rsidR="000A51CB">
        <w:t>‘</w:t>
      </w:r>
      <w:proofErr w:type="spellStart"/>
      <w:r w:rsidR="000A51CB">
        <w:t>s</w:t>
      </w:r>
      <w:r w:rsidR="00E0366A">
        <w:t>hakemaps</w:t>
      </w:r>
      <w:proofErr w:type="spellEnd"/>
      <w:r w:rsidR="000A51CB">
        <w:t>’ to determine the radius to search for different magnitude earthquakes in the area (</w:t>
      </w:r>
      <w:hyperlink r:id="rId7" w:history="1">
        <w:r w:rsidR="00297C01" w:rsidRPr="004D5C2A">
          <w:rPr>
            <w:rStyle w:val="Hyperlink"/>
          </w:rPr>
          <w:t>https://earthquake.usgs.gov/earthquakes/search/</w:t>
        </w:r>
      </w:hyperlink>
      <w:r w:rsidR="00297C01">
        <w:t xml:space="preserve">; </w:t>
      </w:r>
      <w:r w:rsidR="000A51CB">
        <w:t>Supplementary table 1)</w:t>
      </w:r>
      <w:r w:rsidR="000C3618">
        <w:t xml:space="preserve">. </w:t>
      </w:r>
    </w:p>
    <w:tbl>
      <w:tblPr>
        <w:tblStyle w:val="TableGrid"/>
        <w:tblW w:w="0" w:type="auto"/>
        <w:tblLook w:val="04A0" w:firstRow="1" w:lastRow="0" w:firstColumn="1" w:lastColumn="0" w:noHBand="0" w:noVBand="1"/>
      </w:tblPr>
      <w:tblGrid>
        <w:gridCol w:w="1696"/>
        <w:gridCol w:w="1701"/>
      </w:tblGrid>
      <w:tr w:rsidR="000A51CB" w14:paraId="037CF961" w14:textId="77777777" w:rsidTr="000A51CB">
        <w:tc>
          <w:tcPr>
            <w:tcW w:w="1696" w:type="dxa"/>
          </w:tcPr>
          <w:p w14:paraId="15AC883B" w14:textId="77777777" w:rsidR="000A51CB" w:rsidRDefault="000A51CB">
            <w:r>
              <w:t>Magnitude</w:t>
            </w:r>
          </w:p>
        </w:tc>
        <w:tc>
          <w:tcPr>
            <w:tcW w:w="1701" w:type="dxa"/>
          </w:tcPr>
          <w:p w14:paraId="16F30113" w14:textId="77777777" w:rsidR="000A51CB" w:rsidRDefault="000A51CB">
            <w:r>
              <w:t>Radius searched</w:t>
            </w:r>
          </w:p>
        </w:tc>
      </w:tr>
      <w:tr w:rsidR="000A51CB" w14:paraId="650975E5" w14:textId="77777777" w:rsidTr="000A51CB">
        <w:tc>
          <w:tcPr>
            <w:tcW w:w="1696" w:type="dxa"/>
          </w:tcPr>
          <w:p w14:paraId="6C77B44C" w14:textId="77777777" w:rsidR="000A51CB" w:rsidRDefault="000A51CB" w:rsidP="000A51CB">
            <w:r>
              <w:t xml:space="preserve">&gt; 6 </w:t>
            </w:r>
          </w:p>
        </w:tc>
        <w:tc>
          <w:tcPr>
            <w:tcW w:w="1701" w:type="dxa"/>
          </w:tcPr>
          <w:p w14:paraId="474CB6B1" w14:textId="77777777" w:rsidR="000A51CB" w:rsidRDefault="000A51CB">
            <w:r>
              <w:t>2000 km</w:t>
            </w:r>
          </w:p>
        </w:tc>
      </w:tr>
      <w:tr w:rsidR="000A51CB" w14:paraId="76CA5BFF" w14:textId="77777777" w:rsidTr="000A51CB">
        <w:tc>
          <w:tcPr>
            <w:tcW w:w="1696" w:type="dxa"/>
          </w:tcPr>
          <w:p w14:paraId="36FCCAFA" w14:textId="77777777" w:rsidR="000A51CB" w:rsidRDefault="000A51CB">
            <w:r>
              <w:t xml:space="preserve">4 – 6 </w:t>
            </w:r>
          </w:p>
        </w:tc>
        <w:tc>
          <w:tcPr>
            <w:tcW w:w="1701" w:type="dxa"/>
          </w:tcPr>
          <w:p w14:paraId="1B03AB2B" w14:textId="77777777" w:rsidR="000A51CB" w:rsidRDefault="000A51CB">
            <w:r>
              <w:t>1000 km</w:t>
            </w:r>
          </w:p>
        </w:tc>
      </w:tr>
      <w:tr w:rsidR="000A51CB" w14:paraId="1609E8A5" w14:textId="77777777" w:rsidTr="000A51CB">
        <w:tc>
          <w:tcPr>
            <w:tcW w:w="1696" w:type="dxa"/>
          </w:tcPr>
          <w:p w14:paraId="4C383B80" w14:textId="77777777" w:rsidR="000A51CB" w:rsidRDefault="000A51CB">
            <w:r>
              <w:t xml:space="preserve">3 – 4 </w:t>
            </w:r>
          </w:p>
        </w:tc>
        <w:tc>
          <w:tcPr>
            <w:tcW w:w="1701" w:type="dxa"/>
          </w:tcPr>
          <w:p w14:paraId="244F6CB4" w14:textId="77777777" w:rsidR="000A51CB" w:rsidRDefault="000A51CB">
            <w:r>
              <w:t>500 km</w:t>
            </w:r>
          </w:p>
        </w:tc>
      </w:tr>
      <w:tr w:rsidR="000A51CB" w14:paraId="4F614754" w14:textId="77777777" w:rsidTr="000A51CB">
        <w:tc>
          <w:tcPr>
            <w:tcW w:w="1696" w:type="dxa"/>
          </w:tcPr>
          <w:p w14:paraId="152EBEB6" w14:textId="77777777" w:rsidR="000A51CB" w:rsidRDefault="000A51CB">
            <w:r>
              <w:t xml:space="preserve">1 – 3 </w:t>
            </w:r>
          </w:p>
        </w:tc>
        <w:tc>
          <w:tcPr>
            <w:tcW w:w="1701" w:type="dxa"/>
          </w:tcPr>
          <w:p w14:paraId="3D570B82" w14:textId="77777777" w:rsidR="000A51CB" w:rsidRDefault="000A51CB">
            <w:r>
              <w:t>250 km</w:t>
            </w:r>
          </w:p>
        </w:tc>
      </w:tr>
    </w:tbl>
    <w:p w14:paraId="61FA37D5" w14:textId="77777777" w:rsidR="000A51CB" w:rsidRPr="005C57F7" w:rsidRDefault="005C57F7" w:rsidP="005C57F7">
      <w:pPr>
        <w:spacing w:after="0"/>
        <w:rPr>
          <w:i/>
        </w:rPr>
      </w:pPr>
      <w:r w:rsidRPr="005C57F7">
        <w:rPr>
          <w:i/>
        </w:rPr>
        <w:t>Supplementary table 1: Radius around the head of the Bute Inlet searched for different magnitude earthquakes based on the USGS</w:t>
      </w:r>
    </w:p>
    <w:p w14:paraId="573CC9CF" w14:textId="77777777" w:rsidR="005C57F7" w:rsidRDefault="005C57F7" w:rsidP="00811865">
      <w:pPr>
        <w:spacing w:after="0"/>
      </w:pPr>
    </w:p>
    <w:p w14:paraId="5216E576" w14:textId="77777777" w:rsidR="004B4DFA" w:rsidRDefault="00447C8D">
      <w:r>
        <w:t>We used these radii to search for earthquake that might have been felt in Bute Inlet (</w:t>
      </w:r>
      <w:hyperlink r:id="rId8" w:history="1">
        <w:r w:rsidRPr="004D5C2A">
          <w:rPr>
            <w:rStyle w:val="Hyperlink"/>
          </w:rPr>
          <w:t>https://earthquake.usgs.gov/earthquakes/search/</w:t>
        </w:r>
      </w:hyperlink>
      <w:r>
        <w:t xml:space="preserve">). </w:t>
      </w:r>
      <w:r w:rsidR="000C3618">
        <w:t xml:space="preserve">The resulting earthquakes are grouped per period of activity on the lobe (Supplementary </w:t>
      </w:r>
      <w:r w:rsidR="003B522F">
        <w:t>fig. 1</w:t>
      </w:r>
      <w:r w:rsidR="000C3618">
        <w:t xml:space="preserve">; Supplementary </w:t>
      </w:r>
      <w:r w:rsidR="003B522F">
        <w:t>table 2</w:t>
      </w:r>
      <w:r w:rsidR="000C3618">
        <w:t>).</w:t>
      </w:r>
      <w:r w:rsidR="003B522F">
        <w:t xml:space="preserve"> </w:t>
      </w:r>
      <w:r>
        <w:t xml:space="preserve">Many earthquakes are found that could be potential triggers, however most are weak (&lt; 6 magnitude). </w:t>
      </w:r>
      <w:r w:rsidR="00BD3822">
        <w:t xml:space="preserve">A full overview of all earthquakes can be found in Supplementary table 3. </w:t>
      </w:r>
      <w:r w:rsidR="003B522F">
        <w:t>One strong (&gt; 6 magnitude) earthquake occurred relatively close to the head of But</w:t>
      </w:r>
      <w:r w:rsidR="00690D74">
        <w:t>e Inlet, which could be a potential trigger for a flushing event (supplementary fig. 1). However, no clear earthquake signal can be linked to the deposition on the lobe that occurred between June 2014 and February 2015.</w:t>
      </w:r>
    </w:p>
    <w:tbl>
      <w:tblPr>
        <w:tblStyle w:val="TableGrid"/>
        <w:tblW w:w="0" w:type="auto"/>
        <w:tblLook w:val="04A0" w:firstRow="1" w:lastRow="0" w:firstColumn="1" w:lastColumn="0" w:noHBand="0" w:noVBand="1"/>
      </w:tblPr>
      <w:tblGrid>
        <w:gridCol w:w="1838"/>
        <w:gridCol w:w="1701"/>
        <w:gridCol w:w="1870"/>
        <w:gridCol w:w="1803"/>
        <w:gridCol w:w="1804"/>
      </w:tblGrid>
      <w:tr w:rsidR="000C3618" w14:paraId="5D196FE6" w14:textId="77777777" w:rsidTr="000C3618">
        <w:tc>
          <w:tcPr>
            <w:tcW w:w="1838" w:type="dxa"/>
          </w:tcPr>
          <w:p w14:paraId="536DC2D9" w14:textId="77777777" w:rsidR="000C3618" w:rsidRDefault="000C3618" w:rsidP="000C3618">
            <w:r>
              <w:t>Magnitude</w:t>
            </w:r>
          </w:p>
        </w:tc>
        <w:tc>
          <w:tcPr>
            <w:tcW w:w="1701" w:type="dxa"/>
            <w:vAlign w:val="bottom"/>
          </w:tcPr>
          <w:p w14:paraId="34D8D6A6" w14:textId="77777777" w:rsidR="000C3618" w:rsidRDefault="000C3618" w:rsidP="000C3618">
            <w:pPr>
              <w:rPr>
                <w:rFonts w:ascii="Calibri" w:hAnsi="Calibri" w:cs="Calibri"/>
                <w:color w:val="000000"/>
              </w:rPr>
            </w:pPr>
            <w:r>
              <w:rPr>
                <w:rFonts w:ascii="Calibri" w:hAnsi="Calibri" w:cs="Calibri"/>
                <w:color w:val="000000"/>
              </w:rPr>
              <w:t>March 2008 – November 2010</w:t>
            </w:r>
          </w:p>
        </w:tc>
        <w:tc>
          <w:tcPr>
            <w:tcW w:w="1870" w:type="dxa"/>
            <w:vAlign w:val="bottom"/>
          </w:tcPr>
          <w:p w14:paraId="7DAF73A5" w14:textId="77777777" w:rsidR="000C3618" w:rsidRDefault="000C3618" w:rsidP="000C3618">
            <w:pPr>
              <w:rPr>
                <w:rFonts w:ascii="Calibri" w:hAnsi="Calibri" w:cs="Calibri"/>
                <w:color w:val="000000"/>
              </w:rPr>
            </w:pPr>
            <w:r>
              <w:rPr>
                <w:rFonts w:ascii="Calibri" w:hAnsi="Calibri" w:cs="Calibri"/>
                <w:color w:val="000000"/>
              </w:rPr>
              <w:t>November 2010 – June 2014</w:t>
            </w:r>
          </w:p>
        </w:tc>
        <w:tc>
          <w:tcPr>
            <w:tcW w:w="1803" w:type="dxa"/>
            <w:vAlign w:val="bottom"/>
          </w:tcPr>
          <w:p w14:paraId="4EF47CDF" w14:textId="77777777" w:rsidR="000C3618" w:rsidRDefault="000C3618" w:rsidP="000C3618">
            <w:pPr>
              <w:rPr>
                <w:rFonts w:ascii="Calibri" w:hAnsi="Calibri" w:cs="Calibri"/>
                <w:color w:val="000000"/>
              </w:rPr>
            </w:pPr>
            <w:r>
              <w:rPr>
                <w:rFonts w:ascii="Calibri" w:hAnsi="Calibri" w:cs="Calibri"/>
                <w:color w:val="000000"/>
              </w:rPr>
              <w:t>June 2014 –February 2015</w:t>
            </w:r>
          </w:p>
        </w:tc>
        <w:tc>
          <w:tcPr>
            <w:tcW w:w="1804" w:type="dxa"/>
            <w:vAlign w:val="bottom"/>
          </w:tcPr>
          <w:p w14:paraId="146761A3" w14:textId="77777777" w:rsidR="000C3618" w:rsidRDefault="000C3618" w:rsidP="000C3618">
            <w:pPr>
              <w:rPr>
                <w:rFonts w:ascii="Calibri" w:hAnsi="Calibri" w:cs="Calibri"/>
                <w:color w:val="000000"/>
              </w:rPr>
            </w:pPr>
            <w:r>
              <w:rPr>
                <w:rFonts w:ascii="Calibri" w:hAnsi="Calibri" w:cs="Calibri"/>
                <w:color w:val="000000"/>
              </w:rPr>
              <w:t>February 2015 –November 2018</w:t>
            </w:r>
          </w:p>
        </w:tc>
      </w:tr>
      <w:tr w:rsidR="0062256E" w14:paraId="6D146410" w14:textId="77777777" w:rsidTr="000C3618">
        <w:tc>
          <w:tcPr>
            <w:tcW w:w="1838" w:type="dxa"/>
          </w:tcPr>
          <w:p w14:paraId="33E6A18C" w14:textId="77777777" w:rsidR="0062256E" w:rsidRDefault="000A7AB0" w:rsidP="000C3618">
            <w:r>
              <w:t>Deposition on the lobe?</w:t>
            </w:r>
          </w:p>
        </w:tc>
        <w:tc>
          <w:tcPr>
            <w:tcW w:w="1701" w:type="dxa"/>
            <w:vAlign w:val="bottom"/>
          </w:tcPr>
          <w:p w14:paraId="31D04D47" w14:textId="77777777" w:rsidR="0062256E" w:rsidRDefault="000A7AB0" w:rsidP="000C3618">
            <w:pPr>
              <w:rPr>
                <w:rFonts w:ascii="Calibri" w:hAnsi="Calibri" w:cs="Calibri"/>
                <w:color w:val="000000"/>
              </w:rPr>
            </w:pPr>
            <w:r>
              <w:rPr>
                <w:rFonts w:ascii="Calibri" w:hAnsi="Calibri" w:cs="Calibri"/>
                <w:color w:val="000000"/>
              </w:rPr>
              <w:t>No</w:t>
            </w:r>
          </w:p>
        </w:tc>
        <w:tc>
          <w:tcPr>
            <w:tcW w:w="1870" w:type="dxa"/>
            <w:vAlign w:val="bottom"/>
          </w:tcPr>
          <w:p w14:paraId="1F317955" w14:textId="77777777" w:rsidR="0062256E" w:rsidRDefault="000A7AB0" w:rsidP="000C3618">
            <w:pPr>
              <w:rPr>
                <w:rFonts w:ascii="Calibri" w:hAnsi="Calibri" w:cs="Calibri"/>
                <w:color w:val="000000"/>
              </w:rPr>
            </w:pPr>
            <w:r>
              <w:rPr>
                <w:rFonts w:ascii="Calibri" w:hAnsi="Calibri" w:cs="Calibri"/>
                <w:color w:val="000000"/>
              </w:rPr>
              <w:t>Yes</w:t>
            </w:r>
          </w:p>
        </w:tc>
        <w:tc>
          <w:tcPr>
            <w:tcW w:w="1803" w:type="dxa"/>
            <w:vAlign w:val="bottom"/>
          </w:tcPr>
          <w:p w14:paraId="480871DE" w14:textId="77777777" w:rsidR="0062256E" w:rsidRDefault="000A7AB0" w:rsidP="000C3618">
            <w:pPr>
              <w:rPr>
                <w:rFonts w:ascii="Calibri" w:hAnsi="Calibri" w:cs="Calibri"/>
                <w:color w:val="000000"/>
              </w:rPr>
            </w:pPr>
            <w:r>
              <w:rPr>
                <w:rFonts w:ascii="Calibri" w:hAnsi="Calibri" w:cs="Calibri"/>
                <w:color w:val="000000"/>
              </w:rPr>
              <w:t>Yes</w:t>
            </w:r>
          </w:p>
        </w:tc>
        <w:tc>
          <w:tcPr>
            <w:tcW w:w="1804" w:type="dxa"/>
            <w:vAlign w:val="bottom"/>
          </w:tcPr>
          <w:p w14:paraId="07053023" w14:textId="77777777" w:rsidR="0062256E" w:rsidRDefault="000A7AB0" w:rsidP="000C3618">
            <w:pPr>
              <w:rPr>
                <w:rFonts w:ascii="Calibri" w:hAnsi="Calibri" w:cs="Calibri"/>
                <w:color w:val="000000"/>
              </w:rPr>
            </w:pPr>
            <w:r>
              <w:rPr>
                <w:rFonts w:ascii="Calibri" w:hAnsi="Calibri" w:cs="Calibri"/>
                <w:color w:val="000000"/>
              </w:rPr>
              <w:t>No</w:t>
            </w:r>
          </w:p>
        </w:tc>
      </w:tr>
      <w:tr w:rsidR="000C3618" w14:paraId="7DB7EA34" w14:textId="77777777" w:rsidTr="00DD06F4">
        <w:tc>
          <w:tcPr>
            <w:tcW w:w="1838" w:type="dxa"/>
          </w:tcPr>
          <w:p w14:paraId="424FA03D" w14:textId="77777777" w:rsidR="000C3618" w:rsidRDefault="000C3618" w:rsidP="000C3618">
            <w:r>
              <w:t xml:space="preserve">&gt; 6 </w:t>
            </w:r>
          </w:p>
        </w:tc>
        <w:tc>
          <w:tcPr>
            <w:tcW w:w="1701" w:type="dxa"/>
            <w:vAlign w:val="bottom"/>
          </w:tcPr>
          <w:p w14:paraId="03C329B1" w14:textId="77777777" w:rsidR="000C3618" w:rsidRDefault="000C3618" w:rsidP="000C3618">
            <w:pPr>
              <w:jc w:val="right"/>
              <w:rPr>
                <w:rFonts w:ascii="Calibri" w:hAnsi="Calibri" w:cs="Calibri"/>
                <w:color w:val="000000"/>
              </w:rPr>
            </w:pPr>
            <w:r>
              <w:rPr>
                <w:rFonts w:ascii="Calibri" w:hAnsi="Calibri" w:cs="Calibri"/>
                <w:color w:val="000000"/>
              </w:rPr>
              <w:t>2</w:t>
            </w:r>
          </w:p>
        </w:tc>
        <w:tc>
          <w:tcPr>
            <w:tcW w:w="1870" w:type="dxa"/>
            <w:vAlign w:val="bottom"/>
          </w:tcPr>
          <w:p w14:paraId="7123237F" w14:textId="77777777" w:rsidR="000C3618" w:rsidRDefault="000C3618" w:rsidP="000C3618">
            <w:pPr>
              <w:jc w:val="right"/>
              <w:rPr>
                <w:rFonts w:ascii="Calibri" w:hAnsi="Calibri" w:cs="Calibri"/>
                <w:color w:val="000000"/>
              </w:rPr>
            </w:pPr>
            <w:r>
              <w:rPr>
                <w:rFonts w:ascii="Calibri" w:hAnsi="Calibri" w:cs="Calibri"/>
                <w:color w:val="000000"/>
              </w:rPr>
              <w:t>12</w:t>
            </w:r>
          </w:p>
        </w:tc>
        <w:tc>
          <w:tcPr>
            <w:tcW w:w="1803" w:type="dxa"/>
            <w:vAlign w:val="bottom"/>
          </w:tcPr>
          <w:p w14:paraId="6C15A1D1" w14:textId="77777777" w:rsidR="000C3618" w:rsidRDefault="000C3618" w:rsidP="000C3618">
            <w:pPr>
              <w:jc w:val="right"/>
              <w:rPr>
                <w:rFonts w:ascii="Calibri" w:hAnsi="Calibri" w:cs="Calibri"/>
                <w:color w:val="000000"/>
              </w:rPr>
            </w:pPr>
            <w:r>
              <w:rPr>
                <w:rFonts w:ascii="Calibri" w:hAnsi="Calibri" w:cs="Calibri"/>
                <w:color w:val="000000"/>
              </w:rPr>
              <w:t>3</w:t>
            </w:r>
          </w:p>
        </w:tc>
        <w:tc>
          <w:tcPr>
            <w:tcW w:w="1804" w:type="dxa"/>
            <w:vAlign w:val="bottom"/>
          </w:tcPr>
          <w:p w14:paraId="14EDB14F" w14:textId="77777777" w:rsidR="000C3618" w:rsidRDefault="000C3618" w:rsidP="000C3618">
            <w:pPr>
              <w:jc w:val="right"/>
              <w:rPr>
                <w:rFonts w:ascii="Calibri" w:hAnsi="Calibri" w:cs="Calibri"/>
                <w:color w:val="000000"/>
              </w:rPr>
            </w:pPr>
            <w:r>
              <w:rPr>
                <w:rFonts w:ascii="Calibri" w:hAnsi="Calibri" w:cs="Calibri"/>
                <w:color w:val="000000"/>
              </w:rPr>
              <w:t>10</w:t>
            </w:r>
          </w:p>
        </w:tc>
      </w:tr>
      <w:tr w:rsidR="000C3618" w14:paraId="169342E1" w14:textId="77777777" w:rsidTr="00DD06F4">
        <w:tc>
          <w:tcPr>
            <w:tcW w:w="1838" w:type="dxa"/>
          </w:tcPr>
          <w:p w14:paraId="13A0CA2C" w14:textId="77777777" w:rsidR="000C3618" w:rsidRDefault="000C3618" w:rsidP="000C3618">
            <w:r>
              <w:t xml:space="preserve">4 – 6 </w:t>
            </w:r>
          </w:p>
        </w:tc>
        <w:tc>
          <w:tcPr>
            <w:tcW w:w="1701" w:type="dxa"/>
            <w:vAlign w:val="bottom"/>
          </w:tcPr>
          <w:p w14:paraId="1A78C870" w14:textId="77777777" w:rsidR="000C3618" w:rsidRDefault="000C3618" w:rsidP="000C3618">
            <w:pPr>
              <w:jc w:val="right"/>
              <w:rPr>
                <w:rFonts w:ascii="Calibri" w:hAnsi="Calibri" w:cs="Calibri"/>
                <w:color w:val="000000"/>
              </w:rPr>
            </w:pPr>
            <w:r>
              <w:rPr>
                <w:rFonts w:ascii="Calibri" w:hAnsi="Calibri" w:cs="Calibri"/>
                <w:color w:val="000000"/>
              </w:rPr>
              <w:t>243</w:t>
            </w:r>
          </w:p>
        </w:tc>
        <w:tc>
          <w:tcPr>
            <w:tcW w:w="1870" w:type="dxa"/>
            <w:vAlign w:val="bottom"/>
          </w:tcPr>
          <w:p w14:paraId="26AE2AFC" w14:textId="77777777" w:rsidR="000C3618" w:rsidRDefault="000C3618" w:rsidP="000C3618">
            <w:pPr>
              <w:jc w:val="right"/>
              <w:rPr>
                <w:rFonts w:ascii="Calibri" w:hAnsi="Calibri" w:cs="Calibri"/>
                <w:color w:val="000000"/>
              </w:rPr>
            </w:pPr>
            <w:r>
              <w:rPr>
                <w:rFonts w:ascii="Calibri" w:hAnsi="Calibri" w:cs="Calibri"/>
                <w:color w:val="000000"/>
              </w:rPr>
              <w:t>403</w:t>
            </w:r>
          </w:p>
        </w:tc>
        <w:tc>
          <w:tcPr>
            <w:tcW w:w="1803" w:type="dxa"/>
            <w:vAlign w:val="bottom"/>
          </w:tcPr>
          <w:p w14:paraId="02B3C52A" w14:textId="77777777" w:rsidR="000C3618" w:rsidRDefault="000C3618" w:rsidP="000C3618">
            <w:pPr>
              <w:jc w:val="right"/>
              <w:rPr>
                <w:rFonts w:ascii="Calibri" w:hAnsi="Calibri" w:cs="Calibri"/>
                <w:color w:val="000000"/>
              </w:rPr>
            </w:pPr>
            <w:r>
              <w:rPr>
                <w:rFonts w:ascii="Calibri" w:hAnsi="Calibri" w:cs="Calibri"/>
                <w:color w:val="000000"/>
              </w:rPr>
              <w:t>32</w:t>
            </w:r>
          </w:p>
        </w:tc>
        <w:tc>
          <w:tcPr>
            <w:tcW w:w="1804" w:type="dxa"/>
            <w:vAlign w:val="bottom"/>
          </w:tcPr>
          <w:p w14:paraId="459F97E7" w14:textId="77777777" w:rsidR="000C3618" w:rsidRDefault="000C3618" w:rsidP="000C3618">
            <w:pPr>
              <w:jc w:val="right"/>
              <w:rPr>
                <w:rFonts w:ascii="Calibri" w:hAnsi="Calibri" w:cs="Calibri"/>
                <w:color w:val="000000"/>
              </w:rPr>
            </w:pPr>
            <w:r>
              <w:rPr>
                <w:rFonts w:ascii="Calibri" w:hAnsi="Calibri" w:cs="Calibri"/>
                <w:color w:val="000000"/>
              </w:rPr>
              <w:t>188</w:t>
            </w:r>
          </w:p>
        </w:tc>
      </w:tr>
      <w:tr w:rsidR="000C3618" w14:paraId="0FB0D8BA" w14:textId="77777777" w:rsidTr="00DD06F4">
        <w:tc>
          <w:tcPr>
            <w:tcW w:w="1838" w:type="dxa"/>
          </w:tcPr>
          <w:p w14:paraId="2A796092" w14:textId="77777777" w:rsidR="000C3618" w:rsidRDefault="000C3618" w:rsidP="000C3618">
            <w:r>
              <w:t xml:space="preserve">3 – 4 </w:t>
            </w:r>
          </w:p>
        </w:tc>
        <w:tc>
          <w:tcPr>
            <w:tcW w:w="1701" w:type="dxa"/>
            <w:vAlign w:val="bottom"/>
          </w:tcPr>
          <w:p w14:paraId="0D7A88AD" w14:textId="77777777" w:rsidR="000C3618" w:rsidRDefault="000C3618" w:rsidP="000C3618">
            <w:pPr>
              <w:jc w:val="right"/>
              <w:rPr>
                <w:rFonts w:ascii="Calibri" w:hAnsi="Calibri" w:cs="Calibri"/>
                <w:color w:val="000000"/>
              </w:rPr>
            </w:pPr>
            <w:r>
              <w:rPr>
                <w:rFonts w:ascii="Calibri" w:hAnsi="Calibri" w:cs="Calibri"/>
                <w:color w:val="000000"/>
              </w:rPr>
              <w:t>81</w:t>
            </w:r>
          </w:p>
        </w:tc>
        <w:tc>
          <w:tcPr>
            <w:tcW w:w="1870" w:type="dxa"/>
            <w:vAlign w:val="bottom"/>
          </w:tcPr>
          <w:p w14:paraId="30D9FAD6" w14:textId="77777777" w:rsidR="000C3618" w:rsidRDefault="000C3618" w:rsidP="000C3618">
            <w:pPr>
              <w:jc w:val="right"/>
              <w:rPr>
                <w:rFonts w:ascii="Calibri" w:hAnsi="Calibri" w:cs="Calibri"/>
                <w:color w:val="000000"/>
              </w:rPr>
            </w:pPr>
            <w:r>
              <w:rPr>
                <w:rFonts w:ascii="Calibri" w:hAnsi="Calibri" w:cs="Calibri"/>
                <w:color w:val="000000"/>
              </w:rPr>
              <w:t>72</w:t>
            </w:r>
          </w:p>
        </w:tc>
        <w:tc>
          <w:tcPr>
            <w:tcW w:w="1803" w:type="dxa"/>
            <w:vAlign w:val="bottom"/>
          </w:tcPr>
          <w:p w14:paraId="3578C11B" w14:textId="77777777" w:rsidR="000C3618" w:rsidRDefault="000C3618" w:rsidP="000C3618">
            <w:pPr>
              <w:jc w:val="right"/>
              <w:rPr>
                <w:rFonts w:ascii="Calibri" w:hAnsi="Calibri" w:cs="Calibri"/>
                <w:color w:val="000000"/>
              </w:rPr>
            </w:pPr>
            <w:r>
              <w:rPr>
                <w:rFonts w:ascii="Calibri" w:hAnsi="Calibri" w:cs="Calibri"/>
                <w:color w:val="000000"/>
              </w:rPr>
              <w:t>12</w:t>
            </w:r>
          </w:p>
        </w:tc>
        <w:tc>
          <w:tcPr>
            <w:tcW w:w="1804" w:type="dxa"/>
            <w:vAlign w:val="bottom"/>
          </w:tcPr>
          <w:p w14:paraId="7494E8B8" w14:textId="77777777" w:rsidR="000C3618" w:rsidRDefault="000C3618" w:rsidP="000C3618">
            <w:pPr>
              <w:jc w:val="right"/>
              <w:rPr>
                <w:rFonts w:ascii="Calibri" w:hAnsi="Calibri" w:cs="Calibri"/>
                <w:color w:val="000000"/>
              </w:rPr>
            </w:pPr>
            <w:r>
              <w:rPr>
                <w:rFonts w:ascii="Calibri" w:hAnsi="Calibri" w:cs="Calibri"/>
                <w:color w:val="000000"/>
              </w:rPr>
              <w:t>79</w:t>
            </w:r>
          </w:p>
        </w:tc>
      </w:tr>
      <w:tr w:rsidR="000C3618" w14:paraId="5BCAE7A1" w14:textId="77777777" w:rsidTr="00DD06F4">
        <w:tc>
          <w:tcPr>
            <w:tcW w:w="1838" w:type="dxa"/>
          </w:tcPr>
          <w:p w14:paraId="0E77110B" w14:textId="77777777" w:rsidR="000C3618" w:rsidRDefault="000C3618" w:rsidP="000C3618">
            <w:r>
              <w:t xml:space="preserve">1 – 3 </w:t>
            </w:r>
          </w:p>
        </w:tc>
        <w:tc>
          <w:tcPr>
            <w:tcW w:w="1701" w:type="dxa"/>
            <w:vAlign w:val="bottom"/>
          </w:tcPr>
          <w:p w14:paraId="08D592B0" w14:textId="77777777" w:rsidR="000C3618" w:rsidRDefault="000C3618" w:rsidP="000C3618">
            <w:pPr>
              <w:jc w:val="right"/>
              <w:rPr>
                <w:rFonts w:ascii="Calibri" w:hAnsi="Calibri" w:cs="Calibri"/>
                <w:color w:val="000000"/>
              </w:rPr>
            </w:pPr>
            <w:r>
              <w:rPr>
                <w:rFonts w:ascii="Calibri" w:hAnsi="Calibri" w:cs="Calibri"/>
                <w:color w:val="000000"/>
              </w:rPr>
              <w:t>22</w:t>
            </w:r>
          </w:p>
        </w:tc>
        <w:tc>
          <w:tcPr>
            <w:tcW w:w="1870" w:type="dxa"/>
            <w:vAlign w:val="bottom"/>
          </w:tcPr>
          <w:p w14:paraId="04692C8D" w14:textId="77777777" w:rsidR="000C3618" w:rsidRDefault="000C3618" w:rsidP="000C3618">
            <w:pPr>
              <w:jc w:val="right"/>
              <w:rPr>
                <w:rFonts w:ascii="Calibri" w:hAnsi="Calibri" w:cs="Calibri"/>
                <w:color w:val="000000"/>
              </w:rPr>
            </w:pPr>
            <w:r>
              <w:rPr>
                <w:rFonts w:ascii="Calibri" w:hAnsi="Calibri" w:cs="Calibri"/>
                <w:color w:val="000000"/>
              </w:rPr>
              <w:t>80</w:t>
            </w:r>
          </w:p>
        </w:tc>
        <w:tc>
          <w:tcPr>
            <w:tcW w:w="1803" w:type="dxa"/>
            <w:vAlign w:val="bottom"/>
          </w:tcPr>
          <w:p w14:paraId="51DEE30E" w14:textId="77777777" w:rsidR="000C3618" w:rsidRDefault="000C3618" w:rsidP="000C3618">
            <w:pPr>
              <w:jc w:val="right"/>
              <w:rPr>
                <w:rFonts w:ascii="Calibri" w:hAnsi="Calibri" w:cs="Calibri"/>
                <w:color w:val="000000"/>
              </w:rPr>
            </w:pPr>
            <w:r>
              <w:rPr>
                <w:rFonts w:ascii="Calibri" w:hAnsi="Calibri" w:cs="Calibri"/>
                <w:color w:val="000000"/>
              </w:rPr>
              <w:t>17</w:t>
            </w:r>
          </w:p>
        </w:tc>
        <w:tc>
          <w:tcPr>
            <w:tcW w:w="1804" w:type="dxa"/>
            <w:vAlign w:val="bottom"/>
          </w:tcPr>
          <w:p w14:paraId="6EB97503" w14:textId="77777777" w:rsidR="000C3618" w:rsidRDefault="000C3618" w:rsidP="000C3618">
            <w:pPr>
              <w:jc w:val="right"/>
              <w:rPr>
                <w:rFonts w:ascii="Calibri" w:hAnsi="Calibri" w:cs="Calibri"/>
                <w:color w:val="000000"/>
              </w:rPr>
            </w:pPr>
            <w:r>
              <w:rPr>
                <w:rFonts w:ascii="Calibri" w:hAnsi="Calibri" w:cs="Calibri"/>
                <w:color w:val="000000"/>
              </w:rPr>
              <w:t>66</w:t>
            </w:r>
          </w:p>
        </w:tc>
      </w:tr>
    </w:tbl>
    <w:p w14:paraId="1224E8ED" w14:textId="77777777" w:rsidR="000C3618" w:rsidRPr="005C57F7" w:rsidRDefault="005C57F7" w:rsidP="005C57F7">
      <w:pPr>
        <w:rPr>
          <w:i/>
        </w:rPr>
      </w:pPr>
      <w:r w:rsidRPr="005C57F7">
        <w:rPr>
          <w:i/>
        </w:rPr>
        <w:t>Supplementary table 2: Amount of earthquakes recorded in different periods of lobe activity.</w:t>
      </w:r>
    </w:p>
    <w:p w14:paraId="2D0892FB" w14:textId="77777777" w:rsidR="00284B9D" w:rsidRDefault="003B522F">
      <w:r>
        <w:rPr>
          <w:noProof/>
          <w:lang w:val="en-US"/>
        </w:rPr>
        <w:lastRenderedPageBreak/>
        <w:drawing>
          <wp:inline distT="0" distB="0" distL="0" distR="0" wp14:anchorId="535DB833" wp14:editId="4D706D25">
            <wp:extent cx="5731510" cy="56915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rthquakes overvi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691505"/>
                    </a:xfrm>
                    <a:prstGeom prst="rect">
                      <a:avLst/>
                    </a:prstGeom>
                  </pic:spPr>
                </pic:pic>
              </a:graphicData>
            </a:graphic>
          </wp:inline>
        </w:drawing>
      </w:r>
    </w:p>
    <w:p w14:paraId="1D343232" w14:textId="77777777" w:rsidR="0049376D" w:rsidRDefault="00284B9D" w:rsidP="0049376D">
      <w:pPr>
        <w:rPr>
          <w:i/>
        </w:rPr>
      </w:pPr>
      <w:r w:rsidRPr="005C57F7">
        <w:rPr>
          <w:i/>
        </w:rPr>
        <w:t>Supplementary Figure 1: Earthquakes around Bute Inlet in different periods of lo</w:t>
      </w:r>
      <w:r w:rsidR="003B522F" w:rsidRPr="005C57F7">
        <w:rPr>
          <w:i/>
        </w:rPr>
        <w:t>be activity.</w:t>
      </w:r>
      <w:r w:rsidR="000A7AB0" w:rsidRPr="005C57F7">
        <w:rPr>
          <w:i/>
        </w:rPr>
        <w:br w:type="page"/>
      </w:r>
    </w:p>
    <w:p w14:paraId="1C1A36EF" w14:textId="77777777" w:rsidR="0049376D" w:rsidRDefault="0049376D" w:rsidP="0049376D">
      <w:pPr>
        <w:rPr>
          <w:b/>
        </w:rPr>
      </w:pPr>
      <w:r>
        <w:rPr>
          <w:b/>
        </w:rPr>
        <w:lastRenderedPageBreak/>
        <w:t xml:space="preserve">Rates of </w:t>
      </w:r>
      <w:proofErr w:type="spellStart"/>
      <w:r>
        <w:rPr>
          <w:b/>
        </w:rPr>
        <w:t>knickpoint</w:t>
      </w:r>
      <w:proofErr w:type="spellEnd"/>
      <w:r>
        <w:rPr>
          <w:b/>
        </w:rPr>
        <w:t xml:space="preserve"> migration relative to frequency of flows </w:t>
      </w:r>
    </w:p>
    <w:p w14:paraId="5762F367" w14:textId="66AE1F85" w:rsidR="0049376D" w:rsidRPr="0049376D" w:rsidRDefault="0049376D" w:rsidP="0049376D">
      <w:pPr>
        <w:jc w:val="both"/>
        <w:rPr>
          <w:b/>
        </w:rPr>
      </w:pPr>
      <w:r w:rsidRPr="0049376D">
        <w:t>T</w:t>
      </w:r>
      <w:r w:rsidRPr="00CC76E1">
        <w:t xml:space="preserve">he rate of </w:t>
      </w:r>
      <w:proofErr w:type="spellStart"/>
      <w:r w:rsidRPr="00CC76E1">
        <w:t>knickpoint</w:t>
      </w:r>
      <w:proofErr w:type="spellEnd"/>
      <w:r w:rsidRPr="00CC76E1">
        <w:t xml:space="preserve"> migration does not appear to obviously relate to the frequency of turbidity currents, and it is therefore likely that only certain types of turbidity current result in </w:t>
      </w:r>
      <w:proofErr w:type="spellStart"/>
      <w:r w:rsidRPr="00CC76E1">
        <w:t>knickpoint</w:t>
      </w:r>
      <w:proofErr w:type="spellEnd"/>
      <w:r w:rsidRPr="00CC76E1">
        <w:t xml:space="preserve"> migration (Chen et al., 2021). </w:t>
      </w:r>
      <w:proofErr w:type="spellStart"/>
      <w:r w:rsidRPr="00CC76E1">
        <w:t>Knickpoint</w:t>
      </w:r>
      <w:proofErr w:type="spellEnd"/>
      <w:r w:rsidRPr="00CC76E1">
        <w:t xml:space="preserve"> Zone 1 (8-10 km along channel) had an average annual migration rate of 280 m/year (</w:t>
      </w:r>
      <w:proofErr w:type="spellStart"/>
      <w:r w:rsidRPr="00CC76E1">
        <w:t>Heijnen</w:t>
      </w:r>
      <w:proofErr w:type="spellEnd"/>
      <w:r w:rsidRPr="00CC76E1">
        <w:t xml:space="preserve"> et al., 2020), and it was traversed by at least 28 turbidity currents during the </w:t>
      </w:r>
      <w:r>
        <w:t xml:space="preserve">two </w:t>
      </w:r>
      <w:r w:rsidRPr="00CC76E1">
        <w:t>6-month ADCP monitoring period</w:t>
      </w:r>
      <w:r>
        <w:t>s</w:t>
      </w:r>
      <w:r w:rsidRPr="00CC76E1">
        <w:t xml:space="preserve">. </w:t>
      </w:r>
      <w:proofErr w:type="spellStart"/>
      <w:r w:rsidRPr="00CC76E1">
        <w:t>Knickpoint</w:t>
      </w:r>
      <w:proofErr w:type="spellEnd"/>
      <w:r w:rsidRPr="00CC76E1">
        <w:t xml:space="preserve"> Zone 2 (14-22 km along channel) experienced at least 6 turbidity currents in the 6-month monitoring period, and migrated at an average annual rate of 255 m/year. </w:t>
      </w:r>
      <w:proofErr w:type="spellStart"/>
      <w:r w:rsidRPr="00CC76E1">
        <w:t>Knickpoint</w:t>
      </w:r>
      <w:proofErr w:type="spellEnd"/>
      <w:r w:rsidRPr="00CC76E1">
        <w:t xml:space="preserve"> Zone 3 (27-33 km along channel) experienced at least 4 turbidity currents, with an average annual migration rate of 178 m/year</w:t>
      </w:r>
      <w:r>
        <w:t>.</w:t>
      </w:r>
    </w:p>
    <w:p w14:paraId="6416F698" w14:textId="77777777" w:rsidR="0049376D" w:rsidRDefault="0049376D">
      <w:pPr>
        <w:rPr>
          <w:b/>
        </w:rPr>
      </w:pPr>
    </w:p>
    <w:p w14:paraId="169A5FFA" w14:textId="77777777" w:rsidR="000A7AB0" w:rsidRDefault="006C0025">
      <w:pPr>
        <w:rPr>
          <w:b/>
        </w:rPr>
      </w:pPr>
      <w:r>
        <w:rPr>
          <w:b/>
        </w:rPr>
        <w:t xml:space="preserve">Will </w:t>
      </w:r>
      <w:proofErr w:type="spellStart"/>
      <w:r>
        <w:rPr>
          <w:b/>
        </w:rPr>
        <w:t>knickpoint</w:t>
      </w:r>
      <w:proofErr w:type="spellEnd"/>
      <w:r>
        <w:rPr>
          <w:b/>
        </w:rPr>
        <w:t>-related</w:t>
      </w:r>
      <w:r w:rsidRPr="006C0025">
        <w:rPr>
          <w:b/>
        </w:rPr>
        <w:t xml:space="preserve"> erosion and deposition balance over time?</w:t>
      </w:r>
    </w:p>
    <w:p w14:paraId="3B60B5FD" w14:textId="77777777" w:rsidR="00E15CAF" w:rsidRDefault="006C0025" w:rsidP="00E15CAF">
      <w:r>
        <w:t xml:space="preserve">Turbidity currents can cause groups of </w:t>
      </w:r>
      <w:proofErr w:type="spellStart"/>
      <w:r>
        <w:t>knickpoints</w:t>
      </w:r>
      <w:proofErr w:type="spellEnd"/>
      <w:r>
        <w:t xml:space="preserve"> in submarine channels to migrate upstream. This upstream migration is associated with </w:t>
      </w:r>
      <w:proofErr w:type="spellStart"/>
      <w:r>
        <w:t>headward</w:t>
      </w:r>
      <w:proofErr w:type="spellEnd"/>
      <w:r>
        <w:t xml:space="preserve"> erosion and downstream dumping of sediment. This results in alternating zones of erosion and deposition along </w:t>
      </w:r>
      <w:proofErr w:type="spellStart"/>
      <w:r>
        <w:t>knickpoint</w:t>
      </w:r>
      <w:proofErr w:type="spellEnd"/>
      <w:r>
        <w:t xml:space="preserve">-dominated channels that move along the channel (Heijnen et al. 2020). </w:t>
      </w:r>
      <w:r w:rsidR="00E15CAF">
        <w:t>Repeat seafloor mapping shows that this deposition and erosion can balance over time</w:t>
      </w:r>
      <w:r>
        <w:t xml:space="preserve"> within </w:t>
      </w:r>
      <w:r w:rsidR="00E15CAF">
        <w:t xml:space="preserve">a </w:t>
      </w:r>
      <w:proofErr w:type="spellStart"/>
      <w:r w:rsidR="00E15CAF">
        <w:t>knickpoint</w:t>
      </w:r>
      <w:proofErr w:type="spellEnd"/>
      <w:r w:rsidR="00E15CAF">
        <w:t xml:space="preserve"> zone, effectively generating a bypass zone </w:t>
      </w:r>
      <w:r>
        <w:t>(Fig 4).</w:t>
      </w:r>
      <w:r w:rsidR="00E15CAF">
        <w:t xml:space="preserve"> However, the </w:t>
      </w:r>
      <w:r>
        <w:t xml:space="preserve">timescale of </w:t>
      </w:r>
      <w:r w:rsidR="00E15CAF">
        <w:t xml:space="preserve">this study is </w:t>
      </w:r>
      <w:r>
        <w:t xml:space="preserve">too short to observe whether upstream-migrating </w:t>
      </w:r>
      <w:proofErr w:type="spellStart"/>
      <w:r>
        <w:t>knickpoint</w:t>
      </w:r>
      <w:proofErr w:type="spellEnd"/>
      <w:r>
        <w:t xml:space="preserve">-zones result in the generation of larger bypass zones in the channel (Fig. 3). </w:t>
      </w:r>
    </w:p>
    <w:p w14:paraId="08327F48" w14:textId="77777777" w:rsidR="006A3C38" w:rsidRDefault="006C0025" w:rsidP="00E15CAF">
      <w:r>
        <w:t xml:space="preserve">However, an erosion rate can be predicted based on the observed migration rate of the </w:t>
      </w:r>
      <w:proofErr w:type="spellStart"/>
      <w:r>
        <w:t>knickpoints</w:t>
      </w:r>
      <w:proofErr w:type="spellEnd"/>
      <w:r>
        <w:t xml:space="preserve">, cumulative height of the </w:t>
      </w:r>
      <w:proofErr w:type="spellStart"/>
      <w:r>
        <w:t>knickpoint</w:t>
      </w:r>
      <w:proofErr w:type="spellEnd"/>
      <w:r>
        <w:t xml:space="preserve"> in the </w:t>
      </w:r>
      <w:proofErr w:type="spellStart"/>
      <w:r>
        <w:t>knickpoint</w:t>
      </w:r>
      <w:proofErr w:type="spellEnd"/>
      <w:r>
        <w:t>-zones, and distance to th</w:t>
      </w:r>
      <w:r w:rsidR="006A3C38">
        <w:t xml:space="preserve">e next </w:t>
      </w:r>
      <w:proofErr w:type="spellStart"/>
      <w:r w:rsidR="006A3C38">
        <w:t>knickpoint</w:t>
      </w:r>
      <w:proofErr w:type="spellEnd"/>
      <w:r w:rsidR="006A3C38">
        <w:t>-zone upstream (table 2):</w:t>
      </w:r>
      <w:r>
        <w:t xml:space="preserve"> </w:t>
      </w:r>
    </w:p>
    <w:p w14:paraId="1449B4DE" w14:textId="77777777" w:rsidR="0086090B" w:rsidRDefault="0086090B" w:rsidP="006A3C38">
      <w:pPr>
        <w:pStyle w:val="ListParagraph"/>
        <w:numPr>
          <w:ilvl w:val="0"/>
          <w:numId w:val="2"/>
        </w:numPr>
      </w:pPr>
      <w:r>
        <w:t xml:space="preserve">The deposition rate in the depositional zone downstream of a </w:t>
      </w:r>
      <w:proofErr w:type="spellStart"/>
      <w:r>
        <w:t>knickpoint</w:t>
      </w:r>
      <w:proofErr w:type="spellEnd"/>
      <w:r>
        <w:t xml:space="preserve"> is determined by dividing the maximum thickness of the deposition just upstream of the next </w:t>
      </w:r>
      <w:proofErr w:type="spellStart"/>
      <w:r>
        <w:t>knickpoint</w:t>
      </w:r>
      <w:proofErr w:type="spellEnd"/>
      <w:r>
        <w:t xml:space="preserve"> zone by the time between the two surveys (11 years in this case).</w:t>
      </w:r>
    </w:p>
    <w:p w14:paraId="6AAC559A" w14:textId="77777777" w:rsidR="006C0025" w:rsidRDefault="0086090B" w:rsidP="00DD06F4">
      <w:pPr>
        <w:pStyle w:val="ListParagraph"/>
        <w:numPr>
          <w:ilvl w:val="0"/>
          <w:numId w:val="2"/>
        </w:numPr>
      </w:pPr>
      <w:r>
        <w:t xml:space="preserve">The erosion rate is </w:t>
      </w:r>
      <w:r w:rsidR="003B0611">
        <w:t>determined by, f</w:t>
      </w:r>
      <w:r w:rsidR="006C0025">
        <w:t xml:space="preserve">irst, </w:t>
      </w:r>
      <w:r w:rsidR="003B0611">
        <w:t xml:space="preserve">measuring the </w:t>
      </w:r>
      <w:proofErr w:type="spellStart"/>
      <w:r w:rsidR="006C0025">
        <w:t>the</w:t>
      </w:r>
      <w:proofErr w:type="spellEnd"/>
      <w:r w:rsidR="006C0025">
        <w:t xml:space="preserve"> </w:t>
      </w:r>
      <w:r w:rsidR="00020F60">
        <w:t xml:space="preserve">distance between the fronts of two </w:t>
      </w:r>
      <w:proofErr w:type="spellStart"/>
      <w:r w:rsidR="00020F60">
        <w:t>knickpoint</w:t>
      </w:r>
      <w:proofErr w:type="spellEnd"/>
      <w:r w:rsidR="00020F60">
        <w:t xml:space="preserve"> zones and then </w:t>
      </w:r>
      <w:r w:rsidR="006C0025">
        <w:t>divid</w:t>
      </w:r>
      <w:r w:rsidR="003B0611">
        <w:t>ing this</w:t>
      </w:r>
      <w:r w:rsidR="006C0025">
        <w:t xml:space="preserve"> by the </w:t>
      </w:r>
      <w:r w:rsidR="00020F60">
        <w:t xml:space="preserve">upstream migration rate of the </w:t>
      </w:r>
      <w:r w:rsidR="006952A6">
        <w:t>downstream</w:t>
      </w:r>
      <w:r w:rsidR="006C0025">
        <w:t xml:space="preserve"> </w:t>
      </w:r>
      <w:proofErr w:type="spellStart"/>
      <w:r w:rsidR="006C0025">
        <w:t>knickpoint</w:t>
      </w:r>
      <w:proofErr w:type="spellEnd"/>
      <w:r w:rsidR="006C0025">
        <w:t xml:space="preserve"> zone</w:t>
      </w:r>
      <w:r w:rsidR="006952A6">
        <w:t xml:space="preserve">. This gives the time for an entire </w:t>
      </w:r>
      <w:proofErr w:type="spellStart"/>
      <w:r w:rsidR="006952A6">
        <w:t>knickpoint</w:t>
      </w:r>
      <w:proofErr w:type="spellEnd"/>
      <w:r w:rsidR="006952A6">
        <w:t xml:space="preserve"> zone and associated depositional zone to migrate past a certain point.</w:t>
      </w:r>
      <w:r w:rsidR="00F22CBF">
        <w:t xml:space="preserve"> </w:t>
      </w:r>
      <w:r w:rsidR="003B0611">
        <w:t xml:space="preserve">Then the </w:t>
      </w:r>
      <w:proofErr w:type="spellStart"/>
      <w:r w:rsidR="003B0611">
        <w:t>cumultative</w:t>
      </w:r>
      <w:proofErr w:type="spellEnd"/>
      <w:r w:rsidR="003B0611">
        <w:t xml:space="preserve"> height of all </w:t>
      </w:r>
      <w:proofErr w:type="spellStart"/>
      <w:r w:rsidR="003B0611">
        <w:t>knickpoints</w:t>
      </w:r>
      <w:proofErr w:type="spellEnd"/>
      <w:r w:rsidR="003B0611">
        <w:t xml:space="preserve"> within the </w:t>
      </w:r>
      <w:proofErr w:type="spellStart"/>
      <w:r w:rsidR="003B0611">
        <w:t>knickpoint</w:t>
      </w:r>
      <w:proofErr w:type="spellEnd"/>
      <w:r w:rsidR="003B0611">
        <w:t xml:space="preserve">-zone is divided by this time for a </w:t>
      </w:r>
      <w:proofErr w:type="spellStart"/>
      <w:r w:rsidR="003B0611">
        <w:t>knickpoint</w:t>
      </w:r>
      <w:proofErr w:type="spellEnd"/>
      <w:r w:rsidR="003B0611">
        <w:t xml:space="preserve"> zone to migrate past. This approach assumes that the total erosion in a </w:t>
      </w:r>
      <w:proofErr w:type="spellStart"/>
      <w:r w:rsidR="003B0611">
        <w:t>knickpoint</w:t>
      </w:r>
      <w:proofErr w:type="spellEnd"/>
      <w:r w:rsidR="003B0611">
        <w:t xml:space="preserve">-zone is equal to the height of the </w:t>
      </w:r>
      <w:proofErr w:type="spellStart"/>
      <w:r w:rsidR="003B0611">
        <w:t>knickpoints</w:t>
      </w:r>
      <w:proofErr w:type="spellEnd"/>
      <w:r w:rsidR="003B0611">
        <w:t xml:space="preserve"> within that zone.</w:t>
      </w:r>
      <w:r w:rsidR="006C0025">
        <w:t xml:space="preserve"> </w:t>
      </w:r>
    </w:p>
    <w:tbl>
      <w:tblPr>
        <w:tblStyle w:val="TableGrid"/>
        <w:tblW w:w="0" w:type="auto"/>
        <w:tblLook w:val="04A0" w:firstRow="1" w:lastRow="0" w:firstColumn="1" w:lastColumn="0" w:noHBand="0" w:noVBand="1"/>
      </w:tblPr>
      <w:tblGrid>
        <w:gridCol w:w="5211"/>
        <w:gridCol w:w="1843"/>
        <w:gridCol w:w="1933"/>
      </w:tblGrid>
      <w:tr w:rsidR="0086090B" w:rsidRPr="00681368" w14:paraId="6378F376" w14:textId="77777777" w:rsidTr="00B07491">
        <w:tc>
          <w:tcPr>
            <w:tcW w:w="5211" w:type="dxa"/>
          </w:tcPr>
          <w:p w14:paraId="705CF48C" w14:textId="77777777" w:rsidR="0086090B" w:rsidRPr="00681368" w:rsidRDefault="0086090B" w:rsidP="00DD06F4">
            <w:pPr>
              <w:spacing w:line="480" w:lineRule="auto"/>
              <w:rPr>
                <w:rFonts w:ascii="Times New Roman" w:hAnsi="Times New Roman"/>
              </w:rPr>
            </w:pPr>
          </w:p>
        </w:tc>
        <w:tc>
          <w:tcPr>
            <w:tcW w:w="1843" w:type="dxa"/>
          </w:tcPr>
          <w:p w14:paraId="391E8583" w14:textId="77777777" w:rsidR="0086090B" w:rsidRPr="00681368" w:rsidRDefault="0086090B" w:rsidP="00DD06F4">
            <w:pPr>
              <w:spacing w:line="480" w:lineRule="auto"/>
              <w:rPr>
                <w:rFonts w:ascii="Times New Roman" w:hAnsi="Times New Roman"/>
              </w:rPr>
            </w:pPr>
            <w:proofErr w:type="spellStart"/>
            <w:r w:rsidRPr="00681368">
              <w:rPr>
                <w:rFonts w:ascii="Times New Roman" w:hAnsi="Times New Roman"/>
              </w:rPr>
              <w:t>Knickpoint</w:t>
            </w:r>
            <w:proofErr w:type="spellEnd"/>
            <w:r w:rsidRPr="00681368">
              <w:rPr>
                <w:rFonts w:ascii="Times New Roman" w:hAnsi="Times New Roman"/>
              </w:rPr>
              <w:t>-zone 2</w:t>
            </w:r>
          </w:p>
        </w:tc>
        <w:tc>
          <w:tcPr>
            <w:tcW w:w="1933" w:type="dxa"/>
          </w:tcPr>
          <w:p w14:paraId="62F4C6BC" w14:textId="77777777" w:rsidR="0086090B" w:rsidRPr="00681368" w:rsidRDefault="0086090B" w:rsidP="00DD06F4">
            <w:pPr>
              <w:spacing w:line="480" w:lineRule="auto"/>
              <w:rPr>
                <w:rFonts w:ascii="Times New Roman" w:hAnsi="Times New Roman"/>
              </w:rPr>
            </w:pPr>
            <w:proofErr w:type="spellStart"/>
            <w:r w:rsidRPr="00681368">
              <w:rPr>
                <w:rFonts w:ascii="Times New Roman" w:hAnsi="Times New Roman"/>
              </w:rPr>
              <w:t>Knickpoint</w:t>
            </w:r>
            <w:proofErr w:type="spellEnd"/>
            <w:r w:rsidRPr="00681368">
              <w:rPr>
                <w:rFonts w:ascii="Times New Roman" w:hAnsi="Times New Roman"/>
              </w:rPr>
              <w:t>-zone 3</w:t>
            </w:r>
          </w:p>
        </w:tc>
      </w:tr>
      <w:tr w:rsidR="0086090B" w:rsidRPr="00681368" w14:paraId="228621F4" w14:textId="77777777" w:rsidTr="00B07491">
        <w:tc>
          <w:tcPr>
            <w:tcW w:w="5211" w:type="dxa"/>
          </w:tcPr>
          <w:p w14:paraId="3220D58D" w14:textId="77777777" w:rsidR="0086090B" w:rsidRPr="00681368" w:rsidRDefault="0086090B" w:rsidP="00DD06F4">
            <w:pPr>
              <w:spacing w:line="480" w:lineRule="auto"/>
              <w:rPr>
                <w:rFonts w:ascii="Times New Roman" w:hAnsi="Times New Roman"/>
              </w:rPr>
            </w:pPr>
            <w:r w:rsidRPr="00681368">
              <w:rPr>
                <w:rFonts w:ascii="Times New Roman" w:hAnsi="Times New Roman"/>
              </w:rPr>
              <w:t xml:space="preserve">Deposition just upstream of the </w:t>
            </w:r>
            <w:proofErr w:type="spellStart"/>
            <w:r w:rsidRPr="00681368">
              <w:rPr>
                <w:rFonts w:ascii="Times New Roman" w:hAnsi="Times New Roman"/>
              </w:rPr>
              <w:t>knickpoint</w:t>
            </w:r>
            <w:proofErr w:type="spellEnd"/>
            <w:r w:rsidRPr="00681368">
              <w:rPr>
                <w:rFonts w:ascii="Times New Roman" w:hAnsi="Times New Roman"/>
              </w:rPr>
              <w:t>-zone</w:t>
            </w:r>
          </w:p>
        </w:tc>
        <w:tc>
          <w:tcPr>
            <w:tcW w:w="1843" w:type="dxa"/>
          </w:tcPr>
          <w:p w14:paraId="30AD5A57" w14:textId="77777777" w:rsidR="0086090B" w:rsidRPr="00681368" w:rsidRDefault="0086090B" w:rsidP="00DD06F4">
            <w:pPr>
              <w:spacing w:line="480" w:lineRule="auto"/>
              <w:rPr>
                <w:rFonts w:ascii="Times New Roman" w:hAnsi="Times New Roman"/>
              </w:rPr>
            </w:pPr>
            <w:r w:rsidRPr="00681368">
              <w:rPr>
                <w:rFonts w:ascii="Times New Roman" w:hAnsi="Times New Roman"/>
              </w:rPr>
              <w:t>12 m</w:t>
            </w:r>
          </w:p>
        </w:tc>
        <w:tc>
          <w:tcPr>
            <w:tcW w:w="1933" w:type="dxa"/>
          </w:tcPr>
          <w:p w14:paraId="056F8676" w14:textId="77777777" w:rsidR="0086090B" w:rsidRPr="00681368" w:rsidRDefault="0086090B" w:rsidP="00DD06F4">
            <w:pPr>
              <w:spacing w:line="480" w:lineRule="auto"/>
              <w:rPr>
                <w:rFonts w:ascii="Times New Roman" w:hAnsi="Times New Roman"/>
              </w:rPr>
            </w:pPr>
            <w:r w:rsidRPr="00681368">
              <w:rPr>
                <w:rFonts w:ascii="Times New Roman" w:hAnsi="Times New Roman"/>
              </w:rPr>
              <w:t>8 m</w:t>
            </w:r>
          </w:p>
        </w:tc>
      </w:tr>
      <w:tr w:rsidR="0086090B" w:rsidRPr="00681368" w14:paraId="4D00C241" w14:textId="77777777" w:rsidTr="00B07491">
        <w:tc>
          <w:tcPr>
            <w:tcW w:w="5211" w:type="dxa"/>
          </w:tcPr>
          <w:p w14:paraId="0ED15341" w14:textId="77777777" w:rsidR="0086090B" w:rsidRPr="00681368" w:rsidRDefault="0086090B" w:rsidP="00DD06F4">
            <w:pPr>
              <w:spacing w:line="480" w:lineRule="auto"/>
              <w:rPr>
                <w:rFonts w:ascii="Times New Roman" w:hAnsi="Times New Roman"/>
              </w:rPr>
            </w:pPr>
            <w:r w:rsidRPr="00681368">
              <w:rPr>
                <w:rFonts w:ascii="Times New Roman" w:hAnsi="Times New Roman"/>
              </w:rPr>
              <w:t xml:space="preserve">Deposition rate upstream of the </w:t>
            </w:r>
            <w:proofErr w:type="spellStart"/>
            <w:r w:rsidRPr="00681368">
              <w:rPr>
                <w:rFonts w:ascii="Times New Roman" w:hAnsi="Times New Roman"/>
              </w:rPr>
              <w:t>knickpoint</w:t>
            </w:r>
            <w:proofErr w:type="spellEnd"/>
            <w:r w:rsidRPr="00681368">
              <w:rPr>
                <w:rFonts w:ascii="Times New Roman" w:hAnsi="Times New Roman"/>
              </w:rPr>
              <w:t>-zone</w:t>
            </w:r>
          </w:p>
        </w:tc>
        <w:tc>
          <w:tcPr>
            <w:tcW w:w="1843" w:type="dxa"/>
          </w:tcPr>
          <w:p w14:paraId="0F738E47" w14:textId="77777777" w:rsidR="0086090B" w:rsidRPr="00681368" w:rsidRDefault="0086090B" w:rsidP="00DD06F4">
            <w:pPr>
              <w:spacing w:line="480" w:lineRule="auto"/>
              <w:rPr>
                <w:rFonts w:ascii="Times New Roman" w:hAnsi="Times New Roman"/>
              </w:rPr>
            </w:pPr>
            <w:r w:rsidRPr="00681368">
              <w:rPr>
                <w:rFonts w:ascii="Times New Roman" w:hAnsi="Times New Roman"/>
              </w:rPr>
              <w:t>1.1 m/y</w:t>
            </w:r>
          </w:p>
        </w:tc>
        <w:tc>
          <w:tcPr>
            <w:tcW w:w="1933" w:type="dxa"/>
          </w:tcPr>
          <w:p w14:paraId="5F25ECF8" w14:textId="77777777" w:rsidR="0086090B" w:rsidRPr="00681368" w:rsidRDefault="0086090B" w:rsidP="00DD06F4">
            <w:pPr>
              <w:spacing w:line="480" w:lineRule="auto"/>
              <w:rPr>
                <w:rFonts w:ascii="Times New Roman" w:hAnsi="Times New Roman"/>
              </w:rPr>
            </w:pPr>
            <w:r w:rsidRPr="00681368">
              <w:rPr>
                <w:rFonts w:ascii="Times New Roman" w:hAnsi="Times New Roman"/>
              </w:rPr>
              <w:t>0.7 m/y</w:t>
            </w:r>
          </w:p>
        </w:tc>
      </w:tr>
      <w:tr w:rsidR="0086090B" w:rsidRPr="00681368" w14:paraId="76043E41" w14:textId="77777777" w:rsidTr="00B07491">
        <w:tc>
          <w:tcPr>
            <w:tcW w:w="5211" w:type="dxa"/>
          </w:tcPr>
          <w:p w14:paraId="3129217D" w14:textId="77777777" w:rsidR="0086090B" w:rsidRPr="00681368" w:rsidRDefault="0086090B" w:rsidP="0086090B">
            <w:pPr>
              <w:spacing w:line="480" w:lineRule="auto"/>
              <w:rPr>
                <w:rFonts w:ascii="Times New Roman" w:hAnsi="Times New Roman"/>
              </w:rPr>
            </w:pPr>
          </w:p>
        </w:tc>
        <w:tc>
          <w:tcPr>
            <w:tcW w:w="1843" w:type="dxa"/>
          </w:tcPr>
          <w:p w14:paraId="11F68524" w14:textId="77777777" w:rsidR="0086090B" w:rsidRPr="00681368" w:rsidRDefault="0086090B" w:rsidP="0086090B">
            <w:pPr>
              <w:spacing w:line="480" w:lineRule="auto"/>
              <w:rPr>
                <w:rFonts w:ascii="Times New Roman" w:hAnsi="Times New Roman"/>
              </w:rPr>
            </w:pPr>
          </w:p>
        </w:tc>
        <w:tc>
          <w:tcPr>
            <w:tcW w:w="1933" w:type="dxa"/>
          </w:tcPr>
          <w:p w14:paraId="395E698E" w14:textId="77777777" w:rsidR="0086090B" w:rsidRPr="00681368" w:rsidRDefault="0086090B" w:rsidP="0086090B">
            <w:pPr>
              <w:spacing w:line="480" w:lineRule="auto"/>
              <w:rPr>
                <w:rFonts w:ascii="Times New Roman" w:hAnsi="Times New Roman"/>
              </w:rPr>
            </w:pPr>
          </w:p>
        </w:tc>
      </w:tr>
      <w:tr w:rsidR="0086090B" w:rsidRPr="00681368" w14:paraId="0A125F5C" w14:textId="77777777" w:rsidTr="00B07491">
        <w:tc>
          <w:tcPr>
            <w:tcW w:w="5211" w:type="dxa"/>
          </w:tcPr>
          <w:p w14:paraId="1BD5435E" w14:textId="77777777" w:rsidR="0086090B" w:rsidRPr="00681368" w:rsidRDefault="0086090B" w:rsidP="0086090B">
            <w:pPr>
              <w:spacing w:line="480" w:lineRule="auto"/>
              <w:rPr>
                <w:rFonts w:ascii="Times New Roman" w:hAnsi="Times New Roman"/>
              </w:rPr>
            </w:pPr>
            <w:r w:rsidRPr="00681368">
              <w:rPr>
                <w:rFonts w:ascii="Times New Roman" w:hAnsi="Times New Roman"/>
              </w:rPr>
              <w:t xml:space="preserve">Average distance to next </w:t>
            </w:r>
            <w:proofErr w:type="spellStart"/>
            <w:r w:rsidRPr="00681368">
              <w:rPr>
                <w:rFonts w:ascii="Times New Roman" w:hAnsi="Times New Roman"/>
              </w:rPr>
              <w:t>knickpoint</w:t>
            </w:r>
            <w:proofErr w:type="spellEnd"/>
            <w:r w:rsidRPr="00681368">
              <w:rPr>
                <w:rFonts w:ascii="Times New Roman" w:hAnsi="Times New Roman"/>
              </w:rPr>
              <w:t xml:space="preserve">-zone upstream </w:t>
            </w:r>
          </w:p>
        </w:tc>
        <w:tc>
          <w:tcPr>
            <w:tcW w:w="1843" w:type="dxa"/>
          </w:tcPr>
          <w:p w14:paraId="5F863B72" w14:textId="77777777" w:rsidR="0086090B" w:rsidRPr="00681368" w:rsidRDefault="0086090B" w:rsidP="0086090B">
            <w:pPr>
              <w:spacing w:line="480" w:lineRule="auto"/>
              <w:rPr>
                <w:rFonts w:ascii="Times New Roman" w:hAnsi="Times New Roman"/>
              </w:rPr>
            </w:pPr>
            <w:r w:rsidRPr="00681368">
              <w:rPr>
                <w:rFonts w:ascii="Times New Roman" w:hAnsi="Times New Roman"/>
              </w:rPr>
              <w:t>4.2 km</w:t>
            </w:r>
          </w:p>
        </w:tc>
        <w:tc>
          <w:tcPr>
            <w:tcW w:w="1933" w:type="dxa"/>
          </w:tcPr>
          <w:p w14:paraId="3BA37D80" w14:textId="77777777" w:rsidR="0086090B" w:rsidRPr="00681368" w:rsidRDefault="0086090B" w:rsidP="0086090B">
            <w:pPr>
              <w:spacing w:line="480" w:lineRule="auto"/>
              <w:rPr>
                <w:rFonts w:ascii="Times New Roman" w:hAnsi="Times New Roman"/>
              </w:rPr>
            </w:pPr>
            <w:r w:rsidRPr="00681368">
              <w:rPr>
                <w:rFonts w:ascii="Times New Roman" w:hAnsi="Times New Roman"/>
              </w:rPr>
              <w:t>11.1 km</w:t>
            </w:r>
          </w:p>
        </w:tc>
      </w:tr>
      <w:tr w:rsidR="0086090B" w:rsidRPr="00681368" w14:paraId="0C95CF0A" w14:textId="77777777" w:rsidTr="00B07491">
        <w:tc>
          <w:tcPr>
            <w:tcW w:w="5211" w:type="dxa"/>
          </w:tcPr>
          <w:p w14:paraId="7DE10750" w14:textId="77777777" w:rsidR="0086090B" w:rsidRPr="00681368" w:rsidRDefault="0086090B" w:rsidP="0086090B">
            <w:pPr>
              <w:spacing w:line="480" w:lineRule="auto"/>
              <w:rPr>
                <w:rFonts w:ascii="Times New Roman" w:hAnsi="Times New Roman"/>
              </w:rPr>
            </w:pPr>
            <w:r w:rsidRPr="00681368">
              <w:rPr>
                <w:rFonts w:ascii="Times New Roman" w:hAnsi="Times New Roman"/>
              </w:rPr>
              <w:t xml:space="preserve">Average </w:t>
            </w:r>
            <w:proofErr w:type="spellStart"/>
            <w:r w:rsidRPr="00681368">
              <w:rPr>
                <w:rFonts w:ascii="Times New Roman" w:hAnsi="Times New Roman"/>
              </w:rPr>
              <w:t>knickpoint</w:t>
            </w:r>
            <w:proofErr w:type="spellEnd"/>
            <w:r w:rsidRPr="00681368">
              <w:rPr>
                <w:rFonts w:ascii="Times New Roman" w:hAnsi="Times New Roman"/>
              </w:rPr>
              <w:t>-zone migration rate</w:t>
            </w:r>
          </w:p>
        </w:tc>
        <w:tc>
          <w:tcPr>
            <w:tcW w:w="1843" w:type="dxa"/>
          </w:tcPr>
          <w:p w14:paraId="3CE27F6C" w14:textId="77777777" w:rsidR="0086090B" w:rsidRPr="00681368" w:rsidRDefault="0086090B" w:rsidP="0086090B">
            <w:pPr>
              <w:spacing w:line="480" w:lineRule="auto"/>
              <w:rPr>
                <w:rFonts w:ascii="Times New Roman" w:hAnsi="Times New Roman"/>
              </w:rPr>
            </w:pPr>
            <w:r w:rsidRPr="00681368">
              <w:rPr>
                <w:rFonts w:ascii="Times New Roman" w:hAnsi="Times New Roman"/>
              </w:rPr>
              <w:t>255 m/y</w:t>
            </w:r>
          </w:p>
        </w:tc>
        <w:tc>
          <w:tcPr>
            <w:tcW w:w="1933" w:type="dxa"/>
          </w:tcPr>
          <w:p w14:paraId="583F39B6" w14:textId="77777777" w:rsidR="0086090B" w:rsidRPr="00681368" w:rsidRDefault="0086090B" w:rsidP="0086090B">
            <w:pPr>
              <w:spacing w:line="480" w:lineRule="auto"/>
              <w:rPr>
                <w:rFonts w:ascii="Times New Roman" w:hAnsi="Times New Roman"/>
              </w:rPr>
            </w:pPr>
            <w:r w:rsidRPr="00681368">
              <w:rPr>
                <w:rFonts w:ascii="Times New Roman" w:hAnsi="Times New Roman"/>
              </w:rPr>
              <w:t>178 m/y</w:t>
            </w:r>
          </w:p>
        </w:tc>
      </w:tr>
      <w:tr w:rsidR="0086090B" w:rsidRPr="00681368" w14:paraId="34D347A5" w14:textId="77777777" w:rsidTr="00B07491">
        <w:tc>
          <w:tcPr>
            <w:tcW w:w="5211" w:type="dxa"/>
          </w:tcPr>
          <w:p w14:paraId="6A3476E4" w14:textId="77777777" w:rsidR="0086090B" w:rsidRPr="00681368" w:rsidRDefault="0086090B" w:rsidP="0086090B">
            <w:pPr>
              <w:spacing w:line="480" w:lineRule="auto"/>
              <w:rPr>
                <w:rFonts w:ascii="Times New Roman" w:hAnsi="Times New Roman"/>
              </w:rPr>
            </w:pPr>
            <w:r>
              <w:rPr>
                <w:rFonts w:ascii="Times New Roman" w:hAnsi="Times New Roman"/>
              </w:rPr>
              <w:lastRenderedPageBreak/>
              <w:t xml:space="preserve">Migration time for the entire </w:t>
            </w:r>
            <w:proofErr w:type="spellStart"/>
            <w:r>
              <w:rPr>
                <w:rFonts w:ascii="Times New Roman" w:hAnsi="Times New Roman"/>
              </w:rPr>
              <w:t>knickpoint</w:t>
            </w:r>
            <w:proofErr w:type="spellEnd"/>
            <w:r>
              <w:rPr>
                <w:rFonts w:ascii="Times New Roman" w:hAnsi="Times New Roman"/>
              </w:rPr>
              <w:t>-</w:t>
            </w:r>
            <w:r w:rsidRPr="00681368">
              <w:rPr>
                <w:rFonts w:ascii="Times New Roman" w:hAnsi="Times New Roman"/>
              </w:rPr>
              <w:t>zone</w:t>
            </w:r>
          </w:p>
        </w:tc>
        <w:tc>
          <w:tcPr>
            <w:tcW w:w="1843" w:type="dxa"/>
          </w:tcPr>
          <w:p w14:paraId="79C1F4DF" w14:textId="77777777" w:rsidR="0086090B" w:rsidRPr="00681368" w:rsidRDefault="0086090B" w:rsidP="0086090B">
            <w:pPr>
              <w:spacing w:line="480" w:lineRule="auto"/>
              <w:rPr>
                <w:rFonts w:ascii="Times New Roman" w:hAnsi="Times New Roman"/>
              </w:rPr>
            </w:pPr>
            <w:r w:rsidRPr="00681368">
              <w:rPr>
                <w:rFonts w:ascii="Times New Roman" w:hAnsi="Times New Roman"/>
              </w:rPr>
              <w:t>17 y</w:t>
            </w:r>
          </w:p>
        </w:tc>
        <w:tc>
          <w:tcPr>
            <w:tcW w:w="1933" w:type="dxa"/>
          </w:tcPr>
          <w:p w14:paraId="20DC0C5E" w14:textId="77777777" w:rsidR="0086090B" w:rsidRPr="00681368" w:rsidRDefault="0086090B" w:rsidP="0086090B">
            <w:pPr>
              <w:spacing w:line="480" w:lineRule="auto"/>
              <w:rPr>
                <w:rFonts w:ascii="Times New Roman" w:hAnsi="Times New Roman"/>
              </w:rPr>
            </w:pPr>
            <w:r w:rsidRPr="00681368">
              <w:rPr>
                <w:rFonts w:ascii="Times New Roman" w:hAnsi="Times New Roman"/>
              </w:rPr>
              <w:t>62 y</w:t>
            </w:r>
          </w:p>
        </w:tc>
      </w:tr>
      <w:tr w:rsidR="0086090B" w:rsidRPr="00681368" w14:paraId="7A1757FE" w14:textId="77777777" w:rsidTr="00B07491">
        <w:tc>
          <w:tcPr>
            <w:tcW w:w="5211" w:type="dxa"/>
          </w:tcPr>
          <w:p w14:paraId="28704216" w14:textId="77777777" w:rsidR="0086090B" w:rsidRPr="00681368" w:rsidRDefault="0086090B" w:rsidP="0086090B">
            <w:pPr>
              <w:spacing w:line="480" w:lineRule="auto"/>
              <w:rPr>
                <w:rFonts w:ascii="Times New Roman" w:hAnsi="Times New Roman"/>
              </w:rPr>
            </w:pPr>
            <w:r w:rsidRPr="00681368">
              <w:rPr>
                <w:rFonts w:ascii="Times New Roman" w:hAnsi="Times New Roman"/>
              </w:rPr>
              <w:t xml:space="preserve">Typical combined </w:t>
            </w:r>
            <w:proofErr w:type="spellStart"/>
            <w:r w:rsidRPr="00681368">
              <w:rPr>
                <w:rFonts w:ascii="Times New Roman" w:hAnsi="Times New Roman"/>
              </w:rPr>
              <w:t>knickpoint</w:t>
            </w:r>
            <w:proofErr w:type="spellEnd"/>
            <w:r w:rsidRPr="00681368">
              <w:rPr>
                <w:rFonts w:ascii="Times New Roman" w:hAnsi="Times New Roman"/>
              </w:rPr>
              <w:t xml:space="preserve">-zone height </w:t>
            </w:r>
          </w:p>
        </w:tc>
        <w:tc>
          <w:tcPr>
            <w:tcW w:w="1843" w:type="dxa"/>
          </w:tcPr>
          <w:p w14:paraId="75A401DB" w14:textId="77777777" w:rsidR="0086090B" w:rsidRPr="00681368" w:rsidRDefault="0086090B" w:rsidP="0086090B">
            <w:pPr>
              <w:spacing w:line="480" w:lineRule="auto"/>
              <w:rPr>
                <w:rFonts w:ascii="Times New Roman" w:hAnsi="Times New Roman"/>
              </w:rPr>
            </w:pPr>
            <w:r w:rsidRPr="00681368">
              <w:rPr>
                <w:rFonts w:ascii="Times New Roman" w:hAnsi="Times New Roman"/>
              </w:rPr>
              <w:t>30 m</w:t>
            </w:r>
          </w:p>
        </w:tc>
        <w:tc>
          <w:tcPr>
            <w:tcW w:w="1933" w:type="dxa"/>
          </w:tcPr>
          <w:p w14:paraId="2FE833C8" w14:textId="77777777" w:rsidR="0086090B" w:rsidRPr="00681368" w:rsidRDefault="0086090B" w:rsidP="0086090B">
            <w:pPr>
              <w:spacing w:line="480" w:lineRule="auto"/>
              <w:rPr>
                <w:rFonts w:ascii="Times New Roman" w:hAnsi="Times New Roman"/>
              </w:rPr>
            </w:pPr>
            <w:r w:rsidRPr="00681368">
              <w:rPr>
                <w:rFonts w:ascii="Times New Roman" w:hAnsi="Times New Roman"/>
              </w:rPr>
              <w:t>45 m</w:t>
            </w:r>
          </w:p>
        </w:tc>
      </w:tr>
      <w:tr w:rsidR="0086090B" w:rsidRPr="00681368" w14:paraId="61C558A7" w14:textId="77777777" w:rsidTr="00B07491">
        <w:tc>
          <w:tcPr>
            <w:tcW w:w="5211" w:type="dxa"/>
          </w:tcPr>
          <w:p w14:paraId="6C97B165" w14:textId="77777777" w:rsidR="0086090B" w:rsidRPr="00681368" w:rsidRDefault="0086090B" w:rsidP="0086090B">
            <w:pPr>
              <w:spacing w:line="480" w:lineRule="auto"/>
              <w:rPr>
                <w:rFonts w:ascii="Times New Roman" w:hAnsi="Times New Roman"/>
              </w:rPr>
            </w:pPr>
            <w:r w:rsidRPr="00681368">
              <w:rPr>
                <w:rFonts w:ascii="Times New Roman" w:hAnsi="Times New Roman"/>
              </w:rPr>
              <w:t xml:space="preserve">Predicted erosion rate upstream of the </w:t>
            </w:r>
            <w:proofErr w:type="spellStart"/>
            <w:r w:rsidRPr="00681368">
              <w:rPr>
                <w:rFonts w:ascii="Times New Roman" w:hAnsi="Times New Roman"/>
              </w:rPr>
              <w:t>knickpoint</w:t>
            </w:r>
            <w:proofErr w:type="spellEnd"/>
            <w:r w:rsidRPr="00681368">
              <w:rPr>
                <w:rFonts w:ascii="Times New Roman" w:hAnsi="Times New Roman"/>
              </w:rPr>
              <w:t>-zone</w:t>
            </w:r>
          </w:p>
        </w:tc>
        <w:tc>
          <w:tcPr>
            <w:tcW w:w="1843" w:type="dxa"/>
          </w:tcPr>
          <w:p w14:paraId="127D4EEE" w14:textId="77777777" w:rsidR="0086090B" w:rsidRPr="00681368" w:rsidRDefault="0086090B" w:rsidP="0086090B">
            <w:pPr>
              <w:spacing w:line="480" w:lineRule="auto"/>
              <w:rPr>
                <w:rFonts w:ascii="Times New Roman" w:hAnsi="Times New Roman"/>
              </w:rPr>
            </w:pPr>
            <w:r w:rsidRPr="00681368">
              <w:rPr>
                <w:rFonts w:ascii="Times New Roman" w:hAnsi="Times New Roman"/>
              </w:rPr>
              <w:t>1.8 m/y</w:t>
            </w:r>
          </w:p>
        </w:tc>
        <w:tc>
          <w:tcPr>
            <w:tcW w:w="1933" w:type="dxa"/>
          </w:tcPr>
          <w:p w14:paraId="6C49AED7" w14:textId="77777777" w:rsidR="0086090B" w:rsidRPr="00681368" w:rsidRDefault="0086090B" w:rsidP="0086090B">
            <w:pPr>
              <w:spacing w:line="480" w:lineRule="auto"/>
              <w:rPr>
                <w:rFonts w:ascii="Times New Roman" w:hAnsi="Times New Roman"/>
              </w:rPr>
            </w:pPr>
            <w:r w:rsidRPr="00681368">
              <w:rPr>
                <w:rFonts w:ascii="Times New Roman" w:hAnsi="Times New Roman"/>
              </w:rPr>
              <w:t>0.7 m/y</w:t>
            </w:r>
          </w:p>
        </w:tc>
      </w:tr>
    </w:tbl>
    <w:p w14:paraId="6AE6E3E5" w14:textId="77777777" w:rsidR="0086090B" w:rsidRPr="003B0611" w:rsidRDefault="005C57F7" w:rsidP="0086090B">
      <w:pPr>
        <w:ind w:left="360"/>
        <w:rPr>
          <w:i/>
        </w:rPr>
      </w:pPr>
      <w:r>
        <w:rPr>
          <w:i/>
        </w:rPr>
        <w:t>Supplementary table 3</w:t>
      </w:r>
      <w:r w:rsidR="003B0611" w:rsidRPr="003B0611">
        <w:rPr>
          <w:i/>
        </w:rPr>
        <w:t xml:space="preserve">: Deposition rates and prediction of erosion rates associated with </w:t>
      </w:r>
      <w:proofErr w:type="spellStart"/>
      <w:r w:rsidR="003B0611" w:rsidRPr="003B0611">
        <w:rPr>
          <w:i/>
        </w:rPr>
        <w:t>knickpoint</w:t>
      </w:r>
      <w:proofErr w:type="spellEnd"/>
      <w:r w:rsidR="003B0611" w:rsidRPr="003B0611">
        <w:rPr>
          <w:i/>
        </w:rPr>
        <w:t>-zones 2 and 3</w:t>
      </w:r>
    </w:p>
    <w:p w14:paraId="36C1B13E" w14:textId="77777777" w:rsidR="0017771A" w:rsidRDefault="003B0611" w:rsidP="0086090B">
      <w:pPr>
        <w:ind w:left="360"/>
      </w:pPr>
      <w:r>
        <w:t>The</w:t>
      </w:r>
      <w:r w:rsidR="00F22CBF">
        <w:t xml:space="preserve"> resulting </w:t>
      </w:r>
      <w:r>
        <w:t xml:space="preserve">estimations show that </w:t>
      </w:r>
      <w:proofErr w:type="spellStart"/>
      <w:r>
        <w:t>knickpoint</w:t>
      </w:r>
      <w:proofErr w:type="spellEnd"/>
      <w:r>
        <w:t xml:space="preserve"> erosion and deposition were balanced around </w:t>
      </w:r>
      <w:proofErr w:type="spellStart"/>
      <w:r>
        <w:t>knickpoint</w:t>
      </w:r>
      <w:proofErr w:type="spellEnd"/>
      <w:r>
        <w:t xml:space="preserve">-zone 3, whilst the erosion exceeded the deposition around </w:t>
      </w:r>
      <w:proofErr w:type="spellStart"/>
      <w:r>
        <w:t>knickpoint</w:t>
      </w:r>
      <w:proofErr w:type="spellEnd"/>
      <w:r>
        <w:t>-zone 2, however they are in the same order of magnitude.</w:t>
      </w:r>
      <w:r w:rsidR="00A431EF">
        <w:t xml:space="preserve"> This suggests that erosion and deposition related to upstream-migrating </w:t>
      </w:r>
      <w:proofErr w:type="spellStart"/>
      <w:r w:rsidR="00A431EF">
        <w:t>knickpoints</w:t>
      </w:r>
      <w:proofErr w:type="spellEnd"/>
      <w:r w:rsidR="00A431EF">
        <w:t xml:space="preserve"> can generate bypass.</w:t>
      </w:r>
    </w:p>
    <w:p w14:paraId="3FB9647A" w14:textId="77777777" w:rsidR="0017771A" w:rsidRDefault="0017771A">
      <w:pPr>
        <w:rPr>
          <w:b/>
        </w:rPr>
      </w:pPr>
      <w:r>
        <w:rPr>
          <w:b/>
        </w:rPr>
        <w:t>Estimating stratigraphic completeness of channel deposits in Bute Inlet over 10s to 100s of years</w:t>
      </w:r>
    </w:p>
    <w:p w14:paraId="465064B3" w14:textId="77777777" w:rsidR="0017771A" w:rsidRDefault="00BD2E45">
      <w:r>
        <w:t xml:space="preserve">Stratigraphic completeness is the used to describe how deposited sediment is persevered over a given timescale </w:t>
      </w:r>
      <w:r>
        <w:fldChar w:fldCharType="begin" w:fldLock="1"/>
      </w:r>
      <w:r w:rsidR="00297AB9">
        <w:instrText>ADDIN CSL_CITATION {"citationItems":[{"id":"ITEM-1","itemData":{"DOI":"10.1086/628623","ISSN":"00221376","abstract":"A compilation of nearly 25 000 rates of sediment accumulation shows that they are extremely variable, spanning at least 11 orders of magnitude. Much of this variation results from rates determined for different time spans: there is a systematic trend of falling mean rate with increasing time span. The gradients of such trends vary with environment of deposition. Although measurement error and compaction contribute to these regressions, they are primarily the consequence of unsteady, discontinuous sedimentation. The unsteadiness may be cyclic or random, but net accumulation is characterized by fluctuations whose magnitudes increase with increasing recurrence interval. Ratios of median long- to short- term accumulation rate provide a measure of the expected completeness of sedimentary stratigraphic sections. Expected completeness deteriorates as finer time scales are considered.-from Author","author":[{"dropping-particle":"","family":"Sadler","given":"P. M.","non-dropping-particle":"","parse-names":false,"suffix":""}],"container-title":"Journal of Geology","id":"ITEM-1","issue":"5","issued":{"date-parts":[["1981"]]},"page":"569-584","title":"Sediment accumulation rates and the completeness of stratigraphic sections.","type":"article-journal","volume":"89"},"uris":["http://www.mendeley.com/documents/?uuid=1b159d82-124e-41a2-bfb7-edcc78abcf00","http://www.mendeley.com/documents/?uuid=6f01f836-7ff4-4b30-90cc-cb6ec65d8458"]},{"id":"ITEM-2","itemData":{"DOI":"10.1007/BF00897239","ISSN":"08828121","abstract":"Properties of stratigraphic completeness are determined here from a Brownian motion model of sediment accumulation. This avoids flaws inherent in application of a discrete-time random walk to the time span, rather than thickness, of sediment layers. Both discrete and continuous models show that the concept of stratigraphic completeness is meaningful only when the time scale is specified. From the discrete model, not surprisingly, completeness improves with increasing relative frequency and average thickness of depositional increments and the error of completeness estimation should decrease for longer sections. The continuous model shows that two dimensionless products determine the probability that a given time interval will be recorded by some preserved sediment. The first is the ratio of the age of the interval to its time span; the second is the product of the square root of the time span and ratio of the mean to the standard deviation of accumulation rate. Expected completeness is the average of these probabilities for all successive intervals of the given time span. For long sections, completeness may be estimated from the second dimensionless product alone. The two dimensionless products are sufficient to predict the relationship of accumulation rate to time span, the distribution of bed thickness, and the weak association of completeness and section thickness. © 1989 International Association for Mathematical Geology.","author":[{"dropping-particle":"","family":"Strauss","given":"David","non-dropping-particle":"","parse-names":false,"suffix":""},{"dropping-particle":"","family":"Sadler","given":"Peter M.","non-dropping-particle":"","parse-names":false,"suffix":""}],"container-title":"Mathematical Geology","id":"ITEM-2","issue":"1","issued":{"date-parts":[["1989"]]},"page":"37-59","title":"Stochastic models for the completeness of stratigraphic sections","type":"article-journal","volume":"21"},"uris":["http://www.mendeley.com/documents/?uuid=f00d3e95-c0e3-4a1c-aa86-00dc28744ee1","http://www.mendeley.com/documents/?uuid=29a7fa0f-3ada-43ce-a306-2f30ff32acc5"]},{"id":"ITEM-3","itemData":{"DOI":"10.1002/jgrf.20061","ISSN":"21699011","abstract":"Stratigraphy contains the most complete record of information necessary to quantitatively reconstruct paleolandscape dynamics, but this record contains significant gaps over a range of time and space scales. These gaps result from stasis on geomorphic surfaces and erosional events that remove previously deposited sediment. Building on earlier statistical studies, we examine stratigraphic completeness in three laboratory experiments where the topography of aggrading deltas was monitored at high temporal and spatial scales. The three experiments cover unique combinations in the absolute magnitudes of sediment and water discharge in addition to generation of accommodation space through base-level rise. This analysis centers on three time scales: (1) the time at which a record is discretized (t), (2) the time necessary to build a deposit with mean thickness equivalent to the maximum roughness on a surface (T &lt;inf&gt;c&lt;/inf&gt;), and (3) the time necessary for channelized flow to migrate over all locations in a basin (T&lt;inf&gt;ch&lt;/inf&gt;). These time scales incorporate information pertaining to the time-variant topography of actively changing surfaces, kinematics by which the surfaces are changing, and net deposition rate. We find that stratigraphic completeness increases as a function of t/T&lt;inf&gt;c&lt;/inf&gt; but decreases as a function of T&lt;inf&gt;c&lt;/inf&gt;/T&lt;inf&gt;ch&lt;/inf&gt; over the parameter space covered in the experiments. Our results suggest that environmental signals disconnected from a sediment routing system are best preserved in systems with low T&lt;inf&gt;c&lt;/inf&gt; values. Nondimensionalizing t by T&lt;inf&gt;c&lt;/inf&gt;, however, shows that preservation of information characterizing system morphodynamics is best preserved in stratigraphy constructed by systems with low water to sediment flux ratios. Key Points We explore stratigraphic completeness in three deltaic physical experiments Completeness controlled by time scale at which a record is discetized Completeness also controlled by time scales which characterize system dynamics ©2013. American Geophysical Union. All Rights Reserved.","author":[{"dropping-particle":"","family":"Straub","given":"Kyle M.","non-dropping-particle":"","parse-names":false,"suffix":""},{"dropping-particle":"","family":"Esposito","given":"Christopher R.","non-dropping-particle":"","parse-names":false,"suffix":""}],"container-title":"Journal of Geophysical Research: Earth Surface","id":"ITEM-3","issue":"2","issued":{"date-parts":[["2013"]]},"page":"625-637","title":"Influence of water and sediment supply on the stratigraphic record of alluvial fans and deltas: Process controls on stratigraphic completeness","type":"article-journal","volume":"118"},"uris":["http://www.mendeley.com/documents/?uuid=99888e27-4812-4ada-8392-bf33a45ff8e8","http://www.mendeley.com/documents/?uuid=8c1a4144-7505-4e59-9039-35452b82a1ed"]},{"id":"ITEM-4","itemData":{"DOI":"10.1016/J.EPSL.2019.03.033","ISSN":"0012-821X","abstract":"Turbidity currents are powerful flows of sediment that pose a hazard to critical seafloor infrastructure and transport globally important amounts of sediment to the deep sea. Due to challenges of direct monitoring, we typically rely on their deposits to reconstruct past turbidity currents. Understanding these flows is complicated because successive flows can rework or erase previous deposits. Hence, depositional environments dominated by turbidity currents, such as submarine channels, only partially record their deposits. But precisely how incomplete these deposits are, is unclear. Here we use the most extensive repeat bathymetric mapping yet of any turbidity current system, to reveal the stratigraphic evolution of three submarine channels. We re-analyze 93 daily repeat surveys performed over four months at the Squamish submarine delta, British Columbia in 2011, during which time &gt;100 turbidity currents were monitored. Turbidity currents deposit and rework sediments into upstream-migrating bedforms, ensuring low rates of preservation (median 11%), even on the terminal lobes. Large delta-lip collapses (up to 150,000 m3) are relatively well preserved, however, due to their rapidly emplaced volumes, which shield underlying channel deposits from erosion over the surveyed timescale. The biggest gaps in the depositional record relate to infrequent powerful flows that cause significant erosion, particularly at the channel-lobe transition zone where no deposits during our monitoring period are preserved. Our analysis of repeat surveys demonstrates how incomplete the stratigraphy of submarine channels can be, even over just 4 months, and provides a new approach to better understand how the stratigraphic record is built and preserved in a wider range of marine settings.","author":[{"dropping-particle":"","family":"Vendettuoli","given":"D.","non-dropping-particle":"","parse-names":false,"suffix":""},{"dropping-particle":"","family":"Clare","given":"M A","non-dropping-particle":"","parse-names":false,"suffix":""},{"dropping-particle":"","family":"Clarke","given":"J E Hughes","non-dropping-particle":"","parse-names":false,"suffix":""},{"dropping-particle":"","family":"Vellinga","given":"A.","non-dropping-particle":"","parse-names":false,"suffix":""},{"dropping-particle":"","family":"Hizzett","given":"J","non-dropping-particle":"","parse-names":false,"suffix":""},{"dropping-particle":"","family":"Hage","given":"S.","non-dropping-particle":"","parse-names":false,"suffix":""},{"dropping-particle":"","family":"Cartigny","given":"M.J.B.","non-dropping-particle":"","parse-names":false,"suffix":""},{"dropping-particle":"","family":"Talling","given":"P J","non-dropping-particle":"","parse-names":false,"suffix":""},{"dropping-particle":"","family":"Waltham","given":"D.","non-dropping-particle":"","parse-names":false,"suffix":""},{"dropping-particle":"","family":"Hubbard","given":"S.M.","non-dropping-particle":"","parse-names":false,"suffix":""},{"dropping-particle":"","family":"Stacey","given":"C.","non-dropping-particle":"","parse-names":false,"suffix":""},{"dropping-particle":"","family":"Lintern","given":"D G","non-dropping-particle":"","parse-names":false,"suffix":""}],"container-title":"Earth and Planetary Science Letters","id":"ITEM-4","issued":{"date-parts":[["2019","6","1"]]},"page":"231-247","publisher":"Elsevier","title":"Daily bathymetric surveys document how stratigraphy is built and its extreme incompleteness in submarine channels","type":"article-journal","volume":"515"},"uris":["http://www.mendeley.com/documents/?uuid=41f64f2e-0c98-4888-be5d-e6b70935f6a9","http://www.mendeley.com/documents/?uuid=8cec4cbe-43b5-3264-8847-d314b02b0495"]}],"mendeley":{"formattedCitation":"(Sadler, 1981; Straub and Esposito, 2013; Strauss and Sadler, 1989; Vendettuoli et al., 2019)","plainTextFormattedCitation":"(Sadler, 1981; Straub and Esposito, 2013; Strauss and Sadler, 1989; Vendettuoli et al., 2019)","previouslyFormattedCitation":"(Sadler, 1981; Strauss and Sadler, 1989; Straub and Esposito, 2013; Vendettuoli et al., 2019)"},"properties":{"noteIndex":0},"schema":"https://github.com/citation-style-language/schema/raw/master/csl-citation.json"}</w:instrText>
      </w:r>
      <w:r>
        <w:fldChar w:fldCharType="separate"/>
      </w:r>
      <w:r w:rsidR="00297AB9" w:rsidRPr="00297AB9">
        <w:rPr>
          <w:noProof/>
        </w:rPr>
        <w:t>(Sadler, 1981; Straub and Esposito, 2013; Strauss and Sadler, 1989; Vendettuoli et al., 2019)</w:t>
      </w:r>
      <w:r>
        <w:fldChar w:fldCharType="end"/>
      </w:r>
      <w:r>
        <w:t xml:space="preserve">. Areas where all deposits are preserved have 100% stratigraphic completeness, and if only half of the deposits are preserved the stratigraphic completeness is 50%, etc. </w:t>
      </w:r>
      <w:r w:rsidR="002977B7">
        <w:t xml:space="preserve">Here we estimate the stratigraphic completeness of the </w:t>
      </w:r>
      <w:proofErr w:type="spellStart"/>
      <w:r w:rsidR="002977B7">
        <w:t>knickpoint</w:t>
      </w:r>
      <w:proofErr w:type="spellEnd"/>
      <w:r w:rsidR="002977B7">
        <w:t xml:space="preserve">-dominated channel </w:t>
      </w:r>
      <w:r w:rsidR="00B33DA0">
        <w:t xml:space="preserve">in Bute Inlet over decades to centuries by comparing the observed deposition in the channel over 11 years (this study) with modelled longer-term aggradation rates for the system </w:t>
      </w:r>
      <w:r w:rsidR="00B33DA0">
        <w:fldChar w:fldCharType="begin" w:fldLock="1"/>
      </w:r>
      <w:r w:rsidR="00BC3654">
        <w:instrText>ADDIN CSL_CITATION {"citationItems":[{"id":"ITEM-1","itemData":{"DOI":"10.1029/JC093iC06p06895","ISSN":"01480227","abstract":"A theoretical model is developed for the infilling of a basin by the progradation of a delta. The model simulates four mechanisms for the transfer of sediment from the land to the sea: 1) bed load dumping along the delta front; 2) hemipelagic sedimentation under the seaward flowing river plume; 3) proximal slope bypassing by turbidity currents, and 4) the combined effects of both short-term (wave and tidal action) and long-term (creep and small slides) downslope diffusion of the accreting sediment mass. -from Authors","author":[{"dropping-particle":"","family":"Syvitski","given":"J. P.M.","non-dropping-particle":"","parse-names":false,"suffix":""},{"dropping-particle":"","family":"Smith","given":"J. N.","non-dropping-particle":"","parse-names":false,"suffix":""},{"dropping-particle":"","family":"Calabrese","given":"E. A.","non-dropping-particle":"","parse-names":false,"suffix":""},{"dropping-particle":"","family":"Boudreau","given":"B. P.","non-dropping-particle":"","parse-names":false,"suffix":""}],"container-title":"Journal of Geophysical Research","id":"ITEM-1","issue":"C6","issued":{"date-parts":[["1988"]]},"page":"6895-6908","title":"Basin sedimentation and the growth of prograding deltas","type":"article-journal","volume":"93"},"uris":["http://www.mendeley.com/documents/?uuid=62ef007a-d9fa-3b29-bd39-3f7841539cf6"]}],"mendeley":{"formattedCitation":"(Syvitski et al., 1988)","plainTextFormattedCitation":"(Syvitski et al., 1988)","previouslyFormattedCitation":"(Syvitski et al., 1988)"},"properties":{"noteIndex":0},"schema":"https://github.com/citation-style-language/schema/raw/master/csl-citation.json"}</w:instrText>
      </w:r>
      <w:r w:rsidR="00B33DA0">
        <w:fldChar w:fldCharType="separate"/>
      </w:r>
      <w:r w:rsidR="00B33DA0" w:rsidRPr="00B33DA0">
        <w:rPr>
          <w:noProof/>
        </w:rPr>
        <w:t>(Syvitski et al., 1988)</w:t>
      </w:r>
      <w:r w:rsidR="00B33DA0">
        <w:fldChar w:fldCharType="end"/>
      </w:r>
      <w:r w:rsidR="00B33DA0">
        <w:t>. The submarine channel in Knight Inlet, a similar system to Bute Inlet, has</w:t>
      </w:r>
      <w:r w:rsidR="0017771A">
        <w:t xml:space="preserve"> been modelled to aggrade </w:t>
      </w:r>
      <w:r w:rsidR="00E13E93">
        <w:t>by</w:t>
      </w:r>
      <w:r w:rsidR="0017771A">
        <w:t xml:space="preserve"> 1–5 cm/</w:t>
      </w:r>
      <w:proofErr w:type="spellStart"/>
      <w:r w:rsidR="0017771A">
        <w:t>yr</w:t>
      </w:r>
      <w:proofErr w:type="spellEnd"/>
      <w:r w:rsidR="0017771A">
        <w:t xml:space="preserve"> on timescales of 1000s of years </w:t>
      </w:r>
      <w:r w:rsidR="0017771A">
        <w:fldChar w:fldCharType="begin" w:fldLock="1"/>
      </w:r>
      <w:r w:rsidR="0017771A">
        <w:instrText>ADDIN CSL_CITATION {"citationItems":[{"id":"ITEM-1","itemData":{"DOI":"10.1029/JC093iC06p06895","ISSN":"01480227","abstract":"A theoretical model is developed for the infilling of a basin by the progradation of a delta. The model simulates four mechanisms for the transfer of sediment from the land to the sea: 1) bed load dumping along the delta front; 2) hemipelagic sedimentation under the seaward flowing river plume; 3) proximal slope bypassing by turbidity currents, and 4) the combined effects of both short-term (wave and tidal action) and long-term (creep and small slides) downslope diffusion of the accreting sediment mass. -from Authors","author":[{"dropping-particle":"","family":"Syvitski","given":"J. P.M.","non-dropping-particle":"","parse-names":false,"suffix":""},{"dropping-particle":"","family":"Smith","given":"J. N.","non-dropping-particle":"","parse-names":false,"suffix":""},{"dropping-particle":"","family":"Calabrese","given":"E. A.","non-dropping-particle":"","parse-names":false,"suffix":""},{"dropping-particle":"","family":"Boudreau","given":"B. P.","non-dropping-particle":"","parse-names":false,"suffix":""}],"container-title":"Journal of Geophysical Research","id":"ITEM-1","issue":"C6","issued":{"date-parts":[["1988"]]},"page":"6895-6908","title":"Basin sedimentation and the growth of prograding deltas","type":"article-journal","volume":"93"},"uris":["http://www.mendeley.com/documents/?uuid=62ef007a-d9fa-3b29-bd39-3f7841539cf6"]}],"mendeley":{"formattedCitation":"(Syvitski et al., 1988)","plainTextFormattedCitation":"(Syvitski et al., 1988)","previouslyFormattedCitation":"(Syvitski et al., 1988)"},"properties":{"noteIndex":0},"schema":"https://github.com/citation-style-language/schema/raw/master/csl-citation.json"}</w:instrText>
      </w:r>
      <w:r w:rsidR="0017771A">
        <w:fldChar w:fldCharType="separate"/>
      </w:r>
      <w:r w:rsidR="0017771A" w:rsidRPr="00D23DD6">
        <w:rPr>
          <w:noProof/>
        </w:rPr>
        <w:t>(Syvitski et al., 1988)</w:t>
      </w:r>
      <w:r w:rsidR="0017771A">
        <w:fldChar w:fldCharType="end"/>
      </w:r>
      <w:r w:rsidR="0017771A">
        <w:t xml:space="preserve">. However, sediment accumulates in the depositional zones between the </w:t>
      </w:r>
      <w:proofErr w:type="spellStart"/>
      <w:r w:rsidR="0017771A">
        <w:t>knickpoints</w:t>
      </w:r>
      <w:proofErr w:type="spellEnd"/>
      <w:r w:rsidR="0017771A">
        <w:t xml:space="preserve"> with in the order 1 m/</w:t>
      </w:r>
      <w:proofErr w:type="spellStart"/>
      <w:r w:rsidR="0017771A">
        <w:t>yr</w:t>
      </w:r>
      <w:proofErr w:type="spellEnd"/>
      <w:r w:rsidR="0017771A">
        <w:t xml:space="preserve"> (Fig. 3c;</w:t>
      </w:r>
      <w:r w:rsidR="00BC3654">
        <w:t xml:space="preserve"> Supplementary table 1; </w:t>
      </w:r>
      <w:r w:rsidR="00BC3654">
        <w:fldChar w:fldCharType="begin" w:fldLock="1"/>
      </w:r>
      <w:r w:rsidR="00BC3654">
        <w:instrText>ADDIN CSL_CITATION {"citationItems":[{"id":"ITEM-1","itemData":{"DOI":"10.1038/s41467-020-16861-x","ISSN":"20411723","PMID":"32561722","abstract":"Submarine channels are the primary conduits for terrestrial sediment, organic carbon, and pollutant transport to the deep sea. Submarine channels are far more difficult to monitor than rivers, and thus less well understood. Here we present 9 years of time-lapse mapping of an active submarine channel along its full length in Bute Inlet, Canada. Past studies suggested that meander-bend migration, levee-deposition, or migration of (supercritical-flow) bedforms controls the evolution of submarine channels. We show for the first time how rapid (100–450 m/year) upstream migration of 5-to-30 m high knickpoints can control submarine channel evolution. Knickpoint migration-related changes include deep (&gt;25 m) erosion, and lateral migration of the channel. Knickpoints in rivers are created by external factors, such as tectonics, or base-level change. However, the knickpoints in Bute Inlet appear internally generated. Similar knickpoints are found in several submarine channels worldwide, and are thus globally important for how channels operate.","author":[{"dropping-particle":"","family":"Heijnen","given":"Maarten S.","non-dropping-particle":"","parse-names":false,"suffix":""},{"dropping-particle":"","family":"Clare","given":"Michael A.","non-dropping-particle":"","parse-names":false,"suffix":""},{"dropping-particle":"","family":"Cartigny","given":"Matthieu J.B.","non-dropping-particle":"","parse-names":false,"suffix":""},{"dropping-particle":"","family":"Talling","given":"Peter J.","non-dropping-particle":"","parse-names":false,"suffix":""},{"dropping-particle":"","family":"Hage","given":"Sophie","non-dropping-particle":"","parse-names":false,"suffix":""},{"dropping-particle":"","family":"Lintern","given":"D. Gwyn","non-dropping-particle":"","parse-names":false,"suffix":""},{"dropping-particle":"","family":"Stacey","given":"Cooper","non-dropping-particle":"","parse-names":false,"suffix":""},{"dropping-particle":"","family":"Parsons","given":"Daniel R.","non-dropping-particle":"","parse-names":false,"suffix":""},{"dropping-particle":"","family":"Simmons","given":"Stephen M.","non-dropping-particle":"","parse-names":false,"suffix":""},{"dropping-particle":"","family":"Chen","given":"Ye","non-dropping-particle":"","parse-names":false,"suffix":""},{"dropping-particle":"","family":"Sumner","given":"Esther J.","non-dropping-particle":"","parse-names":false,"suffix":""},{"dropping-particle":"","family":"Dix","given":"Justin K.","non-dropping-particle":"","parse-names":false,"suffix":""},{"dropping-particle":"","family":"Hughes Clarke","given":"John E.","non-dropping-particle":"","parse-names":false,"suffix":""}],"container-title":"Nature Communications","id":"ITEM-1","issue":"1","issued":{"date-parts":[["2020"]]},"title":"Rapidly-migrating and internally-generated knickpoints can control submarine channel evolution","type":"article-journal","volume":"11"},"uris":["http://www.mendeley.com/documents/?uuid=ff2721d1-dc55-3044-86dc-6f422a49e842"]}],"mendeley":{"formattedCitation":"(Heijnen et al., 2020)","manualFormatting":"Heijnen et al., 2020)","plainTextFormattedCitation":"(Heijnen et al., 2020)","previouslyFormattedCitation":"(Heijnen et al., 2020)"},"properties":{"noteIndex":0},"schema":"https://github.com/citation-style-language/schema/raw/master/csl-citation.json"}</w:instrText>
      </w:r>
      <w:r w:rsidR="00BC3654">
        <w:fldChar w:fldCharType="separate"/>
      </w:r>
      <w:r w:rsidR="00BC3654" w:rsidRPr="00BC3654">
        <w:rPr>
          <w:noProof/>
        </w:rPr>
        <w:t>Heijnen et al., 2020)</w:t>
      </w:r>
      <w:r w:rsidR="00BC3654">
        <w:fldChar w:fldCharType="end"/>
      </w:r>
      <w:r w:rsidR="0017771A">
        <w:t xml:space="preserve">. This suggests that the resulting stratigraphic completeness for the </w:t>
      </w:r>
      <w:proofErr w:type="spellStart"/>
      <w:r w:rsidR="0017771A">
        <w:t>knickpoint</w:t>
      </w:r>
      <w:proofErr w:type="spellEnd"/>
      <w:r w:rsidR="0017771A">
        <w:t>-dominated channel-axi</w:t>
      </w:r>
      <w:r w:rsidR="00BC3654">
        <w:t>s deposits in Bute Inlet is 1–</w:t>
      </w:r>
      <w:r w:rsidR="0017771A">
        <w:t>5%.</w:t>
      </w:r>
    </w:p>
    <w:p w14:paraId="153412B4" w14:textId="77777777" w:rsidR="00DD06F4" w:rsidRDefault="00DD06F4">
      <w:pPr>
        <w:rPr>
          <w:b/>
        </w:rPr>
      </w:pPr>
      <w:r>
        <w:rPr>
          <w:b/>
        </w:rPr>
        <w:t>Bute Inlet submarine channel long profile</w:t>
      </w:r>
    </w:p>
    <w:p w14:paraId="09BE378B" w14:textId="77777777" w:rsidR="00DD06F4" w:rsidRPr="00DD06F4" w:rsidRDefault="00DD06F4">
      <w:r>
        <w:t xml:space="preserve">Supplementary Figure 2 presents a long profile along the axis of the submarine channel in Bute Inlet. </w:t>
      </w:r>
    </w:p>
    <w:p w14:paraId="61659328" w14:textId="77777777" w:rsidR="00DD06F4" w:rsidRDefault="00DD06F4">
      <w:r>
        <w:rPr>
          <w:noProof/>
          <w:lang w:val="en-US"/>
        </w:rPr>
        <w:drawing>
          <wp:inline distT="0" distB="0" distL="0" distR="0" wp14:anchorId="6D17FE81" wp14:editId="4C8B8171">
            <wp:extent cx="5829300" cy="2149115"/>
            <wp:effectExtent l="0" t="0" r="0" b="10160"/>
            <wp:docPr id="2" name="Picture 2" descr="Macintosh HD:Users:mclare:Desktop: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clare:Desktop:profi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2149115"/>
                    </a:xfrm>
                    <a:prstGeom prst="rect">
                      <a:avLst/>
                    </a:prstGeom>
                    <a:noFill/>
                    <a:ln>
                      <a:noFill/>
                    </a:ln>
                  </pic:spPr>
                </pic:pic>
              </a:graphicData>
            </a:graphic>
          </wp:inline>
        </w:drawing>
      </w:r>
    </w:p>
    <w:p w14:paraId="10CB4033" w14:textId="09CB6773" w:rsidR="00DD06F4" w:rsidRPr="003B0611" w:rsidRDefault="00DD06F4" w:rsidP="00DD06F4">
      <w:pPr>
        <w:ind w:left="360"/>
        <w:rPr>
          <w:i/>
        </w:rPr>
      </w:pPr>
      <w:r>
        <w:rPr>
          <w:i/>
        </w:rPr>
        <w:t xml:space="preserve">Supplementary Figure </w:t>
      </w:r>
      <w:r w:rsidR="000B09F5">
        <w:rPr>
          <w:i/>
        </w:rPr>
        <w:t>2</w:t>
      </w:r>
      <w:r w:rsidRPr="003B0611">
        <w:rPr>
          <w:i/>
        </w:rPr>
        <w:t xml:space="preserve">: </w:t>
      </w:r>
      <w:r w:rsidR="000B09F5">
        <w:rPr>
          <w:i/>
        </w:rPr>
        <w:t xml:space="preserve">(A) </w:t>
      </w:r>
      <w:r>
        <w:rPr>
          <w:i/>
        </w:rPr>
        <w:t>Long profile of submarine channel in Bute Inlet</w:t>
      </w:r>
      <w:r w:rsidR="000B09F5">
        <w:rPr>
          <w:i/>
        </w:rPr>
        <w:t xml:space="preserve"> (solid black line)</w:t>
      </w:r>
      <w:r>
        <w:rPr>
          <w:i/>
        </w:rPr>
        <w:t>, modified from Gales et al. (2019). Dark green line is the fjord axis gradient</w:t>
      </w:r>
      <w:r w:rsidR="00B834D8">
        <w:rPr>
          <w:i/>
        </w:rPr>
        <w:t xml:space="preserve">, while light green line is a smoother gradient plot. Inset figure B shows a single </w:t>
      </w:r>
      <w:proofErr w:type="spellStart"/>
      <w:r w:rsidR="00B834D8">
        <w:rPr>
          <w:i/>
        </w:rPr>
        <w:t>knickpoint</w:t>
      </w:r>
      <w:proofErr w:type="spellEnd"/>
      <w:r w:rsidR="00B834D8">
        <w:rPr>
          <w:i/>
        </w:rPr>
        <w:t xml:space="preserve">. </w:t>
      </w:r>
      <w:r>
        <w:rPr>
          <w:i/>
        </w:rPr>
        <w:t xml:space="preserve"> </w:t>
      </w:r>
    </w:p>
    <w:p w14:paraId="473C22B0" w14:textId="77777777" w:rsidR="00BC3654" w:rsidRDefault="00BC3654" w:rsidP="00BC3654">
      <w:pPr>
        <w:widowControl w:val="0"/>
        <w:autoSpaceDE w:val="0"/>
        <w:autoSpaceDN w:val="0"/>
        <w:adjustRightInd w:val="0"/>
        <w:spacing w:line="240" w:lineRule="auto"/>
        <w:ind w:left="480" w:hanging="480"/>
        <w:rPr>
          <w:b/>
        </w:rPr>
      </w:pPr>
    </w:p>
    <w:p w14:paraId="55F7AB40" w14:textId="77777777" w:rsidR="00694442" w:rsidRDefault="00694442" w:rsidP="00297AB9">
      <w:pPr>
        <w:widowControl w:val="0"/>
        <w:autoSpaceDE w:val="0"/>
        <w:autoSpaceDN w:val="0"/>
        <w:adjustRightInd w:val="0"/>
        <w:spacing w:line="240" w:lineRule="auto"/>
        <w:ind w:left="480" w:hanging="480"/>
        <w:rPr>
          <w:b/>
        </w:rPr>
      </w:pPr>
    </w:p>
    <w:p w14:paraId="11BB7263" w14:textId="5F1FFADB" w:rsidR="00A40991" w:rsidRPr="00A40991" w:rsidRDefault="00A40991" w:rsidP="00A40991">
      <w:pPr>
        <w:widowControl w:val="0"/>
        <w:autoSpaceDE w:val="0"/>
        <w:autoSpaceDN w:val="0"/>
        <w:adjustRightInd w:val="0"/>
        <w:spacing w:line="240" w:lineRule="auto"/>
        <w:rPr>
          <w:b/>
        </w:rPr>
      </w:pPr>
      <w:bookmarkStart w:id="0" w:name="_GoBack"/>
      <w:r>
        <w:rPr>
          <w:b/>
        </w:rPr>
        <w:lastRenderedPageBreak/>
        <w:t>Supplementary information on turbidity current characteristics</w:t>
      </w:r>
    </w:p>
    <w:p w14:paraId="19719077" w14:textId="0406BE34" w:rsidR="00694442" w:rsidRPr="00694442" w:rsidRDefault="00A40991" w:rsidP="00A40991">
      <w:pPr>
        <w:widowControl w:val="0"/>
        <w:autoSpaceDE w:val="0"/>
        <w:autoSpaceDN w:val="0"/>
        <w:adjustRightInd w:val="0"/>
        <w:spacing w:line="240" w:lineRule="auto"/>
      </w:pPr>
      <w:r>
        <w:t xml:space="preserve">The supplementary </w:t>
      </w:r>
      <w:proofErr w:type="spellStart"/>
      <w:r>
        <w:t>spreads</w:t>
      </w:r>
      <w:r w:rsidR="00694442" w:rsidRPr="00694442">
        <w:t>heet</w:t>
      </w:r>
      <w:proofErr w:type="spellEnd"/>
      <w:r w:rsidR="00694442" w:rsidRPr="00694442">
        <w:t xml:space="preserve"> “BUTE FLOW DATA.xlsx” provides information on the characteristics of turbidity currents monitoring using ADCPs during</w:t>
      </w:r>
      <w:r w:rsidR="00694442">
        <w:t xml:space="preserve"> 2016 and</w:t>
      </w:r>
      <w:r w:rsidR="00694442" w:rsidRPr="00694442">
        <w:t xml:space="preserve"> 2018</w:t>
      </w:r>
      <w:r w:rsidR="00694442">
        <w:t xml:space="preserve"> mooring deployments</w:t>
      </w:r>
      <w:r w:rsidR="00694442" w:rsidRPr="00694442">
        <w:t xml:space="preserve">. </w:t>
      </w:r>
      <w:r w:rsidR="00694442">
        <w:t xml:space="preserve">This includes: </w:t>
      </w:r>
      <w:proofErr w:type="spellStart"/>
      <w:r w:rsidR="00694442">
        <w:t>i</w:t>
      </w:r>
      <w:proofErr w:type="spellEnd"/>
      <w:r w:rsidR="00694442">
        <w:t xml:space="preserve">) Tab 1 “Arrival times all moorings” which details the arrival times (day and time in UTC) of flows at the different moorings, the minimum </w:t>
      </w:r>
      <w:proofErr w:type="spellStart"/>
      <w:r w:rsidR="00694442">
        <w:t>runout</w:t>
      </w:r>
      <w:proofErr w:type="spellEnd"/>
      <w:r w:rsidR="00694442">
        <w:t xml:space="preserve"> distance, and the maximum measured velocity from the ADCP; and ii) Tab 2 “TC characteristics” which details the maximum velocity and duration of turbidity currents as recorded at each mooring location.   </w:t>
      </w:r>
    </w:p>
    <w:bookmarkEnd w:id="0"/>
    <w:p w14:paraId="690B8563" w14:textId="2BE4C120" w:rsidR="00297AB9" w:rsidRDefault="00BC3654" w:rsidP="00297AB9">
      <w:pPr>
        <w:widowControl w:val="0"/>
        <w:autoSpaceDE w:val="0"/>
        <w:autoSpaceDN w:val="0"/>
        <w:adjustRightInd w:val="0"/>
        <w:spacing w:line="240" w:lineRule="auto"/>
        <w:ind w:left="480" w:hanging="480"/>
        <w:rPr>
          <w:b/>
        </w:rPr>
      </w:pPr>
      <w:r>
        <w:rPr>
          <w:b/>
        </w:rPr>
        <w:t xml:space="preserve">References </w:t>
      </w:r>
      <w:r w:rsidR="000B09F5">
        <w:rPr>
          <w:b/>
        </w:rPr>
        <w:t xml:space="preserve">for </w:t>
      </w:r>
      <w:r>
        <w:rPr>
          <w:b/>
        </w:rPr>
        <w:t>supplementary material</w:t>
      </w:r>
    </w:p>
    <w:p w14:paraId="7A0923CB" w14:textId="77777777" w:rsidR="00B834D8" w:rsidRDefault="00BC3654" w:rsidP="00B834D8">
      <w:pPr>
        <w:widowControl w:val="0"/>
        <w:autoSpaceDE w:val="0"/>
        <w:autoSpaceDN w:val="0"/>
        <w:adjustRightInd w:val="0"/>
        <w:spacing w:line="240" w:lineRule="auto"/>
        <w:ind w:left="480" w:hanging="480"/>
        <w:rPr>
          <w:rFonts w:ascii="Calibri" w:hAnsi="Calibri" w:cs="Calibri"/>
          <w:noProof/>
          <w:szCs w:val="24"/>
        </w:rPr>
      </w:pPr>
      <w:r>
        <w:rPr>
          <w:b/>
        </w:rPr>
        <w:fldChar w:fldCharType="begin" w:fldLock="1"/>
      </w:r>
      <w:r>
        <w:rPr>
          <w:b/>
        </w:rPr>
        <w:instrText xml:space="preserve">ADDIN Mendeley Bibliography CSL_BIBLIOGRAPHY </w:instrText>
      </w:r>
      <w:r>
        <w:rPr>
          <w:b/>
        </w:rPr>
        <w:fldChar w:fldCharType="separate"/>
      </w:r>
      <w:r w:rsidR="00297AB9" w:rsidRPr="00297AB9">
        <w:rPr>
          <w:rFonts w:ascii="Calibri" w:hAnsi="Calibri" w:cs="Calibri"/>
          <w:noProof/>
          <w:szCs w:val="24"/>
        </w:rPr>
        <w:t>Heijnen, M.S., Clare, M.A., Cartigny, M.J.B., Talling, P.J., Hage, S., Lintern, D.G., Stacey, C., Parsons, D.R., Simmons, S.M., Chen, Y., Sumner, E.J., Dix, J.K., Hughes Clarke, J.E., 2020. Rapidly-migrating and internally-generated knickpoints can control submarine channel evolution. Nat. Commun. 11. https://doi.org/10.1038/s41467-020-16861-x</w:t>
      </w:r>
    </w:p>
    <w:p w14:paraId="4BAF141D" w14:textId="77777777" w:rsidR="00B834D8" w:rsidRPr="00B834D8" w:rsidRDefault="00B834D8" w:rsidP="00B834D8">
      <w:pPr>
        <w:widowControl w:val="0"/>
        <w:autoSpaceDE w:val="0"/>
        <w:autoSpaceDN w:val="0"/>
        <w:adjustRightInd w:val="0"/>
        <w:spacing w:line="240" w:lineRule="auto"/>
        <w:ind w:left="480" w:hanging="480"/>
        <w:rPr>
          <w:rFonts w:ascii="Calibri" w:hAnsi="Calibri" w:cs="Calibri"/>
          <w:noProof/>
          <w:szCs w:val="24"/>
        </w:rPr>
      </w:pPr>
      <w:r w:rsidRPr="00B834D8">
        <w:rPr>
          <w:rFonts w:ascii="Calibri" w:hAnsi="Calibri" w:cs="Calibri"/>
          <w:noProof/>
          <w:szCs w:val="24"/>
        </w:rPr>
        <w:t>Gales, J.A., Talling, P.J., Cartigny, M.J., Hughes Clarke, J., Lintern, G., Stacey, C. and Clare, M.A., 2019. What controls submarine channel development and the morphology of deltas entering deep‐water fjords?. Earth Surface Processes and Landforms, 44(2), pp.535-551.</w:t>
      </w:r>
    </w:p>
    <w:p w14:paraId="16A36FA2" w14:textId="77777777" w:rsidR="00B834D8" w:rsidRPr="00297AB9" w:rsidRDefault="00B834D8" w:rsidP="00297AB9">
      <w:pPr>
        <w:widowControl w:val="0"/>
        <w:autoSpaceDE w:val="0"/>
        <w:autoSpaceDN w:val="0"/>
        <w:adjustRightInd w:val="0"/>
        <w:spacing w:line="240" w:lineRule="auto"/>
        <w:ind w:left="480" w:hanging="480"/>
        <w:rPr>
          <w:rFonts w:ascii="Calibri" w:hAnsi="Calibri" w:cs="Calibri"/>
          <w:noProof/>
          <w:szCs w:val="24"/>
        </w:rPr>
      </w:pPr>
    </w:p>
    <w:p w14:paraId="16FE5E30" w14:textId="77777777" w:rsidR="00297AB9" w:rsidRPr="00297AB9" w:rsidRDefault="00297AB9" w:rsidP="00297AB9">
      <w:pPr>
        <w:widowControl w:val="0"/>
        <w:autoSpaceDE w:val="0"/>
        <w:autoSpaceDN w:val="0"/>
        <w:adjustRightInd w:val="0"/>
        <w:spacing w:line="240" w:lineRule="auto"/>
        <w:ind w:left="480" w:hanging="480"/>
        <w:rPr>
          <w:rFonts w:ascii="Calibri" w:hAnsi="Calibri" w:cs="Calibri"/>
          <w:noProof/>
          <w:szCs w:val="24"/>
        </w:rPr>
      </w:pPr>
      <w:r w:rsidRPr="00297AB9">
        <w:rPr>
          <w:rFonts w:ascii="Calibri" w:hAnsi="Calibri" w:cs="Calibri"/>
          <w:noProof/>
          <w:szCs w:val="24"/>
        </w:rPr>
        <w:t>Sadler, P.M., 1981. Sediment accumulation rates and the completeness of stratigraphic sections. J. Geol. 89, 569–584. https://doi.org/10.1086/628623</w:t>
      </w:r>
    </w:p>
    <w:p w14:paraId="37702417" w14:textId="77777777" w:rsidR="00297AB9" w:rsidRPr="00297AB9" w:rsidRDefault="00297AB9" w:rsidP="00297AB9">
      <w:pPr>
        <w:widowControl w:val="0"/>
        <w:autoSpaceDE w:val="0"/>
        <w:autoSpaceDN w:val="0"/>
        <w:adjustRightInd w:val="0"/>
        <w:spacing w:line="240" w:lineRule="auto"/>
        <w:ind w:left="480" w:hanging="480"/>
        <w:rPr>
          <w:rFonts w:ascii="Calibri" w:hAnsi="Calibri" w:cs="Calibri"/>
          <w:noProof/>
          <w:szCs w:val="24"/>
        </w:rPr>
      </w:pPr>
      <w:r w:rsidRPr="00297AB9">
        <w:rPr>
          <w:rFonts w:ascii="Calibri" w:hAnsi="Calibri" w:cs="Calibri"/>
          <w:noProof/>
          <w:szCs w:val="24"/>
        </w:rPr>
        <w:t>Straub, K.M., Esposito, C.R., 2013. Influence of water and sediment supply on the stratigraphic record of alluvial fans and deltas: Process controls on stratigraphic completeness. J. Geophys. Res. Earth Surf. 118, 625–637. https://doi.org/10.1002/jgrf.20061</w:t>
      </w:r>
    </w:p>
    <w:p w14:paraId="64255939" w14:textId="77777777" w:rsidR="00297AB9" w:rsidRPr="00297AB9" w:rsidRDefault="00297AB9" w:rsidP="00297AB9">
      <w:pPr>
        <w:widowControl w:val="0"/>
        <w:autoSpaceDE w:val="0"/>
        <w:autoSpaceDN w:val="0"/>
        <w:adjustRightInd w:val="0"/>
        <w:spacing w:line="240" w:lineRule="auto"/>
        <w:ind w:left="480" w:hanging="480"/>
        <w:rPr>
          <w:rFonts w:ascii="Calibri" w:hAnsi="Calibri" w:cs="Calibri"/>
          <w:noProof/>
          <w:szCs w:val="24"/>
        </w:rPr>
      </w:pPr>
      <w:r w:rsidRPr="00297AB9">
        <w:rPr>
          <w:rFonts w:ascii="Calibri" w:hAnsi="Calibri" w:cs="Calibri"/>
          <w:noProof/>
          <w:szCs w:val="24"/>
        </w:rPr>
        <w:t>Strauss, D., Sadler, P.M., 1989. Stochastic models for the completeness of stratigraphic sections. Math. Geol. 21, 37–59. https://doi.org/10.1007/BF00897239</w:t>
      </w:r>
    </w:p>
    <w:p w14:paraId="07DCDBDE" w14:textId="77777777" w:rsidR="00297AB9" w:rsidRPr="00297AB9" w:rsidRDefault="00297AB9" w:rsidP="00297AB9">
      <w:pPr>
        <w:widowControl w:val="0"/>
        <w:autoSpaceDE w:val="0"/>
        <w:autoSpaceDN w:val="0"/>
        <w:adjustRightInd w:val="0"/>
        <w:spacing w:line="240" w:lineRule="auto"/>
        <w:ind w:left="480" w:hanging="480"/>
        <w:rPr>
          <w:rFonts w:ascii="Calibri" w:hAnsi="Calibri" w:cs="Calibri"/>
          <w:noProof/>
          <w:szCs w:val="24"/>
        </w:rPr>
      </w:pPr>
      <w:r w:rsidRPr="00297AB9">
        <w:rPr>
          <w:rFonts w:ascii="Calibri" w:hAnsi="Calibri" w:cs="Calibri"/>
          <w:noProof/>
          <w:szCs w:val="24"/>
        </w:rPr>
        <w:t>Syvitski, J.P.M., Smith, J.N., Calabrese, E.A., Boudreau, B.P., 1988. Basin sedimentation and the growth of prograding deltas. J. Geophys. Res. 93, 6895–6908. https://doi.org/10.1029/JC093iC06p06895</w:t>
      </w:r>
    </w:p>
    <w:p w14:paraId="3EEB864D" w14:textId="77777777" w:rsidR="00297AB9" w:rsidRPr="00297AB9" w:rsidRDefault="00297AB9" w:rsidP="00297AB9">
      <w:pPr>
        <w:widowControl w:val="0"/>
        <w:autoSpaceDE w:val="0"/>
        <w:autoSpaceDN w:val="0"/>
        <w:adjustRightInd w:val="0"/>
        <w:spacing w:line="240" w:lineRule="auto"/>
        <w:ind w:left="480" w:hanging="480"/>
        <w:rPr>
          <w:rFonts w:ascii="Calibri" w:hAnsi="Calibri" w:cs="Calibri"/>
          <w:noProof/>
        </w:rPr>
      </w:pPr>
      <w:r w:rsidRPr="00297AB9">
        <w:rPr>
          <w:rFonts w:ascii="Calibri" w:hAnsi="Calibri" w:cs="Calibri"/>
          <w:noProof/>
          <w:szCs w:val="24"/>
        </w:rPr>
        <w:t>Vendettuoli, D., Clare, M.A., Clarke, J.E.H., Vellinga, A., Hizzett, J., Hage, S., Cartigny, M.J.B., Talling, P.J., Waltham, D., Hubbard, S.M., Stacey, C., Lintern, D.G., 2019. Daily bathymetric surveys document how stratigraphy is built and its extreme incompleteness in submarine channels. Earth Planet. Sci. Lett. 515, 231–247. https://doi.org/10.1016/J.EPSL.2019.03.033</w:t>
      </w:r>
    </w:p>
    <w:p w14:paraId="6C8C09B8" w14:textId="77777777" w:rsidR="00BC3654" w:rsidRPr="0017771A" w:rsidRDefault="00BC3654">
      <w:pPr>
        <w:rPr>
          <w:b/>
        </w:rPr>
      </w:pPr>
      <w:r>
        <w:rPr>
          <w:b/>
        </w:rPr>
        <w:fldChar w:fldCharType="end"/>
      </w:r>
    </w:p>
    <w:sectPr w:rsidR="00BC3654" w:rsidRPr="001777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F007B"/>
    <w:multiLevelType w:val="hybridMultilevel"/>
    <w:tmpl w:val="285C9C12"/>
    <w:lvl w:ilvl="0" w:tplc="5FAE2942">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21D6871"/>
    <w:multiLevelType w:val="hybridMultilevel"/>
    <w:tmpl w:val="1AAA55E6"/>
    <w:lvl w:ilvl="0" w:tplc="3C8AF4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DFA"/>
    <w:rsid w:val="00020F60"/>
    <w:rsid w:val="000A51CB"/>
    <w:rsid w:val="000A7AB0"/>
    <w:rsid w:val="000B09F5"/>
    <w:rsid w:val="000C3618"/>
    <w:rsid w:val="0017771A"/>
    <w:rsid w:val="00203A60"/>
    <w:rsid w:val="00213C85"/>
    <w:rsid w:val="00284B9D"/>
    <w:rsid w:val="002977B7"/>
    <w:rsid w:val="00297AB9"/>
    <w:rsid w:val="00297C01"/>
    <w:rsid w:val="003B0611"/>
    <w:rsid w:val="003B522F"/>
    <w:rsid w:val="00447C8D"/>
    <w:rsid w:val="0045328F"/>
    <w:rsid w:val="0049376D"/>
    <w:rsid w:val="004B4DFA"/>
    <w:rsid w:val="00523BE3"/>
    <w:rsid w:val="005959AD"/>
    <w:rsid w:val="005C57F7"/>
    <w:rsid w:val="0062256E"/>
    <w:rsid w:val="00690D74"/>
    <w:rsid w:val="00694442"/>
    <w:rsid w:val="006952A6"/>
    <w:rsid w:val="006A3C38"/>
    <w:rsid w:val="006C0025"/>
    <w:rsid w:val="006E36FC"/>
    <w:rsid w:val="00811865"/>
    <w:rsid w:val="0086090B"/>
    <w:rsid w:val="00871347"/>
    <w:rsid w:val="008E4BC3"/>
    <w:rsid w:val="00A219E1"/>
    <w:rsid w:val="00A40991"/>
    <w:rsid w:val="00A431EF"/>
    <w:rsid w:val="00AA3B3D"/>
    <w:rsid w:val="00B07491"/>
    <w:rsid w:val="00B33DA0"/>
    <w:rsid w:val="00B834D8"/>
    <w:rsid w:val="00BC3654"/>
    <w:rsid w:val="00BD2E45"/>
    <w:rsid w:val="00BD3822"/>
    <w:rsid w:val="00CE3BAA"/>
    <w:rsid w:val="00CE3FC6"/>
    <w:rsid w:val="00DD06F4"/>
    <w:rsid w:val="00DD1D60"/>
    <w:rsid w:val="00E0366A"/>
    <w:rsid w:val="00E13E93"/>
    <w:rsid w:val="00E15CAF"/>
    <w:rsid w:val="00F22C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8D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5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51CB"/>
    <w:pPr>
      <w:ind w:left="720"/>
      <w:contextualSpacing/>
    </w:pPr>
  </w:style>
  <w:style w:type="character" w:styleId="Hyperlink">
    <w:name w:val="Hyperlink"/>
    <w:basedOn w:val="DefaultParagraphFont"/>
    <w:uiPriority w:val="99"/>
    <w:unhideWhenUsed/>
    <w:rsid w:val="00297C01"/>
    <w:rPr>
      <w:color w:val="0563C1" w:themeColor="hyperlink"/>
      <w:u w:val="single"/>
    </w:rPr>
  </w:style>
  <w:style w:type="paragraph" w:styleId="BalloonText">
    <w:name w:val="Balloon Text"/>
    <w:basedOn w:val="Normal"/>
    <w:link w:val="BalloonTextChar"/>
    <w:uiPriority w:val="99"/>
    <w:semiHidden/>
    <w:unhideWhenUsed/>
    <w:rsid w:val="00DD06F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06F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5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51CB"/>
    <w:pPr>
      <w:ind w:left="720"/>
      <w:contextualSpacing/>
    </w:pPr>
  </w:style>
  <w:style w:type="character" w:styleId="Hyperlink">
    <w:name w:val="Hyperlink"/>
    <w:basedOn w:val="DefaultParagraphFont"/>
    <w:uiPriority w:val="99"/>
    <w:unhideWhenUsed/>
    <w:rsid w:val="00297C01"/>
    <w:rPr>
      <w:color w:val="0563C1" w:themeColor="hyperlink"/>
      <w:u w:val="single"/>
    </w:rPr>
  </w:style>
  <w:style w:type="paragraph" w:styleId="BalloonText">
    <w:name w:val="Balloon Text"/>
    <w:basedOn w:val="Normal"/>
    <w:link w:val="BalloonTextChar"/>
    <w:uiPriority w:val="99"/>
    <w:semiHidden/>
    <w:unhideWhenUsed/>
    <w:rsid w:val="00DD06F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06F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259636">
      <w:bodyDiv w:val="1"/>
      <w:marLeft w:val="0"/>
      <w:marRight w:val="0"/>
      <w:marTop w:val="0"/>
      <w:marBottom w:val="0"/>
      <w:divBdr>
        <w:top w:val="none" w:sz="0" w:space="0" w:color="auto"/>
        <w:left w:val="none" w:sz="0" w:space="0" w:color="auto"/>
        <w:bottom w:val="none" w:sz="0" w:space="0" w:color="auto"/>
        <w:right w:val="none" w:sz="0" w:space="0" w:color="auto"/>
      </w:divBdr>
    </w:div>
    <w:div w:id="102243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s://earthquake.usgs.gov/earthquakes/search/" TargetMode="External"/><Relationship Id="rId8" Type="http://schemas.openxmlformats.org/officeDocument/2006/relationships/hyperlink" Target="https://earthquake.usgs.gov/earthquakes/search/"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A2140-37D7-FB48-B65D-A455CBE50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4072</Words>
  <Characters>23618</Characters>
  <Application>Microsoft Macintosh Word</Application>
  <DocSecurity>0</DocSecurity>
  <Lines>342</Lines>
  <Paragraphs>114</Paragraphs>
  <ScaleCrop>false</ScaleCrop>
  <HeadingPairs>
    <vt:vector size="2" baseType="variant">
      <vt:variant>
        <vt:lpstr>Title</vt:lpstr>
      </vt:variant>
      <vt:variant>
        <vt:i4>1</vt:i4>
      </vt:variant>
    </vt:vector>
  </HeadingPairs>
  <TitlesOfParts>
    <vt:vector size="1" baseType="lpstr">
      <vt:lpstr/>
    </vt:vector>
  </TitlesOfParts>
  <Company>National Oceanography Centre Southampton</Company>
  <LinksUpToDate>false</LinksUpToDate>
  <CharactersWithSpaces>27576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Heijnen</dc:creator>
  <cp:keywords/>
  <dc:description/>
  <cp:lastModifiedBy>Michael Clare</cp:lastModifiedBy>
  <cp:revision>6</cp:revision>
  <dcterms:created xsi:type="dcterms:W3CDTF">2022-01-20T10:23:00Z</dcterms:created>
  <dcterms:modified xsi:type="dcterms:W3CDTF">2022-01-24T14:07:00Z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http://www.zotero.org/styles/earth-and-planetary-science-letters</vt:lpwstr>
  </property>
  <property fmtid="{D5CDD505-2E9C-101B-9397-08002B2CF9AE}" pid="11" name="Mendeley Recent Style Name 4_1">
    <vt:lpwstr>Earth and Planetary Science Letters</vt:lpwstr>
  </property>
  <property fmtid="{D5CDD505-2E9C-101B-9397-08002B2CF9AE}" pid="12" name="Mendeley Recent Style Id 5_1">
    <vt:lpwstr>http://www.zotero.org/styles/geology</vt:lpwstr>
  </property>
  <property fmtid="{D5CDD505-2E9C-101B-9397-08002B2CF9AE}" pid="13" name="Mendeley Recent Style Name 5_1">
    <vt:lpwstr>Geology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69304a22-4f8b-3654-ab88-6fd8415aeb3e</vt:lpwstr>
  </property>
  <property fmtid="{D5CDD505-2E9C-101B-9397-08002B2CF9AE}" pid="24" name="Mendeley Citation Style_1">
    <vt:lpwstr>http://www.zotero.org/styles/earth-and-planetary-science-letters</vt:lpwstr>
  </property>
</Properties>
</file>