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360"/>
        <w:shd w:val="clear" w:fill="FFFFFF" w:themeFill="background1" w:color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Supplementary material</w:t>
      </w:r>
      <w:r/>
    </w:p>
    <w:p>
      <w:pPr>
        <w:spacing w:lineRule="auto" w:line="360"/>
        <w:shd w:val="clear" w:fill="FFFFFF" w:themeFill="background1" w:color="auto"/>
        <w:rPr>
          <w:rFonts w:ascii="Times New Roman" w:hAnsi="Times New Roman" w:cs="Times New Roman"/>
          <w:color w:val="000000"/>
          <w:sz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lang w:val="en-GB"/>
        </w:rPr>
      </w:r>
      <w:r/>
    </w:p>
    <w:p>
      <w:pPr>
        <w:jc w:val="both"/>
        <w:spacing w:lineRule="auto" w:line="360"/>
        <w:shd w:val="clear" w:fill="FFFFFF" w:themeFill="background1" w:color="auto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S1. Repeatability, preliminary reproducibility of the method and influence of matrix DNA concentration on amplification</w:t>
      </w:r>
      <w:r/>
    </w:p>
    <w:p>
      <w:pPr>
        <w:jc w:val="both"/>
        <w:spacing w:lineRule="auto" w:line="360"/>
        <w:shd w:val="clear" w:fill="FFFFFF" w:themeFill="background1" w:color="auto"/>
        <w:rPr>
          <w:rFonts w:ascii="Times New Roman" w:hAnsi="Times New Roman" w:cs="Times New Roman" w:eastAsia="Times New Roman"/>
          <w:color w:val="000000"/>
          <w:sz w:val="24"/>
          <w:lang w:val="en-US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en-US"/>
        </w:rPr>
        <w:t xml:space="preserve">Repeatability (within series variations) and </w:t>
      </w:r>
      <w:r>
        <w:rPr>
          <w:rFonts w:ascii="Times New Roman" w:hAnsi="Times New Roman" w:cs="Times New Roman" w:eastAsia="Times New Roman"/>
          <w:sz w:val="24"/>
          <w:szCs w:val="24"/>
          <w:lang w:val="en-US"/>
        </w:rPr>
        <w:t xml:space="preserve">preliminary reproducibility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en-US"/>
        </w:rPr>
        <w:t xml:space="preserve">(between series variations) were determined using </w:t>
      </w:r>
      <w:r>
        <w:rPr>
          <w:rFonts w:ascii="Times New Roman" w:hAnsi="Times New Roman" w:cs="Times New Roman" w:eastAsia="Times New Roman"/>
          <w:color w:val="000000"/>
          <w:sz w:val="24"/>
          <w:lang w:val="en-US"/>
        </w:rPr>
        <w:t xml:space="preserve">plasmid dilutions (10</w:t>
      </w:r>
      <w:r>
        <w:rPr>
          <w:rFonts w:ascii="Times New Roman" w:hAnsi="Times New Roman" w:cs="Times New Roman" w:eastAsia="Times New Roman"/>
          <w:color w:val="000000"/>
          <w:sz w:val="24"/>
          <w:vertAlign w:val="superscript"/>
          <w:lang w:val="en-US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4"/>
          <w:lang w:val="en-US"/>
        </w:rPr>
        <w:t xml:space="preserve"> à 10</w:t>
      </w:r>
      <w:r>
        <w:rPr>
          <w:rFonts w:ascii="Times New Roman" w:hAnsi="Times New Roman" w:cs="Times New Roman" w:eastAsia="Times New Roman"/>
          <w:color w:val="000000"/>
          <w:sz w:val="24"/>
          <w:vertAlign w:val="superscript"/>
          <w:lang w:val="en-US"/>
        </w:rPr>
        <w:t xml:space="preserve">-1</w:t>
      </w:r>
      <w:r>
        <w:rPr>
          <w:rFonts w:ascii="Times New Roman" w:hAnsi="Times New Roman" w:cs="Times New Roman" w:eastAsia="Times New Roman"/>
          <w:color w:val="000000"/>
          <w:sz w:val="24"/>
          <w:lang w:val="en-US"/>
        </w:rPr>
        <w:t xml:space="preserve"> copies /µl, 8 replicates per condition)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en-US"/>
        </w:rPr>
        <w:t xml:space="preserve">, during three consecutive days. Intra and inter-series standard deviations were calculated, as well as variation coefficient of intermediate fidelity (i.e.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en-US"/>
        </w:rPr>
        <w:t xml:space="preserve">fiability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 w:eastAsia="Times New Roman"/>
          <w:color w:val="000000" w:themeColor="text1"/>
          <w:sz w:val="24"/>
          <w:lang w:val="en-US"/>
        </w:rPr>
        <w:t xml:space="preserve">as described in ISO 5725-2.</w:t>
      </w:r>
      <w:r/>
    </w:p>
    <w:p>
      <w:pPr>
        <w:jc w:val="both"/>
        <w:spacing w:lineRule="auto" w:line="360"/>
        <w:rPr>
          <w:rFonts w:ascii="Times New Roman" w:hAnsi="Times New Roman" w:cs="Times New Roman" w:eastAsia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Impact of oyster DNA concentration on amplification efficiency was determined by adding different oyster DNA concentrations (</w:t>
      </w:r>
      <w:r>
        <w:rPr>
          <w:rFonts w:ascii="Times New Roman" w:hAnsi="Times New Roman" w:cs="Times New Roman" w:eastAsia="Times New Roman"/>
          <w:color w:val="000000"/>
          <w:sz w:val="24"/>
          <w:lang w:val="en-GB"/>
        </w:rPr>
        <w:t xml:space="preserve">5, 50, 150 et 250 ng/µl)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to 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serie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plasmid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dilutions  (</w:t>
      </w:r>
      <w:r>
        <w:rPr>
          <w:rFonts w:ascii="Times New Roman" w:hAnsi="Times New Roman" w:cs="Times New Roman" w:eastAsia="Times New Roman"/>
          <w:color w:val="000000"/>
          <w:sz w:val="24"/>
          <w:lang w:val="en-GB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0"/>
          <w:vertAlign w:val="superscript"/>
          <w:lang w:val="en-GB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4"/>
          <w:lang w:val="en-GB"/>
        </w:rPr>
        <w:t xml:space="preserve"> to 10</w:t>
      </w:r>
      <w:r>
        <w:rPr>
          <w:rFonts w:ascii="Times New Roman" w:hAnsi="Times New Roman" w:cs="Times New Roman" w:eastAsia="Times New Roman"/>
          <w:color w:val="000000"/>
          <w:sz w:val="20"/>
          <w:vertAlign w:val="superscript"/>
          <w:lang w:val="en-GB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4"/>
          <w:lang w:val="en-GB"/>
        </w:rPr>
        <w:t xml:space="preserve"> copies/µl)</w:t>
      </w:r>
      <w:r>
        <w:rPr>
          <w:color w:val="000000" w:themeColor="text1"/>
          <w:lang w:val="en-GB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val="en-GB"/>
        </w:rPr>
        <w:t xml:space="preserve">For each condition, the difference (</w:t>
      </w:r>
      <w:r>
        <w:rPr>
          <w:rFonts w:ascii="Arial" w:hAnsi="Arial" w:cs="Arial" w:eastAsia="Arial"/>
          <w:color w:val="000000"/>
          <w:sz w:val="20"/>
          <w:lang w:val="en-GB"/>
        </w:rPr>
        <w:t xml:space="preserve">ΔCt</w:t>
      </w:r>
      <w:r>
        <w:rPr>
          <w:rFonts w:ascii="Arial" w:hAnsi="Arial" w:cs="Arial" w:eastAsia="Arial"/>
          <w:color w:val="000000"/>
          <w:sz w:val="20"/>
          <w:lang w:val="en-GB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4"/>
          <w:lang w:val="en-GB"/>
        </w:rPr>
        <w:t xml:space="preserve"> between the obtained and the control </w:t>
      </w:r>
      <w:r>
        <w:rPr>
          <w:rFonts w:ascii="Times New Roman" w:hAnsi="Times New Roman" w:cs="Times New Roman" w:eastAsia="Times New Roman"/>
          <w:color w:val="000000"/>
          <w:sz w:val="24"/>
          <w:lang w:val="en-GB"/>
        </w:rPr>
        <w:t xml:space="preserve">Cts</w:t>
      </w:r>
      <w:r>
        <w:rPr>
          <w:rFonts w:ascii="Times New Roman" w:hAnsi="Times New Roman" w:cs="Times New Roman" w:eastAsia="Times New Roman"/>
          <w:color w:val="000000"/>
          <w:sz w:val="24"/>
          <w:lang w:val="en-GB"/>
        </w:rPr>
        <w:t xml:space="preserve"> was calculated as well as the </w:t>
      </w:r>
      <w:r>
        <w:rPr>
          <w:rFonts w:ascii="Arial" w:hAnsi="Arial" w:cs="Arial" w:eastAsia="Arial"/>
          <w:color w:val="000000"/>
          <w:sz w:val="20"/>
          <w:lang w:val="en-GB"/>
        </w:rPr>
        <w:t xml:space="preserve">ΔCt</w:t>
      </w:r>
      <w:r>
        <w:rPr>
          <w:rFonts w:ascii="Arial" w:hAnsi="Arial" w:cs="Arial" w:eastAsia="Arial"/>
          <w:color w:val="000000"/>
          <w:sz w:val="20"/>
          <w:lang w:val="en-GB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val="en-GB"/>
        </w:rPr>
        <w:t xml:space="preserve">mean and the average deviation.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 w:type="page"/>
      </w:r>
      <w:r/>
    </w:p>
    <w:p>
      <w:pPr>
        <w:spacing w:lineRule="auto" w:line="360"/>
        <w:shd w:val="clear" w:fill="FFFFFF" w:themeFill="background1" w:color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S2 – Bayesian model used for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DSe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DSp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estimation</w:t>
      </w:r>
      <w:r/>
    </w:p>
    <w:p>
      <w:pPr>
        <w:spacing w:after="0"/>
        <w:rPr>
          <w:lang w:val="en-GB"/>
        </w:rPr>
      </w:pPr>
      <w:r>
        <w:rPr>
          <w:color w:val="000000"/>
          <w:u w:val="single"/>
          <w:lang w:val="en-GB"/>
        </w:rPr>
        <w:t xml:space="preserve">Legend</w:t>
      </w:r>
      <w:r>
        <w:rPr>
          <w:color w:val="000000"/>
          <w:lang w:val="en-GB"/>
        </w:rPr>
        <w:t xml:space="preserve">:</w:t>
      </w:r>
      <w:r/>
    </w:p>
    <w:p>
      <w:pPr>
        <w:spacing w:lineRule="auto" w:line="324" w:after="0"/>
        <w:rPr>
          <w:lang w:val="en-GB"/>
        </w:rPr>
      </w:pPr>
      <w:r>
        <w:rPr>
          <w:color w:val="000000"/>
          <w:lang w:val="en-GB"/>
        </w:rPr>
        <w:t xml:space="preserve">4 possible result patterns with two methods: --, -</w:t>
      </w:r>
      <w:r>
        <w:rPr>
          <w:color w:val="000000"/>
          <w:lang w:val="en-GB"/>
        </w:rPr>
        <w:t xml:space="preserve">+,+</w:t>
      </w:r>
      <w:r>
        <w:rPr>
          <w:color w:val="000000"/>
          <w:lang w:val="en-GB"/>
        </w:rPr>
        <w:t xml:space="preserve">-,++;</w:t>
      </w:r>
      <w:r/>
    </w:p>
    <w:p>
      <w:pPr>
        <w:spacing w:lineRule="auto" w:line="324" w:after="0"/>
        <w:rPr>
          <w:lang w:val="en-GB"/>
        </w:rPr>
      </w:pPr>
      <w:r>
        <w:rPr>
          <w:color w:val="000000"/>
          <w:lang w:val="en-GB"/>
        </w:rPr>
        <w:t xml:space="preserve">Method 1: new real-time PCR, Method 2: conventional PCR</w:t>
      </w:r>
      <w:r/>
    </w:p>
    <w:p>
      <w:pPr>
        <w:spacing w:lineRule="auto" w:line="324" w:after="0"/>
        <w:rPr>
          <w:lang w:val="en-GB"/>
        </w:rPr>
      </w:pPr>
      <w:r>
        <w:rPr>
          <w:color w:val="000000"/>
          <w:lang w:val="en-GB"/>
        </w:rPr>
        <w:t xml:space="preserve">r1=count in population 1in order --, -</w:t>
      </w:r>
      <w:r>
        <w:rPr>
          <w:color w:val="000000"/>
          <w:lang w:val="en-GB"/>
        </w:rPr>
        <w:t xml:space="preserve">+,+</w:t>
      </w:r>
      <w:r>
        <w:rPr>
          <w:color w:val="000000"/>
          <w:lang w:val="en-GB"/>
        </w:rPr>
        <w:t xml:space="preserve">-,++; r2=count in population 2 in order --, -+,+-,++ , r3=count in population 3 in the order: --, -+,+-,++; </w:t>
      </w:r>
      <w:r/>
    </w:p>
    <w:p>
      <w:pPr>
        <w:spacing w:lineRule="auto" w:line="324" w:after="0"/>
        <w:rPr>
          <w:lang w:val="en-GB"/>
        </w:rPr>
      </w:pPr>
      <w:r>
        <w:rPr>
          <w:color w:val="000000"/>
          <w:lang w:val="en-GB"/>
        </w:rPr>
        <w:t xml:space="preserve">n1, n2, n3= total count in population 1, 2 and 3; </w:t>
      </w:r>
      <w:r/>
    </w:p>
    <w:p>
      <w:pPr>
        <w:spacing w:lineRule="auto" w:line="324" w:after="0"/>
      </w:pPr>
      <w:r>
        <w:rPr>
          <w:color w:val="000000"/>
        </w:rPr>
        <w:t xml:space="preserve">Pr1, Pr2, Pr3=</w:t>
      </w:r>
      <w:r>
        <w:rPr>
          <w:color w:val="000000"/>
        </w:rPr>
        <w:t xml:space="preserve">prevalence</w:t>
      </w:r>
      <w:r>
        <w:rPr>
          <w:color w:val="000000"/>
        </w:rPr>
        <w:t xml:space="preserve"> in population 1, 2 and </w:t>
      </w:r>
      <w:r>
        <w:rPr>
          <w:color w:val="000000"/>
        </w:rPr>
        <w:t xml:space="preserve">3;</w:t>
      </w:r>
      <w:r>
        <w:rPr>
          <w:color w:val="000000"/>
        </w:rPr>
        <w:t xml:space="preserve">  </w:t>
      </w:r>
      <w:r/>
    </w:p>
    <w:p>
      <w:pPr>
        <w:spacing w:lineRule="auto" w:line="324" w:after="0"/>
        <w:rPr>
          <w:lang w:val="en-GB"/>
        </w:rPr>
      </w:pPr>
      <w:r>
        <w:rPr>
          <w:color w:val="000000"/>
          <w:lang w:val="en-GB"/>
        </w:rPr>
        <w:t xml:space="preserve">se1 se2= sensibility method 1 and 2, sp1 sp2= specificity method 1 and 2,</w:t>
      </w:r>
      <w:r/>
    </w:p>
    <w:p>
      <w:pPr>
        <w:spacing w:lineRule="auto" w:line="324" w:after="0"/>
        <w:rPr>
          <w:lang w:val="en-GB"/>
        </w:rPr>
      </w:pPr>
      <w:r>
        <w:rPr>
          <w:color w:val="000000"/>
          <w:lang w:val="en-GB"/>
        </w:rPr>
        <w:t xml:space="preserve">p1[</w:t>
      </w:r>
      <w:r>
        <w:rPr>
          <w:color w:val="000000"/>
          <w:lang w:val="en-GB"/>
        </w:rPr>
        <w:t xml:space="preserve">1]=</w:t>
      </w:r>
      <w:r>
        <w:rPr>
          <w:color w:val="000000"/>
          <w:lang w:val="en-GB"/>
        </w:rPr>
        <w:t xml:space="preserve">p(--) in population 1, p1[4]=p(++) in population 1 ...etc ,</w:t>
      </w:r>
      <w:r/>
    </w:p>
    <w:p>
      <w:pPr>
        <w:spacing w:lineRule="auto" w:line="324" w:after="0"/>
        <w:rPr>
          <w:lang w:val="en-GB"/>
        </w:rPr>
      </w:pPr>
      <w:r>
        <w:rPr>
          <w:color w:val="000000"/>
          <w:lang w:val="en-GB"/>
        </w:rPr>
        <w:t xml:space="preserve">Cp12= covariance between method 1and 2 within the “diseased” class, </w:t>
      </w:r>
      <w:r/>
    </w:p>
    <w:p>
      <w:pPr>
        <w:spacing w:lineRule="auto" w:line="324"/>
        <w:rPr>
          <w:lang w:val="en-GB"/>
        </w:rPr>
      </w:pPr>
      <w:r>
        <w:rPr>
          <w:color w:val="000000"/>
          <w:lang w:val="en-GB"/>
        </w:rPr>
        <w:t xml:space="preserve">Cn12= covariance between method 1and 2 within the “non-diseased” class.</w:t>
      </w:r>
      <w:r/>
    </w:p>
    <w:p>
      <w:pPr>
        <w:spacing w:after="0"/>
        <w:rPr>
          <w:lang w:val="en-GB"/>
        </w:rPr>
      </w:pPr>
      <w:r>
        <w:rPr>
          <w:color w:val="000000"/>
          <w:u w:val="single"/>
          <w:lang w:val="en-GB"/>
        </w:rPr>
        <w:t xml:space="preserve">Bayesian model</w:t>
      </w:r>
      <w:r/>
    </w:p>
    <w:p>
      <w:pPr>
        <w:spacing w:after="0"/>
        <w:rPr>
          <w:lang w:val="en-GB"/>
        </w:rPr>
      </w:pPr>
      <w:r>
        <w:rPr>
          <w:color w:val="000000"/>
          <w:lang w:val="en-GB"/>
        </w:rPr>
        <w:t xml:space="preserve">model{</w:t>
      </w:r>
      <w:r/>
    </w:p>
    <w:p>
      <w:pPr>
        <w:spacing w:after="0"/>
        <w:rPr>
          <w:lang w:val="en-GB"/>
        </w:rPr>
      </w:pPr>
      <w:r>
        <w:rPr>
          <w:color w:val="000000"/>
          <w:lang w:val="en-GB"/>
        </w:rPr>
        <w:t xml:space="preserve">r1[1:4] ~ </w:t>
      </w:r>
      <w:r>
        <w:rPr>
          <w:color w:val="000000"/>
          <w:lang w:val="en-GB"/>
        </w:rPr>
        <w:t xml:space="preserve">dmulti</w:t>
      </w:r>
      <w:r>
        <w:rPr>
          <w:color w:val="000000"/>
          <w:lang w:val="en-GB"/>
        </w:rPr>
        <w:t xml:space="preserve">(p1[1:4], n1)</w:t>
      </w:r>
      <w:r/>
    </w:p>
    <w:p>
      <w:pPr>
        <w:spacing w:after="0"/>
      </w:pPr>
      <w:r>
        <w:rPr>
          <w:color w:val="000000"/>
        </w:rPr>
        <w:t xml:space="preserve">r</w:t>
      </w:r>
      <w:r>
        <w:rPr>
          <w:color w:val="000000"/>
        </w:rPr>
        <w:t xml:space="preserve">2[1:4] ~ </w:t>
      </w:r>
      <w:r>
        <w:rPr>
          <w:color w:val="000000"/>
        </w:rPr>
        <w:t xml:space="preserve">dmulti</w:t>
      </w:r>
      <w:r>
        <w:rPr>
          <w:color w:val="000000"/>
        </w:rPr>
        <w:t xml:space="preserve">(p2[1:4], n2)</w:t>
      </w:r>
      <w:r/>
    </w:p>
    <w:p>
      <w:pPr>
        <w:spacing w:after="0"/>
      </w:pPr>
      <w:r>
        <w:rPr>
          <w:color w:val="000000"/>
        </w:rPr>
        <w:t xml:space="preserve">r</w:t>
      </w:r>
      <w:r>
        <w:rPr>
          <w:color w:val="000000"/>
        </w:rPr>
        <w:t xml:space="preserve">3[1:4] ~ </w:t>
      </w:r>
      <w:r>
        <w:rPr>
          <w:color w:val="000000"/>
        </w:rPr>
        <w:t xml:space="preserve">dmulti</w:t>
      </w:r>
      <w:r>
        <w:rPr>
          <w:color w:val="000000"/>
        </w:rPr>
        <w:t xml:space="preserve">(p3[1:4], n3)</w:t>
      </w:r>
      <w:r/>
    </w:p>
    <w:p>
      <w:pPr>
        <w:spacing w:after="0"/>
        <w:rPr>
          <w:sz w:val="16"/>
        </w:rPr>
      </w:pPr>
      <w:r>
        <w:rPr>
          <w:sz w:val="16"/>
        </w:rPr>
      </w:r>
      <w:r/>
    </w:p>
    <w:p>
      <w:pPr>
        <w:spacing w:after="0"/>
      </w:pPr>
      <w:r>
        <w:rPr>
          <w:color w:val="000000"/>
        </w:rPr>
        <w:t xml:space="preserve">a</w:t>
      </w:r>
      <w:r>
        <w:rPr>
          <w:color w:val="000000"/>
        </w:rPr>
        <w:t xml:space="preserve">[</w:t>
      </w:r>
      <w:r>
        <w:rPr>
          <w:color w:val="000000"/>
        </w:rPr>
        <w:t xml:space="preserve">1] = (1-se1)*(1-se2)+cp12</w:t>
      </w:r>
      <w:r/>
    </w:p>
    <w:p>
      <w:pPr>
        <w:spacing w:after="0"/>
      </w:pPr>
      <w:r>
        <w:rPr>
          <w:color w:val="000000"/>
        </w:rPr>
        <w:t xml:space="preserve">a</w:t>
      </w:r>
      <w:r>
        <w:rPr>
          <w:color w:val="000000"/>
        </w:rPr>
        <w:t xml:space="preserve">[</w:t>
      </w:r>
      <w:r>
        <w:rPr>
          <w:color w:val="000000"/>
        </w:rPr>
        <w:t xml:space="preserve">2] = (1-se1)*se2-cp12</w:t>
      </w:r>
      <w:r/>
    </w:p>
    <w:p>
      <w:pPr>
        <w:spacing w:after="0"/>
      </w:pPr>
      <w:r>
        <w:rPr>
          <w:color w:val="000000"/>
        </w:rPr>
        <w:t xml:space="preserve">a</w:t>
      </w:r>
      <w:r>
        <w:rPr>
          <w:color w:val="000000"/>
        </w:rPr>
        <w:t xml:space="preserve">[</w:t>
      </w:r>
      <w:r>
        <w:rPr>
          <w:color w:val="000000"/>
        </w:rPr>
        <w:t xml:space="preserve">3] = se1*(1-se2) -cp12</w:t>
      </w:r>
      <w:r/>
    </w:p>
    <w:p>
      <w:pPr>
        <w:spacing w:after="0"/>
      </w:pPr>
      <w:r>
        <w:rPr>
          <w:color w:val="000000"/>
        </w:rPr>
        <w:t xml:space="preserve">a</w:t>
      </w:r>
      <w:r>
        <w:rPr>
          <w:color w:val="000000"/>
        </w:rPr>
        <w:t xml:space="preserve">[</w:t>
      </w:r>
      <w:r>
        <w:rPr>
          <w:color w:val="000000"/>
        </w:rPr>
        <w:t xml:space="preserve">4] =se1*se2+cp12</w:t>
      </w:r>
      <w:r/>
    </w:p>
    <w:p>
      <w:pPr>
        <w:spacing w:after="0"/>
        <w:rPr>
          <w:sz w:val="16"/>
        </w:rPr>
      </w:pPr>
      <w:r>
        <w:rPr>
          <w:sz w:val="16"/>
        </w:rPr>
      </w:r>
      <w:r/>
    </w:p>
    <w:p>
      <w:pPr>
        <w:spacing w:after="0"/>
        <w:rPr>
          <w:lang w:val="en-GB"/>
        </w:rPr>
      </w:pPr>
      <w:r>
        <w:rPr>
          <w:color w:val="000000"/>
          <w:lang w:val="en-GB"/>
        </w:rPr>
        <w:t xml:space="preserve">b[</w:t>
      </w:r>
      <w:r>
        <w:rPr>
          <w:color w:val="000000"/>
          <w:lang w:val="en-GB"/>
        </w:rPr>
        <w:t xml:space="preserve">1] = sp1*sp2+cn12</w:t>
      </w:r>
      <w:r/>
    </w:p>
    <w:p>
      <w:pPr>
        <w:spacing w:after="0"/>
        <w:rPr>
          <w:lang w:val="en-GB"/>
        </w:rPr>
      </w:pPr>
      <w:r>
        <w:rPr>
          <w:color w:val="000000"/>
          <w:lang w:val="en-GB"/>
        </w:rPr>
        <w:t xml:space="preserve">b[</w:t>
      </w:r>
      <w:r>
        <w:rPr>
          <w:color w:val="000000"/>
          <w:lang w:val="en-GB"/>
        </w:rPr>
        <w:t xml:space="preserve">2] = sp1*(1-sp2) -cn12</w:t>
      </w:r>
      <w:r/>
    </w:p>
    <w:p>
      <w:pPr>
        <w:spacing w:after="0"/>
        <w:rPr>
          <w:lang w:val="en-GB"/>
        </w:rPr>
      </w:pPr>
      <w:r>
        <w:rPr>
          <w:color w:val="000000"/>
          <w:lang w:val="en-GB"/>
        </w:rPr>
        <w:t xml:space="preserve">b[</w:t>
      </w:r>
      <w:r>
        <w:rPr>
          <w:color w:val="000000"/>
          <w:lang w:val="en-GB"/>
        </w:rPr>
        <w:t xml:space="preserve">3] = (1-sp1)*sp2 -cn12</w:t>
      </w:r>
      <w:r/>
    </w:p>
    <w:p>
      <w:pPr>
        <w:spacing w:after="0"/>
        <w:rPr>
          <w:lang w:val="en-GB"/>
        </w:rPr>
      </w:pPr>
      <w:r>
        <w:rPr>
          <w:color w:val="000000"/>
          <w:lang w:val="en-GB"/>
        </w:rPr>
        <w:t xml:space="preserve">b[</w:t>
      </w:r>
      <w:r>
        <w:rPr>
          <w:color w:val="000000"/>
          <w:lang w:val="en-GB"/>
        </w:rPr>
        <w:t xml:space="preserve">4] = (1-sp1)*(1-sp2)+cn12</w:t>
      </w:r>
      <w:r/>
    </w:p>
    <w:p>
      <w:pPr>
        <w:spacing w:after="0"/>
        <w:rPr>
          <w:sz w:val="16"/>
          <w:lang w:val="en-US"/>
        </w:rPr>
      </w:pPr>
      <w:r>
        <w:rPr>
          <w:sz w:val="16"/>
          <w:lang w:val="en-US"/>
        </w:rPr>
      </w:r>
      <w:r/>
    </w:p>
    <w:p>
      <w:pPr>
        <w:spacing w:after="0"/>
      </w:pPr>
      <w:r>
        <w:rPr>
          <w:color w:val="000000"/>
        </w:rPr>
        <w:t xml:space="preserve">p</w:t>
      </w:r>
      <w:r>
        <w:rPr>
          <w:color w:val="000000"/>
        </w:rPr>
        <w:t xml:space="preserve">1[1:4] = (pr1*a[1:4] + (1-pr1)*b[1:4])</w:t>
      </w:r>
      <w:r/>
    </w:p>
    <w:p>
      <w:pPr>
        <w:spacing w:after="0"/>
      </w:pPr>
      <w:r>
        <w:rPr>
          <w:color w:val="000000"/>
        </w:rPr>
        <w:t xml:space="preserve">p</w:t>
      </w:r>
      <w:r>
        <w:rPr>
          <w:color w:val="000000"/>
        </w:rPr>
        <w:t xml:space="preserve">2[1:4] = (pr2*a[1:4] + (1-pr2)*b[1:4])</w:t>
      </w:r>
      <w:r/>
    </w:p>
    <w:p>
      <w:pPr>
        <w:spacing w:after="0"/>
      </w:pPr>
      <w:r>
        <w:rPr>
          <w:color w:val="000000"/>
        </w:rPr>
        <w:t xml:space="preserve">p</w:t>
      </w:r>
      <w:r>
        <w:rPr>
          <w:color w:val="000000"/>
        </w:rPr>
        <w:t xml:space="preserve">3[1:4] = (pr3*a[1:4] + (1-pr3)*b[1:4])</w:t>
      </w:r>
      <w:r/>
    </w:p>
    <w:p>
      <w:pPr>
        <w:spacing w:after="0"/>
        <w:rPr>
          <w:sz w:val="16"/>
        </w:rPr>
      </w:pPr>
      <w:r>
        <w:rPr>
          <w:sz w:val="16"/>
        </w:rPr>
      </w:r>
      <w:r/>
    </w:p>
    <w:p>
      <w:pPr>
        <w:spacing w:after="0"/>
      </w:pPr>
      <w:r>
        <w:rPr>
          <w:color w:val="000000"/>
        </w:rPr>
        <w:t xml:space="preserve">pr</w:t>
      </w:r>
      <w:r>
        <w:rPr>
          <w:color w:val="000000"/>
        </w:rPr>
        <w:t xml:space="preserve">1 ~ </w:t>
      </w:r>
      <w:r>
        <w:rPr>
          <w:color w:val="000000"/>
        </w:rPr>
        <w:t xml:space="preserve">dbeta</w:t>
      </w:r>
      <w:r>
        <w:rPr>
          <w:color w:val="000000"/>
        </w:rPr>
        <w:t xml:space="preserve">(1,1) </w:t>
      </w:r>
      <w:r/>
    </w:p>
    <w:p>
      <w:pPr>
        <w:spacing w:after="0"/>
      </w:pPr>
      <w:r>
        <w:rPr>
          <w:color w:val="000000"/>
        </w:rPr>
        <w:t xml:space="preserve">pr</w:t>
      </w:r>
      <w:r>
        <w:rPr>
          <w:color w:val="000000"/>
        </w:rPr>
        <w:t xml:space="preserve">2 ~ </w:t>
      </w:r>
      <w:r>
        <w:rPr>
          <w:color w:val="000000"/>
        </w:rPr>
        <w:t xml:space="preserve">dbeta</w:t>
      </w:r>
      <w:r>
        <w:rPr>
          <w:color w:val="000000"/>
        </w:rPr>
        <w:t xml:space="preserve">(1,1) </w:t>
      </w:r>
      <w:r/>
    </w:p>
    <w:p>
      <w:pPr>
        <w:spacing w:after="0"/>
      </w:pPr>
      <w:r>
        <w:rPr>
          <w:color w:val="000000"/>
        </w:rPr>
        <w:t xml:space="preserve">pr</w:t>
      </w:r>
      <w:r>
        <w:rPr>
          <w:color w:val="000000"/>
        </w:rPr>
        <w:t xml:space="preserve">3 ~ </w:t>
      </w:r>
      <w:r>
        <w:rPr>
          <w:color w:val="000000"/>
        </w:rPr>
        <w:t xml:space="preserve">dbeta</w:t>
      </w:r>
      <w:r>
        <w:rPr>
          <w:color w:val="000000"/>
        </w:rPr>
        <w:t xml:space="preserve">(1,1) </w:t>
      </w:r>
      <w:r/>
    </w:p>
    <w:p>
      <w:pPr>
        <w:spacing w:after="0"/>
      </w:pPr>
      <w:r>
        <w:rPr>
          <w:color w:val="000000"/>
        </w:rPr>
        <w:t xml:space="preserve">sp</w:t>
      </w:r>
      <w:r>
        <w:rPr>
          <w:color w:val="000000"/>
        </w:rPr>
        <w:t xml:space="preserve">1 ~ </w:t>
      </w:r>
      <w:r>
        <w:rPr>
          <w:color w:val="000000"/>
        </w:rPr>
        <w:t xml:space="preserve">dbeta</w:t>
      </w:r>
      <w:r>
        <w:rPr>
          <w:color w:val="000000"/>
        </w:rPr>
        <w:t xml:space="preserve">(1,1)</w:t>
      </w:r>
      <w:r/>
    </w:p>
    <w:p>
      <w:pPr>
        <w:spacing w:after="0"/>
      </w:pPr>
      <w:r>
        <w:rPr>
          <w:color w:val="000000"/>
        </w:rPr>
        <w:t xml:space="preserve">sp</w:t>
      </w:r>
      <w:r>
        <w:rPr>
          <w:color w:val="000000"/>
        </w:rPr>
        <w:t xml:space="preserve">2 ~ </w:t>
      </w:r>
      <w:r>
        <w:rPr>
          <w:color w:val="000000"/>
        </w:rPr>
        <w:t xml:space="preserve">dbeta</w:t>
      </w:r>
      <w:r>
        <w:rPr>
          <w:color w:val="000000"/>
        </w:rPr>
        <w:t xml:space="preserve">(1,1)</w:t>
      </w:r>
      <w:r/>
    </w:p>
    <w:p>
      <w:pPr>
        <w:spacing w:after="0"/>
      </w:pPr>
      <w:r>
        <w:rPr>
          <w:color w:val="000000"/>
        </w:rPr>
        <w:t xml:space="preserve">se</w:t>
      </w:r>
      <w:r>
        <w:rPr>
          <w:color w:val="000000"/>
        </w:rPr>
        <w:t xml:space="preserve">1 ~ </w:t>
      </w:r>
      <w:r>
        <w:rPr>
          <w:color w:val="000000"/>
        </w:rPr>
        <w:t xml:space="preserve">dbeta</w:t>
      </w:r>
      <w:r>
        <w:rPr>
          <w:color w:val="000000"/>
        </w:rPr>
        <w:t xml:space="preserve">(1,1)</w:t>
      </w:r>
      <w:r/>
    </w:p>
    <w:p>
      <w:pPr>
        <w:spacing w:after="0"/>
      </w:pPr>
      <w:r>
        <w:rPr>
          <w:color w:val="000000"/>
        </w:rPr>
        <w:t xml:space="preserve">se</w:t>
      </w:r>
      <w:r>
        <w:rPr>
          <w:color w:val="000000"/>
        </w:rPr>
        <w:t xml:space="preserve">2 ~ </w:t>
      </w:r>
      <w:r>
        <w:rPr>
          <w:color w:val="000000"/>
        </w:rPr>
        <w:t xml:space="preserve">dbeta</w:t>
      </w:r>
      <w:r>
        <w:rPr>
          <w:color w:val="000000"/>
        </w:rPr>
        <w:t xml:space="preserve">(1,1)</w:t>
      </w:r>
      <w:r/>
    </w:p>
    <w:p>
      <w:pPr>
        <w:spacing w:after="0"/>
        <w:rPr>
          <w:lang w:val="en-GB"/>
        </w:rPr>
      </w:pPr>
      <w:r>
        <w:rPr>
          <w:color w:val="000000"/>
          <w:lang w:val="en-GB"/>
        </w:rPr>
        <w:t xml:space="preserve">cp12 ~ </w:t>
      </w:r>
      <w:r>
        <w:rPr>
          <w:color w:val="000000"/>
          <w:lang w:val="en-GB"/>
        </w:rPr>
        <w:t xml:space="preserve">dnorm</w:t>
      </w:r>
      <w:r>
        <w:rPr>
          <w:color w:val="000000"/>
          <w:lang w:val="en-GB"/>
        </w:rPr>
        <w:t xml:space="preserve">(</w:t>
      </w:r>
      <w:r>
        <w:rPr>
          <w:color w:val="000000"/>
          <w:lang w:val="en-GB"/>
        </w:rPr>
        <w:t xml:space="preserve">0,5) </w:t>
      </w:r>
      <w:r/>
    </w:p>
    <w:p>
      <w:pPr>
        <w:spacing w:after="0"/>
        <w:rPr>
          <w:color w:val="000000"/>
          <w:sz w:val="24"/>
          <w:szCs w:val="24"/>
          <w:lang w:val="en-GB"/>
        </w:rPr>
      </w:pPr>
      <w:r>
        <w:rPr>
          <w:color w:val="000000"/>
          <w:lang w:val="en-GB"/>
        </w:rPr>
        <w:t xml:space="preserve">cn12 = 0</w:t>
      </w:r>
      <w:r/>
    </w:p>
    <w:p>
      <w:pPr>
        <w:spacing w:after="0"/>
        <w:rPr>
          <w:color w:val="000000"/>
          <w:sz w:val="24"/>
          <w:szCs w:val="24"/>
          <w:lang w:val="en-GB"/>
        </w:rPr>
        <w:sectPr>
          <w:footnotePr/>
          <w:endnotePr/>
          <w:type w:val="nextPage"/>
          <w:pgSz w:w="11906" w:h="16838" w:orient="portrait"/>
          <w:pgMar w:top="1417" w:right="1417" w:bottom="1417" w:left="1417" w:header="709" w:footer="709" w:gutter="0"/>
          <w:cols w:num="1" w:sep="0" w:space="708" w:equalWidth="1"/>
          <w:docGrid w:linePitch="360"/>
        </w:sectPr>
      </w:pPr>
      <w:r>
        <w:rPr>
          <w:color w:val="000000"/>
          <w:sz w:val="24"/>
          <w:szCs w:val="24"/>
          <w:lang w:val="en-GB"/>
        </w:rPr>
      </w:r>
      <w:r/>
    </w:p>
    <w:p>
      <w:pPr>
        <w:jc w:val="both"/>
        <w:spacing w:lineRule="auto" w:line="360"/>
        <w:shd w:val="clear" w:fill="FFFFFF" w:themeFill="background1" w:color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Table S1.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Crassostrea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gigas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populations (origin and status with regard to the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Haplosporidium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costale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presence) used for the determination of the diagnostic performances of the new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Real Time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PCR assay.</w:t>
      </w:r>
      <w:r/>
    </w:p>
    <w:tbl>
      <w:tblPr>
        <w:tblStyle w:val="85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702"/>
        <w:gridCol w:w="1278"/>
        <w:gridCol w:w="1278"/>
        <w:gridCol w:w="1278"/>
        <w:gridCol w:w="1278"/>
        <w:gridCol w:w="1278"/>
        <w:gridCol w:w="2276"/>
      </w:tblGrid>
      <w:tr>
        <w:trPr>
          <w:jc w:val="center"/>
          <w:trHeight w:val="525"/>
        </w:trPr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lang w:val="en-GB"/>
              </w:rPr>
              <w:t xml:space="preserve">Prevalence of </w:t>
            </w:r>
            <w:r>
              <w:rPr>
                <w:b/>
                <w:i/>
                <w:color w:val="000000"/>
                <w:lang w:val="en-GB"/>
              </w:rPr>
              <w:t xml:space="preserve">H. </w:t>
            </w:r>
            <w:r>
              <w:rPr>
                <w:b/>
                <w:i/>
                <w:color w:val="000000"/>
                <w:lang w:val="en-GB"/>
              </w:rPr>
              <w:t xml:space="preserve">costale</w:t>
            </w:r>
            <w:r>
              <w:rPr>
                <w:b/>
                <w:color w:val="000000"/>
                <w:lang w:val="en-GB"/>
              </w:rPr>
              <w:t xml:space="preserve"> in populations</w:t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GB"/>
              </w:rPr>
              <w:t xml:space="preserve">Number of individuals per population</w:t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en-GB"/>
              </w:rPr>
              <w:t xml:space="preserve">Sampling site</w:t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Batch number</w:t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en-GB"/>
              </w:rPr>
              <w:t xml:space="preserve">Sampling date</w:t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GB"/>
              </w:rPr>
              <w:t xml:space="preserve">Number of individuals per batch</w:t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Age</w:t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undefined" w:hAnsi="undefined" w:cs="undefined" w:eastAsia="undefined"/>
                <w:b/>
                <w:color w:val="000000"/>
              </w:rPr>
            </w:pPr>
            <w:r>
              <w:rPr>
                <w:b/>
                <w:color w:val="000000"/>
                <w:lang w:val="en-GB"/>
              </w:rPr>
              <w:t xml:space="preserve">Population origin</w:t>
            </w:r>
            <w:r/>
          </w:p>
        </w:tc>
        <w:tc>
          <w:tcPr>
            <w:shd w:val="clear" w:fill="F2F2F2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Context</w:t>
            </w:r>
            <w:r>
              <w:rPr>
                <w:b/>
                <w:color w:val="000000" w:themeColor="text1"/>
              </w:rPr>
              <w:t xml:space="preserve"> of sampling</w:t>
            </w:r>
            <w:r/>
          </w:p>
        </w:tc>
      </w:tr>
      <w:tr>
        <w:trPr>
          <w:jc w:val="center"/>
          <w:trHeight w:val="5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Free population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High biosecurity level area of Ifremer experimental facilities in </w:t>
            </w:r>
            <w:r>
              <w:rPr>
                <w:color w:val="000000"/>
                <w:lang w:val="en-GB"/>
              </w:rPr>
              <w:t xml:space="preserve">Bouin</w:t>
            </w:r>
            <w:r/>
          </w:p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(</w:t>
            </w:r>
            <w:r>
              <w:rPr>
                <w:color w:val="000000"/>
                <w:lang w:val="en-GB"/>
              </w:rPr>
              <w:t xml:space="preserve">Vendée</w:t>
            </w:r>
            <w:r>
              <w:rPr>
                <w:color w:val="000000"/>
                <w:lang w:val="en-GB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19/111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18/06/2019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1-2 years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Farm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Outside mortality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19/190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20/08/2019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130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1-2 years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Farm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Outside mortality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Low prevalence</w:t>
            </w:r>
            <w:r/>
          </w:p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(&lt;10%)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181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Bourgneuf</w:t>
            </w:r>
            <w:r>
              <w:rPr>
                <w:color w:val="000000"/>
                <w:lang w:val="en-GB"/>
              </w:rPr>
              <w:t xml:space="preserve"> bay</w:t>
            </w:r>
            <w:r/>
          </w:p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(</w:t>
            </w:r>
            <w:r>
              <w:rPr>
                <w:color w:val="000000"/>
                <w:lang w:val="en-GB"/>
              </w:rPr>
              <w:t xml:space="preserve">Vendée</w:t>
            </w:r>
            <w:r>
              <w:rPr>
                <w:color w:val="000000"/>
                <w:lang w:val="en-GB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19/080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11/06/2019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&gt; 2 years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Wild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Outside mortality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19/103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18/06/2019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62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&gt; 2 years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Wild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Outside mortality</w:t>
            </w:r>
            <w:r/>
          </w:p>
        </w:tc>
      </w:tr>
      <w:tr>
        <w:trPr>
          <w:jc w:val="center"/>
          <w:trHeight w:val="2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Moderate prevalence</w:t>
            </w:r>
            <w:r/>
          </w:p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(10-30%)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137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Nursery of Ifremer experimental facilities in </w:t>
            </w:r>
            <w:r>
              <w:rPr>
                <w:color w:val="000000"/>
                <w:lang w:val="en-GB"/>
              </w:rPr>
              <w:t xml:space="preserve">Bouin</w:t>
            </w:r>
            <w:r/>
          </w:p>
          <w:p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(</w:t>
            </w:r>
            <w:r>
              <w:rPr>
                <w:color w:val="000000"/>
                <w:lang w:val="en-GB"/>
              </w:rPr>
              <w:t xml:space="preserve">Vendée</w:t>
            </w:r>
            <w:r>
              <w:rPr>
                <w:color w:val="000000"/>
                <w:lang w:val="en-GB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19/030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28/03/2019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1-2 years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Farm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Mortality event</w:t>
            </w:r>
            <w:r/>
          </w:p>
        </w:tc>
      </w:tr>
      <w:tr>
        <w:trPr>
          <w:jc w:val="center"/>
          <w:trHeight w:val="1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textDirection w:val="lrTb"/>
            <w:noWrap w:val="false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19/073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11/06/2019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textDirection w:val="lrTb"/>
            <w:noWrap w:val="false"/>
          </w:tcPr>
          <w:p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&lt; 1</w:t>
            </w:r>
            <w:r>
              <w:rPr>
                <w:color w:val="000000"/>
                <w:lang w:val="en-GB"/>
              </w:rPr>
              <w:t xml:space="preserve"> year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Farm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Outside mortality</w:t>
            </w:r>
            <w:r/>
          </w:p>
        </w:tc>
      </w:tr>
      <w:tr>
        <w:trPr>
          <w:jc w:val="center"/>
          <w:trHeight w:val="2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textDirection w:val="lrTb"/>
            <w:noWrap w:val="false"/>
          </w:tcPr>
          <w:p>
            <w:pPr>
              <w:jc w:val="center"/>
            </w:pPr>
            <w:r>
              <w:t xml:space="preserve">19/075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11/06/2019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1-2 years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Farm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Outside mortality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textDirection w:val="lrTb"/>
            <w:noWrap w:val="false"/>
          </w:tcPr>
          <w:p>
            <w:pPr>
              <w:jc w:val="center"/>
            </w:pPr>
            <w:r>
              <w:t xml:space="preserve">19/083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11/06/2019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&gt; 2 years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Farm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Mortality event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textDirection w:val="lrTb"/>
            <w:noWrap w:val="false"/>
          </w:tcPr>
          <w:p>
            <w:pPr>
              <w:jc w:val="center"/>
            </w:pPr>
            <w:r>
              <w:t xml:space="preserve">19/084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11/06/2019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&gt; 2 years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Farm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Mortality event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textDirection w:val="lrTb"/>
            <w:noWrap w:val="false"/>
          </w:tcPr>
          <w:p>
            <w:pPr>
              <w:jc w:val="center"/>
            </w:pPr>
            <w:r>
              <w:t xml:space="preserve">19/087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11/06/2019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1-2 years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Farm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Outside mortality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19/089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11/06/2019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1-2 years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Farm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Outside mortality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19/090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11/06/2019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&gt; 2 years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Farm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Outside mortality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19/091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11/06/2019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1-2 years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Farm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Outside mortality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19/092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11/06/2019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1-2 years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lang w:val="en-GB"/>
              </w:rPr>
              <w:t xml:space="preserve">Farm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Outside mortality</w:t>
            </w:r>
            <w:r/>
          </w:p>
        </w:tc>
      </w:tr>
    </w:tbl>
    <w:p>
      <w:pPr>
        <w:spacing w:lineRule="auto" w:line="360"/>
        <w:shd w:val="clear" w:fill="FFFFFF" w:themeFill="background1" w:color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/>
    </w:p>
    <w:p>
      <w:pPr>
        <w:spacing w:lineRule="auto" w:line="360"/>
        <w:shd w:val="clear" w:fill="FFFFFF" w:themeFill="background1" w:color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/>
    </w:p>
    <w:p>
      <w:pPr>
        <w:spacing w:lineRule="auto" w:line="360"/>
        <w:shd w:val="clear" w:fill="FFFFFF" w:themeFill="background1" w:color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/>
    </w:p>
    <w:p>
      <w:pPr>
        <w:spacing w:lineRule="auto" w:line="360"/>
        <w:shd w:val="clear" w:fill="FFFFFF" w:themeFill="background1" w:color="auto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>
          <w:footnotePr/>
          <w:endnotePr/>
          <w:type w:val="nextPage"/>
          <w:pgSz w:w="16838" w:h="11906" w:orient="landscape"/>
          <w:pgMar w:top="1417" w:right="1417" w:bottom="1417" w:left="1417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/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Table S2.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Estimation of the detection limits (in blue in the table) of the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new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eal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ime PCR assay using DNA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plasmidic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suspensions. </w:t>
      </w:r>
      <w:bookmarkEnd w:id="0"/>
      <w:r/>
    </w:p>
    <w:p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/>
    </w:p>
    <w:tbl>
      <w:tblPr>
        <w:tblStyle w:val="851"/>
        <w:tblW w:w="0" w:type="auto"/>
        <w:jc w:val="center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1961"/>
        <w:gridCol w:w="1200"/>
        <w:gridCol w:w="1360"/>
        <w:gridCol w:w="1510"/>
        <w:gridCol w:w="1200"/>
      </w:tblGrid>
      <w:tr>
        <w:trPr>
          <w:jc w:val="center"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1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Dilution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07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lang w:val="en-US"/>
              </w:rPr>
            </w:pPr>
            <w:r>
              <w:rPr>
                <w:rFonts w:ascii="Arial" w:hAnsi="Arial" w:cs="Arial" w:eastAsia="Arial"/>
                <w:b/>
                <w:color w:val="000000"/>
                <w:sz w:val="20"/>
                <w:lang w:val="en-US"/>
              </w:rPr>
              <w:t xml:space="preserve">Number of positive samples</w:t>
            </w:r>
            <w:r/>
          </w:p>
          <w:p>
            <w:pPr>
              <w:jc w:val="center"/>
              <w:spacing w:lineRule="atLeast" w:line="270"/>
              <w:rPr>
                <w:lang w:val="en-US"/>
              </w:rPr>
            </w:pPr>
            <w:r>
              <w:rPr>
                <w:rFonts w:ascii="Arial" w:hAnsi="Arial" w:cs="Arial" w:eastAsia="Arial"/>
                <w:b/>
                <w:color w:val="000000"/>
                <w:sz w:val="20"/>
                <w:lang w:val="en-US"/>
              </w:rPr>
              <w:t xml:space="preserve">(8 samples /dilution)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Total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Test 1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6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Test 2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4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1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Test 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1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10 copies/µl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6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1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24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1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b/>
                <w:color w:val="0070C0"/>
              </w:rPr>
            </w:pPr>
            <w:r>
              <w:rPr>
                <w:rFonts w:ascii="Arial" w:hAnsi="Arial" w:cs="Arial" w:eastAsia="Arial"/>
                <w:b/>
                <w:color w:val="0070C0"/>
                <w:sz w:val="20"/>
              </w:rPr>
              <w:t xml:space="preserve">5 copies/µl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color w:val="0070C0"/>
              </w:rPr>
            </w:pPr>
            <w:r>
              <w:rPr>
                <w:rFonts w:ascii="Arial" w:hAnsi="Arial" w:cs="Arial" w:eastAsia="Arial"/>
                <w:b/>
                <w:color w:val="0070C0"/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6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color w:val="0070C0"/>
              </w:rPr>
            </w:pPr>
            <w:r>
              <w:rPr>
                <w:rFonts w:ascii="Arial" w:hAnsi="Arial" w:cs="Arial" w:eastAsia="Arial"/>
                <w:b/>
                <w:color w:val="0070C0"/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1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color w:val="0070C0"/>
              </w:rPr>
            </w:pPr>
            <w:r>
              <w:rPr>
                <w:rFonts w:ascii="Arial" w:hAnsi="Arial" w:cs="Arial" w:eastAsia="Arial"/>
                <w:b/>
                <w:color w:val="0070C0"/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color w:val="0070C0"/>
              </w:rPr>
            </w:pPr>
            <w:r>
              <w:rPr>
                <w:rFonts w:ascii="Arial" w:hAnsi="Arial" w:cs="Arial" w:eastAsia="Arial"/>
                <w:b/>
                <w:color w:val="0070C0"/>
                <w:sz w:val="20"/>
              </w:rPr>
              <w:t xml:space="preserve">24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1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b/>
                <w:color w:val="0070C0"/>
              </w:rPr>
            </w:pPr>
            <w:r>
              <w:rPr>
                <w:rFonts w:ascii="Arial" w:hAnsi="Arial" w:cs="Arial" w:eastAsia="Arial"/>
                <w:b/>
                <w:color w:val="0070C0"/>
                <w:sz w:val="20"/>
              </w:rPr>
              <w:t xml:space="preserve">2.5 copies/µl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color w:val="0070C0"/>
              </w:rPr>
            </w:pPr>
            <w:r>
              <w:rPr>
                <w:rFonts w:ascii="Arial" w:hAnsi="Arial" w:cs="Arial" w:eastAsia="Arial"/>
                <w:b/>
                <w:color w:val="0070C0"/>
                <w:sz w:val="20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6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color w:val="0070C0"/>
              </w:rPr>
            </w:pPr>
            <w:r>
              <w:rPr>
                <w:rFonts w:ascii="Arial" w:hAnsi="Arial" w:cs="Arial" w:eastAsia="Arial"/>
                <w:b/>
                <w:color w:val="0070C0"/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1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color w:val="0070C0"/>
              </w:rPr>
            </w:pPr>
            <w:r>
              <w:rPr>
                <w:rFonts w:ascii="Arial" w:hAnsi="Arial" w:cs="Arial" w:eastAsia="Arial"/>
                <w:b/>
                <w:color w:val="0070C0"/>
                <w:sz w:val="20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color w:val="0070C0"/>
              </w:rPr>
            </w:pPr>
            <w:r>
              <w:rPr>
                <w:rFonts w:ascii="Arial" w:hAnsi="Arial" w:cs="Arial" w:eastAsia="Arial"/>
                <w:b/>
                <w:color w:val="0070C0"/>
                <w:sz w:val="20"/>
              </w:rPr>
              <w:t xml:space="preserve">22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1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1.25 copies/µl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6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1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20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1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0.75 copies/µl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6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1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7</w:t>
            </w:r>
            <w:r/>
          </w:p>
        </w:tc>
      </w:tr>
      <w:tr>
        <w:trPr>
          <w:jc w:val="center"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961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0.375 copies/µl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6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51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00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7</w:t>
            </w:r>
            <w:r/>
          </w:p>
        </w:tc>
      </w:tr>
    </w:tbl>
    <w:p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  <w:r/>
    </w:p>
    <w:p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Table S3.</w:t>
      </w:r>
      <w:r>
        <w:rPr>
          <w:rFonts w:ascii="Times New Roman" w:hAnsi="Times New Roman" w:cs="Times New Roman"/>
          <w:sz w:val="24"/>
          <w:lang w:val="en-US"/>
        </w:rPr>
        <w:t xml:space="preserve"> Repeatability and preliminary reproducibility</w:t>
      </w:r>
      <w:r>
        <w:rPr>
          <w:rFonts w:ascii="Times New Roman" w:hAnsi="Times New Roman" w:cs="Times New Roman"/>
          <w:sz w:val="24"/>
          <w:lang w:val="en-US"/>
        </w:rPr>
        <w:t xml:space="preserve"> of the new Real-Time assay</w:t>
      </w:r>
      <w:r>
        <w:rPr>
          <w:rFonts w:ascii="Times New Roman" w:hAnsi="Times New Roman" w:cs="Times New Roman"/>
          <w:sz w:val="24"/>
          <w:lang w:val="en-US"/>
        </w:rPr>
        <w:t xml:space="preserve">. 10-fold serial dilutions of </w:t>
      </w:r>
      <w:r>
        <w:rPr>
          <w:rFonts w:ascii="Times New Roman" w:hAnsi="Times New Roman" w:cs="Times New Roman"/>
          <w:sz w:val="24"/>
          <w:lang w:val="en-US"/>
        </w:rPr>
        <w:t xml:space="preserve">plasmidic</w:t>
      </w:r>
      <w:r>
        <w:rPr>
          <w:rFonts w:ascii="Times New Roman" w:hAnsi="Times New Roman" w:cs="Times New Roman"/>
          <w:sz w:val="24"/>
          <w:lang w:val="en-US"/>
        </w:rPr>
        <w:t xml:space="preserve"> DNA were tested in 8 replicates x 3 PCR runs (N =24 PCR tests for each dilution). Repeatability and preliminary reproducibility were based on the Ct values of the 24 replicates tested for each dilution.</w:t>
      </w:r>
      <w:r/>
    </w:p>
    <w:p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</w:r>
      <w:r/>
    </w:p>
    <w:tbl>
      <w:tblPr>
        <w:tblStyle w:val="851"/>
        <w:tblW w:w="0" w:type="auto"/>
        <w:jc w:val="center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67"/>
        <w:gridCol w:w="867"/>
        <w:gridCol w:w="867"/>
        <w:gridCol w:w="867"/>
        <w:gridCol w:w="867"/>
        <w:gridCol w:w="856"/>
        <w:gridCol w:w="779"/>
      </w:tblGrid>
      <w:tr>
        <w:trPr>
          <w:jc w:val="center"/>
          <w:trHeight w:val="69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40" w:type="dxa"/>
            <w:vAlign w:val="center"/>
            <w:textDirection w:val="lrTb"/>
            <w:noWrap/>
          </w:tcPr>
          <w:p>
            <w:pPr>
              <w:jc w:val="both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DNA 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plasmidic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 concentration (copies/µl)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sz w:val="20"/>
              </w:rP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</w:t>
            </w:r>
            <w:r>
              <w:rPr>
                <w:rFonts w:ascii="Arial" w:hAnsi="Arial" w:cs="Arial" w:eastAsia="Arial"/>
                <w:b/>
                <w:color w:val="000000"/>
                <w:sz w:val="20"/>
                <w:vertAlign w:val="superscript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sz w:val="20"/>
              </w:rP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</w:t>
            </w:r>
            <w:r>
              <w:rPr>
                <w:rFonts w:ascii="Arial" w:hAnsi="Arial" w:cs="Arial" w:eastAsia="Arial"/>
                <w:b/>
                <w:color w:val="000000"/>
                <w:sz w:val="20"/>
                <w:vertAlign w:val="superscript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sz w:val="20"/>
              </w:rP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</w:t>
            </w:r>
            <w:r>
              <w:rPr>
                <w:rFonts w:ascii="Arial" w:hAnsi="Arial" w:cs="Arial" w:eastAsia="Arial"/>
                <w:b/>
                <w:color w:val="000000"/>
                <w:sz w:val="20"/>
                <w:vertAlign w:val="superscript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sz w:val="20"/>
              </w:rP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</w:t>
            </w:r>
            <w:r>
              <w:rPr>
                <w:rFonts w:ascii="Arial" w:hAnsi="Arial" w:cs="Arial" w:eastAsia="Arial"/>
                <w:b/>
                <w:color w:val="000000"/>
                <w:sz w:val="20"/>
                <w:vertAlign w:val="superscript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sz w:val="20"/>
              </w:rP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70"/>
              <w:rPr>
                <w:sz w:val="20"/>
              </w:rP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79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  <w:rPr>
                <w:sz w:val="20"/>
              </w:rPr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0.1</w:t>
            </w:r>
            <w:r/>
          </w:p>
        </w:tc>
      </w:tr>
      <w:tr>
        <w:trPr>
          <w:jc w:val="center"/>
          <w:trHeight w:val="69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40" w:type="dxa"/>
            <w:vAlign w:val="center"/>
            <w:textDirection w:val="lrTb"/>
            <w:noWrap/>
          </w:tcPr>
          <w:p>
            <w:pPr>
              <w:jc w:val="both"/>
              <w:spacing w:lineRule="atLeast" w:line="270"/>
              <w:rPr>
                <w:lang w:val="en-US"/>
              </w:rPr>
            </w:pPr>
            <w:r>
              <w:rPr>
                <w:rFonts w:ascii="Arial" w:hAnsi="Arial" w:cs="Arial" w:eastAsia="Arial"/>
                <w:color w:val="000000"/>
                <w:sz w:val="20"/>
                <w:lang w:val="en-US"/>
              </w:rPr>
              <w:t xml:space="preserve">% of positive results (N positives/ N tested)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100%</w:t>
            </w:r>
            <w:r/>
          </w:p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(24/24)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100%</w:t>
            </w:r>
            <w:r/>
          </w:p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(24/24)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100%</w:t>
            </w:r>
            <w:r/>
          </w:p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(24/24)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100%</w:t>
            </w:r>
            <w:r/>
          </w:p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(24/24)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100%</w:t>
            </w:r>
            <w:r/>
          </w:p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(24/24)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88%</w:t>
            </w:r>
            <w:r/>
          </w:p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(21/24)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79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29%</w:t>
            </w:r>
            <w:r/>
          </w:p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(7/24)</w:t>
            </w:r>
            <w:r/>
          </w:p>
        </w:tc>
      </w:tr>
      <w:tr>
        <w:trPr>
          <w:jc w:val="center"/>
          <w:trHeight w:val="69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40" w:type="dxa"/>
            <w:vAlign w:val="center"/>
            <w:textDirection w:val="lrTb"/>
            <w:noWrap/>
          </w:tcPr>
          <w:p>
            <w:pPr>
              <w:jc w:val="both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Ct 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mean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 value (n=24)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20.97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24.09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27.28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30.57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34.15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37.50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79" w:type="dxa"/>
            <w:vAlign w:val="center"/>
            <w:textDirection w:val="lrTb"/>
            <w:noWrap/>
          </w:tcPr>
          <w:p>
            <w:pPr>
              <w:jc w:val="center"/>
              <w:spacing w:lineRule="atLeast" w:line="65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jc w:val="center"/>
          <w:trHeight w:val="69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40" w:type="dxa"/>
            <w:vAlign w:val="center"/>
            <w:textDirection w:val="lrTb"/>
            <w:noWrap/>
          </w:tcPr>
          <w:p>
            <w:pPr>
              <w:jc w:val="both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Intra 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assay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 standard 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deviation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0.44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0.34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0.73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0.58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0.70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79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jc w:val="center"/>
          <w:trHeight w:val="69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40" w:type="dxa"/>
            <w:vAlign w:val="center"/>
            <w:textDirection w:val="lrTb"/>
            <w:noWrap/>
          </w:tcPr>
          <w:p>
            <w:pPr>
              <w:jc w:val="both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Inter 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assay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 standard 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deviation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0.29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79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jc w:val="center"/>
          <w:trHeight w:val="69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40" w:type="dxa"/>
            <w:vAlign w:val="center"/>
            <w:textDirection w:val="lrTb"/>
            <w:noWrap/>
          </w:tcPr>
          <w:p>
            <w:pPr>
              <w:jc w:val="both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Intermediate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Precision</w:t>
            </w:r>
            <w:r>
              <w:rPr>
                <w:rFonts w:ascii="Arial" w:hAnsi="Arial" w:cs="Arial" w:eastAsia="Arial"/>
                <w:color w:val="000000"/>
                <w:sz w:val="20"/>
              </w:rPr>
              <w:t xml:space="preserve"> (IP)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0.34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0.44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0.34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0.79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0.61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0.84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79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-</w:t>
            </w:r>
            <w:r/>
          </w:p>
        </w:tc>
      </w:tr>
      <w:tr>
        <w:trPr>
          <w:jc w:val="center"/>
          <w:trHeight w:val="69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3240" w:type="dxa"/>
            <w:vAlign w:val="center"/>
            <w:textDirection w:val="lrTb"/>
            <w:noWrap w:val="false"/>
          </w:tcPr>
          <w:p>
            <w:pPr>
              <w:jc w:val="both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Coefficient of IP variation (%)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1.64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1.82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1.25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2.58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67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1.77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856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2.24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79" w:type="dxa"/>
            <w:vAlign w:val="center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-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</w:r>
      <w:r/>
    </w:p>
    <w:p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  <w:r/>
    </w:p>
    <w:p>
      <w:pPr>
        <w:rPr>
          <w:rFonts w:ascii="Times New Roman" w:hAnsi="Times New Roman" w:cs="Times New Roman" w:eastAsia="Times New Roman"/>
          <w:sz w:val="24"/>
          <w:lang w:val="en-US"/>
        </w:rPr>
      </w:pPr>
      <w:r>
        <w:rPr>
          <w:rFonts w:ascii="Times New Roman" w:hAnsi="Times New Roman" w:cs="Times New Roman" w:eastAsia="Times New Roman"/>
          <w:b/>
          <w:sz w:val="24"/>
          <w:lang w:val="en-US"/>
        </w:rPr>
        <w:t xml:space="preserve">Table S4.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 Influence of </w:t>
      </w:r>
      <w:r>
        <w:rPr>
          <w:rFonts w:ascii="Times New Roman" w:hAnsi="Times New Roman" w:cs="Times New Roman" w:eastAsia="Times New Roman"/>
          <w:i/>
          <w:sz w:val="24"/>
          <w:lang w:val="en-US"/>
        </w:rPr>
        <w:t xml:space="preserve">Crassostrea </w:t>
      </w:r>
      <w:r>
        <w:rPr>
          <w:rFonts w:ascii="Times New Roman" w:hAnsi="Times New Roman" w:cs="Times New Roman" w:eastAsia="Times New Roman"/>
          <w:i/>
          <w:sz w:val="24"/>
          <w:lang w:val="en-US"/>
        </w:rPr>
        <w:t xml:space="preserve">gigas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 DNA matrix concentration </w:t>
      </w:r>
      <w:r>
        <w:rPr>
          <w:rFonts w:ascii="Times New Roman" w:hAnsi="Times New Roman" w:cs="Times New Roman" w:eastAsia="Times New Roman"/>
          <w:b/>
          <w:color w:val="000000"/>
          <w:sz w:val="24"/>
          <w:lang w:val="en-US"/>
        </w:rPr>
        <w:t xml:space="preserve">[C]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on the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R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eal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T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ime PCR results. The Ct control corresponds to [C] DNA =0 and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ΔCt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 correspond to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Ct</w:t>
      </w:r>
      <w:r>
        <w:rPr>
          <w:rFonts w:ascii="Times New Roman" w:hAnsi="Times New Roman" w:cs="Times New Roman" w:eastAsia="Times New Roman"/>
          <w:sz w:val="24"/>
          <w:vertAlign w:val="subscript"/>
          <w:lang w:val="en-US"/>
        </w:rPr>
        <w:t xml:space="preserve">obtained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-Ct</w:t>
      </w:r>
      <w:r>
        <w:rPr>
          <w:rFonts w:ascii="Times New Roman" w:hAnsi="Times New Roman" w:cs="Times New Roman" w:eastAsia="Times New Roman"/>
          <w:sz w:val="24"/>
          <w:vertAlign w:val="subscript"/>
          <w:lang w:val="en-US"/>
        </w:rPr>
        <w:t xml:space="preserve">control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.</w:t>
      </w:r>
      <w:r/>
    </w:p>
    <w:p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</w:r>
      <w:r/>
    </w:p>
    <w:tbl>
      <w:tblPr>
        <w:tblStyle w:val="851"/>
        <w:tblW w:w="0" w:type="auto"/>
        <w:jc w:val="center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2204"/>
        <w:gridCol w:w="1340"/>
        <w:gridCol w:w="798"/>
        <w:gridCol w:w="1262"/>
        <w:gridCol w:w="1786"/>
      </w:tblGrid>
      <w:tr>
        <w:trPr>
          <w:jc w:val="center"/>
          <w:trHeight w:val="5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23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[C] DNA (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ng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/µL)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[C] 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plasmid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 (cps/µL)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Ct 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mean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ΔCt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62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ΔCt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mean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86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ΔCt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average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deviation</w:t>
            </w: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 </w:t>
            </w:r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23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27,24</w:t>
            </w:r>
            <w:r/>
          </w:p>
        </w:tc>
        <w:tc>
          <w:tcPr>
            <w:shd w:val="clear" w:fill="BFBFB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fill="BFBFB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62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</w:t>
            </w:r>
            <w:r/>
          </w:p>
        </w:tc>
        <w:tc>
          <w:tcPr>
            <w:shd w:val="clear" w:fill="BFBFB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86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</w:t>
            </w:r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30,49</w:t>
            </w:r>
            <w:r/>
          </w:p>
        </w:tc>
        <w:tc>
          <w:tcPr>
            <w:shd w:val="clear" w:fill="BFBFB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33,53</w:t>
            </w:r>
            <w:r/>
          </w:p>
        </w:tc>
        <w:tc>
          <w:tcPr>
            <w:shd w:val="clear" w:fill="BFBFBF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23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27,42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62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0,62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86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0,46</w:t>
            </w:r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30,86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0,37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34,85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1,32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23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27,34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62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86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0,14</w:t>
            </w:r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30,84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34,00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23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27,04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-0,20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62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86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0,29</w:t>
            </w:r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30,82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0,33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34,12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823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27,42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262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0,38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786" w:type="dxa"/>
            <w:vMerge w:val="restart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0,13</w:t>
            </w:r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31,02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0,53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jc w:val="center"/>
          <w:trHeight w:val="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2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204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b/>
                <w:color w:val="000000"/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1340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33,96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798" w:type="dxa"/>
            <w:textDirection w:val="lrTb"/>
            <w:noWrap/>
          </w:tcPr>
          <w:p>
            <w:pPr>
              <w:jc w:val="center"/>
              <w:spacing w:lineRule="atLeast" w:line="270"/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0,42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6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defined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Liberation Mono">
    <w:panose1 w:val="020704090202050204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Arial" w:hAnsi="Arial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Arial" w:hAnsi="Aria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Arial" w:hAnsi="Arial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Arial" w:hAnsi="Arial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Arial" w:hAnsi="Arial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Arial" w:hAnsi="Arial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Arial" w:hAnsi="Arial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Arial" w:hAnsi="Arial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Arial" w:hAnsi="Arial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Arial" w:hAnsi="Arial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Arial" w:hAnsi="Arial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Arial" w:hAnsi="Arial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Arial" w:hAnsi="Arial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Arial" w:hAnsi="Arial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Arial" w:hAnsi="Arial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Arial" w:hAnsi="Arial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Arial" w:hAnsi="Arial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Arial" w:hAnsi="Aria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fr-F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 w:default="1">
    <w:name w:val="Normal"/>
    <w:qFormat/>
  </w:style>
  <w:style w:type="paragraph" w:styleId="647">
    <w:name w:val="Heading 1"/>
    <w:basedOn w:val="646"/>
    <w:next w:val="646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48">
    <w:name w:val="Heading 2"/>
    <w:basedOn w:val="646"/>
    <w:next w:val="646"/>
    <w:link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49">
    <w:name w:val="Heading 3"/>
    <w:basedOn w:val="646"/>
    <w:next w:val="646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0">
    <w:name w:val="Heading 4"/>
    <w:basedOn w:val="646"/>
    <w:next w:val="646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1">
    <w:name w:val="Heading 5"/>
    <w:basedOn w:val="646"/>
    <w:next w:val="646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2">
    <w:name w:val="Heading 6"/>
    <w:basedOn w:val="646"/>
    <w:next w:val="646"/>
    <w:link w:val="6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3">
    <w:name w:val="Heading 7"/>
    <w:basedOn w:val="646"/>
    <w:next w:val="646"/>
    <w:link w:val="68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4">
    <w:name w:val="Heading 8"/>
    <w:basedOn w:val="646"/>
    <w:next w:val="646"/>
    <w:link w:val="68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5">
    <w:name w:val="Heading 9"/>
    <w:basedOn w:val="646"/>
    <w:next w:val="646"/>
    <w:link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Heading 1 Char"/>
    <w:basedOn w:val="656"/>
    <w:uiPriority w:val="9"/>
    <w:rPr>
      <w:rFonts w:ascii="Arial" w:hAnsi="Arial" w:cs="Arial" w:eastAsia="Arial"/>
      <w:sz w:val="40"/>
      <w:szCs w:val="40"/>
    </w:rPr>
  </w:style>
  <w:style w:type="character" w:styleId="660" w:customStyle="1">
    <w:name w:val="Heading 2 Char"/>
    <w:basedOn w:val="656"/>
    <w:uiPriority w:val="9"/>
    <w:rPr>
      <w:rFonts w:ascii="Arial" w:hAnsi="Arial" w:cs="Arial" w:eastAsia="Arial"/>
      <w:sz w:val="34"/>
    </w:rPr>
  </w:style>
  <w:style w:type="character" w:styleId="661" w:customStyle="1">
    <w:name w:val="Heading 3 Char"/>
    <w:basedOn w:val="656"/>
    <w:uiPriority w:val="9"/>
    <w:rPr>
      <w:rFonts w:ascii="Arial" w:hAnsi="Arial" w:cs="Arial" w:eastAsia="Arial"/>
      <w:sz w:val="30"/>
      <w:szCs w:val="30"/>
    </w:rPr>
  </w:style>
  <w:style w:type="character" w:styleId="662" w:customStyle="1">
    <w:name w:val="Heading 4 Char"/>
    <w:basedOn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3" w:customStyle="1">
    <w:name w:val="Heading 5 Char"/>
    <w:basedOn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4" w:customStyle="1">
    <w:name w:val="Heading 6 Char"/>
    <w:basedOn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665" w:customStyle="1">
    <w:name w:val="Heading 7 Char"/>
    <w:basedOn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6" w:customStyle="1">
    <w:name w:val="Heading 8 Char"/>
    <w:basedOn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67" w:customStyle="1">
    <w:name w:val="Heading 9 Char"/>
    <w:basedOn w:val="656"/>
    <w:uiPriority w:val="9"/>
    <w:rPr>
      <w:rFonts w:ascii="Arial" w:hAnsi="Arial" w:cs="Arial" w:eastAsia="Arial"/>
      <w:i/>
      <w:iCs/>
      <w:sz w:val="21"/>
      <w:szCs w:val="21"/>
    </w:rPr>
  </w:style>
  <w:style w:type="character" w:styleId="668" w:customStyle="1">
    <w:name w:val="Title Char"/>
    <w:basedOn w:val="656"/>
    <w:uiPriority w:val="10"/>
    <w:rPr>
      <w:sz w:val="48"/>
      <w:szCs w:val="48"/>
    </w:rPr>
  </w:style>
  <w:style w:type="character" w:styleId="669" w:customStyle="1">
    <w:name w:val="Subtitle Char"/>
    <w:basedOn w:val="656"/>
    <w:uiPriority w:val="11"/>
    <w:rPr>
      <w:sz w:val="24"/>
      <w:szCs w:val="24"/>
    </w:rPr>
  </w:style>
  <w:style w:type="character" w:styleId="670" w:customStyle="1">
    <w:name w:val="Quote Char"/>
    <w:uiPriority w:val="29"/>
    <w:rPr>
      <w:i/>
    </w:rPr>
  </w:style>
  <w:style w:type="character" w:styleId="671" w:customStyle="1">
    <w:name w:val="Intense Quote Char"/>
    <w:uiPriority w:val="30"/>
    <w:rPr>
      <w:i/>
    </w:rPr>
  </w:style>
  <w:style w:type="character" w:styleId="672" w:customStyle="1">
    <w:name w:val="Header Char"/>
    <w:basedOn w:val="656"/>
    <w:uiPriority w:val="99"/>
  </w:style>
  <w:style w:type="character" w:styleId="673" w:customStyle="1">
    <w:name w:val="Caption Char"/>
    <w:uiPriority w:val="99"/>
  </w:style>
  <w:style w:type="character" w:styleId="674" w:customStyle="1">
    <w:name w:val="Footnote Text Char"/>
    <w:uiPriority w:val="99"/>
    <w:rPr>
      <w:sz w:val="18"/>
    </w:rPr>
  </w:style>
  <w:style w:type="character" w:styleId="675" w:customStyle="1">
    <w:name w:val="Endnote Text Char"/>
    <w:uiPriority w:val="99"/>
    <w:rPr>
      <w:sz w:val="20"/>
    </w:rPr>
  </w:style>
  <w:style w:type="paragraph" w:styleId="676">
    <w:name w:val="table of figures"/>
    <w:basedOn w:val="646"/>
    <w:next w:val="646"/>
    <w:uiPriority w:val="99"/>
    <w:unhideWhenUsed/>
    <w:pPr>
      <w:spacing w:after="0"/>
    </w:pPr>
  </w:style>
  <w:style w:type="character" w:styleId="677" w:customStyle="1">
    <w:name w:val="Titre 1 Car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678" w:customStyle="1">
    <w:name w:val="Titre 2 Car"/>
    <w:basedOn w:val="656"/>
    <w:link w:val="648"/>
    <w:uiPriority w:val="9"/>
    <w:rPr>
      <w:rFonts w:ascii="Arial" w:hAnsi="Arial" w:cs="Arial" w:eastAsia="Arial"/>
      <w:sz w:val="34"/>
    </w:rPr>
  </w:style>
  <w:style w:type="character" w:styleId="679" w:customStyle="1">
    <w:name w:val="Titre 3 Car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680" w:customStyle="1">
    <w:name w:val="Titre 4 Car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681" w:customStyle="1">
    <w:name w:val="Titre 5 Car"/>
    <w:basedOn w:val="656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682" w:customStyle="1">
    <w:name w:val="Titre 6 Car"/>
    <w:basedOn w:val="656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683" w:customStyle="1">
    <w:name w:val="Titre 7 Car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 w:customStyle="1">
    <w:name w:val="Titre 8 Car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685" w:customStyle="1">
    <w:name w:val="Titre 9 Car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Title"/>
    <w:basedOn w:val="646"/>
    <w:next w:val="646"/>
    <w:link w:val="68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7" w:customStyle="1">
    <w:name w:val="Titre Car"/>
    <w:basedOn w:val="656"/>
    <w:link w:val="686"/>
    <w:uiPriority w:val="10"/>
    <w:rPr>
      <w:sz w:val="48"/>
      <w:szCs w:val="48"/>
    </w:rPr>
  </w:style>
  <w:style w:type="paragraph" w:styleId="688">
    <w:name w:val="Subtitle"/>
    <w:basedOn w:val="646"/>
    <w:next w:val="646"/>
    <w:link w:val="689"/>
    <w:qFormat/>
    <w:uiPriority w:val="11"/>
    <w:rPr>
      <w:sz w:val="24"/>
      <w:szCs w:val="24"/>
    </w:rPr>
    <w:pPr>
      <w:spacing w:before="200"/>
    </w:pPr>
  </w:style>
  <w:style w:type="character" w:styleId="689" w:customStyle="1">
    <w:name w:val="Sous-titre Car"/>
    <w:basedOn w:val="656"/>
    <w:link w:val="688"/>
    <w:uiPriority w:val="11"/>
    <w:rPr>
      <w:sz w:val="24"/>
      <w:szCs w:val="24"/>
    </w:rPr>
  </w:style>
  <w:style w:type="paragraph" w:styleId="690">
    <w:name w:val="Quote"/>
    <w:basedOn w:val="646"/>
    <w:next w:val="646"/>
    <w:link w:val="691"/>
    <w:qFormat/>
    <w:uiPriority w:val="29"/>
    <w:rPr>
      <w:i/>
    </w:rPr>
    <w:pPr>
      <w:ind w:left="720" w:right="720"/>
    </w:pPr>
  </w:style>
  <w:style w:type="character" w:styleId="691" w:customStyle="1">
    <w:name w:val="Citation Car"/>
    <w:link w:val="690"/>
    <w:uiPriority w:val="29"/>
    <w:rPr>
      <w:i/>
    </w:rPr>
  </w:style>
  <w:style w:type="paragraph" w:styleId="692">
    <w:name w:val="Intense Quote"/>
    <w:basedOn w:val="646"/>
    <w:next w:val="646"/>
    <w:link w:val="69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 w:customStyle="1">
    <w:name w:val="Citation intense Car"/>
    <w:link w:val="692"/>
    <w:uiPriority w:val="30"/>
    <w:rPr>
      <w:i/>
    </w:rPr>
  </w:style>
  <w:style w:type="paragraph" w:styleId="694">
    <w:name w:val="Header"/>
    <w:basedOn w:val="646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En-tête Car"/>
    <w:basedOn w:val="656"/>
    <w:link w:val="694"/>
    <w:uiPriority w:val="99"/>
  </w:style>
  <w:style w:type="paragraph" w:styleId="696">
    <w:name w:val="Footer"/>
    <w:basedOn w:val="646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 w:customStyle="1">
    <w:name w:val="Footer Char"/>
    <w:basedOn w:val="656"/>
    <w:uiPriority w:val="99"/>
  </w:style>
  <w:style w:type="paragraph" w:styleId="698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9" w:customStyle="1">
    <w:name w:val="Pied de page Car"/>
    <w:link w:val="696"/>
    <w:uiPriority w:val="99"/>
  </w:style>
  <w:style w:type="table" w:styleId="700" w:customStyle="1">
    <w:name w:val="Table Grid Light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1">
    <w:name w:val="Plain Table 1"/>
    <w:basedOn w:val="65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65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6"/>
    <w:basedOn w:val="657"/>
    <w:link w:val="8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4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 w:customStyle="1">
    <w:name w:val="Grid Table 4 - Accent 1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9" w:customStyle="1">
    <w:name w:val="Grid Table 4 - Accent 2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0" w:customStyle="1">
    <w:name w:val="Grid Table 4 - Accent 3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1" w:customStyle="1">
    <w:name w:val="Grid Table 4 - Accent 4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2" w:customStyle="1">
    <w:name w:val="Grid Table 4 - Accent 5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3" w:customStyle="1">
    <w:name w:val="Grid Table 4 - Accent 6"/>
    <w:basedOn w:val="65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4">
    <w:name w:val="Grid Table 5 Dark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1">
    <w:name w:val="Grid Table 6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2" w:customStyle="1">
    <w:name w:val="Grid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3" w:customStyle="1">
    <w:name w:val="Grid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4" w:customStyle="1">
    <w:name w:val="Grid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5" w:customStyle="1">
    <w:name w:val="Grid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6" w:customStyle="1">
    <w:name w:val="Grid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 w:customStyle="1">
    <w:name w:val="Grid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>
    <w:name w:val="Grid Table 7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1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2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3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4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5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6"/>
    <w:basedOn w:val="6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3" w:customStyle="1">
    <w:name w:val="List Table 2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4" w:customStyle="1">
    <w:name w:val="List Table 2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5" w:customStyle="1">
    <w:name w:val="List Table 2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6" w:customStyle="1">
    <w:name w:val="List Table 2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7" w:customStyle="1">
    <w:name w:val="List Table 2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8" w:customStyle="1">
    <w:name w:val="List Table 2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9">
    <w:name w:val="List Table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>
    <w:name w:val="List Table 6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1" w:customStyle="1">
    <w:name w:val="List Table 6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2" w:customStyle="1">
    <w:name w:val="List Table 6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3" w:customStyle="1">
    <w:name w:val="List Table 6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4" w:customStyle="1">
    <w:name w:val="List Table 6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5" w:customStyle="1">
    <w:name w:val="List Table 6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6" w:customStyle="1">
    <w:name w:val="List Table 6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7">
    <w:name w:val="List Table 7 Colorful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ned - Accent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Lined - Accent 1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6" w:customStyle="1">
    <w:name w:val="Lined - Accent 2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7" w:customStyle="1">
    <w:name w:val="Lined - Accent 3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8" w:customStyle="1">
    <w:name w:val="Lined - Accent 4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9" w:customStyle="1">
    <w:name w:val="Lined - Accent 5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0" w:customStyle="1">
    <w:name w:val="Lined - Accent 6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1" w:customStyle="1">
    <w:name w:val="Bordered &amp; Lined - Accent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2" w:customStyle="1">
    <w:name w:val="Bordered &amp; Lined - Accent 1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3" w:customStyle="1">
    <w:name w:val="Bordered &amp; Lined - Accent 2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4" w:customStyle="1">
    <w:name w:val="Bordered &amp; Lined - Accent 3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5" w:customStyle="1">
    <w:name w:val="Bordered &amp; Lined - Accent 4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6" w:customStyle="1">
    <w:name w:val="Bordered &amp; Lined - Accent 5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7" w:customStyle="1">
    <w:name w:val="Bordered &amp; Lined - Accent 6"/>
    <w:basedOn w:val="657"/>
    <w:uiPriority w:val="99"/>
    <w:rPr>
      <w:color w:val="404040"/>
      <w:sz w:val="20"/>
      <w:szCs w:val="20"/>
      <w:lang w:eastAsia="fr-FR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8" w:customStyle="1">
    <w:name w:val="Bordered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9" w:customStyle="1">
    <w:name w:val="Bordered - Accent 1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0" w:customStyle="1">
    <w:name w:val="Bordered - Accent 2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1" w:customStyle="1">
    <w:name w:val="Bordered - Accent 3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2" w:customStyle="1">
    <w:name w:val="Bordered - Accent 4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3" w:customStyle="1">
    <w:name w:val="Bordered - Accent 5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4" w:customStyle="1">
    <w:name w:val="Bordered - Accent 6"/>
    <w:basedOn w:val="65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25">
    <w:name w:val="footnote text"/>
    <w:basedOn w:val="646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 w:customStyle="1">
    <w:name w:val="Note de bas de page Car"/>
    <w:link w:val="825"/>
    <w:uiPriority w:val="99"/>
    <w:rPr>
      <w:sz w:val="18"/>
    </w:rPr>
  </w:style>
  <w:style w:type="character" w:styleId="827">
    <w:name w:val="footnote reference"/>
    <w:basedOn w:val="656"/>
    <w:uiPriority w:val="99"/>
    <w:unhideWhenUsed/>
    <w:rPr>
      <w:vertAlign w:val="superscript"/>
    </w:rPr>
  </w:style>
  <w:style w:type="paragraph" w:styleId="828">
    <w:name w:val="endnote text"/>
    <w:basedOn w:val="646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 w:customStyle="1">
    <w:name w:val="Note de fin Car"/>
    <w:link w:val="828"/>
    <w:uiPriority w:val="99"/>
    <w:rPr>
      <w:sz w:val="20"/>
    </w:rPr>
  </w:style>
  <w:style w:type="character" w:styleId="830">
    <w:name w:val="endnote reference"/>
    <w:basedOn w:val="656"/>
    <w:uiPriority w:val="99"/>
    <w:semiHidden/>
    <w:unhideWhenUsed/>
    <w:rPr>
      <w:vertAlign w:val="superscript"/>
    </w:rPr>
  </w:style>
  <w:style w:type="paragraph" w:styleId="831">
    <w:name w:val="toc 1"/>
    <w:basedOn w:val="646"/>
    <w:next w:val="646"/>
    <w:uiPriority w:val="39"/>
    <w:unhideWhenUsed/>
    <w:pPr>
      <w:spacing w:after="57"/>
    </w:pPr>
  </w:style>
  <w:style w:type="paragraph" w:styleId="832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33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34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35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36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37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38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39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 w:customStyle="1">
    <w:name w:val="Preformatted Text"/>
    <w:basedOn w:val="646"/>
    <w:rPr>
      <w:rFonts w:ascii="Liberation Mono" w:hAnsi="Liberation Mono" w:cs="Liberation Mono" w:eastAsia="Times New Roman"/>
      <w:sz w:val="20"/>
      <w:szCs w:val="20"/>
      <w:lang w:val="en-US" w:bidi="hi-IN" w:eastAsia="zh-CN"/>
    </w:rPr>
    <w:pPr>
      <w:jc w:val="both"/>
      <w:spacing w:lineRule="auto" w:line="240" w:after="0"/>
      <w:widowControl w:val="off"/>
    </w:pPr>
  </w:style>
  <w:style w:type="character" w:styleId="842">
    <w:name w:val="annotation reference"/>
    <w:basedOn w:val="656"/>
    <w:uiPriority w:val="99"/>
    <w:semiHidden/>
    <w:unhideWhenUsed/>
    <w:rPr>
      <w:sz w:val="16"/>
      <w:szCs w:val="16"/>
    </w:rPr>
  </w:style>
  <w:style w:type="paragraph" w:styleId="843">
    <w:name w:val="annotation text"/>
    <w:basedOn w:val="646"/>
    <w:link w:val="844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844" w:customStyle="1">
    <w:name w:val="Commentaire Car"/>
    <w:basedOn w:val="656"/>
    <w:link w:val="843"/>
    <w:uiPriority w:val="99"/>
    <w:semiHidden/>
    <w:rPr>
      <w:sz w:val="20"/>
      <w:szCs w:val="20"/>
    </w:rPr>
  </w:style>
  <w:style w:type="paragraph" w:styleId="845">
    <w:name w:val="annotation subject"/>
    <w:basedOn w:val="843"/>
    <w:next w:val="843"/>
    <w:link w:val="846"/>
    <w:uiPriority w:val="99"/>
    <w:semiHidden/>
    <w:unhideWhenUsed/>
    <w:rPr>
      <w:b/>
      <w:bCs/>
    </w:rPr>
  </w:style>
  <w:style w:type="character" w:styleId="846" w:customStyle="1">
    <w:name w:val="Objet du commentaire Car"/>
    <w:basedOn w:val="844"/>
    <w:link w:val="845"/>
    <w:uiPriority w:val="99"/>
    <w:semiHidden/>
    <w:rPr>
      <w:b/>
      <w:bCs/>
      <w:sz w:val="20"/>
      <w:szCs w:val="20"/>
    </w:rPr>
  </w:style>
  <w:style w:type="paragraph" w:styleId="847">
    <w:name w:val="Balloon Text"/>
    <w:basedOn w:val="646"/>
    <w:link w:val="84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8" w:customStyle="1">
    <w:name w:val="Texte de bulles Car"/>
    <w:basedOn w:val="656"/>
    <w:link w:val="847"/>
    <w:uiPriority w:val="99"/>
    <w:semiHidden/>
    <w:rPr>
      <w:rFonts w:ascii="Tahoma" w:hAnsi="Tahoma" w:cs="Tahoma"/>
      <w:sz w:val="16"/>
      <w:szCs w:val="16"/>
    </w:rPr>
  </w:style>
  <w:style w:type="character" w:styleId="849">
    <w:name w:val="Hyperlink"/>
    <w:basedOn w:val="656"/>
    <w:uiPriority w:val="99"/>
    <w:unhideWhenUsed/>
    <w:rPr>
      <w:color w:val="0000FF" w:themeColor="hyperlink"/>
      <w:u w:val="single"/>
    </w:rPr>
  </w:style>
  <w:style w:type="paragraph" w:styleId="850">
    <w:name w:val="List Paragraph"/>
    <w:basedOn w:val="646"/>
    <w:qFormat/>
    <w:uiPriority w:val="34"/>
    <w:pPr>
      <w:contextualSpacing w:val="true"/>
      <w:ind w:left="720"/>
    </w:pPr>
  </w:style>
  <w:style w:type="table" w:styleId="851">
    <w:name w:val="Table Grid"/>
    <w:basedOn w:val="65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52">
    <w:name w:val="No Spacing"/>
    <w:qFormat/>
    <w:uiPriority w:val="1"/>
    <w:pPr>
      <w:spacing w:lineRule="auto" w:line="240" w:after="0"/>
    </w:pPr>
  </w:style>
  <w:style w:type="paragraph" w:styleId="853" w:customStyle="1">
    <w:name w:val="NM - Corps"/>
    <w:basedOn w:val="696"/>
    <w:link w:val="712"/>
    <w:qFormat/>
    <w:rPr>
      <w:rFonts w:ascii="Arial" w:hAnsi="Arial" w:cs="Arial"/>
      <w:sz w:val="24"/>
      <w:szCs w:val="24"/>
      <w:lang w:val="en-US"/>
    </w:rPr>
    <w:pPr>
      <w:jc w:val="both"/>
      <w:spacing w:lineRule="auto" w:line="480"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Marie-Agnes TRAVERS, Ifremer La Tremblade PDG-RB</dc:creator>
  <cp:lastModifiedBy>Isabelle.Arzul@ifremer.fr</cp:lastModifiedBy>
  <cp:revision>3</cp:revision>
  <dcterms:created xsi:type="dcterms:W3CDTF">2021-12-22T17:05:00Z</dcterms:created>
  <dcterms:modified xsi:type="dcterms:W3CDTF">2022-01-21T14:35:53Z</dcterms:modified>
</cp:coreProperties>
</file>