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89233B" w14:textId="5A9C0E93" w:rsidR="005D45EC" w:rsidRPr="004C591B" w:rsidRDefault="005D7C22" w:rsidP="0040245E">
      <w:pPr>
        <w:pStyle w:val="SMHeading"/>
        <w:spacing w:before="0" w:after="120"/>
        <w:jc w:val="center"/>
        <w:rPr>
          <w:szCs w:val="20"/>
        </w:rPr>
      </w:pPr>
      <w:r w:rsidRPr="004C591B">
        <w:rPr>
          <w:szCs w:val="20"/>
        </w:rPr>
        <w:t>Supplementary information about the m</w:t>
      </w:r>
      <w:r w:rsidR="005D45EC" w:rsidRPr="004C591B">
        <w:rPr>
          <w:szCs w:val="20"/>
        </w:rPr>
        <w:t xml:space="preserve">odelling </w:t>
      </w:r>
      <w:r w:rsidRPr="004C591B">
        <w:rPr>
          <w:szCs w:val="20"/>
        </w:rPr>
        <w:t>approach</w:t>
      </w:r>
      <w:r w:rsidR="00542A07" w:rsidRPr="004C591B">
        <w:rPr>
          <w:szCs w:val="20"/>
        </w:rPr>
        <w:t>.</w:t>
      </w:r>
    </w:p>
    <w:p w14:paraId="07EB33CA" w14:textId="76D942C9" w:rsidR="005D45EC" w:rsidRPr="004C591B" w:rsidRDefault="00542A07" w:rsidP="0040245E">
      <w:pPr>
        <w:spacing w:before="240" w:line="276" w:lineRule="auto"/>
        <w:jc w:val="both"/>
      </w:pPr>
      <w:r w:rsidRPr="004C591B">
        <w:t xml:space="preserve">Here we use a Total Matrix </w:t>
      </w:r>
      <w:proofErr w:type="spellStart"/>
      <w:r w:rsidRPr="004C591B">
        <w:t>Intercomparison</w:t>
      </w:r>
      <w:proofErr w:type="spellEnd"/>
      <w:r w:rsidRPr="004C591B">
        <w:t xml:space="preserve"> (TMI; </w:t>
      </w:r>
      <w:r w:rsidRPr="004C591B">
        <w:fldChar w:fldCharType="begin" w:fldLock="1"/>
      </w:r>
      <w:r w:rsidR="00E4591C" w:rsidRPr="004C591B">
        <w:instrText>ADDIN CSL_CITATION {"citationItems":[{"id":"ITEM-1","itemData":{"DOI":"10.1175/2010JPO4272.1","ISSN":"00223670","abstract":"Ocean tracer distributions have long been used to decompose the deep ocean into constituent water masses, but previous inverse methods have generally been limited to just a few water masses that have been defined by a subjective choice of static property combinations. Through air-sea interaction and upper-ocean processes, all surface locations are potential sources of distinct tracer properties, and thus it is natural to define a distinct water type for each surface site. Here, a new box inversion method is developed to explore the contributions of all surface locations to the ocean interior, as well as the degree to which the observed tracer fields can be explained by a steady-state circulation with unchanging surface-boundary conditions. The total matrix intercomparison (TMI) method is a novel way to invert observations to solve for the pathways connecting every surface point to every interior point. In the limiting case that the circulation is steady and that five conservative tracers are perfectly observed, the TMI method unambiguously recovers the complete pathways information, owing to the fact that each grid box has, at most, six neighbors. Modern-day climatologies of temperature, salinity, phosphate, nitrate, oxygen, and oxygen-18/oxygen-16 isotope ratios are simultaneously inverted at 4° × 4° grid resolution with 33 vertical levels. Using boundary conditions at the surface and seafloor, the entire interior distribution of the observed tracers is reconstructed using the TMI method. Assuming that seafloor fluxes of tracer properties can be neglected, the method suggests that 25% or less of the water residing in the deep North Pacific originated in the North Atlantic. Integrating over the global ocean, the Southern Ocean is dominant, as the inversion indicates that almost 60% of the ocean volume originates from south of the Southern Hemisphere subtropical front. © 2010 American Meteorological Society.","author":[{"dropping-particle":"","family":"Gebbie","given":"Geoffrey","non-dropping-particle":"","parse-names":false,"suffix":""},{"dropping-particle":"","family":"Huybers","given":"Peter","non-dropping-particle":"","parse-names":false,"suffix":""}],"container-title":"Journal of Physical Oceanography","id":"ITEM-1","issue":"8","issued":{"date-parts":[["2010"]]},"page":"1710-1728","title":"Total matrix intercomparison: A method for determining the geometry of water-mass pathways","type":"article-journal","volume":"40"},"uris":["http://www.mendeley.com/documents/?uuid=6032178b-3122-4d83-8d15-dba14d975921"]}],"mendeley":{"formattedCitation":"(Gebbie and Huybers, 2010)","manualFormatting":"Gebbie and Huybers, 2010)","plainTextFormattedCitation":"(Gebbie and Huybers, 2010)","previouslyFormattedCitation":"(Gebbie and Huybers, 2010)"},"properties":{"noteIndex":0},"schema":"https://github.com/citation-style-language/schema/raw/master/csl-citation.json"}</w:instrText>
      </w:r>
      <w:r w:rsidRPr="004C591B">
        <w:fldChar w:fldCharType="separate"/>
      </w:r>
      <w:r w:rsidRPr="004C591B">
        <w:rPr>
          <w:noProof/>
        </w:rPr>
        <w:t>Gebbie and Huybers, 2010)</w:t>
      </w:r>
      <w:r w:rsidRPr="004C591B">
        <w:fldChar w:fldCharType="end"/>
      </w:r>
      <w:r w:rsidRPr="004C591B">
        <w:t xml:space="preserve"> model to study the effect of circulation and biological cycling on Ni cycling. </w:t>
      </w:r>
      <w:r w:rsidR="009A1D87" w:rsidRPr="004C591B">
        <w:t>The TMI is a global water mass decomposition that avoids subjective definitions of ocean interior water mass end-members by tracing the ocean interior waters back to their surface origins (</w:t>
      </w:r>
      <w:proofErr w:type="spellStart"/>
      <w:r w:rsidR="009A1D87" w:rsidRPr="004C591B">
        <w:t>Gebbie</w:t>
      </w:r>
      <w:proofErr w:type="spellEnd"/>
      <w:r w:rsidR="009A1D87" w:rsidRPr="004C591B">
        <w:t xml:space="preserve"> and </w:t>
      </w:r>
      <w:proofErr w:type="spellStart"/>
      <w:r w:rsidR="009A1D87" w:rsidRPr="004C591B">
        <w:t>Huybers</w:t>
      </w:r>
      <w:proofErr w:type="spellEnd"/>
      <w:r w:rsidR="009A1D87" w:rsidRPr="004C591B">
        <w:t xml:space="preserve">, 2010). The TMI solution is constrained by observational </w:t>
      </w:r>
      <w:proofErr w:type="spellStart"/>
      <w:r w:rsidR="009A1D87" w:rsidRPr="004C591B">
        <w:t>climatologies</w:t>
      </w:r>
      <w:proofErr w:type="spellEnd"/>
      <w:r w:rsidR="009A1D87" w:rsidRPr="004C591B">
        <w:t xml:space="preserve"> of hydrographic and biogeochemical parameters as described by </w:t>
      </w:r>
      <w:proofErr w:type="spellStart"/>
      <w:r w:rsidR="009A1D87" w:rsidRPr="004C591B">
        <w:t>Gebbie</w:t>
      </w:r>
      <w:proofErr w:type="spellEnd"/>
      <w:r w:rsidR="009A1D87" w:rsidRPr="004C591B">
        <w:t xml:space="preserve"> and </w:t>
      </w:r>
      <w:proofErr w:type="spellStart"/>
      <w:r w:rsidR="009A1D87" w:rsidRPr="004C591B">
        <w:t>Huybers</w:t>
      </w:r>
      <w:proofErr w:type="spellEnd"/>
      <w:r w:rsidR="009A1D87" w:rsidRPr="004C591B">
        <w:t xml:space="preserve"> (2010).</w:t>
      </w:r>
      <w:r w:rsidR="006A755B" w:rsidRPr="004C591B">
        <w:t xml:space="preserve"> </w:t>
      </w:r>
      <w:r w:rsidR="005D45EC" w:rsidRPr="004C591B">
        <w:t>The TMI circulation is presented on a 4°×4° grid with 33 depth levels.</w:t>
      </w:r>
    </w:p>
    <w:p w14:paraId="00EB68BA" w14:textId="77777777" w:rsidR="005D45EC" w:rsidRPr="004C591B" w:rsidRDefault="005D45EC" w:rsidP="000E5187">
      <w:pPr>
        <w:spacing w:line="276" w:lineRule="auto"/>
        <w:jc w:val="both"/>
      </w:pPr>
      <w:r w:rsidRPr="004C591B">
        <w:t>We first model the distribution of Ni and its isotopes only in terms of ocean circulation:</w:t>
      </w:r>
    </w:p>
    <w:p w14:paraId="1F0441B6" w14:textId="77777777" w:rsidR="00542A07" w:rsidRPr="004C591B" w:rsidRDefault="00542A07" w:rsidP="000E5187">
      <w:pPr>
        <w:spacing w:line="276" w:lineRule="auto"/>
        <w:jc w:val="both"/>
      </w:pPr>
    </w:p>
    <w:p w14:paraId="621D556D" w14:textId="41C5BC70" w:rsidR="005D45EC" w:rsidRPr="004C591B" w:rsidRDefault="00760228" w:rsidP="000E5187">
      <w:pPr>
        <w:spacing w:line="276" w:lineRule="auto"/>
        <w:jc w:val="both"/>
      </w:pPr>
      <m:oMath>
        <m:sSub>
          <m:sSubPr>
            <m:ctrlPr>
              <w:rPr>
                <w:rFonts w:ascii="Cambria Math" w:hAnsi="Cambria Math"/>
                <w:i/>
              </w:rPr>
            </m:ctrlPr>
          </m:sSubPr>
          <m:e>
            <m:r>
              <w:rPr>
                <w:rFonts w:ascii="Cambria Math" w:hAnsi="Cambria Math"/>
              </w:rPr>
              <m:t>Ni</m:t>
            </m:r>
          </m:e>
          <m:sub>
            <m:r>
              <w:rPr>
                <w:rFonts w:ascii="Cambria Math" w:hAnsi="Cambria Math"/>
              </w:rPr>
              <m:t>pre</m:t>
            </m:r>
          </m:sub>
        </m:sSub>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Ni</m:t>
            </m:r>
          </m:e>
          <m:sub>
            <m:r>
              <w:rPr>
                <w:rFonts w:ascii="Cambria Math" w:hAnsi="Cambria Math"/>
              </w:rPr>
              <m:t>b</m:t>
            </m:r>
          </m:sub>
        </m:sSub>
      </m:oMath>
      <w:r w:rsidR="005D45EC" w:rsidRPr="004C591B">
        <w:tab/>
      </w:r>
      <w:r w:rsidR="005D45EC" w:rsidRPr="004C591B">
        <w:tab/>
        <w:t>(1)</w:t>
      </w:r>
    </w:p>
    <w:p w14:paraId="64B6B99B" w14:textId="77777777" w:rsidR="00542A07" w:rsidRPr="004C591B" w:rsidRDefault="00542A07" w:rsidP="000E5187">
      <w:pPr>
        <w:spacing w:line="276" w:lineRule="auto"/>
        <w:jc w:val="both"/>
      </w:pPr>
    </w:p>
    <w:p w14:paraId="1A6316BC" w14:textId="76F4FC51" w:rsidR="005D45EC" w:rsidRPr="004C591B" w:rsidRDefault="00760228" w:rsidP="000E5187">
      <w:pPr>
        <w:spacing w:line="276" w:lineRule="auto"/>
        <w:jc w:val="both"/>
      </w:pPr>
      <m:oMath>
        <m:sSubSup>
          <m:sSubSupPr>
            <m:ctrlPr>
              <w:rPr>
                <w:rFonts w:ascii="Cambria Math" w:hAnsi="Cambria Math"/>
                <w:i/>
              </w:rPr>
            </m:ctrlPr>
          </m:sSubSupPr>
          <m:e>
            <m:r>
              <w:rPr>
                <w:rFonts w:ascii="Cambria Math" w:hAnsi="Cambria Math"/>
              </w:rPr>
              <m:t>Ni</m:t>
            </m:r>
          </m:e>
          <m:sub>
            <m:r>
              <w:rPr>
                <w:rFonts w:ascii="Cambria Math" w:hAnsi="Cambria Math"/>
              </w:rPr>
              <m:t>pre</m:t>
            </m:r>
          </m:sub>
          <m:sup>
            <m:r>
              <w:rPr>
                <w:rFonts w:ascii="Cambria Math" w:hAnsi="Cambria Math"/>
              </w:rPr>
              <m:t>60</m:t>
            </m:r>
          </m:sup>
        </m:sSub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 xml:space="preserve">× </m:t>
        </m:r>
        <m:sSubSup>
          <m:sSubSupPr>
            <m:ctrlPr>
              <w:rPr>
                <w:rFonts w:ascii="Cambria Math" w:hAnsi="Cambria Math"/>
                <w:i/>
              </w:rPr>
            </m:ctrlPr>
          </m:sSubSupPr>
          <m:e>
            <m:r>
              <w:rPr>
                <w:rFonts w:ascii="Cambria Math" w:hAnsi="Cambria Math"/>
              </w:rPr>
              <m:t>Ni</m:t>
            </m:r>
          </m:e>
          <m:sub>
            <m:r>
              <w:rPr>
                <w:rFonts w:ascii="Cambria Math" w:hAnsi="Cambria Math"/>
              </w:rPr>
              <m:t>b</m:t>
            </m:r>
          </m:sub>
          <m:sup>
            <m:r>
              <w:rPr>
                <w:rFonts w:ascii="Cambria Math" w:hAnsi="Cambria Math"/>
              </w:rPr>
              <m:t>60</m:t>
            </m:r>
          </m:sup>
        </m:sSubSup>
      </m:oMath>
      <w:r w:rsidR="005D45EC" w:rsidRPr="004C591B">
        <w:tab/>
      </w:r>
      <w:r w:rsidR="005D45EC" w:rsidRPr="004C591B">
        <w:tab/>
        <w:t>(2)</w:t>
      </w:r>
    </w:p>
    <w:p w14:paraId="50FB5284" w14:textId="77777777" w:rsidR="00542A07" w:rsidRPr="004C591B" w:rsidRDefault="00542A07" w:rsidP="000E5187">
      <w:pPr>
        <w:spacing w:line="276" w:lineRule="auto"/>
        <w:jc w:val="both"/>
      </w:pPr>
    </w:p>
    <w:p w14:paraId="666BEAF5" w14:textId="284C38CA" w:rsidR="005D45EC" w:rsidRPr="004C591B" w:rsidRDefault="005D45EC" w:rsidP="000E5187">
      <w:pPr>
        <w:spacing w:line="276" w:lineRule="auto"/>
        <w:jc w:val="both"/>
      </w:pPr>
      <w:proofErr w:type="gramStart"/>
      <w:r w:rsidRPr="004C591B">
        <w:t>where</w:t>
      </w:r>
      <w:proofErr w:type="gramEnd"/>
      <w:r w:rsidRPr="004C591B">
        <w:t xml:space="preserve"> the concentrations of Ni (</w:t>
      </w:r>
      <m:oMath>
        <m:sSub>
          <m:sSubPr>
            <m:ctrlPr>
              <w:rPr>
                <w:rFonts w:ascii="Cambria Math" w:hAnsi="Cambria Math"/>
                <w:i/>
              </w:rPr>
            </m:ctrlPr>
          </m:sSubPr>
          <m:e>
            <m:r>
              <w:rPr>
                <w:rFonts w:ascii="Cambria Math" w:hAnsi="Cambria Math"/>
              </w:rPr>
              <m:t>Ni</m:t>
            </m:r>
          </m:e>
          <m:sub>
            <m:r>
              <w:rPr>
                <w:rFonts w:ascii="Cambria Math" w:hAnsi="Cambria Math"/>
              </w:rPr>
              <m:t>pre</m:t>
            </m:r>
          </m:sub>
        </m:sSub>
      </m:oMath>
      <w:r w:rsidRPr="004C591B">
        <w:t xml:space="preserve">) and </w:t>
      </w:r>
      <w:r w:rsidRPr="004C591B">
        <w:rPr>
          <w:vertAlign w:val="superscript"/>
        </w:rPr>
        <w:t>60</w:t>
      </w:r>
      <w:r w:rsidRPr="004C591B">
        <w:t>Ni (</w:t>
      </w:r>
      <m:oMath>
        <m:sSubSup>
          <m:sSubSupPr>
            <m:ctrlPr>
              <w:rPr>
                <w:rFonts w:ascii="Cambria Math" w:hAnsi="Cambria Math"/>
                <w:i/>
              </w:rPr>
            </m:ctrlPr>
          </m:sSubSupPr>
          <m:e>
            <m:r>
              <w:rPr>
                <w:rFonts w:ascii="Cambria Math" w:hAnsi="Cambria Math"/>
              </w:rPr>
              <m:t>Ni</m:t>
            </m:r>
          </m:e>
          <m:sub>
            <m:r>
              <w:rPr>
                <w:rFonts w:ascii="Cambria Math" w:hAnsi="Cambria Math"/>
              </w:rPr>
              <m:t>pre</m:t>
            </m:r>
          </m:sub>
          <m:sup>
            <m:r>
              <w:rPr>
                <w:rFonts w:ascii="Cambria Math" w:hAnsi="Cambria Math"/>
              </w:rPr>
              <m:t>60</m:t>
            </m:r>
          </m:sup>
        </m:sSubSup>
      </m:oMath>
      <w:r w:rsidRPr="004C591B">
        <w:t>) in the ocean are modelled by propagating their surface boundary conditions (</w:t>
      </w:r>
      <m:oMath>
        <m:sSub>
          <m:sSubPr>
            <m:ctrlPr>
              <w:rPr>
                <w:rFonts w:ascii="Cambria Math" w:hAnsi="Cambria Math"/>
                <w:i/>
              </w:rPr>
            </m:ctrlPr>
          </m:sSubPr>
          <m:e>
            <m:r>
              <w:rPr>
                <w:rFonts w:ascii="Cambria Math" w:hAnsi="Cambria Math"/>
              </w:rPr>
              <m:t>Ni</m:t>
            </m:r>
          </m:e>
          <m:sub>
            <m:r>
              <w:rPr>
                <w:rFonts w:ascii="Cambria Math" w:hAnsi="Cambria Math"/>
              </w:rPr>
              <m:t xml:space="preserve">b </m:t>
            </m:r>
          </m:sub>
        </m:sSub>
      </m:oMath>
      <w:r w:rsidRPr="004C591B">
        <w:t xml:space="preserve">and </w:t>
      </w:r>
      <m:oMath>
        <m:sSubSup>
          <m:sSubSupPr>
            <m:ctrlPr>
              <w:rPr>
                <w:rFonts w:ascii="Cambria Math" w:hAnsi="Cambria Math"/>
                <w:i/>
              </w:rPr>
            </m:ctrlPr>
          </m:sSubSupPr>
          <m:e>
            <m:r>
              <w:rPr>
                <w:rFonts w:ascii="Cambria Math" w:hAnsi="Cambria Math"/>
              </w:rPr>
              <m:t>Ni</m:t>
            </m:r>
          </m:e>
          <m:sub>
            <m:r>
              <w:rPr>
                <w:rFonts w:ascii="Cambria Math" w:hAnsi="Cambria Math"/>
              </w:rPr>
              <m:t>b</m:t>
            </m:r>
          </m:sub>
          <m:sup>
            <m:r>
              <w:rPr>
                <w:rFonts w:ascii="Cambria Math" w:hAnsi="Cambria Math"/>
              </w:rPr>
              <m:t>60</m:t>
            </m:r>
          </m:sup>
        </m:sSubSup>
      </m:oMath>
      <w:r w:rsidRPr="004C591B">
        <w:t xml:space="preserve"> respectively) using the circulation pathway matrix A. The resulting </w:t>
      </w:r>
      <w:proofErr w:type="spellStart"/>
      <w:r w:rsidRPr="004C591B">
        <w:t>Ni</w:t>
      </w:r>
      <w:r w:rsidRPr="004C591B">
        <w:rPr>
          <w:vertAlign w:val="subscript"/>
        </w:rPr>
        <w:t>pre</w:t>
      </w:r>
      <w:proofErr w:type="spellEnd"/>
      <w:r w:rsidRPr="004C591B">
        <w:t xml:space="preserve"> and </w:t>
      </w:r>
      <w:r w:rsidRPr="004C591B">
        <w:rPr>
          <w:vertAlign w:val="superscript"/>
        </w:rPr>
        <w:t>60</w:t>
      </w:r>
      <w:r w:rsidRPr="004C591B">
        <w:t>Ni</w:t>
      </w:r>
      <w:r w:rsidRPr="004C591B">
        <w:rPr>
          <w:vertAlign w:val="subscript"/>
        </w:rPr>
        <w:t>pre</w:t>
      </w:r>
      <w:r w:rsidRPr="004C591B">
        <w:t xml:space="preserve"> fields represent the preformed component of the dissolved pool.</w:t>
      </w:r>
    </w:p>
    <w:p w14:paraId="5521AFD7" w14:textId="2DAE909C" w:rsidR="005D45EC" w:rsidRPr="004C591B" w:rsidRDefault="005D45EC" w:rsidP="000E5187">
      <w:pPr>
        <w:spacing w:line="276" w:lineRule="auto"/>
        <w:jc w:val="both"/>
      </w:pPr>
      <w:r w:rsidRPr="004C591B">
        <w:t xml:space="preserve">We derive the surface boundary condition </w:t>
      </w:r>
      <m:oMath>
        <m:sSub>
          <m:sSubPr>
            <m:ctrlPr>
              <w:rPr>
                <w:rFonts w:ascii="Cambria Math" w:hAnsi="Cambria Math"/>
                <w:i/>
              </w:rPr>
            </m:ctrlPr>
          </m:sSubPr>
          <m:e>
            <m:r>
              <w:rPr>
                <w:rFonts w:ascii="Cambria Math" w:hAnsi="Cambria Math"/>
              </w:rPr>
              <m:t>Ni</m:t>
            </m:r>
          </m:e>
          <m:sub>
            <m:r>
              <w:rPr>
                <w:rFonts w:ascii="Cambria Math" w:hAnsi="Cambria Math"/>
              </w:rPr>
              <m:t xml:space="preserve">b </m:t>
            </m:r>
          </m:sub>
        </m:sSub>
      </m:oMath>
      <w:r w:rsidRPr="004C591B">
        <w:t xml:space="preserve">using the surface (&lt;100 m) Ni concentration data of the GEOTRACES IDP2021 </w:t>
      </w:r>
      <w:r w:rsidRPr="004C591B">
        <w:fldChar w:fldCharType="begin" w:fldLock="1"/>
      </w:r>
      <w:r w:rsidRPr="004C591B">
        <w:instrText>ADDIN CSL_CITATION {"citationItems":[{"id":"ITEM-1","itemData":{"DOI":"doi:10.5285/cf2d9ba9-d51d-3b7c-e053-8486abc0f5fd","author":[{"dropping-particle":"","family":"GEOTRACES Intermediate Data Product Group","given":"","non-dropping-particle":"","parse-names":false,"suffix":""}],"container-title":"NERC EDS British Oceanographic Data Centre NOC.","id":"ITEM-1","issued":{"date-parts":[["2021"]]},"title":"The GEOTRACES GEOTRACES Intermediate Data Product 2021 (IDP2021)","type":"article-journal"},"uris":["http://www.mendeley.com/documents/?uuid=499f8d6e-6366-4e31-b3e8-13b87e7246f7"]}],"mendeley":{"formattedCitation":"(GEOTRACES Intermediate Data Product Group, 2021)","manualFormatting":"(GEOTRACES Intermediate Data Product Group, 2021)","plainTextFormattedCitation":"(GEOTRACES Intermediate Data Product Group, 2021)","previouslyFormattedCitation":"(GEOTRACES Intermediate Data Product Group, 2021)"},"properties":{"noteIndex":0},"schema":"https://github.com/citation-style-language/schema/raw/master/csl-citation.json"}</w:instrText>
      </w:r>
      <w:r w:rsidRPr="004C591B">
        <w:fldChar w:fldCharType="separate"/>
      </w:r>
      <w:r w:rsidRPr="004C591B">
        <w:rPr>
          <w:noProof/>
        </w:rPr>
        <w:t>(GEOTRACES Intermediate Data Product Group, 2021)</w:t>
      </w:r>
      <w:r w:rsidRPr="004C591B">
        <w:fldChar w:fldCharType="end"/>
      </w:r>
      <w:r w:rsidRPr="004C591B">
        <w:t xml:space="preserve">. We subdivide and average the data according to the surface ocean patches defined by TMI. In the high latitude surface regions including the Antarctic and </w:t>
      </w:r>
      <w:proofErr w:type="spellStart"/>
      <w:r w:rsidRPr="004C591B">
        <w:t>Subantarctic</w:t>
      </w:r>
      <w:proofErr w:type="spellEnd"/>
      <w:r w:rsidRPr="004C591B">
        <w:t xml:space="preserve"> Zones of the Southern Ocean, subpolar North Atlantic, subpolar North Pacific and Arctic, we use the data-based average Ni concentrations for the boundary condition. In the surface low latitude regions (~40°S to ~40°N; see </w:t>
      </w:r>
      <w:r w:rsidRPr="004C591B">
        <w:fldChar w:fldCharType="begin" w:fldLock="1"/>
      </w:r>
      <w:r w:rsidRPr="004C591B">
        <w:instrText>ADDIN CSL_CITATION {"citationItems":[{"id":"ITEM-1","itemData":{"DOI":"10.1175/2010JPO4272.1","ISSN":"00223670","abstract":"Ocean tracer distributions have long been used to decompose the deep ocean into constituent water masses, but previous inverse methods have generally been limited to just a few water masses that have been defined by a subjective choice of static property combinations. Through air-sea interaction and upper-ocean processes, all surface locations are potential sources of distinct tracer properties, and thus it is natural to define a distinct water type for each surface site. Here, a new box inversion method is developed to explore the contributions of all surface locations to the ocean interior, as well as the degree to which the observed tracer fields can be explained by a steady-state circulation with unchanging surface-boundary conditions. The total matrix intercomparison (TMI) method is a novel way to invert observations to solve for the pathways connecting every surface point to every interior point. In the limiting case that the circulation is steady and that five conservative tracers are perfectly observed, the TMI method unambiguously recovers the complete pathways information, owing to the fact that each grid box has, at most, six neighbors. Modern-day climatologies of temperature, salinity, phosphate, nitrate, oxygen, and oxygen-18/oxygen-16 isotope ratios are simultaneously inverted at 4° × 4° grid resolution with 33 vertical levels. Using boundary conditions at the surface and seafloor, the entire interior distribution of the observed tracers is reconstructed using the TMI method. Assuming that seafloor fluxes of tracer properties can be neglected, the method suggests that 25% or less of the water residing in the deep North Pacific originated in the North Atlantic. Integrating over the global ocean, the Southern Ocean is dominant, as the inversion indicates that almost 60% of the ocean volume originates from south of the Southern Hemisphere subtropical front. © 2010 American Meteorological Society.","author":[{"dropping-particle":"","family":"Gebbie","given":"Geoffrey","non-dropping-particle":"","parse-names":false,"suffix":""},{"dropping-particle":"","family":"Huybers","given":"Peter","non-dropping-particle":"","parse-names":false,"suffix":""}],"container-title":"Journal of Physical Oceanography","id":"ITEM-1","issue":"8","issued":{"date-parts":[["2010"]]},"page":"1710-1728","title":"Total matrix intercomparison: A method for determining the geometry of water-mass pathways","type":"article-journal","volume":"40"},"uris":["http://www.mendeley.com/documents/?uuid=6032178b-3122-4d83-8d15-dba14d975921"]}],"mendeley":{"formattedCitation":"(Gebbie and Huybers, 2010)","manualFormatting":"Gebbie and Huybers, 2010)","plainTextFormattedCitation":"(Gebbie and Huybers, 2010)","previouslyFormattedCitation":"(Gebbie and Huybers, 2010)"},"properties":{"noteIndex":0},"schema":"https://github.com/citation-style-language/schema/raw/master/csl-citation.json"}</w:instrText>
      </w:r>
      <w:r w:rsidRPr="004C591B">
        <w:fldChar w:fldCharType="separate"/>
      </w:r>
      <w:r w:rsidRPr="004C591B">
        <w:rPr>
          <w:noProof/>
        </w:rPr>
        <w:t>Gebbie and Huybers, 2010)</w:t>
      </w:r>
      <w:r w:rsidRPr="004C591B">
        <w:fldChar w:fldCharType="end"/>
      </w:r>
      <w:r w:rsidRPr="004C591B">
        <w:t xml:space="preserve">, we take the boundary condition to be 2 </w:t>
      </w:r>
      <w:proofErr w:type="spellStart"/>
      <w:r w:rsidRPr="004C591B">
        <w:t>nmol</w:t>
      </w:r>
      <w:proofErr w:type="spellEnd"/>
      <w:r w:rsidRPr="004C591B">
        <w:t xml:space="preserve">/L, which is the concentration found in these regions </w:t>
      </w:r>
      <w:r w:rsidRPr="004C591B">
        <w:fldChar w:fldCharType="begin" w:fldLock="1"/>
      </w:r>
      <w:r w:rsidR="00E4591C" w:rsidRPr="004C591B">
        <w:instrText>ADDIN CSL_CITATION {"citationItems":[{"id":"ITEM-1","itemData":{"DOI":"10.1016/j.aca.2017.03.010","ISSN":"00032670","author":[{"dropping-particle":"","family":"Takano","given":"Shotaro","non-dropping-particle":"","parse-names":false,"suffix":""},{"dropping-particle":"","family":"Tanimizu","given":"Masaharu","non-dropping-particle":"","parse-names":false,"suffix":""},{"dropping-particle":"","family":"Hirata","given":"Takafumi","non-dropping-particle":"","parse-names":false,"suffix":""},{"dropping-particle":"","family":"Shin","given":"Ki-Cheol","non-dropping-particle":"","parse-names":false,"suffix":""},{"dropping-particle":"","family":"Fukami","given":"Yusuke","non-dropping-particle":"","parse-names":false,"suffix":""},{"dropping-particle":"","family":"Suzuki","given":"Katsuhiko","non-dropping-particle":"","parse-names":false,"suffix":""},{"dropping-particle":"","family":"Sohrin","given":"Yoshiki","non-dropping-particle":"","parse-names":false,"suffix":""}],"container-title":"Analytica Chimica Acta","id":"ITEM-1","issued":{"date-parts":[["2017"]]},"page":"1-11","publisher":"Elsevier Ltd","title":"A simple and rapid method for isotopic analysis of nickel, copper, and zinc in seawater using chelating extraction and anion exchange","type":"article-journal","volume":"967"},"uris":["http://www.mendeley.com/documents/?uuid=ee13dac0-1b6c-404b-b064-0f53026a7936"]},{"id":"ITEM-2","itemData":{"DOI":"10.1016/j.epsl.2020.116118","ISSN":"0012821X","abstract":"Nickel (Ni) is important for a number of enzymes in oceanic phytoplankton. It has received less attention than some other bioactive metals because it is not reduced to extremely low dissolved concentrations in the photic zone. However, there are strong indications in previous studies that this residual pool is not bio-available. Oceanic Ni isotope data are still scarce, but have great potential for understanding this issue, as well as for understanding the Ni mass balance of the oceans now and in the past. Here, we present new concentration and isotope data for the UK GEOTRACES section at 40°S in the Atlantic (GA10). Nickel concentration data show typical nutrient-like profiles, slightly modified by variable pre-formed concentrations in sub-surface water masses, e.g. North Atlantic Deep Water. Nickel isotopes, in common with findings in previous studies, are homogeneous beneath 500 m, at about +1.3‰ in δ60Ni, in samples with Ni concentrations above 3-3.5 nM. The surface South Atlantic, however, has concentrations below 3 nM, and shows significantly higher δ60Ni, up to +1.74‰, that are closely anti-correlated with Ni concentrations. The data for the deep South Atlantic dissolved pool, with a δ60Ni = 1.31 ± 0.12‰ (average and 2SD) confirm the homogeneity of the global deep ocean, which previous data demonstrate extends all the way to the surface in the upwelling zone of the Southern Ocean south of the Polar Front. This Ni isotope composition is significantly heavier than known inputs to the oceanic dissolved pool. This mass balance requires an isotopically light sink that may be represented by sedimentary Mn-oxide associated Ni. The magnitude of the isotope fractionation implied by the upper ocean data is not consistent with plausible potential abiotic removal processes. Rather, these data are best explained by biological uptake. However, consideration of the detailed relationships between Ni concentrations and isotope compositions requires that a substantial portion of the oceanic dissolved Ni pool is not bio-available. The data are consistent either with a small preference for the light isotope during uptake (about 0.1‰) or two distinct pools of dissolved Ni, one bio-available and one strongly bound in organic complexes, with limited isotopic exchange between them. Patterns of co-variation in Ni concentrations and isotopes with the major nutrients point to strong contrasts across the Polar Front of the Southern Ocean, contrasts that exhibit both similar…","author":[{"dropping-particle":"","family":"Archer","given":"Corey","non-dropping-particle":"","parse-names":false,"suffix":""},{"dropping-particle":"","family":"Vance","given":"Derek","non-dropping-particle":"","parse-names":false,"suffix":""},{"dropping-particle":"","family":"Milne","given":"Angela","non-dropping-particle":"","parse-names":false,"suffix":""},{"dropping-particle":"","family":"Lohan","given":"Maeve C.","non-dropping-particle":"","parse-names":false,"suffix":""}],"container-title":"Earth and Planetary Science Letters","id":"ITEM-2","issued":{"date-parts":[["2020"]]},"page":"116118","publisher":"Elsevier B.V.","title":"The oceanic biogeochemistry of nickel and its isotopes: New data from the South Atlantic and the Southern Ocean biogeochemical divide","type":"article-journal","volume":"535"},"uris":["http://www.mendeley.com/documents/?uuid=5c315aaa-b718-4884-a96c-f2f0925d4f36"]},{"id":"ITEM-3","itemData":{"DOI":"10.1016/j.chemgeo.2020.119662","ISSN":"00092541","abstract":"Nickel and copper are cofactors in key phytoplankton enzymes and the stable isotope composition of Ni and Cu (δ60Ni and δ65Cu) in seawater have the potential to identify major processes that influence their biogeochemistry. However, accurate analysis of δ60Ni and δ65Cu is challenging because of the difficulties in separating these metals from interfering elements in the seawater matrix. Here we report a fast and simple method for purification of Ni and Cu from seawater samples that is able to completely remove interfering elements Mn, Ti, Cr, and Fe. This method was verified by analyzing four reference materials that contain significant levels of interfering elements (powdered plankton, natural soils, and two marine sediments). Using this technique, we generated a dataset of 49 seawater δ60Ni and δ65Cu measurements from the upper water column of the North Pacific Ocean, which show preferential uptake of light Ni isotopes by phytoplankton (αbio-sw = 0.9997 ± 1) but no net fractionation of Cu isotopes. This new method simplifies treatment of seawater samples for Ni and Cu isotope analysis, enabling high-throughput investigations of δ60Ni and δ65Cu throughout the global ocean.","author":[{"dropping-particle":"","family":"Yang","given":"Shun Chung","non-dropping-particle":"","parse-names":false,"suffix":""},{"dropping-particle":"","family":"Hawco","given":"Nicholas J.","non-dropping-particle":"","parse-names":false,"suffix":""},{"dropping-particle":"","family":"Pinedo-González","given":"Paulina","non-dropping-particle":"","parse-names":false,"suffix":""},{"dropping-particle":"","family":"Bian","given":"Xiaopeng","non-dropping-particle":"","parse-names":false,"suffix":""},{"dropping-particle":"","family":"Huang","given":"Kuo-Fang","non-dropping-particle":"","parse-names":false,"suffix":""},{"dropping-particle":"","family":"Zhang","given":"Ruifeng","non-dropping-particle":"","parse-names":false,"suffix":""},{"dropping-particle":"","family":"John","given":"Seth G.","non-dropping-particle":"","parse-names":false,"suffix":""}],"container-title":"Chemical Geology","id":"ITEM-3","issued":{"date-parts":[["2020"]]},"page":"119662","title":"A new purification method for Ni and Cu stable isotopes in seawater provides evidence for widespread Ni isotope fractionation by phytoplankton in the North Pacific","type":"article-journal","volume":"547"},"uris":["http://www.mendeley.com/documents/?uuid=0c3536ef-18e0-443b-a3ed-95aa4d04c4f9"]},{"id":"ITEM-4","itemData":{"DOI":"10.1016/j.gca.2021.07.004","ISSN":"0016-7037","author":[{"dropping-particle":"","family":"Yang","given":"Shun-chung","non-dropping-particle":"","parse-names":false,"suffix":""},{"dropping-particle":"","family":"Kelly","given":"Rachel L","non-dropping-particle":"","parse-names":false,"suffix":""},{"dropping-particle":"","family":"Bian","given":"Xiaopeng","non-dropping-particle":"","parse-names":false,"suffix":""},{"dropping-particle":"","family":"Conway","given":"Tim M","non-dropping-particle":"","parse-names":false,"suffix":""},{"dropping-particle":"","family":"Huang","given":"Kuo-fang","non-dropping-particle":"","parse-names":false,"suffix":""},{"dropping-particle":"","family":"Ho","given":"Tung-yuan","non-dropping-particle":"","parse-names":false,"suffix":""},{"dropping-particle":"","family":"Neibauer","given":"Jacquelyn A","non-dropping-particle":"","parse-names":false,"suffix":""},{"dropping-particle":"","family":"Keil","given":"Richard G","non-dropping-particle":"","parse-names":false,"suffix":""},{"dropping-particle":"","family":"Moffett","given":"James W","non-dropping-particle":"","parse-names":false,"suffix":""},{"dropping-particle":"","family":"John","given":"Seth G","non-dropping-particle":"","parse-names":false,"suffix":""}],"container-title":"Geochimica et Cosmochimica Acta","id":"ITEM-4","issued":{"date-parts":[["2021"]]},"page":"235-250","publisher":"Elsevier Ltd","title":"Lack of redox cycling for nickel in the water column of the Eastern tropical north pacific oxygen deficient zone : Insight from dissolved and particulate nickel isotopes","type":"article-journal","volume":"309"},"uris":["http://www.mendeley.com/documents/?uuid=f98b254b-56ee-49b4-a816-0a78047e1816"]}],"mendeley":{"formattedCitation":"(Archer et al., 2020; Takano et al., 2017; Yang et al., 2021, 2020)","manualFormatting":"(Takano et al., 2017; Archer et al., 2020; Yang et al., 2020, 2021)","plainTextFormattedCitation":"(Archer et al., 2020; Takano et al., 2017; Yang et al., 2021, 2020)","previouslyFormattedCitation":"(Archer et al., 2020; Takano et al., 2017; Yang et al., 2021, 2020)"},"properties":{"noteIndex":0},"schema":"https://github.com/citation-style-language/schema/raw/master/csl-citation.json"}</w:instrText>
      </w:r>
      <w:r w:rsidRPr="004C591B">
        <w:fldChar w:fldCharType="separate"/>
      </w:r>
      <w:r w:rsidRPr="004C591B">
        <w:rPr>
          <w:noProof/>
        </w:rPr>
        <w:t>(</w:t>
      </w:r>
      <w:r w:rsidR="009A1D87" w:rsidRPr="004C591B">
        <w:rPr>
          <w:noProof/>
        </w:rPr>
        <w:t xml:space="preserve">Takano et al., 2017; </w:t>
      </w:r>
      <w:r w:rsidRPr="004C591B">
        <w:rPr>
          <w:noProof/>
        </w:rPr>
        <w:t xml:space="preserve">Archer et al., 2020; Yang et al., </w:t>
      </w:r>
      <w:r w:rsidR="009A1D87" w:rsidRPr="004C591B">
        <w:rPr>
          <w:noProof/>
        </w:rPr>
        <w:t xml:space="preserve">2020, </w:t>
      </w:r>
      <w:r w:rsidRPr="004C591B">
        <w:rPr>
          <w:noProof/>
        </w:rPr>
        <w:t>2021)</w:t>
      </w:r>
      <w:r w:rsidRPr="004C591B">
        <w:fldChar w:fldCharType="end"/>
      </w:r>
      <w:r w:rsidRPr="004C591B">
        <w:t>. The uncertainties on the boundary conditions of Ni concentration are propagated through the model (Fig. S1).</w:t>
      </w:r>
    </w:p>
    <w:p w14:paraId="0863A818" w14:textId="77777777" w:rsidR="005D45EC" w:rsidRPr="004C591B" w:rsidRDefault="005D45EC" w:rsidP="000E5187">
      <w:pPr>
        <w:spacing w:line="276" w:lineRule="auto"/>
        <w:jc w:val="both"/>
      </w:pPr>
      <w:r w:rsidRPr="004C591B">
        <w:t>We then calculate the isotopic surface boundary condition as:</w:t>
      </w:r>
    </w:p>
    <w:p w14:paraId="549963C6" w14:textId="77777777" w:rsidR="00542A07" w:rsidRPr="004C591B" w:rsidRDefault="00542A07" w:rsidP="000E5187">
      <w:pPr>
        <w:spacing w:line="276" w:lineRule="auto"/>
        <w:jc w:val="both"/>
      </w:pPr>
    </w:p>
    <w:p w14:paraId="72346427" w14:textId="77777777" w:rsidR="005D45EC" w:rsidRPr="004C591B" w:rsidRDefault="00CA63E0" w:rsidP="000E5187">
      <w:pPr>
        <w:spacing w:line="276" w:lineRule="auto"/>
        <w:jc w:val="both"/>
      </w:pPr>
      <w:r w:rsidRPr="004C591B">
        <w:rPr>
          <w:noProof/>
          <w:position w:val="-32"/>
        </w:rPr>
        <w:object w:dxaOrig="3980" w:dyaOrig="760" w14:anchorId="03D16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1pt;height:37.45pt;mso-width-percent:0;mso-height-percent:0;mso-width-percent:0;mso-height-percent:0" o:ole="">
            <v:imagedata r:id="rId8" o:title=""/>
          </v:shape>
          <o:OLEObject Type="Embed" ProgID="Equation.DSMT4" ShapeID="_x0000_i1025" DrawAspect="Content" ObjectID="_1708952638" r:id="rId9"/>
        </w:object>
      </w:r>
      <w:r w:rsidR="005D45EC" w:rsidRPr="004C591B">
        <w:tab/>
      </w:r>
      <w:r w:rsidR="005D45EC" w:rsidRPr="004C591B">
        <w:tab/>
        <w:t>(3)</w:t>
      </w:r>
    </w:p>
    <w:p w14:paraId="1B958A42" w14:textId="77777777" w:rsidR="00542A07" w:rsidRPr="004C591B" w:rsidRDefault="00542A07" w:rsidP="000E5187">
      <w:pPr>
        <w:spacing w:line="276" w:lineRule="auto"/>
        <w:jc w:val="both"/>
      </w:pPr>
    </w:p>
    <w:p w14:paraId="5EF3184A" w14:textId="77777777" w:rsidR="005D45EC" w:rsidRPr="004C591B" w:rsidRDefault="005D45EC" w:rsidP="000E5187">
      <w:pPr>
        <w:spacing w:line="276" w:lineRule="auto"/>
        <w:jc w:val="both"/>
      </w:pPr>
      <w:r w:rsidRPr="004C591B">
        <w:t>Where δ</w:t>
      </w:r>
      <w:r w:rsidRPr="004C591B">
        <w:rPr>
          <w:vertAlign w:val="superscript"/>
        </w:rPr>
        <w:t>60</w:t>
      </w:r>
      <w:r w:rsidRPr="004C591B">
        <w:t>Ni</w:t>
      </w:r>
      <w:r w:rsidRPr="004C591B">
        <w:rPr>
          <w:vertAlign w:val="subscript"/>
        </w:rPr>
        <w:t>b</w:t>
      </w:r>
      <w:r w:rsidRPr="004C591B">
        <w:t xml:space="preserve"> is the </w:t>
      </w:r>
      <w:r w:rsidRPr="004C591B">
        <w:rPr>
          <w:vertAlign w:val="superscript"/>
        </w:rPr>
        <w:t>60</w:t>
      </w:r>
      <w:r w:rsidRPr="004C591B">
        <w:t>Ni/</w:t>
      </w:r>
      <w:r w:rsidRPr="004C591B">
        <w:rPr>
          <w:vertAlign w:val="superscript"/>
        </w:rPr>
        <w:t>58</w:t>
      </w:r>
      <w:r w:rsidRPr="004C591B">
        <w:t xml:space="preserve">Ni ratio in δ-notation, 0.3852 is the </w:t>
      </w:r>
      <w:r w:rsidRPr="004C591B">
        <w:rPr>
          <w:vertAlign w:val="superscript"/>
        </w:rPr>
        <w:t>60</w:t>
      </w:r>
      <w:r w:rsidRPr="004C591B">
        <w:t>Ni/</w:t>
      </w:r>
      <w:r w:rsidRPr="004C591B">
        <w:rPr>
          <w:vertAlign w:val="superscript"/>
        </w:rPr>
        <w:t>58</w:t>
      </w:r>
      <w:r w:rsidRPr="004C591B">
        <w:t xml:space="preserve">Ni ratio of reference material </w:t>
      </w:r>
      <w:r w:rsidRPr="004C591B">
        <w:rPr>
          <w:szCs w:val="24"/>
        </w:rPr>
        <w:t xml:space="preserve">NIST SRM 986 and 0.68 is the natural abundance of </w:t>
      </w:r>
      <w:r w:rsidRPr="004C591B">
        <w:rPr>
          <w:vertAlign w:val="superscript"/>
        </w:rPr>
        <w:t>58</w:t>
      </w:r>
      <w:r w:rsidRPr="004C591B">
        <w:t>Ni. Presently, there is not enough δ</w:t>
      </w:r>
      <w:r w:rsidRPr="004C591B">
        <w:rPr>
          <w:vertAlign w:val="superscript"/>
        </w:rPr>
        <w:t>60</w:t>
      </w:r>
      <w:r w:rsidRPr="004C591B">
        <w:t>Ni data to define the isotopic boundary condition (δ</w:t>
      </w:r>
      <w:r w:rsidRPr="004C591B">
        <w:rPr>
          <w:vertAlign w:val="superscript"/>
        </w:rPr>
        <w:t>60</w:t>
      </w:r>
      <w:r w:rsidRPr="004C591B">
        <w:t>Ni</w:t>
      </w:r>
      <w:r w:rsidRPr="004C591B">
        <w:rPr>
          <w:vertAlign w:val="subscript"/>
        </w:rPr>
        <w:t>b</w:t>
      </w:r>
      <w:r w:rsidRPr="004C591B">
        <w:t>) for each surface patch of TMI (Fig. S2). However, published studies suggest that surface waters in high latitudes have δ</w:t>
      </w:r>
      <w:r w:rsidRPr="004C591B">
        <w:rPr>
          <w:vertAlign w:val="superscript"/>
        </w:rPr>
        <w:t>60</w:t>
      </w:r>
      <w:r w:rsidRPr="004C591B">
        <w:t xml:space="preserve">Ni values similar to the uniform deep ocean </w:t>
      </w:r>
      <w:r w:rsidRPr="004C591B">
        <w:fldChar w:fldCharType="begin" w:fldLock="1"/>
      </w:r>
      <w:r w:rsidRPr="004C591B">
        <w:instrText>ADDIN CSL_CITATION {"citationItems":[{"id":"ITEM-1","itemData":{"DOI":"10.1016/j.chemgeo.2018.09.010","ISSN":"00092541","abstract":"The Southern Ocean is the site of 20% of global ocean carbon export, and the origin of water masses that significantly impact the chemistry of the global ocean. Much of the Southern Ocean is a high nutrient low chlorophyll (HNLC) region. Iron is the primary limiting nutrient for phytoplankton growth, and may also be an important control on the biogeochemistry of the water masses emanating from the Southern Ocean. Here we investigate the response of Zn and Ni and their isotopes to natural Fe fertilization from Southern Ocean islands, using samples collected during the KEOPS-2 (Oct–Nov 2011) program in the early austral spring near the Kerguelen plateau, Indian Sector of the Southern Ocean. Zinc and Ni concentrations show depth distributions and relationships to major nutrients that are very similar to published data from the Atlantic sector of the Southern Ocean, away from island fertilization. As in the Atlantic sector, and other regions outside the Southern Ocean, there is a slight minimum in δ 66 Zn at about 100–150 m depth and a slightly heavier value at the surface. At the KEOPS-2 sites, the light sub-surface Zn isotopes occur at the depth level where measured chl-a has declined to near zero. The heaviest Zn isotope values in either the Atlantic or Indian sectors occur in bottom waters, are associated with samples that show high dissolved Si relative to Zn. These latter represent possible evidence for a heavy input directly to deep water or from sediment, and the Zn-Si-δ 66 Zn systematics are consistent with a source in diatom opal. Nickel concentrations show much less variation than those of Zn, with the most depleted surface value only 15–20% lower than those in upwelled deep water in the Southern Ocean. These small variations in Ni concentration are associated with no significant variability in Ni isotopes, as also previously observed in the Atlantic sector. Overall, the key feature of the dataset is the apparent absence of any significant impact of natural Fe fertilization on the distribution of Zn and Ni, with the dominant control being the station location relative to the Polar Front in both the Atlantic and Indian sectors. Zinc and Ni isotopes are invariant in surface waters, whether inside or outside the fertilized zone and whether south or north of the Polar Front. This article is part of a special issue entitled: “Cycles of trace elements and isotopes in the ocean – GEOTRACES and beyond” - edited by Tim M. Conway, Tristan Horner, Yves Plan…","author":[{"dropping-particle":"","family":"Wang","given":"R. M.","non-dropping-particle":"","parse-names":false,"suffix":""},{"dropping-particle":"","family":"Archer","given":"C.","non-dropping-particle":"","parse-names":false,"suffix":""},{"dropping-particle":"","family":"Bowie","given":"A. R.","non-dropping-particle":"","parse-names":false,"suffix":""},{"dropping-particle":"","family":"Vance","given":"D.","non-dropping-particle":"","parse-names":false,"suffix":""}],"container-title":"Chemical Geology","id":"ITEM-1","issue":"128","issued":{"date-parts":[["2019"]]},"page":"452-464","publisher":"Elsevier","title":"Zinc and nickel isotopes in seawater from the Indian Sector of the Southern Ocean: The impact of natural iron fertilization versus Southern Ocean hydrography and biogeochemistry","type":"article-journal","volume":"511"},"uris":["http://www.mendeley.com/documents/?uuid=a99926b7-16aa-476a-b49d-3210be0f4f6b"]},{"id":"ITEM-2","itemData":{"DOI":"10.1016/j.gca.2013.12.007","ISSN":"0016-7037","author":[{"dropping-particle":"","family":"Cameron","given":"V","non-dropping-particle":"","parse-names":false,"suffix":""},{"dropping-particle":"","family":"Vance","given":"D","non-dropping-particle":"","parse-names":false,"suffix":""}],"container-title":"Geochimica et Cosmochimica Acta","id":"ITEM-2","issued":{"date-parts":[["2014"]]},"page":"195-211","publisher":"Elsevier Ltd","title":"Heavy nickel isotope compositions in rivers and the oceans","type":"article-journal","volume":"128"},"uris":["http://www.mendeley.com/documents/?uuid=e01e3a3c-054a-483f-abcc-8488e08ebe0f"]}],"mendeley":{"formattedCitation":"(Cameron and Vance, 2014; Wang et al., 2019)","plainTextFormattedCitation":"(Cameron and Vance, 2014; Wang et al., 2019)","previouslyFormattedCitation":"(Cameron and Vance, 2014; Wang et al., 2019)"},"properties":{"noteIndex":0},"schema":"https://github.com/citation-style-language/schema/raw/master/csl-citation.json"}</w:instrText>
      </w:r>
      <w:r w:rsidRPr="004C591B">
        <w:fldChar w:fldCharType="separate"/>
      </w:r>
      <w:r w:rsidRPr="004C591B">
        <w:rPr>
          <w:noProof/>
        </w:rPr>
        <w:t>(Cameron and Vance, 2014; Wang et al., 2019)</w:t>
      </w:r>
      <w:r w:rsidRPr="004C591B">
        <w:fldChar w:fldCharType="end"/>
      </w:r>
      <w:r w:rsidRPr="004C591B">
        <w:t>, so we assign them a δ</w:t>
      </w:r>
      <w:r w:rsidRPr="004C591B">
        <w:rPr>
          <w:vertAlign w:val="superscript"/>
        </w:rPr>
        <w:t>60</w:t>
      </w:r>
      <w:r w:rsidRPr="004C591B">
        <w:t xml:space="preserve">Ni value of +1.33 </w:t>
      </w:r>
      <w:r w:rsidRPr="004C591B">
        <w:rPr>
          <w:szCs w:val="24"/>
        </w:rPr>
        <w:t>‰ (world ocean average)</w:t>
      </w:r>
      <w:r w:rsidRPr="004C591B">
        <w:t xml:space="preserve">. In the low </w:t>
      </w:r>
      <w:r w:rsidRPr="004C591B">
        <w:lastRenderedPageBreak/>
        <w:t>latitude surface, existing data converge to a heavy δ</w:t>
      </w:r>
      <w:r w:rsidRPr="004C591B">
        <w:rPr>
          <w:vertAlign w:val="superscript"/>
        </w:rPr>
        <w:t>60</w:t>
      </w:r>
      <w:r w:rsidRPr="004C591B">
        <w:t xml:space="preserve">Ni value of ~+1.7 </w:t>
      </w:r>
      <w:r w:rsidRPr="004C591B">
        <w:rPr>
          <w:szCs w:val="24"/>
        </w:rPr>
        <w:t xml:space="preserve">‰ </w:t>
      </w:r>
      <w:r w:rsidRPr="004C591B">
        <w:fldChar w:fldCharType="begin" w:fldLock="1"/>
      </w:r>
      <w:r w:rsidRPr="004C591B">
        <w:instrText>ADDIN CSL_CITATION {"citationItems":[{"id":"ITEM-1","itemData":{"DOI":"10.1016/j.aca.2017.03.010","ISSN":"00032670","author":[{"dropping-particle":"","family":"Takano","given":"Shotaro","non-dropping-particle":"","parse-names":false,"suffix":""},{"dropping-particle":"","family":"Tanimizu","given":"Masaharu","non-dropping-particle":"","parse-names":false,"suffix":""},{"dropping-particle":"","family":"Hirata","given":"Takafumi","non-dropping-particle":"","parse-names":false,"suffix":""},{"dropping-particle":"","family":"Shin","given":"Ki-Cheol","non-dropping-particle":"","parse-names":false,"suffix":""},{"dropping-particle":"","family":"Fukami","given":"Yusuke","non-dropping-particle":"","parse-names":false,"suffix":""},{"dropping-particle":"","family":"Suzuki","given":"Katsuhiko","non-dropping-particle":"","parse-names":false,"suffix":""},{"dropping-particle":"","family":"Sohrin","given":"Yoshiki","non-dropping-particle":"","parse-names":false,"suffix":""}],"container-title":"Analytica Chimica Acta","id":"ITEM-1","issued":{"date-parts":[["2017"]]},"page":"1-11","publisher":"Elsevier Ltd","title":"A simple and rapid method for isotopic analysis of nickel, copper, and zinc in seawater using chelating extraction and anion exchange","type":"article-journal","volume":"967"},"uris":["http://www.mendeley.com/documents/?uuid=ee13dac0-1b6c-404b-b064-0f53026a7936"]},{"id":"ITEM-2","itemData":{"DOI":"10.1016/j.epsl.2020.116118","ISSN":"0012821X","abstract":"Nickel (Ni) is important for a number of enzymes in oceanic phytoplankton. It has received less attention than some other bioactive metals because it is not reduced to extremely low dissolved concentrations in the photic zone. However, there are strong indications in previous studies that this residual pool is not bio-available. Oceanic Ni isotope data are still scarce, but have great potential for understanding this issue, as well as for understanding the Ni mass balance of the oceans now and in the past. Here, we present new concentration and isotope data for the UK GEOTRACES section at 40°S in the Atlantic (GA10). Nickel concentration data show typical nutrient-like profiles, slightly modified by variable pre-formed concentrations in sub-surface water masses, e.g. North Atlantic Deep Water. Nickel isotopes, in common with findings in previous studies, are homogeneous beneath 500 m, at about +1.3‰ in δ60Ni, in samples with Ni concentrations above 3-3.5 nM. The surface South Atlantic, however, has concentrations below 3 nM, and shows significantly higher δ60Ni, up to +1.74‰, that are closely anti-correlated with Ni concentrations. The data for the deep South Atlantic dissolved pool, with a δ60Ni = 1.31 ± 0.12‰ (average and 2SD) confirm the homogeneity of the global deep ocean, which previous data demonstrate extends all the way to the surface in the upwelling zone of the Southern Ocean south of the Polar Front. This Ni isotope composition is significantly heavier than known inputs to the oceanic dissolved pool. This mass balance requires an isotopically light sink that may be represented by sedimentary Mn-oxide associated Ni. The magnitude of the isotope fractionation implied by the upper ocean data is not consistent with plausible potential abiotic removal processes. Rather, these data are best explained by biological uptake. However, consideration of the detailed relationships between Ni concentrations and isotope compositions requires that a substantial portion of the oceanic dissolved Ni pool is not bio-available. The data are consistent either with a small preference for the light isotope during uptake (about 0.1‰) or two distinct pools of dissolved Ni, one bio-available and one strongly bound in organic complexes, with limited isotopic exchange between them. Patterns of co-variation in Ni concentrations and isotopes with the major nutrients point to strong contrasts across the Polar Front of the Southern Ocean, contrasts that exhibit both similar…","author":[{"dropping-particle":"","family":"Archer","given":"Corey","non-dropping-particle":"","parse-names":false,"suffix":""},{"dropping-particle":"","family":"Vance","given":"Derek","non-dropping-particle":"","parse-names":false,"suffix":""},{"dropping-particle":"","family":"Milne","given":"Angela","non-dropping-particle":"","parse-names":false,"suffix":""},{"dropping-particle":"","family":"Lohan","given":"Maeve C.","non-dropping-particle":"","parse-names":false,"suffix":""}],"container-title":"Earth and Planetary Science Letters","id":"ITEM-2","issued":{"date-parts":[["2020"]]},"page":"116118","publisher":"Elsevier B.V.","title":"The oceanic biogeochemistry of nickel and its isotopes: New data from the South Atlantic and the Southern Ocean biogeochemical divide","type":"article-journal","volume":"535"},"uris":["http://www.mendeley.com/documents/?uuid=5c315aaa-b718-4884-a96c-f2f0925d4f36"]},{"id":"ITEM-3","itemData":{"DOI":"10.1016/j.chemgeo.2020.119662","ISSN":"00092541","abstract":"Nickel and copper are cofactors in key phytoplankton enzymes and the stable isotope composition of Ni and Cu (δ60Ni and δ65Cu) in seawater have the potential to identify major processes that influence their biogeochemistry. However, accurate analysis of δ60Ni and δ65Cu is challenging because of the difficulties in separating these metals from interfering elements in the seawater matrix. Here we report a fast and simple method for purification of Ni and Cu from seawater samples that is able to completely remove interfering elements Mn, Ti, Cr, and Fe. This method was verified by analyzing four reference materials that contain significant levels of interfering elements (powdered plankton, natural soils, and two marine sediments). Using this technique, we generated a dataset of 49 seawater δ60Ni and δ65Cu measurements from the upper water column of the North Pacific Ocean, which show preferential uptake of light Ni isotopes by phytoplankton (αbio-sw = 0.9997 ± 1) but no net fractionation of Cu isotopes. This new method simplifies treatment of seawater samples for Ni and Cu isotope analysis, enabling high-throughput investigations of δ60Ni and δ65Cu throughout the global ocean.","author":[{"dropping-particle":"","family":"Yang","given":"Shun Chung","non-dropping-particle":"","parse-names":false,"suffix":""},{"dropping-particle":"","family":"Hawco","given":"Nicholas J.","non-dropping-particle":"","parse-names":false,"suffix":""},{"dropping-particle":"","family":"Pinedo-González","given":"Paulina","non-dropping-particle":"","parse-names":false,"suffix":""},{"dropping-particle":"","family":"Bian","given":"Xiaopeng","non-dropping-particle":"","parse-names":false,"suffix":""},{"dropping-particle":"","family":"Huang","given":"Kuo-Fang","non-dropping-particle":"","parse-names":false,"suffix":""},{"dropping-particle":"","family":"Zhang","given":"Ruifeng","non-dropping-particle":"","parse-names":false,"suffix":""},{"dropping-particle":"","family":"John","given":"Seth G.","non-dropping-particle":"","parse-names":false,"suffix":""}],"container-title":"Chemical Geology","id":"ITEM-3","issued":{"date-parts":[["2020"]]},"page":"119662","title":"A new purification method for Ni and Cu stable isotopes in seawater provides evidence for widespread Ni isotope fractionation by phytoplankton in the North Pacific","type":"article-journal","volume":"547"},"uris":["http://www.mendeley.com/documents/?uuid=0c3536ef-18e0-443b-a3ed-95aa4d04c4f9"]},{"id":"ITEM-4","itemData":{"DOI":"10.1016/j.gca.2021.07.004","ISSN":"0016-7037","author":[{"dropping-particle":"","family":"Yang","given":"Shun-chung","non-dropping-particle":"","parse-names":false,"suffix":""},{"dropping-particle":"","family":"Kelly","given":"Rachel L","non-dropping-particle":"","parse-names":false,"suffix":""},{"dropping-particle":"","family":"Bian","given":"Xiaopeng","non-dropping-particle":"","parse-names":false,"suffix":""},{"dropping-particle":"","family":"Conway","given":"Tim M","non-dropping-particle":"","parse-names":false,"suffix":""},{"dropping-particle":"","family":"Huang","given":"Kuo-fang","non-dropping-particle":"","parse-names":false,"suffix":""},{"dropping-particle":"","family":"Ho","given":"Tung-yuan","non-dropping-particle":"","parse-names":false,"suffix":""},{"dropping-particle":"","family":"Neibauer","given":"Jacquelyn A","non-dropping-particle":"","parse-names":false,"suffix":""},{"dropping-particle":"","family":"Keil","given":"Richard G","non-dropping-particle":"","parse-names":false,"suffix":""},{"dropping-particle":"","family":"Moffett","given":"James W","non-dropping-particle":"","parse-names":false,"suffix":""},{"dropping-particle":"","family":"John","given":"Seth G","non-dropping-particle":"","parse-names":false,"suffix":""}],"container-title":"Geochimica et Cosmochimica Acta","id":"ITEM-4","issued":{"date-parts":[["2021"]]},"page":"235-250","publisher":"Elsevier Ltd","title":"Lack of redox cycling for nickel in the water column of the Eastern tropical north pacific oxygen deficient zone : Insight from dissolved and particulate nickel isotopes","type":"article-journal","volume":"309"},"uris":["http://www.mendeley.com/documents/?uuid=f98b254b-56ee-49b4-a816-0a78047e1816"]}],"mendeley":{"formattedCitation":"(Archer et al., 2020; Takano et al., 2017; Yang et al., 2021, 2020)","plainTextFormattedCitation":"(Archer et al., 2020; Takano et al., 2017; Yang et al., 2021, 2020)","previouslyFormattedCitation":"(Archer et al., 2020; Takano et al., 2017; Yang et al., 2021, 2020)"},"properties":{"noteIndex":0},"schema":"https://github.com/citation-style-language/schema/raw/master/csl-citation.json"}</w:instrText>
      </w:r>
      <w:r w:rsidRPr="004C591B">
        <w:fldChar w:fldCharType="separate"/>
      </w:r>
      <w:r w:rsidRPr="004C591B">
        <w:rPr>
          <w:noProof/>
        </w:rPr>
        <w:t>(Archer et al., 2020; Takano et al., 2017; Yang et al., 2021, 2020)</w:t>
      </w:r>
      <w:r w:rsidRPr="004C591B">
        <w:fldChar w:fldCharType="end"/>
      </w:r>
      <w:r w:rsidRPr="004C591B">
        <w:rPr>
          <w:szCs w:val="24"/>
        </w:rPr>
        <w:t xml:space="preserve">, which we assign to the surface low latitude patches in TMI. In the model we assume the uncertainty of the surface </w:t>
      </w:r>
      <w:r w:rsidRPr="004C591B">
        <w:t>δ</w:t>
      </w:r>
      <w:r w:rsidRPr="004C591B">
        <w:rPr>
          <w:vertAlign w:val="superscript"/>
        </w:rPr>
        <w:t>60</w:t>
      </w:r>
      <w:r w:rsidRPr="004C591B">
        <w:t xml:space="preserve">Ni boundary condition is ±0.07 </w:t>
      </w:r>
      <w:r w:rsidRPr="004C591B">
        <w:rPr>
          <w:szCs w:val="24"/>
        </w:rPr>
        <w:t>‰ (</w:t>
      </w:r>
      <w:r w:rsidRPr="004C591B">
        <w:t>2σ) which is our analytical error. This error is then propagated through the model (Fig. S1).</w:t>
      </w:r>
    </w:p>
    <w:p w14:paraId="2EF7ACEB" w14:textId="77777777" w:rsidR="005D45EC" w:rsidRPr="004C591B" w:rsidRDefault="005D45EC" w:rsidP="000E5187">
      <w:pPr>
        <w:spacing w:line="276" w:lineRule="auto"/>
        <w:jc w:val="both"/>
      </w:pPr>
      <w:r w:rsidRPr="004C591B">
        <w:t xml:space="preserve">We cannot explicitly model surface Ni biological cycling because TMI treats the surface as a boundary condition. However, we can add an interior biological cycling term by linking Ni </w:t>
      </w:r>
      <w:proofErr w:type="spellStart"/>
      <w:r w:rsidRPr="004C591B">
        <w:t>remineralisation</w:t>
      </w:r>
      <w:proofErr w:type="spellEnd"/>
      <w:r w:rsidRPr="004C591B">
        <w:t xml:space="preserve"> to that of PO</w:t>
      </w:r>
      <w:r w:rsidRPr="004C591B">
        <w:rPr>
          <w:vertAlign w:val="subscript"/>
        </w:rPr>
        <w:t>4</w:t>
      </w:r>
      <w:r w:rsidRPr="004C591B">
        <w:rPr>
          <w:vertAlign w:val="superscript"/>
        </w:rPr>
        <w:t>3-</w:t>
      </w:r>
      <w:r w:rsidRPr="004C591B">
        <w:t>:</w:t>
      </w:r>
    </w:p>
    <w:p w14:paraId="52E5CBF5" w14:textId="77777777" w:rsidR="00542A07" w:rsidRPr="004C591B" w:rsidRDefault="00542A07" w:rsidP="000E5187">
      <w:pPr>
        <w:spacing w:line="276" w:lineRule="auto"/>
        <w:jc w:val="both"/>
      </w:pPr>
    </w:p>
    <w:p w14:paraId="6EB18BA2" w14:textId="6C892809" w:rsidR="005D45EC" w:rsidRPr="004C591B" w:rsidRDefault="00760228" w:rsidP="000E5187">
      <w:pPr>
        <w:spacing w:line="276" w:lineRule="auto"/>
        <w:jc w:val="both"/>
      </w:pPr>
      <m:oMath>
        <m:sSub>
          <m:sSubPr>
            <m:ctrlPr>
              <w:rPr>
                <w:rFonts w:ascii="Cambria Math" w:hAnsi="Cambria Math"/>
                <w:i/>
              </w:rPr>
            </m:ctrlPr>
          </m:sSubPr>
          <m:e>
            <m:r>
              <w:rPr>
                <w:rFonts w:ascii="Cambria Math" w:hAnsi="Cambria Math"/>
              </w:rPr>
              <m:t>Ni</m:t>
            </m:r>
          </m:e>
          <m:sub>
            <m:r>
              <w:rPr>
                <w:rFonts w:ascii="Cambria Math" w:hAnsi="Cambria Math"/>
              </w:rPr>
              <m:t>bio</m:t>
            </m:r>
          </m:sub>
        </m:sSub>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m:t>
        </m:r>
        <m:sSub>
          <m:sSubPr>
            <m:ctrlPr>
              <w:rPr>
                <w:rFonts w:ascii="Cambria Math" w:hAnsi="Cambria Math"/>
                <w:i/>
              </w:rPr>
            </m:ctrlPr>
          </m:sSubPr>
          <m:e>
            <m:r>
              <w:rPr>
                <w:rFonts w:ascii="Cambria Math" w:hAnsi="Cambria Math"/>
              </w:rPr>
              <m:t>Ni</m:t>
            </m:r>
          </m:e>
          <m:sub>
            <m:r>
              <w:rPr>
                <w:rFonts w:ascii="Cambria Math" w:hAnsi="Cambria Math"/>
              </w:rPr>
              <m:t>b</m:t>
            </m:r>
          </m:sub>
        </m:sSub>
        <m:r>
          <w:rPr>
            <w:rFonts w:ascii="Cambria Math" w:hAnsi="Cambria Math"/>
          </w:rPr>
          <m:t>+ ∆</m:t>
        </m:r>
        <m:sSub>
          <m:sSubPr>
            <m:ctrlPr>
              <w:rPr>
                <w:rFonts w:ascii="Cambria Math" w:hAnsi="Cambria Math"/>
                <w:i/>
              </w:rPr>
            </m:ctrlPr>
          </m:sSubPr>
          <m:e>
            <m:r>
              <w:rPr>
                <w:rFonts w:ascii="Cambria Math" w:hAnsi="Cambria Math"/>
              </w:rPr>
              <m:t>PO</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Ni/PO4</m:t>
            </m:r>
          </m:sub>
        </m:sSub>
        <m:r>
          <w:rPr>
            <w:rFonts w:ascii="Cambria Math" w:hAnsi="Cambria Math"/>
          </w:rPr>
          <m:t>)</m:t>
        </m:r>
      </m:oMath>
      <w:r w:rsidR="005D45EC" w:rsidRPr="004C591B">
        <w:tab/>
      </w:r>
      <w:r w:rsidR="005D45EC" w:rsidRPr="004C591B">
        <w:tab/>
        <w:t>(4)</w:t>
      </w:r>
    </w:p>
    <w:p w14:paraId="54CE68DE" w14:textId="77777777" w:rsidR="00542A07" w:rsidRPr="004C591B" w:rsidRDefault="00542A07" w:rsidP="000E5187">
      <w:pPr>
        <w:spacing w:line="276" w:lineRule="auto"/>
        <w:jc w:val="both"/>
      </w:pPr>
    </w:p>
    <w:p w14:paraId="2C46C502" w14:textId="54D8E0BF" w:rsidR="005D45EC" w:rsidRPr="004C591B" w:rsidRDefault="00760228" w:rsidP="000E5187">
      <w:pPr>
        <w:spacing w:line="276" w:lineRule="auto"/>
        <w:jc w:val="both"/>
      </w:pPr>
      <m:oMath>
        <m:sSubSup>
          <m:sSubSupPr>
            <m:ctrlPr>
              <w:rPr>
                <w:rFonts w:ascii="Cambria Math" w:hAnsi="Cambria Math"/>
                <w:i/>
              </w:rPr>
            </m:ctrlPr>
          </m:sSubSupPr>
          <m:e>
            <m:r>
              <w:rPr>
                <w:rFonts w:ascii="Cambria Math" w:hAnsi="Cambria Math"/>
              </w:rPr>
              <m:t>Ni</m:t>
            </m:r>
          </m:e>
          <m:sub>
            <m:r>
              <w:rPr>
                <w:rFonts w:ascii="Cambria Math" w:hAnsi="Cambria Math"/>
              </w:rPr>
              <m:t>bio</m:t>
            </m:r>
          </m:sub>
          <m:sup>
            <m:r>
              <w:rPr>
                <w:rFonts w:ascii="Cambria Math" w:hAnsi="Cambria Math"/>
              </w:rPr>
              <m:t>60</m:t>
            </m:r>
          </m:sup>
        </m:sSubSup>
        <m:r>
          <w:rPr>
            <w:rFonts w:ascii="Cambria Math" w:hAnsi="Cambria Math"/>
          </w:rPr>
          <m:t xml:space="preserve">= </m:t>
        </m:r>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m:t>
        </m:r>
        <m:sSubSup>
          <m:sSubSupPr>
            <m:ctrlPr>
              <w:rPr>
                <w:rFonts w:ascii="Cambria Math" w:hAnsi="Cambria Math"/>
                <w:i/>
              </w:rPr>
            </m:ctrlPr>
          </m:sSubSupPr>
          <m:e>
            <m:r>
              <w:rPr>
                <w:rFonts w:ascii="Cambria Math" w:hAnsi="Cambria Math"/>
              </w:rPr>
              <m:t>Ni</m:t>
            </m:r>
          </m:e>
          <m:sub>
            <m:r>
              <w:rPr>
                <w:rFonts w:ascii="Cambria Math" w:hAnsi="Cambria Math"/>
              </w:rPr>
              <m:t>b</m:t>
            </m:r>
          </m:sub>
          <m:sup>
            <m:r>
              <w:rPr>
                <w:rFonts w:ascii="Cambria Math" w:hAnsi="Cambria Math"/>
              </w:rPr>
              <m:t>60</m:t>
            </m:r>
          </m:sup>
        </m:sSubSup>
        <m:r>
          <w:rPr>
            <w:rFonts w:ascii="Cambria Math" w:hAnsi="Cambria Math"/>
          </w:rPr>
          <m:t>+∆</m:t>
        </m:r>
        <m:sSub>
          <m:sSubPr>
            <m:ctrlPr>
              <w:rPr>
                <w:rFonts w:ascii="Cambria Math" w:hAnsi="Cambria Math"/>
                <w:i/>
              </w:rPr>
            </m:ctrlPr>
          </m:sSubPr>
          <m:e>
            <m:r>
              <w:rPr>
                <w:rFonts w:ascii="Cambria Math" w:hAnsi="Cambria Math"/>
              </w:rPr>
              <m:t>PO</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r</m:t>
            </m:r>
          </m:e>
          <m:sub>
            <m:sPre>
              <m:sPrePr>
                <m:ctrlPr>
                  <w:rPr>
                    <w:rFonts w:ascii="Cambria Math" w:hAnsi="Cambria Math"/>
                    <w:i/>
                  </w:rPr>
                </m:ctrlPr>
              </m:sPrePr>
              <m:sub>
                <m:r>
                  <w:rPr>
                    <w:rFonts w:ascii="Cambria Math" w:hAnsi="Cambria Math"/>
                  </w:rPr>
                  <m:t>.</m:t>
                </m:r>
              </m:sub>
              <m:sup>
                <m:r>
                  <w:rPr>
                    <w:rFonts w:ascii="Cambria Math" w:hAnsi="Cambria Math"/>
                  </w:rPr>
                  <m:t>60</m:t>
                </m:r>
              </m:sup>
              <m:e>
                <m:r>
                  <w:rPr>
                    <w:rFonts w:ascii="Cambria Math" w:hAnsi="Cambria Math"/>
                  </w:rPr>
                  <m:t>Ni/PO4</m:t>
                </m:r>
              </m:e>
            </m:sPre>
          </m:sub>
        </m:sSub>
        <m:r>
          <w:rPr>
            <w:rFonts w:ascii="Cambria Math" w:hAnsi="Cambria Math"/>
          </w:rPr>
          <m:t>)</m:t>
        </m:r>
      </m:oMath>
      <w:r w:rsidR="005D45EC" w:rsidRPr="004C591B">
        <w:t xml:space="preserve">  </w:t>
      </w:r>
      <w:r w:rsidR="005D45EC" w:rsidRPr="004C591B">
        <w:tab/>
        <w:t>(5)</w:t>
      </w:r>
    </w:p>
    <w:p w14:paraId="0D99F7F3" w14:textId="77777777" w:rsidR="00542A07" w:rsidRPr="004C591B" w:rsidRDefault="00542A07" w:rsidP="000E5187">
      <w:pPr>
        <w:spacing w:line="276" w:lineRule="auto"/>
        <w:jc w:val="both"/>
      </w:pPr>
    </w:p>
    <w:p w14:paraId="32009AA5" w14:textId="77777777" w:rsidR="005D45EC" w:rsidRPr="004C591B" w:rsidRDefault="005D45EC" w:rsidP="000E5187">
      <w:pPr>
        <w:spacing w:line="276" w:lineRule="auto"/>
        <w:jc w:val="both"/>
      </w:pPr>
      <w:proofErr w:type="gramStart"/>
      <w:r w:rsidRPr="004C591B">
        <w:t>where</w:t>
      </w:r>
      <w:proofErr w:type="gramEnd"/>
      <w:r w:rsidRPr="004C591B">
        <w:t xml:space="preserve"> ΔPO</w:t>
      </w:r>
      <w:r w:rsidRPr="004C591B">
        <w:rPr>
          <w:vertAlign w:val="subscript"/>
        </w:rPr>
        <w:t>4</w:t>
      </w:r>
      <w:r w:rsidRPr="004C591B">
        <w:t xml:space="preserve"> refers to the </w:t>
      </w:r>
      <w:proofErr w:type="spellStart"/>
      <w:r w:rsidRPr="004C591B">
        <w:t>remineralised</w:t>
      </w:r>
      <w:proofErr w:type="spellEnd"/>
      <w:r w:rsidRPr="004C591B">
        <w:t xml:space="preserve"> PO</w:t>
      </w:r>
      <w:r w:rsidRPr="004C591B">
        <w:rPr>
          <w:vertAlign w:val="subscript"/>
        </w:rPr>
        <w:t>4</w:t>
      </w:r>
      <w:r w:rsidRPr="004C591B">
        <w:rPr>
          <w:vertAlign w:val="superscript"/>
        </w:rPr>
        <w:t>3-</w:t>
      </w:r>
      <w:r w:rsidRPr="004C591B">
        <w:t xml:space="preserve"> determined by the TMI from PO</w:t>
      </w:r>
      <w:r w:rsidRPr="004C591B">
        <w:rPr>
          <w:vertAlign w:val="subscript"/>
        </w:rPr>
        <w:t>4</w:t>
      </w:r>
      <w:r w:rsidRPr="004C591B">
        <w:rPr>
          <w:vertAlign w:val="superscript"/>
        </w:rPr>
        <w:t>3-</w:t>
      </w:r>
      <w:r w:rsidRPr="004C591B">
        <w:t xml:space="preserve"> and O</w:t>
      </w:r>
      <w:r w:rsidRPr="004C591B">
        <w:rPr>
          <w:vertAlign w:val="subscript"/>
        </w:rPr>
        <w:t>2</w:t>
      </w:r>
      <w:r w:rsidRPr="004C591B">
        <w:t xml:space="preserve"> concentrations, </w:t>
      </w:r>
      <w:proofErr w:type="spellStart"/>
      <w:r w:rsidRPr="004C591B">
        <w:t>r</w:t>
      </w:r>
      <w:r w:rsidRPr="004C591B">
        <w:rPr>
          <w:vertAlign w:val="subscript"/>
        </w:rPr>
        <w:t>Ni</w:t>
      </w:r>
      <w:proofErr w:type="spellEnd"/>
      <w:r w:rsidRPr="004C591B">
        <w:rPr>
          <w:vertAlign w:val="subscript"/>
        </w:rPr>
        <w:t>/PO4</w:t>
      </w:r>
      <w:r w:rsidRPr="004C591B">
        <w:t xml:space="preserve"> and r</w:t>
      </w:r>
      <w:r w:rsidRPr="004C591B">
        <w:rPr>
          <w:vertAlign w:val="subscript"/>
        </w:rPr>
        <w:t>60Ni/PO4</w:t>
      </w:r>
      <w:r w:rsidRPr="004C591B">
        <w:t xml:space="preserve"> are the stoichiometric coefficients of Ni and </w:t>
      </w:r>
      <w:r w:rsidRPr="004C591B">
        <w:rPr>
          <w:vertAlign w:val="superscript"/>
        </w:rPr>
        <w:t>60</w:t>
      </w:r>
      <w:r w:rsidRPr="004C591B">
        <w:t>Ni to PO</w:t>
      </w:r>
      <w:r w:rsidRPr="004C591B">
        <w:rPr>
          <w:vertAlign w:val="subscript"/>
        </w:rPr>
        <w:t>4</w:t>
      </w:r>
      <w:r w:rsidRPr="004C591B">
        <w:rPr>
          <w:vertAlign w:val="superscript"/>
        </w:rPr>
        <w:t>3-</w:t>
      </w:r>
      <w:r w:rsidRPr="004C591B">
        <w:t xml:space="preserve">. In the high latitudes, we assign a value of 0.52 </w:t>
      </w:r>
      <w:proofErr w:type="spellStart"/>
      <w:r w:rsidRPr="004C591B">
        <w:t>mmol</w:t>
      </w:r>
      <w:proofErr w:type="spellEnd"/>
      <w:r w:rsidRPr="004C591B">
        <w:t>/</w:t>
      </w:r>
      <w:proofErr w:type="spellStart"/>
      <w:r w:rsidRPr="004C591B">
        <w:t>mol</w:t>
      </w:r>
      <w:proofErr w:type="spellEnd"/>
      <w:r w:rsidRPr="004C591B">
        <w:t xml:space="preserve"> to </w:t>
      </w:r>
      <w:proofErr w:type="spellStart"/>
      <w:r w:rsidRPr="004C591B">
        <w:t>r</w:t>
      </w:r>
      <w:r w:rsidRPr="004C591B">
        <w:rPr>
          <w:vertAlign w:val="subscript"/>
        </w:rPr>
        <w:t>Ni</w:t>
      </w:r>
      <w:proofErr w:type="spellEnd"/>
      <w:r w:rsidRPr="004C591B">
        <w:rPr>
          <w:vertAlign w:val="subscript"/>
        </w:rPr>
        <w:t>/PO4</w:t>
      </w:r>
      <w:r w:rsidRPr="004C591B">
        <w:t xml:space="preserve"> based on the Ni quota in diatoms, while in the low latitudes, we assign a value of 3.4 </w:t>
      </w:r>
      <w:proofErr w:type="spellStart"/>
      <w:r w:rsidRPr="004C591B">
        <w:t>mmol</w:t>
      </w:r>
      <w:proofErr w:type="spellEnd"/>
      <w:r w:rsidRPr="004C591B">
        <w:t>/</w:t>
      </w:r>
      <w:proofErr w:type="spellStart"/>
      <w:r w:rsidRPr="004C591B">
        <w:t>mol</w:t>
      </w:r>
      <w:proofErr w:type="spellEnd"/>
      <w:r w:rsidRPr="004C591B">
        <w:t xml:space="preserve"> to </w:t>
      </w:r>
      <w:proofErr w:type="spellStart"/>
      <w:r w:rsidRPr="004C591B">
        <w:t>r</w:t>
      </w:r>
      <w:r w:rsidRPr="004C591B">
        <w:rPr>
          <w:vertAlign w:val="subscript"/>
        </w:rPr>
        <w:t>Ni</w:t>
      </w:r>
      <w:proofErr w:type="spellEnd"/>
      <w:r w:rsidRPr="004C591B">
        <w:rPr>
          <w:vertAlign w:val="subscript"/>
        </w:rPr>
        <w:t>/PO4</w:t>
      </w:r>
      <w:r w:rsidRPr="004C591B">
        <w:t xml:space="preserve"> based on the Ni quota in cyanobacteria (</w:t>
      </w:r>
      <w:r w:rsidRPr="004C591B">
        <w:rPr>
          <w:szCs w:val="24"/>
        </w:rPr>
        <w:fldChar w:fldCharType="begin" w:fldLock="1"/>
      </w:r>
      <w:r w:rsidRPr="004C591B">
        <w:rPr>
          <w:szCs w:val="24"/>
        </w:rPr>
        <w:instrText>ADDIN CSL_CITATION {"citationItems":[{"id":"ITEM-1","itemData":{"DOI":"10.1029/2011GB004233","ISSN":"08866236","abstract":"Dissolved nickel (Ni) typically displays a nutrient-like vertical profile in the ocean, with lower concentrations in surface waters and higher concentrations in deep waters, similar to other micronutrient metals such as iron and zinc. Vertical profiles of Ni show particular similarities to profiles of the macronutrients phosphate and silicic acid, suggesting that diatoms play an important role in mediating the vertical distribution of this metal. We performed synchrotron x-ray fluorescence (SXRF) analysis on individual phytoplankton cells collected from stations in the equatorial Pacific Ocean and from nutrient-addition incubation experiments conducted on the same cruise. Diatoms were enriched in Ni twofold to fivefold relative to picoplankton and flagellated cells. Changes in cellular quotas of Si, P and Ni observed in diatoms growing in response to Fe and Si additions were used to estimate the Ni:P (0.520.10mmol/mol) and Ni:Si (2813mol/mol) ratios of internal biomass and the frustule, respectively. Elevated internal Ni:P suggests a heightened role for urease or the Ni isoform of superoxide dismutase in diatoms (similar to cyanobacteria), while Ni associated with the frustule appears to contribute an additional 50% of cellular Ni found in the diatoms. The derived Ni:Si ratio for frustule material is comparable to Ni:Si ratios in published nutrient profiles, confirming the dominant role that diatoms play in ocean Ni biogeochemistry. While a molecular explanation for the association of Ni with frustules remains to be determined, this study demonstrates the unique biogeochemical insight that can be gained from microanalytical element analysis. © 2012. American Geophysical Union. All Rights Reserved.","author":[{"dropping-particle":"","family":"Twining","given":"Benjamin S.","non-dropping-particle":"","parse-names":false,"suffix":""},{"dropping-particle":"","family":"Baines","given":"Stephen B.","non-dropping-particle":"","parse-names":false,"suffix":""},{"dropping-particle":"","family":"Vogt","given":"Stefan","non-dropping-particle":"","parse-names":false,"suffix":""},{"dropping-particle":"","family":"Nelson","given":"David M.","non-dropping-particle":"","parse-names":false,"suffix":""}],"container-title":"Global Biogeochemical Cycles","id":"ITEM-1","issue":"4","issued":{"date-parts":[["2012"]]},"page":"1-9","title":"Role of diatoms in nickel biogeochemistry in the ocean","type":"article-journal","volume":"26"},"uris":["http://www.mendeley.com/documents/?uuid=d0a6bebc-f425-4158-8459-097c60995693"]}],"mendeley":{"formattedCitation":"(Twining et al., 2012)","manualFormatting":"Twining et al., 2012)","plainTextFormattedCitation":"(Twining et al., 2012)","previouslyFormattedCitation":"(Twining et al., 2012)"},"properties":{"noteIndex":0},"schema":"https://github.com/citation-style-language/schema/raw/master/csl-citation.json"}</w:instrText>
      </w:r>
      <w:r w:rsidRPr="004C591B">
        <w:rPr>
          <w:szCs w:val="24"/>
        </w:rPr>
        <w:fldChar w:fldCharType="separate"/>
      </w:r>
      <w:r w:rsidRPr="004C591B">
        <w:rPr>
          <w:noProof/>
          <w:szCs w:val="24"/>
        </w:rPr>
        <w:t>Twining et al., 2012)</w:t>
      </w:r>
      <w:r w:rsidRPr="004C591B">
        <w:rPr>
          <w:szCs w:val="24"/>
        </w:rPr>
        <w:fldChar w:fldCharType="end"/>
      </w:r>
      <w:r w:rsidRPr="004C591B">
        <w:t xml:space="preserve">. In this way we try to simply capture the influence of the different ecosystems in the high and low latitude regions. For Ni isotopes, similar to equation (3) we have </w:t>
      </w:r>
    </w:p>
    <w:p w14:paraId="66C9DCF2" w14:textId="77777777" w:rsidR="00542A07" w:rsidRPr="004C591B" w:rsidRDefault="00542A07" w:rsidP="000E5187">
      <w:pPr>
        <w:spacing w:line="276" w:lineRule="auto"/>
        <w:jc w:val="both"/>
      </w:pPr>
    </w:p>
    <w:p w14:paraId="5C397944" w14:textId="53388202" w:rsidR="005D45EC" w:rsidRPr="004C591B" w:rsidRDefault="00CA63E0" w:rsidP="000E5187">
      <w:pPr>
        <w:spacing w:line="276" w:lineRule="auto"/>
        <w:jc w:val="both"/>
      </w:pPr>
      <w:r w:rsidRPr="004C591B">
        <w:rPr>
          <w:noProof/>
          <w:position w:val="-32"/>
        </w:rPr>
        <w:object w:dxaOrig="4420" w:dyaOrig="760" w14:anchorId="12A02A84">
          <v:shape id="_x0000_i1026" type="#_x0000_t75" alt="" style="width:221.2pt;height:38pt;mso-width-percent:0;mso-height-percent:0;mso-width-percent:0;mso-height-percent:0" o:ole="">
            <v:imagedata r:id="rId10" o:title=""/>
          </v:shape>
          <o:OLEObject Type="Embed" ProgID="Equation.DSMT4" ShapeID="_x0000_i1026" DrawAspect="Content" ObjectID="_1708952639" r:id="rId11"/>
        </w:object>
      </w:r>
      <w:r w:rsidR="006A755B" w:rsidRPr="004C591B">
        <w:t xml:space="preserve">         </w:t>
      </w:r>
      <w:r w:rsidR="005D45EC" w:rsidRPr="004C591B">
        <w:t xml:space="preserve"> (6)</w:t>
      </w:r>
    </w:p>
    <w:p w14:paraId="692E2E8A" w14:textId="77777777" w:rsidR="00542A07" w:rsidRPr="004C591B" w:rsidRDefault="00542A07" w:rsidP="000E5187">
      <w:pPr>
        <w:spacing w:line="276" w:lineRule="auto"/>
        <w:jc w:val="both"/>
      </w:pPr>
    </w:p>
    <w:p w14:paraId="3F719797" w14:textId="23EE10ED" w:rsidR="005D45EC" w:rsidRPr="004C591B" w:rsidRDefault="005D45EC" w:rsidP="00542A07">
      <w:pPr>
        <w:pStyle w:val="SMHeading"/>
        <w:spacing w:before="0" w:line="276" w:lineRule="auto"/>
        <w:jc w:val="both"/>
        <w:rPr>
          <w:b w:val="0"/>
        </w:rPr>
      </w:pPr>
      <w:proofErr w:type="gramStart"/>
      <w:r w:rsidRPr="004C591B">
        <w:rPr>
          <w:b w:val="0"/>
        </w:rPr>
        <w:t>where</w:t>
      </w:r>
      <w:proofErr w:type="gramEnd"/>
      <w:r w:rsidRPr="004C591B">
        <w:rPr>
          <w:b w:val="0"/>
        </w:rPr>
        <w:t xml:space="preserve"> δ</w:t>
      </w:r>
      <w:r w:rsidRPr="004C591B">
        <w:rPr>
          <w:b w:val="0"/>
          <w:vertAlign w:val="superscript"/>
        </w:rPr>
        <w:t>60</w:t>
      </w:r>
      <w:r w:rsidRPr="004C591B">
        <w:rPr>
          <w:b w:val="0"/>
        </w:rPr>
        <w:t>Ni</w:t>
      </w:r>
      <w:r w:rsidRPr="004C591B">
        <w:rPr>
          <w:b w:val="0"/>
          <w:vertAlign w:val="subscript"/>
        </w:rPr>
        <w:t>r</w:t>
      </w:r>
      <w:r w:rsidRPr="004C591B">
        <w:rPr>
          <w:b w:val="0"/>
        </w:rPr>
        <w:t xml:space="preserve"> is the isotope composition of </w:t>
      </w:r>
      <w:proofErr w:type="spellStart"/>
      <w:r w:rsidRPr="004C591B">
        <w:rPr>
          <w:b w:val="0"/>
        </w:rPr>
        <w:t>remineralised</w:t>
      </w:r>
      <w:proofErr w:type="spellEnd"/>
      <w:r w:rsidRPr="004C591B">
        <w:rPr>
          <w:b w:val="0"/>
        </w:rPr>
        <w:t xml:space="preserve"> Ni.</w:t>
      </w:r>
    </w:p>
    <w:p w14:paraId="1BC943DB" w14:textId="77777777" w:rsidR="009A1D87" w:rsidRPr="004C591B" w:rsidRDefault="009A1D87" w:rsidP="00542A07">
      <w:pPr>
        <w:pStyle w:val="SMHeading"/>
        <w:spacing w:before="0" w:line="276" w:lineRule="auto"/>
        <w:jc w:val="both"/>
        <w:rPr>
          <w:b w:val="0"/>
        </w:rPr>
      </w:pPr>
    </w:p>
    <w:p w14:paraId="6BB257CE" w14:textId="2A101060" w:rsidR="005D45EC" w:rsidRPr="004C591B" w:rsidRDefault="009A1D87" w:rsidP="000E5187">
      <w:pPr>
        <w:pStyle w:val="SMHeading"/>
        <w:spacing w:line="276" w:lineRule="auto"/>
        <w:jc w:val="both"/>
        <w:rPr>
          <w:b w:val="0"/>
          <w:szCs w:val="20"/>
        </w:rPr>
        <w:sectPr w:rsidR="005D45EC" w:rsidRPr="004C591B" w:rsidSect="004211A9">
          <w:footerReference w:type="default" r:id="rId12"/>
          <w:pgSz w:w="12240" w:h="15840"/>
          <w:pgMar w:top="1440" w:right="1800" w:bottom="1440" w:left="1800" w:header="720" w:footer="720" w:gutter="0"/>
          <w:cols w:space="720"/>
          <w:docGrid w:linePitch="360"/>
        </w:sectPr>
      </w:pPr>
      <w:r w:rsidRPr="004C591B">
        <w:rPr>
          <w:b w:val="0"/>
        </w:rPr>
        <w:t xml:space="preserve">Model results generally reproduce the structure of the observations (Fig. 2; Figs. S1, S5). </w:t>
      </w:r>
      <w:r w:rsidR="005D45EC" w:rsidRPr="004C591B">
        <w:rPr>
          <w:b w:val="0"/>
        </w:rPr>
        <w:t>The root-mean square error (RMSE) of modelled δ</w:t>
      </w:r>
      <w:r w:rsidR="005D45EC" w:rsidRPr="004C591B">
        <w:rPr>
          <w:b w:val="0"/>
          <w:vertAlign w:val="superscript"/>
        </w:rPr>
        <w:t>60</w:t>
      </w:r>
      <w:r w:rsidR="005D45EC" w:rsidRPr="004C591B">
        <w:rPr>
          <w:b w:val="0"/>
        </w:rPr>
        <w:t>Ni compares very well to the analytical error on isotope measurements (0.09 and 0.07</w:t>
      </w:r>
      <w:r w:rsidR="00A70655" w:rsidRPr="004C591B">
        <w:rPr>
          <w:b w:val="0"/>
        </w:rPr>
        <w:t xml:space="preserve"> </w:t>
      </w:r>
      <w:r w:rsidR="005D45EC" w:rsidRPr="004C591B">
        <w:rPr>
          <w:b w:val="0"/>
        </w:rPr>
        <w:t xml:space="preserve">‰, respectively; n=308). The RMSE of modelled Ni concentration, of 1.44 </w:t>
      </w:r>
      <w:proofErr w:type="spellStart"/>
      <w:r w:rsidR="005D45EC" w:rsidRPr="004C591B">
        <w:rPr>
          <w:b w:val="0"/>
        </w:rPr>
        <w:t>nmol</w:t>
      </w:r>
      <w:proofErr w:type="spellEnd"/>
      <w:r w:rsidR="005D45EC" w:rsidRPr="004C591B">
        <w:rPr>
          <w:b w:val="0"/>
        </w:rPr>
        <w:t xml:space="preserve">/L, is computed against all the data in IDP2021 </w:t>
      </w:r>
      <w:r w:rsidR="005D45EC" w:rsidRPr="004C591B">
        <w:rPr>
          <w:b w:val="0"/>
        </w:rPr>
        <w:fldChar w:fldCharType="begin" w:fldLock="1"/>
      </w:r>
      <w:r w:rsidR="005D45EC" w:rsidRPr="004C591B">
        <w:rPr>
          <w:b w:val="0"/>
        </w:rPr>
        <w:instrText>ADDIN CSL_CITATION {"citationItems":[{"id":"ITEM-1","itemData":{"DOI":"doi:10.5285/cf2d9ba9-d51d-3b7c-e053-8486abc0f5fd","author":[{"dropping-particle":"","family":"GEOTRACES Intermediate Data Product Group","given":"","non-dropping-particle":"","parse-names":false,"suffix":""}],"container-title":"NERC EDS British Oceanographic Data Centre NOC.","id":"ITEM-1","issued":{"date-parts":[["2021"]]},"title":"The GEOTRACES GEOTRACES Intermediate Data Product 2021 (IDP2021)","type":"article-journal"},"uris":["http://www.mendeley.com/documents/?uuid=499f8d6e-6366-4e31-b3e8-13b87e7246f7"]}],"mendeley":{"formattedCitation":"(GEOTRACES Intermediate Data Product Group, 2021)","manualFormatting":"(n=8426; GEOTRACES Intermediate Data Product Group, 2021)","plainTextFormattedCitation":"(GEOTRACES Intermediate Data Product Group, 2021)","previouslyFormattedCitation":"(GEOTRACES Intermediate Data Product Group, 2021)"},"properties":{"noteIndex":0},"schema":"https://github.com/citation-style-language/schema/raw/master/csl-citation.json"}</w:instrText>
      </w:r>
      <w:r w:rsidR="005D45EC" w:rsidRPr="004C591B">
        <w:rPr>
          <w:b w:val="0"/>
        </w:rPr>
        <w:fldChar w:fldCharType="separate"/>
      </w:r>
      <w:r w:rsidR="005D45EC" w:rsidRPr="004C591B">
        <w:rPr>
          <w:b w:val="0"/>
          <w:noProof/>
        </w:rPr>
        <w:t>(n=8426; GEOTRACES Intermediate Data Product Group, 2021)</w:t>
      </w:r>
      <w:r w:rsidR="005D45EC" w:rsidRPr="004C591B">
        <w:rPr>
          <w:b w:val="0"/>
        </w:rPr>
        <w:fldChar w:fldCharType="end"/>
      </w:r>
      <w:r w:rsidR="005D45EC" w:rsidRPr="004C591B">
        <w:rPr>
          <w:b w:val="0"/>
        </w:rPr>
        <w:t>, i.e. representing much more data than we use for δ</w:t>
      </w:r>
      <w:r w:rsidR="005D45EC" w:rsidRPr="004C591B">
        <w:rPr>
          <w:b w:val="0"/>
          <w:vertAlign w:val="superscript"/>
        </w:rPr>
        <w:t>60</w:t>
      </w:r>
      <w:r w:rsidR="005D45EC" w:rsidRPr="004C591B">
        <w:rPr>
          <w:b w:val="0"/>
        </w:rPr>
        <w:t xml:space="preserve">Ni. This error is relatively high because the model underestimates Ni concentrations in the deep Pacific. The error can be reduced, if we use </w:t>
      </w:r>
      <w:proofErr w:type="gramStart"/>
      <w:r w:rsidR="005D45EC" w:rsidRPr="004C591B">
        <w:rPr>
          <w:b w:val="0"/>
        </w:rPr>
        <w:t>a</w:t>
      </w:r>
      <w:proofErr w:type="gramEnd"/>
      <w:r w:rsidR="005D45EC" w:rsidRPr="004C591B">
        <w:rPr>
          <w:b w:val="0"/>
        </w:rPr>
        <w:t xml:space="preserve"> </w:t>
      </w:r>
      <w:proofErr w:type="spellStart"/>
      <w:r w:rsidR="005D45EC" w:rsidRPr="004C591B">
        <w:rPr>
          <w:b w:val="0"/>
        </w:rPr>
        <w:t>r</w:t>
      </w:r>
      <w:r w:rsidR="005D45EC" w:rsidRPr="004C591B">
        <w:rPr>
          <w:b w:val="0"/>
          <w:vertAlign w:val="subscript"/>
        </w:rPr>
        <w:t>Ni</w:t>
      </w:r>
      <w:proofErr w:type="spellEnd"/>
      <w:r w:rsidR="005D45EC" w:rsidRPr="004C591B">
        <w:rPr>
          <w:b w:val="0"/>
          <w:vertAlign w:val="subscript"/>
        </w:rPr>
        <w:t>/PO4</w:t>
      </w:r>
      <w:r w:rsidR="005D45EC" w:rsidRPr="004C591B">
        <w:rPr>
          <w:b w:val="0"/>
        </w:rPr>
        <w:t xml:space="preserve"> ratio higher than the reported cyanobacterial Ni quota which will increase the amount of </w:t>
      </w:r>
      <w:proofErr w:type="spellStart"/>
      <w:r w:rsidR="005D45EC" w:rsidRPr="004C591B">
        <w:rPr>
          <w:b w:val="0"/>
        </w:rPr>
        <w:t>remineralised</w:t>
      </w:r>
      <w:proofErr w:type="spellEnd"/>
      <w:r w:rsidR="005D45EC" w:rsidRPr="004C591B">
        <w:rPr>
          <w:b w:val="0"/>
        </w:rPr>
        <w:t xml:space="preserve"> Ni. Alternatively, there may be a benthic source of Ni from the sediments that is not included in the model </w:t>
      </w:r>
      <w:r w:rsidR="005D45EC" w:rsidRPr="004C591B">
        <w:rPr>
          <w:b w:val="0"/>
        </w:rPr>
        <w:fldChar w:fldCharType="begin" w:fldLock="1"/>
      </w:r>
      <w:r w:rsidR="005D45EC" w:rsidRPr="004C591B">
        <w:rPr>
          <w:b w:val="0"/>
        </w:rPr>
        <w:instrText>ADDIN CSL_CITATION {"citationItems":[{"id":"ITEM-1","itemData":{"DOI":"10.1016/j.epsl.2020.116461","ISSN":"0012821X","abstract":"Nickel isotopes are a novel and promising tracer of the chemistry of past ocean environments, but realisation of this tracer's potential requires a comprehensive understanding of the controls on Ni burial in the marine sedimentary archive. An outstanding puzzle in the marine budget of Ni, first recognised in the 1970s, is a major imbalance in the known inputs and outputs to and from the ocean: the sedimentary outputs of Ni are much larger than the inputs (rivers, dust). Much more recently, it has also been recognised that the outputs are also considerably isotopically heavier than the inputs. In this study, we find light Ni isotope compositions (δ60NiNIST SRM986 = −0.2 to −0.8‰) for Mn-rich sediments from the eastern Pacific compared to Fe-Mn crusts (at about +1.6‰). These data suggest that diagenetic remobilisation of isotopically heavy Ni leads to a significant benthic Ni flux (estimated at 0.6−2.3×108 mol/yr), similar in magnitude to the riverine flux, to the ocean. Diagenetic remobilisation of Ni may occur either via cycles of Mn-oxide dissolution and precipitation, with associated Ni sorption and release, or during mineralogical transformation of birnessite to todorokite. A minor role for retention of isotopically light Ni by Fe oxides or Fe-rich authigenic clays is also proposed. Overall, a benthic flux of isotopically heavy Ni (at about +3‰) can balance the marine Ni budget, pinpointing diagenesis as a key missing piece of the Ni puzzle.","author":[{"dropping-particle":"","family":"Little","given":"S. H.","non-dropping-particle":"","parse-names":false,"suffix":""},{"dropping-particle":"","family":"Archer","given":"C.","non-dropping-particle":"","parse-names":false,"suffix":""},{"dropping-particle":"","family":"McManus","given":"J.","non-dropping-particle":"","parse-names":false,"suffix":""},{"dropping-particle":"","family":"Najorka","given":"J.","non-dropping-particle":"","parse-names":false,"suffix":""},{"dropping-particle":"V.","family":"Wegorzewski","given":"A.","non-dropping-particle":"","parse-names":false,"suffix":""},{"dropping-particle":"","family":"Vance","given":"D.","non-dropping-particle":"","parse-names":false,"suffix":""}],"container-title":"Earth and Planetary Science Letters","id":"ITEM-1","issued":{"date-parts":[["2020"]]},"page":"116461","title":"Towards balancing the oceanic Ni budget","type":"article-journal","volume":"547"},"uris":["http://www.mendeley.com/documents/?uuid=ee8b6ed3-8a98-4645-af02-0734c80ac0e8"]},{"id":"ITEM-2","itemData":{"DOI":"10.1016/j.chemgeo.2020.120050","ISSN":"00092541","abstract":"We investigated Ni isotopes in a stratigraphic sequence of pelagic clays collected during ODP core leg 185 on site 1149 in Western Pacific Ocean near the Izu-Bonin subduction trench in order to determine the Ni isotope composition of the authigenic Mn-oxides sink and evaluate the composition of the diagenetic Ni input flux. This predominant oxic sink likely controls the Ni isotope budget in modern oceans. The sequence presented here is a 170 m-thick sequence of pelagic sediments deposited on some of the oldest oceanic crust of the seafloor, and the base was dated at 104 Ma. Nickel isotope values (δ60/58Ni relative to NIST SRM 986) vary in the range of 0.04 ± 0.04 to 1.03 ± 0.03‰. There is a trend between depth in the stratigraphic sequence and increasing Mn/Fe, Mn/Al, higher Ni concentration and heavier Ni isotope values. This trend is accounted for by authigenic Mn-oxyhdroxides precipitation in the sediment and scavenging of dissolved metals in the sediment porewaters. This indicates that authigenic oxide minerals in deep-sea pelagic clays are a relevant sink for Ni in modern oceans. Results enable us to determine the authigenic oxic output flux of 3.58 × 108 mol/yr of Ni with a Ni isotope composition of 1.2‰, this oxic output is ~0.4‰ lighter than the oxic output flux in Fe[sbnd]Mn crusts and nodules. This study shows that Ni isotope variations along the stratigraphic sequence could be the result of mixing between a pure pelagic clays end-member at ~0.1‰ and a pure Mn-oxyhydroxides end-member at ~1.2‰. We suggest that to keep the system at steady-state conditions the oxic output flux is compensated for by a diagenetic input flux of 3.7 × 108 mol/yr which is characterized by a highly fractionated Ni isotope composition of ~2.9‰.","author":[{"dropping-particle":"","family":"Gueguen","given":"Bleuenn","non-dropping-particle":"","parse-names":false,"suffix":""},{"dropping-particle":"","family":"Rouxel","given":"Olivier","non-dropping-particle":"","parse-names":false,"suffix":""}],"container-title":"Chemical Geology","id":"ITEM-2","issue":"December 2020","issued":{"date-parts":[["2021"]]},"page":"120050","title":"The Nickel isotope composition of the authigenic sink and the diagenetic flux in modern oceans","type":"article-journal","volume":"563"},"uris":["http://www.mendeley.com/documents/?uuid=b20ed2a3-384f-4832-85f5-4b72d5d1b70e"]}],"mendeley":{"formattedCitation":"(Gueguen and Rouxel, 2021; Little et al., 2020)","manualFormatting":"(Little et al., 2020; Gueguen and Rouxel, 2021)","plainTextFormattedCitation":"(Gueguen and Rouxel, 2021; Little et al., 2020)","previouslyFormattedCitation":"(Gueguen and Rouxel, 2021; Little et al., 2020)"},"properties":{"noteIndex":0},"schema":"https://github.com/citation-style-language/schema/raw/master/csl-citation.json"}</w:instrText>
      </w:r>
      <w:r w:rsidR="005D45EC" w:rsidRPr="004C591B">
        <w:rPr>
          <w:b w:val="0"/>
        </w:rPr>
        <w:fldChar w:fldCharType="separate"/>
      </w:r>
      <w:r w:rsidR="005D45EC" w:rsidRPr="004C591B">
        <w:rPr>
          <w:b w:val="0"/>
          <w:noProof/>
        </w:rPr>
        <w:t>(Little et al., 2020; Gueguen and Rouxel, 2021)</w:t>
      </w:r>
      <w:r w:rsidR="005D45EC" w:rsidRPr="004C591B">
        <w:rPr>
          <w:b w:val="0"/>
        </w:rPr>
        <w:fldChar w:fldCharType="end"/>
      </w:r>
      <w:r w:rsidR="005D45EC" w:rsidRPr="004C591B">
        <w:rPr>
          <w:b w:val="0"/>
        </w:rPr>
        <w:t>. Along the GEOVIDE transect, modelled Ni concentrations are underestimated at depths of 100–400</w:t>
      </w:r>
      <w:r w:rsidR="00A70655" w:rsidRPr="004C591B">
        <w:rPr>
          <w:b w:val="0"/>
        </w:rPr>
        <w:t xml:space="preserve"> </w:t>
      </w:r>
      <w:r w:rsidR="005D45EC" w:rsidRPr="004C591B">
        <w:rPr>
          <w:b w:val="0"/>
        </w:rPr>
        <w:t>m and 4000–4500</w:t>
      </w:r>
      <w:r w:rsidR="00A70655" w:rsidRPr="004C591B">
        <w:rPr>
          <w:b w:val="0"/>
        </w:rPr>
        <w:t xml:space="preserve"> </w:t>
      </w:r>
      <w:r w:rsidR="005D45EC" w:rsidRPr="004C591B">
        <w:rPr>
          <w:b w:val="0"/>
        </w:rPr>
        <w:t xml:space="preserve">m in low latitude waters, with the latter depth range subject to Southern Ocean influence (Fig. 2a). Modelled Ni concentrations are also generally </w:t>
      </w:r>
      <w:r w:rsidR="005D45EC" w:rsidRPr="004C591B">
        <w:rPr>
          <w:b w:val="0"/>
        </w:rPr>
        <w:lastRenderedPageBreak/>
        <w:t xml:space="preserve">overestimated for the high latitude North Atlantic (Fig. 2c). This data-model difference likely stems from our assumption that uptake in the entire high latitude ocean has the same </w:t>
      </w:r>
      <w:proofErr w:type="spellStart"/>
      <w:r w:rsidR="005D45EC" w:rsidRPr="004C591B">
        <w:rPr>
          <w:b w:val="0"/>
        </w:rPr>
        <w:t>r</w:t>
      </w:r>
      <w:r w:rsidR="005D45EC" w:rsidRPr="004C591B">
        <w:rPr>
          <w:b w:val="0"/>
          <w:vertAlign w:val="subscript"/>
        </w:rPr>
        <w:t>Ni</w:t>
      </w:r>
      <w:proofErr w:type="spellEnd"/>
      <w:r w:rsidR="005D45EC" w:rsidRPr="004C591B">
        <w:rPr>
          <w:b w:val="0"/>
          <w:vertAlign w:val="subscript"/>
        </w:rPr>
        <w:t>/PO4</w:t>
      </w:r>
      <w:r w:rsidR="005D45EC" w:rsidRPr="004C591B">
        <w:rPr>
          <w:b w:val="0"/>
        </w:rPr>
        <w:t xml:space="preserve"> ratio of 0.52 </w:t>
      </w:r>
      <w:proofErr w:type="spellStart"/>
      <w:r w:rsidR="005D45EC" w:rsidRPr="004C591B">
        <w:rPr>
          <w:b w:val="0"/>
        </w:rPr>
        <w:t>mmol</w:t>
      </w:r>
      <w:proofErr w:type="spellEnd"/>
      <w:r w:rsidR="005D45EC" w:rsidRPr="004C591B">
        <w:rPr>
          <w:b w:val="0"/>
        </w:rPr>
        <w:t>/</w:t>
      </w:r>
      <w:proofErr w:type="spellStart"/>
      <w:r w:rsidR="005D45EC" w:rsidRPr="004C591B">
        <w:rPr>
          <w:b w:val="0"/>
        </w:rPr>
        <w:t>mol</w:t>
      </w:r>
      <w:proofErr w:type="spellEnd"/>
      <w:r w:rsidR="005D45EC" w:rsidRPr="004C591B">
        <w:rPr>
          <w:b w:val="0"/>
        </w:rPr>
        <w:t xml:space="preserve"> based on reported diatom Ni quotas </w:t>
      </w:r>
      <w:r w:rsidR="005D45EC" w:rsidRPr="004C591B">
        <w:rPr>
          <w:b w:val="0"/>
        </w:rPr>
        <w:fldChar w:fldCharType="begin" w:fldLock="1"/>
      </w:r>
      <w:r w:rsidR="005D45EC" w:rsidRPr="004C591B">
        <w:rPr>
          <w:b w:val="0"/>
        </w:rPr>
        <w:instrText>ADDIN CSL_CITATION {"citationItems":[{"id":"ITEM-1","itemData":{"DOI":"10.1029/2011GB004233","ISSN":"08866236","abstract":"Dissolved nickel (Ni) typically displays a nutrient-like vertical profile in the ocean, with lower concentrations in surface waters and higher concentrations in deep waters, similar to other micronutrient metals such as iron and zinc. Vertical profiles of Ni show particular similarities to profiles of the macronutrients phosphate and silicic acid, suggesting that diatoms play an important role in mediating the vertical distribution of this metal. We performed synchrotron x-ray fluorescence (SXRF) analysis on individual phytoplankton cells collected from stations in the equatorial Pacific Ocean and from nutrient-addition incubation experiments conducted on the same cruise. Diatoms were enriched in Ni twofold to fivefold relative to picoplankton and flagellated cells. Changes in cellular quotas of Si, P and Ni observed in diatoms growing in response to Fe and Si additions were used to estimate the Ni:P (0.520.10mmol/mol) and Ni:Si (2813mol/mol) ratios of internal biomass and the frustule, respectively. Elevated internal Ni:P suggests a heightened role for urease or the Ni isoform of superoxide dismutase in diatoms (similar to cyanobacteria), while Ni associated with the frustule appears to contribute an additional 50% of cellular Ni found in the diatoms. The derived Ni:Si ratio for frustule material is comparable to Ni:Si ratios in published nutrient profiles, confirming the dominant role that diatoms play in ocean Ni biogeochemistry. While a molecular explanation for the association of Ni with frustules remains to be determined, this study demonstrates the unique biogeochemical insight that can be gained from microanalytical element analysis. © 2012. American Geophysical Union. All Rights Reserved.","author":[{"dropping-particle":"","family":"Twining","given":"Benjamin S.","non-dropping-particle":"","parse-names":false,"suffix":""},{"dropping-particle":"","family":"Baines","given":"Stephen B.","non-dropping-particle":"","parse-names":false,"suffix":""},{"dropping-particle":"","family":"Vogt","given":"Stefan","non-dropping-particle":"","parse-names":false,"suffix":""},{"dropping-particle":"","family":"Nelson","given":"David M.","non-dropping-particle":"","parse-names":false,"suffix":""}],"container-title":"Global Biogeochemical Cycles","id":"ITEM-1","issue":"4","issued":{"date-parts":[["2012"]]},"page":"1-9","title":"Role of diatoms in nickel biogeochemistry in the ocean","type":"article-journal","volume":"26"},"uris":["http://www.mendeley.com/documents/?uuid=d0a6bebc-f425-4158-8459-097c60995693"]}],"mendeley":{"formattedCitation":"(Twining et al., 2012)","plainTextFormattedCitation":"(Twining et al., 2012)","previouslyFormattedCitation":"(Twining et al., 2012)"},"properties":{"noteIndex":0},"schema":"https://github.com/citation-style-language/schema/raw/master/csl-citation.json"}</w:instrText>
      </w:r>
      <w:r w:rsidR="005D45EC" w:rsidRPr="004C591B">
        <w:rPr>
          <w:b w:val="0"/>
        </w:rPr>
        <w:fldChar w:fldCharType="separate"/>
      </w:r>
      <w:r w:rsidR="005D45EC" w:rsidRPr="004C591B">
        <w:rPr>
          <w:b w:val="0"/>
          <w:noProof/>
        </w:rPr>
        <w:t>(Twining et al., 2012)</w:t>
      </w:r>
      <w:r w:rsidR="005D45EC" w:rsidRPr="004C591B">
        <w:rPr>
          <w:b w:val="0"/>
        </w:rPr>
        <w:fldChar w:fldCharType="end"/>
      </w:r>
      <w:r w:rsidR="005D45EC" w:rsidRPr="004C591B">
        <w:rPr>
          <w:b w:val="0"/>
        </w:rPr>
        <w:t xml:space="preserve">, almost certainly an over-simplification. The data-model difference can be reduced by increasing the </w:t>
      </w:r>
      <w:proofErr w:type="spellStart"/>
      <w:r w:rsidR="005D45EC" w:rsidRPr="004C591B">
        <w:rPr>
          <w:b w:val="0"/>
        </w:rPr>
        <w:t>r</w:t>
      </w:r>
      <w:r w:rsidR="005D45EC" w:rsidRPr="004C591B">
        <w:rPr>
          <w:b w:val="0"/>
          <w:vertAlign w:val="subscript"/>
        </w:rPr>
        <w:t>Ni</w:t>
      </w:r>
      <w:proofErr w:type="spellEnd"/>
      <w:r w:rsidR="005D45EC" w:rsidRPr="004C591B">
        <w:rPr>
          <w:b w:val="0"/>
          <w:vertAlign w:val="subscript"/>
        </w:rPr>
        <w:t>/PO4</w:t>
      </w:r>
      <w:r w:rsidR="005D45EC" w:rsidRPr="004C591B">
        <w:rPr>
          <w:b w:val="0"/>
        </w:rPr>
        <w:t xml:space="preserve"> ratio in the Southern Ocean while decreasing the </w:t>
      </w:r>
      <w:proofErr w:type="spellStart"/>
      <w:r w:rsidR="005D45EC" w:rsidRPr="004C591B">
        <w:rPr>
          <w:b w:val="0"/>
        </w:rPr>
        <w:t>r</w:t>
      </w:r>
      <w:r w:rsidR="005D45EC" w:rsidRPr="004C591B">
        <w:rPr>
          <w:b w:val="0"/>
          <w:vertAlign w:val="subscript"/>
        </w:rPr>
        <w:t>Ni</w:t>
      </w:r>
      <w:proofErr w:type="spellEnd"/>
      <w:r w:rsidR="005D45EC" w:rsidRPr="004C591B">
        <w:rPr>
          <w:b w:val="0"/>
          <w:vertAlign w:val="subscript"/>
        </w:rPr>
        <w:t>/PO4</w:t>
      </w:r>
      <w:r w:rsidR="005D45EC" w:rsidRPr="004C591B">
        <w:rPr>
          <w:b w:val="0"/>
        </w:rPr>
        <w:t xml:space="preserve"> ratio in the North Atlantic. This is not unexpected given that phytoplankton communities in the two high latitude regions are not identical, though both are dominated by diatoms.</w:t>
      </w:r>
    </w:p>
    <w:p w14:paraId="18798384" w14:textId="7417CCB9" w:rsidR="007D063A" w:rsidRPr="004C591B" w:rsidRDefault="007D063A" w:rsidP="0040245E">
      <w:pPr>
        <w:pStyle w:val="SMHeading"/>
        <w:spacing w:before="0"/>
        <w:jc w:val="center"/>
        <w:rPr>
          <w:szCs w:val="20"/>
        </w:rPr>
      </w:pPr>
      <w:r w:rsidRPr="004C591B">
        <w:rPr>
          <w:szCs w:val="20"/>
        </w:rPr>
        <w:lastRenderedPageBreak/>
        <w:t>Figure S1.</w:t>
      </w:r>
    </w:p>
    <w:p w14:paraId="2DF21636" w14:textId="31FBB675" w:rsidR="00401CBE" w:rsidRPr="004C591B" w:rsidRDefault="00BB354C" w:rsidP="00401CBE">
      <w:pPr>
        <w:pStyle w:val="SMHeading"/>
        <w:jc w:val="center"/>
        <w:rPr>
          <w:b w:val="0"/>
          <w:sz w:val="22"/>
          <w:szCs w:val="20"/>
        </w:rPr>
      </w:pPr>
      <w:r w:rsidRPr="004C591B">
        <w:rPr>
          <w:b w:val="0"/>
          <w:noProof/>
          <w:sz w:val="22"/>
          <w:szCs w:val="20"/>
          <w:lang w:val="fr-FR" w:eastAsia="fr-FR"/>
        </w:rPr>
        <w:drawing>
          <wp:inline distT="0" distB="0" distL="0" distR="0" wp14:anchorId="5F40D66F" wp14:editId="63AFFF4E">
            <wp:extent cx="5353770" cy="24743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9460" cy="2481585"/>
                    </a:xfrm>
                    <a:prstGeom prst="rect">
                      <a:avLst/>
                    </a:prstGeom>
                    <a:noFill/>
                  </pic:spPr>
                </pic:pic>
              </a:graphicData>
            </a:graphic>
          </wp:inline>
        </w:drawing>
      </w:r>
    </w:p>
    <w:p w14:paraId="3B4AE365" w14:textId="60E285D0" w:rsidR="00401CBE" w:rsidRPr="004C591B" w:rsidRDefault="00401CBE" w:rsidP="00401CBE">
      <w:pPr>
        <w:pStyle w:val="SMHeading"/>
        <w:jc w:val="both"/>
        <w:rPr>
          <w:b w:val="0"/>
          <w:lang w:val="en-GB"/>
        </w:rPr>
        <w:sectPr w:rsidR="00401CBE" w:rsidRPr="004C591B" w:rsidSect="004211A9">
          <w:pgSz w:w="12240" w:h="15840"/>
          <w:pgMar w:top="1440" w:right="1800" w:bottom="1440" w:left="1800" w:header="720" w:footer="720" w:gutter="0"/>
          <w:cols w:space="720"/>
          <w:docGrid w:linePitch="360"/>
        </w:sectPr>
      </w:pPr>
      <w:r w:rsidRPr="004C591B">
        <w:rPr>
          <w:u w:val="single"/>
        </w:rPr>
        <w:t>Fig. S1:</w:t>
      </w:r>
      <w:r w:rsidRPr="004C591B">
        <w:t xml:space="preserve"> </w:t>
      </w:r>
      <w:r w:rsidRPr="004C591B">
        <w:rPr>
          <w:b w:val="0"/>
        </w:rPr>
        <w:t xml:space="preserve">Modelled versus measured Ni concentrations (for stations </w:t>
      </w:r>
      <w:r w:rsidR="00502E90" w:rsidRPr="004C591B">
        <w:rPr>
          <w:b w:val="0"/>
        </w:rPr>
        <w:t xml:space="preserve">for which data are </w:t>
      </w:r>
      <w:r w:rsidRPr="004C591B">
        <w:rPr>
          <w:b w:val="0"/>
        </w:rPr>
        <w:t>available in the IDP2021; left panel) and Ni isotope compositions (for stations where δ</w:t>
      </w:r>
      <w:r w:rsidRPr="004C591B">
        <w:rPr>
          <w:b w:val="0"/>
          <w:vertAlign w:val="superscript"/>
        </w:rPr>
        <w:t>60</w:t>
      </w:r>
      <w:r w:rsidRPr="004C591B">
        <w:rPr>
          <w:b w:val="0"/>
        </w:rPr>
        <w:t xml:space="preserve">Ni data </w:t>
      </w:r>
      <w:r w:rsidR="00502E90" w:rsidRPr="004C591B">
        <w:rPr>
          <w:b w:val="0"/>
        </w:rPr>
        <w:t>are</w:t>
      </w:r>
      <w:r w:rsidRPr="004C591B">
        <w:rPr>
          <w:b w:val="0"/>
        </w:rPr>
        <w:t xml:space="preserve"> available; right panel)</w:t>
      </w:r>
      <w:r w:rsidRPr="004C591B">
        <w:rPr>
          <w:b w:val="0"/>
          <w:lang w:val="en-GB"/>
        </w:rPr>
        <w:t>. Model results are from our standard model and identical to those shown in Fig. 6 of the main text. The model uncertainties for both Ni concentration and δ</w:t>
      </w:r>
      <w:r w:rsidRPr="004C591B">
        <w:rPr>
          <w:b w:val="0"/>
          <w:vertAlign w:val="superscript"/>
          <w:lang w:val="en-GB"/>
        </w:rPr>
        <w:t>60</w:t>
      </w:r>
      <w:r w:rsidRPr="004C591B">
        <w:rPr>
          <w:b w:val="0"/>
          <w:lang w:val="en-GB"/>
        </w:rPr>
        <w:t>Ni are explained in the text.</w:t>
      </w:r>
    </w:p>
    <w:p w14:paraId="78D896D5" w14:textId="77777777" w:rsidR="00401CBE" w:rsidRPr="004C591B" w:rsidRDefault="00401CBE" w:rsidP="00401CBE">
      <w:pPr>
        <w:pStyle w:val="SMHeading"/>
        <w:jc w:val="center"/>
        <w:rPr>
          <w:szCs w:val="20"/>
        </w:rPr>
      </w:pPr>
      <w:r w:rsidRPr="004C591B">
        <w:rPr>
          <w:szCs w:val="20"/>
        </w:rPr>
        <w:lastRenderedPageBreak/>
        <w:t>Figure S2.</w:t>
      </w:r>
    </w:p>
    <w:p w14:paraId="08B717AD" w14:textId="77777777" w:rsidR="007D063A" w:rsidRPr="004C591B" w:rsidRDefault="007D063A" w:rsidP="007D063A">
      <w:pPr>
        <w:jc w:val="center"/>
      </w:pPr>
      <w:r w:rsidRPr="004C591B">
        <w:rPr>
          <w:noProof/>
          <w:lang w:val="fr-FR" w:eastAsia="fr-FR"/>
        </w:rPr>
        <w:drawing>
          <wp:inline distT="0" distB="0" distL="0" distR="0" wp14:anchorId="47AE7604" wp14:editId="0AF26035">
            <wp:extent cx="5403850" cy="2774074"/>
            <wp:effectExtent l="0" t="0" r="635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4761" cy="2784809"/>
                    </a:xfrm>
                    <a:prstGeom prst="rect">
                      <a:avLst/>
                    </a:prstGeom>
                    <a:noFill/>
                  </pic:spPr>
                </pic:pic>
              </a:graphicData>
            </a:graphic>
          </wp:inline>
        </w:drawing>
      </w:r>
    </w:p>
    <w:p w14:paraId="73140E94" w14:textId="39EB3EEA" w:rsidR="007D063A" w:rsidRPr="004C591B" w:rsidRDefault="007D063A" w:rsidP="007D063A">
      <w:pPr>
        <w:pStyle w:val="SMHeading"/>
        <w:jc w:val="both"/>
        <w:rPr>
          <w:b w:val="0"/>
          <w:sz w:val="22"/>
          <w:szCs w:val="20"/>
        </w:rPr>
      </w:pPr>
      <w:r w:rsidRPr="004C591B">
        <w:rPr>
          <w:sz w:val="22"/>
          <w:szCs w:val="20"/>
          <w:u w:val="single"/>
          <w:lang w:val="en-GB"/>
        </w:rPr>
        <w:t>Fig. S</w:t>
      </w:r>
      <w:r w:rsidR="00401CBE" w:rsidRPr="004C591B">
        <w:rPr>
          <w:sz w:val="22"/>
          <w:szCs w:val="20"/>
          <w:u w:val="single"/>
          <w:lang w:val="en-GB"/>
        </w:rPr>
        <w:t>2</w:t>
      </w:r>
      <w:r w:rsidRPr="004C591B">
        <w:rPr>
          <w:sz w:val="22"/>
          <w:szCs w:val="20"/>
          <w:u w:val="single"/>
          <w:lang w:val="en-GB"/>
        </w:rPr>
        <w:t>:</w:t>
      </w:r>
      <w:r w:rsidRPr="004C591B">
        <w:rPr>
          <w:b w:val="0"/>
          <w:sz w:val="22"/>
          <w:szCs w:val="20"/>
          <w:lang w:val="en-GB"/>
        </w:rPr>
        <w:t xml:space="preserve"> Stations from this study (GEOVIDE) and from the world ocean where Ni concentrations and δ</w:t>
      </w:r>
      <w:r w:rsidRPr="004C591B">
        <w:rPr>
          <w:b w:val="0"/>
          <w:sz w:val="22"/>
          <w:szCs w:val="20"/>
          <w:vertAlign w:val="superscript"/>
          <w:lang w:val="en-GB"/>
        </w:rPr>
        <w:t>60</w:t>
      </w:r>
      <w:r w:rsidRPr="004C591B">
        <w:rPr>
          <w:b w:val="0"/>
          <w:sz w:val="22"/>
          <w:szCs w:val="20"/>
          <w:lang w:val="en-GB"/>
        </w:rPr>
        <w:t xml:space="preserve">Ni are available </w:t>
      </w:r>
      <w:r w:rsidRPr="004C591B">
        <w:rPr>
          <w:b w:val="0"/>
          <w:sz w:val="22"/>
          <w:szCs w:val="20"/>
          <w:lang w:val="en-GB"/>
        </w:rPr>
        <w:fldChar w:fldCharType="begin" w:fldLock="1"/>
      </w:r>
      <w:r w:rsidRPr="004C591B">
        <w:rPr>
          <w:b w:val="0"/>
          <w:sz w:val="22"/>
          <w:szCs w:val="20"/>
          <w:lang w:val="en-GB"/>
        </w:rPr>
        <w:instrText>ADDIN CSL_CITATION {"citationItems":[{"id":"ITEM-1","itemData":{"DOI":"10.1016/j.gca.2013.12.007","ISSN":"0016-7037","author":[{"dropping-particle":"","family":"Cameron","given":"V","non-dropping-particle":"","parse-names":false,"suffix":""},{"dropping-particle":"","family":"Vance","given":"D","non-dropping-particle":"","parse-names":false,"suffix":""}],"container-title":"Geochimica et Cosmochimica Acta","id":"ITEM-1","issued":{"date-parts":[["2014"]]},"page":"195-211","publisher":"Elsevier Ltd","title":"Heavy nickel isotope compositions in rivers and the oceans","type":"article-journal","volume":"128"},"uris":["http://www.mendeley.com/documents/?uuid=e01e3a3c-054a-483f-abcc-8488e08ebe0f"]},{"id":"ITEM-2","itemData":{"DOI":"10.1016/j.aca.2017.03.010","ISSN":"00032670","author":[{"dropping-particle":"","family":"Takano","given":"Shotaro","non-dropping-particle":"","parse-names":false,"suffix":""},{"dropping-particle":"","family":"Tanimizu","given":"Masaharu","non-dropping-particle":"","parse-names":false,"suffix":""},{"dropping-particle":"","family":"Hirata","given":"Takafumi","non-dropping-particle":"","parse-names":false,"suffix":""},{"dropping-particle":"","family":"Shin","given":"Ki-Cheol","non-dropping-particle":"","parse-names":false,"suffix":""},{"dropping-particle":"","family":"Fukami","given":"Yusuke","non-dropping-particle":"","parse-names":false,"suffix":""},{"dropping-particle":"","family":"Suzuki","given":"Katsuhiko","non-dropping-particle":"","parse-names":false,"suffix":""},{"dropping-particle":"","family":"Sohrin","given":"Yoshiki","non-dropping-particle":"","parse-names":false,"suffix":""}],"container-title":"Analytica Chimica Acta","id":"ITEM-2","issued":{"date-parts":[["2017"]]},"page":"1-11","publisher":"Elsevier Ltd","title":"A simple and rapid method for isotopic analysis of nickel, copper, and zinc in seawater using chelating extraction and anion exchange","type":"article-journal","volume":"967"},"uris":["http://www.mendeley.com/documents/?uuid=ee13dac0-1b6c-404b-b064-0f53026a7936"]},{"id":"ITEM-3","itemData":{"DOI":"10.1016/j.chemgeo.2018.09.010","ISSN":"00092541","abstract":"The Southern Ocean is the site of 20% of global ocean carbon export, and the origin of water masses that significantly impact the chemistry of the global ocean. Much of the Southern Ocean is a high nutrient low chlorophyll (HNLC) region. Iron is the primary limiting nutrient for phytoplankton growth, and may also be an important control on the biogeochemistry of the water masses emanating from the Southern Ocean. Here we investigate the response of Zn and Ni and their isotopes to natural Fe fertilization from Southern Ocean islands, using samples collected during the KEOPS-2 (Oct–Nov 2011) program in the early austral spring near the Kerguelen plateau, Indian Sector of the Southern Ocean. Zinc and Ni concentrations show depth distributions and relationships to major nutrients that are very similar to published data from the Atlantic sector of the Southern Ocean, away from island fertilization. As in the Atlantic sector, and other regions outside the Southern Ocean, there is a slight minimum in δ 66 Zn at about 100–150 m depth and a slightly heavier value at the surface. At the KEOPS-2 sites, the light sub-surface Zn isotopes occur at the depth level where measured chl-a has declined to near zero. The heaviest Zn isotope values in either the Atlantic or Indian sectors occur in bottom waters, are associated with samples that show high dissolved Si relative to Zn. These latter represent possible evidence for a heavy input directly to deep water or from sediment, and the Zn-Si-δ 66 Zn systematics are consistent with a source in diatom opal. Nickel concentrations show much less variation than those of Zn, with the most depleted surface value only 15–20% lower than those in upwelled deep water in the Southern Ocean. These small variations in Ni concentration are associated with no significant variability in Ni isotopes, as also previously observed in the Atlantic sector. Overall, the key feature of the dataset is the apparent absence of any significant impact of natural Fe fertilization on the distribution of Zn and Ni, with the dominant control being the station location relative to the Polar Front in both the Atlantic and Indian sectors. Zinc and Ni isotopes are invariant in surface waters, whether inside or outside the fertilized zone and whether south or north of the Polar Front. This article is part of a special issue entitled: “Cycles of trace elements and isotopes in the ocean – GEOTRACES and beyond” - edited by Tim M. Conway, Tristan Horner, Yves Plan…","author":[{"dropping-particle":"","family":"Wang","given":"R. M.","non-dropping-particle":"","parse-names":false,"suffix":""},{"dropping-particle":"","family":"Archer","given":"C.","non-dropping-particle":"","parse-names":false,"suffix":""},{"dropping-particle":"","family":"Bowie","given":"A. R.","non-dropping-particle":"","parse-names":false,"suffix":""},{"dropping-particle":"","family":"Vance","given":"D.","non-dropping-particle":"","parse-names":false,"suffix":""}],"container-title":"Chemical Geology","id":"ITEM-3","issue":"128","issued":{"date-parts":[["2019"]]},"page":"452-464","publisher":"Elsevier","title":"Zinc and nickel isotopes in seawater from the Indian Sector of the Southern Ocean: The impact of natural iron fertilization versus Southern Ocean hydrography and biogeochemistry","type":"article-journal","volume":"511"},"uris":["http://www.mendeley.com/documents/?uuid=a99926b7-16aa-476a-b49d-3210be0f4f6b"]},{"id":"ITEM-4","itemData":{"DOI":"10.1016/j.epsl.2020.116118","ISSN":"0012821X","abstract":"Nickel (Ni) is important for a number of enzymes in oceanic phytoplankton. It has received less attention than some other bioactive metals because it is not reduced to extremely low dissolved concentrations in the photic zone. However, there are strong indications in previous studies that this residual pool is not bio-available. Oceanic Ni isotope data are still scarce, but have great potential for understanding this issue, as well as for understanding the Ni mass balance of the oceans now and in the past. Here, we present new concentration and isotope data for the UK GEOTRACES section at 40°S in the Atlantic (GA10). Nickel concentration data show typical nutrient-like profiles, slightly modified by variable pre-formed concentrations in sub-surface water masses, e.g. North Atlantic Deep Water. Nickel isotopes, in common with findings in previous studies, are homogeneous beneath 500 m, at about +1.3‰ in δ60Ni, in samples with Ni concentrations above 3-3.5 nM. The surface South Atlantic, however, has concentrations below 3 nM, and shows significantly higher δ60Ni, up to +1.74‰, that are closely anti-correlated with Ni concentrations. The data for the deep South Atlantic dissolved pool, with a δ60Ni = 1.31 ± 0.12‰ (average and 2SD) confirm the homogeneity of the global deep ocean, which previous data demonstrate extends all the way to the surface in the upwelling zone of the Southern Ocean south of the Polar Front. This Ni isotope composition is significantly heavier than known inputs to the oceanic dissolved pool. This mass balance requires an isotopically light sink that may be represented by sedimentary Mn-oxide associated Ni. The magnitude of the isotope fractionation implied by the upper ocean data is not consistent with plausible potential abiotic removal processes. Rather, these data are best explained by biological uptake. However, consideration of the detailed relationships between Ni concentrations and isotope compositions requires that a substantial portion of the oceanic dissolved Ni pool is not bio-available. The data are consistent either with a small preference for the light isotope during uptake (about 0.1‰) or two distinct pools of dissolved Ni, one bio-available and one strongly bound in organic complexes, with limited isotopic exchange between them. Patterns of co-variation in Ni concentrations and isotopes with the major nutrients point to strong contrasts across the Polar Front of the Southern Ocean, contrasts that exhibit both similar…","author":[{"dropping-particle":"","family":"Archer","given":"Corey","non-dropping-particle":"","parse-names":false,"suffix":""},{"dropping-particle":"","family":"Vance","given":"Derek","non-dropping-particle":"","parse-names":false,"suffix":""},{"dropping-particle":"","family":"Milne","given":"Angela","non-dropping-particle":"","parse-names":false,"suffix":""},{"dropping-particle":"","family":"Lohan","given":"Maeve C.","non-dropping-particle":"","parse-names":false,"suffix":""}],"container-title":"Earth and Planetary Science Letters","id":"ITEM-4","issued":{"date-parts":[["2020"]]},"page":"116118","publisher":"Elsevier B.V.","title":"The oceanic biogeochemistry of nickel and its isotopes: New data from the South Atlantic and the Southern Ocean biogeochemical divide","type":"article-journal","volume":"535"},"uris":["http://www.mendeley.com/documents/?uuid=5c315aaa-b718-4884-a96c-f2f0925d4f36"]},{"id":"ITEM-5","itemData":{"DOI":"10.1016/j.chemgeo.2020.119662","ISSN":"00092541","abstract":"Nickel and copper are cofactors in key phytoplankton enzymes and the stable isotope composition of Ni and Cu (δ60Ni and δ65Cu) in seawater have the potential to identify major processes that influence their biogeochemistry. However, accurate analysis of δ60Ni and δ65Cu is challenging because of the difficulties in separating these metals from interfering elements in the seawater matrix. Here we report a fast and simple method for purification of Ni and Cu from seawater samples that is able to completely remove interfering elements Mn, Ti, Cr, and Fe. This method was verified by analyzing four reference materials that contain significant levels of interfering elements (powdered plankton, natural soils, and two marine sediments). Using this technique, we generated a dataset of 49 seawater δ60Ni and δ65Cu measurements from the upper water column of the North Pacific Ocean, which show preferential uptake of light Ni isotopes by phytoplankton (αbio-sw = 0.9997 ± 1) but no net fractionation of Cu isotopes. This new method simplifies treatment of seawater samples for Ni and Cu isotope analysis, enabling high-throughput investigations of δ60Ni and δ65Cu throughout the global ocean.","author":[{"dropping-particle":"","family":"Yang","given":"Shun Chung","non-dropping-particle":"","parse-names":false,"suffix":""},{"dropping-particle":"","family":"Hawco","given":"Nicholas J.","non-dropping-particle":"","parse-names":false,"suffix":""},{"dropping-particle":"","family":"Pinedo-González","given":"Paulina","non-dropping-particle":"","parse-names":false,"suffix":""},{"dropping-particle":"","family":"Bian","given":"Xiaopeng","non-dropping-particle":"","parse-names":false,"suffix":""},{"dropping-particle":"","family":"Huang","given":"Kuo-Fang","non-dropping-particle":"","parse-names":false,"suffix":""},{"dropping-particle":"","family":"Zhang","given":"Ruifeng","non-dropping-particle":"","parse-names":false,"suffix":""},{"dropping-particle":"","family":"John","given":"Seth G.","non-dropping-particle":"","parse-names":false,"suffix":""}],"container-title":"Chemical Geology","id":"ITEM-5","issued":{"date-parts":[["2020"]]},"page":"119662","title":"A new purification method for Ni and Cu stable isotopes in seawater provides evidence for widespread Ni isotope fractionation by phytoplankton in the North Pacific","type":"article-journal","volume":"547"},"uris":["http://www.mendeley.com/documents/?uuid=0c3536ef-18e0-443b-a3ed-95aa4d04c4f9"]},{"id":"ITEM-6","itemData":{"DOI":"10.1016/j.gca.2021.07.004","ISSN":"0016-7037","author":[{"dropping-particle":"","family":"Yang","given":"Shun-chung","non-dropping-particle":"","parse-names":false,"suffix":""},{"dropping-particle":"","family":"Kelly","given":"Rachel L","non-dropping-particle":"","parse-names":false,"suffix":""},{"dropping-particle":"","family":"Bian","given":"Xiaopeng","non-dropping-particle":"","parse-names":false,"suffix":""},{"dropping-particle":"","family":"Conway","given":"Tim M","non-dropping-particle":"","parse-names":false,"suffix":""},{"dropping-particle":"","family":"Huang","given":"Kuo-fang","non-dropping-particle":"","parse-names":false,"suffix":""},{"dropping-particle":"","family":"Ho","given":"Tung-yuan","non-dropping-particle":"","parse-names":false,"suffix":""},{"dropping-particle":"","family":"Neibauer","given":"Jacquelyn A","non-dropping-particle":"","parse-names":false,"suffix":""},{"</w:instrText>
      </w:r>
      <w:r w:rsidRPr="004C591B">
        <w:rPr>
          <w:b w:val="0"/>
          <w:sz w:val="22"/>
          <w:szCs w:val="20"/>
          <w:lang w:val="fr-FR"/>
        </w:rPr>
        <w:instrText>dropping-particle":"","family":"Keil","given":"Richard G","non-dropping-particle":"","parse-names":false,"suffix":""},{"dropping-particle":"","family":"Moffett","given":"James W","non-dropping-particle":"","parse-names":false,"suffix":""},{"dropping-particle":"","family":"John","given":"Seth G","non-dropping-particle":"","parse-names":false,"suffix":""}],"container-title":"Geochimica et Cosmochimica Acta","id":"ITEM-6","issued":{"date-parts":[["2021"]]},"page":"235-250","publisher":"Elsevier Ltd","title":"Lack of redox cycling for nickel in the water column of the Eastern tropical north pacific oxygen deficient zone : Insight from dissolved and particulate nickel isotopes","type":"article-journal","volume":"309"},"uris":["http://www.mendeley.com/documents/?uuid=f98b254b-56ee-49b4-a816-0a78047e1816"]}],"mendeley":{"formattedCitation":"(Archer et al., 2020; Cameron and Vance, 2014; Takano et al., 2017; Wang et al., 2019; Yang et al., 2021, 2020)","manualFormatting":"(Cameron and Vance, 2014; Takano et al., 2017; Wang et al., 2019; Archer et al., 2020; Yang et al., 2020, 2021)","plainTextFormattedCitation":"(Archer et al., 2020; Cameron and Vance, 2014; Takano et al., 2017; Wang et al., 2019; Yang et al., 2021, 2020)","previouslyFormattedCitation":"(Archer et al., 2020; Cameron and Vance, 2014; Takano et al., 2017; Wang et al., 2019; Yang et al., 2021, 2020)"},"properties":{"noteIndex":0},"schema":"https://github.com/citation-style-language/schema/raw/master/csl-citation.json"}</w:instrText>
      </w:r>
      <w:r w:rsidRPr="004C591B">
        <w:rPr>
          <w:b w:val="0"/>
          <w:sz w:val="22"/>
          <w:szCs w:val="20"/>
          <w:lang w:val="en-GB"/>
        </w:rPr>
        <w:fldChar w:fldCharType="separate"/>
      </w:r>
      <w:r w:rsidRPr="004C591B">
        <w:rPr>
          <w:b w:val="0"/>
          <w:noProof/>
          <w:sz w:val="22"/>
          <w:szCs w:val="20"/>
          <w:lang w:val="fr-FR"/>
        </w:rPr>
        <w:t>(Cameron and Vance, 2014; Takano et al., 2017; Wang et al., 2019; Archer et al., 2020; Yang et al., 2020, 2021)</w:t>
      </w:r>
      <w:r w:rsidRPr="004C591B">
        <w:rPr>
          <w:b w:val="0"/>
          <w:sz w:val="22"/>
          <w:szCs w:val="20"/>
          <w:lang w:val="en-GB"/>
        </w:rPr>
        <w:fldChar w:fldCharType="end"/>
      </w:r>
      <w:r w:rsidRPr="004C591B">
        <w:rPr>
          <w:b w:val="0"/>
          <w:sz w:val="22"/>
          <w:szCs w:val="20"/>
          <w:lang w:val="fr-FR"/>
        </w:rPr>
        <w:t xml:space="preserve">. </w:t>
      </w:r>
      <w:r w:rsidRPr="004C591B">
        <w:rPr>
          <w:b w:val="0"/>
          <w:sz w:val="22"/>
          <w:szCs w:val="20"/>
          <w:lang w:val="en-GB"/>
        </w:rPr>
        <w:t>Stations from the low latitude ocean are indicated by red symbols while stations from the high latitude ocean are indicated by blue symbols. The separation between both regions is set by the latitude 47° in the northern and southern hemispheres. A distinction is made between the subpolar North Atlantic (triangles pointing towards the left), the Southern Ocean (triangles pointing towards the right), the subpolar North Pacific (triangles pointing upwards), the low latitude Atlantic Ocean (circles) and the low latitude Pacific Ocean (diamonds)</w:t>
      </w:r>
      <w:r w:rsidRPr="004C591B">
        <w:rPr>
          <w:b w:val="0"/>
          <w:sz w:val="22"/>
          <w:szCs w:val="20"/>
        </w:rPr>
        <w:t xml:space="preserve">. </w:t>
      </w:r>
    </w:p>
    <w:p w14:paraId="63802F96" w14:textId="77777777" w:rsidR="007D063A" w:rsidRPr="004C591B" w:rsidRDefault="007D063A" w:rsidP="007D063A">
      <w:pPr>
        <w:pStyle w:val="SMHeading"/>
        <w:jc w:val="both"/>
        <w:rPr>
          <w:sz w:val="22"/>
          <w:szCs w:val="20"/>
        </w:rPr>
        <w:sectPr w:rsidR="007D063A" w:rsidRPr="004C591B" w:rsidSect="00F125EE">
          <w:pgSz w:w="12240" w:h="15840"/>
          <w:pgMar w:top="1440" w:right="1800" w:bottom="1440" w:left="1800" w:header="720" w:footer="720" w:gutter="0"/>
          <w:pgNumType w:start="1"/>
          <w:cols w:space="720"/>
          <w:docGrid w:linePitch="360"/>
        </w:sectPr>
      </w:pPr>
    </w:p>
    <w:p w14:paraId="01E1D9F7" w14:textId="77777777" w:rsidR="00401CBE" w:rsidRPr="004C591B" w:rsidRDefault="00401CBE" w:rsidP="00401CBE">
      <w:pPr>
        <w:pStyle w:val="SMHeading"/>
        <w:jc w:val="center"/>
        <w:rPr>
          <w:szCs w:val="20"/>
        </w:rPr>
      </w:pPr>
      <w:r w:rsidRPr="004C591B">
        <w:rPr>
          <w:szCs w:val="20"/>
        </w:rPr>
        <w:lastRenderedPageBreak/>
        <w:t>Figure S3.</w:t>
      </w:r>
    </w:p>
    <w:p w14:paraId="69730FA3" w14:textId="36069FB9" w:rsidR="001724DA" w:rsidRPr="004C591B" w:rsidRDefault="00DF4F17" w:rsidP="00FF36A7">
      <w:pPr>
        <w:jc w:val="center"/>
      </w:pPr>
      <w:r w:rsidRPr="004C591B">
        <w:rPr>
          <w:noProof/>
          <w:lang w:val="fr-FR" w:eastAsia="fr-FR"/>
        </w:rPr>
        <w:drawing>
          <wp:inline distT="0" distB="0" distL="0" distR="0" wp14:anchorId="20CECF1F" wp14:editId="77B08791">
            <wp:extent cx="5430476" cy="30079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3836" cy="3009856"/>
                    </a:xfrm>
                    <a:prstGeom prst="rect">
                      <a:avLst/>
                    </a:prstGeom>
                    <a:noFill/>
                  </pic:spPr>
                </pic:pic>
              </a:graphicData>
            </a:graphic>
          </wp:inline>
        </w:drawing>
      </w:r>
    </w:p>
    <w:p w14:paraId="766308BF" w14:textId="075EA11A" w:rsidR="00335EAC" w:rsidRPr="004C591B" w:rsidRDefault="00B5513B" w:rsidP="00824938">
      <w:pPr>
        <w:pStyle w:val="SMHeading"/>
        <w:jc w:val="both"/>
        <w:rPr>
          <w:b w:val="0"/>
          <w:bCs w:val="0"/>
          <w:lang w:val="en-GB"/>
        </w:rPr>
        <w:sectPr w:rsidR="00335EAC" w:rsidRPr="004C591B" w:rsidSect="004211A9">
          <w:headerReference w:type="default" r:id="rId16"/>
          <w:footerReference w:type="default" r:id="rId17"/>
          <w:pgSz w:w="12240" w:h="15840"/>
          <w:pgMar w:top="1440" w:right="1800" w:bottom="1440" w:left="1800" w:header="720" w:footer="720" w:gutter="0"/>
          <w:cols w:space="720"/>
          <w:docGrid w:linePitch="360"/>
        </w:sectPr>
      </w:pPr>
      <w:r w:rsidRPr="004C591B">
        <w:rPr>
          <w:sz w:val="22"/>
          <w:szCs w:val="20"/>
          <w:u w:val="single"/>
        </w:rPr>
        <w:t>Fig. S</w:t>
      </w:r>
      <w:r w:rsidR="007D063A" w:rsidRPr="004C591B">
        <w:rPr>
          <w:sz w:val="22"/>
          <w:szCs w:val="20"/>
          <w:u w:val="single"/>
        </w:rPr>
        <w:t>3</w:t>
      </w:r>
      <w:r w:rsidR="00771AF6" w:rsidRPr="004C591B">
        <w:rPr>
          <w:sz w:val="22"/>
          <w:szCs w:val="20"/>
          <w:u w:val="single"/>
        </w:rPr>
        <w:t>:</w:t>
      </w:r>
      <w:r w:rsidR="00771AF6" w:rsidRPr="004C591B">
        <w:rPr>
          <w:sz w:val="22"/>
          <w:szCs w:val="20"/>
        </w:rPr>
        <w:t xml:space="preserve"> </w:t>
      </w:r>
      <w:r w:rsidR="00291FE5" w:rsidRPr="004C591B">
        <w:rPr>
          <w:b w:val="0"/>
          <w:lang w:val="en-GB"/>
        </w:rPr>
        <w:t>Comparison of the d</w:t>
      </w:r>
      <w:r w:rsidR="00291FE5" w:rsidRPr="004C591B">
        <w:rPr>
          <w:b w:val="0"/>
          <w:bCs w:val="0"/>
          <w:lang w:val="en-GB"/>
        </w:rPr>
        <w:t>issolved Ni-δ</w:t>
      </w:r>
      <w:r w:rsidR="00291FE5" w:rsidRPr="004C591B">
        <w:rPr>
          <w:b w:val="0"/>
          <w:bCs w:val="0"/>
          <w:vertAlign w:val="superscript"/>
          <w:lang w:val="en-GB"/>
        </w:rPr>
        <w:t>60</w:t>
      </w:r>
      <w:r w:rsidR="00291FE5" w:rsidRPr="004C591B">
        <w:rPr>
          <w:b w:val="0"/>
          <w:bCs w:val="0"/>
          <w:lang w:val="en-GB"/>
        </w:rPr>
        <w:t xml:space="preserve">Ni systematics observed in the world ocean (in </w:t>
      </w:r>
      <w:r w:rsidR="003477AF" w:rsidRPr="004C591B">
        <w:rPr>
          <w:b w:val="0"/>
          <w:bCs w:val="0"/>
          <w:lang w:val="en-GB"/>
        </w:rPr>
        <w:t>blue and red, see previous captions</w:t>
      </w:r>
      <w:r w:rsidR="00291FE5" w:rsidRPr="004C591B">
        <w:rPr>
          <w:b w:val="0"/>
          <w:bCs w:val="0"/>
          <w:lang w:val="en-GB"/>
        </w:rPr>
        <w:t xml:space="preserve">) with the results of the Total Matrix </w:t>
      </w:r>
      <w:proofErr w:type="spellStart"/>
      <w:r w:rsidR="00291FE5" w:rsidRPr="004C591B">
        <w:rPr>
          <w:b w:val="0"/>
          <w:bCs w:val="0"/>
          <w:lang w:val="en-GB"/>
        </w:rPr>
        <w:t>Intercomparison</w:t>
      </w:r>
      <w:proofErr w:type="spellEnd"/>
      <w:r w:rsidR="00291FE5" w:rsidRPr="004C591B">
        <w:rPr>
          <w:b w:val="0"/>
          <w:bCs w:val="0"/>
          <w:lang w:val="en-GB"/>
        </w:rPr>
        <w:t xml:space="preserve"> model</w:t>
      </w:r>
      <w:r w:rsidR="003477AF" w:rsidRPr="004C591B">
        <w:rPr>
          <w:b w:val="0"/>
          <w:bCs w:val="0"/>
          <w:lang w:val="en-GB"/>
        </w:rPr>
        <w:t xml:space="preserve">, </w:t>
      </w:r>
      <w:r w:rsidR="00291FE5" w:rsidRPr="004C591B">
        <w:rPr>
          <w:b w:val="0"/>
          <w:bCs w:val="0"/>
          <w:lang w:val="en-GB"/>
        </w:rPr>
        <w:t xml:space="preserve">simulating </w:t>
      </w:r>
      <w:r w:rsidR="003477AF" w:rsidRPr="004C591B">
        <w:rPr>
          <w:b w:val="0"/>
          <w:bCs w:val="0"/>
          <w:lang w:val="en-GB"/>
        </w:rPr>
        <w:t xml:space="preserve">both the </w:t>
      </w:r>
      <w:r w:rsidR="00291FE5" w:rsidRPr="004C591B">
        <w:rPr>
          <w:b w:val="0"/>
          <w:bCs w:val="0"/>
          <w:lang w:val="en-GB"/>
        </w:rPr>
        <w:t>physical circulation and remineralisation</w:t>
      </w:r>
      <w:r w:rsidR="00703600" w:rsidRPr="004C591B">
        <w:rPr>
          <w:b w:val="0"/>
          <w:bCs w:val="0"/>
          <w:lang w:val="en-GB"/>
        </w:rPr>
        <w:t>. The results</w:t>
      </w:r>
      <w:r w:rsidR="00E614F7" w:rsidRPr="004C591B">
        <w:rPr>
          <w:b w:val="0"/>
          <w:bCs w:val="0"/>
          <w:lang w:val="en-GB"/>
        </w:rPr>
        <w:t xml:space="preserve"> are shown for</w:t>
      </w:r>
      <w:r w:rsidR="00703600" w:rsidRPr="004C591B">
        <w:rPr>
          <w:b w:val="0"/>
          <w:bCs w:val="0"/>
          <w:lang w:val="en-GB"/>
        </w:rPr>
        <w:t xml:space="preserve"> two different </w:t>
      </w:r>
      <w:r w:rsidR="003477AF" w:rsidRPr="004C591B">
        <w:rPr>
          <w:b w:val="0"/>
          <w:bCs w:val="0"/>
          <w:lang w:val="en-GB"/>
        </w:rPr>
        <w:t>isotope compositions</w:t>
      </w:r>
      <w:r w:rsidR="00703600" w:rsidRPr="004C591B">
        <w:rPr>
          <w:b w:val="0"/>
          <w:bCs w:val="0"/>
          <w:lang w:val="en-GB"/>
        </w:rPr>
        <w:t xml:space="preserve"> for the regenerated pool</w:t>
      </w:r>
      <w:r w:rsidR="00211DC1" w:rsidRPr="004C591B">
        <w:rPr>
          <w:b w:val="0"/>
          <w:bCs w:val="0"/>
          <w:lang w:val="en-GB"/>
        </w:rPr>
        <w:t xml:space="preserve"> in the </w:t>
      </w:r>
      <w:r w:rsidR="007909EA" w:rsidRPr="004C591B">
        <w:rPr>
          <w:b w:val="0"/>
          <w:bCs w:val="0"/>
          <w:lang w:val="en-GB"/>
        </w:rPr>
        <w:t>low latitudes</w:t>
      </w:r>
      <w:r w:rsidR="00703600" w:rsidRPr="004C591B">
        <w:rPr>
          <w:b w:val="0"/>
          <w:bCs w:val="0"/>
          <w:lang w:val="en-GB"/>
        </w:rPr>
        <w:t>,</w:t>
      </w:r>
      <w:r w:rsidR="003477AF" w:rsidRPr="004C591B">
        <w:rPr>
          <w:b w:val="0"/>
          <w:bCs w:val="0"/>
          <w:lang w:val="en-GB"/>
        </w:rPr>
        <w:t xml:space="preserve"> at +1.2 </w:t>
      </w:r>
      <w:r w:rsidR="00485A54" w:rsidRPr="004C591B">
        <w:rPr>
          <w:b w:val="0"/>
          <w:bCs w:val="0"/>
          <w:lang w:val="en-GB"/>
        </w:rPr>
        <w:t xml:space="preserve">‰ </w:t>
      </w:r>
      <w:r w:rsidR="003477AF" w:rsidRPr="004C591B">
        <w:rPr>
          <w:b w:val="0"/>
          <w:bCs w:val="0"/>
          <w:lang w:val="en-GB"/>
        </w:rPr>
        <w:t>and +1.4</w:t>
      </w:r>
      <w:r w:rsidR="006251BC" w:rsidRPr="004C591B">
        <w:rPr>
          <w:b w:val="0"/>
          <w:bCs w:val="0"/>
          <w:lang w:val="en-GB"/>
        </w:rPr>
        <w:t xml:space="preserve"> </w:t>
      </w:r>
      <w:r w:rsidR="00485A54" w:rsidRPr="004C591B">
        <w:rPr>
          <w:b w:val="0"/>
          <w:bCs w:val="0"/>
          <w:lang w:val="en-GB"/>
        </w:rPr>
        <w:t xml:space="preserve">‰ </w:t>
      </w:r>
      <w:r w:rsidR="006251BC" w:rsidRPr="004C591B">
        <w:rPr>
          <w:b w:val="0"/>
          <w:bCs w:val="0"/>
          <w:lang w:val="en-GB"/>
        </w:rPr>
        <w:t xml:space="preserve">(the high latitude </w:t>
      </w:r>
      <w:proofErr w:type="spellStart"/>
      <w:r w:rsidR="006251BC" w:rsidRPr="004C591B">
        <w:rPr>
          <w:b w:val="0"/>
          <w:bCs w:val="0"/>
          <w:lang w:val="en-GB"/>
        </w:rPr>
        <w:t>remineralised</w:t>
      </w:r>
      <w:proofErr w:type="spellEnd"/>
      <w:r w:rsidR="006251BC" w:rsidRPr="004C591B">
        <w:rPr>
          <w:b w:val="0"/>
          <w:bCs w:val="0"/>
          <w:lang w:val="en-GB"/>
        </w:rPr>
        <w:t xml:space="preserve"> </w:t>
      </w:r>
      <w:r w:rsidR="001C0F11" w:rsidRPr="004C591B">
        <w:rPr>
          <w:b w:val="0"/>
          <w:bCs w:val="0"/>
          <w:lang w:val="en-GB"/>
        </w:rPr>
        <w:t>δ</w:t>
      </w:r>
      <w:r w:rsidR="001C0F11" w:rsidRPr="004C591B">
        <w:rPr>
          <w:b w:val="0"/>
          <w:bCs w:val="0"/>
          <w:vertAlign w:val="superscript"/>
          <w:lang w:val="en-GB"/>
        </w:rPr>
        <w:t>60</w:t>
      </w:r>
      <w:r w:rsidR="00A8377D" w:rsidRPr="004C591B">
        <w:rPr>
          <w:b w:val="0"/>
          <w:bCs w:val="0"/>
          <w:lang w:val="en-GB"/>
        </w:rPr>
        <w:t>N</w:t>
      </w:r>
      <w:r w:rsidR="008C4CE6" w:rsidRPr="004C591B">
        <w:rPr>
          <w:b w:val="0"/>
          <w:bCs w:val="0"/>
          <w:lang w:val="en-GB"/>
        </w:rPr>
        <w:t>i</w:t>
      </w:r>
      <w:r w:rsidR="00A8377D" w:rsidRPr="004C591B">
        <w:rPr>
          <w:b w:val="0"/>
          <w:bCs w:val="0"/>
          <w:lang w:val="en-GB"/>
        </w:rPr>
        <w:t xml:space="preserve"> remains +1.33</w:t>
      </w:r>
      <w:r w:rsidR="00A70655" w:rsidRPr="004C591B">
        <w:rPr>
          <w:b w:val="0"/>
          <w:bCs w:val="0"/>
          <w:lang w:val="en-GB"/>
        </w:rPr>
        <w:t xml:space="preserve"> </w:t>
      </w:r>
      <w:r w:rsidR="00485A54" w:rsidRPr="004C591B">
        <w:rPr>
          <w:b w:val="0"/>
          <w:bCs w:val="0"/>
          <w:lang w:val="en-GB"/>
        </w:rPr>
        <w:t>‰</w:t>
      </w:r>
      <w:r w:rsidR="00A8377D" w:rsidRPr="004C591B">
        <w:rPr>
          <w:b w:val="0"/>
          <w:bCs w:val="0"/>
          <w:lang w:val="en-GB"/>
        </w:rPr>
        <w:t>)</w:t>
      </w:r>
      <w:r w:rsidR="00703600" w:rsidRPr="004C591B">
        <w:rPr>
          <w:b w:val="0"/>
          <w:bCs w:val="0"/>
          <w:lang w:val="en-GB"/>
        </w:rPr>
        <w:t xml:space="preserve">. </w:t>
      </w:r>
      <w:r w:rsidR="00291FE5" w:rsidRPr="004C591B">
        <w:rPr>
          <w:b w:val="0"/>
          <w:bCs w:val="0"/>
          <w:lang w:val="en-GB"/>
        </w:rPr>
        <w:t>End</w:t>
      </w:r>
      <w:r w:rsidR="00A70655" w:rsidRPr="004C591B">
        <w:rPr>
          <w:b w:val="0"/>
          <w:bCs w:val="0"/>
          <w:lang w:val="en-GB"/>
        </w:rPr>
        <w:t>-</w:t>
      </w:r>
      <w:r w:rsidR="00291FE5" w:rsidRPr="004C591B">
        <w:rPr>
          <w:b w:val="0"/>
          <w:bCs w:val="0"/>
          <w:lang w:val="en-GB"/>
        </w:rPr>
        <w:t>member 3 represents the surface low latitude region; end</w:t>
      </w:r>
      <w:r w:rsidR="00A70655" w:rsidRPr="004C591B">
        <w:rPr>
          <w:b w:val="0"/>
          <w:bCs w:val="0"/>
          <w:lang w:val="en-GB"/>
        </w:rPr>
        <w:t>-</w:t>
      </w:r>
      <w:r w:rsidR="00291FE5" w:rsidRPr="004C591B">
        <w:rPr>
          <w:b w:val="0"/>
          <w:bCs w:val="0"/>
          <w:lang w:val="en-GB"/>
        </w:rPr>
        <w:t>member 2 represents the subpolar North Atlantic region; end</w:t>
      </w:r>
      <w:r w:rsidR="00A70655" w:rsidRPr="004C591B">
        <w:rPr>
          <w:b w:val="0"/>
          <w:bCs w:val="0"/>
          <w:lang w:val="en-GB"/>
        </w:rPr>
        <w:t>-</w:t>
      </w:r>
      <w:r w:rsidR="00291FE5" w:rsidRPr="004C591B">
        <w:rPr>
          <w:b w:val="0"/>
          <w:bCs w:val="0"/>
          <w:lang w:val="en-GB"/>
        </w:rPr>
        <w:t>member 1 represents the Southern Ocean; and end</w:t>
      </w:r>
      <w:r w:rsidR="00A70655" w:rsidRPr="004C591B">
        <w:rPr>
          <w:b w:val="0"/>
          <w:bCs w:val="0"/>
          <w:lang w:val="en-GB"/>
        </w:rPr>
        <w:t>-</w:t>
      </w:r>
      <w:r w:rsidR="00291FE5" w:rsidRPr="004C591B">
        <w:rPr>
          <w:b w:val="0"/>
          <w:bCs w:val="0"/>
          <w:lang w:val="en-GB"/>
        </w:rPr>
        <w:t>member 4 represents the North Pacific.</w:t>
      </w:r>
    </w:p>
    <w:p w14:paraId="3BED00FD" w14:textId="5945B8D8" w:rsidR="00D52595" w:rsidRPr="004C591B" w:rsidRDefault="00D52595" w:rsidP="00D52595">
      <w:pPr>
        <w:pStyle w:val="SMHeading"/>
        <w:jc w:val="center"/>
        <w:rPr>
          <w:szCs w:val="20"/>
        </w:rPr>
      </w:pPr>
      <w:r w:rsidRPr="004C591B">
        <w:rPr>
          <w:szCs w:val="20"/>
        </w:rPr>
        <w:lastRenderedPageBreak/>
        <w:t>Figure S</w:t>
      </w:r>
      <w:r w:rsidR="007D063A" w:rsidRPr="004C591B">
        <w:rPr>
          <w:szCs w:val="20"/>
        </w:rPr>
        <w:t>4</w:t>
      </w:r>
      <w:r w:rsidRPr="004C591B">
        <w:rPr>
          <w:szCs w:val="20"/>
        </w:rPr>
        <w:t>.</w:t>
      </w:r>
    </w:p>
    <w:p w14:paraId="14097FC6" w14:textId="77777777" w:rsidR="00401CBE" w:rsidRPr="004C591B" w:rsidRDefault="00401CBE" w:rsidP="00401CBE">
      <w:pPr>
        <w:pStyle w:val="SMHeading"/>
        <w:jc w:val="center"/>
        <w:rPr>
          <w:szCs w:val="20"/>
        </w:rPr>
      </w:pPr>
      <w:r w:rsidRPr="004C591B">
        <w:rPr>
          <w:noProof/>
          <w:szCs w:val="20"/>
          <w:lang w:val="fr-FR" w:eastAsia="fr-FR"/>
        </w:rPr>
        <w:drawing>
          <wp:inline distT="0" distB="0" distL="0" distR="0" wp14:anchorId="1D3279A3" wp14:editId="34711983">
            <wp:extent cx="4298315" cy="2834640"/>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8315" cy="2834640"/>
                    </a:xfrm>
                    <a:prstGeom prst="rect">
                      <a:avLst/>
                    </a:prstGeom>
                    <a:noFill/>
                  </pic:spPr>
                </pic:pic>
              </a:graphicData>
            </a:graphic>
          </wp:inline>
        </w:drawing>
      </w:r>
    </w:p>
    <w:p w14:paraId="4B7794D6" w14:textId="7B577709" w:rsidR="00401CBE" w:rsidRPr="004C591B" w:rsidRDefault="00401CBE" w:rsidP="00401CBE">
      <w:pPr>
        <w:jc w:val="both"/>
        <w:rPr>
          <w:sz w:val="22"/>
          <w:lang w:val="en-GB"/>
        </w:rPr>
      </w:pPr>
      <w:r w:rsidRPr="004C591B">
        <w:rPr>
          <w:b/>
          <w:sz w:val="22"/>
          <w:u w:val="single"/>
          <w:lang w:val="en-GB"/>
        </w:rPr>
        <w:t>Fig. S4:</w:t>
      </w:r>
      <w:r w:rsidRPr="004C591B">
        <w:rPr>
          <w:sz w:val="22"/>
          <w:lang w:val="en-GB"/>
        </w:rPr>
        <w:t xml:space="preserve"> Latitudinal variation of the </w:t>
      </w:r>
      <w:proofErr w:type="spellStart"/>
      <w:r w:rsidRPr="004C591B">
        <w:rPr>
          <w:sz w:val="22"/>
          <w:lang w:val="en-GB"/>
        </w:rPr>
        <w:t>lithogenic</w:t>
      </w:r>
      <w:proofErr w:type="spellEnd"/>
      <w:r w:rsidRPr="004C591B">
        <w:rPr>
          <w:sz w:val="22"/>
          <w:lang w:val="en-GB"/>
        </w:rPr>
        <w:t>-corrected</w:t>
      </w:r>
      <w:r w:rsidR="00502E90" w:rsidRPr="004C591B">
        <w:rPr>
          <w:sz w:val="22"/>
          <w:lang w:val="en-GB"/>
        </w:rPr>
        <w:t xml:space="preserve"> particulate Ni/P ratios (</w:t>
      </w:r>
      <w:proofErr w:type="spellStart"/>
      <w:r w:rsidRPr="004C591B">
        <w:rPr>
          <w:sz w:val="22"/>
          <w:lang w:val="en-GB"/>
        </w:rPr>
        <w:t>pNi</w:t>
      </w:r>
      <w:proofErr w:type="spellEnd"/>
      <w:r w:rsidRPr="004C591B">
        <w:rPr>
          <w:sz w:val="22"/>
          <w:lang w:val="en-GB"/>
        </w:rPr>
        <w:t>/</w:t>
      </w:r>
      <w:proofErr w:type="spellStart"/>
      <w:r w:rsidRPr="004C591B">
        <w:rPr>
          <w:sz w:val="22"/>
          <w:lang w:val="en-GB"/>
        </w:rPr>
        <w:t>pP</w:t>
      </w:r>
      <w:proofErr w:type="spellEnd"/>
      <w:r w:rsidR="00502E90" w:rsidRPr="004C591B">
        <w:rPr>
          <w:sz w:val="22"/>
          <w:lang w:val="en-GB"/>
        </w:rPr>
        <w:t xml:space="preserve">) </w:t>
      </w:r>
      <w:r w:rsidRPr="004C591B">
        <w:rPr>
          <w:sz w:val="22"/>
          <w:lang w:val="en-GB"/>
        </w:rPr>
        <w:t xml:space="preserve">along the GEOVIDE transect, with particulate data obtained from in-situ pumps </w:t>
      </w:r>
      <w:r w:rsidR="00253866" w:rsidRPr="004C591B">
        <w:rPr>
          <w:sz w:val="22"/>
          <w:lang w:val="en-GB"/>
        </w:rPr>
        <w:fldChar w:fldCharType="begin" w:fldLock="1"/>
      </w:r>
      <w:r w:rsidR="00253866" w:rsidRPr="004C591B">
        <w:rPr>
          <w:sz w:val="22"/>
          <w:lang w:val="en-GB"/>
        </w:rPr>
        <w:instrText>ADDIN CSL_CITATION {"citationItems":[{"id":"ITEM-1","itemData":{"DOI":"10.1021/acsearthspacechem.0c00045","author":[{"dropping-particle":"","family":"Lemaitre","given":"Nolwenn","non-dropping-particle":"","parse-names":false,"suffix":""},{"dropping-particle":"","family":"Planquette","given":"Hélène","non-dropping-particle":"","parse-names":false,"suffix":""},{"dropping-particle":"","family":"Dehairs","given":"Frank","non-dropping-particle":"","parse-names":false,"suffix":""},{"dropping-particle":"","family":"Planchon","given":"Frédéric","non-dropping-particle":"","parse-names":false,"suffix":""},{"dropping-particle":"","family":"Sarthou","given":"Géraldine","non-dropping-particle":"","parse-names":false,"suffix":""},{"dropping-particle":"","family":"Gallinari","given":"Morgane","non-dropping-particle":"","parse-names":false,"suffix":""},{"dropping-particle":"","family":"Roig","given":"Stéphane","non-dropping-particle":"","parse-names":false,"suffix":""},{"dropping-particle":"","family":"Jeandel","given":"Catherine","non-dropping-particle":"","parse-names":false,"suffix":""},{"dropping-particle":"","family":"Castrillejo","given":"Maxi","non-dropping-particle":"","parse-names":false,"suffix":""}],"container-title":"ACS Earth and Space Chemistry","id":"ITEM-1","issued":{"date-parts":[["2020"]]},"page":"2185-2204","title":"Particulate Trace Element Export in the North Atlantic (GEOTRACES GA01 Transect, GEOVIDE cruise)","type":"article-journal","volume":"4"},"uris":["http://www.mendeley.com/documents/?uuid=601df370-d053-455b-b215-9038fe989cfd"]}],"mendeley":{"formattedCitation":"(Lemaitre et al., 2020)","plainTextFormattedCitation":"(Lemaitre et al., 2020)","previouslyFormattedCitation":"(Lemaitre et al., 2020)"},"properties":{"noteIndex":0},"schema":"https://github.com/citation-style-language/schema/raw/master/csl-citation.json"}</w:instrText>
      </w:r>
      <w:r w:rsidR="00253866" w:rsidRPr="004C591B">
        <w:rPr>
          <w:sz w:val="22"/>
          <w:lang w:val="en-GB"/>
        </w:rPr>
        <w:fldChar w:fldCharType="separate"/>
      </w:r>
      <w:r w:rsidR="00253866" w:rsidRPr="004C591B">
        <w:rPr>
          <w:noProof/>
          <w:sz w:val="22"/>
          <w:lang w:val="en-GB"/>
        </w:rPr>
        <w:t>(Lemaitre et al., 2020)</w:t>
      </w:r>
      <w:r w:rsidR="00253866" w:rsidRPr="004C591B">
        <w:rPr>
          <w:sz w:val="22"/>
          <w:lang w:val="en-GB"/>
        </w:rPr>
        <w:fldChar w:fldCharType="end"/>
      </w:r>
      <w:r w:rsidRPr="004C591B">
        <w:rPr>
          <w:sz w:val="22"/>
          <w:lang w:val="en-GB"/>
        </w:rPr>
        <w:t xml:space="preserve">. The trend is confirmed by </w:t>
      </w:r>
      <w:proofErr w:type="spellStart"/>
      <w:r w:rsidRPr="004C591B">
        <w:rPr>
          <w:sz w:val="22"/>
          <w:lang w:val="en-GB"/>
        </w:rPr>
        <w:t>GoFlo</w:t>
      </w:r>
      <w:proofErr w:type="spellEnd"/>
      <w:r w:rsidRPr="004C591B">
        <w:rPr>
          <w:sz w:val="22"/>
          <w:lang w:val="en-GB"/>
        </w:rPr>
        <w:t xml:space="preserve"> data (Planquette et al., personal communication).</w:t>
      </w:r>
    </w:p>
    <w:p w14:paraId="4595C1A4" w14:textId="77777777" w:rsidR="00401CBE" w:rsidRPr="004C591B" w:rsidRDefault="00401CBE" w:rsidP="00401CBE">
      <w:pPr>
        <w:pStyle w:val="SMHeading"/>
        <w:jc w:val="center"/>
        <w:rPr>
          <w:sz w:val="22"/>
          <w:szCs w:val="20"/>
          <w:lang w:val="en-GB"/>
        </w:rPr>
        <w:sectPr w:rsidR="00401CBE" w:rsidRPr="004C591B" w:rsidSect="00F125EE">
          <w:headerReference w:type="default" r:id="rId19"/>
          <w:footerReference w:type="default" r:id="rId20"/>
          <w:pgSz w:w="12240" w:h="15840"/>
          <w:pgMar w:top="1440" w:right="1800" w:bottom="1440" w:left="1800" w:header="720" w:footer="720" w:gutter="0"/>
          <w:pgNumType w:start="1"/>
          <w:cols w:space="720"/>
          <w:docGrid w:linePitch="360"/>
        </w:sectPr>
      </w:pPr>
    </w:p>
    <w:p w14:paraId="38F4868D" w14:textId="60C918DC" w:rsidR="00D52595" w:rsidRPr="004C591B" w:rsidRDefault="00906978" w:rsidP="00906978">
      <w:pPr>
        <w:pStyle w:val="SMHeading"/>
        <w:jc w:val="center"/>
      </w:pPr>
      <w:r w:rsidRPr="004C591B">
        <w:lastRenderedPageBreak/>
        <w:t>Figure S</w:t>
      </w:r>
      <w:r w:rsidR="007D063A" w:rsidRPr="004C591B">
        <w:t>5</w:t>
      </w:r>
      <w:r w:rsidRPr="004C591B">
        <w:t>.</w:t>
      </w:r>
    </w:p>
    <w:p w14:paraId="4C3EB0D4" w14:textId="61D7DFFF" w:rsidR="00906978" w:rsidRPr="004C591B" w:rsidRDefault="00906978" w:rsidP="00906978">
      <w:pPr>
        <w:pStyle w:val="SMHeading"/>
        <w:jc w:val="center"/>
        <w:rPr>
          <w:b w:val="0"/>
        </w:rPr>
      </w:pPr>
      <w:r w:rsidRPr="004C591B">
        <w:rPr>
          <w:b w:val="0"/>
          <w:noProof/>
          <w:lang w:val="fr-FR" w:eastAsia="fr-FR"/>
        </w:rPr>
        <w:drawing>
          <wp:inline distT="0" distB="0" distL="0" distR="0" wp14:anchorId="0D5E6BFC" wp14:editId="6226AC59">
            <wp:extent cx="4118667" cy="2899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9535" cy="2907109"/>
                    </a:xfrm>
                    <a:prstGeom prst="rect">
                      <a:avLst/>
                    </a:prstGeom>
                    <a:noFill/>
                  </pic:spPr>
                </pic:pic>
              </a:graphicData>
            </a:graphic>
          </wp:inline>
        </w:drawing>
      </w:r>
    </w:p>
    <w:p w14:paraId="59C68306" w14:textId="261161BF" w:rsidR="007D063A" w:rsidRPr="004C591B" w:rsidRDefault="00906978" w:rsidP="00906978">
      <w:pPr>
        <w:pStyle w:val="SMHeading"/>
        <w:jc w:val="both"/>
        <w:rPr>
          <w:b w:val="0"/>
          <w:bCs w:val="0"/>
        </w:rPr>
        <w:sectPr w:rsidR="007D063A" w:rsidRPr="004C591B" w:rsidSect="004211A9">
          <w:pgSz w:w="12240" w:h="15840"/>
          <w:pgMar w:top="1440" w:right="1800" w:bottom="1440" w:left="1800" w:header="720" w:footer="720" w:gutter="0"/>
          <w:cols w:space="720"/>
          <w:docGrid w:linePitch="360"/>
        </w:sectPr>
      </w:pPr>
      <w:r w:rsidRPr="004C591B">
        <w:rPr>
          <w:u w:val="single"/>
        </w:rPr>
        <w:t>Fig. S</w:t>
      </w:r>
      <w:r w:rsidR="007D063A" w:rsidRPr="004C591B">
        <w:rPr>
          <w:u w:val="single"/>
        </w:rPr>
        <w:t>5</w:t>
      </w:r>
      <w:r w:rsidRPr="004C591B">
        <w:rPr>
          <w:u w:val="single"/>
        </w:rPr>
        <w:t>:</w:t>
      </w:r>
      <w:r w:rsidRPr="004C591B">
        <w:t xml:space="preserve"> </w:t>
      </w:r>
      <w:r w:rsidRPr="004C591B">
        <w:rPr>
          <w:b w:val="0"/>
          <w:lang w:val="en-GB"/>
        </w:rPr>
        <w:t>Comparison of the d</w:t>
      </w:r>
      <w:r w:rsidRPr="004C591B">
        <w:rPr>
          <w:b w:val="0"/>
          <w:bCs w:val="0"/>
          <w:lang w:val="en-GB"/>
        </w:rPr>
        <w:t>issolved Ni-δ</w:t>
      </w:r>
      <w:r w:rsidRPr="004C591B">
        <w:rPr>
          <w:b w:val="0"/>
          <w:bCs w:val="0"/>
          <w:vertAlign w:val="superscript"/>
          <w:lang w:val="en-GB"/>
        </w:rPr>
        <w:t>60</w:t>
      </w:r>
      <w:r w:rsidRPr="004C591B">
        <w:rPr>
          <w:b w:val="0"/>
          <w:bCs w:val="0"/>
          <w:lang w:val="en-GB"/>
        </w:rPr>
        <w:t xml:space="preserve">Ni systematics from the world ocean (in blue) with the results of the Total Matrix </w:t>
      </w:r>
      <w:proofErr w:type="spellStart"/>
      <w:r w:rsidRPr="004C591B">
        <w:rPr>
          <w:b w:val="0"/>
          <w:bCs w:val="0"/>
          <w:lang w:val="en-GB"/>
        </w:rPr>
        <w:t>Intercomparison</w:t>
      </w:r>
      <w:proofErr w:type="spellEnd"/>
      <w:r w:rsidRPr="004C591B">
        <w:rPr>
          <w:b w:val="0"/>
          <w:bCs w:val="0"/>
          <w:lang w:val="en-GB"/>
        </w:rPr>
        <w:t xml:space="preserve"> model, simulating both the physical</w:t>
      </w:r>
      <w:r w:rsidR="007D063A" w:rsidRPr="004C591B">
        <w:rPr>
          <w:b w:val="0"/>
          <w:bCs w:val="0"/>
          <w:lang w:val="en-GB"/>
        </w:rPr>
        <w:t xml:space="preserve"> circulation and remineralisation (in black, see Figure S</w:t>
      </w:r>
      <w:r w:rsidR="00401CBE" w:rsidRPr="004C591B">
        <w:rPr>
          <w:b w:val="0"/>
          <w:bCs w:val="0"/>
          <w:lang w:val="en-GB"/>
        </w:rPr>
        <w:t>1</w:t>
      </w:r>
      <w:r w:rsidR="00E06E9D" w:rsidRPr="004C591B">
        <w:rPr>
          <w:b w:val="0"/>
          <w:bCs w:val="0"/>
          <w:lang w:val="en-GB"/>
        </w:rPr>
        <w:t xml:space="preserve"> and Fig. 6 of the main text</w:t>
      </w:r>
      <w:r w:rsidR="007D063A" w:rsidRPr="004C591B">
        <w:rPr>
          <w:b w:val="0"/>
          <w:bCs w:val="0"/>
          <w:lang w:val="en-GB"/>
        </w:rPr>
        <w:t xml:space="preserve">). </w:t>
      </w:r>
      <w:r w:rsidR="00266F0C" w:rsidRPr="004C591B">
        <w:rPr>
          <w:b w:val="0"/>
          <w:bCs w:val="0"/>
          <w:lang w:val="en-GB"/>
        </w:rPr>
        <w:t xml:space="preserve">Red circles represent model output (black) perturbed with normally-distributed noise (2SD </w:t>
      </w:r>
      <w:r w:rsidR="00266F0C" w:rsidRPr="004C591B">
        <w:rPr>
          <w:b w:val="0"/>
          <w:bCs w:val="0"/>
          <w:lang w:val="en-GB"/>
        </w:rPr>
        <w:t>±</w:t>
      </w:r>
      <w:r w:rsidR="00266F0C" w:rsidRPr="004C591B">
        <w:rPr>
          <w:b w:val="0"/>
          <w:bCs w:val="0"/>
          <w:lang w:val="en-GB"/>
        </w:rPr>
        <w:t>0.07 ‰) in order to represent the observational data expected if the model distribution were sampled with current analytical uncertainty</w:t>
      </w:r>
      <w:r w:rsidR="007D063A" w:rsidRPr="004C591B">
        <w:rPr>
          <w:b w:val="0"/>
          <w:bCs w:val="0"/>
          <w:lang w:val="en-GB"/>
        </w:rPr>
        <w:t>.</w:t>
      </w:r>
      <w:r w:rsidR="00E06E9D" w:rsidRPr="004C591B">
        <w:rPr>
          <w:b w:val="0"/>
          <w:bCs w:val="0"/>
          <w:lang w:val="en-GB"/>
        </w:rPr>
        <w:t xml:space="preserve"> This comparison shows that our standard model output is consistent with the vast majority of data</w:t>
      </w:r>
      <w:r w:rsidR="00E06E9D" w:rsidRPr="004C591B">
        <w:rPr>
          <w:b w:val="0"/>
          <w:bCs w:val="0"/>
        </w:rPr>
        <w:t xml:space="preserve"> within analytical uncertainty on </w:t>
      </w:r>
      <w:r w:rsidR="00E06E9D" w:rsidRPr="004C591B">
        <w:rPr>
          <w:b w:val="0"/>
          <w:bCs w:val="0"/>
          <w:lang w:val="en-GB"/>
        </w:rPr>
        <w:t>δ</w:t>
      </w:r>
      <w:r w:rsidR="00E06E9D" w:rsidRPr="004C591B">
        <w:rPr>
          <w:b w:val="0"/>
          <w:bCs w:val="0"/>
          <w:vertAlign w:val="superscript"/>
          <w:lang w:val="en-GB"/>
        </w:rPr>
        <w:t>60</w:t>
      </w:r>
      <w:r w:rsidR="00E06E9D" w:rsidRPr="004C591B">
        <w:rPr>
          <w:b w:val="0"/>
          <w:bCs w:val="0"/>
          <w:lang w:val="en-GB"/>
        </w:rPr>
        <w:t>Ni.</w:t>
      </w:r>
      <w:r w:rsidR="00E06E9D" w:rsidRPr="004C591B">
        <w:rPr>
          <w:b w:val="0"/>
          <w:bCs w:val="0"/>
        </w:rPr>
        <w:t xml:space="preserve"> </w:t>
      </w:r>
      <w:bookmarkStart w:id="0" w:name="_GoBack"/>
      <w:bookmarkEnd w:id="0"/>
    </w:p>
    <w:p w14:paraId="2029FFC6" w14:textId="2F9E0D55" w:rsidR="007D063A" w:rsidRPr="004C591B" w:rsidRDefault="007D063A" w:rsidP="007D063A">
      <w:pPr>
        <w:pStyle w:val="SMHeading"/>
        <w:jc w:val="center"/>
        <w:rPr>
          <w:szCs w:val="20"/>
        </w:rPr>
      </w:pPr>
      <w:r w:rsidRPr="004C591B">
        <w:rPr>
          <w:szCs w:val="20"/>
        </w:rPr>
        <w:lastRenderedPageBreak/>
        <w:t>Figure S6.</w:t>
      </w:r>
    </w:p>
    <w:p w14:paraId="06461883" w14:textId="77777777" w:rsidR="007D063A" w:rsidRPr="004C591B" w:rsidRDefault="007D063A" w:rsidP="007D063A">
      <w:r w:rsidRPr="004C591B">
        <w:rPr>
          <w:noProof/>
          <w:lang w:val="fr-FR" w:eastAsia="fr-FR"/>
        </w:rPr>
        <w:drawing>
          <wp:inline distT="0" distB="0" distL="0" distR="0" wp14:anchorId="4ECC4B75" wp14:editId="0E77A8B0">
            <wp:extent cx="5552801" cy="44429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6378" cy="4445843"/>
                    </a:xfrm>
                    <a:prstGeom prst="rect">
                      <a:avLst/>
                    </a:prstGeom>
                    <a:noFill/>
                  </pic:spPr>
                </pic:pic>
              </a:graphicData>
            </a:graphic>
          </wp:inline>
        </w:drawing>
      </w:r>
    </w:p>
    <w:p w14:paraId="4A271B4D" w14:textId="4492325C" w:rsidR="007D063A" w:rsidRPr="004C591B" w:rsidRDefault="007D063A" w:rsidP="007D063A">
      <w:pPr>
        <w:pStyle w:val="SMHeading"/>
        <w:jc w:val="both"/>
        <w:rPr>
          <w:sz w:val="22"/>
          <w:szCs w:val="20"/>
        </w:rPr>
      </w:pPr>
      <w:r w:rsidRPr="004C591B">
        <w:rPr>
          <w:sz w:val="22"/>
          <w:u w:val="single"/>
          <w:lang w:val="en-GB"/>
        </w:rPr>
        <w:t>Fig. S6:</w:t>
      </w:r>
      <w:r w:rsidRPr="004C591B">
        <w:rPr>
          <w:b w:val="0"/>
          <w:sz w:val="22"/>
          <w:lang w:val="en-GB"/>
        </w:rPr>
        <w:t xml:space="preserve"> Ni concentrations against Si(OH)</w:t>
      </w:r>
      <w:r w:rsidRPr="004C591B">
        <w:rPr>
          <w:b w:val="0"/>
          <w:sz w:val="22"/>
          <w:vertAlign w:val="subscript"/>
          <w:lang w:val="en-GB"/>
        </w:rPr>
        <w:t>4</w:t>
      </w:r>
      <w:r w:rsidRPr="004C591B">
        <w:rPr>
          <w:b w:val="0"/>
          <w:sz w:val="22"/>
          <w:lang w:val="en-GB"/>
        </w:rPr>
        <w:t xml:space="preserve"> (a), NO</w:t>
      </w:r>
      <w:r w:rsidRPr="004C591B">
        <w:rPr>
          <w:b w:val="0"/>
          <w:sz w:val="22"/>
          <w:vertAlign w:val="subscript"/>
          <w:lang w:val="en-GB"/>
        </w:rPr>
        <w:t>3</w:t>
      </w:r>
      <w:r w:rsidRPr="004C591B">
        <w:rPr>
          <w:b w:val="0"/>
          <w:sz w:val="22"/>
          <w:vertAlign w:val="superscript"/>
          <w:lang w:val="en-GB"/>
        </w:rPr>
        <w:t>-</w:t>
      </w:r>
      <w:r w:rsidRPr="004C591B">
        <w:rPr>
          <w:b w:val="0"/>
          <w:sz w:val="22"/>
          <w:lang w:val="en-GB"/>
        </w:rPr>
        <w:t xml:space="preserve"> (b) and PO</w:t>
      </w:r>
      <w:r w:rsidRPr="004C591B">
        <w:rPr>
          <w:b w:val="0"/>
          <w:sz w:val="22"/>
          <w:vertAlign w:val="subscript"/>
          <w:lang w:val="en-GB"/>
        </w:rPr>
        <w:t>4</w:t>
      </w:r>
      <w:r w:rsidRPr="004C591B">
        <w:rPr>
          <w:b w:val="0"/>
          <w:sz w:val="22"/>
          <w:vertAlign w:val="superscript"/>
          <w:lang w:val="en-GB"/>
        </w:rPr>
        <w:t>3-</w:t>
      </w:r>
      <w:r w:rsidRPr="004C591B">
        <w:rPr>
          <w:b w:val="0"/>
          <w:sz w:val="22"/>
          <w:lang w:val="en-GB"/>
        </w:rPr>
        <w:t xml:space="preserve"> (c) concentrations in the Atlantic ocean (from the GEOVIDE, GA02, GA03, ANT XXIV/3, GA10, and RRS 354 cruises; </w:t>
      </w:r>
      <w:r w:rsidRPr="004C591B">
        <w:rPr>
          <w:b w:val="0"/>
          <w:sz w:val="22"/>
          <w:lang w:val="en-GB"/>
        </w:rPr>
        <w:fldChar w:fldCharType="begin" w:fldLock="1"/>
      </w:r>
      <w:r w:rsidR="00253866" w:rsidRPr="004C591B">
        <w:rPr>
          <w:b w:val="0"/>
          <w:sz w:val="22"/>
          <w:lang w:val="en-GB"/>
        </w:rPr>
        <w:instrText>ADDIN CSL_CITATION {"citationItems":[{"id":"ITEM-1","itemData":{"DOI":"doi:10.5285/cf2d9ba9-d51d-3b7c-e053-8486abc0f5fd","author":[{"dropping-particle":"","family":"GEOTRACES Intermediate Data Product Group","given":"","non-dropping-particle":"","parse-names":false,"suffix":""}],"container-title":"NERC EDS British Oceanographic Data Centre NOC.","id":"ITEM-1","issued":{"date-parts":[["2021"]]},"title":"The GEOTRACES GEOTRACES Intermediate Data Product 2021 (IDP2021)","type":"article-journal"},"uris":["http://www.mendeley.com/documents/?uuid=499f8d6e-6366-4e31-b3e8-13b87e7246f7"]}],"mendeley":{"formattedCitation":"(GEOTRACES Intermediate Data Product Group, 2021)","manualFormatting":"GEOTRACES Intermediate Data Product, 2021)","plainTextFormattedCitation":"(GEOTRACES Intermediate Data Product Group, 2021)","previouslyFormattedCitation":"(GEOTRACES Intermediate Data Product Group, 2021)"},"properties":{"noteIndex":0},"schema":"https://github.com/citation-style-language/schema/raw/master/csl-citation.json"}</w:instrText>
      </w:r>
      <w:r w:rsidRPr="004C591B">
        <w:rPr>
          <w:b w:val="0"/>
          <w:sz w:val="22"/>
          <w:lang w:val="en-GB"/>
        </w:rPr>
        <w:fldChar w:fldCharType="separate"/>
      </w:r>
      <w:r w:rsidRPr="004C591B">
        <w:rPr>
          <w:b w:val="0"/>
          <w:noProof/>
          <w:sz w:val="22"/>
          <w:lang w:val="en-GB"/>
        </w:rPr>
        <w:t>GEOTRACES Intermediate Data Product, 2021)</w:t>
      </w:r>
      <w:r w:rsidRPr="004C591B">
        <w:rPr>
          <w:b w:val="0"/>
          <w:sz w:val="22"/>
          <w:lang w:val="en-GB"/>
        </w:rPr>
        <w:fldChar w:fldCharType="end"/>
      </w:r>
      <w:r w:rsidRPr="004C591B">
        <w:rPr>
          <w:b w:val="0"/>
          <w:sz w:val="22"/>
          <w:lang w:val="en-GB"/>
        </w:rPr>
        <w:t>. Red circles indicate stations from the low latitude ocean (filled symbols for depths &lt;500</w:t>
      </w:r>
      <w:r w:rsidR="00A70655" w:rsidRPr="004C591B">
        <w:rPr>
          <w:b w:val="0"/>
          <w:sz w:val="22"/>
          <w:lang w:val="en-GB"/>
        </w:rPr>
        <w:t xml:space="preserve"> </w:t>
      </w:r>
      <w:r w:rsidRPr="004C591B">
        <w:rPr>
          <w:b w:val="0"/>
          <w:sz w:val="22"/>
          <w:lang w:val="en-GB"/>
        </w:rPr>
        <w:t>m) while blue triangles indicate stations from the high latitude ocean (triangles pointing towards the right for the Southern Ocean and triangles pointing towards the left for the subpolar North Atlantic). Correlations between data are also indicated: the continuous thin black line for low latitude stations (only for the upper 500</w:t>
      </w:r>
      <w:r w:rsidR="00A70655" w:rsidRPr="004C591B">
        <w:rPr>
          <w:b w:val="0"/>
          <w:sz w:val="22"/>
          <w:lang w:val="en-GB"/>
        </w:rPr>
        <w:t xml:space="preserve"> </w:t>
      </w:r>
      <w:r w:rsidRPr="004C591B">
        <w:rPr>
          <w:b w:val="0"/>
          <w:sz w:val="22"/>
          <w:lang w:val="en-GB"/>
        </w:rPr>
        <w:t>m for the Ni-</w:t>
      </w:r>
      <w:proofErr w:type="gramStart"/>
      <w:r w:rsidRPr="004C591B">
        <w:rPr>
          <w:b w:val="0"/>
          <w:sz w:val="22"/>
          <w:lang w:val="en-GB"/>
        </w:rPr>
        <w:t>Si(</w:t>
      </w:r>
      <w:proofErr w:type="gramEnd"/>
      <w:r w:rsidRPr="004C591B">
        <w:rPr>
          <w:b w:val="0"/>
          <w:sz w:val="22"/>
          <w:lang w:val="en-GB"/>
        </w:rPr>
        <w:t>OH)</w:t>
      </w:r>
      <w:r w:rsidRPr="004C591B">
        <w:rPr>
          <w:b w:val="0"/>
          <w:sz w:val="22"/>
          <w:vertAlign w:val="subscript"/>
          <w:lang w:val="en-GB"/>
        </w:rPr>
        <w:t>4</w:t>
      </w:r>
      <w:r w:rsidRPr="004C591B">
        <w:rPr>
          <w:b w:val="0"/>
          <w:sz w:val="22"/>
          <w:lang w:val="en-GB"/>
        </w:rPr>
        <w:t xml:space="preserve"> relationship), the dashed black lines for subpolar stations.</w:t>
      </w:r>
    </w:p>
    <w:p w14:paraId="594F3E46" w14:textId="77777777" w:rsidR="007D063A" w:rsidRPr="004C591B" w:rsidRDefault="007D063A" w:rsidP="007D063A"/>
    <w:p w14:paraId="1AADF866" w14:textId="77777777" w:rsidR="00906978" w:rsidRPr="004C591B" w:rsidRDefault="00906978" w:rsidP="00906978">
      <w:pPr>
        <w:pStyle w:val="SMHeading"/>
        <w:jc w:val="both"/>
        <w:rPr>
          <w:b w:val="0"/>
        </w:rPr>
        <w:sectPr w:rsidR="00906978" w:rsidRPr="004C591B" w:rsidSect="004211A9">
          <w:pgSz w:w="12240" w:h="15840"/>
          <w:pgMar w:top="1440" w:right="1800" w:bottom="1440" w:left="1800" w:header="720" w:footer="720" w:gutter="0"/>
          <w:cols w:space="720"/>
          <w:docGrid w:linePitch="360"/>
        </w:sectPr>
      </w:pPr>
    </w:p>
    <w:p w14:paraId="5A1A79CC" w14:textId="003D9234" w:rsidR="009A5287" w:rsidRPr="004C591B" w:rsidRDefault="00015F74" w:rsidP="00824938">
      <w:pPr>
        <w:pStyle w:val="SMHeading"/>
        <w:jc w:val="both"/>
        <w:rPr>
          <w:b w:val="0"/>
          <w:szCs w:val="20"/>
        </w:rPr>
      </w:pPr>
      <w:r w:rsidRPr="004C591B">
        <w:rPr>
          <w:szCs w:val="20"/>
          <w:u w:val="single"/>
        </w:rPr>
        <w:lastRenderedPageBreak/>
        <w:t>Table S1</w:t>
      </w:r>
      <w:r w:rsidRPr="004C591B">
        <w:rPr>
          <w:szCs w:val="20"/>
        </w:rPr>
        <w:t>.</w:t>
      </w:r>
      <w:r w:rsidR="00B42F9C" w:rsidRPr="004C591B">
        <w:rPr>
          <w:szCs w:val="20"/>
        </w:rPr>
        <w:t xml:space="preserve"> </w:t>
      </w:r>
      <w:r w:rsidR="00D0381A" w:rsidRPr="004C591B">
        <w:rPr>
          <w:b w:val="0"/>
        </w:rPr>
        <w:t>D</w:t>
      </w:r>
      <w:proofErr w:type="spellStart"/>
      <w:r w:rsidR="00D0381A" w:rsidRPr="004C591B">
        <w:rPr>
          <w:b w:val="0"/>
          <w:lang w:val="en-GB"/>
        </w:rPr>
        <w:t>issolved</w:t>
      </w:r>
      <w:proofErr w:type="spellEnd"/>
      <w:r w:rsidR="00D0381A" w:rsidRPr="004C591B">
        <w:rPr>
          <w:b w:val="0"/>
          <w:lang w:val="en-GB"/>
        </w:rPr>
        <w:t xml:space="preserve"> δ</w:t>
      </w:r>
      <w:r w:rsidR="00D0381A" w:rsidRPr="004C591B">
        <w:rPr>
          <w:b w:val="0"/>
          <w:vertAlign w:val="superscript"/>
          <w:lang w:val="en-GB"/>
        </w:rPr>
        <w:t>60</w:t>
      </w:r>
      <w:r w:rsidR="00D0381A" w:rsidRPr="004C591B">
        <w:rPr>
          <w:b w:val="0"/>
          <w:lang w:val="en-GB"/>
        </w:rPr>
        <w:t>Ni, Ni concentrations, si</w:t>
      </w:r>
      <w:r w:rsidR="008F0A20" w:rsidRPr="004C591B">
        <w:rPr>
          <w:b w:val="0"/>
          <w:lang w:val="en-GB"/>
        </w:rPr>
        <w:t>licate (</w:t>
      </w:r>
      <w:proofErr w:type="gramStart"/>
      <w:r w:rsidR="008F0A20" w:rsidRPr="004C591B">
        <w:rPr>
          <w:b w:val="0"/>
          <w:lang w:val="en-GB"/>
        </w:rPr>
        <w:t>Si(</w:t>
      </w:r>
      <w:proofErr w:type="gramEnd"/>
      <w:r w:rsidR="008F0A20" w:rsidRPr="004C591B">
        <w:rPr>
          <w:b w:val="0"/>
          <w:lang w:val="en-GB"/>
        </w:rPr>
        <w:t>OH)</w:t>
      </w:r>
      <w:r w:rsidR="008F0A20" w:rsidRPr="004C591B">
        <w:rPr>
          <w:b w:val="0"/>
          <w:vertAlign w:val="subscript"/>
          <w:lang w:val="en-GB"/>
        </w:rPr>
        <w:t>4</w:t>
      </w:r>
      <w:r w:rsidR="008F0A20" w:rsidRPr="004C591B">
        <w:rPr>
          <w:b w:val="0"/>
          <w:lang w:val="en-GB"/>
        </w:rPr>
        <w:t>), nitrate (NO</w:t>
      </w:r>
      <w:r w:rsidR="008F0A20" w:rsidRPr="004C591B">
        <w:rPr>
          <w:b w:val="0"/>
          <w:vertAlign w:val="subscript"/>
          <w:lang w:val="en-GB"/>
        </w:rPr>
        <w:t>3</w:t>
      </w:r>
      <w:r w:rsidR="00D0381A" w:rsidRPr="004C591B">
        <w:rPr>
          <w:b w:val="0"/>
          <w:vertAlign w:val="superscript"/>
          <w:lang w:val="en-GB"/>
        </w:rPr>
        <w:t>-</w:t>
      </w:r>
      <w:r w:rsidR="008F0A20" w:rsidRPr="004C591B">
        <w:rPr>
          <w:b w:val="0"/>
          <w:lang w:val="en-GB"/>
        </w:rPr>
        <w:t>),</w:t>
      </w:r>
      <w:r w:rsidR="00D0381A" w:rsidRPr="004C591B">
        <w:rPr>
          <w:b w:val="0"/>
          <w:lang w:val="en-GB"/>
        </w:rPr>
        <w:t xml:space="preserve"> temperature and salinity</w:t>
      </w:r>
      <w:r w:rsidR="008F0A20" w:rsidRPr="004C591B">
        <w:rPr>
          <w:b w:val="0"/>
          <w:lang w:val="en-GB"/>
        </w:rPr>
        <w:t xml:space="preserve"> for 6 stations across the GEOVIDE transect. There are no PO</w:t>
      </w:r>
      <w:r w:rsidR="008F0A20" w:rsidRPr="004C591B">
        <w:rPr>
          <w:b w:val="0"/>
          <w:vertAlign w:val="subscript"/>
          <w:lang w:val="en-GB"/>
        </w:rPr>
        <w:t>4</w:t>
      </w:r>
      <w:r w:rsidR="008F0A20" w:rsidRPr="004C591B">
        <w:rPr>
          <w:b w:val="0"/>
          <w:vertAlign w:val="superscript"/>
          <w:lang w:val="en-GB"/>
        </w:rPr>
        <w:t>3-</w:t>
      </w:r>
      <w:r w:rsidR="008F0A20" w:rsidRPr="004C591B">
        <w:rPr>
          <w:b w:val="0"/>
          <w:lang w:val="en-GB"/>
        </w:rPr>
        <w:t xml:space="preserve"> data available for GEOVIDE.</w:t>
      </w:r>
      <w:r w:rsidR="00477182" w:rsidRPr="004C591B">
        <w:rPr>
          <w:b w:val="0"/>
          <w:szCs w:val="20"/>
        </w:rPr>
        <w:t xml:space="preserve"> </w:t>
      </w:r>
    </w:p>
    <w:p w14:paraId="44BF6B4A" w14:textId="77777777" w:rsidR="001C0975" w:rsidRPr="004C591B" w:rsidRDefault="001C0975" w:rsidP="00477182">
      <w:pPr>
        <w:pStyle w:val="SMcaption"/>
        <w:rPr>
          <w:rFonts w:ascii="Arial" w:hAnsi="Arial" w:cs="Arial"/>
          <w:sz w:val="20"/>
        </w:rPr>
      </w:pPr>
    </w:p>
    <w:tbl>
      <w:tblPr>
        <w:tblW w:w="8280" w:type="dxa"/>
        <w:tblCellMar>
          <w:left w:w="70" w:type="dxa"/>
          <w:right w:w="70" w:type="dxa"/>
        </w:tblCellMar>
        <w:tblLook w:val="04A0" w:firstRow="1" w:lastRow="0" w:firstColumn="1" w:lastColumn="0" w:noHBand="0" w:noVBand="1"/>
      </w:tblPr>
      <w:tblGrid>
        <w:gridCol w:w="1100"/>
        <w:gridCol w:w="960"/>
        <w:gridCol w:w="960"/>
        <w:gridCol w:w="960"/>
        <w:gridCol w:w="960"/>
        <w:gridCol w:w="960"/>
        <w:gridCol w:w="1420"/>
        <w:gridCol w:w="960"/>
      </w:tblGrid>
      <w:tr w:rsidR="004C591B" w:rsidRPr="004C591B" w14:paraId="0C6DFA6E" w14:textId="77777777" w:rsidTr="00C91B88">
        <w:trPr>
          <w:trHeight w:val="330"/>
        </w:trPr>
        <w:tc>
          <w:tcPr>
            <w:tcW w:w="1100" w:type="dxa"/>
            <w:tcBorders>
              <w:top w:val="single" w:sz="4" w:space="0" w:color="auto"/>
              <w:left w:val="nil"/>
              <w:bottom w:val="nil"/>
              <w:right w:val="nil"/>
            </w:tcBorders>
            <w:shd w:val="clear" w:color="000000" w:fill="FFFFFF"/>
            <w:noWrap/>
            <w:vAlign w:val="center"/>
            <w:hideMark/>
          </w:tcPr>
          <w:p w14:paraId="4381E07D"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Depth</w:t>
            </w:r>
            <w:proofErr w:type="spellEnd"/>
          </w:p>
        </w:tc>
        <w:tc>
          <w:tcPr>
            <w:tcW w:w="960" w:type="dxa"/>
            <w:tcBorders>
              <w:top w:val="single" w:sz="4" w:space="0" w:color="auto"/>
              <w:left w:val="nil"/>
              <w:bottom w:val="nil"/>
              <w:right w:val="nil"/>
            </w:tcBorders>
            <w:shd w:val="clear" w:color="000000" w:fill="FFFFFF"/>
            <w:noWrap/>
            <w:vAlign w:val="center"/>
            <w:hideMark/>
          </w:tcPr>
          <w:p w14:paraId="688DFA5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δ</w:t>
            </w:r>
            <w:r w:rsidRPr="004C591B">
              <w:rPr>
                <w:rFonts w:ascii="Arial" w:hAnsi="Arial" w:cs="Arial"/>
                <w:sz w:val="22"/>
                <w:szCs w:val="22"/>
                <w:vertAlign w:val="superscript"/>
                <w:lang w:val="fr-FR" w:eastAsia="fr-FR"/>
              </w:rPr>
              <w:t>60</w:t>
            </w:r>
            <w:r w:rsidRPr="004C591B">
              <w:rPr>
                <w:rFonts w:ascii="Arial" w:hAnsi="Arial" w:cs="Arial"/>
                <w:sz w:val="22"/>
                <w:szCs w:val="22"/>
                <w:lang w:val="fr-FR" w:eastAsia="fr-FR"/>
              </w:rPr>
              <w:t>Ni</w:t>
            </w:r>
          </w:p>
        </w:tc>
        <w:tc>
          <w:tcPr>
            <w:tcW w:w="960" w:type="dxa"/>
            <w:tcBorders>
              <w:top w:val="single" w:sz="4" w:space="0" w:color="auto"/>
              <w:left w:val="nil"/>
              <w:bottom w:val="nil"/>
              <w:right w:val="nil"/>
            </w:tcBorders>
            <w:shd w:val="clear" w:color="000000" w:fill="FFFFFF"/>
            <w:noWrap/>
            <w:vAlign w:val="center"/>
            <w:hideMark/>
          </w:tcPr>
          <w:p w14:paraId="29C9E12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2SD</w:t>
            </w:r>
          </w:p>
        </w:tc>
        <w:tc>
          <w:tcPr>
            <w:tcW w:w="960" w:type="dxa"/>
            <w:tcBorders>
              <w:top w:val="single" w:sz="4" w:space="0" w:color="auto"/>
              <w:left w:val="nil"/>
              <w:bottom w:val="nil"/>
              <w:right w:val="nil"/>
            </w:tcBorders>
            <w:shd w:val="clear" w:color="000000" w:fill="FFFFFF"/>
            <w:noWrap/>
            <w:vAlign w:val="center"/>
            <w:hideMark/>
          </w:tcPr>
          <w:p w14:paraId="40CE7CB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[Ni]</w:t>
            </w:r>
          </w:p>
        </w:tc>
        <w:tc>
          <w:tcPr>
            <w:tcW w:w="960" w:type="dxa"/>
            <w:tcBorders>
              <w:top w:val="single" w:sz="4" w:space="0" w:color="auto"/>
              <w:left w:val="nil"/>
              <w:bottom w:val="nil"/>
              <w:right w:val="nil"/>
            </w:tcBorders>
            <w:shd w:val="clear" w:color="000000" w:fill="FFFFFF"/>
            <w:noWrap/>
            <w:vAlign w:val="center"/>
            <w:hideMark/>
          </w:tcPr>
          <w:p w14:paraId="4C9253A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NO</w:t>
            </w:r>
            <w:r w:rsidRPr="004C591B">
              <w:rPr>
                <w:rFonts w:ascii="Arial" w:hAnsi="Arial" w:cs="Arial"/>
                <w:sz w:val="22"/>
                <w:szCs w:val="22"/>
                <w:vertAlign w:val="subscript"/>
                <w:lang w:val="fr-FR" w:eastAsia="fr-FR"/>
              </w:rPr>
              <w:t>3</w:t>
            </w:r>
            <w:r w:rsidRPr="004C591B">
              <w:rPr>
                <w:rFonts w:ascii="Arial" w:hAnsi="Arial" w:cs="Arial"/>
                <w:sz w:val="22"/>
                <w:szCs w:val="22"/>
                <w:vertAlign w:val="superscript"/>
                <w:lang w:val="fr-FR" w:eastAsia="fr-FR"/>
              </w:rPr>
              <w:t>-</w:t>
            </w:r>
          </w:p>
        </w:tc>
        <w:tc>
          <w:tcPr>
            <w:tcW w:w="960" w:type="dxa"/>
            <w:tcBorders>
              <w:top w:val="single" w:sz="4" w:space="0" w:color="auto"/>
              <w:left w:val="nil"/>
              <w:bottom w:val="nil"/>
              <w:right w:val="nil"/>
            </w:tcBorders>
            <w:shd w:val="clear" w:color="000000" w:fill="FFFFFF"/>
            <w:noWrap/>
            <w:vAlign w:val="center"/>
            <w:hideMark/>
          </w:tcPr>
          <w:p w14:paraId="249F7D0B" w14:textId="3CDCDE01"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SiOH</w:t>
            </w:r>
            <w:r w:rsidRPr="004C591B">
              <w:rPr>
                <w:rFonts w:ascii="Arial" w:hAnsi="Arial" w:cs="Arial"/>
                <w:sz w:val="22"/>
                <w:szCs w:val="22"/>
                <w:vertAlign w:val="subscript"/>
                <w:lang w:val="fr-FR" w:eastAsia="fr-FR"/>
              </w:rPr>
              <w:t>4</w:t>
            </w:r>
          </w:p>
        </w:tc>
        <w:tc>
          <w:tcPr>
            <w:tcW w:w="1420" w:type="dxa"/>
            <w:tcBorders>
              <w:top w:val="single" w:sz="4" w:space="0" w:color="auto"/>
              <w:left w:val="nil"/>
              <w:bottom w:val="nil"/>
              <w:right w:val="nil"/>
            </w:tcBorders>
            <w:shd w:val="clear" w:color="000000" w:fill="FFFFFF"/>
            <w:noWrap/>
            <w:vAlign w:val="center"/>
            <w:hideMark/>
          </w:tcPr>
          <w:p w14:paraId="158CC6E5"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Temperature</w:t>
            </w:r>
            <w:proofErr w:type="spellEnd"/>
          </w:p>
        </w:tc>
        <w:tc>
          <w:tcPr>
            <w:tcW w:w="960" w:type="dxa"/>
            <w:tcBorders>
              <w:top w:val="single" w:sz="4" w:space="0" w:color="auto"/>
              <w:left w:val="nil"/>
              <w:bottom w:val="nil"/>
              <w:right w:val="nil"/>
            </w:tcBorders>
            <w:shd w:val="clear" w:color="000000" w:fill="FFFFFF"/>
            <w:noWrap/>
            <w:vAlign w:val="center"/>
            <w:hideMark/>
          </w:tcPr>
          <w:p w14:paraId="54B705FF"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Salinity</w:t>
            </w:r>
            <w:proofErr w:type="spellEnd"/>
          </w:p>
        </w:tc>
      </w:tr>
      <w:tr w:rsidR="004C591B" w:rsidRPr="004C591B" w14:paraId="11C2A813" w14:textId="77777777" w:rsidTr="00C91B88">
        <w:trPr>
          <w:trHeight w:val="290"/>
        </w:trPr>
        <w:tc>
          <w:tcPr>
            <w:tcW w:w="1100" w:type="dxa"/>
            <w:tcBorders>
              <w:top w:val="nil"/>
              <w:left w:val="nil"/>
              <w:bottom w:val="single" w:sz="4" w:space="0" w:color="auto"/>
              <w:right w:val="nil"/>
            </w:tcBorders>
            <w:shd w:val="clear" w:color="000000" w:fill="FFFFFF"/>
            <w:noWrap/>
            <w:vAlign w:val="center"/>
            <w:hideMark/>
          </w:tcPr>
          <w:p w14:paraId="722D0BE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m</w:t>
            </w:r>
          </w:p>
        </w:tc>
        <w:tc>
          <w:tcPr>
            <w:tcW w:w="960" w:type="dxa"/>
            <w:tcBorders>
              <w:top w:val="nil"/>
              <w:left w:val="nil"/>
              <w:bottom w:val="single" w:sz="4" w:space="0" w:color="auto"/>
              <w:right w:val="nil"/>
            </w:tcBorders>
            <w:shd w:val="clear" w:color="000000" w:fill="FFFFFF"/>
            <w:noWrap/>
            <w:vAlign w:val="center"/>
            <w:hideMark/>
          </w:tcPr>
          <w:p w14:paraId="452F654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w:t>
            </w:r>
          </w:p>
        </w:tc>
        <w:tc>
          <w:tcPr>
            <w:tcW w:w="960" w:type="dxa"/>
            <w:tcBorders>
              <w:top w:val="nil"/>
              <w:left w:val="nil"/>
              <w:bottom w:val="single" w:sz="4" w:space="0" w:color="auto"/>
              <w:right w:val="nil"/>
            </w:tcBorders>
            <w:shd w:val="clear" w:color="000000" w:fill="FFFFFF"/>
            <w:noWrap/>
            <w:vAlign w:val="center"/>
            <w:hideMark/>
          </w:tcPr>
          <w:p w14:paraId="464C46A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w:t>
            </w:r>
          </w:p>
        </w:tc>
        <w:tc>
          <w:tcPr>
            <w:tcW w:w="960" w:type="dxa"/>
            <w:tcBorders>
              <w:top w:val="nil"/>
              <w:left w:val="nil"/>
              <w:bottom w:val="single" w:sz="4" w:space="0" w:color="auto"/>
              <w:right w:val="nil"/>
            </w:tcBorders>
            <w:shd w:val="clear" w:color="000000" w:fill="FFFFFF"/>
            <w:noWrap/>
            <w:vAlign w:val="center"/>
            <w:hideMark/>
          </w:tcPr>
          <w:p w14:paraId="773F5EEA"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nmol</w:t>
            </w:r>
            <w:proofErr w:type="spellEnd"/>
            <w:r w:rsidRPr="004C591B">
              <w:rPr>
                <w:rFonts w:ascii="Arial" w:hAnsi="Arial" w:cs="Arial"/>
                <w:sz w:val="22"/>
                <w:szCs w:val="22"/>
                <w:lang w:val="fr-FR" w:eastAsia="fr-FR"/>
              </w:rPr>
              <w:t>/L</w:t>
            </w:r>
          </w:p>
        </w:tc>
        <w:tc>
          <w:tcPr>
            <w:tcW w:w="960" w:type="dxa"/>
            <w:tcBorders>
              <w:top w:val="nil"/>
              <w:left w:val="nil"/>
              <w:bottom w:val="single" w:sz="4" w:space="0" w:color="auto"/>
              <w:right w:val="nil"/>
            </w:tcBorders>
            <w:shd w:val="clear" w:color="000000" w:fill="FFFFFF"/>
            <w:noWrap/>
            <w:vAlign w:val="center"/>
            <w:hideMark/>
          </w:tcPr>
          <w:p w14:paraId="5529269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µmol/L</w:t>
            </w:r>
          </w:p>
        </w:tc>
        <w:tc>
          <w:tcPr>
            <w:tcW w:w="960" w:type="dxa"/>
            <w:tcBorders>
              <w:top w:val="nil"/>
              <w:left w:val="nil"/>
              <w:bottom w:val="single" w:sz="4" w:space="0" w:color="auto"/>
              <w:right w:val="nil"/>
            </w:tcBorders>
            <w:shd w:val="clear" w:color="000000" w:fill="FFFFFF"/>
            <w:noWrap/>
            <w:vAlign w:val="center"/>
            <w:hideMark/>
          </w:tcPr>
          <w:p w14:paraId="26B9C11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µmol/L</w:t>
            </w:r>
          </w:p>
        </w:tc>
        <w:tc>
          <w:tcPr>
            <w:tcW w:w="1420" w:type="dxa"/>
            <w:tcBorders>
              <w:top w:val="nil"/>
              <w:left w:val="nil"/>
              <w:bottom w:val="single" w:sz="4" w:space="0" w:color="auto"/>
              <w:right w:val="nil"/>
            </w:tcBorders>
            <w:shd w:val="clear" w:color="000000" w:fill="FFFFFF"/>
            <w:noWrap/>
            <w:vAlign w:val="center"/>
            <w:hideMark/>
          </w:tcPr>
          <w:p w14:paraId="3F30D06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°C</w:t>
            </w:r>
          </w:p>
        </w:tc>
        <w:tc>
          <w:tcPr>
            <w:tcW w:w="960" w:type="dxa"/>
            <w:tcBorders>
              <w:top w:val="nil"/>
              <w:left w:val="nil"/>
              <w:bottom w:val="single" w:sz="4" w:space="0" w:color="auto"/>
              <w:right w:val="nil"/>
            </w:tcBorders>
            <w:shd w:val="clear" w:color="000000" w:fill="FFFFFF"/>
            <w:noWrap/>
            <w:vAlign w:val="center"/>
            <w:hideMark/>
          </w:tcPr>
          <w:p w14:paraId="4EB85C88"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psu</w:t>
            </w:r>
            <w:proofErr w:type="spellEnd"/>
          </w:p>
        </w:tc>
      </w:tr>
      <w:tr w:rsidR="004C591B" w:rsidRPr="004C591B" w14:paraId="1DE10F8A" w14:textId="77777777" w:rsidTr="00C91B88">
        <w:trPr>
          <w:trHeight w:val="290"/>
        </w:trPr>
        <w:tc>
          <w:tcPr>
            <w:tcW w:w="1100" w:type="dxa"/>
            <w:tcBorders>
              <w:top w:val="nil"/>
              <w:left w:val="nil"/>
              <w:bottom w:val="nil"/>
              <w:right w:val="nil"/>
            </w:tcBorders>
            <w:shd w:val="clear" w:color="000000" w:fill="FFFFFF"/>
            <w:noWrap/>
            <w:vAlign w:val="center"/>
            <w:hideMark/>
          </w:tcPr>
          <w:p w14:paraId="73B68C2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3D2AED2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32D82A1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29D2733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0999EE4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7157CF1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50B0C4B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2877FAE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r>
      <w:tr w:rsidR="004C591B" w:rsidRPr="004C591B" w14:paraId="5500E65F" w14:textId="77777777" w:rsidTr="00C91B88">
        <w:trPr>
          <w:trHeight w:val="290"/>
        </w:trPr>
        <w:tc>
          <w:tcPr>
            <w:tcW w:w="5900" w:type="dxa"/>
            <w:gridSpan w:val="6"/>
            <w:tcBorders>
              <w:top w:val="nil"/>
              <w:left w:val="nil"/>
              <w:bottom w:val="nil"/>
              <w:right w:val="nil"/>
            </w:tcBorders>
            <w:shd w:val="clear" w:color="000000" w:fill="FFFFFF"/>
            <w:noWrap/>
            <w:vAlign w:val="center"/>
            <w:hideMark/>
          </w:tcPr>
          <w:p w14:paraId="5E1DEDA2" w14:textId="77777777" w:rsidR="00C91B88" w:rsidRPr="004C591B" w:rsidRDefault="00C91B88" w:rsidP="00C91B88">
            <w:pPr>
              <w:rPr>
                <w:rFonts w:ascii="Arial" w:hAnsi="Arial" w:cs="Arial"/>
                <w:b/>
                <w:bCs/>
                <w:i/>
                <w:iCs/>
                <w:sz w:val="22"/>
                <w:szCs w:val="22"/>
                <w:lang w:val="en-GB" w:eastAsia="fr-FR"/>
              </w:rPr>
            </w:pPr>
            <w:r w:rsidRPr="004C591B">
              <w:rPr>
                <w:rFonts w:ascii="Arial" w:hAnsi="Arial" w:cs="Arial"/>
                <w:b/>
                <w:bCs/>
                <w:i/>
                <w:iCs/>
                <w:sz w:val="22"/>
                <w:szCs w:val="22"/>
                <w:lang w:val="en-GB" w:eastAsia="fr-FR"/>
              </w:rPr>
              <w:t>Station 13: 41.4°N, -13.9°E, Bottom depth 5345m</w:t>
            </w:r>
          </w:p>
        </w:tc>
        <w:tc>
          <w:tcPr>
            <w:tcW w:w="1420" w:type="dxa"/>
            <w:tcBorders>
              <w:top w:val="nil"/>
              <w:left w:val="nil"/>
              <w:bottom w:val="nil"/>
              <w:right w:val="nil"/>
            </w:tcBorders>
            <w:shd w:val="clear" w:color="000000" w:fill="FFFFFF"/>
            <w:noWrap/>
            <w:vAlign w:val="center"/>
            <w:hideMark/>
          </w:tcPr>
          <w:p w14:paraId="3D324B26"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c>
          <w:tcPr>
            <w:tcW w:w="960" w:type="dxa"/>
            <w:tcBorders>
              <w:top w:val="nil"/>
              <w:left w:val="nil"/>
              <w:bottom w:val="nil"/>
              <w:right w:val="nil"/>
            </w:tcBorders>
            <w:shd w:val="clear" w:color="000000" w:fill="FFFFFF"/>
            <w:noWrap/>
            <w:vAlign w:val="center"/>
            <w:hideMark/>
          </w:tcPr>
          <w:p w14:paraId="4D79CED7"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r>
      <w:tr w:rsidR="004C591B" w:rsidRPr="004C591B" w14:paraId="6978EA55" w14:textId="77777777" w:rsidTr="00C91B88">
        <w:trPr>
          <w:trHeight w:val="290"/>
        </w:trPr>
        <w:tc>
          <w:tcPr>
            <w:tcW w:w="1100" w:type="dxa"/>
            <w:tcBorders>
              <w:top w:val="nil"/>
              <w:left w:val="nil"/>
              <w:bottom w:val="nil"/>
              <w:right w:val="nil"/>
            </w:tcBorders>
            <w:shd w:val="clear" w:color="000000" w:fill="FFFFFF"/>
            <w:noWrap/>
            <w:vAlign w:val="center"/>
            <w:hideMark/>
          </w:tcPr>
          <w:p w14:paraId="1E92A34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w:t>
            </w:r>
          </w:p>
        </w:tc>
        <w:tc>
          <w:tcPr>
            <w:tcW w:w="960" w:type="dxa"/>
            <w:tcBorders>
              <w:top w:val="nil"/>
              <w:left w:val="nil"/>
              <w:bottom w:val="nil"/>
              <w:right w:val="nil"/>
            </w:tcBorders>
            <w:shd w:val="clear" w:color="000000" w:fill="FFFFFF"/>
            <w:noWrap/>
            <w:vAlign w:val="center"/>
            <w:hideMark/>
          </w:tcPr>
          <w:p w14:paraId="7A8FA42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1.64</w:t>
            </w:r>
          </w:p>
        </w:tc>
        <w:tc>
          <w:tcPr>
            <w:tcW w:w="960" w:type="dxa"/>
            <w:tcBorders>
              <w:top w:val="nil"/>
              <w:left w:val="nil"/>
              <w:bottom w:val="nil"/>
              <w:right w:val="nil"/>
            </w:tcBorders>
            <w:shd w:val="clear" w:color="000000" w:fill="FFFFFF"/>
            <w:noWrap/>
            <w:vAlign w:val="center"/>
            <w:hideMark/>
          </w:tcPr>
          <w:p w14:paraId="739A3F1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7F725E9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2.14</w:t>
            </w:r>
          </w:p>
        </w:tc>
        <w:tc>
          <w:tcPr>
            <w:tcW w:w="960" w:type="dxa"/>
            <w:tcBorders>
              <w:top w:val="nil"/>
              <w:left w:val="nil"/>
              <w:bottom w:val="nil"/>
              <w:right w:val="nil"/>
            </w:tcBorders>
            <w:shd w:val="clear" w:color="000000" w:fill="FFFFFF"/>
            <w:noWrap/>
            <w:vAlign w:val="center"/>
            <w:hideMark/>
          </w:tcPr>
          <w:p w14:paraId="61A3CAF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0.1</w:t>
            </w:r>
          </w:p>
        </w:tc>
        <w:tc>
          <w:tcPr>
            <w:tcW w:w="960" w:type="dxa"/>
            <w:tcBorders>
              <w:top w:val="nil"/>
              <w:left w:val="nil"/>
              <w:bottom w:val="nil"/>
              <w:right w:val="nil"/>
            </w:tcBorders>
            <w:shd w:val="clear" w:color="000000" w:fill="FFFFFF"/>
            <w:noWrap/>
            <w:vAlign w:val="center"/>
            <w:hideMark/>
          </w:tcPr>
          <w:p w14:paraId="63ADD57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0.5</w:t>
            </w:r>
          </w:p>
        </w:tc>
        <w:tc>
          <w:tcPr>
            <w:tcW w:w="1420" w:type="dxa"/>
            <w:tcBorders>
              <w:top w:val="nil"/>
              <w:left w:val="nil"/>
              <w:bottom w:val="nil"/>
              <w:right w:val="nil"/>
            </w:tcBorders>
            <w:shd w:val="clear" w:color="000000" w:fill="FFFFFF"/>
            <w:noWrap/>
            <w:vAlign w:val="center"/>
            <w:hideMark/>
          </w:tcPr>
          <w:p w14:paraId="1EE34CD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15.46</w:t>
            </w:r>
          </w:p>
        </w:tc>
        <w:tc>
          <w:tcPr>
            <w:tcW w:w="960" w:type="dxa"/>
            <w:tcBorders>
              <w:top w:val="nil"/>
              <w:left w:val="nil"/>
              <w:bottom w:val="nil"/>
              <w:right w:val="nil"/>
            </w:tcBorders>
            <w:shd w:val="clear" w:color="000000" w:fill="FFFFFF"/>
            <w:noWrap/>
            <w:vAlign w:val="center"/>
            <w:hideMark/>
          </w:tcPr>
          <w:p w14:paraId="11078B5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35.85</w:t>
            </w:r>
          </w:p>
        </w:tc>
      </w:tr>
      <w:tr w:rsidR="004C591B" w:rsidRPr="004C591B" w14:paraId="7251FB3C" w14:textId="77777777" w:rsidTr="00C91B88">
        <w:trPr>
          <w:trHeight w:val="290"/>
        </w:trPr>
        <w:tc>
          <w:tcPr>
            <w:tcW w:w="1100" w:type="dxa"/>
            <w:tcBorders>
              <w:top w:val="nil"/>
              <w:left w:val="nil"/>
              <w:bottom w:val="nil"/>
              <w:right w:val="nil"/>
            </w:tcBorders>
            <w:shd w:val="clear" w:color="000000" w:fill="FFFFFF"/>
            <w:noWrap/>
            <w:vAlign w:val="center"/>
            <w:hideMark/>
          </w:tcPr>
          <w:p w14:paraId="5EC2B06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60</w:t>
            </w:r>
          </w:p>
        </w:tc>
        <w:tc>
          <w:tcPr>
            <w:tcW w:w="960" w:type="dxa"/>
            <w:tcBorders>
              <w:top w:val="nil"/>
              <w:left w:val="nil"/>
              <w:bottom w:val="nil"/>
              <w:right w:val="nil"/>
            </w:tcBorders>
            <w:shd w:val="clear" w:color="000000" w:fill="FFFFFF"/>
            <w:noWrap/>
            <w:vAlign w:val="center"/>
            <w:hideMark/>
          </w:tcPr>
          <w:p w14:paraId="6DF5F3A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1.60</w:t>
            </w:r>
          </w:p>
        </w:tc>
        <w:tc>
          <w:tcPr>
            <w:tcW w:w="960" w:type="dxa"/>
            <w:tcBorders>
              <w:top w:val="nil"/>
              <w:left w:val="nil"/>
              <w:bottom w:val="nil"/>
              <w:right w:val="nil"/>
            </w:tcBorders>
            <w:shd w:val="clear" w:color="000000" w:fill="FFFFFF"/>
            <w:noWrap/>
            <w:vAlign w:val="center"/>
            <w:hideMark/>
          </w:tcPr>
          <w:p w14:paraId="0F9102C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4924F75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2.45</w:t>
            </w:r>
          </w:p>
        </w:tc>
        <w:tc>
          <w:tcPr>
            <w:tcW w:w="960" w:type="dxa"/>
            <w:tcBorders>
              <w:top w:val="nil"/>
              <w:left w:val="nil"/>
              <w:bottom w:val="nil"/>
              <w:right w:val="nil"/>
            </w:tcBorders>
            <w:shd w:val="clear" w:color="000000" w:fill="FFFFFF"/>
            <w:noWrap/>
            <w:vAlign w:val="center"/>
            <w:hideMark/>
          </w:tcPr>
          <w:p w14:paraId="2A31BD6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w:t>
            </w:r>
          </w:p>
        </w:tc>
        <w:tc>
          <w:tcPr>
            <w:tcW w:w="960" w:type="dxa"/>
            <w:tcBorders>
              <w:top w:val="nil"/>
              <w:left w:val="nil"/>
              <w:bottom w:val="nil"/>
              <w:right w:val="nil"/>
            </w:tcBorders>
            <w:shd w:val="clear" w:color="000000" w:fill="FFFFFF"/>
            <w:noWrap/>
            <w:vAlign w:val="center"/>
            <w:hideMark/>
          </w:tcPr>
          <w:p w14:paraId="513B77A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0.9</w:t>
            </w:r>
          </w:p>
        </w:tc>
        <w:tc>
          <w:tcPr>
            <w:tcW w:w="1420" w:type="dxa"/>
            <w:tcBorders>
              <w:top w:val="nil"/>
              <w:left w:val="nil"/>
              <w:bottom w:val="nil"/>
              <w:right w:val="nil"/>
            </w:tcBorders>
            <w:shd w:val="clear" w:color="000000" w:fill="FFFFFF"/>
            <w:noWrap/>
            <w:vAlign w:val="center"/>
            <w:hideMark/>
          </w:tcPr>
          <w:p w14:paraId="716AF33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13.27</w:t>
            </w:r>
          </w:p>
        </w:tc>
        <w:tc>
          <w:tcPr>
            <w:tcW w:w="960" w:type="dxa"/>
            <w:tcBorders>
              <w:top w:val="nil"/>
              <w:left w:val="nil"/>
              <w:bottom w:val="nil"/>
              <w:right w:val="nil"/>
            </w:tcBorders>
            <w:shd w:val="clear" w:color="000000" w:fill="FFFFFF"/>
            <w:noWrap/>
            <w:vAlign w:val="center"/>
            <w:hideMark/>
          </w:tcPr>
          <w:p w14:paraId="2F01C79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35.76</w:t>
            </w:r>
          </w:p>
        </w:tc>
      </w:tr>
      <w:tr w:rsidR="004C591B" w:rsidRPr="004C591B" w14:paraId="12286009" w14:textId="77777777" w:rsidTr="00C91B88">
        <w:trPr>
          <w:trHeight w:val="290"/>
        </w:trPr>
        <w:tc>
          <w:tcPr>
            <w:tcW w:w="1100" w:type="dxa"/>
            <w:tcBorders>
              <w:top w:val="nil"/>
              <w:left w:val="nil"/>
              <w:bottom w:val="nil"/>
              <w:right w:val="nil"/>
            </w:tcBorders>
            <w:shd w:val="clear" w:color="000000" w:fill="FFFFFF"/>
            <w:noWrap/>
            <w:vAlign w:val="center"/>
            <w:hideMark/>
          </w:tcPr>
          <w:p w14:paraId="4E202CC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99</w:t>
            </w:r>
          </w:p>
        </w:tc>
        <w:tc>
          <w:tcPr>
            <w:tcW w:w="960" w:type="dxa"/>
            <w:tcBorders>
              <w:top w:val="nil"/>
              <w:left w:val="nil"/>
              <w:bottom w:val="nil"/>
              <w:right w:val="nil"/>
            </w:tcBorders>
            <w:shd w:val="clear" w:color="000000" w:fill="FFFFFF"/>
            <w:noWrap/>
            <w:vAlign w:val="center"/>
            <w:hideMark/>
          </w:tcPr>
          <w:p w14:paraId="43628B0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1.52</w:t>
            </w:r>
          </w:p>
        </w:tc>
        <w:tc>
          <w:tcPr>
            <w:tcW w:w="960" w:type="dxa"/>
            <w:tcBorders>
              <w:top w:val="nil"/>
              <w:left w:val="nil"/>
              <w:bottom w:val="nil"/>
              <w:right w:val="nil"/>
            </w:tcBorders>
            <w:shd w:val="clear" w:color="000000" w:fill="FFFFFF"/>
            <w:noWrap/>
            <w:vAlign w:val="center"/>
            <w:hideMark/>
          </w:tcPr>
          <w:p w14:paraId="367DA43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0D112BF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2.63</w:t>
            </w:r>
          </w:p>
        </w:tc>
        <w:tc>
          <w:tcPr>
            <w:tcW w:w="960" w:type="dxa"/>
            <w:tcBorders>
              <w:top w:val="nil"/>
              <w:left w:val="nil"/>
              <w:bottom w:val="nil"/>
              <w:right w:val="nil"/>
            </w:tcBorders>
            <w:shd w:val="clear" w:color="000000" w:fill="FFFFFF"/>
            <w:noWrap/>
            <w:vAlign w:val="center"/>
            <w:hideMark/>
          </w:tcPr>
          <w:p w14:paraId="66D1859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6.8</w:t>
            </w:r>
          </w:p>
        </w:tc>
        <w:tc>
          <w:tcPr>
            <w:tcW w:w="960" w:type="dxa"/>
            <w:tcBorders>
              <w:top w:val="nil"/>
              <w:left w:val="nil"/>
              <w:bottom w:val="nil"/>
              <w:right w:val="nil"/>
            </w:tcBorders>
            <w:shd w:val="clear" w:color="000000" w:fill="FFFFFF"/>
            <w:noWrap/>
            <w:vAlign w:val="center"/>
            <w:hideMark/>
          </w:tcPr>
          <w:p w14:paraId="0EFED54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w:t>
            </w:r>
          </w:p>
        </w:tc>
        <w:tc>
          <w:tcPr>
            <w:tcW w:w="1420" w:type="dxa"/>
            <w:tcBorders>
              <w:top w:val="nil"/>
              <w:left w:val="nil"/>
              <w:bottom w:val="nil"/>
              <w:right w:val="nil"/>
            </w:tcBorders>
            <w:shd w:val="clear" w:color="000000" w:fill="FFFFFF"/>
            <w:noWrap/>
            <w:vAlign w:val="center"/>
            <w:hideMark/>
          </w:tcPr>
          <w:p w14:paraId="61492CC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12.88</w:t>
            </w:r>
          </w:p>
        </w:tc>
        <w:tc>
          <w:tcPr>
            <w:tcW w:w="960" w:type="dxa"/>
            <w:tcBorders>
              <w:top w:val="nil"/>
              <w:left w:val="nil"/>
              <w:bottom w:val="nil"/>
              <w:right w:val="nil"/>
            </w:tcBorders>
            <w:shd w:val="clear" w:color="000000" w:fill="FFFFFF"/>
            <w:noWrap/>
            <w:vAlign w:val="center"/>
            <w:hideMark/>
          </w:tcPr>
          <w:p w14:paraId="4F47D7A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35.74</w:t>
            </w:r>
          </w:p>
        </w:tc>
      </w:tr>
      <w:tr w:rsidR="004C591B" w:rsidRPr="004C591B" w14:paraId="1CF9F4AE" w14:textId="77777777" w:rsidTr="00C91B88">
        <w:trPr>
          <w:trHeight w:val="290"/>
        </w:trPr>
        <w:tc>
          <w:tcPr>
            <w:tcW w:w="1100" w:type="dxa"/>
            <w:tcBorders>
              <w:top w:val="nil"/>
              <w:left w:val="nil"/>
              <w:bottom w:val="nil"/>
              <w:right w:val="nil"/>
            </w:tcBorders>
            <w:shd w:val="clear" w:color="000000" w:fill="FFFFFF"/>
            <w:noWrap/>
            <w:vAlign w:val="center"/>
            <w:hideMark/>
          </w:tcPr>
          <w:p w14:paraId="31F8E84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149</w:t>
            </w:r>
          </w:p>
        </w:tc>
        <w:tc>
          <w:tcPr>
            <w:tcW w:w="960" w:type="dxa"/>
            <w:tcBorders>
              <w:top w:val="nil"/>
              <w:left w:val="nil"/>
              <w:bottom w:val="nil"/>
              <w:right w:val="nil"/>
            </w:tcBorders>
            <w:shd w:val="clear" w:color="000000" w:fill="FFFFFF"/>
            <w:noWrap/>
            <w:vAlign w:val="center"/>
            <w:hideMark/>
          </w:tcPr>
          <w:p w14:paraId="34F2B4D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1.45</w:t>
            </w:r>
          </w:p>
        </w:tc>
        <w:tc>
          <w:tcPr>
            <w:tcW w:w="960" w:type="dxa"/>
            <w:tcBorders>
              <w:top w:val="nil"/>
              <w:left w:val="nil"/>
              <w:bottom w:val="nil"/>
              <w:right w:val="nil"/>
            </w:tcBorders>
            <w:shd w:val="clear" w:color="000000" w:fill="FFFFFF"/>
            <w:noWrap/>
            <w:vAlign w:val="center"/>
            <w:hideMark/>
          </w:tcPr>
          <w:p w14:paraId="5E0FA06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1889472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2.74</w:t>
            </w:r>
          </w:p>
        </w:tc>
        <w:tc>
          <w:tcPr>
            <w:tcW w:w="960" w:type="dxa"/>
            <w:tcBorders>
              <w:top w:val="nil"/>
              <w:left w:val="nil"/>
              <w:bottom w:val="nil"/>
              <w:right w:val="nil"/>
            </w:tcBorders>
            <w:shd w:val="clear" w:color="000000" w:fill="FFFFFF"/>
            <w:noWrap/>
            <w:vAlign w:val="center"/>
            <w:hideMark/>
          </w:tcPr>
          <w:p w14:paraId="657BF57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5F85B77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27DB4DA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12.75</w:t>
            </w:r>
          </w:p>
        </w:tc>
        <w:tc>
          <w:tcPr>
            <w:tcW w:w="960" w:type="dxa"/>
            <w:tcBorders>
              <w:top w:val="nil"/>
              <w:left w:val="nil"/>
              <w:bottom w:val="nil"/>
              <w:right w:val="nil"/>
            </w:tcBorders>
            <w:shd w:val="clear" w:color="000000" w:fill="FFFFFF"/>
            <w:noWrap/>
            <w:vAlign w:val="center"/>
            <w:hideMark/>
          </w:tcPr>
          <w:p w14:paraId="233E02B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35.73</w:t>
            </w:r>
          </w:p>
        </w:tc>
      </w:tr>
      <w:tr w:rsidR="004C591B" w:rsidRPr="004C591B" w14:paraId="09031A8D" w14:textId="77777777" w:rsidTr="00C91B88">
        <w:trPr>
          <w:trHeight w:val="290"/>
        </w:trPr>
        <w:tc>
          <w:tcPr>
            <w:tcW w:w="1100" w:type="dxa"/>
            <w:tcBorders>
              <w:top w:val="nil"/>
              <w:left w:val="nil"/>
              <w:bottom w:val="nil"/>
              <w:right w:val="nil"/>
            </w:tcBorders>
            <w:shd w:val="clear" w:color="000000" w:fill="FFFFFF"/>
            <w:noWrap/>
            <w:vAlign w:val="center"/>
            <w:hideMark/>
          </w:tcPr>
          <w:p w14:paraId="3C2C696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199</w:t>
            </w:r>
          </w:p>
        </w:tc>
        <w:tc>
          <w:tcPr>
            <w:tcW w:w="960" w:type="dxa"/>
            <w:tcBorders>
              <w:top w:val="nil"/>
              <w:left w:val="nil"/>
              <w:bottom w:val="nil"/>
              <w:right w:val="nil"/>
            </w:tcBorders>
            <w:shd w:val="clear" w:color="000000" w:fill="FFFFFF"/>
            <w:noWrap/>
            <w:vAlign w:val="center"/>
            <w:hideMark/>
          </w:tcPr>
          <w:p w14:paraId="0ED4D5D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1.47</w:t>
            </w:r>
          </w:p>
        </w:tc>
        <w:tc>
          <w:tcPr>
            <w:tcW w:w="960" w:type="dxa"/>
            <w:tcBorders>
              <w:top w:val="nil"/>
              <w:left w:val="nil"/>
              <w:bottom w:val="nil"/>
              <w:right w:val="nil"/>
            </w:tcBorders>
            <w:shd w:val="clear" w:color="000000" w:fill="FFFFFF"/>
            <w:noWrap/>
            <w:vAlign w:val="center"/>
            <w:hideMark/>
          </w:tcPr>
          <w:p w14:paraId="161B38E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2D637D9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2.72</w:t>
            </w:r>
          </w:p>
        </w:tc>
        <w:tc>
          <w:tcPr>
            <w:tcW w:w="960" w:type="dxa"/>
            <w:tcBorders>
              <w:top w:val="nil"/>
              <w:left w:val="nil"/>
              <w:bottom w:val="nil"/>
              <w:right w:val="nil"/>
            </w:tcBorders>
            <w:shd w:val="clear" w:color="000000" w:fill="FFFFFF"/>
            <w:noWrap/>
            <w:vAlign w:val="center"/>
            <w:hideMark/>
          </w:tcPr>
          <w:p w14:paraId="5CD5EB1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7.8</w:t>
            </w:r>
          </w:p>
        </w:tc>
        <w:tc>
          <w:tcPr>
            <w:tcW w:w="960" w:type="dxa"/>
            <w:tcBorders>
              <w:top w:val="nil"/>
              <w:left w:val="nil"/>
              <w:bottom w:val="nil"/>
              <w:right w:val="nil"/>
            </w:tcBorders>
            <w:shd w:val="clear" w:color="000000" w:fill="FFFFFF"/>
            <w:noWrap/>
            <w:vAlign w:val="center"/>
            <w:hideMark/>
          </w:tcPr>
          <w:p w14:paraId="15A9888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2.3</w:t>
            </w:r>
          </w:p>
        </w:tc>
        <w:tc>
          <w:tcPr>
            <w:tcW w:w="1420" w:type="dxa"/>
            <w:tcBorders>
              <w:top w:val="nil"/>
              <w:left w:val="nil"/>
              <w:bottom w:val="nil"/>
              <w:right w:val="nil"/>
            </w:tcBorders>
            <w:shd w:val="clear" w:color="000000" w:fill="FFFFFF"/>
            <w:noWrap/>
            <w:vAlign w:val="center"/>
            <w:hideMark/>
          </w:tcPr>
          <w:p w14:paraId="23E7B0C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12.56</w:t>
            </w:r>
          </w:p>
        </w:tc>
        <w:tc>
          <w:tcPr>
            <w:tcW w:w="960" w:type="dxa"/>
            <w:tcBorders>
              <w:top w:val="nil"/>
              <w:left w:val="nil"/>
              <w:bottom w:val="nil"/>
              <w:right w:val="nil"/>
            </w:tcBorders>
            <w:shd w:val="clear" w:color="000000" w:fill="FFFFFF"/>
            <w:noWrap/>
            <w:vAlign w:val="center"/>
            <w:hideMark/>
          </w:tcPr>
          <w:p w14:paraId="0A76C22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35.70</w:t>
            </w:r>
          </w:p>
        </w:tc>
      </w:tr>
      <w:tr w:rsidR="004C591B" w:rsidRPr="004C591B" w14:paraId="2EA13716" w14:textId="77777777" w:rsidTr="00C91B88">
        <w:trPr>
          <w:trHeight w:val="290"/>
        </w:trPr>
        <w:tc>
          <w:tcPr>
            <w:tcW w:w="1100" w:type="dxa"/>
            <w:tcBorders>
              <w:top w:val="nil"/>
              <w:left w:val="nil"/>
              <w:bottom w:val="nil"/>
              <w:right w:val="nil"/>
            </w:tcBorders>
            <w:shd w:val="clear" w:color="000000" w:fill="FFFFFF"/>
            <w:noWrap/>
            <w:vAlign w:val="center"/>
            <w:hideMark/>
          </w:tcPr>
          <w:p w14:paraId="571E588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298</w:t>
            </w:r>
          </w:p>
        </w:tc>
        <w:tc>
          <w:tcPr>
            <w:tcW w:w="960" w:type="dxa"/>
            <w:tcBorders>
              <w:top w:val="nil"/>
              <w:left w:val="nil"/>
              <w:bottom w:val="nil"/>
              <w:right w:val="nil"/>
            </w:tcBorders>
            <w:shd w:val="clear" w:color="000000" w:fill="FFFFFF"/>
            <w:noWrap/>
            <w:vAlign w:val="center"/>
            <w:hideMark/>
          </w:tcPr>
          <w:p w14:paraId="423733E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1.54</w:t>
            </w:r>
          </w:p>
        </w:tc>
        <w:tc>
          <w:tcPr>
            <w:tcW w:w="960" w:type="dxa"/>
            <w:tcBorders>
              <w:top w:val="nil"/>
              <w:left w:val="nil"/>
              <w:bottom w:val="nil"/>
              <w:right w:val="nil"/>
            </w:tcBorders>
            <w:shd w:val="clear" w:color="000000" w:fill="FFFFFF"/>
            <w:noWrap/>
            <w:vAlign w:val="center"/>
            <w:hideMark/>
          </w:tcPr>
          <w:p w14:paraId="5ACFA86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6B7C055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2.80</w:t>
            </w:r>
          </w:p>
        </w:tc>
        <w:tc>
          <w:tcPr>
            <w:tcW w:w="960" w:type="dxa"/>
            <w:tcBorders>
              <w:top w:val="nil"/>
              <w:left w:val="nil"/>
              <w:bottom w:val="nil"/>
              <w:right w:val="nil"/>
            </w:tcBorders>
            <w:shd w:val="clear" w:color="000000" w:fill="FFFFFF"/>
            <w:noWrap/>
            <w:vAlign w:val="center"/>
            <w:hideMark/>
          </w:tcPr>
          <w:p w14:paraId="0FE645A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10.3</w:t>
            </w:r>
          </w:p>
        </w:tc>
        <w:tc>
          <w:tcPr>
            <w:tcW w:w="960" w:type="dxa"/>
            <w:tcBorders>
              <w:top w:val="nil"/>
              <w:left w:val="nil"/>
              <w:bottom w:val="nil"/>
              <w:right w:val="nil"/>
            </w:tcBorders>
            <w:shd w:val="clear" w:color="000000" w:fill="FFFFFF"/>
            <w:noWrap/>
            <w:vAlign w:val="center"/>
            <w:hideMark/>
          </w:tcPr>
          <w:p w14:paraId="100B108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3.1</w:t>
            </w:r>
          </w:p>
        </w:tc>
        <w:tc>
          <w:tcPr>
            <w:tcW w:w="1420" w:type="dxa"/>
            <w:tcBorders>
              <w:top w:val="nil"/>
              <w:left w:val="nil"/>
              <w:bottom w:val="nil"/>
              <w:right w:val="nil"/>
            </w:tcBorders>
            <w:shd w:val="clear" w:color="000000" w:fill="FFFFFF"/>
            <w:noWrap/>
            <w:vAlign w:val="center"/>
            <w:hideMark/>
          </w:tcPr>
          <w:p w14:paraId="1385E45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12.20</w:t>
            </w:r>
          </w:p>
        </w:tc>
        <w:tc>
          <w:tcPr>
            <w:tcW w:w="960" w:type="dxa"/>
            <w:tcBorders>
              <w:top w:val="nil"/>
              <w:left w:val="nil"/>
              <w:bottom w:val="nil"/>
              <w:right w:val="nil"/>
            </w:tcBorders>
            <w:shd w:val="clear" w:color="000000" w:fill="FFFFFF"/>
            <w:noWrap/>
            <w:vAlign w:val="center"/>
            <w:hideMark/>
          </w:tcPr>
          <w:p w14:paraId="129664A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35.66</w:t>
            </w:r>
          </w:p>
        </w:tc>
      </w:tr>
      <w:tr w:rsidR="004C591B" w:rsidRPr="004C591B" w14:paraId="116FD423" w14:textId="77777777" w:rsidTr="00C91B88">
        <w:trPr>
          <w:trHeight w:val="290"/>
        </w:trPr>
        <w:tc>
          <w:tcPr>
            <w:tcW w:w="1100" w:type="dxa"/>
            <w:tcBorders>
              <w:top w:val="nil"/>
              <w:left w:val="nil"/>
              <w:bottom w:val="nil"/>
              <w:right w:val="nil"/>
            </w:tcBorders>
            <w:shd w:val="clear" w:color="000000" w:fill="FFFFFF"/>
            <w:noWrap/>
            <w:vAlign w:val="center"/>
            <w:hideMark/>
          </w:tcPr>
          <w:p w14:paraId="79CB129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495</w:t>
            </w:r>
          </w:p>
        </w:tc>
        <w:tc>
          <w:tcPr>
            <w:tcW w:w="960" w:type="dxa"/>
            <w:tcBorders>
              <w:top w:val="nil"/>
              <w:left w:val="nil"/>
              <w:bottom w:val="nil"/>
              <w:right w:val="nil"/>
            </w:tcBorders>
            <w:shd w:val="clear" w:color="000000" w:fill="FFFFFF"/>
            <w:noWrap/>
            <w:vAlign w:val="center"/>
            <w:hideMark/>
          </w:tcPr>
          <w:p w14:paraId="7E95359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1.38</w:t>
            </w:r>
          </w:p>
        </w:tc>
        <w:tc>
          <w:tcPr>
            <w:tcW w:w="960" w:type="dxa"/>
            <w:tcBorders>
              <w:top w:val="nil"/>
              <w:left w:val="nil"/>
              <w:bottom w:val="nil"/>
              <w:right w:val="nil"/>
            </w:tcBorders>
            <w:shd w:val="clear" w:color="000000" w:fill="FFFFFF"/>
            <w:noWrap/>
            <w:vAlign w:val="center"/>
            <w:hideMark/>
          </w:tcPr>
          <w:p w14:paraId="3D36FDE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01B6C15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3.06</w:t>
            </w:r>
          </w:p>
        </w:tc>
        <w:tc>
          <w:tcPr>
            <w:tcW w:w="960" w:type="dxa"/>
            <w:tcBorders>
              <w:top w:val="nil"/>
              <w:left w:val="nil"/>
              <w:bottom w:val="nil"/>
              <w:right w:val="nil"/>
            </w:tcBorders>
            <w:shd w:val="clear" w:color="000000" w:fill="FFFFFF"/>
            <w:noWrap/>
            <w:vAlign w:val="center"/>
            <w:hideMark/>
          </w:tcPr>
          <w:p w14:paraId="5B22D75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11.6</w:t>
            </w:r>
          </w:p>
        </w:tc>
        <w:tc>
          <w:tcPr>
            <w:tcW w:w="960" w:type="dxa"/>
            <w:tcBorders>
              <w:top w:val="nil"/>
              <w:left w:val="nil"/>
              <w:bottom w:val="nil"/>
              <w:right w:val="nil"/>
            </w:tcBorders>
            <w:shd w:val="clear" w:color="000000" w:fill="FFFFFF"/>
            <w:noWrap/>
            <w:vAlign w:val="center"/>
            <w:hideMark/>
          </w:tcPr>
          <w:p w14:paraId="62AC87D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w:t>
            </w:r>
          </w:p>
        </w:tc>
        <w:tc>
          <w:tcPr>
            <w:tcW w:w="1420" w:type="dxa"/>
            <w:tcBorders>
              <w:top w:val="nil"/>
              <w:left w:val="nil"/>
              <w:bottom w:val="nil"/>
              <w:right w:val="nil"/>
            </w:tcBorders>
            <w:shd w:val="clear" w:color="000000" w:fill="FFFFFF"/>
            <w:noWrap/>
            <w:vAlign w:val="center"/>
            <w:hideMark/>
          </w:tcPr>
          <w:p w14:paraId="0FE516E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11.69</w:t>
            </w:r>
          </w:p>
        </w:tc>
        <w:tc>
          <w:tcPr>
            <w:tcW w:w="960" w:type="dxa"/>
            <w:tcBorders>
              <w:top w:val="nil"/>
              <w:left w:val="nil"/>
              <w:bottom w:val="nil"/>
              <w:right w:val="nil"/>
            </w:tcBorders>
            <w:shd w:val="clear" w:color="000000" w:fill="FFFFFF"/>
            <w:noWrap/>
            <w:vAlign w:val="center"/>
            <w:hideMark/>
          </w:tcPr>
          <w:p w14:paraId="62AC922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35.62</w:t>
            </w:r>
          </w:p>
        </w:tc>
      </w:tr>
      <w:tr w:rsidR="004C591B" w:rsidRPr="004C591B" w14:paraId="19A1ECC7" w14:textId="77777777" w:rsidTr="00C91B88">
        <w:trPr>
          <w:trHeight w:val="290"/>
        </w:trPr>
        <w:tc>
          <w:tcPr>
            <w:tcW w:w="1100" w:type="dxa"/>
            <w:tcBorders>
              <w:top w:val="nil"/>
              <w:left w:val="nil"/>
              <w:bottom w:val="nil"/>
              <w:right w:val="nil"/>
            </w:tcBorders>
            <w:shd w:val="clear" w:color="000000" w:fill="FFFFFF"/>
            <w:noWrap/>
            <w:vAlign w:val="center"/>
            <w:hideMark/>
          </w:tcPr>
          <w:p w14:paraId="0A2A00C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595</w:t>
            </w:r>
          </w:p>
        </w:tc>
        <w:tc>
          <w:tcPr>
            <w:tcW w:w="960" w:type="dxa"/>
            <w:tcBorders>
              <w:top w:val="nil"/>
              <w:left w:val="nil"/>
              <w:bottom w:val="nil"/>
              <w:right w:val="nil"/>
            </w:tcBorders>
            <w:shd w:val="clear" w:color="000000" w:fill="FFFFFF"/>
            <w:noWrap/>
            <w:vAlign w:val="center"/>
            <w:hideMark/>
          </w:tcPr>
          <w:p w14:paraId="086BD53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1.51</w:t>
            </w:r>
          </w:p>
        </w:tc>
        <w:tc>
          <w:tcPr>
            <w:tcW w:w="960" w:type="dxa"/>
            <w:tcBorders>
              <w:top w:val="nil"/>
              <w:left w:val="nil"/>
              <w:bottom w:val="nil"/>
              <w:right w:val="nil"/>
            </w:tcBorders>
            <w:shd w:val="clear" w:color="000000" w:fill="FFFFFF"/>
            <w:noWrap/>
            <w:vAlign w:val="center"/>
            <w:hideMark/>
          </w:tcPr>
          <w:p w14:paraId="2BE058E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58C07F2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3.20</w:t>
            </w:r>
          </w:p>
        </w:tc>
        <w:tc>
          <w:tcPr>
            <w:tcW w:w="960" w:type="dxa"/>
            <w:tcBorders>
              <w:top w:val="nil"/>
              <w:left w:val="nil"/>
              <w:bottom w:val="nil"/>
              <w:right w:val="nil"/>
            </w:tcBorders>
            <w:shd w:val="clear" w:color="000000" w:fill="FFFFFF"/>
            <w:noWrap/>
            <w:vAlign w:val="center"/>
            <w:hideMark/>
          </w:tcPr>
          <w:p w14:paraId="6BDAA2B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3DA1B62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5.0</w:t>
            </w:r>
          </w:p>
        </w:tc>
        <w:tc>
          <w:tcPr>
            <w:tcW w:w="1420" w:type="dxa"/>
            <w:tcBorders>
              <w:top w:val="nil"/>
              <w:left w:val="nil"/>
              <w:bottom w:val="nil"/>
              <w:right w:val="nil"/>
            </w:tcBorders>
            <w:shd w:val="clear" w:color="000000" w:fill="FFFFFF"/>
            <w:noWrap/>
            <w:vAlign w:val="center"/>
            <w:hideMark/>
          </w:tcPr>
          <w:p w14:paraId="7FD6B8E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11.31</w:t>
            </w:r>
          </w:p>
        </w:tc>
        <w:tc>
          <w:tcPr>
            <w:tcW w:w="960" w:type="dxa"/>
            <w:tcBorders>
              <w:top w:val="nil"/>
              <w:left w:val="nil"/>
              <w:bottom w:val="nil"/>
              <w:right w:val="nil"/>
            </w:tcBorders>
            <w:shd w:val="clear" w:color="000000" w:fill="FFFFFF"/>
            <w:noWrap/>
            <w:vAlign w:val="center"/>
            <w:hideMark/>
          </w:tcPr>
          <w:p w14:paraId="6B7F9C7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35.59</w:t>
            </w:r>
          </w:p>
        </w:tc>
      </w:tr>
      <w:tr w:rsidR="004C591B" w:rsidRPr="004C591B" w14:paraId="306C26C5" w14:textId="77777777" w:rsidTr="00C91B88">
        <w:trPr>
          <w:trHeight w:val="290"/>
        </w:trPr>
        <w:tc>
          <w:tcPr>
            <w:tcW w:w="1100" w:type="dxa"/>
            <w:tcBorders>
              <w:top w:val="nil"/>
              <w:left w:val="nil"/>
              <w:bottom w:val="nil"/>
              <w:right w:val="nil"/>
            </w:tcBorders>
            <w:shd w:val="clear" w:color="000000" w:fill="FFFFFF"/>
            <w:noWrap/>
            <w:vAlign w:val="center"/>
            <w:hideMark/>
          </w:tcPr>
          <w:p w14:paraId="740551A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790</w:t>
            </w:r>
          </w:p>
        </w:tc>
        <w:tc>
          <w:tcPr>
            <w:tcW w:w="960" w:type="dxa"/>
            <w:tcBorders>
              <w:top w:val="nil"/>
              <w:left w:val="nil"/>
              <w:bottom w:val="nil"/>
              <w:right w:val="nil"/>
            </w:tcBorders>
            <w:shd w:val="clear" w:color="000000" w:fill="FFFFFF"/>
            <w:noWrap/>
            <w:vAlign w:val="center"/>
            <w:hideMark/>
          </w:tcPr>
          <w:p w14:paraId="0B1A58D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1.36</w:t>
            </w:r>
          </w:p>
        </w:tc>
        <w:tc>
          <w:tcPr>
            <w:tcW w:w="960" w:type="dxa"/>
            <w:tcBorders>
              <w:top w:val="nil"/>
              <w:left w:val="nil"/>
              <w:bottom w:val="nil"/>
              <w:right w:val="nil"/>
            </w:tcBorders>
            <w:shd w:val="clear" w:color="000000" w:fill="FFFFFF"/>
            <w:noWrap/>
            <w:vAlign w:val="center"/>
            <w:hideMark/>
          </w:tcPr>
          <w:p w14:paraId="0CCE528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6240972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3.66</w:t>
            </w:r>
          </w:p>
        </w:tc>
        <w:tc>
          <w:tcPr>
            <w:tcW w:w="960" w:type="dxa"/>
            <w:tcBorders>
              <w:top w:val="nil"/>
              <w:left w:val="nil"/>
              <w:bottom w:val="nil"/>
              <w:right w:val="nil"/>
            </w:tcBorders>
            <w:shd w:val="clear" w:color="000000" w:fill="FFFFFF"/>
            <w:noWrap/>
            <w:vAlign w:val="center"/>
            <w:hideMark/>
          </w:tcPr>
          <w:p w14:paraId="62F4718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18.4</w:t>
            </w:r>
          </w:p>
        </w:tc>
        <w:tc>
          <w:tcPr>
            <w:tcW w:w="960" w:type="dxa"/>
            <w:tcBorders>
              <w:top w:val="nil"/>
              <w:left w:val="nil"/>
              <w:bottom w:val="nil"/>
              <w:right w:val="nil"/>
            </w:tcBorders>
            <w:shd w:val="clear" w:color="000000" w:fill="FFFFFF"/>
            <w:noWrap/>
            <w:vAlign w:val="center"/>
            <w:hideMark/>
          </w:tcPr>
          <w:p w14:paraId="56B48CF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8.7</w:t>
            </w:r>
          </w:p>
        </w:tc>
        <w:tc>
          <w:tcPr>
            <w:tcW w:w="1420" w:type="dxa"/>
            <w:tcBorders>
              <w:top w:val="nil"/>
              <w:left w:val="nil"/>
              <w:bottom w:val="nil"/>
              <w:right w:val="nil"/>
            </w:tcBorders>
            <w:shd w:val="clear" w:color="000000" w:fill="FFFFFF"/>
            <w:noWrap/>
            <w:vAlign w:val="center"/>
            <w:hideMark/>
          </w:tcPr>
          <w:p w14:paraId="679053F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10.76</w:t>
            </w:r>
          </w:p>
        </w:tc>
        <w:tc>
          <w:tcPr>
            <w:tcW w:w="960" w:type="dxa"/>
            <w:tcBorders>
              <w:top w:val="nil"/>
              <w:left w:val="nil"/>
              <w:bottom w:val="nil"/>
              <w:right w:val="nil"/>
            </w:tcBorders>
            <w:shd w:val="clear" w:color="000000" w:fill="FFFFFF"/>
            <w:noWrap/>
            <w:vAlign w:val="center"/>
            <w:hideMark/>
          </w:tcPr>
          <w:p w14:paraId="26F2171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35.73</w:t>
            </w:r>
          </w:p>
        </w:tc>
      </w:tr>
      <w:tr w:rsidR="004C591B" w:rsidRPr="004C591B" w14:paraId="08452721" w14:textId="77777777" w:rsidTr="00C91B88">
        <w:trPr>
          <w:trHeight w:val="290"/>
        </w:trPr>
        <w:tc>
          <w:tcPr>
            <w:tcW w:w="1100" w:type="dxa"/>
            <w:tcBorders>
              <w:top w:val="nil"/>
              <w:left w:val="nil"/>
              <w:bottom w:val="nil"/>
              <w:right w:val="nil"/>
            </w:tcBorders>
            <w:shd w:val="clear" w:color="000000" w:fill="FFFFFF"/>
            <w:noWrap/>
            <w:vAlign w:val="center"/>
            <w:hideMark/>
          </w:tcPr>
          <w:p w14:paraId="4018188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990</w:t>
            </w:r>
          </w:p>
        </w:tc>
        <w:tc>
          <w:tcPr>
            <w:tcW w:w="960" w:type="dxa"/>
            <w:tcBorders>
              <w:top w:val="nil"/>
              <w:left w:val="nil"/>
              <w:bottom w:val="nil"/>
              <w:right w:val="nil"/>
            </w:tcBorders>
            <w:shd w:val="clear" w:color="000000" w:fill="FFFFFF"/>
            <w:noWrap/>
            <w:vAlign w:val="center"/>
            <w:hideMark/>
          </w:tcPr>
          <w:p w14:paraId="7770C48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3C30940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2EABF63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3.84</w:t>
            </w:r>
          </w:p>
        </w:tc>
        <w:tc>
          <w:tcPr>
            <w:tcW w:w="960" w:type="dxa"/>
            <w:tcBorders>
              <w:top w:val="nil"/>
              <w:left w:val="nil"/>
              <w:bottom w:val="nil"/>
              <w:right w:val="nil"/>
            </w:tcBorders>
            <w:shd w:val="clear" w:color="000000" w:fill="FFFFFF"/>
            <w:noWrap/>
            <w:vAlign w:val="center"/>
            <w:hideMark/>
          </w:tcPr>
          <w:p w14:paraId="1611406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2EE0472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6D172CB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9.26</w:t>
            </w:r>
          </w:p>
        </w:tc>
        <w:tc>
          <w:tcPr>
            <w:tcW w:w="960" w:type="dxa"/>
            <w:tcBorders>
              <w:top w:val="nil"/>
              <w:left w:val="nil"/>
              <w:bottom w:val="nil"/>
              <w:right w:val="nil"/>
            </w:tcBorders>
            <w:shd w:val="clear" w:color="000000" w:fill="FFFFFF"/>
            <w:noWrap/>
            <w:vAlign w:val="center"/>
            <w:hideMark/>
          </w:tcPr>
          <w:p w14:paraId="2D1B382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35.64</w:t>
            </w:r>
          </w:p>
        </w:tc>
      </w:tr>
      <w:tr w:rsidR="004C591B" w:rsidRPr="004C591B" w14:paraId="7A5041FF" w14:textId="77777777" w:rsidTr="00C91B88">
        <w:trPr>
          <w:trHeight w:val="290"/>
        </w:trPr>
        <w:tc>
          <w:tcPr>
            <w:tcW w:w="1100" w:type="dxa"/>
            <w:tcBorders>
              <w:top w:val="nil"/>
              <w:left w:val="nil"/>
              <w:bottom w:val="nil"/>
              <w:right w:val="nil"/>
            </w:tcBorders>
            <w:shd w:val="clear" w:color="000000" w:fill="FFFFFF"/>
            <w:noWrap/>
            <w:vAlign w:val="center"/>
            <w:hideMark/>
          </w:tcPr>
          <w:p w14:paraId="5FFAC7F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1187</w:t>
            </w:r>
          </w:p>
        </w:tc>
        <w:tc>
          <w:tcPr>
            <w:tcW w:w="960" w:type="dxa"/>
            <w:tcBorders>
              <w:top w:val="nil"/>
              <w:left w:val="nil"/>
              <w:bottom w:val="nil"/>
              <w:right w:val="nil"/>
            </w:tcBorders>
            <w:shd w:val="clear" w:color="000000" w:fill="FFFFFF"/>
            <w:noWrap/>
            <w:vAlign w:val="center"/>
            <w:hideMark/>
          </w:tcPr>
          <w:p w14:paraId="32D7658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1.33</w:t>
            </w:r>
          </w:p>
        </w:tc>
        <w:tc>
          <w:tcPr>
            <w:tcW w:w="960" w:type="dxa"/>
            <w:tcBorders>
              <w:top w:val="nil"/>
              <w:left w:val="nil"/>
              <w:bottom w:val="nil"/>
              <w:right w:val="nil"/>
            </w:tcBorders>
            <w:shd w:val="clear" w:color="000000" w:fill="FFFFFF"/>
            <w:noWrap/>
            <w:vAlign w:val="center"/>
            <w:hideMark/>
          </w:tcPr>
          <w:p w14:paraId="0C5E57A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1A55DF0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3.84</w:t>
            </w:r>
          </w:p>
        </w:tc>
        <w:tc>
          <w:tcPr>
            <w:tcW w:w="960" w:type="dxa"/>
            <w:tcBorders>
              <w:top w:val="nil"/>
              <w:left w:val="nil"/>
              <w:bottom w:val="nil"/>
              <w:right w:val="nil"/>
            </w:tcBorders>
            <w:shd w:val="clear" w:color="000000" w:fill="FFFFFF"/>
            <w:noWrap/>
            <w:vAlign w:val="center"/>
            <w:hideMark/>
          </w:tcPr>
          <w:p w14:paraId="6B59502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18.0</w:t>
            </w:r>
          </w:p>
        </w:tc>
        <w:tc>
          <w:tcPr>
            <w:tcW w:w="960" w:type="dxa"/>
            <w:tcBorders>
              <w:top w:val="nil"/>
              <w:left w:val="nil"/>
              <w:bottom w:val="nil"/>
              <w:right w:val="nil"/>
            </w:tcBorders>
            <w:shd w:val="clear" w:color="000000" w:fill="FFFFFF"/>
            <w:noWrap/>
            <w:vAlign w:val="center"/>
            <w:hideMark/>
          </w:tcPr>
          <w:p w14:paraId="5C64CEB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10.6</w:t>
            </w:r>
          </w:p>
        </w:tc>
        <w:tc>
          <w:tcPr>
            <w:tcW w:w="1420" w:type="dxa"/>
            <w:tcBorders>
              <w:top w:val="nil"/>
              <w:left w:val="nil"/>
              <w:bottom w:val="nil"/>
              <w:right w:val="nil"/>
            </w:tcBorders>
            <w:shd w:val="clear" w:color="000000" w:fill="FFFFFF"/>
            <w:noWrap/>
            <w:vAlign w:val="center"/>
            <w:hideMark/>
          </w:tcPr>
          <w:p w14:paraId="225C427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9.30</w:t>
            </w:r>
          </w:p>
        </w:tc>
        <w:tc>
          <w:tcPr>
            <w:tcW w:w="960" w:type="dxa"/>
            <w:tcBorders>
              <w:top w:val="nil"/>
              <w:left w:val="nil"/>
              <w:bottom w:val="nil"/>
              <w:right w:val="nil"/>
            </w:tcBorders>
            <w:shd w:val="clear" w:color="000000" w:fill="FFFFFF"/>
            <w:noWrap/>
            <w:vAlign w:val="center"/>
            <w:hideMark/>
          </w:tcPr>
          <w:p w14:paraId="486F8BB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35.84</w:t>
            </w:r>
          </w:p>
        </w:tc>
      </w:tr>
      <w:tr w:rsidR="004C591B" w:rsidRPr="004C591B" w14:paraId="31673D8A" w14:textId="77777777" w:rsidTr="00C91B88">
        <w:trPr>
          <w:trHeight w:val="290"/>
        </w:trPr>
        <w:tc>
          <w:tcPr>
            <w:tcW w:w="1100" w:type="dxa"/>
            <w:tcBorders>
              <w:top w:val="nil"/>
              <w:left w:val="nil"/>
              <w:bottom w:val="nil"/>
              <w:right w:val="nil"/>
            </w:tcBorders>
            <w:shd w:val="clear" w:color="000000" w:fill="FFFFFF"/>
            <w:noWrap/>
            <w:vAlign w:val="center"/>
            <w:hideMark/>
          </w:tcPr>
          <w:p w14:paraId="7400D54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1975</w:t>
            </w:r>
          </w:p>
        </w:tc>
        <w:tc>
          <w:tcPr>
            <w:tcW w:w="960" w:type="dxa"/>
            <w:tcBorders>
              <w:top w:val="nil"/>
              <w:left w:val="nil"/>
              <w:bottom w:val="nil"/>
              <w:right w:val="nil"/>
            </w:tcBorders>
            <w:shd w:val="clear" w:color="000000" w:fill="FFFFFF"/>
            <w:noWrap/>
            <w:vAlign w:val="center"/>
            <w:hideMark/>
          </w:tcPr>
          <w:p w14:paraId="5F024E7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1.42</w:t>
            </w:r>
          </w:p>
        </w:tc>
        <w:tc>
          <w:tcPr>
            <w:tcW w:w="960" w:type="dxa"/>
            <w:tcBorders>
              <w:top w:val="nil"/>
              <w:left w:val="nil"/>
              <w:bottom w:val="nil"/>
              <w:right w:val="nil"/>
            </w:tcBorders>
            <w:shd w:val="clear" w:color="000000" w:fill="FFFFFF"/>
            <w:noWrap/>
            <w:vAlign w:val="center"/>
            <w:hideMark/>
          </w:tcPr>
          <w:p w14:paraId="7689376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091FFE4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3.97</w:t>
            </w:r>
          </w:p>
        </w:tc>
        <w:tc>
          <w:tcPr>
            <w:tcW w:w="960" w:type="dxa"/>
            <w:tcBorders>
              <w:top w:val="nil"/>
              <w:left w:val="nil"/>
              <w:bottom w:val="nil"/>
              <w:right w:val="nil"/>
            </w:tcBorders>
            <w:shd w:val="clear" w:color="000000" w:fill="FFFFFF"/>
            <w:noWrap/>
            <w:vAlign w:val="center"/>
            <w:hideMark/>
          </w:tcPr>
          <w:p w14:paraId="2B6BC8A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19.1</w:t>
            </w:r>
          </w:p>
        </w:tc>
        <w:tc>
          <w:tcPr>
            <w:tcW w:w="960" w:type="dxa"/>
            <w:tcBorders>
              <w:top w:val="nil"/>
              <w:left w:val="nil"/>
              <w:bottom w:val="nil"/>
              <w:right w:val="nil"/>
            </w:tcBorders>
            <w:shd w:val="clear" w:color="000000" w:fill="FFFFFF"/>
            <w:noWrap/>
            <w:vAlign w:val="center"/>
            <w:hideMark/>
          </w:tcPr>
          <w:p w14:paraId="60FEACF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16.3</w:t>
            </w:r>
          </w:p>
        </w:tc>
        <w:tc>
          <w:tcPr>
            <w:tcW w:w="1420" w:type="dxa"/>
            <w:tcBorders>
              <w:top w:val="nil"/>
              <w:left w:val="nil"/>
              <w:bottom w:val="nil"/>
              <w:right w:val="nil"/>
            </w:tcBorders>
            <w:shd w:val="clear" w:color="000000" w:fill="FFFFFF"/>
            <w:noWrap/>
            <w:vAlign w:val="center"/>
            <w:hideMark/>
          </w:tcPr>
          <w:p w14:paraId="253DDC2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3.97</w:t>
            </w:r>
          </w:p>
        </w:tc>
        <w:tc>
          <w:tcPr>
            <w:tcW w:w="960" w:type="dxa"/>
            <w:tcBorders>
              <w:top w:val="nil"/>
              <w:left w:val="nil"/>
              <w:bottom w:val="nil"/>
              <w:right w:val="nil"/>
            </w:tcBorders>
            <w:shd w:val="clear" w:color="000000" w:fill="FFFFFF"/>
            <w:noWrap/>
            <w:vAlign w:val="center"/>
            <w:hideMark/>
          </w:tcPr>
          <w:p w14:paraId="5133203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35.03</w:t>
            </w:r>
          </w:p>
        </w:tc>
      </w:tr>
      <w:tr w:rsidR="004C591B" w:rsidRPr="004C591B" w14:paraId="0DAA1ABA" w14:textId="77777777" w:rsidTr="00C91B88">
        <w:trPr>
          <w:trHeight w:val="290"/>
        </w:trPr>
        <w:tc>
          <w:tcPr>
            <w:tcW w:w="1100" w:type="dxa"/>
            <w:tcBorders>
              <w:top w:val="nil"/>
              <w:left w:val="nil"/>
              <w:bottom w:val="nil"/>
              <w:right w:val="nil"/>
            </w:tcBorders>
            <w:shd w:val="clear" w:color="000000" w:fill="FFFFFF"/>
            <w:noWrap/>
            <w:vAlign w:val="center"/>
            <w:hideMark/>
          </w:tcPr>
          <w:p w14:paraId="60B0980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2466</w:t>
            </w:r>
          </w:p>
        </w:tc>
        <w:tc>
          <w:tcPr>
            <w:tcW w:w="960" w:type="dxa"/>
            <w:tcBorders>
              <w:top w:val="nil"/>
              <w:left w:val="nil"/>
              <w:bottom w:val="nil"/>
              <w:right w:val="nil"/>
            </w:tcBorders>
            <w:shd w:val="clear" w:color="000000" w:fill="FFFFFF"/>
            <w:noWrap/>
            <w:vAlign w:val="center"/>
            <w:hideMark/>
          </w:tcPr>
          <w:p w14:paraId="71C4DD3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1.46</w:t>
            </w:r>
          </w:p>
        </w:tc>
        <w:tc>
          <w:tcPr>
            <w:tcW w:w="960" w:type="dxa"/>
            <w:tcBorders>
              <w:top w:val="nil"/>
              <w:left w:val="nil"/>
              <w:bottom w:val="nil"/>
              <w:right w:val="nil"/>
            </w:tcBorders>
            <w:shd w:val="clear" w:color="000000" w:fill="FFFFFF"/>
            <w:noWrap/>
            <w:vAlign w:val="center"/>
            <w:hideMark/>
          </w:tcPr>
          <w:p w14:paraId="286697C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02D9E4F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4.37</w:t>
            </w:r>
          </w:p>
        </w:tc>
        <w:tc>
          <w:tcPr>
            <w:tcW w:w="960" w:type="dxa"/>
            <w:tcBorders>
              <w:top w:val="nil"/>
              <w:left w:val="nil"/>
              <w:bottom w:val="nil"/>
              <w:right w:val="nil"/>
            </w:tcBorders>
            <w:shd w:val="clear" w:color="000000" w:fill="FFFFFF"/>
            <w:noWrap/>
            <w:vAlign w:val="center"/>
            <w:hideMark/>
          </w:tcPr>
          <w:p w14:paraId="7C30D31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20.2</w:t>
            </w:r>
          </w:p>
        </w:tc>
        <w:tc>
          <w:tcPr>
            <w:tcW w:w="960" w:type="dxa"/>
            <w:tcBorders>
              <w:top w:val="nil"/>
              <w:left w:val="nil"/>
              <w:bottom w:val="nil"/>
              <w:right w:val="nil"/>
            </w:tcBorders>
            <w:shd w:val="clear" w:color="000000" w:fill="FFFFFF"/>
            <w:noWrap/>
            <w:vAlign w:val="center"/>
            <w:hideMark/>
          </w:tcPr>
          <w:p w14:paraId="781F9FA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23.8</w:t>
            </w:r>
          </w:p>
        </w:tc>
        <w:tc>
          <w:tcPr>
            <w:tcW w:w="1420" w:type="dxa"/>
            <w:tcBorders>
              <w:top w:val="nil"/>
              <w:left w:val="nil"/>
              <w:bottom w:val="nil"/>
              <w:right w:val="nil"/>
            </w:tcBorders>
            <w:shd w:val="clear" w:color="000000" w:fill="FFFFFF"/>
            <w:noWrap/>
            <w:vAlign w:val="center"/>
            <w:hideMark/>
          </w:tcPr>
          <w:p w14:paraId="703DC42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3.30</w:t>
            </w:r>
          </w:p>
        </w:tc>
        <w:tc>
          <w:tcPr>
            <w:tcW w:w="960" w:type="dxa"/>
            <w:tcBorders>
              <w:top w:val="nil"/>
              <w:left w:val="nil"/>
              <w:bottom w:val="nil"/>
              <w:right w:val="nil"/>
            </w:tcBorders>
            <w:shd w:val="clear" w:color="000000" w:fill="FFFFFF"/>
            <w:noWrap/>
            <w:vAlign w:val="center"/>
            <w:hideMark/>
          </w:tcPr>
          <w:p w14:paraId="0C9A11D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34.98</w:t>
            </w:r>
          </w:p>
        </w:tc>
      </w:tr>
      <w:tr w:rsidR="004C591B" w:rsidRPr="004C591B" w14:paraId="0B82B2BE" w14:textId="77777777" w:rsidTr="00C91B88">
        <w:trPr>
          <w:trHeight w:val="290"/>
        </w:trPr>
        <w:tc>
          <w:tcPr>
            <w:tcW w:w="1100" w:type="dxa"/>
            <w:tcBorders>
              <w:top w:val="nil"/>
              <w:left w:val="nil"/>
              <w:bottom w:val="nil"/>
              <w:right w:val="nil"/>
            </w:tcBorders>
            <w:shd w:val="clear" w:color="000000" w:fill="FFFFFF"/>
            <w:noWrap/>
            <w:vAlign w:val="center"/>
            <w:hideMark/>
          </w:tcPr>
          <w:p w14:paraId="51D013F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2952</w:t>
            </w:r>
          </w:p>
        </w:tc>
        <w:tc>
          <w:tcPr>
            <w:tcW w:w="960" w:type="dxa"/>
            <w:tcBorders>
              <w:top w:val="nil"/>
              <w:left w:val="nil"/>
              <w:bottom w:val="nil"/>
              <w:right w:val="nil"/>
            </w:tcBorders>
            <w:shd w:val="clear" w:color="000000" w:fill="FFFFFF"/>
            <w:noWrap/>
            <w:vAlign w:val="center"/>
            <w:hideMark/>
          </w:tcPr>
          <w:p w14:paraId="369A754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1.35</w:t>
            </w:r>
          </w:p>
        </w:tc>
        <w:tc>
          <w:tcPr>
            <w:tcW w:w="960" w:type="dxa"/>
            <w:tcBorders>
              <w:top w:val="nil"/>
              <w:left w:val="nil"/>
              <w:bottom w:val="nil"/>
              <w:right w:val="nil"/>
            </w:tcBorders>
            <w:shd w:val="clear" w:color="000000" w:fill="FFFFFF"/>
            <w:noWrap/>
            <w:vAlign w:val="center"/>
            <w:hideMark/>
          </w:tcPr>
          <w:p w14:paraId="5E92AF8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3C650D3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4.88</w:t>
            </w:r>
          </w:p>
        </w:tc>
        <w:tc>
          <w:tcPr>
            <w:tcW w:w="960" w:type="dxa"/>
            <w:tcBorders>
              <w:top w:val="nil"/>
              <w:left w:val="nil"/>
              <w:bottom w:val="nil"/>
              <w:right w:val="nil"/>
            </w:tcBorders>
            <w:shd w:val="clear" w:color="000000" w:fill="FFFFFF"/>
            <w:noWrap/>
            <w:vAlign w:val="center"/>
            <w:hideMark/>
          </w:tcPr>
          <w:p w14:paraId="0BB7ABE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21.4</w:t>
            </w:r>
          </w:p>
        </w:tc>
        <w:tc>
          <w:tcPr>
            <w:tcW w:w="960" w:type="dxa"/>
            <w:tcBorders>
              <w:top w:val="nil"/>
              <w:left w:val="nil"/>
              <w:bottom w:val="nil"/>
              <w:right w:val="nil"/>
            </w:tcBorders>
            <w:shd w:val="clear" w:color="000000" w:fill="FFFFFF"/>
            <w:noWrap/>
            <w:vAlign w:val="center"/>
            <w:hideMark/>
          </w:tcPr>
          <w:p w14:paraId="204B737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33.3</w:t>
            </w:r>
          </w:p>
        </w:tc>
        <w:tc>
          <w:tcPr>
            <w:tcW w:w="1420" w:type="dxa"/>
            <w:tcBorders>
              <w:top w:val="nil"/>
              <w:left w:val="nil"/>
              <w:bottom w:val="nil"/>
              <w:right w:val="nil"/>
            </w:tcBorders>
            <w:shd w:val="clear" w:color="000000" w:fill="FFFFFF"/>
            <w:noWrap/>
            <w:vAlign w:val="center"/>
            <w:hideMark/>
          </w:tcPr>
          <w:p w14:paraId="099AA52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2.85</w:t>
            </w:r>
          </w:p>
        </w:tc>
        <w:tc>
          <w:tcPr>
            <w:tcW w:w="960" w:type="dxa"/>
            <w:tcBorders>
              <w:top w:val="nil"/>
              <w:left w:val="nil"/>
              <w:bottom w:val="nil"/>
              <w:right w:val="nil"/>
            </w:tcBorders>
            <w:shd w:val="clear" w:color="000000" w:fill="FFFFFF"/>
            <w:noWrap/>
            <w:vAlign w:val="center"/>
            <w:hideMark/>
          </w:tcPr>
          <w:p w14:paraId="0CBEB71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34.95</w:t>
            </w:r>
          </w:p>
        </w:tc>
      </w:tr>
      <w:tr w:rsidR="004C591B" w:rsidRPr="004C591B" w14:paraId="032CE71B" w14:textId="77777777" w:rsidTr="00C91B88">
        <w:trPr>
          <w:trHeight w:val="290"/>
        </w:trPr>
        <w:tc>
          <w:tcPr>
            <w:tcW w:w="1100" w:type="dxa"/>
            <w:tcBorders>
              <w:top w:val="nil"/>
              <w:left w:val="nil"/>
              <w:bottom w:val="nil"/>
              <w:right w:val="nil"/>
            </w:tcBorders>
            <w:shd w:val="clear" w:color="000000" w:fill="FFFFFF"/>
            <w:noWrap/>
            <w:vAlign w:val="center"/>
            <w:hideMark/>
          </w:tcPr>
          <w:p w14:paraId="300FDE2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3932</w:t>
            </w:r>
          </w:p>
        </w:tc>
        <w:tc>
          <w:tcPr>
            <w:tcW w:w="960" w:type="dxa"/>
            <w:tcBorders>
              <w:top w:val="nil"/>
              <w:left w:val="nil"/>
              <w:bottom w:val="nil"/>
              <w:right w:val="nil"/>
            </w:tcBorders>
            <w:shd w:val="clear" w:color="000000" w:fill="FFFFFF"/>
            <w:noWrap/>
            <w:vAlign w:val="center"/>
            <w:hideMark/>
          </w:tcPr>
          <w:p w14:paraId="6BC9F0F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1.30</w:t>
            </w:r>
          </w:p>
        </w:tc>
        <w:tc>
          <w:tcPr>
            <w:tcW w:w="960" w:type="dxa"/>
            <w:tcBorders>
              <w:top w:val="nil"/>
              <w:left w:val="nil"/>
              <w:bottom w:val="nil"/>
              <w:right w:val="nil"/>
            </w:tcBorders>
            <w:shd w:val="clear" w:color="000000" w:fill="FFFFFF"/>
            <w:noWrap/>
            <w:vAlign w:val="center"/>
            <w:hideMark/>
          </w:tcPr>
          <w:p w14:paraId="3D2EA83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41F860D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5.68</w:t>
            </w:r>
          </w:p>
        </w:tc>
        <w:tc>
          <w:tcPr>
            <w:tcW w:w="960" w:type="dxa"/>
            <w:tcBorders>
              <w:top w:val="nil"/>
              <w:left w:val="nil"/>
              <w:bottom w:val="nil"/>
              <w:right w:val="nil"/>
            </w:tcBorders>
            <w:shd w:val="clear" w:color="000000" w:fill="FFFFFF"/>
            <w:noWrap/>
            <w:vAlign w:val="center"/>
            <w:hideMark/>
          </w:tcPr>
          <w:p w14:paraId="70A89CB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23.0</w:t>
            </w:r>
          </w:p>
        </w:tc>
        <w:tc>
          <w:tcPr>
            <w:tcW w:w="960" w:type="dxa"/>
            <w:tcBorders>
              <w:top w:val="nil"/>
              <w:left w:val="nil"/>
              <w:bottom w:val="nil"/>
              <w:right w:val="nil"/>
            </w:tcBorders>
            <w:shd w:val="clear" w:color="000000" w:fill="FFFFFF"/>
            <w:noWrap/>
            <w:vAlign w:val="center"/>
            <w:hideMark/>
          </w:tcPr>
          <w:p w14:paraId="0F909BD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43.4</w:t>
            </w:r>
          </w:p>
        </w:tc>
        <w:tc>
          <w:tcPr>
            <w:tcW w:w="1420" w:type="dxa"/>
            <w:tcBorders>
              <w:top w:val="nil"/>
              <w:left w:val="nil"/>
              <w:bottom w:val="nil"/>
              <w:right w:val="nil"/>
            </w:tcBorders>
            <w:shd w:val="clear" w:color="000000" w:fill="FFFFFF"/>
            <w:noWrap/>
            <w:vAlign w:val="center"/>
            <w:hideMark/>
          </w:tcPr>
          <w:p w14:paraId="39B7DAC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2.53</w:t>
            </w:r>
          </w:p>
        </w:tc>
        <w:tc>
          <w:tcPr>
            <w:tcW w:w="960" w:type="dxa"/>
            <w:tcBorders>
              <w:top w:val="nil"/>
              <w:left w:val="nil"/>
              <w:bottom w:val="nil"/>
              <w:right w:val="nil"/>
            </w:tcBorders>
            <w:shd w:val="clear" w:color="000000" w:fill="FFFFFF"/>
            <w:noWrap/>
            <w:vAlign w:val="center"/>
            <w:hideMark/>
          </w:tcPr>
          <w:p w14:paraId="5D50E34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34.91</w:t>
            </w:r>
          </w:p>
        </w:tc>
      </w:tr>
      <w:tr w:rsidR="004C591B" w:rsidRPr="004C591B" w14:paraId="429219A0" w14:textId="77777777" w:rsidTr="00C91B88">
        <w:trPr>
          <w:trHeight w:val="290"/>
        </w:trPr>
        <w:tc>
          <w:tcPr>
            <w:tcW w:w="1100" w:type="dxa"/>
            <w:tcBorders>
              <w:top w:val="nil"/>
              <w:left w:val="nil"/>
              <w:bottom w:val="nil"/>
              <w:right w:val="nil"/>
            </w:tcBorders>
            <w:shd w:val="clear" w:color="000000" w:fill="FFFFFF"/>
            <w:noWrap/>
            <w:vAlign w:val="center"/>
            <w:hideMark/>
          </w:tcPr>
          <w:p w14:paraId="6CAA9A0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4904</w:t>
            </w:r>
          </w:p>
        </w:tc>
        <w:tc>
          <w:tcPr>
            <w:tcW w:w="960" w:type="dxa"/>
            <w:tcBorders>
              <w:top w:val="nil"/>
              <w:left w:val="nil"/>
              <w:bottom w:val="nil"/>
              <w:right w:val="nil"/>
            </w:tcBorders>
            <w:shd w:val="clear" w:color="000000" w:fill="FFFFFF"/>
            <w:noWrap/>
            <w:vAlign w:val="center"/>
            <w:hideMark/>
          </w:tcPr>
          <w:p w14:paraId="67E3C04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1.32</w:t>
            </w:r>
          </w:p>
        </w:tc>
        <w:tc>
          <w:tcPr>
            <w:tcW w:w="960" w:type="dxa"/>
            <w:tcBorders>
              <w:top w:val="nil"/>
              <w:left w:val="nil"/>
              <w:bottom w:val="nil"/>
              <w:right w:val="nil"/>
            </w:tcBorders>
            <w:shd w:val="clear" w:color="000000" w:fill="FFFFFF"/>
            <w:noWrap/>
            <w:vAlign w:val="center"/>
            <w:hideMark/>
          </w:tcPr>
          <w:p w14:paraId="275379E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4879135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5.46</w:t>
            </w:r>
          </w:p>
        </w:tc>
        <w:tc>
          <w:tcPr>
            <w:tcW w:w="960" w:type="dxa"/>
            <w:tcBorders>
              <w:top w:val="nil"/>
              <w:left w:val="nil"/>
              <w:bottom w:val="nil"/>
              <w:right w:val="nil"/>
            </w:tcBorders>
            <w:shd w:val="clear" w:color="000000" w:fill="FFFFFF"/>
            <w:noWrap/>
            <w:vAlign w:val="center"/>
            <w:hideMark/>
          </w:tcPr>
          <w:p w14:paraId="67E720A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23.3</w:t>
            </w:r>
          </w:p>
        </w:tc>
        <w:tc>
          <w:tcPr>
            <w:tcW w:w="960" w:type="dxa"/>
            <w:tcBorders>
              <w:top w:val="nil"/>
              <w:left w:val="nil"/>
              <w:bottom w:val="nil"/>
              <w:right w:val="nil"/>
            </w:tcBorders>
            <w:shd w:val="clear" w:color="000000" w:fill="FFFFFF"/>
            <w:noWrap/>
            <w:vAlign w:val="center"/>
            <w:hideMark/>
          </w:tcPr>
          <w:p w14:paraId="28DCAE2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46.5</w:t>
            </w:r>
          </w:p>
        </w:tc>
        <w:tc>
          <w:tcPr>
            <w:tcW w:w="1420" w:type="dxa"/>
            <w:tcBorders>
              <w:top w:val="nil"/>
              <w:left w:val="nil"/>
              <w:bottom w:val="nil"/>
              <w:right w:val="nil"/>
            </w:tcBorders>
            <w:shd w:val="clear" w:color="000000" w:fill="FFFFFF"/>
            <w:noWrap/>
            <w:vAlign w:val="center"/>
            <w:hideMark/>
          </w:tcPr>
          <w:p w14:paraId="35115E2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2.52</w:t>
            </w:r>
          </w:p>
        </w:tc>
        <w:tc>
          <w:tcPr>
            <w:tcW w:w="960" w:type="dxa"/>
            <w:tcBorders>
              <w:top w:val="nil"/>
              <w:left w:val="nil"/>
              <w:bottom w:val="nil"/>
              <w:right w:val="nil"/>
            </w:tcBorders>
            <w:shd w:val="clear" w:color="000000" w:fill="FFFFFF"/>
            <w:noWrap/>
            <w:vAlign w:val="center"/>
            <w:hideMark/>
          </w:tcPr>
          <w:p w14:paraId="7655545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34.90</w:t>
            </w:r>
          </w:p>
        </w:tc>
      </w:tr>
      <w:tr w:rsidR="004C591B" w:rsidRPr="004C591B" w14:paraId="1E08AF89" w14:textId="77777777" w:rsidTr="00C91B88">
        <w:trPr>
          <w:trHeight w:val="290"/>
        </w:trPr>
        <w:tc>
          <w:tcPr>
            <w:tcW w:w="1100" w:type="dxa"/>
            <w:tcBorders>
              <w:top w:val="nil"/>
              <w:left w:val="nil"/>
              <w:bottom w:val="nil"/>
              <w:right w:val="nil"/>
            </w:tcBorders>
            <w:shd w:val="clear" w:color="000000" w:fill="FFFFFF"/>
            <w:noWrap/>
            <w:vAlign w:val="center"/>
            <w:hideMark/>
          </w:tcPr>
          <w:p w14:paraId="79EDDE9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5330</w:t>
            </w:r>
          </w:p>
        </w:tc>
        <w:tc>
          <w:tcPr>
            <w:tcW w:w="960" w:type="dxa"/>
            <w:tcBorders>
              <w:top w:val="nil"/>
              <w:left w:val="nil"/>
              <w:bottom w:val="nil"/>
              <w:right w:val="nil"/>
            </w:tcBorders>
            <w:shd w:val="clear" w:color="000000" w:fill="FFFFFF"/>
            <w:noWrap/>
            <w:vAlign w:val="center"/>
            <w:hideMark/>
          </w:tcPr>
          <w:p w14:paraId="35826F4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1.34</w:t>
            </w:r>
          </w:p>
        </w:tc>
        <w:tc>
          <w:tcPr>
            <w:tcW w:w="960" w:type="dxa"/>
            <w:tcBorders>
              <w:top w:val="nil"/>
              <w:left w:val="nil"/>
              <w:bottom w:val="nil"/>
              <w:right w:val="nil"/>
            </w:tcBorders>
            <w:shd w:val="clear" w:color="000000" w:fill="FFFFFF"/>
            <w:noWrap/>
            <w:vAlign w:val="center"/>
            <w:hideMark/>
          </w:tcPr>
          <w:p w14:paraId="67F2BCE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6645847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5.39</w:t>
            </w:r>
          </w:p>
        </w:tc>
        <w:tc>
          <w:tcPr>
            <w:tcW w:w="960" w:type="dxa"/>
            <w:tcBorders>
              <w:top w:val="nil"/>
              <w:left w:val="nil"/>
              <w:bottom w:val="nil"/>
              <w:right w:val="nil"/>
            </w:tcBorders>
            <w:shd w:val="clear" w:color="000000" w:fill="FFFFFF"/>
            <w:noWrap/>
            <w:vAlign w:val="center"/>
            <w:hideMark/>
          </w:tcPr>
          <w:p w14:paraId="13F6C86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23.3</w:t>
            </w:r>
          </w:p>
        </w:tc>
        <w:tc>
          <w:tcPr>
            <w:tcW w:w="960" w:type="dxa"/>
            <w:tcBorders>
              <w:top w:val="nil"/>
              <w:left w:val="nil"/>
              <w:bottom w:val="nil"/>
              <w:right w:val="nil"/>
            </w:tcBorders>
            <w:shd w:val="clear" w:color="000000" w:fill="FFFFFF"/>
            <w:noWrap/>
            <w:vAlign w:val="center"/>
            <w:hideMark/>
          </w:tcPr>
          <w:p w14:paraId="7D73F49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47.0</w:t>
            </w:r>
          </w:p>
        </w:tc>
        <w:tc>
          <w:tcPr>
            <w:tcW w:w="1420" w:type="dxa"/>
            <w:tcBorders>
              <w:top w:val="nil"/>
              <w:left w:val="nil"/>
              <w:bottom w:val="nil"/>
              <w:right w:val="nil"/>
            </w:tcBorders>
            <w:shd w:val="clear" w:color="000000" w:fill="FFFFFF"/>
            <w:noWrap/>
            <w:vAlign w:val="center"/>
            <w:hideMark/>
          </w:tcPr>
          <w:p w14:paraId="647AE30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2.57</w:t>
            </w:r>
          </w:p>
        </w:tc>
        <w:tc>
          <w:tcPr>
            <w:tcW w:w="960" w:type="dxa"/>
            <w:tcBorders>
              <w:top w:val="nil"/>
              <w:left w:val="nil"/>
              <w:bottom w:val="nil"/>
              <w:right w:val="nil"/>
            </w:tcBorders>
            <w:shd w:val="clear" w:color="000000" w:fill="FFFFFF"/>
            <w:noWrap/>
            <w:vAlign w:val="center"/>
            <w:hideMark/>
          </w:tcPr>
          <w:p w14:paraId="59654B5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34.90</w:t>
            </w:r>
          </w:p>
        </w:tc>
      </w:tr>
      <w:tr w:rsidR="004C591B" w:rsidRPr="004C591B" w14:paraId="69101C84" w14:textId="77777777" w:rsidTr="00C91B88">
        <w:trPr>
          <w:trHeight w:val="290"/>
        </w:trPr>
        <w:tc>
          <w:tcPr>
            <w:tcW w:w="1100" w:type="dxa"/>
            <w:tcBorders>
              <w:top w:val="nil"/>
              <w:left w:val="nil"/>
              <w:bottom w:val="nil"/>
              <w:right w:val="nil"/>
            </w:tcBorders>
            <w:shd w:val="clear" w:color="000000" w:fill="FFFFFF"/>
            <w:noWrap/>
            <w:vAlign w:val="center"/>
            <w:hideMark/>
          </w:tcPr>
          <w:p w14:paraId="4E42ED9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78A0A27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4586E5A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63246FA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07DC913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33BCD21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6DD56D2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2FC9BAC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r>
      <w:tr w:rsidR="004C591B" w:rsidRPr="004C591B" w14:paraId="65C6A5A2" w14:textId="77777777" w:rsidTr="00C91B88">
        <w:trPr>
          <w:trHeight w:val="290"/>
        </w:trPr>
        <w:tc>
          <w:tcPr>
            <w:tcW w:w="5900" w:type="dxa"/>
            <w:gridSpan w:val="6"/>
            <w:tcBorders>
              <w:top w:val="nil"/>
              <w:left w:val="nil"/>
              <w:bottom w:val="nil"/>
              <w:right w:val="nil"/>
            </w:tcBorders>
            <w:shd w:val="clear" w:color="000000" w:fill="FFFFFF"/>
            <w:noWrap/>
            <w:vAlign w:val="center"/>
            <w:hideMark/>
          </w:tcPr>
          <w:p w14:paraId="2A22F030" w14:textId="77777777" w:rsidR="00C91B88" w:rsidRPr="004C591B" w:rsidRDefault="00C91B88" w:rsidP="00C91B88">
            <w:pPr>
              <w:rPr>
                <w:rFonts w:ascii="Arial" w:hAnsi="Arial" w:cs="Arial"/>
                <w:b/>
                <w:bCs/>
                <w:i/>
                <w:iCs/>
                <w:sz w:val="22"/>
                <w:szCs w:val="22"/>
                <w:lang w:val="en-GB" w:eastAsia="fr-FR"/>
              </w:rPr>
            </w:pPr>
            <w:r w:rsidRPr="004C591B">
              <w:rPr>
                <w:rFonts w:ascii="Arial" w:hAnsi="Arial" w:cs="Arial"/>
                <w:b/>
                <w:bCs/>
                <w:i/>
                <w:iCs/>
                <w:sz w:val="22"/>
                <w:szCs w:val="22"/>
                <w:lang w:val="en-GB" w:eastAsia="fr-FR"/>
              </w:rPr>
              <w:t>Station 21: 46.5°N, -19.7°E, Bottom depth 4518m</w:t>
            </w:r>
          </w:p>
        </w:tc>
        <w:tc>
          <w:tcPr>
            <w:tcW w:w="1420" w:type="dxa"/>
            <w:tcBorders>
              <w:top w:val="nil"/>
              <w:left w:val="nil"/>
              <w:bottom w:val="nil"/>
              <w:right w:val="nil"/>
            </w:tcBorders>
            <w:shd w:val="clear" w:color="000000" w:fill="FFFFFF"/>
            <w:noWrap/>
            <w:vAlign w:val="center"/>
            <w:hideMark/>
          </w:tcPr>
          <w:p w14:paraId="19651B0F"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c>
          <w:tcPr>
            <w:tcW w:w="960" w:type="dxa"/>
            <w:tcBorders>
              <w:top w:val="nil"/>
              <w:left w:val="nil"/>
              <w:bottom w:val="nil"/>
              <w:right w:val="nil"/>
            </w:tcBorders>
            <w:shd w:val="clear" w:color="000000" w:fill="FFFFFF"/>
            <w:noWrap/>
            <w:vAlign w:val="center"/>
            <w:hideMark/>
          </w:tcPr>
          <w:p w14:paraId="56CBDC13"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r>
      <w:tr w:rsidR="004C591B" w:rsidRPr="004C591B" w14:paraId="66A2FA8E" w14:textId="77777777" w:rsidTr="00C91B88">
        <w:trPr>
          <w:trHeight w:val="290"/>
        </w:trPr>
        <w:tc>
          <w:tcPr>
            <w:tcW w:w="1100" w:type="dxa"/>
            <w:tcBorders>
              <w:top w:val="nil"/>
              <w:left w:val="nil"/>
              <w:bottom w:val="nil"/>
              <w:right w:val="nil"/>
            </w:tcBorders>
            <w:shd w:val="clear" w:color="000000" w:fill="FFFFFF"/>
            <w:noWrap/>
            <w:vAlign w:val="center"/>
            <w:hideMark/>
          </w:tcPr>
          <w:p w14:paraId="10CD24C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20</w:t>
            </w:r>
          </w:p>
        </w:tc>
        <w:tc>
          <w:tcPr>
            <w:tcW w:w="960" w:type="dxa"/>
            <w:tcBorders>
              <w:top w:val="nil"/>
              <w:left w:val="nil"/>
              <w:bottom w:val="nil"/>
              <w:right w:val="nil"/>
            </w:tcBorders>
            <w:shd w:val="clear" w:color="000000" w:fill="FFFFFF"/>
            <w:noWrap/>
            <w:vAlign w:val="center"/>
            <w:hideMark/>
          </w:tcPr>
          <w:p w14:paraId="290983F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1.67</w:t>
            </w:r>
          </w:p>
        </w:tc>
        <w:tc>
          <w:tcPr>
            <w:tcW w:w="960" w:type="dxa"/>
            <w:tcBorders>
              <w:top w:val="nil"/>
              <w:left w:val="nil"/>
              <w:bottom w:val="nil"/>
              <w:right w:val="nil"/>
            </w:tcBorders>
            <w:shd w:val="clear" w:color="000000" w:fill="FFFFFF"/>
            <w:noWrap/>
            <w:vAlign w:val="center"/>
            <w:hideMark/>
          </w:tcPr>
          <w:p w14:paraId="6D1997F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09E7BFC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1.75</w:t>
            </w:r>
          </w:p>
        </w:tc>
        <w:tc>
          <w:tcPr>
            <w:tcW w:w="960" w:type="dxa"/>
            <w:tcBorders>
              <w:top w:val="nil"/>
              <w:left w:val="nil"/>
              <w:bottom w:val="nil"/>
              <w:right w:val="nil"/>
            </w:tcBorders>
            <w:shd w:val="clear" w:color="000000" w:fill="FFFFFF"/>
            <w:noWrap/>
            <w:vAlign w:val="center"/>
            <w:hideMark/>
          </w:tcPr>
          <w:p w14:paraId="1AB47E6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4.4</w:t>
            </w:r>
          </w:p>
        </w:tc>
        <w:tc>
          <w:tcPr>
            <w:tcW w:w="960" w:type="dxa"/>
            <w:tcBorders>
              <w:top w:val="nil"/>
              <w:left w:val="nil"/>
              <w:bottom w:val="nil"/>
              <w:right w:val="nil"/>
            </w:tcBorders>
            <w:shd w:val="clear" w:color="000000" w:fill="FFFFFF"/>
            <w:noWrap/>
            <w:vAlign w:val="center"/>
            <w:hideMark/>
          </w:tcPr>
          <w:p w14:paraId="1960D6E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w:t>
            </w:r>
          </w:p>
        </w:tc>
        <w:tc>
          <w:tcPr>
            <w:tcW w:w="1420" w:type="dxa"/>
            <w:tcBorders>
              <w:top w:val="nil"/>
              <w:left w:val="nil"/>
              <w:bottom w:val="nil"/>
              <w:right w:val="nil"/>
            </w:tcBorders>
            <w:shd w:val="clear" w:color="000000" w:fill="FFFFFF"/>
            <w:noWrap/>
            <w:vAlign w:val="center"/>
            <w:hideMark/>
          </w:tcPr>
          <w:p w14:paraId="332063C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13.78</w:t>
            </w:r>
          </w:p>
        </w:tc>
        <w:tc>
          <w:tcPr>
            <w:tcW w:w="960" w:type="dxa"/>
            <w:tcBorders>
              <w:top w:val="nil"/>
              <w:left w:val="nil"/>
              <w:bottom w:val="nil"/>
              <w:right w:val="nil"/>
            </w:tcBorders>
            <w:shd w:val="clear" w:color="000000" w:fill="FFFFFF"/>
            <w:noWrap/>
            <w:vAlign w:val="center"/>
            <w:hideMark/>
          </w:tcPr>
          <w:p w14:paraId="7CA1CF8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35.66</w:t>
            </w:r>
          </w:p>
        </w:tc>
      </w:tr>
      <w:tr w:rsidR="004C591B" w:rsidRPr="004C591B" w14:paraId="636F7C1B" w14:textId="77777777" w:rsidTr="00C91B88">
        <w:trPr>
          <w:trHeight w:val="290"/>
        </w:trPr>
        <w:tc>
          <w:tcPr>
            <w:tcW w:w="1100" w:type="dxa"/>
            <w:tcBorders>
              <w:top w:val="nil"/>
              <w:left w:val="nil"/>
              <w:bottom w:val="nil"/>
              <w:right w:val="nil"/>
            </w:tcBorders>
            <w:shd w:val="clear" w:color="000000" w:fill="FFFFFF"/>
            <w:noWrap/>
            <w:vAlign w:val="center"/>
            <w:hideMark/>
          </w:tcPr>
          <w:p w14:paraId="1573005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50</w:t>
            </w:r>
          </w:p>
        </w:tc>
        <w:tc>
          <w:tcPr>
            <w:tcW w:w="960" w:type="dxa"/>
            <w:tcBorders>
              <w:top w:val="nil"/>
              <w:left w:val="nil"/>
              <w:bottom w:val="nil"/>
              <w:right w:val="nil"/>
            </w:tcBorders>
            <w:shd w:val="clear" w:color="000000" w:fill="FFFFFF"/>
            <w:noWrap/>
            <w:vAlign w:val="center"/>
            <w:hideMark/>
          </w:tcPr>
          <w:p w14:paraId="77DFD80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1.60</w:t>
            </w:r>
          </w:p>
        </w:tc>
        <w:tc>
          <w:tcPr>
            <w:tcW w:w="960" w:type="dxa"/>
            <w:tcBorders>
              <w:top w:val="nil"/>
              <w:left w:val="nil"/>
              <w:bottom w:val="nil"/>
              <w:right w:val="nil"/>
            </w:tcBorders>
            <w:shd w:val="clear" w:color="000000" w:fill="FFFFFF"/>
            <w:noWrap/>
            <w:vAlign w:val="center"/>
            <w:hideMark/>
          </w:tcPr>
          <w:p w14:paraId="616F4BA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05B607A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2.62</w:t>
            </w:r>
          </w:p>
        </w:tc>
        <w:tc>
          <w:tcPr>
            <w:tcW w:w="960" w:type="dxa"/>
            <w:tcBorders>
              <w:top w:val="nil"/>
              <w:left w:val="nil"/>
              <w:bottom w:val="nil"/>
              <w:right w:val="nil"/>
            </w:tcBorders>
            <w:shd w:val="clear" w:color="000000" w:fill="FFFFFF"/>
            <w:noWrap/>
            <w:vAlign w:val="center"/>
            <w:hideMark/>
          </w:tcPr>
          <w:p w14:paraId="3351790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4.4</w:t>
            </w:r>
          </w:p>
        </w:tc>
        <w:tc>
          <w:tcPr>
            <w:tcW w:w="960" w:type="dxa"/>
            <w:tcBorders>
              <w:top w:val="nil"/>
              <w:left w:val="nil"/>
              <w:bottom w:val="nil"/>
              <w:right w:val="nil"/>
            </w:tcBorders>
            <w:shd w:val="clear" w:color="000000" w:fill="FFFFFF"/>
            <w:noWrap/>
            <w:vAlign w:val="center"/>
            <w:hideMark/>
          </w:tcPr>
          <w:p w14:paraId="579CBAB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w:t>
            </w:r>
          </w:p>
        </w:tc>
        <w:tc>
          <w:tcPr>
            <w:tcW w:w="1420" w:type="dxa"/>
            <w:tcBorders>
              <w:top w:val="nil"/>
              <w:left w:val="nil"/>
              <w:bottom w:val="nil"/>
              <w:right w:val="nil"/>
            </w:tcBorders>
            <w:shd w:val="clear" w:color="000000" w:fill="FFFFFF"/>
            <w:noWrap/>
            <w:vAlign w:val="center"/>
            <w:hideMark/>
          </w:tcPr>
          <w:p w14:paraId="32B3C8A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12.69</w:t>
            </w:r>
          </w:p>
        </w:tc>
        <w:tc>
          <w:tcPr>
            <w:tcW w:w="960" w:type="dxa"/>
            <w:tcBorders>
              <w:top w:val="nil"/>
              <w:left w:val="nil"/>
              <w:bottom w:val="nil"/>
              <w:right w:val="nil"/>
            </w:tcBorders>
            <w:shd w:val="clear" w:color="000000" w:fill="FFFFFF"/>
            <w:noWrap/>
            <w:vAlign w:val="center"/>
            <w:hideMark/>
          </w:tcPr>
          <w:p w14:paraId="3625CE7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35.61</w:t>
            </w:r>
          </w:p>
        </w:tc>
      </w:tr>
      <w:tr w:rsidR="004C591B" w:rsidRPr="004C591B" w14:paraId="366EBA19" w14:textId="77777777" w:rsidTr="00C91B88">
        <w:trPr>
          <w:trHeight w:val="290"/>
        </w:trPr>
        <w:tc>
          <w:tcPr>
            <w:tcW w:w="1100" w:type="dxa"/>
            <w:tcBorders>
              <w:top w:val="nil"/>
              <w:left w:val="nil"/>
              <w:bottom w:val="nil"/>
              <w:right w:val="nil"/>
            </w:tcBorders>
            <w:shd w:val="clear" w:color="000000" w:fill="FFFFFF"/>
            <w:noWrap/>
            <w:vAlign w:val="center"/>
            <w:hideMark/>
          </w:tcPr>
          <w:p w14:paraId="46F90AD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100</w:t>
            </w:r>
          </w:p>
        </w:tc>
        <w:tc>
          <w:tcPr>
            <w:tcW w:w="960" w:type="dxa"/>
            <w:tcBorders>
              <w:top w:val="nil"/>
              <w:left w:val="nil"/>
              <w:bottom w:val="nil"/>
              <w:right w:val="nil"/>
            </w:tcBorders>
            <w:shd w:val="clear" w:color="000000" w:fill="FFFFFF"/>
            <w:noWrap/>
            <w:vAlign w:val="center"/>
            <w:hideMark/>
          </w:tcPr>
          <w:p w14:paraId="5B21138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1EF6D17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7DCEE7F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2.86</w:t>
            </w:r>
          </w:p>
        </w:tc>
        <w:tc>
          <w:tcPr>
            <w:tcW w:w="960" w:type="dxa"/>
            <w:tcBorders>
              <w:top w:val="nil"/>
              <w:left w:val="nil"/>
              <w:bottom w:val="nil"/>
              <w:right w:val="nil"/>
            </w:tcBorders>
            <w:shd w:val="clear" w:color="000000" w:fill="FFFFFF"/>
            <w:noWrap/>
            <w:vAlign w:val="center"/>
            <w:hideMark/>
          </w:tcPr>
          <w:p w14:paraId="05A60D3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8.6</w:t>
            </w:r>
          </w:p>
        </w:tc>
        <w:tc>
          <w:tcPr>
            <w:tcW w:w="960" w:type="dxa"/>
            <w:tcBorders>
              <w:top w:val="nil"/>
              <w:left w:val="nil"/>
              <w:bottom w:val="nil"/>
              <w:right w:val="nil"/>
            </w:tcBorders>
            <w:shd w:val="clear" w:color="000000" w:fill="FFFFFF"/>
            <w:noWrap/>
            <w:vAlign w:val="center"/>
            <w:hideMark/>
          </w:tcPr>
          <w:p w14:paraId="4E55645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w:t>
            </w:r>
          </w:p>
        </w:tc>
        <w:tc>
          <w:tcPr>
            <w:tcW w:w="1420" w:type="dxa"/>
            <w:tcBorders>
              <w:top w:val="nil"/>
              <w:left w:val="nil"/>
              <w:bottom w:val="nil"/>
              <w:right w:val="nil"/>
            </w:tcBorders>
            <w:shd w:val="clear" w:color="000000" w:fill="FFFFFF"/>
            <w:noWrap/>
            <w:vAlign w:val="center"/>
            <w:hideMark/>
          </w:tcPr>
          <w:p w14:paraId="3CF6953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12.48</w:t>
            </w:r>
          </w:p>
        </w:tc>
        <w:tc>
          <w:tcPr>
            <w:tcW w:w="960" w:type="dxa"/>
            <w:tcBorders>
              <w:top w:val="nil"/>
              <w:left w:val="nil"/>
              <w:bottom w:val="nil"/>
              <w:right w:val="nil"/>
            </w:tcBorders>
            <w:shd w:val="clear" w:color="000000" w:fill="FFFFFF"/>
            <w:noWrap/>
            <w:vAlign w:val="center"/>
            <w:hideMark/>
          </w:tcPr>
          <w:p w14:paraId="5AC79A1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35.64</w:t>
            </w:r>
          </w:p>
        </w:tc>
      </w:tr>
      <w:tr w:rsidR="004C591B" w:rsidRPr="004C591B" w14:paraId="505238F1" w14:textId="77777777" w:rsidTr="00C91B88">
        <w:trPr>
          <w:trHeight w:val="290"/>
        </w:trPr>
        <w:tc>
          <w:tcPr>
            <w:tcW w:w="1100" w:type="dxa"/>
            <w:tcBorders>
              <w:top w:val="nil"/>
              <w:left w:val="nil"/>
              <w:bottom w:val="nil"/>
              <w:right w:val="nil"/>
            </w:tcBorders>
            <w:shd w:val="clear" w:color="000000" w:fill="FFFFFF"/>
            <w:noWrap/>
            <w:vAlign w:val="center"/>
            <w:hideMark/>
          </w:tcPr>
          <w:p w14:paraId="50E619D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199</w:t>
            </w:r>
          </w:p>
        </w:tc>
        <w:tc>
          <w:tcPr>
            <w:tcW w:w="960" w:type="dxa"/>
            <w:tcBorders>
              <w:top w:val="nil"/>
              <w:left w:val="nil"/>
              <w:bottom w:val="nil"/>
              <w:right w:val="nil"/>
            </w:tcBorders>
            <w:shd w:val="clear" w:color="000000" w:fill="FFFFFF"/>
            <w:noWrap/>
            <w:vAlign w:val="center"/>
            <w:hideMark/>
          </w:tcPr>
          <w:p w14:paraId="267A0EE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1.53</w:t>
            </w:r>
          </w:p>
        </w:tc>
        <w:tc>
          <w:tcPr>
            <w:tcW w:w="960" w:type="dxa"/>
            <w:tcBorders>
              <w:top w:val="nil"/>
              <w:left w:val="nil"/>
              <w:bottom w:val="nil"/>
              <w:right w:val="nil"/>
            </w:tcBorders>
            <w:shd w:val="clear" w:color="000000" w:fill="FFFFFF"/>
            <w:noWrap/>
            <w:vAlign w:val="center"/>
            <w:hideMark/>
          </w:tcPr>
          <w:p w14:paraId="339A2D1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3CC103F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2.71</w:t>
            </w:r>
          </w:p>
        </w:tc>
        <w:tc>
          <w:tcPr>
            <w:tcW w:w="960" w:type="dxa"/>
            <w:tcBorders>
              <w:top w:val="nil"/>
              <w:left w:val="nil"/>
              <w:bottom w:val="nil"/>
              <w:right w:val="nil"/>
            </w:tcBorders>
            <w:shd w:val="clear" w:color="000000" w:fill="FFFFFF"/>
            <w:noWrap/>
            <w:vAlign w:val="center"/>
            <w:hideMark/>
          </w:tcPr>
          <w:p w14:paraId="53C27D3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9.8</w:t>
            </w:r>
          </w:p>
        </w:tc>
        <w:tc>
          <w:tcPr>
            <w:tcW w:w="960" w:type="dxa"/>
            <w:tcBorders>
              <w:top w:val="nil"/>
              <w:left w:val="nil"/>
              <w:bottom w:val="nil"/>
              <w:right w:val="nil"/>
            </w:tcBorders>
            <w:shd w:val="clear" w:color="000000" w:fill="FFFFFF"/>
            <w:noWrap/>
            <w:vAlign w:val="center"/>
            <w:hideMark/>
          </w:tcPr>
          <w:p w14:paraId="674B6AD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w:t>
            </w:r>
          </w:p>
        </w:tc>
        <w:tc>
          <w:tcPr>
            <w:tcW w:w="1420" w:type="dxa"/>
            <w:tcBorders>
              <w:top w:val="nil"/>
              <w:left w:val="nil"/>
              <w:bottom w:val="nil"/>
              <w:right w:val="nil"/>
            </w:tcBorders>
            <w:shd w:val="clear" w:color="000000" w:fill="FFFFFF"/>
            <w:noWrap/>
            <w:vAlign w:val="center"/>
            <w:hideMark/>
          </w:tcPr>
          <w:p w14:paraId="534DD61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12.04</w:t>
            </w:r>
          </w:p>
        </w:tc>
        <w:tc>
          <w:tcPr>
            <w:tcW w:w="960" w:type="dxa"/>
            <w:tcBorders>
              <w:top w:val="nil"/>
              <w:left w:val="nil"/>
              <w:bottom w:val="nil"/>
              <w:right w:val="nil"/>
            </w:tcBorders>
            <w:shd w:val="clear" w:color="000000" w:fill="FFFFFF"/>
            <w:noWrap/>
            <w:vAlign w:val="center"/>
            <w:hideMark/>
          </w:tcPr>
          <w:p w14:paraId="6C1A844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35.63</w:t>
            </w:r>
          </w:p>
        </w:tc>
      </w:tr>
      <w:tr w:rsidR="004C591B" w:rsidRPr="004C591B" w14:paraId="2271B637" w14:textId="77777777" w:rsidTr="00C91B88">
        <w:trPr>
          <w:trHeight w:val="290"/>
        </w:trPr>
        <w:tc>
          <w:tcPr>
            <w:tcW w:w="1100" w:type="dxa"/>
            <w:tcBorders>
              <w:top w:val="nil"/>
              <w:left w:val="nil"/>
              <w:bottom w:val="nil"/>
              <w:right w:val="nil"/>
            </w:tcBorders>
            <w:shd w:val="clear" w:color="000000" w:fill="FFFFFF"/>
            <w:noWrap/>
            <w:vAlign w:val="center"/>
            <w:hideMark/>
          </w:tcPr>
          <w:p w14:paraId="7D5F4D9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298</w:t>
            </w:r>
          </w:p>
        </w:tc>
        <w:tc>
          <w:tcPr>
            <w:tcW w:w="960" w:type="dxa"/>
            <w:tcBorders>
              <w:top w:val="nil"/>
              <w:left w:val="nil"/>
              <w:bottom w:val="nil"/>
              <w:right w:val="nil"/>
            </w:tcBorders>
            <w:shd w:val="clear" w:color="000000" w:fill="FFFFFF"/>
            <w:noWrap/>
            <w:vAlign w:val="center"/>
            <w:hideMark/>
          </w:tcPr>
          <w:p w14:paraId="4C30841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1.53</w:t>
            </w:r>
          </w:p>
        </w:tc>
        <w:tc>
          <w:tcPr>
            <w:tcW w:w="960" w:type="dxa"/>
            <w:tcBorders>
              <w:top w:val="nil"/>
              <w:left w:val="nil"/>
              <w:bottom w:val="nil"/>
              <w:right w:val="nil"/>
            </w:tcBorders>
            <w:shd w:val="clear" w:color="000000" w:fill="FFFFFF"/>
            <w:noWrap/>
            <w:vAlign w:val="center"/>
            <w:hideMark/>
          </w:tcPr>
          <w:p w14:paraId="7C48C92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0F5A236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3.00</w:t>
            </w:r>
          </w:p>
        </w:tc>
        <w:tc>
          <w:tcPr>
            <w:tcW w:w="960" w:type="dxa"/>
            <w:tcBorders>
              <w:top w:val="nil"/>
              <w:left w:val="nil"/>
              <w:bottom w:val="nil"/>
              <w:right w:val="nil"/>
            </w:tcBorders>
            <w:shd w:val="clear" w:color="000000" w:fill="FFFFFF"/>
            <w:noWrap/>
            <w:vAlign w:val="center"/>
            <w:hideMark/>
          </w:tcPr>
          <w:p w14:paraId="100DFE6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10.2</w:t>
            </w:r>
          </w:p>
        </w:tc>
        <w:tc>
          <w:tcPr>
            <w:tcW w:w="960" w:type="dxa"/>
            <w:tcBorders>
              <w:top w:val="nil"/>
              <w:left w:val="nil"/>
              <w:bottom w:val="nil"/>
              <w:right w:val="nil"/>
            </w:tcBorders>
            <w:shd w:val="clear" w:color="000000" w:fill="FFFFFF"/>
            <w:noWrap/>
            <w:vAlign w:val="center"/>
            <w:hideMark/>
          </w:tcPr>
          <w:p w14:paraId="03E5FEF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w:t>
            </w:r>
          </w:p>
        </w:tc>
        <w:tc>
          <w:tcPr>
            <w:tcW w:w="1420" w:type="dxa"/>
            <w:tcBorders>
              <w:top w:val="nil"/>
              <w:left w:val="nil"/>
              <w:bottom w:val="nil"/>
              <w:right w:val="nil"/>
            </w:tcBorders>
            <w:shd w:val="clear" w:color="000000" w:fill="FFFFFF"/>
            <w:noWrap/>
            <w:vAlign w:val="center"/>
            <w:hideMark/>
          </w:tcPr>
          <w:p w14:paraId="297387D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11.76</w:t>
            </w:r>
          </w:p>
        </w:tc>
        <w:tc>
          <w:tcPr>
            <w:tcW w:w="960" w:type="dxa"/>
            <w:tcBorders>
              <w:top w:val="nil"/>
              <w:left w:val="nil"/>
              <w:bottom w:val="nil"/>
              <w:right w:val="nil"/>
            </w:tcBorders>
            <w:shd w:val="clear" w:color="000000" w:fill="FFFFFF"/>
            <w:noWrap/>
            <w:vAlign w:val="center"/>
            <w:hideMark/>
          </w:tcPr>
          <w:p w14:paraId="502E7CA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35.59</w:t>
            </w:r>
          </w:p>
        </w:tc>
      </w:tr>
      <w:tr w:rsidR="004C591B" w:rsidRPr="004C591B" w14:paraId="172BF01D" w14:textId="77777777" w:rsidTr="00C91B88">
        <w:trPr>
          <w:trHeight w:val="290"/>
        </w:trPr>
        <w:tc>
          <w:tcPr>
            <w:tcW w:w="1100" w:type="dxa"/>
            <w:tcBorders>
              <w:top w:val="nil"/>
              <w:left w:val="nil"/>
              <w:bottom w:val="nil"/>
              <w:right w:val="nil"/>
            </w:tcBorders>
            <w:shd w:val="clear" w:color="000000" w:fill="FFFFFF"/>
            <w:noWrap/>
            <w:vAlign w:val="center"/>
            <w:hideMark/>
          </w:tcPr>
          <w:p w14:paraId="7F682CC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397</w:t>
            </w:r>
          </w:p>
        </w:tc>
        <w:tc>
          <w:tcPr>
            <w:tcW w:w="960" w:type="dxa"/>
            <w:tcBorders>
              <w:top w:val="nil"/>
              <w:left w:val="nil"/>
              <w:bottom w:val="nil"/>
              <w:right w:val="nil"/>
            </w:tcBorders>
            <w:shd w:val="clear" w:color="000000" w:fill="FFFFFF"/>
            <w:noWrap/>
            <w:vAlign w:val="center"/>
            <w:hideMark/>
          </w:tcPr>
          <w:p w14:paraId="5A89BA9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1.38</w:t>
            </w:r>
          </w:p>
        </w:tc>
        <w:tc>
          <w:tcPr>
            <w:tcW w:w="960" w:type="dxa"/>
            <w:tcBorders>
              <w:top w:val="nil"/>
              <w:left w:val="nil"/>
              <w:bottom w:val="nil"/>
              <w:right w:val="nil"/>
            </w:tcBorders>
            <w:shd w:val="clear" w:color="000000" w:fill="FFFFFF"/>
            <w:noWrap/>
            <w:vAlign w:val="center"/>
            <w:hideMark/>
          </w:tcPr>
          <w:p w14:paraId="70C8CC0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6249500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2.96</w:t>
            </w:r>
          </w:p>
        </w:tc>
        <w:tc>
          <w:tcPr>
            <w:tcW w:w="960" w:type="dxa"/>
            <w:tcBorders>
              <w:top w:val="nil"/>
              <w:left w:val="nil"/>
              <w:bottom w:val="nil"/>
              <w:right w:val="nil"/>
            </w:tcBorders>
            <w:shd w:val="clear" w:color="000000" w:fill="FFFFFF"/>
            <w:noWrap/>
            <w:vAlign w:val="center"/>
            <w:hideMark/>
          </w:tcPr>
          <w:p w14:paraId="31905B6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12.4</w:t>
            </w:r>
          </w:p>
        </w:tc>
        <w:tc>
          <w:tcPr>
            <w:tcW w:w="960" w:type="dxa"/>
            <w:tcBorders>
              <w:top w:val="nil"/>
              <w:left w:val="nil"/>
              <w:bottom w:val="nil"/>
              <w:right w:val="nil"/>
            </w:tcBorders>
            <w:shd w:val="clear" w:color="000000" w:fill="FFFFFF"/>
            <w:noWrap/>
            <w:vAlign w:val="center"/>
            <w:hideMark/>
          </w:tcPr>
          <w:p w14:paraId="0A0EB0F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4.5</w:t>
            </w:r>
          </w:p>
        </w:tc>
        <w:tc>
          <w:tcPr>
            <w:tcW w:w="1420" w:type="dxa"/>
            <w:tcBorders>
              <w:top w:val="nil"/>
              <w:left w:val="nil"/>
              <w:bottom w:val="nil"/>
              <w:right w:val="nil"/>
            </w:tcBorders>
            <w:shd w:val="clear" w:color="000000" w:fill="FFFFFF"/>
            <w:noWrap/>
            <w:vAlign w:val="center"/>
            <w:hideMark/>
          </w:tcPr>
          <w:p w14:paraId="70A6EE6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11.32</w:t>
            </w:r>
          </w:p>
        </w:tc>
        <w:tc>
          <w:tcPr>
            <w:tcW w:w="960" w:type="dxa"/>
            <w:tcBorders>
              <w:top w:val="nil"/>
              <w:left w:val="nil"/>
              <w:bottom w:val="nil"/>
              <w:right w:val="nil"/>
            </w:tcBorders>
            <w:shd w:val="clear" w:color="000000" w:fill="FFFFFF"/>
            <w:noWrap/>
            <w:vAlign w:val="center"/>
            <w:hideMark/>
          </w:tcPr>
          <w:p w14:paraId="4F15ECD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35.54</w:t>
            </w:r>
          </w:p>
        </w:tc>
      </w:tr>
      <w:tr w:rsidR="004C591B" w:rsidRPr="004C591B" w14:paraId="17D4A400" w14:textId="77777777" w:rsidTr="00C91B88">
        <w:trPr>
          <w:trHeight w:val="290"/>
        </w:trPr>
        <w:tc>
          <w:tcPr>
            <w:tcW w:w="1100" w:type="dxa"/>
            <w:tcBorders>
              <w:top w:val="nil"/>
              <w:left w:val="nil"/>
              <w:bottom w:val="nil"/>
              <w:right w:val="nil"/>
            </w:tcBorders>
            <w:shd w:val="clear" w:color="000000" w:fill="FFFFFF"/>
            <w:noWrap/>
            <w:vAlign w:val="center"/>
            <w:hideMark/>
          </w:tcPr>
          <w:p w14:paraId="0BA7539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495</w:t>
            </w:r>
          </w:p>
        </w:tc>
        <w:tc>
          <w:tcPr>
            <w:tcW w:w="960" w:type="dxa"/>
            <w:tcBorders>
              <w:top w:val="nil"/>
              <w:left w:val="nil"/>
              <w:bottom w:val="nil"/>
              <w:right w:val="nil"/>
            </w:tcBorders>
            <w:shd w:val="clear" w:color="000000" w:fill="FFFFFF"/>
            <w:noWrap/>
            <w:vAlign w:val="center"/>
            <w:hideMark/>
          </w:tcPr>
          <w:p w14:paraId="2D3F880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1.47</w:t>
            </w:r>
          </w:p>
        </w:tc>
        <w:tc>
          <w:tcPr>
            <w:tcW w:w="960" w:type="dxa"/>
            <w:tcBorders>
              <w:top w:val="nil"/>
              <w:left w:val="nil"/>
              <w:bottom w:val="nil"/>
              <w:right w:val="nil"/>
            </w:tcBorders>
            <w:shd w:val="clear" w:color="000000" w:fill="FFFFFF"/>
            <w:noWrap/>
            <w:vAlign w:val="center"/>
            <w:hideMark/>
          </w:tcPr>
          <w:p w14:paraId="79522DC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60B36F8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3.00</w:t>
            </w:r>
          </w:p>
        </w:tc>
        <w:tc>
          <w:tcPr>
            <w:tcW w:w="960" w:type="dxa"/>
            <w:tcBorders>
              <w:top w:val="nil"/>
              <w:left w:val="nil"/>
              <w:bottom w:val="nil"/>
              <w:right w:val="nil"/>
            </w:tcBorders>
            <w:shd w:val="clear" w:color="000000" w:fill="FFFFFF"/>
            <w:noWrap/>
            <w:vAlign w:val="center"/>
            <w:hideMark/>
          </w:tcPr>
          <w:p w14:paraId="5ECA837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11.4</w:t>
            </w:r>
          </w:p>
        </w:tc>
        <w:tc>
          <w:tcPr>
            <w:tcW w:w="960" w:type="dxa"/>
            <w:tcBorders>
              <w:top w:val="nil"/>
              <w:left w:val="nil"/>
              <w:bottom w:val="nil"/>
              <w:right w:val="nil"/>
            </w:tcBorders>
            <w:shd w:val="clear" w:color="000000" w:fill="FFFFFF"/>
            <w:noWrap/>
            <w:vAlign w:val="center"/>
            <w:hideMark/>
          </w:tcPr>
          <w:p w14:paraId="1A21EB2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4.1</w:t>
            </w:r>
          </w:p>
        </w:tc>
        <w:tc>
          <w:tcPr>
            <w:tcW w:w="1420" w:type="dxa"/>
            <w:tcBorders>
              <w:top w:val="nil"/>
              <w:left w:val="nil"/>
              <w:bottom w:val="nil"/>
              <w:right w:val="nil"/>
            </w:tcBorders>
            <w:shd w:val="clear" w:color="000000" w:fill="FFFFFF"/>
            <w:noWrap/>
            <w:vAlign w:val="center"/>
            <w:hideMark/>
          </w:tcPr>
          <w:p w14:paraId="22482F1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10.96</w:t>
            </w:r>
          </w:p>
        </w:tc>
        <w:tc>
          <w:tcPr>
            <w:tcW w:w="960" w:type="dxa"/>
            <w:tcBorders>
              <w:top w:val="nil"/>
              <w:left w:val="nil"/>
              <w:bottom w:val="nil"/>
              <w:right w:val="nil"/>
            </w:tcBorders>
            <w:shd w:val="clear" w:color="000000" w:fill="FFFFFF"/>
            <w:noWrap/>
            <w:vAlign w:val="center"/>
            <w:hideMark/>
          </w:tcPr>
          <w:p w14:paraId="46431DA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35.49</w:t>
            </w:r>
          </w:p>
        </w:tc>
      </w:tr>
      <w:tr w:rsidR="004C591B" w:rsidRPr="004C591B" w14:paraId="68D093F8" w14:textId="77777777" w:rsidTr="00C91B88">
        <w:trPr>
          <w:trHeight w:val="290"/>
        </w:trPr>
        <w:tc>
          <w:tcPr>
            <w:tcW w:w="1100" w:type="dxa"/>
            <w:tcBorders>
              <w:top w:val="nil"/>
              <w:left w:val="nil"/>
              <w:bottom w:val="nil"/>
              <w:right w:val="nil"/>
            </w:tcBorders>
            <w:shd w:val="clear" w:color="000000" w:fill="FFFFFF"/>
            <w:noWrap/>
            <w:vAlign w:val="center"/>
            <w:hideMark/>
          </w:tcPr>
          <w:p w14:paraId="53A446C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790</w:t>
            </w:r>
          </w:p>
        </w:tc>
        <w:tc>
          <w:tcPr>
            <w:tcW w:w="960" w:type="dxa"/>
            <w:tcBorders>
              <w:top w:val="nil"/>
              <w:left w:val="nil"/>
              <w:bottom w:val="nil"/>
              <w:right w:val="nil"/>
            </w:tcBorders>
            <w:shd w:val="clear" w:color="000000" w:fill="FFFFFF"/>
            <w:noWrap/>
            <w:vAlign w:val="center"/>
            <w:hideMark/>
          </w:tcPr>
          <w:p w14:paraId="603D062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1.42</w:t>
            </w:r>
          </w:p>
        </w:tc>
        <w:tc>
          <w:tcPr>
            <w:tcW w:w="960" w:type="dxa"/>
            <w:tcBorders>
              <w:top w:val="nil"/>
              <w:left w:val="nil"/>
              <w:bottom w:val="nil"/>
              <w:right w:val="nil"/>
            </w:tcBorders>
            <w:shd w:val="clear" w:color="000000" w:fill="FFFFFF"/>
            <w:noWrap/>
            <w:vAlign w:val="center"/>
            <w:hideMark/>
          </w:tcPr>
          <w:p w14:paraId="202204A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54191F2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3.65</w:t>
            </w:r>
          </w:p>
        </w:tc>
        <w:tc>
          <w:tcPr>
            <w:tcW w:w="960" w:type="dxa"/>
            <w:tcBorders>
              <w:top w:val="nil"/>
              <w:left w:val="nil"/>
              <w:bottom w:val="nil"/>
              <w:right w:val="nil"/>
            </w:tcBorders>
            <w:shd w:val="clear" w:color="000000" w:fill="FFFFFF"/>
            <w:noWrap/>
            <w:vAlign w:val="center"/>
            <w:hideMark/>
          </w:tcPr>
          <w:p w14:paraId="62CD2CF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17.4</w:t>
            </w:r>
          </w:p>
        </w:tc>
        <w:tc>
          <w:tcPr>
            <w:tcW w:w="960" w:type="dxa"/>
            <w:tcBorders>
              <w:top w:val="nil"/>
              <w:left w:val="nil"/>
              <w:bottom w:val="nil"/>
              <w:right w:val="nil"/>
            </w:tcBorders>
            <w:shd w:val="clear" w:color="000000" w:fill="FFFFFF"/>
            <w:noWrap/>
            <w:vAlign w:val="center"/>
            <w:hideMark/>
          </w:tcPr>
          <w:p w14:paraId="74435EC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8.0</w:t>
            </w:r>
          </w:p>
        </w:tc>
        <w:tc>
          <w:tcPr>
            <w:tcW w:w="1420" w:type="dxa"/>
            <w:tcBorders>
              <w:top w:val="nil"/>
              <w:left w:val="nil"/>
              <w:bottom w:val="nil"/>
              <w:right w:val="nil"/>
            </w:tcBorders>
            <w:shd w:val="clear" w:color="000000" w:fill="FFFFFF"/>
            <w:noWrap/>
            <w:vAlign w:val="center"/>
            <w:hideMark/>
          </w:tcPr>
          <w:p w14:paraId="579861C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9.20</w:t>
            </w:r>
          </w:p>
        </w:tc>
        <w:tc>
          <w:tcPr>
            <w:tcW w:w="960" w:type="dxa"/>
            <w:tcBorders>
              <w:top w:val="nil"/>
              <w:left w:val="nil"/>
              <w:bottom w:val="nil"/>
              <w:right w:val="nil"/>
            </w:tcBorders>
            <w:shd w:val="clear" w:color="000000" w:fill="FFFFFF"/>
            <w:noWrap/>
            <w:vAlign w:val="center"/>
            <w:hideMark/>
          </w:tcPr>
          <w:p w14:paraId="0BEB9C1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35.34</w:t>
            </w:r>
          </w:p>
        </w:tc>
      </w:tr>
      <w:tr w:rsidR="004C591B" w:rsidRPr="004C591B" w14:paraId="2B672BCB" w14:textId="77777777" w:rsidTr="00C91B88">
        <w:trPr>
          <w:trHeight w:val="290"/>
        </w:trPr>
        <w:tc>
          <w:tcPr>
            <w:tcW w:w="1100" w:type="dxa"/>
            <w:tcBorders>
              <w:top w:val="nil"/>
              <w:left w:val="nil"/>
              <w:bottom w:val="nil"/>
              <w:right w:val="nil"/>
            </w:tcBorders>
            <w:shd w:val="clear" w:color="000000" w:fill="FFFFFF"/>
            <w:noWrap/>
            <w:vAlign w:val="center"/>
            <w:hideMark/>
          </w:tcPr>
          <w:p w14:paraId="24C97AF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990</w:t>
            </w:r>
          </w:p>
        </w:tc>
        <w:tc>
          <w:tcPr>
            <w:tcW w:w="960" w:type="dxa"/>
            <w:tcBorders>
              <w:top w:val="nil"/>
              <w:left w:val="nil"/>
              <w:bottom w:val="nil"/>
              <w:right w:val="nil"/>
            </w:tcBorders>
            <w:shd w:val="clear" w:color="000000" w:fill="FFFFFF"/>
            <w:noWrap/>
            <w:vAlign w:val="center"/>
            <w:hideMark/>
          </w:tcPr>
          <w:p w14:paraId="607F48D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1.41</w:t>
            </w:r>
          </w:p>
        </w:tc>
        <w:tc>
          <w:tcPr>
            <w:tcW w:w="960" w:type="dxa"/>
            <w:tcBorders>
              <w:top w:val="nil"/>
              <w:left w:val="nil"/>
              <w:bottom w:val="nil"/>
              <w:right w:val="nil"/>
            </w:tcBorders>
            <w:shd w:val="clear" w:color="000000" w:fill="FFFFFF"/>
            <w:noWrap/>
            <w:vAlign w:val="center"/>
            <w:hideMark/>
          </w:tcPr>
          <w:p w14:paraId="0E197A2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026F15A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3.75</w:t>
            </w:r>
          </w:p>
        </w:tc>
        <w:tc>
          <w:tcPr>
            <w:tcW w:w="960" w:type="dxa"/>
            <w:tcBorders>
              <w:top w:val="nil"/>
              <w:left w:val="nil"/>
              <w:bottom w:val="nil"/>
              <w:right w:val="nil"/>
            </w:tcBorders>
            <w:shd w:val="clear" w:color="000000" w:fill="FFFFFF"/>
            <w:noWrap/>
            <w:vAlign w:val="center"/>
            <w:hideMark/>
          </w:tcPr>
          <w:p w14:paraId="7A9ECDC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19.2</w:t>
            </w:r>
          </w:p>
        </w:tc>
        <w:tc>
          <w:tcPr>
            <w:tcW w:w="960" w:type="dxa"/>
            <w:tcBorders>
              <w:top w:val="nil"/>
              <w:left w:val="nil"/>
              <w:bottom w:val="nil"/>
              <w:right w:val="nil"/>
            </w:tcBorders>
            <w:shd w:val="clear" w:color="000000" w:fill="FFFFFF"/>
            <w:noWrap/>
            <w:vAlign w:val="center"/>
            <w:hideMark/>
          </w:tcPr>
          <w:p w14:paraId="3949663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10.8</w:t>
            </w:r>
          </w:p>
        </w:tc>
        <w:tc>
          <w:tcPr>
            <w:tcW w:w="1420" w:type="dxa"/>
            <w:tcBorders>
              <w:top w:val="nil"/>
              <w:left w:val="nil"/>
              <w:bottom w:val="nil"/>
              <w:right w:val="nil"/>
            </w:tcBorders>
            <w:shd w:val="clear" w:color="000000" w:fill="FFFFFF"/>
            <w:noWrap/>
            <w:vAlign w:val="center"/>
            <w:hideMark/>
          </w:tcPr>
          <w:p w14:paraId="4FE461B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7.61</w:t>
            </w:r>
          </w:p>
        </w:tc>
        <w:tc>
          <w:tcPr>
            <w:tcW w:w="960" w:type="dxa"/>
            <w:tcBorders>
              <w:top w:val="nil"/>
              <w:left w:val="nil"/>
              <w:bottom w:val="nil"/>
              <w:right w:val="nil"/>
            </w:tcBorders>
            <w:shd w:val="clear" w:color="000000" w:fill="FFFFFF"/>
            <w:noWrap/>
            <w:vAlign w:val="center"/>
            <w:hideMark/>
          </w:tcPr>
          <w:p w14:paraId="078599B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35.33</w:t>
            </w:r>
          </w:p>
        </w:tc>
      </w:tr>
      <w:tr w:rsidR="004C591B" w:rsidRPr="004C591B" w14:paraId="1456C9AD" w14:textId="77777777" w:rsidTr="00C91B88">
        <w:trPr>
          <w:trHeight w:val="290"/>
        </w:trPr>
        <w:tc>
          <w:tcPr>
            <w:tcW w:w="1100" w:type="dxa"/>
            <w:tcBorders>
              <w:top w:val="nil"/>
              <w:left w:val="nil"/>
              <w:bottom w:val="nil"/>
              <w:right w:val="nil"/>
            </w:tcBorders>
            <w:shd w:val="clear" w:color="000000" w:fill="FFFFFF"/>
            <w:noWrap/>
            <w:vAlign w:val="center"/>
            <w:hideMark/>
          </w:tcPr>
          <w:p w14:paraId="3007DF9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1237</w:t>
            </w:r>
          </w:p>
        </w:tc>
        <w:tc>
          <w:tcPr>
            <w:tcW w:w="960" w:type="dxa"/>
            <w:tcBorders>
              <w:top w:val="nil"/>
              <w:left w:val="nil"/>
              <w:bottom w:val="nil"/>
              <w:right w:val="nil"/>
            </w:tcBorders>
            <w:shd w:val="clear" w:color="000000" w:fill="FFFFFF"/>
            <w:noWrap/>
            <w:vAlign w:val="center"/>
            <w:hideMark/>
          </w:tcPr>
          <w:p w14:paraId="391888D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1.38</w:t>
            </w:r>
          </w:p>
        </w:tc>
        <w:tc>
          <w:tcPr>
            <w:tcW w:w="960" w:type="dxa"/>
            <w:tcBorders>
              <w:top w:val="nil"/>
              <w:left w:val="nil"/>
              <w:bottom w:val="nil"/>
              <w:right w:val="nil"/>
            </w:tcBorders>
            <w:shd w:val="clear" w:color="000000" w:fill="FFFFFF"/>
            <w:noWrap/>
            <w:vAlign w:val="center"/>
            <w:hideMark/>
          </w:tcPr>
          <w:p w14:paraId="7D460DF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0392E4F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3.79</w:t>
            </w:r>
          </w:p>
        </w:tc>
        <w:tc>
          <w:tcPr>
            <w:tcW w:w="960" w:type="dxa"/>
            <w:tcBorders>
              <w:top w:val="nil"/>
              <w:left w:val="nil"/>
              <w:bottom w:val="nil"/>
              <w:right w:val="nil"/>
            </w:tcBorders>
            <w:shd w:val="clear" w:color="000000" w:fill="FFFFFF"/>
            <w:noWrap/>
            <w:vAlign w:val="center"/>
            <w:hideMark/>
          </w:tcPr>
          <w:p w14:paraId="3565E98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18.8</w:t>
            </w:r>
          </w:p>
        </w:tc>
        <w:tc>
          <w:tcPr>
            <w:tcW w:w="960" w:type="dxa"/>
            <w:tcBorders>
              <w:top w:val="nil"/>
              <w:left w:val="nil"/>
              <w:bottom w:val="nil"/>
              <w:right w:val="nil"/>
            </w:tcBorders>
            <w:shd w:val="clear" w:color="000000" w:fill="FFFFFF"/>
            <w:noWrap/>
            <w:vAlign w:val="center"/>
            <w:hideMark/>
          </w:tcPr>
          <w:p w14:paraId="21BC190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11.0</w:t>
            </w:r>
          </w:p>
        </w:tc>
        <w:tc>
          <w:tcPr>
            <w:tcW w:w="1420" w:type="dxa"/>
            <w:tcBorders>
              <w:top w:val="nil"/>
              <w:left w:val="nil"/>
              <w:bottom w:val="nil"/>
              <w:right w:val="nil"/>
            </w:tcBorders>
            <w:shd w:val="clear" w:color="000000" w:fill="FFFFFF"/>
            <w:noWrap/>
            <w:vAlign w:val="center"/>
            <w:hideMark/>
          </w:tcPr>
          <w:p w14:paraId="48185A7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5.76</w:t>
            </w:r>
          </w:p>
        </w:tc>
        <w:tc>
          <w:tcPr>
            <w:tcW w:w="960" w:type="dxa"/>
            <w:tcBorders>
              <w:top w:val="nil"/>
              <w:left w:val="nil"/>
              <w:bottom w:val="nil"/>
              <w:right w:val="nil"/>
            </w:tcBorders>
            <w:shd w:val="clear" w:color="000000" w:fill="FFFFFF"/>
            <w:noWrap/>
            <w:vAlign w:val="center"/>
            <w:hideMark/>
          </w:tcPr>
          <w:p w14:paraId="6952461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35.15</w:t>
            </w:r>
          </w:p>
        </w:tc>
      </w:tr>
      <w:tr w:rsidR="004C591B" w:rsidRPr="004C591B" w14:paraId="59160106" w14:textId="77777777" w:rsidTr="00C91B88">
        <w:trPr>
          <w:trHeight w:val="290"/>
        </w:trPr>
        <w:tc>
          <w:tcPr>
            <w:tcW w:w="1100" w:type="dxa"/>
            <w:tcBorders>
              <w:top w:val="nil"/>
              <w:left w:val="nil"/>
              <w:bottom w:val="nil"/>
              <w:right w:val="nil"/>
            </w:tcBorders>
            <w:shd w:val="clear" w:color="000000" w:fill="FFFFFF"/>
            <w:noWrap/>
            <w:vAlign w:val="center"/>
            <w:hideMark/>
          </w:tcPr>
          <w:p w14:paraId="6083C0F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1483</w:t>
            </w:r>
          </w:p>
        </w:tc>
        <w:tc>
          <w:tcPr>
            <w:tcW w:w="960" w:type="dxa"/>
            <w:tcBorders>
              <w:top w:val="nil"/>
              <w:left w:val="nil"/>
              <w:bottom w:val="nil"/>
              <w:right w:val="nil"/>
            </w:tcBorders>
            <w:shd w:val="clear" w:color="000000" w:fill="FFFFFF"/>
            <w:noWrap/>
            <w:vAlign w:val="center"/>
            <w:hideMark/>
          </w:tcPr>
          <w:p w14:paraId="398EE31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1.34</w:t>
            </w:r>
          </w:p>
        </w:tc>
        <w:tc>
          <w:tcPr>
            <w:tcW w:w="960" w:type="dxa"/>
            <w:tcBorders>
              <w:top w:val="nil"/>
              <w:left w:val="nil"/>
              <w:bottom w:val="nil"/>
              <w:right w:val="nil"/>
            </w:tcBorders>
            <w:shd w:val="clear" w:color="000000" w:fill="FFFFFF"/>
            <w:noWrap/>
            <w:vAlign w:val="center"/>
            <w:hideMark/>
          </w:tcPr>
          <w:p w14:paraId="39AB43B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7A50E90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3.75</w:t>
            </w:r>
          </w:p>
        </w:tc>
        <w:tc>
          <w:tcPr>
            <w:tcW w:w="960" w:type="dxa"/>
            <w:tcBorders>
              <w:top w:val="nil"/>
              <w:left w:val="nil"/>
              <w:bottom w:val="nil"/>
              <w:right w:val="nil"/>
            </w:tcBorders>
            <w:shd w:val="clear" w:color="000000" w:fill="FFFFFF"/>
            <w:noWrap/>
            <w:vAlign w:val="center"/>
            <w:hideMark/>
          </w:tcPr>
          <w:p w14:paraId="0D091B9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18.4</w:t>
            </w:r>
          </w:p>
        </w:tc>
        <w:tc>
          <w:tcPr>
            <w:tcW w:w="960" w:type="dxa"/>
            <w:tcBorders>
              <w:top w:val="nil"/>
              <w:left w:val="nil"/>
              <w:bottom w:val="nil"/>
              <w:right w:val="nil"/>
            </w:tcBorders>
            <w:shd w:val="clear" w:color="000000" w:fill="FFFFFF"/>
            <w:noWrap/>
            <w:vAlign w:val="center"/>
            <w:hideMark/>
          </w:tcPr>
          <w:p w14:paraId="3175675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10.9</w:t>
            </w:r>
          </w:p>
        </w:tc>
        <w:tc>
          <w:tcPr>
            <w:tcW w:w="1420" w:type="dxa"/>
            <w:tcBorders>
              <w:top w:val="nil"/>
              <w:left w:val="nil"/>
              <w:bottom w:val="nil"/>
              <w:right w:val="nil"/>
            </w:tcBorders>
            <w:shd w:val="clear" w:color="000000" w:fill="FFFFFF"/>
            <w:noWrap/>
            <w:vAlign w:val="center"/>
            <w:hideMark/>
          </w:tcPr>
          <w:p w14:paraId="0009965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4.52</w:t>
            </w:r>
          </w:p>
        </w:tc>
        <w:tc>
          <w:tcPr>
            <w:tcW w:w="960" w:type="dxa"/>
            <w:tcBorders>
              <w:top w:val="nil"/>
              <w:left w:val="nil"/>
              <w:bottom w:val="nil"/>
              <w:right w:val="nil"/>
            </w:tcBorders>
            <w:shd w:val="clear" w:color="000000" w:fill="FFFFFF"/>
            <w:noWrap/>
            <w:vAlign w:val="center"/>
            <w:hideMark/>
          </w:tcPr>
          <w:p w14:paraId="0AD99AD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35.00</w:t>
            </w:r>
          </w:p>
        </w:tc>
      </w:tr>
      <w:tr w:rsidR="004C591B" w:rsidRPr="004C591B" w14:paraId="6047C27B" w14:textId="77777777" w:rsidTr="00C91B88">
        <w:trPr>
          <w:trHeight w:val="290"/>
        </w:trPr>
        <w:tc>
          <w:tcPr>
            <w:tcW w:w="1100" w:type="dxa"/>
            <w:tcBorders>
              <w:top w:val="nil"/>
              <w:left w:val="nil"/>
              <w:bottom w:val="nil"/>
              <w:right w:val="nil"/>
            </w:tcBorders>
            <w:shd w:val="clear" w:color="000000" w:fill="FFFFFF"/>
            <w:noWrap/>
            <w:vAlign w:val="center"/>
            <w:hideMark/>
          </w:tcPr>
          <w:p w14:paraId="3C321F4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1975</w:t>
            </w:r>
          </w:p>
        </w:tc>
        <w:tc>
          <w:tcPr>
            <w:tcW w:w="960" w:type="dxa"/>
            <w:tcBorders>
              <w:top w:val="nil"/>
              <w:left w:val="nil"/>
              <w:bottom w:val="nil"/>
              <w:right w:val="nil"/>
            </w:tcBorders>
            <w:shd w:val="clear" w:color="000000" w:fill="FFFFFF"/>
            <w:noWrap/>
            <w:vAlign w:val="center"/>
            <w:hideMark/>
          </w:tcPr>
          <w:p w14:paraId="69E70E8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1.31</w:t>
            </w:r>
          </w:p>
        </w:tc>
        <w:tc>
          <w:tcPr>
            <w:tcW w:w="960" w:type="dxa"/>
            <w:tcBorders>
              <w:top w:val="nil"/>
              <w:left w:val="nil"/>
              <w:bottom w:val="nil"/>
              <w:right w:val="nil"/>
            </w:tcBorders>
            <w:shd w:val="clear" w:color="000000" w:fill="FFFFFF"/>
            <w:noWrap/>
            <w:vAlign w:val="center"/>
            <w:hideMark/>
          </w:tcPr>
          <w:p w14:paraId="6026520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3925945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3.74</w:t>
            </w:r>
          </w:p>
        </w:tc>
        <w:tc>
          <w:tcPr>
            <w:tcW w:w="960" w:type="dxa"/>
            <w:tcBorders>
              <w:top w:val="nil"/>
              <w:left w:val="nil"/>
              <w:bottom w:val="nil"/>
              <w:right w:val="nil"/>
            </w:tcBorders>
            <w:shd w:val="clear" w:color="000000" w:fill="FFFFFF"/>
            <w:noWrap/>
            <w:vAlign w:val="center"/>
            <w:hideMark/>
          </w:tcPr>
          <w:p w14:paraId="71B961A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18.3</w:t>
            </w:r>
          </w:p>
        </w:tc>
        <w:tc>
          <w:tcPr>
            <w:tcW w:w="960" w:type="dxa"/>
            <w:tcBorders>
              <w:top w:val="nil"/>
              <w:left w:val="nil"/>
              <w:bottom w:val="nil"/>
              <w:right w:val="nil"/>
            </w:tcBorders>
            <w:shd w:val="clear" w:color="000000" w:fill="FFFFFF"/>
            <w:noWrap/>
            <w:vAlign w:val="center"/>
            <w:hideMark/>
          </w:tcPr>
          <w:p w14:paraId="6FE3B0B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12.2</w:t>
            </w:r>
          </w:p>
        </w:tc>
        <w:tc>
          <w:tcPr>
            <w:tcW w:w="1420" w:type="dxa"/>
            <w:tcBorders>
              <w:top w:val="nil"/>
              <w:left w:val="nil"/>
              <w:bottom w:val="nil"/>
              <w:right w:val="nil"/>
            </w:tcBorders>
            <w:shd w:val="clear" w:color="000000" w:fill="FFFFFF"/>
            <w:noWrap/>
            <w:vAlign w:val="center"/>
            <w:hideMark/>
          </w:tcPr>
          <w:p w14:paraId="0CFF11C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3.71</w:t>
            </w:r>
          </w:p>
        </w:tc>
        <w:tc>
          <w:tcPr>
            <w:tcW w:w="960" w:type="dxa"/>
            <w:tcBorders>
              <w:top w:val="nil"/>
              <w:left w:val="nil"/>
              <w:bottom w:val="nil"/>
              <w:right w:val="nil"/>
            </w:tcBorders>
            <w:shd w:val="clear" w:color="000000" w:fill="FFFFFF"/>
            <w:noWrap/>
            <w:vAlign w:val="center"/>
            <w:hideMark/>
          </w:tcPr>
          <w:p w14:paraId="3058F8A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34.93</w:t>
            </w:r>
          </w:p>
        </w:tc>
      </w:tr>
      <w:tr w:rsidR="004C591B" w:rsidRPr="004C591B" w14:paraId="38413C4A" w14:textId="77777777" w:rsidTr="00C91B88">
        <w:trPr>
          <w:trHeight w:val="290"/>
        </w:trPr>
        <w:tc>
          <w:tcPr>
            <w:tcW w:w="1100" w:type="dxa"/>
            <w:tcBorders>
              <w:top w:val="nil"/>
              <w:left w:val="nil"/>
              <w:bottom w:val="nil"/>
              <w:right w:val="nil"/>
            </w:tcBorders>
            <w:shd w:val="clear" w:color="000000" w:fill="FFFFFF"/>
            <w:noWrap/>
            <w:vAlign w:val="center"/>
            <w:hideMark/>
          </w:tcPr>
          <w:p w14:paraId="3BFCE22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2268</w:t>
            </w:r>
          </w:p>
        </w:tc>
        <w:tc>
          <w:tcPr>
            <w:tcW w:w="960" w:type="dxa"/>
            <w:tcBorders>
              <w:top w:val="nil"/>
              <w:left w:val="nil"/>
              <w:bottom w:val="nil"/>
              <w:right w:val="nil"/>
            </w:tcBorders>
            <w:shd w:val="clear" w:color="000000" w:fill="FFFFFF"/>
            <w:noWrap/>
            <w:vAlign w:val="center"/>
            <w:hideMark/>
          </w:tcPr>
          <w:p w14:paraId="6F7C69C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1.28</w:t>
            </w:r>
          </w:p>
        </w:tc>
        <w:tc>
          <w:tcPr>
            <w:tcW w:w="960" w:type="dxa"/>
            <w:tcBorders>
              <w:top w:val="nil"/>
              <w:left w:val="nil"/>
              <w:bottom w:val="nil"/>
              <w:right w:val="nil"/>
            </w:tcBorders>
            <w:shd w:val="clear" w:color="000000" w:fill="FFFFFF"/>
            <w:noWrap/>
            <w:vAlign w:val="center"/>
            <w:hideMark/>
          </w:tcPr>
          <w:p w14:paraId="12F2C3F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0653EDD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3.90</w:t>
            </w:r>
          </w:p>
        </w:tc>
        <w:tc>
          <w:tcPr>
            <w:tcW w:w="960" w:type="dxa"/>
            <w:tcBorders>
              <w:top w:val="nil"/>
              <w:left w:val="nil"/>
              <w:bottom w:val="nil"/>
              <w:right w:val="nil"/>
            </w:tcBorders>
            <w:shd w:val="clear" w:color="000000" w:fill="FFFFFF"/>
            <w:noWrap/>
            <w:vAlign w:val="center"/>
            <w:hideMark/>
          </w:tcPr>
          <w:p w14:paraId="5CD8EDA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18.3</w:t>
            </w:r>
          </w:p>
        </w:tc>
        <w:tc>
          <w:tcPr>
            <w:tcW w:w="960" w:type="dxa"/>
            <w:tcBorders>
              <w:top w:val="nil"/>
              <w:left w:val="nil"/>
              <w:bottom w:val="nil"/>
              <w:right w:val="nil"/>
            </w:tcBorders>
            <w:shd w:val="clear" w:color="000000" w:fill="FFFFFF"/>
            <w:noWrap/>
            <w:vAlign w:val="center"/>
            <w:hideMark/>
          </w:tcPr>
          <w:p w14:paraId="0923277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13.3</w:t>
            </w:r>
          </w:p>
        </w:tc>
        <w:tc>
          <w:tcPr>
            <w:tcW w:w="1420" w:type="dxa"/>
            <w:tcBorders>
              <w:top w:val="nil"/>
              <w:left w:val="nil"/>
              <w:bottom w:val="nil"/>
              <w:right w:val="nil"/>
            </w:tcBorders>
            <w:shd w:val="clear" w:color="000000" w:fill="FFFFFF"/>
            <w:noWrap/>
            <w:vAlign w:val="center"/>
            <w:hideMark/>
          </w:tcPr>
          <w:p w14:paraId="24ADF8B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3.40</w:t>
            </w:r>
          </w:p>
        </w:tc>
        <w:tc>
          <w:tcPr>
            <w:tcW w:w="960" w:type="dxa"/>
            <w:tcBorders>
              <w:top w:val="nil"/>
              <w:left w:val="nil"/>
              <w:bottom w:val="nil"/>
              <w:right w:val="nil"/>
            </w:tcBorders>
            <w:shd w:val="clear" w:color="000000" w:fill="FFFFFF"/>
            <w:noWrap/>
            <w:vAlign w:val="center"/>
            <w:hideMark/>
          </w:tcPr>
          <w:p w14:paraId="412B615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34.92</w:t>
            </w:r>
          </w:p>
        </w:tc>
      </w:tr>
      <w:tr w:rsidR="004C591B" w:rsidRPr="004C591B" w14:paraId="0DEC6775" w14:textId="77777777" w:rsidTr="00C91B88">
        <w:trPr>
          <w:trHeight w:val="290"/>
        </w:trPr>
        <w:tc>
          <w:tcPr>
            <w:tcW w:w="1100" w:type="dxa"/>
            <w:tcBorders>
              <w:top w:val="nil"/>
              <w:left w:val="nil"/>
              <w:bottom w:val="nil"/>
              <w:right w:val="nil"/>
            </w:tcBorders>
            <w:shd w:val="clear" w:color="000000" w:fill="FFFFFF"/>
            <w:noWrap/>
            <w:vAlign w:val="center"/>
            <w:hideMark/>
          </w:tcPr>
          <w:p w14:paraId="39B2B0E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2759</w:t>
            </w:r>
          </w:p>
        </w:tc>
        <w:tc>
          <w:tcPr>
            <w:tcW w:w="960" w:type="dxa"/>
            <w:tcBorders>
              <w:top w:val="nil"/>
              <w:left w:val="nil"/>
              <w:bottom w:val="nil"/>
              <w:right w:val="nil"/>
            </w:tcBorders>
            <w:shd w:val="clear" w:color="000000" w:fill="FFFFFF"/>
            <w:noWrap/>
            <w:vAlign w:val="center"/>
            <w:hideMark/>
          </w:tcPr>
          <w:p w14:paraId="1738AB5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1.27</w:t>
            </w:r>
          </w:p>
        </w:tc>
        <w:tc>
          <w:tcPr>
            <w:tcW w:w="960" w:type="dxa"/>
            <w:tcBorders>
              <w:top w:val="nil"/>
              <w:left w:val="nil"/>
              <w:bottom w:val="nil"/>
              <w:right w:val="nil"/>
            </w:tcBorders>
            <w:shd w:val="clear" w:color="000000" w:fill="FFFFFF"/>
            <w:noWrap/>
            <w:vAlign w:val="center"/>
            <w:hideMark/>
          </w:tcPr>
          <w:p w14:paraId="7410F46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497CF32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3.61</w:t>
            </w:r>
          </w:p>
        </w:tc>
        <w:tc>
          <w:tcPr>
            <w:tcW w:w="960" w:type="dxa"/>
            <w:tcBorders>
              <w:top w:val="nil"/>
              <w:left w:val="nil"/>
              <w:bottom w:val="nil"/>
              <w:right w:val="nil"/>
            </w:tcBorders>
            <w:shd w:val="clear" w:color="000000" w:fill="FFFFFF"/>
            <w:noWrap/>
            <w:vAlign w:val="center"/>
            <w:hideMark/>
          </w:tcPr>
          <w:p w14:paraId="5989E49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18.5</w:t>
            </w:r>
          </w:p>
        </w:tc>
        <w:tc>
          <w:tcPr>
            <w:tcW w:w="960" w:type="dxa"/>
            <w:tcBorders>
              <w:top w:val="nil"/>
              <w:left w:val="nil"/>
              <w:bottom w:val="nil"/>
              <w:right w:val="nil"/>
            </w:tcBorders>
            <w:shd w:val="clear" w:color="000000" w:fill="FFFFFF"/>
            <w:noWrap/>
            <w:vAlign w:val="center"/>
            <w:hideMark/>
          </w:tcPr>
          <w:p w14:paraId="1A12FCC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15.9</w:t>
            </w:r>
          </w:p>
        </w:tc>
        <w:tc>
          <w:tcPr>
            <w:tcW w:w="1420" w:type="dxa"/>
            <w:tcBorders>
              <w:top w:val="nil"/>
              <w:left w:val="nil"/>
              <w:bottom w:val="nil"/>
              <w:right w:val="nil"/>
            </w:tcBorders>
            <w:shd w:val="clear" w:color="000000" w:fill="FFFFFF"/>
            <w:noWrap/>
            <w:vAlign w:val="center"/>
            <w:hideMark/>
          </w:tcPr>
          <w:p w14:paraId="657901B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3.07</w:t>
            </w:r>
          </w:p>
        </w:tc>
        <w:tc>
          <w:tcPr>
            <w:tcW w:w="960" w:type="dxa"/>
            <w:tcBorders>
              <w:top w:val="nil"/>
              <w:left w:val="nil"/>
              <w:bottom w:val="nil"/>
              <w:right w:val="nil"/>
            </w:tcBorders>
            <w:shd w:val="clear" w:color="000000" w:fill="FFFFFF"/>
            <w:noWrap/>
            <w:vAlign w:val="center"/>
            <w:hideMark/>
          </w:tcPr>
          <w:p w14:paraId="6E42A62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34.94</w:t>
            </w:r>
          </w:p>
        </w:tc>
      </w:tr>
      <w:tr w:rsidR="004C591B" w:rsidRPr="004C591B" w14:paraId="0EB53385" w14:textId="77777777" w:rsidTr="00C91B88">
        <w:trPr>
          <w:trHeight w:val="290"/>
        </w:trPr>
        <w:tc>
          <w:tcPr>
            <w:tcW w:w="1100" w:type="dxa"/>
            <w:tcBorders>
              <w:top w:val="nil"/>
              <w:left w:val="nil"/>
              <w:bottom w:val="nil"/>
              <w:right w:val="nil"/>
            </w:tcBorders>
            <w:shd w:val="clear" w:color="000000" w:fill="FFFFFF"/>
            <w:noWrap/>
            <w:vAlign w:val="center"/>
            <w:hideMark/>
          </w:tcPr>
          <w:p w14:paraId="4149A5C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3442</w:t>
            </w:r>
          </w:p>
        </w:tc>
        <w:tc>
          <w:tcPr>
            <w:tcW w:w="960" w:type="dxa"/>
            <w:tcBorders>
              <w:top w:val="nil"/>
              <w:left w:val="nil"/>
              <w:bottom w:val="nil"/>
              <w:right w:val="nil"/>
            </w:tcBorders>
            <w:shd w:val="clear" w:color="000000" w:fill="FFFFFF"/>
            <w:noWrap/>
            <w:vAlign w:val="center"/>
            <w:hideMark/>
          </w:tcPr>
          <w:p w14:paraId="4169BEE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1.21</w:t>
            </w:r>
          </w:p>
        </w:tc>
        <w:tc>
          <w:tcPr>
            <w:tcW w:w="960" w:type="dxa"/>
            <w:tcBorders>
              <w:top w:val="nil"/>
              <w:left w:val="nil"/>
              <w:bottom w:val="nil"/>
              <w:right w:val="nil"/>
            </w:tcBorders>
            <w:shd w:val="clear" w:color="000000" w:fill="FFFFFF"/>
            <w:noWrap/>
            <w:vAlign w:val="center"/>
            <w:hideMark/>
          </w:tcPr>
          <w:p w14:paraId="10CE58B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0.07</w:t>
            </w:r>
          </w:p>
        </w:tc>
        <w:tc>
          <w:tcPr>
            <w:tcW w:w="960" w:type="dxa"/>
            <w:tcBorders>
              <w:top w:val="nil"/>
              <w:left w:val="nil"/>
              <w:bottom w:val="nil"/>
              <w:right w:val="nil"/>
            </w:tcBorders>
            <w:shd w:val="clear" w:color="000000" w:fill="FFFFFF"/>
            <w:noWrap/>
            <w:vAlign w:val="center"/>
            <w:hideMark/>
          </w:tcPr>
          <w:p w14:paraId="572D934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4.80</w:t>
            </w:r>
          </w:p>
        </w:tc>
        <w:tc>
          <w:tcPr>
            <w:tcW w:w="960" w:type="dxa"/>
            <w:tcBorders>
              <w:top w:val="nil"/>
              <w:left w:val="nil"/>
              <w:bottom w:val="nil"/>
              <w:right w:val="nil"/>
            </w:tcBorders>
            <w:shd w:val="clear" w:color="000000" w:fill="FFFFFF"/>
            <w:noWrap/>
            <w:vAlign w:val="center"/>
            <w:hideMark/>
          </w:tcPr>
          <w:p w14:paraId="0A7728B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21.8</w:t>
            </w:r>
          </w:p>
        </w:tc>
        <w:tc>
          <w:tcPr>
            <w:tcW w:w="960" w:type="dxa"/>
            <w:tcBorders>
              <w:top w:val="nil"/>
              <w:left w:val="nil"/>
              <w:bottom w:val="nil"/>
              <w:right w:val="nil"/>
            </w:tcBorders>
            <w:shd w:val="clear" w:color="000000" w:fill="FFFFFF"/>
            <w:noWrap/>
            <w:vAlign w:val="center"/>
            <w:hideMark/>
          </w:tcPr>
          <w:p w14:paraId="1861B0E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37.0</w:t>
            </w:r>
          </w:p>
        </w:tc>
        <w:tc>
          <w:tcPr>
            <w:tcW w:w="1420" w:type="dxa"/>
            <w:tcBorders>
              <w:top w:val="nil"/>
              <w:left w:val="nil"/>
              <w:bottom w:val="nil"/>
              <w:right w:val="nil"/>
            </w:tcBorders>
            <w:shd w:val="clear" w:color="000000" w:fill="FFFFFF"/>
            <w:noWrap/>
            <w:vAlign w:val="center"/>
            <w:hideMark/>
          </w:tcPr>
          <w:p w14:paraId="76CB444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2.71</w:t>
            </w:r>
          </w:p>
        </w:tc>
        <w:tc>
          <w:tcPr>
            <w:tcW w:w="960" w:type="dxa"/>
            <w:tcBorders>
              <w:top w:val="nil"/>
              <w:left w:val="nil"/>
              <w:bottom w:val="nil"/>
              <w:right w:val="nil"/>
            </w:tcBorders>
            <w:shd w:val="clear" w:color="000000" w:fill="FFFFFF"/>
            <w:noWrap/>
            <w:vAlign w:val="center"/>
            <w:hideMark/>
          </w:tcPr>
          <w:p w14:paraId="6F07863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34.93</w:t>
            </w:r>
          </w:p>
        </w:tc>
      </w:tr>
      <w:tr w:rsidR="004C591B" w:rsidRPr="004C591B" w14:paraId="7AB3DA03" w14:textId="77777777" w:rsidTr="00C91B88">
        <w:trPr>
          <w:trHeight w:val="290"/>
        </w:trPr>
        <w:tc>
          <w:tcPr>
            <w:tcW w:w="1100" w:type="dxa"/>
            <w:tcBorders>
              <w:top w:val="nil"/>
              <w:left w:val="nil"/>
              <w:bottom w:val="nil"/>
              <w:right w:val="nil"/>
            </w:tcBorders>
            <w:shd w:val="clear" w:color="000000" w:fill="FFFFFF"/>
            <w:noWrap/>
            <w:vAlign w:val="center"/>
            <w:hideMark/>
          </w:tcPr>
          <w:p w14:paraId="58861DB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4415</w:t>
            </w:r>
          </w:p>
        </w:tc>
        <w:tc>
          <w:tcPr>
            <w:tcW w:w="960" w:type="dxa"/>
            <w:tcBorders>
              <w:top w:val="nil"/>
              <w:left w:val="nil"/>
              <w:bottom w:val="nil"/>
              <w:right w:val="nil"/>
            </w:tcBorders>
            <w:shd w:val="clear" w:color="000000" w:fill="FFFFFF"/>
            <w:noWrap/>
            <w:vAlign w:val="center"/>
            <w:hideMark/>
          </w:tcPr>
          <w:p w14:paraId="2C2E588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1.29</w:t>
            </w:r>
          </w:p>
        </w:tc>
        <w:tc>
          <w:tcPr>
            <w:tcW w:w="960" w:type="dxa"/>
            <w:tcBorders>
              <w:top w:val="nil"/>
              <w:left w:val="nil"/>
              <w:bottom w:val="nil"/>
              <w:right w:val="nil"/>
            </w:tcBorders>
            <w:shd w:val="clear" w:color="000000" w:fill="FFFFFF"/>
            <w:noWrap/>
            <w:vAlign w:val="center"/>
            <w:hideMark/>
          </w:tcPr>
          <w:p w14:paraId="09083B7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1BDD418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5.41</w:t>
            </w:r>
          </w:p>
        </w:tc>
        <w:tc>
          <w:tcPr>
            <w:tcW w:w="960" w:type="dxa"/>
            <w:tcBorders>
              <w:top w:val="nil"/>
              <w:left w:val="nil"/>
              <w:bottom w:val="nil"/>
              <w:right w:val="nil"/>
            </w:tcBorders>
            <w:shd w:val="clear" w:color="000000" w:fill="FFFFFF"/>
            <w:noWrap/>
            <w:vAlign w:val="center"/>
            <w:hideMark/>
          </w:tcPr>
          <w:p w14:paraId="1228C6D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22.9</w:t>
            </w:r>
          </w:p>
        </w:tc>
        <w:tc>
          <w:tcPr>
            <w:tcW w:w="960" w:type="dxa"/>
            <w:tcBorders>
              <w:top w:val="nil"/>
              <w:left w:val="nil"/>
              <w:bottom w:val="nil"/>
              <w:right w:val="nil"/>
            </w:tcBorders>
            <w:shd w:val="clear" w:color="000000" w:fill="FFFFFF"/>
            <w:noWrap/>
            <w:vAlign w:val="center"/>
            <w:hideMark/>
          </w:tcPr>
          <w:p w14:paraId="41601EC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43.7</w:t>
            </w:r>
          </w:p>
        </w:tc>
        <w:tc>
          <w:tcPr>
            <w:tcW w:w="1420" w:type="dxa"/>
            <w:tcBorders>
              <w:top w:val="nil"/>
              <w:left w:val="nil"/>
              <w:bottom w:val="nil"/>
              <w:right w:val="nil"/>
            </w:tcBorders>
            <w:shd w:val="clear" w:color="000000" w:fill="FFFFFF"/>
            <w:noWrap/>
            <w:vAlign w:val="center"/>
            <w:hideMark/>
          </w:tcPr>
          <w:p w14:paraId="1F89DD3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2.56</w:t>
            </w:r>
          </w:p>
        </w:tc>
        <w:tc>
          <w:tcPr>
            <w:tcW w:w="960" w:type="dxa"/>
            <w:tcBorders>
              <w:top w:val="nil"/>
              <w:left w:val="nil"/>
              <w:bottom w:val="nil"/>
              <w:right w:val="nil"/>
            </w:tcBorders>
            <w:shd w:val="clear" w:color="000000" w:fill="FFFFFF"/>
            <w:noWrap/>
            <w:vAlign w:val="center"/>
            <w:hideMark/>
          </w:tcPr>
          <w:p w14:paraId="06F8327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34.91</w:t>
            </w:r>
          </w:p>
        </w:tc>
      </w:tr>
      <w:tr w:rsidR="004C591B" w:rsidRPr="004C591B" w14:paraId="6AB25161" w14:textId="77777777" w:rsidTr="00C91B88">
        <w:trPr>
          <w:trHeight w:val="290"/>
        </w:trPr>
        <w:tc>
          <w:tcPr>
            <w:tcW w:w="1100" w:type="dxa"/>
            <w:tcBorders>
              <w:top w:val="nil"/>
              <w:left w:val="nil"/>
              <w:bottom w:val="nil"/>
              <w:right w:val="nil"/>
            </w:tcBorders>
            <w:shd w:val="clear" w:color="000000" w:fill="FFFFFF"/>
            <w:noWrap/>
            <w:vAlign w:val="center"/>
            <w:hideMark/>
          </w:tcPr>
          <w:p w14:paraId="60BF916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4507</w:t>
            </w:r>
          </w:p>
        </w:tc>
        <w:tc>
          <w:tcPr>
            <w:tcW w:w="960" w:type="dxa"/>
            <w:tcBorders>
              <w:top w:val="nil"/>
              <w:left w:val="nil"/>
              <w:bottom w:val="nil"/>
              <w:right w:val="nil"/>
            </w:tcBorders>
            <w:shd w:val="clear" w:color="000000" w:fill="FFFFFF"/>
            <w:noWrap/>
            <w:vAlign w:val="center"/>
            <w:hideMark/>
          </w:tcPr>
          <w:p w14:paraId="303B425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1.29</w:t>
            </w:r>
          </w:p>
        </w:tc>
        <w:tc>
          <w:tcPr>
            <w:tcW w:w="960" w:type="dxa"/>
            <w:tcBorders>
              <w:top w:val="nil"/>
              <w:left w:val="nil"/>
              <w:bottom w:val="nil"/>
              <w:right w:val="nil"/>
            </w:tcBorders>
            <w:shd w:val="clear" w:color="000000" w:fill="FFFFFF"/>
            <w:noWrap/>
            <w:vAlign w:val="center"/>
            <w:hideMark/>
          </w:tcPr>
          <w:p w14:paraId="6C6CD67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266CDC1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5.35</w:t>
            </w:r>
          </w:p>
        </w:tc>
        <w:tc>
          <w:tcPr>
            <w:tcW w:w="960" w:type="dxa"/>
            <w:tcBorders>
              <w:top w:val="nil"/>
              <w:left w:val="nil"/>
              <w:bottom w:val="nil"/>
              <w:right w:val="nil"/>
            </w:tcBorders>
            <w:shd w:val="clear" w:color="000000" w:fill="FFFFFF"/>
            <w:noWrap/>
            <w:vAlign w:val="center"/>
            <w:hideMark/>
          </w:tcPr>
          <w:p w14:paraId="39451DA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23.3</w:t>
            </w:r>
          </w:p>
        </w:tc>
        <w:tc>
          <w:tcPr>
            <w:tcW w:w="960" w:type="dxa"/>
            <w:tcBorders>
              <w:top w:val="nil"/>
              <w:left w:val="nil"/>
              <w:bottom w:val="nil"/>
              <w:right w:val="nil"/>
            </w:tcBorders>
            <w:shd w:val="clear" w:color="000000" w:fill="FFFFFF"/>
            <w:noWrap/>
            <w:vAlign w:val="center"/>
            <w:hideMark/>
          </w:tcPr>
          <w:p w14:paraId="2B8E5BD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45.6</w:t>
            </w:r>
          </w:p>
        </w:tc>
        <w:tc>
          <w:tcPr>
            <w:tcW w:w="1420" w:type="dxa"/>
            <w:tcBorders>
              <w:top w:val="nil"/>
              <w:left w:val="nil"/>
              <w:bottom w:val="nil"/>
              <w:right w:val="nil"/>
            </w:tcBorders>
            <w:shd w:val="clear" w:color="000000" w:fill="FFFFFF"/>
            <w:noWrap/>
            <w:vAlign w:val="center"/>
            <w:hideMark/>
          </w:tcPr>
          <w:p w14:paraId="0F66235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2.57</w:t>
            </w:r>
          </w:p>
        </w:tc>
        <w:tc>
          <w:tcPr>
            <w:tcW w:w="960" w:type="dxa"/>
            <w:tcBorders>
              <w:top w:val="nil"/>
              <w:left w:val="nil"/>
              <w:bottom w:val="nil"/>
              <w:right w:val="nil"/>
            </w:tcBorders>
            <w:shd w:val="clear" w:color="000000" w:fill="FFFFFF"/>
            <w:noWrap/>
            <w:vAlign w:val="center"/>
            <w:hideMark/>
          </w:tcPr>
          <w:p w14:paraId="5C66B17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34.91</w:t>
            </w:r>
          </w:p>
        </w:tc>
      </w:tr>
    </w:tbl>
    <w:p w14:paraId="2F3B7033" w14:textId="77777777" w:rsidR="008F0A20" w:rsidRPr="004C591B" w:rsidRDefault="008F0A20" w:rsidP="00477182">
      <w:pPr>
        <w:pStyle w:val="SMcaption"/>
        <w:rPr>
          <w:rFonts w:ascii="Arial" w:hAnsi="Arial" w:cs="Arial"/>
          <w:sz w:val="20"/>
        </w:rPr>
      </w:pPr>
    </w:p>
    <w:tbl>
      <w:tblPr>
        <w:tblW w:w="8280" w:type="dxa"/>
        <w:tblCellMar>
          <w:left w:w="70" w:type="dxa"/>
          <w:right w:w="70" w:type="dxa"/>
        </w:tblCellMar>
        <w:tblLook w:val="04A0" w:firstRow="1" w:lastRow="0" w:firstColumn="1" w:lastColumn="0" w:noHBand="0" w:noVBand="1"/>
      </w:tblPr>
      <w:tblGrid>
        <w:gridCol w:w="1100"/>
        <w:gridCol w:w="960"/>
        <w:gridCol w:w="960"/>
        <w:gridCol w:w="960"/>
        <w:gridCol w:w="960"/>
        <w:gridCol w:w="960"/>
        <w:gridCol w:w="1420"/>
        <w:gridCol w:w="960"/>
      </w:tblGrid>
      <w:tr w:rsidR="004C591B" w:rsidRPr="004C591B" w14:paraId="39DEF8BA" w14:textId="77777777" w:rsidTr="00C91B88">
        <w:trPr>
          <w:trHeight w:val="330"/>
        </w:trPr>
        <w:tc>
          <w:tcPr>
            <w:tcW w:w="1100" w:type="dxa"/>
            <w:tcBorders>
              <w:top w:val="single" w:sz="4" w:space="0" w:color="auto"/>
              <w:left w:val="nil"/>
              <w:bottom w:val="nil"/>
              <w:right w:val="nil"/>
            </w:tcBorders>
            <w:shd w:val="clear" w:color="000000" w:fill="FFFFFF"/>
            <w:noWrap/>
            <w:vAlign w:val="center"/>
            <w:hideMark/>
          </w:tcPr>
          <w:p w14:paraId="77ABF7FF"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Depth</w:t>
            </w:r>
            <w:proofErr w:type="spellEnd"/>
          </w:p>
        </w:tc>
        <w:tc>
          <w:tcPr>
            <w:tcW w:w="960" w:type="dxa"/>
            <w:tcBorders>
              <w:top w:val="single" w:sz="4" w:space="0" w:color="auto"/>
              <w:left w:val="nil"/>
              <w:bottom w:val="nil"/>
              <w:right w:val="nil"/>
            </w:tcBorders>
            <w:shd w:val="clear" w:color="000000" w:fill="FFFFFF"/>
            <w:noWrap/>
            <w:vAlign w:val="center"/>
            <w:hideMark/>
          </w:tcPr>
          <w:p w14:paraId="1B55D7D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δ</w:t>
            </w:r>
            <w:r w:rsidRPr="004C591B">
              <w:rPr>
                <w:rFonts w:ascii="Arial" w:hAnsi="Arial" w:cs="Arial"/>
                <w:sz w:val="22"/>
                <w:szCs w:val="22"/>
                <w:vertAlign w:val="superscript"/>
                <w:lang w:val="fr-FR" w:eastAsia="fr-FR"/>
              </w:rPr>
              <w:t>60</w:t>
            </w:r>
            <w:r w:rsidRPr="004C591B">
              <w:rPr>
                <w:rFonts w:ascii="Arial" w:hAnsi="Arial" w:cs="Arial"/>
                <w:sz w:val="22"/>
                <w:szCs w:val="22"/>
                <w:lang w:val="fr-FR" w:eastAsia="fr-FR"/>
              </w:rPr>
              <w:t>Ni</w:t>
            </w:r>
          </w:p>
        </w:tc>
        <w:tc>
          <w:tcPr>
            <w:tcW w:w="960" w:type="dxa"/>
            <w:tcBorders>
              <w:top w:val="single" w:sz="4" w:space="0" w:color="auto"/>
              <w:left w:val="nil"/>
              <w:bottom w:val="nil"/>
              <w:right w:val="nil"/>
            </w:tcBorders>
            <w:shd w:val="clear" w:color="000000" w:fill="FFFFFF"/>
            <w:noWrap/>
            <w:vAlign w:val="center"/>
            <w:hideMark/>
          </w:tcPr>
          <w:p w14:paraId="474623A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2SD</w:t>
            </w:r>
          </w:p>
        </w:tc>
        <w:tc>
          <w:tcPr>
            <w:tcW w:w="960" w:type="dxa"/>
            <w:tcBorders>
              <w:top w:val="single" w:sz="4" w:space="0" w:color="auto"/>
              <w:left w:val="nil"/>
              <w:bottom w:val="nil"/>
              <w:right w:val="nil"/>
            </w:tcBorders>
            <w:shd w:val="clear" w:color="000000" w:fill="FFFFFF"/>
            <w:noWrap/>
            <w:vAlign w:val="center"/>
            <w:hideMark/>
          </w:tcPr>
          <w:p w14:paraId="68D2A19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[Ni]</w:t>
            </w:r>
          </w:p>
        </w:tc>
        <w:tc>
          <w:tcPr>
            <w:tcW w:w="960" w:type="dxa"/>
            <w:tcBorders>
              <w:top w:val="single" w:sz="4" w:space="0" w:color="auto"/>
              <w:left w:val="nil"/>
              <w:bottom w:val="nil"/>
              <w:right w:val="nil"/>
            </w:tcBorders>
            <w:shd w:val="clear" w:color="000000" w:fill="FFFFFF"/>
            <w:noWrap/>
            <w:vAlign w:val="center"/>
            <w:hideMark/>
          </w:tcPr>
          <w:p w14:paraId="738F367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NO</w:t>
            </w:r>
            <w:r w:rsidRPr="004C591B">
              <w:rPr>
                <w:rFonts w:ascii="Arial" w:hAnsi="Arial" w:cs="Arial"/>
                <w:sz w:val="22"/>
                <w:szCs w:val="22"/>
                <w:vertAlign w:val="subscript"/>
                <w:lang w:val="fr-FR" w:eastAsia="fr-FR"/>
              </w:rPr>
              <w:t>3</w:t>
            </w:r>
            <w:r w:rsidRPr="004C591B">
              <w:rPr>
                <w:rFonts w:ascii="Arial" w:hAnsi="Arial" w:cs="Arial"/>
                <w:sz w:val="22"/>
                <w:szCs w:val="22"/>
                <w:vertAlign w:val="superscript"/>
                <w:lang w:val="fr-FR" w:eastAsia="fr-FR"/>
              </w:rPr>
              <w:t>-</w:t>
            </w:r>
          </w:p>
        </w:tc>
        <w:tc>
          <w:tcPr>
            <w:tcW w:w="960" w:type="dxa"/>
            <w:tcBorders>
              <w:top w:val="single" w:sz="4" w:space="0" w:color="auto"/>
              <w:left w:val="nil"/>
              <w:bottom w:val="nil"/>
              <w:right w:val="nil"/>
            </w:tcBorders>
            <w:shd w:val="clear" w:color="000000" w:fill="FFFFFF"/>
            <w:noWrap/>
            <w:vAlign w:val="center"/>
            <w:hideMark/>
          </w:tcPr>
          <w:p w14:paraId="5828532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SiOH</w:t>
            </w:r>
            <w:r w:rsidRPr="004C591B">
              <w:rPr>
                <w:rFonts w:ascii="Arial" w:hAnsi="Arial" w:cs="Arial"/>
                <w:sz w:val="22"/>
                <w:szCs w:val="22"/>
                <w:vertAlign w:val="subscript"/>
                <w:lang w:val="fr-FR" w:eastAsia="fr-FR"/>
              </w:rPr>
              <w:t>4</w:t>
            </w:r>
            <w:r w:rsidRPr="004C591B">
              <w:rPr>
                <w:rFonts w:ascii="Arial" w:hAnsi="Arial" w:cs="Arial"/>
                <w:sz w:val="22"/>
                <w:szCs w:val="22"/>
                <w:vertAlign w:val="superscript"/>
                <w:lang w:val="fr-FR" w:eastAsia="fr-FR"/>
              </w:rPr>
              <w:t>-</w:t>
            </w:r>
          </w:p>
        </w:tc>
        <w:tc>
          <w:tcPr>
            <w:tcW w:w="1420" w:type="dxa"/>
            <w:tcBorders>
              <w:top w:val="single" w:sz="4" w:space="0" w:color="auto"/>
              <w:left w:val="nil"/>
              <w:bottom w:val="nil"/>
              <w:right w:val="nil"/>
            </w:tcBorders>
            <w:shd w:val="clear" w:color="000000" w:fill="FFFFFF"/>
            <w:noWrap/>
            <w:vAlign w:val="center"/>
            <w:hideMark/>
          </w:tcPr>
          <w:p w14:paraId="1E0C0C84"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Temperature</w:t>
            </w:r>
            <w:proofErr w:type="spellEnd"/>
          </w:p>
        </w:tc>
        <w:tc>
          <w:tcPr>
            <w:tcW w:w="960" w:type="dxa"/>
            <w:tcBorders>
              <w:top w:val="single" w:sz="4" w:space="0" w:color="auto"/>
              <w:left w:val="nil"/>
              <w:bottom w:val="nil"/>
              <w:right w:val="nil"/>
            </w:tcBorders>
            <w:shd w:val="clear" w:color="000000" w:fill="FFFFFF"/>
            <w:noWrap/>
            <w:vAlign w:val="center"/>
            <w:hideMark/>
          </w:tcPr>
          <w:p w14:paraId="4F48E0A5"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Salinity</w:t>
            </w:r>
            <w:proofErr w:type="spellEnd"/>
          </w:p>
        </w:tc>
      </w:tr>
      <w:tr w:rsidR="004C591B" w:rsidRPr="004C591B" w14:paraId="66FCD4B5" w14:textId="77777777" w:rsidTr="00C91B88">
        <w:trPr>
          <w:trHeight w:val="290"/>
        </w:trPr>
        <w:tc>
          <w:tcPr>
            <w:tcW w:w="1100" w:type="dxa"/>
            <w:tcBorders>
              <w:top w:val="nil"/>
              <w:left w:val="nil"/>
              <w:bottom w:val="single" w:sz="4" w:space="0" w:color="auto"/>
              <w:right w:val="nil"/>
            </w:tcBorders>
            <w:shd w:val="clear" w:color="000000" w:fill="FFFFFF"/>
            <w:noWrap/>
            <w:vAlign w:val="center"/>
            <w:hideMark/>
          </w:tcPr>
          <w:p w14:paraId="39F8C8C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m</w:t>
            </w:r>
          </w:p>
        </w:tc>
        <w:tc>
          <w:tcPr>
            <w:tcW w:w="960" w:type="dxa"/>
            <w:tcBorders>
              <w:top w:val="nil"/>
              <w:left w:val="nil"/>
              <w:bottom w:val="single" w:sz="4" w:space="0" w:color="auto"/>
              <w:right w:val="nil"/>
            </w:tcBorders>
            <w:shd w:val="clear" w:color="000000" w:fill="FFFFFF"/>
            <w:noWrap/>
            <w:vAlign w:val="center"/>
            <w:hideMark/>
          </w:tcPr>
          <w:p w14:paraId="183BE9B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w:t>
            </w:r>
          </w:p>
        </w:tc>
        <w:tc>
          <w:tcPr>
            <w:tcW w:w="960" w:type="dxa"/>
            <w:tcBorders>
              <w:top w:val="nil"/>
              <w:left w:val="nil"/>
              <w:bottom w:val="single" w:sz="4" w:space="0" w:color="auto"/>
              <w:right w:val="nil"/>
            </w:tcBorders>
            <w:shd w:val="clear" w:color="000000" w:fill="FFFFFF"/>
            <w:noWrap/>
            <w:vAlign w:val="center"/>
            <w:hideMark/>
          </w:tcPr>
          <w:p w14:paraId="4D80EBE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w:t>
            </w:r>
          </w:p>
        </w:tc>
        <w:tc>
          <w:tcPr>
            <w:tcW w:w="960" w:type="dxa"/>
            <w:tcBorders>
              <w:top w:val="nil"/>
              <w:left w:val="nil"/>
              <w:bottom w:val="single" w:sz="4" w:space="0" w:color="auto"/>
              <w:right w:val="nil"/>
            </w:tcBorders>
            <w:shd w:val="clear" w:color="000000" w:fill="FFFFFF"/>
            <w:noWrap/>
            <w:vAlign w:val="center"/>
            <w:hideMark/>
          </w:tcPr>
          <w:p w14:paraId="65E65355"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nmol</w:t>
            </w:r>
            <w:proofErr w:type="spellEnd"/>
            <w:r w:rsidRPr="004C591B">
              <w:rPr>
                <w:rFonts w:ascii="Arial" w:hAnsi="Arial" w:cs="Arial"/>
                <w:sz w:val="22"/>
                <w:szCs w:val="22"/>
                <w:lang w:val="fr-FR" w:eastAsia="fr-FR"/>
              </w:rPr>
              <w:t>/L</w:t>
            </w:r>
          </w:p>
        </w:tc>
        <w:tc>
          <w:tcPr>
            <w:tcW w:w="960" w:type="dxa"/>
            <w:tcBorders>
              <w:top w:val="nil"/>
              <w:left w:val="nil"/>
              <w:bottom w:val="single" w:sz="4" w:space="0" w:color="auto"/>
              <w:right w:val="nil"/>
            </w:tcBorders>
            <w:shd w:val="clear" w:color="000000" w:fill="FFFFFF"/>
            <w:noWrap/>
            <w:vAlign w:val="center"/>
            <w:hideMark/>
          </w:tcPr>
          <w:p w14:paraId="5017C4F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µmol/L</w:t>
            </w:r>
          </w:p>
        </w:tc>
        <w:tc>
          <w:tcPr>
            <w:tcW w:w="960" w:type="dxa"/>
            <w:tcBorders>
              <w:top w:val="nil"/>
              <w:left w:val="nil"/>
              <w:bottom w:val="single" w:sz="4" w:space="0" w:color="auto"/>
              <w:right w:val="nil"/>
            </w:tcBorders>
            <w:shd w:val="clear" w:color="000000" w:fill="FFFFFF"/>
            <w:noWrap/>
            <w:vAlign w:val="center"/>
            <w:hideMark/>
          </w:tcPr>
          <w:p w14:paraId="3AECE0F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µmol/L</w:t>
            </w:r>
          </w:p>
        </w:tc>
        <w:tc>
          <w:tcPr>
            <w:tcW w:w="1420" w:type="dxa"/>
            <w:tcBorders>
              <w:top w:val="nil"/>
              <w:left w:val="nil"/>
              <w:bottom w:val="single" w:sz="4" w:space="0" w:color="auto"/>
              <w:right w:val="nil"/>
            </w:tcBorders>
            <w:shd w:val="clear" w:color="000000" w:fill="FFFFFF"/>
            <w:noWrap/>
            <w:vAlign w:val="center"/>
            <w:hideMark/>
          </w:tcPr>
          <w:p w14:paraId="2C7F79B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°C</w:t>
            </w:r>
          </w:p>
        </w:tc>
        <w:tc>
          <w:tcPr>
            <w:tcW w:w="960" w:type="dxa"/>
            <w:tcBorders>
              <w:top w:val="nil"/>
              <w:left w:val="nil"/>
              <w:bottom w:val="single" w:sz="4" w:space="0" w:color="auto"/>
              <w:right w:val="nil"/>
            </w:tcBorders>
            <w:shd w:val="clear" w:color="000000" w:fill="FFFFFF"/>
            <w:noWrap/>
            <w:vAlign w:val="center"/>
            <w:hideMark/>
          </w:tcPr>
          <w:p w14:paraId="316E13DD"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psu</w:t>
            </w:r>
            <w:proofErr w:type="spellEnd"/>
          </w:p>
        </w:tc>
      </w:tr>
      <w:tr w:rsidR="004C591B" w:rsidRPr="004C591B" w14:paraId="321A4138" w14:textId="77777777" w:rsidTr="00C91B88">
        <w:trPr>
          <w:trHeight w:val="290"/>
        </w:trPr>
        <w:tc>
          <w:tcPr>
            <w:tcW w:w="1100" w:type="dxa"/>
            <w:tcBorders>
              <w:top w:val="nil"/>
              <w:left w:val="nil"/>
              <w:bottom w:val="nil"/>
              <w:right w:val="nil"/>
            </w:tcBorders>
            <w:shd w:val="clear" w:color="000000" w:fill="FFFFFF"/>
            <w:noWrap/>
            <w:vAlign w:val="center"/>
            <w:hideMark/>
          </w:tcPr>
          <w:p w14:paraId="0C79124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1BBEDE3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045F0B0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4D37678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618BB1A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472A7CE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440676B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470551A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r>
      <w:tr w:rsidR="004C591B" w:rsidRPr="004C591B" w14:paraId="7F32EB50" w14:textId="77777777" w:rsidTr="00C91B88">
        <w:trPr>
          <w:trHeight w:val="290"/>
        </w:trPr>
        <w:tc>
          <w:tcPr>
            <w:tcW w:w="5900" w:type="dxa"/>
            <w:gridSpan w:val="6"/>
            <w:tcBorders>
              <w:top w:val="nil"/>
              <w:left w:val="nil"/>
              <w:bottom w:val="nil"/>
              <w:right w:val="nil"/>
            </w:tcBorders>
            <w:shd w:val="clear" w:color="000000" w:fill="FFFFFF"/>
            <w:noWrap/>
            <w:vAlign w:val="center"/>
            <w:hideMark/>
          </w:tcPr>
          <w:p w14:paraId="3444DB1C" w14:textId="77777777" w:rsidR="00C91B88" w:rsidRPr="004C591B" w:rsidRDefault="00C91B88" w:rsidP="00C91B88">
            <w:pPr>
              <w:rPr>
                <w:rFonts w:ascii="Arial" w:hAnsi="Arial" w:cs="Arial"/>
                <w:b/>
                <w:bCs/>
                <w:i/>
                <w:iCs/>
                <w:sz w:val="22"/>
                <w:szCs w:val="22"/>
                <w:lang w:val="en-GB" w:eastAsia="fr-FR"/>
              </w:rPr>
            </w:pPr>
            <w:r w:rsidRPr="004C591B">
              <w:rPr>
                <w:rFonts w:ascii="Arial" w:hAnsi="Arial" w:cs="Arial"/>
                <w:b/>
                <w:bCs/>
                <w:i/>
                <w:iCs/>
                <w:sz w:val="22"/>
                <w:szCs w:val="22"/>
                <w:lang w:val="en-GB" w:eastAsia="fr-FR"/>
              </w:rPr>
              <w:t>Station 32: 55.5°N, -26.7°E, Bottom depth 3234m</w:t>
            </w:r>
          </w:p>
        </w:tc>
        <w:tc>
          <w:tcPr>
            <w:tcW w:w="1420" w:type="dxa"/>
            <w:tcBorders>
              <w:top w:val="nil"/>
              <w:left w:val="nil"/>
              <w:bottom w:val="nil"/>
              <w:right w:val="nil"/>
            </w:tcBorders>
            <w:shd w:val="clear" w:color="000000" w:fill="FFFFFF"/>
            <w:noWrap/>
            <w:vAlign w:val="center"/>
            <w:hideMark/>
          </w:tcPr>
          <w:p w14:paraId="50968BE0"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c>
          <w:tcPr>
            <w:tcW w:w="960" w:type="dxa"/>
            <w:tcBorders>
              <w:top w:val="nil"/>
              <w:left w:val="nil"/>
              <w:bottom w:val="nil"/>
              <w:right w:val="nil"/>
            </w:tcBorders>
            <w:shd w:val="clear" w:color="000000" w:fill="FFFFFF"/>
            <w:noWrap/>
            <w:vAlign w:val="center"/>
            <w:hideMark/>
          </w:tcPr>
          <w:p w14:paraId="3A80EDE3"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r>
      <w:tr w:rsidR="004C591B" w:rsidRPr="004C591B" w14:paraId="433D795B" w14:textId="77777777" w:rsidTr="00C91B88">
        <w:trPr>
          <w:trHeight w:val="290"/>
        </w:trPr>
        <w:tc>
          <w:tcPr>
            <w:tcW w:w="1100" w:type="dxa"/>
            <w:tcBorders>
              <w:top w:val="nil"/>
              <w:left w:val="nil"/>
              <w:bottom w:val="nil"/>
              <w:right w:val="nil"/>
            </w:tcBorders>
            <w:shd w:val="clear" w:color="000000" w:fill="FFFFFF"/>
            <w:noWrap/>
            <w:vAlign w:val="center"/>
            <w:hideMark/>
          </w:tcPr>
          <w:p w14:paraId="5F7A51B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30</w:t>
            </w:r>
          </w:p>
        </w:tc>
        <w:tc>
          <w:tcPr>
            <w:tcW w:w="960" w:type="dxa"/>
            <w:tcBorders>
              <w:top w:val="nil"/>
              <w:left w:val="nil"/>
              <w:bottom w:val="nil"/>
              <w:right w:val="nil"/>
            </w:tcBorders>
            <w:shd w:val="clear" w:color="000000" w:fill="FFFFFF"/>
            <w:noWrap/>
            <w:vAlign w:val="center"/>
            <w:hideMark/>
          </w:tcPr>
          <w:p w14:paraId="729D20C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1.33</w:t>
            </w:r>
          </w:p>
        </w:tc>
        <w:tc>
          <w:tcPr>
            <w:tcW w:w="960" w:type="dxa"/>
            <w:tcBorders>
              <w:top w:val="nil"/>
              <w:left w:val="nil"/>
              <w:bottom w:val="nil"/>
              <w:right w:val="nil"/>
            </w:tcBorders>
            <w:shd w:val="clear" w:color="000000" w:fill="FFFFFF"/>
            <w:noWrap/>
            <w:vAlign w:val="center"/>
            <w:hideMark/>
          </w:tcPr>
          <w:p w14:paraId="10FE9F6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1336D04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3.24</w:t>
            </w:r>
          </w:p>
        </w:tc>
        <w:tc>
          <w:tcPr>
            <w:tcW w:w="960" w:type="dxa"/>
            <w:tcBorders>
              <w:top w:val="nil"/>
              <w:left w:val="nil"/>
              <w:bottom w:val="nil"/>
              <w:right w:val="nil"/>
            </w:tcBorders>
            <w:shd w:val="clear" w:color="000000" w:fill="FFFFFF"/>
            <w:noWrap/>
            <w:vAlign w:val="center"/>
            <w:hideMark/>
          </w:tcPr>
          <w:p w14:paraId="38E0BF5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9.2</w:t>
            </w:r>
          </w:p>
        </w:tc>
        <w:tc>
          <w:tcPr>
            <w:tcW w:w="960" w:type="dxa"/>
            <w:tcBorders>
              <w:top w:val="nil"/>
              <w:left w:val="nil"/>
              <w:bottom w:val="nil"/>
              <w:right w:val="nil"/>
            </w:tcBorders>
            <w:shd w:val="clear" w:color="000000" w:fill="FFFFFF"/>
            <w:noWrap/>
            <w:vAlign w:val="center"/>
            <w:hideMark/>
          </w:tcPr>
          <w:p w14:paraId="2118F8A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2.2</w:t>
            </w:r>
          </w:p>
        </w:tc>
        <w:tc>
          <w:tcPr>
            <w:tcW w:w="1420" w:type="dxa"/>
            <w:tcBorders>
              <w:top w:val="nil"/>
              <w:left w:val="nil"/>
              <w:bottom w:val="nil"/>
              <w:right w:val="nil"/>
            </w:tcBorders>
            <w:shd w:val="clear" w:color="000000" w:fill="FFFFFF"/>
            <w:noWrap/>
            <w:vAlign w:val="center"/>
            <w:hideMark/>
          </w:tcPr>
          <w:p w14:paraId="56089B5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10.34</w:t>
            </w:r>
          </w:p>
        </w:tc>
        <w:tc>
          <w:tcPr>
            <w:tcW w:w="960" w:type="dxa"/>
            <w:tcBorders>
              <w:top w:val="nil"/>
              <w:left w:val="nil"/>
              <w:bottom w:val="nil"/>
              <w:right w:val="nil"/>
            </w:tcBorders>
            <w:shd w:val="clear" w:color="000000" w:fill="FFFFFF"/>
            <w:noWrap/>
            <w:vAlign w:val="center"/>
            <w:hideMark/>
          </w:tcPr>
          <w:p w14:paraId="233BABE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35.12</w:t>
            </w:r>
          </w:p>
        </w:tc>
      </w:tr>
      <w:tr w:rsidR="004C591B" w:rsidRPr="004C591B" w14:paraId="64F612C4" w14:textId="77777777" w:rsidTr="00C91B88">
        <w:trPr>
          <w:trHeight w:val="290"/>
        </w:trPr>
        <w:tc>
          <w:tcPr>
            <w:tcW w:w="1100" w:type="dxa"/>
            <w:tcBorders>
              <w:top w:val="nil"/>
              <w:left w:val="nil"/>
              <w:bottom w:val="nil"/>
              <w:right w:val="nil"/>
            </w:tcBorders>
            <w:shd w:val="clear" w:color="000000" w:fill="FFFFFF"/>
            <w:noWrap/>
            <w:vAlign w:val="center"/>
            <w:hideMark/>
          </w:tcPr>
          <w:p w14:paraId="28656EC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50</w:t>
            </w:r>
          </w:p>
        </w:tc>
        <w:tc>
          <w:tcPr>
            <w:tcW w:w="960" w:type="dxa"/>
            <w:tcBorders>
              <w:top w:val="nil"/>
              <w:left w:val="nil"/>
              <w:bottom w:val="nil"/>
              <w:right w:val="nil"/>
            </w:tcBorders>
            <w:shd w:val="clear" w:color="000000" w:fill="FFFFFF"/>
            <w:noWrap/>
            <w:vAlign w:val="center"/>
            <w:hideMark/>
          </w:tcPr>
          <w:p w14:paraId="56569BA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539E690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7F30FC9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3.36</w:t>
            </w:r>
          </w:p>
        </w:tc>
        <w:tc>
          <w:tcPr>
            <w:tcW w:w="960" w:type="dxa"/>
            <w:tcBorders>
              <w:top w:val="nil"/>
              <w:left w:val="nil"/>
              <w:bottom w:val="nil"/>
              <w:right w:val="nil"/>
            </w:tcBorders>
            <w:shd w:val="clear" w:color="000000" w:fill="FFFFFF"/>
            <w:noWrap/>
            <w:vAlign w:val="center"/>
            <w:hideMark/>
          </w:tcPr>
          <w:p w14:paraId="15567FF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327854F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4D5F611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8.46</w:t>
            </w:r>
          </w:p>
        </w:tc>
        <w:tc>
          <w:tcPr>
            <w:tcW w:w="960" w:type="dxa"/>
            <w:tcBorders>
              <w:top w:val="nil"/>
              <w:left w:val="nil"/>
              <w:bottom w:val="nil"/>
              <w:right w:val="nil"/>
            </w:tcBorders>
            <w:shd w:val="clear" w:color="000000" w:fill="FFFFFF"/>
            <w:noWrap/>
            <w:vAlign w:val="center"/>
            <w:hideMark/>
          </w:tcPr>
          <w:p w14:paraId="5F1C8A6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35.04</w:t>
            </w:r>
          </w:p>
        </w:tc>
      </w:tr>
      <w:tr w:rsidR="004C591B" w:rsidRPr="004C591B" w14:paraId="1C779672" w14:textId="77777777" w:rsidTr="00C91B88">
        <w:trPr>
          <w:trHeight w:val="290"/>
        </w:trPr>
        <w:tc>
          <w:tcPr>
            <w:tcW w:w="1100" w:type="dxa"/>
            <w:tcBorders>
              <w:top w:val="nil"/>
              <w:left w:val="nil"/>
              <w:bottom w:val="nil"/>
              <w:right w:val="nil"/>
            </w:tcBorders>
            <w:shd w:val="clear" w:color="000000" w:fill="FFFFFF"/>
            <w:noWrap/>
            <w:vAlign w:val="center"/>
            <w:hideMark/>
          </w:tcPr>
          <w:p w14:paraId="4F3ACD6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99</w:t>
            </w:r>
          </w:p>
        </w:tc>
        <w:tc>
          <w:tcPr>
            <w:tcW w:w="960" w:type="dxa"/>
            <w:tcBorders>
              <w:top w:val="nil"/>
              <w:left w:val="nil"/>
              <w:bottom w:val="nil"/>
              <w:right w:val="nil"/>
            </w:tcBorders>
            <w:shd w:val="clear" w:color="000000" w:fill="FFFFFF"/>
            <w:noWrap/>
            <w:vAlign w:val="center"/>
            <w:hideMark/>
          </w:tcPr>
          <w:p w14:paraId="1DE5FCD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1.42</w:t>
            </w:r>
          </w:p>
        </w:tc>
        <w:tc>
          <w:tcPr>
            <w:tcW w:w="960" w:type="dxa"/>
            <w:tcBorders>
              <w:top w:val="nil"/>
              <w:left w:val="nil"/>
              <w:bottom w:val="nil"/>
              <w:right w:val="nil"/>
            </w:tcBorders>
            <w:shd w:val="clear" w:color="000000" w:fill="FFFFFF"/>
            <w:noWrap/>
            <w:vAlign w:val="center"/>
            <w:hideMark/>
          </w:tcPr>
          <w:p w14:paraId="1B20E46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57E7DEC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3.20</w:t>
            </w:r>
          </w:p>
        </w:tc>
        <w:tc>
          <w:tcPr>
            <w:tcW w:w="960" w:type="dxa"/>
            <w:tcBorders>
              <w:top w:val="nil"/>
              <w:left w:val="nil"/>
              <w:bottom w:val="nil"/>
              <w:right w:val="nil"/>
            </w:tcBorders>
            <w:shd w:val="clear" w:color="000000" w:fill="FFFFFF"/>
            <w:noWrap/>
            <w:vAlign w:val="center"/>
            <w:hideMark/>
          </w:tcPr>
          <w:p w14:paraId="755B109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9.5</w:t>
            </w:r>
          </w:p>
        </w:tc>
        <w:tc>
          <w:tcPr>
            <w:tcW w:w="960" w:type="dxa"/>
            <w:tcBorders>
              <w:top w:val="nil"/>
              <w:left w:val="nil"/>
              <w:bottom w:val="nil"/>
              <w:right w:val="nil"/>
            </w:tcBorders>
            <w:shd w:val="clear" w:color="000000" w:fill="FFFFFF"/>
            <w:noWrap/>
            <w:vAlign w:val="center"/>
            <w:hideMark/>
          </w:tcPr>
          <w:p w14:paraId="4198AB4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2.0</w:t>
            </w:r>
          </w:p>
        </w:tc>
        <w:tc>
          <w:tcPr>
            <w:tcW w:w="1420" w:type="dxa"/>
            <w:tcBorders>
              <w:top w:val="nil"/>
              <w:left w:val="nil"/>
              <w:bottom w:val="nil"/>
              <w:right w:val="nil"/>
            </w:tcBorders>
            <w:shd w:val="clear" w:color="000000" w:fill="FFFFFF"/>
            <w:noWrap/>
            <w:vAlign w:val="center"/>
            <w:hideMark/>
          </w:tcPr>
          <w:p w14:paraId="18EF99A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8.71</w:t>
            </w:r>
          </w:p>
        </w:tc>
        <w:tc>
          <w:tcPr>
            <w:tcW w:w="960" w:type="dxa"/>
            <w:tcBorders>
              <w:top w:val="nil"/>
              <w:left w:val="nil"/>
              <w:bottom w:val="nil"/>
              <w:right w:val="nil"/>
            </w:tcBorders>
            <w:shd w:val="clear" w:color="000000" w:fill="FFFFFF"/>
            <w:noWrap/>
            <w:vAlign w:val="center"/>
            <w:hideMark/>
          </w:tcPr>
          <w:p w14:paraId="3AE5C9B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35.13</w:t>
            </w:r>
          </w:p>
        </w:tc>
      </w:tr>
      <w:tr w:rsidR="004C591B" w:rsidRPr="004C591B" w14:paraId="6BC42DE2" w14:textId="77777777" w:rsidTr="00C91B88">
        <w:trPr>
          <w:trHeight w:val="290"/>
        </w:trPr>
        <w:tc>
          <w:tcPr>
            <w:tcW w:w="1100" w:type="dxa"/>
            <w:tcBorders>
              <w:top w:val="nil"/>
              <w:left w:val="nil"/>
              <w:bottom w:val="nil"/>
              <w:right w:val="nil"/>
            </w:tcBorders>
            <w:shd w:val="clear" w:color="000000" w:fill="FFFFFF"/>
            <w:noWrap/>
            <w:vAlign w:val="center"/>
            <w:hideMark/>
          </w:tcPr>
          <w:p w14:paraId="32D352A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198</w:t>
            </w:r>
          </w:p>
        </w:tc>
        <w:tc>
          <w:tcPr>
            <w:tcW w:w="960" w:type="dxa"/>
            <w:tcBorders>
              <w:top w:val="nil"/>
              <w:left w:val="nil"/>
              <w:bottom w:val="nil"/>
              <w:right w:val="nil"/>
            </w:tcBorders>
            <w:shd w:val="clear" w:color="000000" w:fill="FFFFFF"/>
            <w:noWrap/>
            <w:vAlign w:val="center"/>
            <w:hideMark/>
          </w:tcPr>
          <w:p w14:paraId="7016B63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1.31</w:t>
            </w:r>
          </w:p>
        </w:tc>
        <w:tc>
          <w:tcPr>
            <w:tcW w:w="960" w:type="dxa"/>
            <w:tcBorders>
              <w:top w:val="nil"/>
              <w:left w:val="nil"/>
              <w:bottom w:val="nil"/>
              <w:right w:val="nil"/>
            </w:tcBorders>
            <w:shd w:val="clear" w:color="000000" w:fill="FFFFFF"/>
            <w:noWrap/>
            <w:vAlign w:val="center"/>
            <w:hideMark/>
          </w:tcPr>
          <w:p w14:paraId="32587AB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0768EE0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3.45</w:t>
            </w:r>
          </w:p>
        </w:tc>
        <w:tc>
          <w:tcPr>
            <w:tcW w:w="960" w:type="dxa"/>
            <w:tcBorders>
              <w:top w:val="nil"/>
              <w:left w:val="nil"/>
              <w:bottom w:val="nil"/>
              <w:right w:val="nil"/>
            </w:tcBorders>
            <w:shd w:val="clear" w:color="000000" w:fill="FFFFFF"/>
            <w:noWrap/>
            <w:vAlign w:val="center"/>
            <w:hideMark/>
          </w:tcPr>
          <w:p w14:paraId="5F80BF8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693FE22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5.8</w:t>
            </w:r>
          </w:p>
        </w:tc>
        <w:tc>
          <w:tcPr>
            <w:tcW w:w="1420" w:type="dxa"/>
            <w:tcBorders>
              <w:top w:val="nil"/>
              <w:left w:val="nil"/>
              <w:bottom w:val="nil"/>
              <w:right w:val="nil"/>
            </w:tcBorders>
            <w:shd w:val="clear" w:color="000000" w:fill="FFFFFF"/>
            <w:noWrap/>
            <w:vAlign w:val="center"/>
            <w:hideMark/>
          </w:tcPr>
          <w:p w14:paraId="52D4AD2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8.12</w:t>
            </w:r>
          </w:p>
        </w:tc>
        <w:tc>
          <w:tcPr>
            <w:tcW w:w="960" w:type="dxa"/>
            <w:tcBorders>
              <w:top w:val="nil"/>
              <w:left w:val="nil"/>
              <w:bottom w:val="nil"/>
              <w:right w:val="nil"/>
            </w:tcBorders>
            <w:shd w:val="clear" w:color="000000" w:fill="FFFFFF"/>
            <w:noWrap/>
            <w:vAlign w:val="center"/>
            <w:hideMark/>
          </w:tcPr>
          <w:p w14:paraId="440415C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35.11</w:t>
            </w:r>
          </w:p>
        </w:tc>
      </w:tr>
      <w:tr w:rsidR="004C591B" w:rsidRPr="004C591B" w14:paraId="670832D8" w14:textId="77777777" w:rsidTr="00C91B88">
        <w:trPr>
          <w:trHeight w:val="290"/>
        </w:trPr>
        <w:tc>
          <w:tcPr>
            <w:tcW w:w="1100" w:type="dxa"/>
            <w:tcBorders>
              <w:top w:val="nil"/>
              <w:left w:val="nil"/>
              <w:bottom w:val="nil"/>
              <w:right w:val="nil"/>
            </w:tcBorders>
            <w:shd w:val="clear" w:color="000000" w:fill="FFFFFF"/>
            <w:noWrap/>
            <w:vAlign w:val="center"/>
            <w:hideMark/>
          </w:tcPr>
          <w:p w14:paraId="602138F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298</w:t>
            </w:r>
          </w:p>
        </w:tc>
        <w:tc>
          <w:tcPr>
            <w:tcW w:w="960" w:type="dxa"/>
            <w:tcBorders>
              <w:top w:val="nil"/>
              <w:left w:val="nil"/>
              <w:bottom w:val="nil"/>
              <w:right w:val="nil"/>
            </w:tcBorders>
            <w:shd w:val="clear" w:color="000000" w:fill="FFFFFF"/>
            <w:noWrap/>
            <w:vAlign w:val="center"/>
            <w:hideMark/>
          </w:tcPr>
          <w:p w14:paraId="7592BA3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1.37</w:t>
            </w:r>
          </w:p>
        </w:tc>
        <w:tc>
          <w:tcPr>
            <w:tcW w:w="960" w:type="dxa"/>
            <w:tcBorders>
              <w:top w:val="nil"/>
              <w:left w:val="nil"/>
              <w:bottom w:val="nil"/>
              <w:right w:val="nil"/>
            </w:tcBorders>
            <w:shd w:val="clear" w:color="000000" w:fill="FFFFFF"/>
            <w:noWrap/>
            <w:vAlign w:val="center"/>
            <w:hideMark/>
          </w:tcPr>
          <w:p w14:paraId="18FF889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1E278E7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3.97</w:t>
            </w:r>
          </w:p>
        </w:tc>
        <w:tc>
          <w:tcPr>
            <w:tcW w:w="960" w:type="dxa"/>
            <w:tcBorders>
              <w:top w:val="nil"/>
              <w:left w:val="nil"/>
              <w:bottom w:val="nil"/>
              <w:right w:val="nil"/>
            </w:tcBorders>
            <w:shd w:val="clear" w:color="000000" w:fill="FFFFFF"/>
            <w:noWrap/>
            <w:vAlign w:val="center"/>
            <w:hideMark/>
          </w:tcPr>
          <w:p w14:paraId="6E91A9B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15.5</w:t>
            </w:r>
          </w:p>
        </w:tc>
        <w:tc>
          <w:tcPr>
            <w:tcW w:w="960" w:type="dxa"/>
            <w:tcBorders>
              <w:top w:val="nil"/>
              <w:left w:val="nil"/>
              <w:bottom w:val="nil"/>
              <w:right w:val="nil"/>
            </w:tcBorders>
            <w:shd w:val="clear" w:color="000000" w:fill="FFFFFF"/>
            <w:noWrap/>
            <w:vAlign w:val="center"/>
            <w:hideMark/>
          </w:tcPr>
          <w:p w14:paraId="6528078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7.5</w:t>
            </w:r>
          </w:p>
        </w:tc>
        <w:tc>
          <w:tcPr>
            <w:tcW w:w="1420" w:type="dxa"/>
            <w:tcBorders>
              <w:top w:val="nil"/>
              <w:left w:val="nil"/>
              <w:bottom w:val="nil"/>
              <w:right w:val="nil"/>
            </w:tcBorders>
            <w:shd w:val="clear" w:color="000000" w:fill="FFFFFF"/>
            <w:noWrap/>
            <w:vAlign w:val="center"/>
            <w:hideMark/>
          </w:tcPr>
          <w:p w14:paraId="4BB5953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6.65</w:t>
            </w:r>
          </w:p>
        </w:tc>
        <w:tc>
          <w:tcPr>
            <w:tcW w:w="960" w:type="dxa"/>
            <w:tcBorders>
              <w:top w:val="nil"/>
              <w:left w:val="nil"/>
              <w:bottom w:val="nil"/>
              <w:right w:val="nil"/>
            </w:tcBorders>
            <w:shd w:val="clear" w:color="000000" w:fill="FFFFFF"/>
            <w:noWrap/>
            <w:vAlign w:val="center"/>
            <w:hideMark/>
          </w:tcPr>
          <w:p w14:paraId="102B452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34.92</w:t>
            </w:r>
          </w:p>
        </w:tc>
      </w:tr>
      <w:tr w:rsidR="004C591B" w:rsidRPr="004C591B" w14:paraId="45D7F9F6" w14:textId="77777777" w:rsidTr="00C91B88">
        <w:trPr>
          <w:trHeight w:val="290"/>
        </w:trPr>
        <w:tc>
          <w:tcPr>
            <w:tcW w:w="1100" w:type="dxa"/>
            <w:tcBorders>
              <w:top w:val="nil"/>
              <w:left w:val="nil"/>
              <w:bottom w:val="nil"/>
              <w:right w:val="nil"/>
            </w:tcBorders>
            <w:shd w:val="clear" w:color="000000" w:fill="FFFFFF"/>
            <w:noWrap/>
            <w:vAlign w:val="center"/>
            <w:hideMark/>
          </w:tcPr>
          <w:p w14:paraId="40936E3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397</w:t>
            </w:r>
          </w:p>
        </w:tc>
        <w:tc>
          <w:tcPr>
            <w:tcW w:w="960" w:type="dxa"/>
            <w:tcBorders>
              <w:top w:val="nil"/>
              <w:left w:val="nil"/>
              <w:bottom w:val="nil"/>
              <w:right w:val="nil"/>
            </w:tcBorders>
            <w:shd w:val="clear" w:color="000000" w:fill="FFFFFF"/>
            <w:noWrap/>
            <w:vAlign w:val="center"/>
            <w:hideMark/>
          </w:tcPr>
          <w:p w14:paraId="72F84DC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1.41</w:t>
            </w:r>
          </w:p>
        </w:tc>
        <w:tc>
          <w:tcPr>
            <w:tcW w:w="960" w:type="dxa"/>
            <w:tcBorders>
              <w:top w:val="nil"/>
              <w:left w:val="nil"/>
              <w:bottom w:val="nil"/>
              <w:right w:val="nil"/>
            </w:tcBorders>
            <w:shd w:val="clear" w:color="000000" w:fill="FFFFFF"/>
            <w:noWrap/>
            <w:vAlign w:val="center"/>
            <w:hideMark/>
          </w:tcPr>
          <w:p w14:paraId="3ACDD48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055EAF6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3.87</w:t>
            </w:r>
          </w:p>
        </w:tc>
        <w:tc>
          <w:tcPr>
            <w:tcW w:w="960" w:type="dxa"/>
            <w:tcBorders>
              <w:top w:val="nil"/>
              <w:left w:val="nil"/>
              <w:bottom w:val="nil"/>
              <w:right w:val="nil"/>
            </w:tcBorders>
            <w:shd w:val="clear" w:color="000000" w:fill="FFFFFF"/>
            <w:noWrap/>
            <w:vAlign w:val="center"/>
            <w:hideMark/>
          </w:tcPr>
          <w:p w14:paraId="1C7B1DD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16.5</w:t>
            </w:r>
          </w:p>
        </w:tc>
        <w:tc>
          <w:tcPr>
            <w:tcW w:w="960" w:type="dxa"/>
            <w:tcBorders>
              <w:top w:val="nil"/>
              <w:left w:val="nil"/>
              <w:bottom w:val="nil"/>
              <w:right w:val="nil"/>
            </w:tcBorders>
            <w:shd w:val="clear" w:color="000000" w:fill="FFFFFF"/>
            <w:noWrap/>
            <w:vAlign w:val="center"/>
            <w:hideMark/>
          </w:tcPr>
          <w:p w14:paraId="3A358A4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8.4</w:t>
            </w:r>
          </w:p>
        </w:tc>
        <w:tc>
          <w:tcPr>
            <w:tcW w:w="1420" w:type="dxa"/>
            <w:tcBorders>
              <w:top w:val="nil"/>
              <w:left w:val="nil"/>
              <w:bottom w:val="nil"/>
              <w:right w:val="nil"/>
            </w:tcBorders>
            <w:shd w:val="clear" w:color="000000" w:fill="FFFFFF"/>
            <w:noWrap/>
            <w:vAlign w:val="center"/>
            <w:hideMark/>
          </w:tcPr>
          <w:p w14:paraId="33062A8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6.77</w:t>
            </w:r>
          </w:p>
        </w:tc>
        <w:tc>
          <w:tcPr>
            <w:tcW w:w="960" w:type="dxa"/>
            <w:tcBorders>
              <w:top w:val="nil"/>
              <w:left w:val="nil"/>
              <w:bottom w:val="nil"/>
              <w:right w:val="nil"/>
            </w:tcBorders>
            <w:shd w:val="clear" w:color="000000" w:fill="FFFFFF"/>
            <w:noWrap/>
            <w:vAlign w:val="center"/>
            <w:hideMark/>
          </w:tcPr>
          <w:p w14:paraId="0E9A05A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35.06</w:t>
            </w:r>
          </w:p>
        </w:tc>
      </w:tr>
      <w:tr w:rsidR="004C591B" w:rsidRPr="004C591B" w14:paraId="4992D3C8" w14:textId="77777777" w:rsidTr="00C91B88">
        <w:trPr>
          <w:trHeight w:val="290"/>
        </w:trPr>
        <w:tc>
          <w:tcPr>
            <w:tcW w:w="1100" w:type="dxa"/>
            <w:tcBorders>
              <w:top w:val="nil"/>
              <w:left w:val="nil"/>
              <w:bottom w:val="nil"/>
              <w:right w:val="nil"/>
            </w:tcBorders>
            <w:shd w:val="clear" w:color="000000" w:fill="FFFFFF"/>
            <w:noWrap/>
            <w:vAlign w:val="center"/>
            <w:hideMark/>
          </w:tcPr>
          <w:p w14:paraId="099D3CD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496</w:t>
            </w:r>
          </w:p>
        </w:tc>
        <w:tc>
          <w:tcPr>
            <w:tcW w:w="960" w:type="dxa"/>
            <w:tcBorders>
              <w:top w:val="nil"/>
              <w:left w:val="nil"/>
              <w:bottom w:val="nil"/>
              <w:right w:val="nil"/>
            </w:tcBorders>
            <w:shd w:val="clear" w:color="000000" w:fill="FFFFFF"/>
            <w:noWrap/>
            <w:vAlign w:val="center"/>
            <w:hideMark/>
          </w:tcPr>
          <w:p w14:paraId="7033E23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1.30</w:t>
            </w:r>
          </w:p>
        </w:tc>
        <w:tc>
          <w:tcPr>
            <w:tcW w:w="960" w:type="dxa"/>
            <w:tcBorders>
              <w:top w:val="nil"/>
              <w:left w:val="nil"/>
              <w:bottom w:val="nil"/>
              <w:right w:val="nil"/>
            </w:tcBorders>
            <w:shd w:val="clear" w:color="000000" w:fill="FFFFFF"/>
            <w:noWrap/>
            <w:vAlign w:val="center"/>
            <w:hideMark/>
          </w:tcPr>
          <w:p w14:paraId="117A373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18A50DB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3.83</w:t>
            </w:r>
          </w:p>
        </w:tc>
        <w:tc>
          <w:tcPr>
            <w:tcW w:w="960" w:type="dxa"/>
            <w:tcBorders>
              <w:top w:val="nil"/>
              <w:left w:val="nil"/>
              <w:bottom w:val="nil"/>
              <w:right w:val="nil"/>
            </w:tcBorders>
            <w:shd w:val="clear" w:color="000000" w:fill="FFFFFF"/>
            <w:noWrap/>
            <w:vAlign w:val="center"/>
            <w:hideMark/>
          </w:tcPr>
          <w:p w14:paraId="0F0C5CC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19.0</w:t>
            </w:r>
          </w:p>
        </w:tc>
        <w:tc>
          <w:tcPr>
            <w:tcW w:w="960" w:type="dxa"/>
            <w:tcBorders>
              <w:top w:val="nil"/>
              <w:left w:val="nil"/>
              <w:bottom w:val="nil"/>
              <w:right w:val="nil"/>
            </w:tcBorders>
            <w:shd w:val="clear" w:color="000000" w:fill="FFFFFF"/>
            <w:noWrap/>
            <w:vAlign w:val="center"/>
            <w:hideMark/>
          </w:tcPr>
          <w:p w14:paraId="684F3D3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10.8</w:t>
            </w:r>
          </w:p>
        </w:tc>
        <w:tc>
          <w:tcPr>
            <w:tcW w:w="1420" w:type="dxa"/>
            <w:tcBorders>
              <w:top w:val="nil"/>
              <w:left w:val="nil"/>
              <w:bottom w:val="nil"/>
              <w:right w:val="nil"/>
            </w:tcBorders>
            <w:shd w:val="clear" w:color="000000" w:fill="FFFFFF"/>
            <w:noWrap/>
            <w:vAlign w:val="center"/>
            <w:hideMark/>
          </w:tcPr>
          <w:p w14:paraId="42EB5BE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5.71</w:t>
            </w:r>
          </w:p>
        </w:tc>
        <w:tc>
          <w:tcPr>
            <w:tcW w:w="960" w:type="dxa"/>
            <w:tcBorders>
              <w:top w:val="nil"/>
              <w:left w:val="nil"/>
              <w:bottom w:val="nil"/>
              <w:right w:val="nil"/>
            </w:tcBorders>
            <w:shd w:val="clear" w:color="000000" w:fill="FFFFFF"/>
            <w:noWrap/>
            <w:vAlign w:val="center"/>
            <w:hideMark/>
          </w:tcPr>
          <w:p w14:paraId="5A31F50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34.99</w:t>
            </w:r>
          </w:p>
        </w:tc>
      </w:tr>
      <w:tr w:rsidR="004C591B" w:rsidRPr="004C591B" w14:paraId="3EB3C25B" w14:textId="77777777" w:rsidTr="00C91B88">
        <w:trPr>
          <w:trHeight w:val="290"/>
        </w:trPr>
        <w:tc>
          <w:tcPr>
            <w:tcW w:w="1100" w:type="dxa"/>
            <w:tcBorders>
              <w:top w:val="nil"/>
              <w:left w:val="nil"/>
              <w:bottom w:val="nil"/>
              <w:right w:val="nil"/>
            </w:tcBorders>
            <w:shd w:val="clear" w:color="000000" w:fill="FFFFFF"/>
            <w:noWrap/>
            <w:vAlign w:val="center"/>
            <w:hideMark/>
          </w:tcPr>
          <w:p w14:paraId="20D3744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792</w:t>
            </w:r>
          </w:p>
        </w:tc>
        <w:tc>
          <w:tcPr>
            <w:tcW w:w="960" w:type="dxa"/>
            <w:tcBorders>
              <w:top w:val="nil"/>
              <w:left w:val="nil"/>
              <w:bottom w:val="nil"/>
              <w:right w:val="nil"/>
            </w:tcBorders>
            <w:shd w:val="clear" w:color="000000" w:fill="FFFFFF"/>
            <w:noWrap/>
            <w:vAlign w:val="center"/>
            <w:hideMark/>
          </w:tcPr>
          <w:p w14:paraId="6B1F97D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1.28</w:t>
            </w:r>
          </w:p>
        </w:tc>
        <w:tc>
          <w:tcPr>
            <w:tcW w:w="960" w:type="dxa"/>
            <w:tcBorders>
              <w:top w:val="nil"/>
              <w:left w:val="nil"/>
              <w:bottom w:val="nil"/>
              <w:right w:val="nil"/>
            </w:tcBorders>
            <w:shd w:val="clear" w:color="000000" w:fill="FFFFFF"/>
            <w:noWrap/>
            <w:vAlign w:val="center"/>
            <w:hideMark/>
          </w:tcPr>
          <w:p w14:paraId="3611C03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6208E4F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3.78</w:t>
            </w:r>
          </w:p>
        </w:tc>
        <w:tc>
          <w:tcPr>
            <w:tcW w:w="960" w:type="dxa"/>
            <w:tcBorders>
              <w:top w:val="nil"/>
              <w:left w:val="nil"/>
              <w:bottom w:val="nil"/>
              <w:right w:val="nil"/>
            </w:tcBorders>
            <w:shd w:val="clear" w:color="000000" w:fill="FFFFFF"/>
            <w:noWrap/>
            <w:vAlign w:val="center"/>
            <w:hideMark/>
          </w:tcPr>
          <w:p w14:paraId="0A44946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17.7</w:t>
            </w:r>
          </w:p>
        </w:tc>
        <w:tc>
          <w:tcPr>
            <w:tcW w:w="960" w:type="dxa"/>
            <w:tcBorders>
              <w:top w:val="nil"/>
              <w:left w:val="nil"/>
              <w:bottom w:val="nil"/>
              <w:right w:val="nil"/>
            </w:tcBorders>
            <w:shd w:val="clear" w:color="000000" w:fill="FFFFFF"/>
            <w:noWrap/>
            <w:vAlign w:val="center"/>
            <w:hideMark/>
          </w:tcPr>
          <w:p w14:paraId="03FED20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9.8</w:t>
            </w:r>
          </w:p>
        </w:tc>
        <w:tc>
          <w:tcPr>
            <w:tcW w:w="1420" w:type="dxa"/>
            <w:tcBorders>
              <w:top w:val="nil"/>
              <w:left w:val="nil"/>
              <w:bottom w:val="nil"/>
              <w:right w:val="nil"/>
            </w:tcBorders>
            <w:shd w:val="clear" w:color="000000" w:fill="FFFFFF"/>
            <w:noWrap/>
            <w:vAlign w:val="center"/>
            <w:hideMark/>
          </w:tcPr>
          <w:p w14:paraId="61CBDB0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4.47</w:t>
            </w:r>
          </w:p>
        </w:tc>
        <w:tc>
          <w:tcPr>
            <w:tcW w:w="960" w:type="dxa"/>
            <w:tcBorders>
              <w:top w:val="nil"/>
              <w:left w:val="nil"/>
              <w:bottom w:val="nil"/>
              <w:right w:val="nil"/>
            </w:tcBorders>
            <w:shd w:val="clear" w:color="000000" w:fill="FFFFFF"/>
            <w:noWrap/>
            <w:vAlign w:val="center"/>
            <w:hideMark/>
          </w:tcPr>
          <w:p w14:paraId="649EE49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34.94</w:t>
            </w:r>
          </w:p>
        </w:tc>
      </w:tr>
      <w:tr w:rsidR="004C591B" w:rsidRPr="004C591B" w14:paraId="0181712D" w14:textId="77777777" w:rsidTr="00C91B88">
        <w:trPr>
          <w:trHeight w:val="290"/>
        </w:trPr>
        <w:tc>
          <w:tcPr>
            <w:tcW w:w="1100" w:type="dxa"/>
            <w:tcBorders>
              <w:top w:val="nil"/>
              <w:left w:val="nil"/>
              <w:bottom w:val="nil"/>
              <w:right w:val="nil"/>
            </w:tcBorders>
            <w:shd w:val="clear" w:color="000000" w:fill="FFFFFF"/>
            <w:noWrap/>
            <w:vAlign w:val="center"/>
            <w:hideMark/>
          </w:tcPr>
          <w:p w14:paraId="1133E69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990</w:t>
            </w:r>
          </w:p>
        </w:tc>
        <w:tc>
          <w:tcPr>
            <w:tcW w:w="960" w:type="dxa"/>
            <w:tcBorders>
              <w:top w:val="nil"/>
              <w:left w:val="nil"/>
              <w:bottom w:val="nil"/>
              <w:right w:val="nil"/>
            </w:tcBorders>
            <w:shd w:val="clear" w:color="000000" w:fill="FFFFFF"/>
            <w:noWrap/>
            <w:vAlign w:val="center"/>
            <w:hideMark/>
          </w:tcPr>
          <w:p w14:paraId="0F21036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1.44</w:t>
            </w:r>
          </w:p>
        </w:tc>
        <w:tc>
          <w:tcPr>
            <w:tcW w:w="960" w:type="dxa"/>
            <w:tcBorders>
              <w:top w:val="nil"/>
              <w:left w:val="nil"/>
              <w:bottom w:val="nil"/>
              <w:right w:val="nil"/>
            </w:tcBorders>
            <w:shd w:val="clear" w:color="000000" w:fill="FFFFFF"/>
            <w:noWrap/>
            <w:vAlign w:val="center"/>
            <w:hideMark/>
          </w:tcPr>
          <w:p w14:paraId="008D094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3DAA71E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3.69</w:t>
            </w:r>
          </w:p>
        </w:tc>
        <w:tc>
          <w:tcPr>
            <w:tcW w:w="960" w:type="dxa"/>
            <w:tcBorders>
              <w:top w:val="nil"/>
              <w:left w:val="nil"/>
              <w:bottom w:val="nil"/>
              <w:right w:val="nil"/>
            </w:tcBorders>
            <w:shd w:val="clear" w:color="000000" w:fill="FFFFFF"/>
            <w:noWrap/>
            <w:vAlign w:val="center"/>
            <w:hideMark/>
          </w:tcPr>
          <w:p w14:paraId="4EE0040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17.1</w:t>
            </w:r>
          </w:p>
        </w:tc>
        <w:tc>
          <w:tcPr>
            <w:tcW w:w="960" w:type="dxa"/>
            <w:tcBorders>
              <w:top w:val="nil"/>
              <w:left w:val="nil"/>
              <w:bottom w:val="nil"/>
              <w:right w:val="nil"/>
            </w:tcBorders>
            <w:shd w:val="clear" w:color="000000" w:fill="FFFFFF"/>
            <w:noWrap/>
            <w:vAlign w:val="center"/>
            <w:hideMark/>
          </w:tcPr>
          <w:p w14:paraId="030781C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9.6</w:t>
            </w:r>
          </w:p>
        </w:tc>
        <w:tc>
          <w:tcPr>
            <w:tcW w:w="1420" w:type="dxa"/>
            <w:tcBorders>
              <w:top w:val="nil"/>
              <w:left w:val="nil"/>
              <w:bottom w:val="nil"/>
              <w:right w:val="nil"/>
            </w:tcBorders>
            <w:shd w:val="clear" w:color="000000" w:fill="FFFFFF"/>
            <w:noWrap/>
            <w:vAlign w:val="center"/>
            <w:hideMark/>
          </w:tcPr>
          <w:p w14:paraId="520B2F3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4.11</w:t>
            </w:r>
          </w:p>
        </w:tc>
        <w:tc>
          <w:tcPr>
            <w:tcW w:w="960" w:type="dxa"/>
            <w:tcBorders>
              <w:top w:val="nil"/>
              <w:left w:val="nil"/>
              <w:bottom w:val="nil"/>
              <w:right w:val="nil"/>
            </w:tcBorders>
            <w:shd w:val="clear" w:color="000000" w:fill="FFFFFF"/>
            <w:noWrap/>
            <w:vAlign w:val="center"/>
            <w:hideMark/>
          </w:tcPr>
          <w:p w14:paraId="1220705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34.92</w:t>
            </w:r>
          </w:p>
        </w:tc>
      </w:tr>
      <w:tr w:rsidR="004C591B" w:rsidRPr="004C591B" w14:paraId="2E58E170" w14:textId="77777777" w:rsidTr="00C91B88">
        <w:trPr>
          <w:trHeight w:val="290"/>
        </w:trPr>
        <w:tc>
          <w:tcPr>
            <w:tcW w:w="1100" w:type="dxa"/>
            <w:tcBorders>
              <w:top w:val="nil"/>
              <w:left w:val="nil"/>
              <w:bottom w:val="nil"/>
              <w:right w:val="nil"/>
            </w:tcBorders>
            <w:shd w:val="clear" w:color="000000" w:fill="FFFFFF"/>
            <w:noWrap/>
            <w:vAlign w:val="center"/>
            <w:hideMark/>
          </w:tcPr>
          <w:p w14:paraId="5DDF831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1236</w:t>
            </w:r>
          </w:p>
        </w:tc>
        <w:tc>
          <w:tcPr>
            <w:tcW w:w="960" w:type="dxa"/>
            <w:tcBorders>
              <w:top w:val="nil"/>
              <w:left w:val="nil"/>
              <w:bottom w:val="nil"/>
              <w:right w:val="nil"/>
            </w:tcBorders>
            <w:shd w:val="clear" w:color="000000" w:fill="FFFFFF"/>
            <w:noWrap/>
            <w:vAlign w:val="center"/>
            <w:hideMark/>
          </w:tcPr>
          <w:p w14:paraId="62B50EF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1.46</w:t>
            </w:r>
          </w:p>
        </w:tc>
        <w:tc>
          <w:tcPr>
            <w:tcW w:w="960" w:type="dxa"/>
            <w:tcBorders>
              <w:top w:val="nil"/>
              <w:left w:val="nil"/>
              <w:bottom w:val="nil"/>
              <w:right w:val="nil"/>
            </w:tcBorders>
            <w:shd w:val="clear" w:color="000000" w:fill="FFFFFF"/>
            <w:noWrap/>
            <w:vAlign w:val="center"/>
            <w:hideMark/>
          </w:tcPr>
          <w:p w14:paraId="570B86C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0.10</w:t>
            </w:r>
          </w:p>
        </w:tc>
        <w:tc>
          <w:tcPr>
            <w:tcW w:w="960" w:type="dxa"/>
            <w:tcBorders>
              <w:top w:val="nil"/>
              <w:left w:val="nil"/>
              <w:bottom w:val="nil"/>
              <w:right w:val="nil"/>
            </w:tcBorders>
            <w:shd w:val="clear" w:color="000000" w:fill="FFFFFF"/>
            <w:noWrap/>
            <w:vAlign w:val="center"/>
            <w:hideMark/>
          </w:tcPr>
          <w:p w14:paraId="703E357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3.71</w:t>
            </w:r>
          </w:p>
        </w:tc>
        <w:tc>
          <w:tcPr>
            <w:tcW w:w="960" w:type="dxa"/>
            <w:tcBorders>
              <w:top w:val="nil"/>
              <w:left w:val="nil"/>
              <w:bottom w:val="nil"/>
              <w:right w:val="nil"/>
            </w:tcBorders>
            <w:shd w:val="clear" w:color="000000" w:fill="FFFFFF"/>
            <w:noWrap/>
            <w:vAlign w:val="center"/>
            <w:hideMark/>
          </w:tcPr>
          <w:p w14:paraId="1D96FB4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16.9</w:t>
            </w:r>
          </w:p>
        </w:tc>
        <w:tc>
          <w:tcPr>
            <w:tcW w:w="960" w:type="dxa"/>
            <w:tcBorders>
              <w:top w:val="nil"/>
              <w:left w:val="nil"/>
              <w:bottom w:val="nil"/>
              <w:right w:val="nil"/>
            </w:tcBorders>
            <w:shd w:val="clear" w:color="000000" w:fill="FFFFFF"/>
            <w:noWrap/>
            <w:vAlign w:val="center"/>
            <w:hideMark/>
          </w:tcPr>
          <w:p w14:paraId="4432271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9.8</w:t>
            </w:r>
          </w:p>
        </w:tc>
        <w:tc>
          <w:tcPr>
            <w:tcW w:w="1420" w:type="dxa"/>
            <w:tcBorders>
              <w:top w:val="nil"/>
              <w:left w:val="nil"/>
              <w:bottom w:val="nil"/>
              <w:right w:val="nil"/>
            </w:tcBorders>
            <w:shd w:val="clear" w:color="000000" w:fill="FFFFFF"/>
            <w:noWrap/>
            <w:vAlign w:val="center"/>
            <w:hideMark/>
          </w:tcPr>
          <w:p w14:paraId="53133AF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3.90</w:t>
            </w:r>
          </w:p>
        </w:tc>
        <w:tc>
          <w:tcPr>
            <w:tcW w:w="960" w:type="dxa"/>
            <w:tcBorders>
              <w:top w:val="nil"/>
              <w:left w:val="nil"/>
              <w:bottom w:val="nil"/>
              <w:right w:val="nil"/>
            </w:tcBorders>
            <w:shd w:val="clear" w:color="000000" w:fill="FFFFFF"/>
            <w:noWrap/>
            <w:vAlign w:val="center"/>
            <w:hideMark/>
          </w:tcPr>
          <w:p w14:paraId="23CA98E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34.91</w:t>
            </w:r>
          </w:p>
        </w:tc>
      </w:tr>
      <w:tr w:rsidR="004C591B" w:rsidRPr="004C591B" w14:paraId="66DEC578" w14:textId="77777777" w:rsidTr="00C91B88">
        <w:trPr>
          <w:trHeight w:val="290"/>
        </w:trPr>
        <w:tc>
          <w:tcPr>
            <w:tcW w:w="1100" w:type="dxa"/>
            <w:tcBorders>
              <w:top w:val="nil"/>
              <w:left w:val="nil"/>
              <w:bottom w:val="nil"/>
              <w:right w:val="nil"/>
            </w:tcBorders>
            <w:shd w:val="clear" w:color="000000" w:fill="FFFFFF"/>
            <w:noWrap/>
            <w:vAlign w:val="center"/>
            <w:hideMark/>
          </w:tcPr>
          <w:p w14:paraId="22CD416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1482</w:t>
            </w:r>
          </w:p>
        </w:tc>
        <w:tc>
          <w:tcPr>
            <w:tcW w:w="960" w:type="dxa"/>
            <w:tcBorders>
              <w:top w:val="nil"/>
              <w:left w:val="nil"/>
              <w:bottom w:val="nil"/>
              <w:right w:val="nil"/>
            </w:tcBorders>
            <w:shd w:val="clear" w:color="000000" w:fill="FFFFFF"/>
            <w:noWrap/>
            <w:vAlign w:val="center"/>
            <w:hideMark/>
          </w:tcPr>
          <w:p w14:paraId="375303B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1.41</w:t>
            </w:r>
          </w:p>
        </w:tc>
        <w:tc>
          <w:tcPr>
            <w:tcW w:w="960" w:type="dxa"/>
            <w:tcBorders>
              <w:top w:val="nil"/>
              <w:left w:val="nil"/>
              <w:bottom w:val="nil"/>
              <w:right w:val="nil"/>
            </w:tcBorders>
            <w:shd w:val="clear" w:color="000000" w:fill="FFFFFF"/>
            <w:noWrap/>
            <w:vAlign w:val="center"/>
            <w:hideMark/>
          </w:tcPr>
          <w:p w14:paraId="06C1F0D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0.07</w:t>
            </w:r>
          </w:p>
        </w:tc>
        <w:tc>
          <w:tcPr>
            <w:tcW w:w="960" w:type="dxa"/>
            <w:tcBorders>
              <w:top w:val="nil"/>
              <w:left w:val="nil"/>
              <w:bottom w:val="nil"/>
              <w:right w:val="nil"/>
            </w:tcBorders>
            <w:shd w:val="clear" w:color="000000" w:fill="FFFFFF"/>
            <w:noWrap/>
            <w:vAlign w:val="center"/>
            <w:hideMark/>
          </w:tcPr>
          <w:p w14:paraId="59409FB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3.65</w:t>
            </w:r>
          </w:p>
        </w:tc>
        <w:tc>
          <w:tcPr>
            <w:tcW w:w="960" w:type="dxa"/>
            <w:tcBorders>
              <w:top w:val="nil"/>
              <w:left w:val="nil"/>
              <w:bottom w:val="nil"/>
              <w:right w:val="nil"/>
            </w:tcBorders>
            <w:shd w:val="clear" w:color="000000" w:fill="FFFFFF"/>
            <w:noWrap/>
            <w:vAlign w:val="center"/>
            <w:hideMark/>
          </w:tcPr>
          <w:p w14:paraId="1F3C6A9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17.0</w:t>
            </w:r>
          </w:p>
        </w:tc>
        <w:tc>
          <w:tcPr>
            <w:tcW w:w="960" w:type="dxa"/>
            <w:tcBorders>
              <w:top w:val="nil"/>
              <w:left w:val="nil"/>
              <w:bottom w:val="nil"/>
              <w:right w:val="nil"/>
            </w:tcBorders>
            <w:shd w:val="clear" w:color="000000" w:fill="FFFFFF"/>
            <w:noWrap/>
            <w:vAlign w:val="center"/>
            <w:hideMark/>
          </w:tcPr>
          <w:p w14:paraId="6BD1789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10.5</w:t>
            </w:r>
          </w:p>
        </w:tc>
        <w:tc>
          <w:tcPr>
            <w:tcW w:w="1420" w:type="dxa"/>
            <w:tcBorders>
              <w:top w:val="nil"/>
              <w:left w:val="nil"/>
              <w:bottom w:val="nil"/>
              <w:right w:val="nil"/>
            </w:tcBorders>
            <w:shd w:val="clear" w:color="000000" w:fill="FFFFFF"/>
            <w:noWrap/>
            <w:vAlign w:val="center"/>
            <w:hideMark/>
          </w:tcPr>
          <w:p w14:paraId="5E0C4E5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3.78</w:t>
            </w:r>
          </w:p>
        </w:tc>
        <w:tc>
          <w:tcPr>
            <w:tcW w:w="960" w:type="dxa"/>
            <w:tcBorders>
              <w:top w:val="nil"/>
              <w:left w:val="nil"/>
              <w:bottom w:val="nil"/>
              <w:right w:val="nil"/>
            </w:tcBorders>
            <w:shd w:val="clear" w:color="000000" w:fill="FFFFFF"/>
            <w:noWrap/>
            <w:vAlign w:val="center"/>
            <w:hideMark/>
          </w:tcPr>
          <w:p w14:paraId="1926217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34.92</w:t>
            </w:r>
          </w:p>
        </w:tc>
      </w:tr>
      <w:tr w:rsidR="004C591B" w:rsidRPr="004C591B" w14:paraId="0F58CEA2" w14:textId="77777777" w:rsidTr="00C91B88">
        <w:trPr>
          <w:trHeight w:val="290"/>
        </w:trPr>
        <w:tc>
          <w:tcPr>
            <w:tcW w:w="1100" w:type="dxa"/>
            <w:tcBorders>
              <w:top w:val="nil"/>
              <w:left w:val="nil"/>
              <w:bottom w:val="nil"/>
              <w:right w:val="nil"/>
            </w:tcBorders>
            <w:shd w:val="clear" w:color="000000" w:fill="FFFFFF"/>
            <w:noWrap/>
            <w:vAlign w:val="center"/>
            <w:hideMark/>
          </w:tcPr>
          <w:p w14:paraId="0B4A745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1973</w:t>
            </w:r>
          </w:p>
        </w:tc>
        <w:tc>
          <w:tcPr>
            <w:tcW w:w="960" w:type="dxa"/>
            <w:tcBorders>
              <w:top w:val="nil"/>
              <w:left w:val="nil"/>
              <w:bottom w:val="nil"/>
              <w:right w:val="nil"/>
            </w:tcBorders>
            <w:shd w:val="clear" w:color="000000" w:fill="FFFFFF"/>
            <w:noWrap/>
            <w:vAlign w:val="center"/>
            <w:hideMark/>
          </w:tcPr>
          <w:p w14:paraId="425F29F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57D8DCB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3597397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3.65</w:t>
            </w:r>
          </w:p>
        </w:tc>
        <w:tc>
          <w:tcPr>
            <w:tcW w:w="960" w:type="dxa"/>
            <w:tcBorders>
              <w:top w:val="nil"/>
              <w:left w:val="nil"/>
              <w:bottom w:val="nil"/>
              <w:right w:val="nil"/>
            </w:tcBorders>
            <w:shd w:val="clear" w:color="000000" w:fill="FFFFFF"/>
            <w:noWrap/>
            <w:vAlign w:val="center"/>
            <w:hideMark/>
          </w:tcPr>
          <w:p w14:paraId="058512F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17.6</w:t>
            </w:r>
          </w:p>
        </w:tc>
        <w:tc>
          <w:tcPr>
            <w:tcW w:w="960" w:type="dxa"/>
            <w:tcBorders>
              <w:top w:val="nil"/>
              <w:left w:val="nil"/>
              <w:bottom w:val="nil"/>
              <w:right w:val="nil"/>
            </w:tcBorders>
            <w:shd w:val="clear" w:color="000000" w:fill="FFFFFF"/>
            <w:noWrap/>
            <w:vAlign w:val="center"/>
            <w:hideMark/>
          </w:tcPr>
          <w:p w14:paraId="5D34EA5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11.9</w:t>
            </w:r>
          </w:p>
        </w:tc>
        <w:tc>
          <w:tcPr>
            <w:tcW w:w="1420" w:type="dxa"/>
            <w:tcBorders>
              <w:top w:val="nil"/>
              <w:left w:val="nil"/>
              <w:bottom w:val="nil"/>
              <w:right w:val="nil"/>
            </w:tcBorders>
            <w:shd w:val="clear" w:color="000000" w:fill="FFFFFF"/>
            <w:noWrap/>
            <w:vAlign w:val="center"/>
            <w:hideMark/>
          </w:tcPr>
          <w:p w14:paraId="520FD5D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3.45</w:t>
            </w:r>
          </w:p>
        </w:tc>
        <w:tc>
          <w:tcPr>
            <w:tcW w:w="960" w:type="dxa"/>
            <w:tcBorders>
              <w:top w:val="nil"/>
              <w:left w:val="nil"/>
              <w:bottom w:val="nil"/>
              <w:right w:val="nil"/>
            </w:tcBorders>
            <w:shd w:val="clear" w:color="000000" w:fill="FFFFFF"/>
            <w:noWrap/>
            <w:vAlign w:val="center"/>
            <w:hideMark/>
          </w:tcPr>
          <w:p w14:paraId="448A793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34.93</w:t>
            </w:r>
          </w:p>
        </w:tc>
      </w:tr>
      <w:tr w:rsidR="004C591B" w:rsidRPr="004C591B" w14:paraId="3CBF0BDD" w14:textId="77777777" w:rsidTr="00C91B88">
        <w:trPr>
          <w:trHeight w:val="290"/>
        </w:trPr>
        <w:tc>
          <w:tcPr>
            <w:tcW w:w="1100" w:type="dxa"/>
            <w:tcBorders>
              <w:top w:val="nil"/>
              <w:left w:val="nil"/>
              <w:bottom w:val="nil"/>
              <w:right w:val="nil"/>
            </w:tcBorders>
            <w:shd w:val="clear" w:color="000000" w:fill="FFFFFF"/>
            <w:noWrap/>
            <w:vAlign w:val="center"/>
            <w:hideMark/>
          </w:tcPr>
          <w:p w14:paraId="5CFBD14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2953</w:t>
            </w:r>
          </w:p>
        </w:tc>
        <w:tc>
          <w:tcPr>
            <w:tcW w:w="960" w:type="dxa"/>
            <w:tcBorders>
              <w:top w:val="nil"/>
              <w:left w:val="nil"/>
              <w:bottom w:val="nil"/>
              <w:right w:val="nil"/>
            </w:tcBorders>
            <w:shd w:val="clear" w:color="000000" w:fill="FFFFFF"/>
            <w:noWrap/>
            <w:vAlign w:val="center"/>
            <w:hideMark/>
          </w:tcPr>
          <w:p w14:paraId="4399568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1.47</w:t>
            </w:r>
          </w:p>
        </w:tc>
        <w:tc>
          <w:tcPr>
            <w:tcW w:w="960" w:type="dxa"/>
            <w:tcBorders>
              <w:top w:val="nil"/>
              <w:left w:val="nil"/>
              <w:bottom w:val="nil"/>
              <w:right w:val="nil"/>
            </w:tcBorders>
            <w:shd w:val="clear" w:color="000000" w:fill="FFFFFF"/>
            <w:noWrap/>
            <w:vAlign w:val="center"/>
            <w:hideMark/>
          </w:tcPr>
          <w:p w14:paraId="6C98836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31F5FFE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4.00</w:t>
            </w:r>
          </w:p>
        </w:tc>
        <w:tc>
          <w:tcPr>
            <w:tcW w:w="960" w:type="dxa"/>
            <w:tcBorders>
              <w:top w:val="nil"/>
              <w:left w:val="nil"/>
              <w:bottom w:val="nil"/>
              <w:right w:val="nil"/>
            </w:tcBorders>
            <w:shd w:val="clear" w:color="000000" w:fill="FFFFFF"/>
            <w:noWrap/>
            <w:vAlign w:val="center"/>
            <w:hideMark/>
          </w:tcPr>
          <w:p w14:paraId="45661F2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18.2</w:t>
            </w:r>
          </w:p>
        </w:tc>
        <w:tc>
          <w:tcPr>
            <w:tcW w:w="960" w:type="dxa"/>
            <w:tcBorders>
              <w:top w:val="nil"/>
              <w:left w:val="nil"/>
              <w:bottom w:val="nil"/>
              <w:right w:val="nil"/>
            </w:tcBorders>
            <w:shd w:val="clear" w:color="000000" w:fill="FFFFFF"/>
            <w:noWrap/>
            <w:vAlign w:val="center"/>
            <w:hideMark/>
          </w:tcPr>
          <w:p w14:paraId="79C5C86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22.3</w:t>
            </w:r>
          </w:p>
        </w:tc>
        <w:tc>
          <w:tcPr>
            <w:tcW w:w="1420" w:type="dxa"/>
            <w:tcBorders>
              <w:top w:val="nil"/>
              <w:left w:val="nil"/>
              <w:bottom w:val="nil"/>
              <w:right w:val="nil"/>
            </w:tcBorders>
            <w:shd w:val="clear" w:color="000000" w:fill="FFFFFF"/>
            <w:noWrap/>
            <w:vAlign w:val="center"/>
            <w:hideMark/>
          </w:tcPr>
          <w:p w14:paraId="33A6CC5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2.90</w:t>
            </w:r>
          </w:p>
        </w:tc>
        <w:tc>
          <w:tcPr>
            <w:tcW w:w="960" w:type="dxa"/>
            <w:tcBorders>
              <w:top w:val="nil"/>
              <w:left w:val="nil"/>
              <w:bottom w:val="nil"/>
              <w:right w:val="nil"/>
            </w:tcBorders>
            <w:shd w:val="clear" w:color="000000" w:fill="FFFFFF"/>
            <w:noWrap/>
            <w:vAlign w:val="center"/>
            <w:hideMark/>
          </w:tcPr>
          <w:p w14:paraId="20FA489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34.97</w:t>
            </w:r>
          </w:p>
        </w:tc>
      </w:tr>
      <w:tr w:rsidR="004C591B" w:rsidRPr="004C591B" w14:paraId="4E199C97" w14:textId="77777777" w:rsidTr="00C91B88">
        <w:trPr>
          <w:trHeight w:val="290"/>
        </w:trPr>
        <w:tc>
          <w:tcPr>
            <w:tcW w:w="1100" w:type="dxa"/>
            <w:tcBorders>
              <w:top w:val="nil"/>
              <w:left w:val="nil"/>
              <w:bottom w:val="nil"/>
              <w:right w:val="nil"/>
            </w:tcBorders>
            <w:shd w:val="clear" w:color="000000" w:fill="FFFFFF"/>
            <w:noWrap/>
            <w:vAlign w:val="center"/>
            <w:hideMark/>
          </w:tcPr>
          <w:p w14:paraId="0836FCA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3177</w:t>
            </w:r>
          </w:p>
        </w:tc>
        <w:tc>
          <w:tcPr>
            <w:tcW w:w="960" w:type="dxa"/>
            <w:tcBorders>
              <w:top w:val="nil"/>
              <w:left w:val="nil"/>
              <w:bottom w:val="nil"/>
              <w:right w:val="nil"/>
            </w:tcBorders>
            <w:shd w:val="clear" w:color="000000" w:fill="FFFFFF"/>
            <w:noWrap/>
            <w:vAlign w:val="center"/>
            <w:hideMark/>
          </w:tcPr>
          <w:p w14:paraId="40880EB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1.40</w:t>
            </w:r>
          </w:p>
        </w:tc>
        <w:tc>
          <w:tcPr>
            <w:tcW w:w="960" w:type="dxa"/>
            <w:tcBorders>
              <w:top w:val="nil"/>
              <w:left w:val="nil"/>
              <w:bottom w:val="nil"/>
              <w:right w:val="nil"/>
            </w:tcBorders>
            <w:shd w:val="clear" w:color="000000" w:fill="FFFFFF"/>
            <w:noWrap/>
            <w:vAlign w:val="center"/>
            <w:hideMark/>
          </w:tcPr>
          <w:p w14:paraId="3EA9D0E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13C03E3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3.79</w:t>
            </w:r>
          </w:p>
        </w:tc>
        <w:tc>
          <w:tcPr>
            <w:tcW w:w="960" w:type="dxa"/>
            <w:tcBorders>
              <w:top w:val="nil"/>
              <w:left w:val="nil"/>
              <w:bottom w:val="nil"/>
              <w:right w:val="nil"/>
            </w:tcBorders>
            <w:shd w:val="clear" w:color="000000" w:fill="FFFFFF"/>
            <w:noWrap/>
            <w:vAlign w:val="center"/>
            <w:hideMark/>
          </w:tcPr>
          <w:p w14:paraId="5120312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5B0994B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199AB5C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2.85</w:t>
            </w:r>
          </w:p>
        </w:tc>
        <w:tc>
          <w:tcPr>
            <w:tcW w:w="960" w:type="dxa"/>
            <w:tcBorders>
              <w:top w:val="nil"/>
              <w:left w:val="nil"/>
              <w:bottom w:val="nil"/>
              <w:right w:val="nil"/>
            </w:tcBorders>
            <w:shd w:val="clear" w:color="000000" w:fill="FFFFFF"/>
            <w:noWrap/>
            <w:vAlign w:val="center"/>
            <w:hideMark/>
          </w:tcPr>
          <w:p w14:paraId="5F3D4F5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34.99</w:t>
            </w:r>
          </w:p>
        </w:tc>
      </w:tr>
      <w:tr w:rsidR="004C591B" w:rsidRPr="004C591B" w14:paraId="2CBDF953" w14:textId="77777777" w:rsidTr="00C91B88">
        <w:trPr>
          <w:trHeight w:val="290"/>
        </w:trPr>
        <w:tc>
          <w:tcPr>
            <w:tcW w:w="1100" w:type="dxa"/>
            <w:tcBorders>
              <w:top w:val="nil"/>
              <w:left w:val="nil"/>
              <w:bottom w:val="nil"/>
              <w:right w:val="nil"/>
            </w:tcBorders>
            <w:shd w:val="clear" w:color="000000" w:fill="FFFFFF"/>
            <w:noWrap/>
            <w:vAlign w:val="center"/>
            <w:hideMark/>
          </w:tcPr>
          <w:p w14:paraId="47991A7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3218</w:t>
            </w:r>
          </w:p>
        </w:tc>
        <w:tc>
          <w:tcPr>
            <w:tcW w:w="960" w:type="dxa"/>
            <w:tcBorders>
              <w:top w:val="nil"/>
              <w:left w:val="nil"/>
              <w:bottom w:val="nil"/>
              <w:right w:val="nil"/>
            </w:tcBorders>
            <w:shd w:val="clear" w:color="000000" w:fill="FFFFFF"/>
            <w:noWrap/>
            <w:vAlign w:val="center"/>
            <w:hideMark/>
          </w:tcPr>
          <w:p w14:paraId="5799C16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409DEC7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0584FC0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3.85</w:t>
            </w:r>
          </w:p>
        </w:tc>
        <w:tc>
          <w:tcPr>
            <w:tcW w:w="960" w:type="dxa"/>
            <w:tcBorders>
              <w:top w:val="nil"/>
              <w:left w:val="nil"/>
              <w:bottom w:val="nil"/>
              <w:right w:val="nil"/>
            </w:tcBorders>
            <w:shd w:val="clear" w:color="000000" w:fill="FFFFFF"/>
            <w:noWrap/>
            <w:vAlign w:val="center"/>
            <w:hideMark/>
          </w:tcPr>
          <w:p w14:paraId="59C562D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18.5</w:t>
            </w:r>
          </w:p>
        </w:tc>
        <w:tc>
          <w:tcPr>
            <w:tcW w:w="960" w:type="dxa"/>
            <w:tcBorders>
              <w:top w:val="nil"/>
              <w:left w:val="nil"/>
              <w:bottom w:val="nil"/>
              <w:right w:val="nil"/>
            </w:tcBorders>
            <w:shd w:val="clear" w:color="000000" w:fill="FFFFFF"/>
            <w:noWrap/>
            <w:vAlign w:val="center"/>
            <w:hideMark/>
          </w:tcPr>
          <w:p w14:paraId="046EE60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25.1</w:t>
            </w:r>
          </w:p>
        </w:tc>
        <w:tc>
          <w:tcPr>
            <w:tcW w:w="1420" w:type="dxa"/>
            <w:tcBorders>
              <w:top w:val="nil"/>
              <w:left w:val="nil"/>
              <w:bottom w:val="nil"/>
              <w:right w:val="nil"/>
            </w:tcBorders>
            <w:shd w:val="clear" w:color="000000" w:fill="FFFFFF"/>
            <w:noWrap/>
            <w:vAlign w:val="center"/>
            <w:hideMark/>
          </w:tcPr>
          <w:p w14:paraId="2D7C167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2.86</w:t>
            </w:r>
          </w:p>
        </w:tc>
        <w:tc>
          <w:tcPr>
            <w:tcW w:w="960" w:type="dxa"/>
            <w:tcBorders>
              <w:top w:val="nil"/>
              <w:left w:val="nil"/>
              <w:bottom w:val="nil"/>
              <w:right w:val="nil"/>
            </w:tcBorders>
            <w:shd w:val="clear" w:color="000000" w:fill="FFFFFF"/>
            <w:noWrap/>
            <w:vAlign w:val="center"/>
            <w:hideMark/>
          </w:tcPr>
          <w:p w14:paraId="0C762D8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34.99</w:t>
            </w:r>
          </w:p>
        </w:tc>
      </w:tr>
      <w:tr w:rsidR="004C591B" w:rsidRPr="004C591B" w14:paraId="20E69CC5" w14:textId="77777777" w:rsidTr="00C91B88">
        <w:trPr>
          <w:trHeight w:val="290"/>
        </w:trPr>
        <w:tc>
          <w:tcPr>
            <w:tcW w:w="1100" w:type="dxa"/>
            <w:tcBorders>
              <w:top w:val="nil"/>
              <w:left w:val="nil"/>
              <w:bottom w:val="nil"/>
              <w:right w:val="nil"/>
            </w:tcBorders>
            <w:shd w:val="clear" w:color="000000" w:fill="FFFFFF"/>
            <w:noWrap/>
            <w:vAlign w:val="center"/>
            <w:hideMark/>
          </w:tcPr>
          <w:p w14:paraId="0F12B81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5C2D73D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56C1FA5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6AAE93E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466D081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5FDD42C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465700D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12C8155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r>
      <w:tr w:rsidR="004C591B" w:rsidRPr="004C591B" w14:paraId="0C380CD6" w14:textId="77777777" w:rsidTr="00C91B88">
        <w:trPr>
          <w:trHeight w:val="290"/>
        </w:trPr>
        <w:tc>
          <w:tcPr>
            <w:tcW w:w="5900" w:type="dxa"/>
            <w:gridSpan w:val="6"/>
            <w:tcBorders>
              <w:top w:val="nil"/>
              <w:left w:val="nil"/>
              <w:bottom w:val="nil"/>
              <w:right w:val="nil"/>
            </w:tcBorders>
            <w:shd w:val="clear" w:color="000000" w:fill="FFFFFF"/>
            <w:noWrap/>
            <w:vAlign w:val="center"/>
            <w:hideMark/>
          </w:tcPr>
          <w:p w14:paraId="4A18EAF6" w14:textId="77777777" w:rsidR="00C91B88" w:rsidRPr="004C591B" w:rsidRDefault="00C91B88" w:rsidP="00C91B88">
            <w:pPr>
              <w:rPr>
                <w:rFonts w:ascii="Arial" w:hAnsi="Arial" w:cs="Arial"/>
                <w:b/>
                <w:bCs/>
                <w:i/>
                <w:iCs/>
                <w:sz w:val="22"/>
                <w:szCs w:val="22"/>
                <w:lang w:val="en-GB" w:eastAsia="fr-FR"/>
              </w:rPr>
            </w:pPr>
            <w:r w:rsidRPr="004C591B">
              <w:rPr>
                <w:rFonts w:ascii="Arial" w:hAnsi="Arial" w:cs="Arial"/>
                <w:b/>
                <w:bCs/>
                <w:i/>
                <w:iCs/>
                <w:sz w:val="22"/>
                <w:szCs w:val="22"/>
                <w:lang w:val="en-GB" w:eastAsia="fr-FR"/>
              </w:rPr>
              <w:t>Station 38: 58.8°N, -31.3°E, Bottom depth 1341m</w:t>
            </w:r>
          </w:p>
        </w:tc>
        <w:tc>
          <w:tcPr>
            <w:tcW w:w="1420" w:type="dxa"/>
            <w:tcBorders>
              <w:top w:val="nil"/>
              <w:left w:val="nil"/>
              <w:bottom w:val="nil"/>
              <w:right w:val="nil"/>
            </w:tcBorders>
            <w:shd w:val="clear" w:color="000000" w:fill="FFFFFF"/>
            <w:noWrap/>
            <w:vAlign w:val="center"/>
            <w:hideMark/>
          </w:tcPr>
          <w:p w14:paraId="38FABE74"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c>
          <w:tcPr>
            <w:tcW w:w="960" w:type="dxa"/>
            <w:tcBorders>
              <w:top w:val="nil"/>
              <w:left w:val="nil"/>
              <w:bottom w:val="nil"/>
              <w:right w:val="nil"/>
            </w:tcBorders>
            <w:shd w:val="clear" w:color="000000" w:fill="FFFFFF"/>
            <w:noWrap/>
            <w:vAlign w:val="center"/>
            <w:hideMark/>
          </w:tcPr>
          <w:p w14:paraId="06692EE0"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r>
      <w:tr w:rsidR="004C591B" w:rsidRPr="004C591B" w14:paraId="7552F337" w14:textId="77777777" w:rsidTr="00C91B88">
        <w:trPr>
          <w:trHeight w:val="290"/>
        </w:trPr>
        <w:tc>
          <w:tcPr>
            <w:tcW w:w="1100" w:type="dxa"/>
            <w:tcBorders>
              <w:top w:val="nil"/>
              <w:left w:val="nil"/>
              <w:bottom w:val="nil"/>
              <w:right w:val="nil"/>
            </w:tcBorders>
            <w:shd w:val="clear" w:color="000000" w:fill="FFFFFF"/>
            <w:noWrap/>
            <w:vAlign w:val="center"/>
            <w:hideMark/>
          </w:tcPr>
          <w:p w14:paraId="5D512FD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w:t>
            </w:r>
          </w:p>
        </w:tc>
        <w:tc>
          <w:tcPr>
            <w:tcW w:w="960" w:type="dxa"/>
            <w:tcBorders>
              <w:top w:val="nil"/>
              <w:left w:val="nil"/>
              <w:bottom w:val="nil"/>
              <w:right w:val="nil"/>
            </w:tcBorders>
            <w:shd w:val="clear" w:color="000000" w:fill="FFFFFF"/>
            <w:noWrap/>
            <w:vAlign w:val="center"/>
            <w:hideMark/>
          </w:tcPr>
          <w:p w14:paraId="0EA4B9C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1.40</w:t>
            </w:r>
          </w:p>
        </w:tc>
        <w:tc>
          <w:tcPr>
            <w:tcW w:w="960" w:type="dxa"/>
            <w:tcBorders>
              <w:top w:val="nil"/>
              <w:left w:val="nil"/>
              <w:bottom w:val="nil"/>
              <w:right w:val="nil"/>
            </w:tcBorders>
            <w:shd w:val="clear" w:color="000000" w:fill="FFFFFF"/>
            <w:noWrap/>
            <w:vAlign w:val="center"/>
            <w:hideMark/>
          </w:tcPr>
          <w:p w14:paraId="6078A28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0EFFB93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3.29</w:t>
            </w:r>
          </w:p>
        </w:tc>
        <w:tc>
          <w:tcPr>
            <w:tcW w:w="960" w:type="dxa"/>
            <w:tcBorders>
              <w:top w:val="nil"/>
              <w:left w:val="nil"/>
              <w:bottom w:val="nil"/>
              <w:right w:val="nil"/>
            </w:tcBorders>
            <w:shd w:val="clear" w:color="000000" w:fill="FFFFFF"/>
            <w:noWrap/>
            <w:vAlign w:val="center"/>
            <w:hideMark/>
          </w:tcPr>
          <w:p w14:paraId="0372026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7.1</w:t>
            </w:r>
          </w:p>
        </w:tc>
        <w:tc>
          <w:tcPr>
            <w:tcW w:w="960" w:type="dxa"/>
            <w:tcBorders>
              <w:top w:val="nil"/>
              <w:left w:val="nil"/>
              <w:bottom w:val="nil"/>
              <w:right w:val="nil"/>
            </w:tcBorders>
            <w:shd w:val="clear" w:color="000000" w:fill="FFFFFF"/>
            <w:noWrap/>
            <w:vAlign w:val="center"/>
            <w:hideMark/>
          </w:tcPr>
          <w:p w14:paraId="47D1CC9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0.5</w:t>
            </w:r>
          </w:p>
        </w:tc>
        <w:tc>
          <w:tcPr>
            <w:tcW w:w="1420" w:type="dxa"/>
            <w:tcBorders>
              <w:top w:val="nil"/>
              <w:left w:val="nil"/>
              <w:bottom w:val="nil"/>
              <w:right w:val="nil"/>
            </w:tcBorders>
            <w:shd w:val="clear" w:color="000000" w:fill="FFFFFF"/>
            <w:noWrap/>
            <w:vAlign w:val="center"/>
            <w:hideMark/>
          </w:tcPr>
          <w:p w14:paraId="56A324D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9.24</w:t>
            </w:r>
          </w:p>
        </w:tc>
        <w:tc>
          <w:tcPr>
            <w:tcW w:w="960" w:type="dxa"/>
            <w:tcBorders>
              <w:top w:val="nil"/>
              <w:left w:val="nil"/>
              <w:bottom w:val="nil"/>
              <w:right w:val="nil"/>
            </w:tcBorders>
            <w:shd w:val="clear" w:color="000000" w:fill="FFFFFF"/>
            <w:noWrap/>
            <w:vAlign w:val="center"/>
            <w:hideMark/>
          </w:tcPr>
          <w:p w14:paraId="4BC8E70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35.06</w:t>
            </w:r>
          </w:p>
        </w:tc>
      </w:tr>
      <w:tr w:rsidR="004C591B" w:rsidRPr="004C591B" w14:paraId="116C30DD" w14:textId="77777777" w:rsidTr="00C91B88">
        <w:trPr>
          <w:trHeight w:val="290"/>
        </w:trPr>
        <w:tc>
          <w:tcPr>
            <w:tcW w:w="1100" w:type="dxa"/>
            <w:tcBorders>
              <w:top w:val="nil"/>
              <w:left w:val="nil"/>
              <w:bottom w:val="nil"/>
              <w:right w:val="nil"/>
            </w:tcBorders>
            <w:shd w:val="clear" w:color="000000" w:fill="FFFFFF"/>
            <w:noWrap/>
            <w:vAlign w:val="center"/>
            <w:hideMark/>
          </w:tcPr>
          <w:p w14:paraId="0A498DB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50</w:t>
            </w:r>
          </w:p>
        </w:tc>
        <w:tc>
          <w:tcPr>
            <w:tcW w:w="960" w:type="dxa"/>
            <w:tcBorders>
              <w:top w:val="nil"/>
              <w:left w:val="nil"/>
              <w:bottom w:val="nil"/>
              <w:right w:val="nil"/>
            </w:tcBorders>
            <w:shd w:val="clear" w:color="000000" w:fill="FFFFFF"/>
            <w:noWrap/>
            <w:vAlign w:val="center"/>
            <w:hideMark/>
          </w:tcPr>
          <w:p w14:paraId="42CEDF1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1.36</w:t>
            </w:r>
          </w:p>
        </w:tc>
        <w:tc>
          <w:tcPr>
            <w:tcW w:w="960" w:type="dxa"/>
            <w:tcBorders>
              <w:top w:val="nil"/>
              <w:left w:val="nil"/>
              <w:bottom w:val="nil"/>
              <w:right w:val="nil"/>
            </w:tcBorders>
            <w:shd w:val="clear" w:color="000000" w:fill="FFFFFF"/>
            <w:noWrap/>
            <w:vAlign w:val="center"/>
            <w:hideMark/>
          </w:tcPr>
          <w:p w14:paraId="1550D92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59A8AE8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3.33</w:t>
            </w:r>
          </w:p>
        </w:tc>
        <w:tc>
          <w:tcPr>
            <w:tcW w:w="960" w:type="dxa"/>
            <w:tcBorders>
              <w:top w:val="nil"/>
              <w:left w:val="nil"/>
              <w:bottom w:val="nil"/>
              <w:right w:val="nil"/>
            </w:tcBorders>
            <w:shd w:val="clear" w:color="000000" w:fill="FFFFFF"/>
            <w:noWrap/>
            <w:vAlign w:val="center"/>
            <w:hideMark/>
          </w:tcPr>
          <w:p w14:paraId="373C2B5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8.8</w:t>
            </w:r>
          </w:p>
        </w:tc>
        <w:tc>
          <w:tcPr>
            <w:tcW w:w="960" w:type="dxa"/>
            <w:tcBorders>
              <w:top w:val="nil"/>
              <w:left w:val="nil"/>
              <w:bottom w:val="nil"/>
              <w:right w:val="nil"/>
            </w:tcBorders>
            <w:shd w:val="clear" w:color="000000" w:fill="FFFFFF"/>
            <w:noWrap/>
            <w:vAlign w:val="center"/>
            <w:hideMark/>
          </w:tcPr>
          <w:p w14:paraId="1A57683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w:t>
            </w:r>
          </w:p>
        </w:tc>
        <w:tc>
          <w:tcPr>
            <w:tcW w:w="1420" w:type="dxa"/>
            <w:tcBorders>
              <w:top w:val="nil"/>
              <w:left w:val="nil"/>
              <w:bottom w:val="nil"/>
              <w:right w:val="nil"/>
            </w:tcBorders>
            <w:shd w:val="clear" w:color="000000" w:fill="FFFFFF"/>
            <w:noWrap/>
            <w:vAlign w:val="center"/>
            <w:hideMark/>
          </w:tcPr>
          <w:p w14:paraId="26460E5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7.94</w:t>
            </w:r>
          </w:p>
        </w:tc>
        <w:tc>
          <w:tcPr>
            <w:tcW w:w="960" w:type="dxa"/>
            <w:tcBorders>
              <w:top w:val="nil"/>
              <w:left w:val="nil"/>
              <w:bottom w:val="nil"/>
              <w:right w:val="nil"/>
            </w:tcBorders>
            <w:shd w:val="clear" w:color="000000" w:fill="FFFFFF"/>
            <w:noWrap/>
            <w:vAlign w:val="center"/>
            <w:hideMark/>
          </w:tcPr>
          <w:p w14:paraId="68A15CA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35.07</w:t>
            </w:r>
          </w:p>
        </w:tc>
      </w:tr>
      <w:tr w:rsidR="004C591B" w:rsidRPr="004C591B" w14:paraId="6AB124B9" w14:textId="77777777" w:rsidTr="00C91B88">
        <w:trPr>
          <w:trHeight w:val="290"/>
        </w:trPr>
        <w:tc>
          <w:tcPr>
            <w:tcW w:w="1100" w:type="dxa"/>
            <w:tcBorders>
              <w:top w:val="nil"/>
              <w:left w:val="nil"/>
              <w:bottom w:val="nil"/>
              <w:right w:val="nil"/>
            </w:tcBorders>
            <w:shd w:val="clear" w:color="000000" w:fill="FFFFFF"/>
            <w:noWrap/>
            <w:vAlign w:val="center"/>
            <w:hideMark/>
          </w:tcPr>
          <w:p w14:paraId="7E9B389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98</w:t>
            </w:r>
          </w:p>
        </w:tc>
        <w:tc>
          <w:tcPr>
            <w:tcW w:w="960" w:type="dxa"/>
            <w:tcBorders>
              <w:top w:val="nil"/>
              <w:left w:val="nil"/>
              <w:bottom w:val="nil"/>
              <w:right w:val="nil"/>
            </w:tcBorders>
            <w:shd w:val="clear" w:color="000000" w:fill="FFFFFF"/>
            <w:noWrap/>
            <w:vAlign w:val="center"/>
            <w:hideMark/>
          </w:tcPr>
          <w:p w14:paraId="23D7F74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1.40</w:t>
            </w:r>
          </w:p>
        </w:tc>
        <w:tc>
          <w:tcPr>
            <w:tcW w:w="960" w:type="dxa"/>
            <w:tcBorders>
              <w:top w:val="nil"/>
              <w:left w:val="nil"/>
              <w:bottom w:val="nil"/>
              <w:right w:val="nil"/>
            </w:tcBorders>
            <w:shd w:val="clear" w:color="000000" w:fill="FFFFFF"/>
            <w:noWrap/>
            <w:vAlign w:val="center"/>
            <w:hideMark/>
          </w:tcPr>
          <w:p w14:paraId="2F36AF5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5FF0A3A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3.35</w:t>
            </w:r>
          </w:p>
        </w:tc>
        <w:tc>
          <w:tcPr>
            <w:tcW w:w="960" w:type="dxa"/>
            <w:tcBorders>
              <w:top w:val="nil"/>
              <w:left w:val="nil"/>
              <w:bottom w:val="nil"/>
              <w:right w:val="nil"/>
            </w:tcBorders>
            <w:shd w:val="clear" w:color="000000" w:fill="FFFFFF"/>
            <w:noWrap/>
            <w:vAlign w:val="center"/>
            <w:hideMark/>
          </w:tcPr>
          <w:p w14:paraId="2DC3D0E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14.3</w:t>
            </w:r>
          </w:p>
        </w:tc>
        <w:tc>
          <w:tcPr>
            <w:tcW w:w="960" w:type="dxa"/>
            <w:tcBorders>
              <w:top w:val="nil"/>
              <w:left w:val="nil"/>
              <w:bottom w:val="nil"/>
              <w:right w:val="nil"/>
            </w:tcBorders>
            <w:shd w:val="clear" w:color="000000" w:fill="FFFFFF"/>
            <w:noWrap/>
            <w:vAlign w:val="center"/>
            <w:hideMark/>
          </w:tcPr>
          <w:p w14:paraId="4C3127F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5.9</w:t>
            </w:r>
          </w:p>
        </w:tc>
        <w:tc>
          <w:tcPr>
            <w:tcW w:w="1420" w:type="dxa"/>
            <w:tcBorders>
              <w:top w:val="nil"/>
              <w:left w:val="nil"/>
              <w:bottom w:val="nil"/>
              <w:right w:val="nil"/>
            </w:tcBorders>
            <w:shd w:val="clear" w:color="000000" w:fill="FFFFFF"/>
            <w:noWrap/>
            <w:vAlign w:val="center"/>
            <w:hideMark/>
          </w:tcPr>
          <w:p w14:paraId="14D6517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7.51</w:t>
            </w:r>
          </w:p>
        </w:tc>
        <w:tc>
          <w:tcPr>
            <w:tcW w:w="960" w:type="dxa"/>
            <w:tcBorders>
              <w:top w:val="nil"/>
              <w:left w:val="nil"/>
              <w:bottom w:val="nil"/>
              <w:right w:val="nil"/>
            </w:tcBorders>
            <w:shd w:val="clear" w:color="000000" w:fill="FFFFFF"/>
            <w:noWrap/>
            <w:vAlign w:val="center"/>
            <w:hideMark/>
          </w:tcPr>
          <w:p w14:paraId="7CFF56C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35.10</w:t>
            </w:r>
          </w:p>
        </w:tc>
      </w:tr>
      <w:tr w:rsidR="004C591B" w:rsidRPr="004C591B" w14:paraId="7A1B1432" w14:textId="77777777" w:rsidTr="00C91B88">
        <w:trPr>
          <w:trHeight w:val="290"/>
        </w:trPr>
        <w:tc>
          <w:tcPr>
            <w:tcW w:w="1100" w:type="dxa"/>
            <w:tcBorders>
              <w:top w:val="nil"/>
              <w:left w:val="nil"/>
              <w:bottom w:val="nil"/>
              <w:right w:val="nil"/>
            </w:tcBorders>
            <w:shd w:val="clear" w:color="000000" w:fill="FFFFFF"/>
            <w:noWrap/>
            <w:vAlign w:val="center"/>
            <w:hideMark/>
          </w:tcPr>
          <w:p w14:paraId="28DAC6F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197</w:t>
            </w:r>
          </w:p>
        </w:tc>
        <w:tc>
          <w:tcPr>
            <w:tcW w:w="960" w:type="dxa"/>
            <w:tcBorders>
              <w:top w:val="nil"/>
              <w:left w:val="nil"/>
              <w:bottom w:val="nil"/>
              <w:right w:val="nil"/>
            </w:tcBorders>
            <w:shd w:val="clear" w:color="000000" w:fill="FFFFFF"/>
            <w:noWrap/>
            <w:vAlign w:val="center"/>
            <w:hideMark/>
          </w:tcPr>
          <w:p w14:paraId="6C0FD1F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35F5C6B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30D5554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3.41</w:t>
            </w:r>
          </w:p>
        </w:tc>
        <w:tc>
          <w:tcPr>
            <w:tcW w:w="960" w:type="dxa"/>
            <w:tcBorders>
              <w:top w:val="nil"/>
              <w:left w:val="nil"/>
              <w:bottom w:val="nil"/>
              <w:right w:val="nil"/>
            </w:tcBorders>
            <w:shd w:val="clear" w:color="000000" w:fill="FFFFFF"/>
            <w:noWrap/>
            <w:vAlign w:val="center"/>
            <w:hideMark/>
          </w:tcPr>
          <w:p w14:paraId="0335C69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14.6</w:t>
            </w:r>
          </w:p>
        </w:tc>
        <w:tc>
          <w:tcPr>
            <w:tcW w:w="960" w:type="dxa"/>
            <w:tcBorders>
              <w:top w:val="nil"/>
              <w:left w:val="nil"/>
              <w:bottom w:val="nil"/>
              <w:right w:val="nil"/>
            </w:tcBorders>
            <w:shd w:val="clear" w:color="000000" w:fill="FFFFFF"/>
            <w:noWrap/>
            <w:vAlign w:val="center"/>
            <w:hideMark/>
          </w:tcPr>
          <w:p w14:paraId="410F2B2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6.4</w:t>
            </w:r>
          </w:p>
        </w:tc>
        <w:tc>
          <w:tcPr>
            <w:tcW w:w="1420" w:type="dxa"/>
            <w:tcBorders>
              <w:top w:val="nil"/>
              <w:left w:val="nil"/>
              <w:bottom w:val="nil"/>
              <w:right w:val="nil"/>
            </w:tcBorders>
            <w:shd w:val="clear" w:color="000000" w:fill="FFFFFF"/>
            <w:noWrap/>
            <w:vAlign w:val="center"/>
            <w:hideMark/>
          </w:tcPr>
          <w:p w14:paraId="7DF72A6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7.34</w:t>
            </w:r>
          </w:p>
        </w:tc>
        <w:tc>
          <w:tcPr>
            <w:tcW w:w="960" w:type="dxa"/>
            <w:tcBorders>
              <w:top w:val="nil"/>
              <w:left w:val="nil"/>
              <w:bottom w:val="nil"/>
              <w:right w:val="nil"/>
            </w:tcBorders>
            <w:shd w:val="clear" w:color="000000" w:fill="FFFFFF"/>
            <w:noWrap/>
            <w:vAlign w:val="center"/>
            <w:hideMark/>
          </w:tcPr>
          <w:p w14:paraId="0E23450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35.11</w:t>
            </w:r>
          </w:p>
        </w:tc>
      </w:tr>
      <w:tr w:rsidR="004C591B" w:rsidRPr="004C591B" w14:paraId="2D232A9B" w14:textId="77777777" w:rsidTr="00C91B88">
        <w:trPr>
          <w:trHeight w:val="290"/>
        </w:trPr>
        <w:tc>
          <w:tcPr>
            <w:tcW w:w="1100" w:type="dxa"/>
            <w:tcBorders>
              <w:top w:val="nil"/>
              <w:left w:val="nil"/>
              <w:bottom w:val="nil"/>
              <w:right w:val="nil"/>
            </w:tcBorders>
            <w:shd w:val="clear" w:color="000000" w:fill="FFFFFF"/>
            <w:noWrap/>
            <w:vAlign w:val="center"/>
            <w:hideMark/>
          </w:tcPr>
          <w:p w14:paraId="7BE2C46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297</w:t>
            </w:r>
          </w:p>
        </w:tc>
        <w:tc>
          <w:tcPr>
            <w:tcW w:w="960" w:type="dxa"/>
            <w:tcBorders>
              <w:top w:val="nil"/>
              <w:left w:val="nil"/>
              <w:bottom w:val="nil"/>
              <w:right w:val="nil"/>
            </w:tcBorders>
            <w:shd w:val="clear" w:color="000000" w:fill="FFFFFF"/>
            <w:noWrap/>
            <w:vAlign w:val="center"/>
            <w:hideMark/>
          </w:tcPr>
          <w:p w14:paraId="4594FE7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1.42</w:t>
            </w:r>
          </w:p>
        </w:tc>
        <w:tc>
          <w:tcPr>
            <w:tcW w:w="960" w:type="dxa"/>
            <w:tcBorders>
              <w:top w:val="nil"/>
              <w:left w:val="nil"/>
              <w:bottom w:val="nil"/>
              <w:right w:val="nil"/>
            </w:tcBorders>
            <w:shd w:val="clear" w:color="000000" w:fill="FFFFFF"/>
            <w:noWrap/>
            <w:vAlign w:val="center"/>
            <w:hideMark/>
          </w:tcPr>
          <w:p w14:paraId="7FF3798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3A8AA09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3.42</w:t>
            </w:r>
          </w:p>
        </w:tc>
        <w:tc>
          <w:tcPr>
            <w:tcW w:w="960" w:type="dxa"/>
            <w:tcBorders>
              <w:top w:val="nil"/>
              <w:left w:val="nil"/>
              <w:bottom w:val="nil"/>
              <w:right w:val="nil"/>
            </w:tcBorders>
            <w:shd w:val="clear" w:color="000000" w:fill="FFFFFF"/>
            <w:noWrap/>
            <w:vAlign w:val="center"/>
            <w:hideMark/>
          </w:tcPr>
          <w:p w14:paraId="733E90D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14.8</w:t>
            </w:r>
          </w:p>
        </w:tc>
        <w:tc>
          <w:tcPr>
            <w:tcW w:w="960" w:type="dxa"/>
            <w:tcBorders>
              <w:top w:val="nil"/>
              <w:left w:val="nil"/>
              <w:bottom w:val="nil"/>
              <w:right w:val="nil"/>
            </w:tcBorders>
            <w:shd w:val="clear" w:color="000000" w:fill="FFFFFF"/>
            <w:noWrap/>
            <w:vAlign w:val="center"/>
            <w:hideMark/>
          </w:tcPr>
          <w:p w14:paraId="4247BB2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6.6</w:t>
            </w:r>
          </w:p>
        </w:tc>
        <w:tc>
          <w:tcPr>
            <w:tcW w:w="1420" w:type="dxa"/>
            <w:tcBorders>
              <w:top w:val="nil"/>
              <w:left w:val="nil"/>
              <w:bottom w:val="nil"/>
              <w:right w:val="nil"/>
            </w:tcBorders>
            <w:shd w:val="clear" w:color="000000" w:fill="FFFFFF"/>
            <w:noWrap/>
            <w:vAlign w:val="center"/>
            <w:hideMark/>
          </w:tcPr>
          <w:p w14:paraId="54E4D8B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7.12</w:t>
            </w:r>
          </w:p>
        </w:tc>
        <w:tc>
          <w:tcPr>
            <w:tcW w:w="960" w:type="dxa"/>
            <w:tcBorders>
              <w:top w:val="nil"/>
              <w:left w:val="nil"/>
              <w:bottom w:val="nil"/>
              <w:right w:val="nil"/>
            </w:tcBorders>
            <w:shd w:val="clear" w:color="000000" w:fill="FFFFFF"/>
            <w:noWrap/>
            <w:vAlign w:val="center"/>
            <w:hideMark/>
          </w:tcPr>
          <w:p w14:paraId="6A5A816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35.09</w:t>
            </w:r>
          </w:p>
        </w:tc>
      </w:tr>
      <w:tr w:rsidR="004C591B" w:rsidRPr="004C591B" w14:paraId="3F274638" w14:textId="77777777" w:rsidTr="00C91B88">
        <w:trPr>
          <w:trHeight w:val="290"/>
        </w:trPr>
        <w:tc>
          <w:tcPr>
            <w:tcW w:w="1100" w:type="dxa"/>
            <w:tcBorders>
              <w:top w:val="nil"/>
              <w:left w:val="nil"/>
              <w:bottom w:val="nil"/>
              <w:right w:val="nil"/>
            </w:tcBorders>
            <w:shd w:val="clear" w:color="000000" w:fill="FFFFFF"/>
            <w:noWrap/>
            <w:vAlign w:val="center"/>
            <w:hideMark/>
          </w:tcPr>
          <w:p w14:paraId="39263C2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397</w:t>
            </w:r>
          </w:p>
        </w:tc>
        <w:tc>
          <w:tcPr>
            <w:tcW w:w="960" w:type="dxa"/>
            <w:tcBorders>
              <w:top w:val="nil"/>
              <w:left w:val="nil"/>
              <w:bottom w:val="nil"/>
              <w:right w:val="nil"/>
            </w:tcBorders>
            <w:shd w:val="clear" w:color="000000" w:fill="FFFFFF"/>
            <w:noWrap/>
            <w:vAlign w:val="center"/>
            <w:hideMark/>
          </w:tcPr>
          <w:p w14:paraId="0ADE4E5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1.37</w:t>
            </w:r>
          </w:p>
        </w:tc>
        <w:tc>
          <w:tcPr>
            <w:tcW w:w="960" w:type="dxa"/>
            <w:tcBorders>
              <w:top w:val="nil"/>
              <w:left w:val="nil"/>
              <w:bottom w:val="nil"/>
              <w:right w:val="nil"/>
            </w:tcBorders>
            <w:shd w:val="clear" w:color="000000" w:fill="FFFFFF"/>
            <w:noWrap/>
            <w:vAlign w:val="center"/>
            <w:hideMark/>
          </w:tcPr>
          <w:p w14:paraId="0D70B6A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381BE3F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w:t>
            </w:r>
          </w:p>
        </w:tc>
        <w:tc>
          <w:tcPr>
            <w:tcW w:w="960" w:type="dxa"/>
            <w:tcBorders>
              <w:top w:val="nil"/>
              <w:left w:val="nil"/>
              <w:bottom w:val="nil"/>
              <w:right w:val="nil"/>
            </w:tcBorders>
            <w:shd w:val="clear" w:color="000000" w:fill="FFFFFF"/>
            <w:noWrap/>
            <w:vAlign w:val="center"/>
            <w:hideMark/>
          </w:tcPr>
          <w:p w14:paraId="210600A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15.0</w:t>
            </w:r>
          </w:p>
        </w:tc>
        <w:tc>
          <w:tcPr>
            <w:tcW w:w="960" w:type="dxa"/>
            <w:tcBorders>
              <w:top w:val="nil"/>
              <w:left w:val="nil"/>
              <w:bottom w:val="nil"/>
              <w:right w:val="nil"/>
            </w:tcBorders>
            <w:shd w:val="clear" w:color="000000" w:fill="FFFFFF"/>
            <w:noWrap/>
            <w:vAlign w:val="center"/>
            <w:hideMark/>
          </w:tcPr>
          <w:p w14:paraId="7E54EDA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6.6</w:t>
            </w:r>
          </w:p>
        </w:tc>
        <w:tc>
          <w:tcPr>
            <w:tcW w:w="1420" w:type="dxa"/>
            <w:tcBorders>
              <w:top w:val="nil"/>
              <w:left w:val="nil"/>
              <w:bottom w:val="nil"/>
              <w:right w:val="nil"/>
            </w:tcBorders>
            <w:shd w:val="clear" w:color="000000" w:fill="FFFFFF"/>
            <w:noWrap/>
            <w:vAlign w:val="center"/>
            <w:hideMark/>
          </w:tcPr>
          <w:p w14:paraId="1B2DDC5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6.78</w:t>
            </w:r>
          </w:p>
        </w:tc>
        <w:tc>
          <w:tcPr>
            <w:tcW w:w="960" w:type="dxa"/>
            <w:tcBorders>
              <w:top w:val="nil"/>
              <w:left w:val="nil"/>
              <w:bottom w:val="nil"/>
              <w:right w:val="nil"/>
            </w:tcBorders>
            <w:shd w:val="clear" w:color="000000" w:fill="FFFFFF"/>
            <w:noWrap/>
            <w:vAlign w:val="center"/>
            <w:hideMark/>
          </w:tcPr>
          <w:p w14:paraId="496B945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35.06</w:t>
            </w:r>
          </w:p>
        </w:tc>
      </w:tr>
      <w:tr w:rsidR="004C591B" w:rsidRPr="004C591B" w14:paraId="01B749AE" w14:textId="77777777" w:rsidTr="00C91B88">
        <w:trPr>
          <w:trHeight w:val="290"/>
        </w:trPr>
        <w:tc>
          <w:tcPr>
            <w:tcW w:w="1100" w:type="dxa"/>
            <w:tcBorders>
              <w:top w:val="nil"/>
              <w:left w:val="nil"/>
              <w:bottom w:val="nil"/>
              <w:right w:val="nil"/>
            </w:tcBorders>
            <w:shd w:val="clear" w:color="000000" w:fill="FFFFFF"/>
            <w:noWrap/>
            <w:vAlign w:val="center"/>
            <w:hideMark/>
          </w:tcPr>
          <w:p w14:paraId="60BDA00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495</w:t>
            </w:r>
          </w:p>
        </w:tc>
        <w:tc>
          <w:tcPr>
            <w:tcW w:w="960" w:type="dxa"/>
            <w:tcBorders>
              <w:top w:val="nil"/>
              <w:left w:val="nil"/>
              <w:bottom w:val="nil"/>
              <w:right w:val="nil"/>
            </w:tcBorders>
            <w:shd w:val="clear" w:color="000000" w:fill="FFFFFF"/>
            <w:noWrap/>
            <w:vAlign w:val="center"/>
            <w:hideMark/>
          </w:tcPr>
          <w:p w14:paraId="65B1ADB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1.38</w:t>
            </w:r>
          </w:p>
        </w:tc>
        <w:tc>
          <w:tcPr>
            <w:tcW w:w="960" w:type="dxa"/>
            <w:tcBorders>
              <w:top w:val="nil"/>
              <w:left w:val="nil"/>
              <w:bottom w:val="nil"/>
              <w:right w:val="nil"/>
            </w:tcBorders>
            <w:shd w:val="clear" w:color="000000" w:fill="FFFFFF"/>
            <w:noWrap/>
            <w:vAlign w:val="center"/>
            <w:hideMark/>
          </w:tcPr>
          <w:p w14:paraId="6C616E7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70D88FA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3.56</w:t>
            </w:r>
          </w:p>
        </w:tc>
        <w:tc>
          <w:tcPr>
            <w:tcW w:w="960" w:type="dxa"/>
            <w:tcBorders>
              <w:top w:val="nil"/>
              <w:left w:val="nil"/>
              <w:bottom w:val="nil"/>
              <w:right w:val="nil"/>
            </w:tcBorders>
            <w:shd w:val="clear" w:color="000000" w:fill="FFFFFF"/>
            <w:noWrap/>
            <w:vAlign w:val="center"/>
            <w:hideMark/>
          </w:tcPr>
          <w:p w14:paraId="3F0C807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16.6</w:t>
            </w:r>
          </w:p>
        </w:tc>
        <w:tc>
          <w:tcPr>
            <w:tcW w:w="960" w:type="dxa"/>
            <w:tcBorders>
              <w:top w:val="nil"/>
              <w:left w:val="nil"/>
              <w:bottom w:val="nil"/>
              <w:right w:val="nil"/>
            </w:tcBorders>
            <w:shd w:val="clear" w:color="000000" w:fill="FFFFFF"/>
            <w:noWrap/>
            <w:vAlign w:val="center"/>
            <w:hideMark/>
          </w:tcPr>
          <w:p w14:paraId="5DA8497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8.3</w:t>
            </w:r>
          </w:p>
        </w:tc>
        <w:tc>
          <w:tcPr>
            <w:tcW w:w="1420" w:type="dxa"/>
            <w:tcBorders>
              <w:top w:val="nil"/>
              <w:left w:val="nil"/>
              <w:bottom w:val="nil"/>
              <w:right w:val="nil"/>
            </w:tcBorders>
            <w:shd w:val="clear" w:color="000000" w:fill="FFFFFF"/>
            <w:noWrap/>
            <w:vAlign w:val="center"/>
            <w:hideMark/>
          </w:tcPr>
          <w:p w14:paraId="1C18237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6.58</w:t>
            </w:r>
          </w:p>
        </w:tc>
        <w:tc>
          <w:tcPr>
            <w:tcW w:w="960" w:type="dxa"/>
            <w:tcBorders>
              <w:top w:val="nil"/>
              <w:left w:val="nil"/>
              <w:bottom w:val="nil"/>
              <w:right w:val="nil"/>
            </w:tcBorders>
            <w:shd w:val="clear" w:color="000000" w:fill="FFFFFF"/>
            <w:noWrap/>
            <w:vAlign w:val="center"/>
            <w:hideMark/>
          </w:tcPr>
          <w:p w14:paraId="65156B0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35.07</w:t>
            </w:r>
          </w:p>
        </w:tc>
      </w:tr>
      <w:tr w:rsidR="004C591B" w:rsidRPr="004C591B" w14:paraId="4B344025" w14:textId="77777777" w:rsidTr="00C91B88">
        <w:trPr>
          <w:trHeight w:val="290"/>
        </w:trPr>
        <w:tc>
          <w:tcPr>
            <w:tcW w:w="1100" w:type="dxa"/>
            <w:tcBorders>
              <w:top w:val="nil"/>
              <w:left w:val="nil"/>
              <w:bottom w:val="nil"/>
              <w:right w:val="nil"/>
            </w:tcBorders>
            <w:shd w:val="clear" w:color="000000" w:fill="FFFFFF"/>
            <w:noWrap/>
            <w:vAlign w:val="center"/>
            <w:hideMark/>
          </w:tcPr>
          <w:p w14:paraId="6F9247C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792</w:t>
            </w:r>
          </w:p>
        </w:tc>
        <w:tc>
          <w:tcPr>
            <w:tcW w:w="960" w:type="dxa"/>
            <w:tcBorders>
              <w:top w:val="nil"/>
              <w:left w:val="nil"/>
              <w:bottom w:val="nil"/>
              <w:right w:val="nil"/>
            </w:tcBorders>
            <w:shd w:val="clear" w:color="000000" w:fill="FFFFFF"/>
            <w:noWrap/>
            <w:vAlign w:val="center"/>
            <w:hideMark/>
          </w:tcPr>
          <w:p w14:paraId="59D8F75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1.35</w:t>
            </w:r>
          </w:p>
        </w:tc>
        <w:tc>
          <w:tcPr>
            <w:tcW w:w="960" w:type="dxa"/>
            <w:tcBorders>
              <w:top w:val="nil"/>
              <w:left w:val="nil"/>
              <w:bottom w:val="nil"/>
              <w:right w:val="nil"/>
            </w:tcBorders>
            <w:shd w:val="clear" w:color="000000" w:fill="FFFFFF"/>
            <w:noWrap/>
            <w:vAlign w:val="center"/>
            <w:hideMark/>
          </w:tcPr>
          <w:p w14:paraId="73957ED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492F43A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3.66</w:t>
            </w:r>
          </w:p>
        </w:tc>
        <w:tc>
          <w:tcPr>
            <w:tcW w:w="960" w:type="dxa"/>
            <w:tcBorders>
              <w:top w:val="nil"/>
              <w:left w:val="nil"/>
              <w:bottom w:val="nil"/>
              <w:right w:val="nil"/>
            </w:tcBorders>
            <w:shd w:val="clear" w:color="000000" w:fill="FFFFFF"/>
            <w:noWrap/>
            <w:vAlign w:val="center"/>
            <w:hideMark/>
          </w:tcPr>
          <w:p w14:paraId="3543908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17.8</w:t>
            </w:r>
          </w:p>
        </w:tc>
        <w:tc>
          <w:tcPr>
            <w:tcW w:w="960" w:type="dxa"/>
            <w:tcBorders>
              <w:top w:val="nil"/>
              <w:left w:val="nil"/>
              <w:bottom w:val="nil"/>
              <w:right w:val="nil"/>
            </w:tcBorders>
            <w:shd w:val="clear" w:color="000000" w:fill="FFFFFF"/>
            <w:noWrap/>
            <w:vAlign w:val="center"/>
            <w:hideMark/>
          </w:tcPr>
          <w:p w14:paraId="7C0C2E4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10.3</w:t>
            </w:r>
          </w:p>
        </w:tc>
        <w:tc>
          <w:tcPr>
            <w:tcW w:w="1420" w:type="dxa"/>
            <w:tcBorders>
              <w:top w:val="nil"/>
              <w:left w:val="nil"/>
              <w:bottom w:val="nil"/>
              <w:right w:val="nil"/>
            </w:tcBorders>
            <w:shd w:val="clear" w:color="000000" w:fill="FFFFFF"/>
            <w:noWrap/>
            <w:vAlign w:val="center"/>
            <w:hideMark/>
          </w:tcPr>
          <w:p w14:paraId="7A57820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5.17</w:t>
            </w:r>
          </w:p>
        </w:tc>
        <w:tc>
          <w:tcPr>
            <w:tcW w:w="960" w:type="dxa"/>
            <w:tcBorders>
              <w:top w:val="nil"/>
              <w:left w:val="nil"/>
              <w:bottom w:val="nil"/>
              <w:right w:val="nil"/>
            </w:tcBorders>
            <w:shd w:val="clear" w:color="000000" w:fill="FFFFFF"/>
            <w:noWrap/>
            <w:vAlign w:val="center"/>
            <w:hideMark/>
          </w:tcPr>
          <w:p w14:paraId="0A25121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35.03</w:t>
            </w:r>
          </w:p>
        </w:tc>
      </w:tr>
      <w:tr w:rsidR="004C591B" w:rsidRPr="004C591B" w14:paraId="394D0352" w14:textId="77777777" w:rsidTr="00C91B88">
        <w:trPr>
          <w:trHeight w:val="290"/>
        </w:trPr>
        <w:tc>
          <w:tcPr>
            <w:tcW w:w="1100" w:type="dxa"/>
            <w:tcBorders>
              <w:top w:val="nil"/>
              <w:left w:val="nil"/>
              <w:bottom w:val="nil"/>
              <w:right w:val="nil"/>
            </w:tcBorders>
            <w:shd w:val="clear" w:color="000000" w:fill="FFFFFF"/>
            <w:noWrap/>
            <w:vAlign w:val="center"/>
            <w:hideMark/>
          </w:tcPr>
          <w:p w14:paraId="2E8D96F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940</w:t>
            </w:r>
          </w:p>
        </w:tc>
        <w:tc>
          <w:tcPr>
            <w:tcW w:w="960" w:type="dxa"/>
            <w:tcBorders>
              <w:top w:val="nil"/>
              <w:left w:val="nil"/>
              <w:bottom w:val="nil"/>
              <w:right w:val="nil"/>
            </w:tcBorders>
            <w:shd w:val="clear" w:color="000000" w:fill="FFFFFF"/>
            <w:noWrap/>
            <w:vAlign w:val="center"/>
            <w:hideMark/>
          </w:tcPr>
          <w:p w14:paraId="08E5858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1.41</w:t>
            </w:r>
          </w:p>
        </w:tc>
        <w:tc>
          <w:tcPr>
            <w:tcW w:w="960" w:type="dxa"/>
            <w:tcBorders>
              <w:top w:val="nil"/>
              <w:left w:val="nil"/>
              <w:bottom w:val="nil"/>
              <w:right w:val="nil"/>
            </w:tcBorders>
            <w:shd w:val="clear" w:color="000000" w:fill="FFFFFF"/>
            <w:noWrap/>
            <w:vAlign w:val="center"/>
            <w:hideMark/>
          </w:tcPr>
          <w:p w14:paraId="6840794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0C79DF4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3.63</w:t>
            </w:r>
          </w:p>
        </w:tc>
        <w:tc>
          <w:tcPr>
            <w:tcW w:w="960" w:type="dxa"/>
            <w:tcBorders>
              <w:top w:val="nil"/>
              <w:left w:val="nil"/>
              <w:bottom w:val="nil"/>
              <w:right w:val="nil"/>
            </w:tcBorders>
            <w:shd w:val="clear" w:color="000000" w:fill="FFFFFF"/>
            <w:noWrap/>
            <w:vAlign w:val="center"/>
            <w:hideMark/>
          </w:tcPr>
          <w:p w14:paraId="3A77870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17.2</w:t>
            </w:r>
          </w:p>
        </w:tc>
        <w:tc>
          <w:tcPr>
            <w:tcW w:w="960" w:type="dxa"/>
            <w:tcBorders>
              <w:top w:val="nil"/>
              <w:left w:val="nil"/>
              <w:bottom w:val="nil"/>
              <w:right w:val="nil"/>
            </w:tcBorders>
            <w:shd w:val="clear" w:color="000000" w:fill="FFFFFF"/>
            <w:noWrap/>
            <w:vAlign w:val="center"/>
            <w:hideMark/>
          </w:tcPr>
          <w:p w14:paraId="1682ED8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10.3</w:t>
            </w:r>
          </w:p>
        </w:tc>
        <w:tc>
          <w:tcPr>
            <w:tcW w:w="1420" w:type="dxa"/>
            <w:tcBorders>
              <w:top w:val="nil"/>
              <w:left w:val="nil"/>
              <w:bottom w:val="nil"/>
              <w:right w:val="nil"/>
            </w:tcBorders>
            <w:shd w:val="clear" w:color="000000" w:fill="FFFFFF"/>
            <w:noWrap/>
            <w:vAlign w:val="center"/>
            <w:hideMark/>
          </w:tcPr>
          <w:p w14:paraId="37DF4EC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4.54</w:t>
            </w:r>
          </w:p>
        </w:tc>
        <w:tc>
          <w:tcPr>
            <w:tcW w:w="960" w:type="dxa"/>
            <w:tcBorders>
              <w:top w:val="nil"/>
              <w:left w:val="nil"/>
              <w:bottom w:val="nil"/>
              <w:right w:val="nil"/>
            </w:tcBorders>
            <w:shd w:val="clear" w:color="000000" w:fill="FFFFFF"/>
            <w:noWrap/>
            <w:vAlign w:val="center"/>
            <w:hideMark/>
          </w:tcPr>
          <w:p w14:paraId="0CDDF00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34.99</w:t>
            </w:r>
          </w:p>
        </w:tc>
      </w:tr>
      <w:tr w:rsidR="004C591B" w:rsidRPr="004C591B" w14:paraId="66B05D3D" w14:textId="77777777" w:rsidTr="00C91B88">
        <w:trPr>
          <w:trHeight w:val="290"/>
        </w:trPr>
        <w:tc>
          <w:tcPr>
            <w:tcW w:w="1100" w:type="dxa"/>
            <w:tcBorders>
              <w:top w:val="nil"/>
              <w:left w:val="nil"/>
              <w:bottom w:val="nil"/>
              <w:right w:val="nil"/>
            </w:tcBorders>
            <w:shd w:val="clear" w:color="000000" w:fill="FFFFFF"/>
            <w:noWrap/>
            <w:vAlign w:val="center"/>
            <w:hideMark/>
          </w:tcPr>
          <w:p w14:paraId="5A853A0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1149</w:t>
            </w:r>
          </w:p>
        </w:tc>
        <w:tc>
          <w:tcPr>
            <w:tcW w:w="960" w:type="dxa"/>
            <w:tcBorders>
              <w:top w:val="nil"/>
              <w:left w:val="nil"/>
              <w:bottom w:val="nil"/>
              <w:right w:val="nil"/>
            </w:tcBorders>
            <w:shd w:val="clear" w:color="000000" w:fill="FFFFFF"/>
            <w:noWrap/>
            <w:vAlign w:val="center"/>
            <w:hideMark/>
          </w:tcPr>
          <w:p w14:paraId="4410053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1.36</w:t>
            </w:r>
          </w:p>
        </w:tc>
        <w:tc>
          <w:tcPr>
            <w:tcW w:w="960" w:type="dxa"/>
            <w:tcBorders>
              <w:top w:val="nil"/>
              <w:left w:val="nil"/>
              <w:bottom w:val="nil"/>
              <w:right w:val="nil"/>
            </w:tcBorders>
            <w:shd w:val="clear" w:color="000000" w:fill="FFFFFF"/>
            <w:noWrap/>
            <w:vAlign w:val="center"/>
            <w:hideMark/>
          </w:tcPr>
          <w:p w14:paraId="35A4232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74E5A71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3.64</w:t>
            </w:r>
          </w:p>
        </w:tc>
        <w:tc>
          <w:tcPr>
            <w:tcW w:w="960" w:type="dxa"/>
            <w:tcBorders>
              <w:top w:val="nil"/>
              <w:left w:val="nil"/>
              <w:bottom w:val="nil"/>
              <w:right w:val="nil"/>
            </w:tcBorders>
            <w:shd w:val="clear" w:color="000000" w:fill="FFFFFF"/>
            <w:noWrap/>
            <w:vAlign w:val="center"/>
            <w:hideMark/>
          </w:tcPr>
          <w:p w14:paraId="2949383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78FD60E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2B7A709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4.03</w:t>
            </w:r>
          </w:p>
        </w:tc>
        <w:tc>
          <w:tcPr>
            <w:tcW w:w="960" w:type="dxa"/>
            <w:tcBorders>
              <w:top w:val="nil"/>
              <w:left w:val="nil"/>
              <w:bottom w:val="nil"/>
              <w:right w:val="nil"/>
            </w:tcBorders>
            <w:shd w:val="clear" w:color="000000" w:fill="FFFFFF"/>
            <w:noWrap/>
            <w:vAlign w:val="center"/>
            <w:hideMark/>
          </w:tcPr>
          <w:p w14:paraId="133EAE4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34.99</w:t>
            </w:r>
          </w:p>
        </w:tc>
      </w:tr>
      <w:tr w:rsidR="004C591B" w:rsidRPr="004C591B" w14:paraId="07F68D8B" w14:textId="77777777" w:rsidTr="00C91B88">
        <w:trPr>
          <w:trHeight w:val="290"/>
        </w:trPr>
        <w:tc>
          <w:tcPr>
            <w:tcW w:w="1100" w:type="dxa"/>
            <w:tcBorders>
              <w:top w:val="nil"/>
              <w:left w:val="nil"/>
              <w:bottom w:val="nil"/>
              <w:right w:val="nil"/>
            </w:tcBorders>
            <w:shd w:val="clear" w:color="000000" w:fill="FFFFFF"/>
            <w:noWrap/>
            <w:vAlign w:val="center"/>
            <w:hideMark/>
          </w:tcPr>
          <w:p w14:paraId="16F5D4A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1285</w:t>
            </w:r>
          </w:p>
        </w:tc>
        <w:tc>
          <w:tcPr>
            <w:tcW w:w="960" w:type="dxa"/>
            <w:tcBorders>
              <w:top w:val="nil"/>
              <w:left w:val="nil"/>
              <w:bottom w:val="nil"/>
              <w:right w:val="nil"/>
            </w:tcBorders>
            <w:shd w:val="clear" w:color="000000" w:fill="FFFFFF"/>
            <w:noWrap/>
            <w:vAlign w:val="center"/>
            <w:hideMark/>
          </w:tcPr>
          <w:p w14:paraId="6FEB452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1.37</w:t>
            </w:r>
          </w:p>
        </w:tc>
        <w:tc>
          <w:tcPr>
            <w:tcW w:w="960" w:type="dxa"/>
            <w:tcBorders>
              <w:top w:val="nil"/>
              <w:left w:val="nil"/>
              <w:bottom w:val="nil"/>
              <w:right w:val="nil"/>
            </w:tcBorders>
            <w:shd w:val="clear" w:color="000000" w:fill="FFFFFF"/>
            <w:noWrap/>
            <w:vAlign w:val="center"/>
            <w:hideMark/>
          </w:tcPr>
          <w:p w14:paraId="2FC813F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29B3239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3.64</w:t>
            </w:r>
          </w:p>
        </w:tc>
        <w:tc>
          <w:tcPr>
            <w:tcW w:w="960" w:type="dxa"/>
            <w:tcBorders>
              <w:top w:val="nil"/>
              <w:left w:val="nil"/>
              <w:bottom w:val="nil"/>
              <w:right w:val="nil"/>
            </w:tcBorders>
            <w:shd w:val="clear" w:color="000000" w:fill="FFFFFF"/>
            <w:noWrap/>
            <w:vAlign w:val="center"/>
            <w:hideMark/>
          </w:tcPr>
          <w:p w14:paraId="5868C2B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16.8</w:t>
            </w:r>
          </w:p>
        </w:tc>
        <w:tc>
          <w:tcPr>
            <w:tcW w:w="960" w:type="dxa"/>
            <w:tcBorders>
              <w:top w:val="nil"/>
              <w:left w:val="nil"/>
              <w:bottom w:val="nil"/>
              <w:right w:val="nil"/>
            </w:tcBorders>
            <w:shd w:val="clear" w:color="000000" w:fill="FFFFFF"/>
            <w:noWrap/>
            <w:vAlign w:val="center"/>
            <w:hideMark/>
          </w:tcPr>
          <w:p w14:paraId="46032AD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10.6</w:t>
            </w:r>
          </w:p>
        </w:tc>
        <w:tc>
          <w:tcPr>
            <w:tcW w:w="1420" w:type="dxa"/>
            <w:tcBorders>
              <w:top w:val="nil"/>
              <w:left w:val="nil"/>
              <w:bottom w:val="nil"/>
              <w:right w:val="nil"/>
            </w:tcBorders>
            <w:shd w:val="clear" w:color="000000" w:fill="FFFFFF"/>
            <w:noWrap/>
            <w:vAlign w:val="center"/>
            <w:hideMark/>
          </w:tcPr>
          <w:p w14:paraId="0290639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4.01</w:t>
            </w:r>
          </w:p>
        </w:tc>
        <w:tc>
          <w:tcPr>
            <w:tcW w:w="960" w:type="dxa"/>
            <w:tcBorders>
              <w:top w:val="nil"/>
              <w:left w:val="nil"/>
              <w:bottom w:val="nil"/>
              <w:right w:val="nil"/>
            </w:tcBorders>
            <w:shd w:val="clear" w:color="000000" w:fill="FFFFFF"/>
            <w:noWrap/>
            <w:vAlign w:val="center"/>
            <w:hideMark/>
          </w:tcPr>
          <w:p w14:paraId="784847C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34.99</w:t>
            </w:r>
          </w:p>
        </w:tc>
      </w:tr>
      <w:tr w:rsidR="004C591B" w:rsidRPr="004C591B" w14:paraId="23A4FC29" w14:textId="77777777" w:rsidTr="00C91B88">
        <w:trPr>
          <w:trHeight w:val="290"/>
        </w:trPr>
        <w:tc>
          <w:tcPr>
            <w:tcW w:w="1100" w:type="dxa"/>
            <w:tcBorders>
              <w:top w:val="nil"/>
              <w:left w:val="nil"/>
              <w:bottom w:val="nil"/>
              <w:right w:val="nil"/>
            </w:tcBorders>
            <w:shd w:val="clear" w:color="000000" w:fill="FFFFFF"/>
            <w:noWrap/>
            <w:vAlign w:val="center"/>
            <w:hideMark/>
          </w:tcPr>
          <w:p w14:paraId="18A0B57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1337</w:t>
            </w:r>
          </w:p>
        </w:tc>
        <w:tc>
          <w:tcPr>
            <w:tcW w:w="960" w:type="dxa"/>
            <w:tcBorders>
              <w:top w:val="nil"/>
              <w:left w:val="nil"/>
              <w:bottom w:val="nil"/>
              <w:right w:val="nil"/>
            </w:tcBorders>
            <w:shd w:val="clear" w:color="000000" w:fill="FFFFFF"/>
            <w:noWrap/>
            <w:vAlign w:val="center"/>
            <w:hideMark/>
          </w:tcPr>
          <w:p w14:paraId="685D360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1.28</w:t>
            </w:r>
          </w:p>
        </w:tc>
        <w:tc>
          <w:tcPr>
            <w:tcW w:w="960" w:type="dxa"/>
            <w:tcBorders>
              <w:top w:val="nil"/>
              <w:left w:val="nil"/>
              <w:bottom w:val="nil"/>
              <w:right w:val="nil"/>
            </w:tcBorders>
            <w:shd w:val="clear" w:color="000000" w:fill="FFFFFF"/>
            <w:noWrap/>
            <w:vAlign w:val="center"/>
            <w:hideMark/>
          </w:tcPr>
          <w:p w14:paraId="5AEF323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2566493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3.69</w:t>
            </w:r>
          </w:p>
        </w:tc>
        <w:tc>
          <w:tcPr>
            <w:tcW w:w="960" w:type="dxa"/>
            <w:tcBorders>
              <w:top w:val="nil"/>
              <w:left w:val="nil"/>
              <w:bottom w:val="nil"/>
              <w:right w:val="nil"/>
            </w:tcBorders>
            <w:shd w:val="clear" w:color="000000" w:fill="FFFFFF"/>
            <w:noWrap/>
            <w:vAlign w:val="center"/>
            <w:hideMark/>
          </w:tcPr>
          <w:p w14:paraId="60147A2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16.7</w:t>
            </w:r>
          </w:p>
        </w:tc>
        <w:tc>
          <w:tcPr>
            <w:tcW w:w="960" w:type="dxa"/>
            <w:tcBorders>
              <w:top w:val="nil"/>
              <w:left w:val="nil"/>
              <w:bottom w:val="nil"/>
              <w:right w:val="nil"/>
            </w:tcBorders>
            <w:shd w:val="clear" w:color="000000" w:fill="FFFFFF"/>
            <w:noWrap/>
            <w:vAlign w:val="center"/>
            <w:hideMark/>
          </w:tcPr>
          <w:p w14:paraId="0C9F37F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10.9</w:t>
            </w:r>
          </w:p>
        </w:tc>
        <w:tc>
          <w:tcPr>
            <w:tcW w:w="1420" w:type="dxa"/>
            <w:tcBorders>
              <w:top w:val="nil"/>
              <w:left w:val="nil"/>
              <w:bottom w:val="nil"/>
              <w:right w:val="nil"/>
            </w:tcBorders>
            <w:shd w:val="clear" w:color="000000" w:fill="FFFFFF"/>
            <w:noWrap/>
            <w:vAlign w:val="center"/>
            <w:hideMark/>
          </w:tcPr>
          <w:p w14:paraId="533198C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4.01</w:t>
            </w:r>
          </w:p>
        </w:tc>
        <w:tc>
          <w:tcPr>
            <w:tcW w:w="960" w:type="dxa"/>
            <w:tcBorders>
              <w:top w:val="nil"/>
              <w:left w:val="nil"/>
              <w:bottom w:val="nil"/>
              <w:right w:val="nil"/>
            </w:tcBorders>
            <w:shd w:val="clear" w:color="000000" w:fill="FFFFFF"/>
            <w:noWrap/>
            <w:vAlign w:val="center"/>
            <w:hideMark/>
          </w:tcPr>
          <w:p w14:paraId="30BED2A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34.99</w:t>
            </w:r>
          </w:p>
        </w:tc>
      </w:tr>
    </w:tbl>
    <w:p w14:paraId="11FE1A6C" w14:textId="77777777" w:rsidR="008F0A20" w:rsidRPr="004C591B" w:rsidRDefault="008F0A20" w:rsidP="00477182">
      <w:pPr>
        <w:pStyle w:val="SMcaption"/>
        <w:rPr>
          <w:rFonts w:ascii="Arial" w:hAnsi="Arial" w:cs="Arial"/>
          <w:sz w:val="20"/>
        </w:rPr>
      </w:pPr>
    </w:p>
    <w:p w14:paraId="5C486651" w14:textId="77777777" w:rsidR="008F0A20" w:rsidRPr="004C591B" w:rsidRDefault="008F0A20" w:rsidP="00477182">
      <w:pPr>
        <w:pStyle w:val="SMcaption"/>
        <w:rPr>
          <w:rFonts w:ascii="Arial" w:hAnsi="Arial" w:cs="Arial"/>
          <w:sz w:val="20"/>
        </w:rPr>
      </w:pPr>
    </w:p>
    <w:p w14:paraId="608A1D65" w14:textId="77777777" w:rsidR="008F0A20" w:rsidRPr="004C591B" w:rsidRDefault="008F0A20" w:rsidP="00477182">
      <w:pPr>
        <w:pStyle w:val="SMcaption"/>
        <w:rPr>
          <w:rFonts w:ascii="Arial" w:hAnsi="Arial" w:cs="Arial"/>
          <w:sz w:val="20"/>
        </w:rPr>
      </w:pPr>
    </w:p>
    <w:p w14:paraId="2D96A214" w14:textId="77777777" w:rsidR="008F0A20" w:rsidRPr="004C591B" w:rsidRDefault="008F0A20" w:rsidP="00477182">
      <w:pPr>
        <w:pStyle w:val="SMcaption"/>
        <w:rPr>
          <w:rFonts w:ascii="Arial" w:hAnsi="Arial" w:cs="Arial"/>
          <w:sz w:val="20"/>
        </w:rPr>
      </w:pPr>
    </w:p>
    <w:p w14:paraId="06D4B2CF" w14:textId="77777777" w:rsidR="008F0A20" w:rsidRPr="004C591B" w:rsidRDefault="008F0A20" w:rsidP="00477182">
      <w:pPr>
        <w:pStyle w:val="SMcaption"/>
        <w:rPr>
          <w:rFonts w:ascii="Arial" w:hAnsi="Arial" w:cs="Arial"/>
          <w:sz w:val="20"/>
        </w:rPr>
      </w:pPr>
    </w:p>
    <w:p w14:paraId="28DC6500" w14:textId="77777777" w:rsidR="008F0A20" w:rsidRPr="004C591B" w:rsidRDefault="008F0A20" w:rsidP="00477182">
      <w:pPr>
        <w:pStyle w:val="SMcaption"/>
        <w:rPr>
          <w:rFonts w:ascii="Arial" w:hAnsi="Arial" w:cs="Arial"/>
          <w:sz w:val="20"/>
        </w:rPr>
      </w:pPr>
    </w:p>
    <w:p w14:paraId="2A1B7483" w14:textId="77777777" w:rsidR="008F0A20" w:rsidRPr="004C591B" w:rsidRDefault="008F0A20" w:rsidP="00477182">
      <w:pPr>
        <w:pStyle w:val="SMcaption"/>
        <w:rPr>
          <w:rFonts w:ascii="Arial" w:hAnsi="Arial" w:cs="Arial"/>
          <w:sz w:val="20"/>
        </w:rPr>
      </w:pPr>
    </w:p>
    <w:p w14:paraId="7A519250" w14:textId="77777777" w:rsidR="008F0A20" w:rsidRPr="004C591B" w:rsidRDefault="008F0A20" w:rsidP="00477182">
      <w:pPr>
        <w:pStyle w:val="SMcaption"/>
        <w:rPr>
          <w:rFonts w:ascii="Arial" w:hAnsi="Arial" w:cs="Arial"/>
          <w:sz w:val="20"/>
        </w:rPr>
      </w:pPr>
    </w:p>
    <w:p w14:paraId="26670744" w14:textId="77777777" w:rsidR="008F0A20" w:rsidRPr="004C591B" w:rsidRDefault="008F0A20" w:rsidP="00477182">
      <w:pPr>
        <w:pStyle w:val="SMcaption"/>
        <w:rPr>
          <w:rFonts w:ascii="Arial" w:hAnsi="Arial" w:cs="Arial"/>
          <w:sz w:val="20"/>
        </w:rPr>
      </w:pPr>
    </w:p>
    <w:p w14:paraId="598E8D73" w14:textId="77777777" w:rsidR="008F0A20" w:rsidRPr="004C591B" w:rsidRDefault="008F0A20" w:rsidP="00477182">
      <w:pPr>
        <w:pStyle w:val="SMcaption"/>
        <w:rPr>
          <w:rFonts w:ascii="Arial" w:hAnsi="Arial" w:cs="Arial"/>
          <w:sz w:val="20"/>
        </w:rPr>
      </w:pPr>
    </w:p>
    <w:p w14:paraId="4CD55522" w14:textId="77777777" w:rsidR="008F0A20" w:rsidRPr="004C591B" w:rsidRDefault="008F0A20" w:rsidP="00477182">
      <w:pPr>
        <w:pStyle w:val="SMcaption"/>
        <w:rPr>
          <w:rFonts w:ascii="Arial" w:hAnsi="Arial" w:cs="Arial"/>
          <w:sz w:val="20"/>
        </w:rPr>
      </w:pPr>
    </w:p>
    <w:p w14:paraId="2F2FE9D2" w14:textId="77777777" w:rsidR="008F0A20" w:rsidRPr="004C591B" w:rsidRDefault="008F0A20" w:rsidP="00477182">
      <w:pPr>
        <w:pStyle w:val="SMcaption"/>
        <w:rPr>
          <w:rFonts w:ascii="Arial" w:hAnsi="Arial" w:cs="Arial"/>
          <w:sz w:val="20"/>
        </w:rPr>
      </w:pPr>
    </w:p>
    <w:p w14:paraId="5C29E96A" w14:textId="77777777" w:rsidR="008F0A20" w:rsidRPr="004C591B" w:rsidRDefault="008F0A20" w:rsidP="00477182">
      <w:pPr>
        <w:pStyle w:val="SMcaption"/>
        <w:rPr>
          <w:rFonts w:ascii="Arial" w:hAnsi="Arial" w:cs="Arial"/>
          <w:sz w:val="20"/>
        </w:rPr>
      </w:pPr>
    </w:p>
    <w:tbl>
      <w:tblPr>
        <w:tblW w:w="8280" w:type="dxa"/>
        <w:tblCellMar>
          <w:left w:w="70" w:type="dxa"/>
          <w:right w:w="70" w:type="dxa"/>
        </w:tblCellMar>
        <w:tblLook w:val="04A0" w:firstRow="1" w:lastRow="0" w:firstColumn="1" w:lastColumn="0" w:noHBand="0" w:noVBand="1"/>
      </w:tblPr>
      <w:tblGrid>
        <w:gridCol w:w="1100"/>
        <w:gridCol w:w="960"/>
        <w:gridCol w:w="960"/>
        <w:gridCol w:w="960"/>
        <w:gridCol w:w="960"/>
        <w:gridCol w:w="960"/>
        <w:gridCol w:w="1420"/>
        <w:gridCol w:w="960"/>
      </w:tblGrid>
      <w:tr w:rsidR="004C591B" w:rsidRPr="004C591B" w14:paraId="56A74ADB" w14:textId="77777777" w:rsidTr="00C91B88">
        <w:trPr>
          <w:trHeight w:val="330"/>
        </w:trPr>
        <w:tc>
          <w:tcPr>
            <w:tcW w:w="1100" w:type="dxa"/>
            <w:tcBorders>
              <w:top w:val="single" w:sz="4" w:space="0" w:color="auto"/>
              <w:left w:val="nil"/>
              <w:bottom w:val="nil"/>
              <w:right w:val="nil"/>
            </w:tcBorders>
            <w:shd w:val="clear" w:color="000000" w:fill="FFFFFF"/>
            <w:noWrap/>
            <w:vAlign w:val="center"/>
            <w:hideMark/>
          </w:tcPr>
          <w:p w14:paraId="30C35CDB"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lastRenderedPageBreak/>
              <w:t>Depth</w:t>
            </w:r>
            <w:proofErr w:type="spellEnd"/>
          </w:p>
        </w:tc>
        <w:tc>
          <w:tcPr>
            <w:tcW w:w="960" w:type="dxa"/>
            <w:tcBorders>
              <w:top w:val="single" w:sz="4" w:space="0" w:color="auto"/>
              <w:left w:val="nil"/>
              <w:bottom w:val="nil"/>
              <w:right w:val="nil"/>
            </w:tcBorders>
            <w:shd w:val="clear" w:color="000000" w:fill="FFFFFF"/>
            <w:noWrap/>
            <w:vAlign w:val="center"/>
            <w:hideMark/>
          </w:tcPr>
          <w:p w14:paraId="51CE02A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δ</w:t>
            </w:r>
            <w:r w:rsidRPr="004C591B">
              <w:rPr>
                <w:rFonts w:ascii="Arial" w:hAnsi="Arial" w:cs="Arial"/>
                <w:sz w:val="22"/>
                <w:szCs w:val="22"/>
                <w:vertAlign w:val="superscript"/>
                <w:lang w:val="fr-FR" w:eastAsia="fr-FR"/>
              </w:rPr>
              <w:t>60</w:t>
            </w:r>
            <w:r w:rsidRPr="004C591B">
              <w:rPr>
                <w:rFonts w:ascii="Arial" w:hAnsi="Arial" w:cs="Arial"/>
                <w:sz w:val="22"/>
                <w:szCs w:val="22"/>
                <w:lang w:val="fr-FR" w:eastAsia="fr-FR"/>
              </w:rPr>
              <w:t>Ni</w:t>
            </w:r>
          </w:p>
        </w:tc>
        <w:tc>
          <w:tcPr>
            <w:tcW w:w="960" w:type="dxa"/>
            <w:tcBorders>
              <w:top w:val="single" w:sz="4" w:space="0" w:color="auto"/>
              <w:left w:val="nil"/>
              <w:bottom w:val="nil"/>
              <w:right w:val="nil"/>
            </w:tcBorders>
            <w:shd w:val="clear" w:color="000000" w:fill="FFFFFF"/>
            <w:noWrap/>
            <w:vAlign w:val="center"/>
            <w:hideMark/>
          </w:tcPr>
          <w:p w14:paraId="6748398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2SD</w:t>
            </w:r>
          </w:p>
        </w:tc>
        <w:tc>
          <w:tcPr>
            <w:tcW w:w="960" w:type="dxa"/>
            <w:tcBorders>
              <w:top w:val="single" w:sz="4" w:space="0" w:color="auto"/>
              <w:left w:val="nil"/>
              <w:bottom w:val="nil"/>
              <w:right w:val="nil"/>
            </w:tcBorders>
            <w:shd w:val="clear" w:color="000000" w:fill="FFFFFF"/>
            <w:noWrap/>
            <w:vAlign w:val="center"/>
            <w:hideMark/>
          </w:tcPr>
          <w:p w14:paraId="58D4A63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[Ni]</w:t>
            </w:r>
          </w:p>
        </w:tc>
        <w:tc>
          <w:tcPr>
            <w:tcW w:w="960" w:type="dxa"/>
            <w:tcBorders>
              <w:top w:val="single" w:sz="4" w:space="0" w:color="auto"/>
              <w:left w:val="nil"/>
              <w:bottom w:val="nil"/>
              <w:right w:val="nil"/>
            </w:tcBorders>
            <w:shd w:val="clear" w:color="000000" w:fill="FFFFFF"/>
            <w:noWrap/>
            <w:vAlign w:val="center"/>
            <w:hideMark/>
          </w:tcPr>
          <w:p w14:paraId="70FA986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NO</w:t>
            </w:r>
            <w:r w:rsidRPr="004C591B">
              <w:rPr>
                <w:rFonts w:ascii="Arial" w:hAnsi="Arial" w:cs="Arial"/>
                <w:sz w:val="22"/>
                <w:szCs w:val="22"/>
                <w:vertAlign w:val="subscript"/>
                <w:lang w:val="fr-FR" w:eastAsia="fr-FR"/>
              </w:rPr>
              <w:t>3</w:t>
            </w:r>
            <w:r w:rsidRPr="004C591B">
              <w:rPr>
                <w:rFonts w:ascii="Arial" w:hAnsi="Arial" w:cs="Arial"/>
                <w:sz w:val="22"/>
                <w:szCs w:val="22"/>
                <w:vertAlign w:val="superscript"/>
                <w:lang w:val="fr-FR" w:eastAsia="fr-FR"/>
              </w:rPr>
              <w:t>-</w:t>
            </w:r>
          </w:p>
        </w:tc>
        <w:tc>
          <w:tcPr>
            <w:tcW w:w="960" w:type="dxa"/>
            <w:tcBorders>
              <w:top w:val="single" w:sz="4" w:space="0" w:color="auto"/>
              <w:left w:val="nil"/>
              <w:bottom w:val="nil"/>
              <w:right w:val="nil"/>
            </w:tcBorders>
            <w:shd w:val="clear" w:color="000000" w:fill="FFFFFF"/>
            <w:noWrap/>
            <w:vAlign w:val="center"/>
            <w:hideMark/>
          </w:tcPr>
          <w:p w14:paraId="58B669C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SiOH</w:t>
            </w:r>
            <w:r w:rsidRPr="004C591B">
              <w:rPr>
                <w:rFonts w:ascii="Arial" w:hAnsi="Arial" w:cs="Arial"/>
                <w:sz w:val="22"/>
                <w:szCs w:val="22"/>
                <w:vertAlign w:val="subscript"/>
                <w:lang w:val="fr-FR" w:eastAsia="fr-FR"/>
              </w:rPr>
              <w:t>4</w:t>
            </w:r>
            <w:r w:rsidRPr="004C591B">
              <w:rPr>
                <w:rFonts w:ascii="Arial" w:hAnsi="Arial" w:cs="Arial"/>
                <w:sz w:val="22"/>
                <w:szCs w:val="22"/>
                <w:vertAlign w:val="superscript"/>
                <w:lang w:val="fr-FR" w:eastAsia="fr-FR"/>
              </w:rPr>
              <w:t>-</w:t>
            </w:r>
          </w:p>
        </w:tc>
        <w:tc>
          <w:tcPr>
            <w:tcW w:w="1420" w:type="dxa"/>
            <w:tcBorders>
              <w:top w:val="single" w:sz="4" w:space="0" w:color="auto"/>
              <w:left w:val="nil"/>
              <w:bottom w:val="nil"/>
              <w:right w:val="nil"/>
            </w:tcBorders>
            <w:shd w:val="clear" w:color="000000" w:fill="FFFFFF"/>
            <w:noWrap/>
            <w:vAlign w:val="center"/>
            <w:hideMark/>
          </w:tcPr>
          <w:p w14:paraId="6904217F"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Temperature</w:t>
            </w:r>
            <w:proofErr w:type="spellEnd"/>
          </w:p>
        </w:tc>
        <w:tc>
          <w:tcPr>
            <w:tcW w:w="960" w:type="dxa"/>
            <w:tcBorders>
              <w:top w:val="single" w:sz="4" w:space="0" w:color="auto"/>
              <w:left w:val="nil"/>
              <w:bottom w:val="nil"/>
              <w:right w:val="nil"/>
            </w:tcBorders>
            <w:shd w:val="clear" w:color="000000" w:fill="FFFFFF"/>
            <w:noWrap/>
            <w:vAlign w:val="center"/>
            <w:hideMark/>
          </w:tcPr>
          <w:p w14:paraId="5E860629"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Salinity</w:t>
            </w:r>
            <w:proofErr w:type="spellEnd"/>
          </w:p>
        </w:tc>
      </w:tr>
      <w:tr w:rsidR="004C591B" w:rsidRPr="004C591B" w14:paraId="5921C164" w14:textId="77777777" w:rsidTr="00C91B88">
        <w:trPr>
          <w:trHeight w:val="290"/>
        </w:trPr>
        <w:tc>
          <w:tcPr>
            <w:tcW w:w="1100" w:type="dxa"/>
            <w:tcBorders>
              <w:top w:val="nil"/>
              <w:left w:val="nil"/>
              <w:bottom w:val="single" w:sz="4" w:space="0" w:color="auto"/>
              <w:right w:val="nil"/>
            </w:tcBorders>
            <w:shd w:val="clear" w:color="000000" w:fill="FFFFFF"/>
            <w:noWrap/>
            <w:vAlign w:val="center"/>
            <w:hideMark/>
          </w:tcPr>
          <w:p w14:paraId="6AEF85F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m</w:t>
            </w:r>
          </w:p>
        </w:tc>
        <w:tc>
          <w:tcPr>
            <w:tcW w:w="960" w:type="dxa"/>
            <w:tcBorders>
              <w:top w:val="nil"/>
              <w:left w:val="nil"/>
              <w:bottom w:val="single" w:sz="4" w:space="0" w:color="auto"/>
              <w:right w:val="nil"/>
            </w:tcBorders>
            <w:shd w:val="clear" w:color="000000" w:fill="FFFFFF"/>
            <w:noWrap/>
            <w:vAlign w:val="center"/>
            <w:hideMark/>
          </w:tcPr>
          <w:p w14:paraId="01F3C08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w:t>
            </w:r>
          </w:p>
        </w:tc>
        <w:tc>
          <w:tcPr>
            <w:tcW w:w="960" w:type="dxa"/>
            <w:tcBorders>
              <w:top w:val="nil"/>
              <w:left w:val="nil"/>
              <w:bottom w:val="single" w:sz="4" w:space="0" w:color="auto"/>
              <w:right w:val="nil"/>
            </w:tcBorders>
            <w:shd w:val="clear" w:color="000000" w:fill="FFFFFF"/>
            <w:noWrap/>
            <w:vAlign w:val="center"/>
            <w:hideMark/>
          </w:tcPr>
          <w:p w14:paraId="7F2DECD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w:t>
            </w:r>
          </w:p>
        </w:tc>
        <w:tc>
          <w:tcPr>
            <w:tcW w:w="960" w:type="dxa"/>
            <w:tcBorders>
              <w:top w:val="nil"/>
              <w:left w:val="nil"/>
              <w:bottom w:val="single" w:sz="4" w:space="0" w:color="auto"/>
              <w:right w:val="nil"/>
            </w:tcBorders>
            <w:shd w:val="clear" w:color="000000" w:fill="FFFFFF"/>
            <w:noWrap/>
            <w:vAlign w:val="center"/>
            <w:hideMark/>
          </w:tcPr>
          <w:p w14:paraId="1FE48A65"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nmol</w:t>
            </w:r>
            <w:proofErr w:type="spellEnd"/>
            <w:r w:rsidRPr="004C591B">
              <w:rPr>
                <w:rFonts w:ascii="Arial" w:hAnsi="Arial" w:cs="Arial"/>
                <w:sz w:val="22"/>
                <w:szCs w:val="22"/>
                <w:lang w:val="fr-FR" w:eastAsia="fr-FR"/>
              </w:rPr>
              <w:t>/L</w:t>
            </w:r>
          </w:p>
        </w:tc>
        <w:tc>
          <w:tcPr>
            <w:tcW w:w="960" w:type="dxa"/>
            <w:tcBorders>
              <w:top w:val="nil"/>
              <w:left w:val="nil"/>
              <w:bottom w:val="single" w:sz="4" w:space="0" w:color="auto"/>
              <w:right w:val="nil"/>
            </w:tcBorders>
            <w:shd w:val="clear" w:color="000000" w:fill="FFFFFF"/>
            <w:noWrap/>
            <w:vAlign w:val="center"/>
            <w:hideMark/>
          </w:tcPr>
          <w:p w14:paraId="1D9E006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µmol/L</w:t>
            </w:r>
          </w:p>
        </w:tc>
        <w:tc>
          <w:tcPr>
            <w:tcW w:w="960" w:type="dxa"/>
            <w:tcBorders>
              <w:top w:val="nil"/>
              <w:left w:val="nil"/>
              <w:bottom w:val="single" w:sz="4" w:space="0" w:color="auto"/>
              <w:right w:val="nil"/>
            </w:tcBorders>
            <w:shd w:val="clear" w:color="000000" w:fill="FFFFFF"/>
            <w:noWrap/>
            <w:vAlign w:val="center"/>
            <w:hideMark/>
          </w:tcPr>
          <w:p w14:paraId="51828D1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µmol/L</w:t>
            </w:r>
          </w:p>
        </w:tc>
        <w:tc>
          <w:tcPr>
            <w:tcW w:w="1420" w:type="dxa"/>
            <w:tcBorders>
              <w:top w:val="nil"/>
              <w:left w:val="nil"/>
              <w:bottom w:val="single" w:sz="4" w:space="0" w:color="auto"/>
              <w:right w:val="nil"/>
            </w:tcBorders>
            <w:shd w:val="clear" w:color="000000" w:fill="FFFFFF"/>
            <w:noWrap/>
            <w:vAlign w:val="center"/>
            <w:hideMark/>
          </w:tcPr>
          <w:p w14:paraId="186AA59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°C</w:t>
            </w:r>
          </w:p>
        </w:tc>
        <w:tc>
          <w:tcPr>
            <w:tcW w:w="960" w:type="dxa"/>
            <w:tcBorders>
              <w:top w:val="nil"/>
              <w:left w:val="nil"/>
              <w:bottom w:val="single" w:sz="4" w:space="0" w:color="auto"/>
              <w:right w:val="nil"/>
            </w:tcBorders>
            <w:shd w:val="clear" w:color="000000" w:fill="FFFFFF"/>
            <w:noWrap/>
            <w:vAlign w:val="center"/>
            <w:hideMark/>
          </w:tcPr>
          <w:p w14:paraId="4E6022BE" w14:textId="77777777" w:rsidR="00C91B88" w:rsidRPr="004C591B" w:rsidRDefault="00C91B88" w:rsidP="00C91B88">
            <w:pPr>
              <w:jc w:val="center"/>
              <w:rPr>
                <w:rFonts w:ascii="Arial" w:hAnsi="Arial" w:cs="Arial"/>
                <w:sz w:val="22"/>
                <w:szCs w:val="22"/>
                <w:lang w:val="fr-FR" w:eastAsia="fr-FR"/>
              </w:rPr>
            </w:pPr>
            <w:proofErr w:type="spellStart"/>
            <w:r w:rsidRPr="004C591B">
              <w:rPr>
                <w:rFonts w:ascii="Arial" w:hAnsi="Arial" w:cs="Arial"/>
                <w:sz w:val="22"/>
                <w:szCs w:val="22"/>
                <w:lang w:val="fr-FR" w:eastAsia="fr-FR"/>
              </w:rPr>
              <w:t>psu</w:t>
            </w:r>
            <w:proofErr w:type="spellEnd"/>
          </w:p>
        </w:tc>
      </w:tr>
      <w:tr w:rsidR="004C591B" w:rsidRPr="004C591B" w14:paraId="1F2DD1E9" w14:textId="77777777" w:rsidTr="00C91B88">
        <w:trPr>
          <w:trHeight w:val="290"/>
        </w:trPr>
        <w:tc>
          <w:tcPr>
            <w:tcW w:w="1100" w:type="dxa"/>
            <w:tcBorders>
              <w:top w:val="nil"/>
              <w:left w:val="nil"/>
              <w:bottom w:val="nil"/>
              <w:right w:val="nil"/>
            </w:tcBorders>
            <w:shd w:val="clear" w:color="000000" w:fill="FFFFFF"/>
            <w:noWrap/>
            <w:vAlign w:val="center"/>
            <w:hideMark/>
          </w:tcPr>
          <w:p w14:paraId="7F05088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7F24C56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40B71B8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4BA8BD2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236E2FB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5529DE3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423FCB0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245D024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r>
      <w:tr w:rsidR="004C591B" w:rsidRPr="004C591B" w14:paraId="0A851CB9" w14:textId="77777777" w:rsidTr="00C91B88">
        <w:trPr>
          <w:trHeight w:val="290"/>
        </w:trPr>
        <w:tc>
          <w:tcPr>
            <w:tcW w:w="5900" w:type="dxa"/>
            <w:gridSpan w:val="6"/>
            <w:tcBorders>
              <w:top w:val="nil"/>
              <w:left w:val="nil"/>
              <w:bottom w:val="nil"/>
              <w:right w:val="nil"/>
            </w:tcBorders>
            <w:shd w:val="clear" w:color="000000" w:fill="FFFFFF"/>
            <w:noWrap/>
            <w:vAlign w:val="center"/>
            <w:hideMark/>
          </w:tcPr>
          <w:p w14:paraId="3BDAA93E" w14:textId="77777777" w:rsidR="00C91B88" w:rsidRPr="004C591B" w:rsidRDefault="00C91B88" w:rsidP="00C91B88">
            <w:pPr>
              <w:rPr>
                <w:rFonts w:ascii="Arial" w:hAnsi="Arial" w:cs="Arial"/>
                <w:b/>
                <w:bCs/>
                <w:i/>
                <w:iCs/>
                <w:sz w:val="22"/>
                <w:szCs w:val="22"/>
                <w:lang w:val="en-GB" w:eastAsia="fr-FR"/>
              </w:rPr>
            </w:pPr>
            <w:r w:rsidRPr="004C591B">
              <w:rPr>
                <w:rFonts w:ascii="Arial" w:hAnsi="Arial" w:cs="Arial"/>
                <w:b/>
                <w:bCs/>
                <w:i/>
                <w:iCs/>
                <w:sz w:val="22"/>
                <w:szCs w:val="22"/>
                <w:lang w:val="en-GB" w:eastAsia="fr-FR"/>
              </w:rPr>
              <w:t>Station 44: 59.6°N, -38.9°E, Bottom depth 2928m</w:t>
            </w:r>
          </w:p>
        </w:tc>
        <w:tc>
          <w:tcPr>
            <w:tcW w:w="1420" w:type="dxa"/>
            <w:tcBorders>
              <w:top w:val="nil"/>
              <w:left w:val="nil"/>
              <w:bottom w:val="nil"/>
              <w:right w:val="nil"/>
            </w:tcBorders>
            <w:shd w:val="clear" w:color="000000" w:fill="FFFFFF"/>
            <w:noWrap/>
            <w:vAlign w:val="center"/>
            <w:hideMark/>
          </w:tcPr>
          <w:p w14:paraId="4E9B81F2"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c>
          <w:tcPr>
            <w:tcW w:w="960" w:type="dxa"/>
            <w:tcBorders>
              <w:top w:val="nil"/>
              <w:left w:val="nil"/>
              <w:bottom w:val="nil"/>
              <w:right w:val="nil"/>
            </w:tcBorders>
            <w:shd w:val="clear" w:color="000000" w:fill="FFFFFF"/>
            <w:noWrap/>
            <w:vAlign w:val="center"/>
            <w:hideMark/>
          </w:tcPr>
          <w:p w14:paraId="3ED4F343"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r>
      <w:tr w:rsidR="004C591B" w:rsidRPr="004C591B" w14:paraId="558C9262" w14:textId="77777777" w:rsidTr="00C91B88">
        <w:trPr>
          <w:trHeight w:val="290"/>
        </w:trPr>
        <w:tc>
          <w:tcPr>
            <w:tcW w:w="1100" w:type="dxa"/>
            <w:tcBorders>
              <w:top w:val="nil"/>
              <w:left w:val="nil"/>
              <w:bottom w:val="nil"/>
              <w:right w:val="nil"/>
            </w:tcBorders>
            <w:shd w:val="clear" w:color="000000" w:fill="FFFFFF"/>
            <w:noWrap/>
            <w:vAlign w:val="center"/>
            <w:hideMark/>
          </w:tcPr>
          <w:p w14:paraId="2FAB8E5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20</w:t>
            </w:r>
          </w:p>
        </w:tc>
        <w:tc>
          <w:tcPr>
            <w:tcW w:w="960" w:type="dxa"/>
            <w:tcBorders>
              <w:top w:val="nil"/>
              <w:left w:val="nil"/>
              <w:bottom w:val="nil"/>
              <w:right w:val="nil"/>
            </w:tcBorders>
            <w:shd w:val="clear" w:color="000000" w:fill="FFFFFF"/>
            <w:noWrap/>
            <w:vAlign w:val="center"/>
            <w:hideMark/>
          </w:tcPr>
          <w:p w14:paraId="6380951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1.51</w:t>
            </w:r>
          </w:p>
        </w:tc>
        <w:tc>
          <w:tcPr>
            <w:tcW w:w="960" w:type="dxa"/>
            <w:tcBorders>
              <w:top w:val="nil"/>
              <w:left w:val="nil"/>
              <w:bottom w:val="nil"/>
              <w:right w:val="nil"/>
            </w:tcBorders>
            <w:shd w:val="clear" w:color="000000" w:fill="FFFFFF"/>
            <w:noWrap/>
            <w:vAlign w:val="center"/>
            <w:hideMark/>
          </w:tcPr>
          <w:p w14:paraId="56E48C5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18E9B30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3.52</w:t>
            </w:r>
          </w:p>
        </w:tc>
        <w:tc>
          <w:tcPr>
            <w:tcW w:w="960" w:type="dxa"/>
            <w:tcBorders>
              <w:top w:val="nil"/>
              <w:left w:val="nil"/>
              <w:bottom w:val="nil"/>
              <w:right w:val="nil"/>
            </w:tcBorders>
            <w:shd w:val="clear" w:color="000000" w:fill="FFFFFF"/>
            <w:noWrap/>
            <w:vAlign w:val="center"/>
            <w:hideMark/>
          </w:tcPr>
          <w:p w14:paraId="588645A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16.5</w:t>
            </w:r>
          </w:p>
        </w:tc>
        <w:tc>
          <w:tcPr>
            <w:tcW w:w="960" w:type="dxa"/>
            <w:tcBorders>
              <w:top w:val="nil"/>
              <w:left w:val="nil"/>
              <w:bottom w:val="nil"/>
              <w:right w:val="nil"/>
            </w:tcBorders>
            <w:shd w:val="clear" w:color="000000" w:fill="FFFFFF"/>
            <w:noWrap/>
            <w:vAlign w:val="center"/>
            <w:hideMark/>
          </w:tcPr>
          <w:p w14:paraId="322AC1E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8.1</w:t>
            </w:r>
          </w:p>
        </w:tc>
        <w:tc>
          <w:tcPr>
            <w:tcW w:w="1420" w:type="dxa"/>
            <w:tcBorders>
              <w:top w:val="nil"/>
              <w:left w:val="nil"/>
              <w:bottom w:val="nil"/>
              <w:right w:val="nil"/>
            </w:tcBorders>
            <w:shd w:val="clear" w:color="000000" w:fill="FFFFFF"/>
            <w:noWrap/>
            <w:vAlign w:val="center"/>
            <w:hideMark/>
          </w:tcPr>
          <w:p w14:paraId="2D5E8C0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6.79</w:t>
            </w:r>
          </w:p>
        </w:tc>
        <w:tc>
          <w:tcPr>
            <w:tcW w:w="960" w:type="dxa"/>
            <w:tcBorders>
              <w:top w:val="nil"/>
              <w:left w:val="nil"/>
              <w:bottom w:val="nil"/>
              <w:right w:val="nil"/>
            </w:tcBorders>
            <w:shd w:val="clear" w:color="000000" w:fill="FFFFFF"/>
            <w:noWrap/>
            <w:vAlign w:val="center"/>
            <w:hideMark/>
          </w:tcPr>
          <w:p w14:paraId="1F2E7D6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34.85</w:t>
            </w:r>
          </w:p>
        </w:tc>
      </w:tr>
      <w:tr w:rsidR="004C591B" w:rsidRPr="004C591B" w14:paraId="78DBC413" w14:textId="77777777" w:rsidTr="00C91B88">
        <w:trPr>
          <w:trHeight w:val="290"/>
        </w:trPr>
        <w:tc>
          <w:tcPr>
            <w:tcW w:w="1100" w:type="dxa"/>
            <w:tcBorders>
              <w:top w:val="nil"/>
              <w:left w:val="nil"/>
              <w:bottom w:val="nil"/>
              <w:right w:val="nil"/>
            </w:tcBorders>
            <w:shd w:val="clear" w:color="000000" w:fill="FFFFFF"/>
            <w:noWrap/>
            <w:vAlign w:val="center"/>
            <w:hideMark/>
          </w:tcPr>
          <w:p w14:paraId="0CD8908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50</w:t>
            </w:r>
          </w:p>
        </w:tc>
        <w:tc>
          <w:tcPr>
            <w:tcW w:w="960" w:type="dxa"/>
            <w:tcBorders>
              <w:top w:val="nil"/>
              <w:left w:val="nil"/>
              <w:bottom w:val="nil"/>
              <w:right w:val="nil"/>
            </w:tcBorders>
            <w:shd w:val="clear" w:color="000000" w:fill="FFFFFF"/>
            <w:noWrap/>
            <w:vAlign w:val="center"/>
            <w:hideMark/>
          </w:tcPr>
          <w:p w14:paraId="6B2D0CC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1.43</w:t>
            </w:r>
          </w:p>
        </w:tc>
        <w:tc>
          <w:tcPr>
            <w:tcW w:w="960" w:type="dxa"/>
            <w:tcBorders>
              <w:top w:val="nil"/>
              <w:left w:val="nil"/>
              <w:bottom w:val="nil"/>
              <w:right w:val="nil"/>
            </w:tcBorders>
            <w:shd w:val="clear" w:color="000000" w:fill="FFFFFF"/>
            <w:noWrap/>
            <w:vAlign w:val="center"/>
            <w:hideMark/>
          </w:tcPr>
          <w:p w14:paraId="3A4F9BD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0.03</w:t>
            </w:r>
          </w:p>
        </w:tc>
        <w:tc>
          <w:tcPr>
            <w:tcW w:w="960" w:type="dxa"/>
            <w:tcBorders>
              <w:top w:val="nil"/>
              <w:left w:val="nil"/>
              <w:bottom w:val="nil"/>
              <w:right w:val="nil"/>
            </w:tcBorders>
            <w:shd w:val="clear" w:color="000000" w:fill="FFFFFF"/>
            <w:noWrap/>
            <w:vAlign w:val="center"/>
            <w:hideMark/>
          </w:tcPr>
          <w:p w14:paraId="1B1B2D0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3.55</w:t>
            </w:r>
          </w:p>
        </w:tc>
        <w:tc>
          <w:tcPr>
            <w:tcW w:w="960" w:type="dxa"/>
            <w:tcBorders>
              <w:top w:val="nil"/>
              <w:left w:val="nil"/>
              <w:bottom w:val="nil"/>
              <w:right w:val="nil"/>
            </w:tcBorders>
            <w:shd w:val="clear" w:color="000000" w:fill="FFFFFF"/>
            <w:noWrap/>
            <w:vAlign w:val="center"/>
            <w:hideMark/>
          </w:tcPr>
          <w:p w14:paraId="7C9C154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0AEA130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50E998B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4.97</w:t>
            </w:r>
          </w:p>
        </w:tc>
        <w:tc>
          <w:tcPr>
            <w:tcW w:w="960" w:type="dxa"/>
            <w:tcBorders>
              <w:top w:val="nil"/>
              <w:left w:val="nil"/>
              <w:bottom w:val="nil"/>
              <w:right w:val="nil"/>
            </w:tcBorders>
            <w:shd w:val="clear" w:color="000000" w:fill="FFFFFF"/>
            <w:noWrap/>
            <w:vAlign w:val="center"/>
            <w:hideMark/>
          </w:tcPr>
          <w:p w14:paraId="2C955B4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34.86</w:t>
            </w:r>
          </w:p>
        </w:tc>
      </w:tr>
      <w:tr w:rsidR="004C591B" w:rsidRPr="004C591B" w14:paraId="643511B9" w14:textId="77777777" w:rsidTr="00C91B88">
        <w:trPr>
          <w:trHeight w:val="290"/>
        </w:trPr>
        <w:tc>
          <w:tcPr>
            <w:tcW w:w="1100" w:type="dxa"/>
            <w:tcBorders>
              <w:top w:val="nil"/>
              <w:left w:val="nil"/>
              <w:bottom w:val="nil"/>
              <w:right w:val="nil"/>
            </w:tcBorders>
            <w:shd w:val="clear" w:color="000000" w:fill="FFFFFF"/>
            <w:noWrap/>
            <w:vAlign w:val="center"/>
            <w:hideMark/>
          </w:tcPr>
          <w:p w14:paraId="21FE14D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159</w:t>
            </w:r>
          </w:p>
        </w:tc>
        <w:tc>
          <w:tcPr>
            <w:tcW w:w="960" w:type="dxa"/>
            <w:tcBorders>
              <w:top w:val="nil"/>
              <w:left w:val="nil"/>
              <w:bottom w:val="nil"/>
              <w:right w:val="nil"/>
            </w:tcBorders>
            <w:shd w:val="clear" w:color="000000" w:fill="FFFFFF"/>
            <w:noWrap/>
            <w:vAlign w:val="center"/>
            <w:hideMark/>
          </w:tcPr>
          <w:p w14:paraId="2B71A95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1.49</w:t>
            </w:r>
          </w:p>
        </w:tc>
        <w:tc>
          <w:tcPr>
            <w:tcW w:w="960" w:type="dxa"/>
            <w:tcBorders>
              <w:top w:val="nil"/>
              <w:left w:val="nil"/>
              <w:bottom w:val="nil"/>
              <w:right w:val="nil"/>
            </w:tcBorders>
            <w:shd w:val="clear" w:color="000000" w:fill="FFFFFF"/>
            <w:noWrap/>
            <w:vAlign w:val="center"/>
            <w:hideMark/>
          </w:tcPr>
          <w:p w14:paraId="4279208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3BE2ADC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3.52</w:t>
            </w:r>
          </w:p>
        </w:tc>
        <w:tc>
          <w:tcPr>
            <w:tcW w:w="960" w:type="dxa"/>
            <w:tcBorders>
              <w:top w:val="nil"/>
              <w:left w:val="nil"/>
              <w:bottom w:val="nil"/>
              <w:right w:val="nil"/>
            </w:tcBorders>
            <w:shd w:val="clear" w:color="000000" w:fill="FFFFFF"/>
            <w:noWrap/>
            <w:vAlign w:val="center"/>
            <w:hideMark/>
          </w:tcPr>
          <w:p w14:paraId="0232262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16.4</w:t>
            </w:r>
          </w:p>
        </w:tc>
        <w:tc>
          <w:tcPr>
            <w:tcW w:w="960" w:type="dxa"/>
            <w:tcBorders>
              <w:top w:val="nil"/>
              <w:left w:val="nil"/>
              <w:bottom w:val="nil"/>
              <w:right w:val="nil"/>
            </w:tcBorders>
            <w:shd w:val="clear" w:color="000000" w:fill="FFFFFF"/>
            <w:noWrap/>
            <w:vAlign w:val="center"/>
            <w:hideMark/>
          </w:tcPr>
          <w:p w14:paraId="58EE851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8.0</w:t>
            </w:r>
          </w:p>
        </w:tc>
        <w:tc>
          <w:tcPr>
            <w:tcW w:w="1420" w:type="dxa"/>
            <w:tcBorders>
              <w:top w:val="nil"/>
              <w:left w:val="nil"/>
              <w:bottom w:val="nil"/>
              <w:right w:val="nil"/>
            </w:tcBorders>
            <w:shd w:val="clear" w:color="000000" w:fill="FFFFFF"/>
            <w:noWrap/>
            <w:vAlign w:val="center"/>
            <w:hideMark/>
          </w:tcPr>
          <w:p w14:paraId="5175159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4.14</w:t>
            </w:r>
          </w:p>
        </w:tc>
        <w:tc>
          <w:tcPr>
            <w:tcW w:w="960" w:type="dxa"/>
            <w:tcBorders>
              <w:top w:val="nil"/>
              <w:left w:val="nil"/>
              <w:bottom w:val="nil"/>
              <w:right w:val="nil"/>
            </w:tcBorders>
            <w:shd w:val="clear" w:color="000000" w:fill="FFFFFF"/>
            <w:noWrap/>
            <w:vAlign w:val="center"/>
            <w:hideMark/>
          </w:tcPr>
          <w:p w14:paraId="13CAC00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34.90</w:t>
            </w:r>
          </w:p>
        </w:tc>
      </w:tr>
      <w:tr w:rsidR="004C591B" w:rsidRPr="004C591B" w14:paraId="51601350" w14:textId="77777777" w:rsidTr="00C91B88">
        <w:trPr>
          <w:trHeight w:val="290"/>
        </w:trPr>
        <w:tc>
          <w:tcPr>
            <w:tcW w:w="1100" w:type="dxa"/>
            <w:tcBorders>
              <w:top w:val="nil"/>
              <w:left w:val="nil"/>
              <w:bottom w:val="nil"/>
              <w:right w:val="nil"/>
            </w:tcBorders>
            <w:shd w:val="clear" w:color="000000" w:fill="FFFFFF"/>
            <w:noWrap/>
            <w:vAlign w:val="center"/>
            <w:hideMark/>
          </w:tcPr>
          <w:p w14:paraId="62F5CFD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199</w:t>
            </w:r>
          </w:p>
        </w:tc>
        <w:tc>
          <w:tcPr>
            <w:tcW w:w="960" w:type="dxa"/>
            <w:tcBorders>
              <w:top w:val="nil"/>
              <w:left w:val="nil"/>
              <w:bottom w:val="nil"/>
              <w:right w:val="nil"/>
            </w:tcBorders>
            <w:shd w:val="clear" w:color="000000" w:fill="FFFFFF"/>
            <w:noWrap/>
            <w:vAlign w:val="center"/>
            <w:hideMark/>
          </w:tcPr>
          <w:p w14:paraId="0B33E2B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1.33</w:t>
            </w:r>
          </w:p>
        </w:tc>
        <w:tc>
          <w:tcPr>
            <w:tcW w:w="960" w:type="dxa"/>
            <w:tcBorders>
              <w:top w:val="nil"/>
              <w:left w:val="nil"/>
              <w:bottom w:val="nil"/>
              <w:right w:val="nil"/>
            </w:tcBorders>
            <w:shd w:val="clear" w:color="000000" w:fill="FFFFFF"/>
            <w:noWrap/>
            <w:vAlign w:val="center"/>
            <w:hideMark/>
          </w:tcPr>
          <w:p w14:paraId="608E793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54CD769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3.74</w:t>
            </w:r>
          </w:p>
        </w:tc>
        <w:tc>
          <w:tcPr>
            <w:tcW w:w="960" w:type="dxa"/>
            <w:tcBorders>
              <w:top w:val="nil"/>
              <w:left w:val="nil"/>
              <w:bottom w:val="nil"/>
              <w:right w:val="nil"/>
            </w:tcBorders>
            <w:shd w:val="clear" w:color="000000" w:fill="FFFFFF"/>
            <w:noWrap/>
            <w:vAlign w:val="center"/>
            <w:hideMark/>
          </w:tcPr>
          <w:p w14:paraId="694C6F5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16.5</w:t>
            </w:r>
          </w:p>
        </w:tc>
        <w:tc>
          <w:tcPr>
            <w:tcW w:w="960" w:type="dxa"/>
            <w:tcBorders>
              <w:top w:val="nil"/>
              <w:left w:val="nil"/>
              <w:bottom w:val="nil"/>
              <w:right w:val="nil"/>
            </w:tcBorders>
            <w:shd w:val="clear" w:color="000000" w:fill="FFFFFF"/>
            <w:noWrap/>
            <w:vAlign w:val="center"/>
            <w:hideMark/>
          </w:tcPr>
          <w:p w14:paraId="3458B56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8.2</w:t>
            </w:r>
          </w:p>
        </w:tc>
        <w:tc>
          <w:tcPr>
            <w:tcW w:w="1420" w:type="dxa"/>
            <w:tcBorders>
              <w:top w:val="nil"/>
              <w:left w:val="nil"/>
              <w:bottom w:val="nil"/>
              <w:right w:val="nil"/>
            </w:tcBorders>
            <w:shd w:val="clear" w:color="000000" w:fill="FFFFFF"/>
            <w:noWrap/>
            <w:vAlign w:val="center"/>
            <w:hideMark/>
          </w:tcPr>
          <w:p w14:paraId="4A32EA0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4.06</w:t>
            </w:r>
          </w:p>
        </w:tc>
        <w:tc>
          <w:tcPr>
            <w:tcW w:w="960" w:type="dxa"/>
            <w:tcBorders>
              <w:top w:val="nil"/>
              <w:left w:val="nil"/>
              <w:bottom w:val="nil"/>
              <w:right w:val="nil"/>
            </w:tcBorders>
            <w:shd w:val="clear" w:color="000000" w:fill="FFFFFF"/>
            <w:noWrap/>
            <w:vAlign w:val="center"/>
            <w:hideMark/>
          </w:tcPr>
          <w:p w14:paraId="1E48292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34.90</w:t>
            </w:r>
          </w:p>
        </w:tc>
      </w:tr>
      <w:tr w:rsidR="004C591B" w:rsidRPr="004C591B" w14:paraId="3D73393B" w14:textId="77777777" w:rsidTr="00C91B88">
        <w:trPr>
          <w:trHeight w:val="290"/>
        </w:trPr>
        <w:tc>
          <w:tcPr>
            <w:tcW w:w="1100" w:type="dxa"/>
            <w:tcBorders>
              <w:top w:val="nil"/>
              <w:left w:val="nil"/>
              <w:bottom w:val="nil"/>
              <w:right w:val="nil"/>
            </w:tcBorders>
            <w:shd w:val="clear" w:color="000000" w:fill="FFFFFF"/>
            <w:noWrap/>
            <w:vAlign w:val="center"/>
            <w:hideMark/>
          </w:tcPr>
          <w:p w14:paraId="6DD1C2D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297</w:t>
            </w:r>
          </w:p>
        </w:tc>
        <w:tc>
          <w:tcPr>
            <w:tcW w:w="960" w:type="dxa"/>
            <w:tcBorders>
              <w:top w:val="nil"/>
              <w:left w:val="nil"/>
              <w:bottom w:val="nil"/>
              <w:right w:val="nil"/>
            </w:tcBorders>
            <w:shd w:val="clear" w:color="000000" w:fill="FFFFFF"/>
            <w:noWrap/>
            <w:vAlign w:val="center"/>
            <w:hideMark/>
          </w:tcPr>
          <w:p w14:paraId="232CD00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1.41</w:t>
            </w:r>
          </w:p>
        </w:tc>
        <w:tc>
          <w:tcPr>
            <w:tcW w:w="960" w:type="dxa"/>
            <w:tcBorders>
              <w:top w:val="nil"/>
              <w:left w:val="nil"/>
              <w:bottom w:val="nil"/>
              <w:right w:val="nil"/>
            </w:tcBorders>
            <w:shd w:val="clear" w:color="000000" w:fill="FFFFFF"/>
            <w:noWrap/>
            <w:vAlign w:val="center"/>
            <w:hideMark/>
          </w:tcPr>
          <w:p w14:paraId="09367F0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0AB4167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3.72</w:t>
            </w:r>
          </w:p>
        </w:tc>
        <w:tc>
          <w:tcPr>
            <w:tcW w:w="960" w:type="dxa"/>
            <w:tcBorders>
              <w:top w:val="nil"/>
              <w:left w:val="nil"/>
              <w:bottom w:val="nil"/>
              <w:right w:val="nil"/>
            </w:tcBorders>
            <w:shd w:val="clear" w:color="000000" w:fill="FFFFFF"/>
            <w:noWrap/>
            <w:vAlign w:val="center"/>
            <w:hideMark/>
          </w:tcPr>
          <w:p w14:paraId="39CFCFA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16.3</w:t>
            </w:r>
          </w:p>
        </w:tc>
        <w:tc>
          <w:tcPr>
            <w:tcW w:w="960" w:type="dxa"/>
            <w:tcBorders>
              <w:top w:val="nil"/>
              <w:left w:val="nil"/>
              <w:bottom w:val="nil"/>
              <w:right w:val="nil"/>
            </w:tcBorders>
            <w:shd w:val="clear" w:color="000000" w:fill="FFFFFF"/>
            <w:noWrap/>
            <w:vAlign w:val="center"/>
            <w:hideMark/>
          </w:tcPr>
          <w:p w14:paraId="745DA7A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8.1</w:t>
            </w:r>
          </w:p>
        </w:tc>
        <w:tc>
          <w:tcPr>
            <w:tcW w:w="1420" w:type="dxa"/>
            <w:tcBorders>
              <w:top w:val="nil"/>
              <w:left w:val="nil"/>
              <w:bottom w:val="nil"/>
              <w:right w:val="nil"/>
            </w:tcBorders>
            <w:shd w:val="clear" w:color="000000" w:fill="FFFFFF"/>
            <w:noWrap/>
            <w:vAlign w:val="center"/>
            <w:hideMark/>
          </w:tcPr>
          <w:p w14:paraId="47F6CE0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3.97</w:t>
            </w:r>
          </w:p>
        </w:tc>
        <w:tc>
          <w:tcPr>
            <w:tcW w:w="960" w:type="dxa"/>
            <w:tcBorders>
              <w:top w:val="nil"/>
              <w:left w:val="nil"/>
              <w:bottom w:val="nil"/>
              <w:right w:val="nil"/>
            </w:tcBorders>
            <w:shd w:val="clear" w:color="000000" w:fill="FFFFFF"/>
            <w:noWrap/>
            <w:vAlign w:val="center"/>
            <w:hideMark/>
          </w:tcPr>
          <w:p w14:paraId="62499F5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34.90</w:t>
            </w:r>
          </w:p>
        </w:tc>
      </w:tr>
      <w:tr w:rsidR="004C591B" w:rsidRPr="004C591B" w14:paraId="4FB34493" w14:textId="77777777" w:rsidTr="00C91B88">
        <w:trPr>
          <w:trHeight w:val="290"/>
        </w:trPr>
        <w:tc>
          <w:tcPr>
            <w:tcW w:w="1100" w:type="dxa"/>
            <w:tcBorders>
              <w:top w:val="nil"/>
              <w:left w:val="nil"/>
              <w:bottom w:val="nil"/>
              <w:right w:val="nil"/>
            </w:tcBorders>
            <w:shd w:val="clear" w:color="000000" w:fill="FFFFFF"/>
            <w:noWrap/>
            <w:vAlign w:val="center"/>
            <w:hideMark/>
          </w:tcPr>
          <w:p w14:paraId="086757B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466</w:t>
            </w:r>
          </w:p>
        </w:tc>
        <w:tc>
          <w:tcPr>
            <w:tcW w:w="960" w:type="dxa"/>
            <w:tcBorders>
              <w:top w:val="nil"/>
              <w:left w:val="nil"/>
              <w:bottom w:val="nil"/>
              <w:right w:val="nil"/>
            </w:tcBorders>
            <w:shd w:val="clear" w:color="000000" w:fill="FFFFFF"/>
            <w:noWrap/>
            <w:vAlign w:val="center"/>
            <w:hideMark/>
          </w:tcPr>
          <w:p w14:paraId="7F9DB63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1.32</w:t>
            </w:r>
          </w:p>
        </w:tc>
        <w:tc>
          <w:tcPr>
            <w:tcW w:w="960" w:type="dxa"/>
            <w:tcBorders>
              <w:top w:val="nil"/>
              <w:left w:val="nil"/>
              <w:bottom w:val="nil"/>
              <w:right w:val="nil"/>
            </w:tcBorders>
            <w:shd w:val="clear" w:color="000000" w:fill="FFFFFF"/>
            <w:noWrap/>
            <w:vAlign w:val="center"/>
            <w:hideMark/>
          </w:tcPr>
          <w:p w14:paraId="6063490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5BF623B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3.76</w:t>
            </w:r>
          </w:p>
        </w:tc>
        <w:tc>
          <w:tcPr>
            <w:tcW w:w="960" w:type="dxa"/>
            <w:tcBorders>
              <w:top w:val="nil"/>
              <w:left w:val="nil"/>
              <w:bottom w:val="nil"/>
              <w:right w:val="nil"/>
            </w:tcBorders>
            <w:shd w:val="clear" w:color="000000" w:fill="FFFFFF"/>
            <w:noWrap/>
            <w:vAlign w:val="center"/>
            <w:hideMark/>
          </w:tcPr>
          <w:p w14:paraId="0CC4A22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16.3</w:t>
            </w:r>
          </w:p>
        </w:tc>
        <w:tc>
          <w:tcPr>
            <w:tcW w:w="960" w:type="dxa"/>
            <w:tcBorders>
              <w:top w:val="nil"/>
              <w:left w:val="nil"/>
              <w:bottom w:val="nil"/>
              <w:right w:val="nil"/>
            </w:tcBorders>
            <w:shd w:val="clear" w:color="000000" w:fill="FFFFFF"/>
            <w:noWrap/>
            <w:vAlign w:val="center"/>
            <w:hideMark/>
          </w:tcPr>
          <w:p w14:paraId="6E8CC1D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8.3</w:t>
            </w:r>
          </w:p>
        </w:tc>
        <w:tc>
          <w:tcPr>
            <w:tcW w:w="1420" w:type="dxa"/>
            <w:tcBorders>
              <w:top w:val="nil"/>
              <w:left w:val="nil"/>
              <w:bottom w:val="nil"/>
              <w:right w:val="nil"/>
            </w:tcBorders>
            <w:shd w:val="clear" w:color="000000" w:fill="FFFFFF"/>
            <w:noWrap/>
            <w:vAlign w:val="center"/>
            <w:hideMark/>
          </w:tcPr>
          <w:p w14:paraId="28F5975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3.86</w:t>
            </w:r>
          </w:p>
        </w:tc>
        <w:tc>
          <w:tcPr>
            <w:tcW w:w="960" w:type="dxa"/>
            <w:tcBorders>
              <w:top w:val="nil"/>
              <w:left w:val="nil"/>
              <w:bottom w:val="nil"/>
              <w:right w:val="nil"/>
            </w:tcBorders>
            <w:shd w:val="clear" w:color="000000" w:fill="FFFFFF"/>
            <w:noWrap/>
            <w:vAlign w:val="center"/>
            <w:hideMark/>
          </w:tcPr>
          <w:p w14:paraId="70BAF76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34.89</w:t>
            </w:r>
          </w:p>
        </w:tc>
      </w:tr>
      <w:tr w:rsidR="004C591B" w:rsidRPr="004C591B" w14:paraId="519D2734" w14:textId="77777777" w:rsidTr="00C91B88">
        <w:trPr>
          <w:trHeight w:val="290"/>
        </w:trPr>
        <w:tc>
          <w:tcPr>
            <w:tcW w:w="1100" w:type="dxa"/>
            <w:tcBorders>
              <w:top w:val="nil"/>
              <w:left w:val="nil"/>
              <w:bottom w:val="nil"/>
              <w:right w:val="nil"/>
            </w:tcBorders>
            <w:shd w:val="clear" w:color="000000" w:fill="FFFFFF"/>
            <w:noWrap/>
            <w:vAlign w:val="center"/>
            <w:hideMark/>
          </w:tcPr>
          <w:p w14:paraId="2B5AA0E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595</w:t>
            </w:r>
          </w:p>
        </w:tc>
        <w:tc>
          <w:tcPr>
            <w:tcW w:w="960" w:type="dxa"/>
            <w:tcBorders>
              <w:top w:val="nil"/>
              <w:left w:val="nil"/>
              <w:bottom w:val="nil"/>
              <w:right w:val="nil"/>
            </w:tcBorders>
            <w:shd w:val="clear" w:color="000000" w:fill="FFFFFF"/>
            <w:noWrap/>
            <w:vAlign w:val="center"/>
            <w:hideMark/>
          </w:tcPr>
          <w:p w14:paraId="4EDCA90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1.34</w:t>
            </w:r>
          </w:p>
        </w:tc>
        <w:tc>
          <w:tcPr>
            <w:tcW w:w="960" w:type="dxa"/>
            <w:tcBorders>
              <w:top w:val="nil"/>
              <w:left w:val="nil"/>
              <w:bottom w:val="nil"/>
              <w:right w:val="nil"/>
            </w:tcBorders>
            <w:shd w:val="clear" w:color="000000" w:fill="FFFFFF"/>
            <w:noWrap/>
            <w:vAlign w:val="center"/>
            <w:hideMark/>
          </w:tcPr>
          <w:p w14:paraId="024D078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6025757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3.72</w:t>
            </w:r>
          </w:p>
        </w:tc>
        <w:tc>
          <w:tcPr>
            <w:tcW w:w="960" w:type="dxa"/>
            <w:tcBorders>
              <w:top w:val="nil"/>
              <w:left w:val="nil"/>
              <w:bottom w:val="nil"/>
              <w:right w:val="nil"/>
            </w:tcBorders>
            <w:shd w:val="clear" w:color="000000" w:fill="FFFFFF"/>
            <w:noWrap/>
            <w:vAlign w:val="center"/>
            <w:hideMark/>
          </w:tcPr>
          <w:p w14:paraId="181755E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16.4</w:t>
            </w:r>
          </w:p>
        </w:tc>
        <w:tc>
          <w:tcPr>
            <w:tcW w:w="960" w:type="dxa"/>
            <w:tcBorders>
              <w:top w:val="nil"/>
              <w:left w:val="nil"/>
              <w:bottom w:val="nil"/>
              <w:right w:val="nil"/>
            </w:tcBorders>
            <w:shd w:val="clear" w:color="000000" w:fill="FFFFFF"/>
            <w:noWrap/>
            <w:vAlign w:val="center"/>
            <w:hideMark/>
          </w:tcPr>
          <w:p w14:paraId="524683C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8.4</w:t>
            </w:r>
          </w:p>
        </w:tc>
        <w:tc>
          <w:tcPr>
            <w:tcW w:w="1420" w:type="dxa"/>
            <w:tcBorders>
              <w:top w:val="nil"/>
              <w:left w:val="nil"/>
              <w:bottom w:val="nil"/>
              <w:right w:val="nil"/>
            </w:tcBorders>
            <w:shd w:val="clear" w:color="000000" w:fill="FFFFFF"/>
            <w:noWrap/>
            <w:vAlign w:val="center"/>
            <w:hideMark/>
          </w:tcPr>
          <w:p w14:paraId="763B8BB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3.68</w:t>
            </w:r>
          </w:p>
        </w:tc>
        <w:tc>
          <w:tcPr>
            <w:tcW w:w="960" w:type="dxa"/>
            <w:tcBorders>
              <w:top w:val="nil"/>
              <w:left w:val="nil"/>
              <w:bottom w:val="nil"/>
              <w:right w:val="nil"/>
            </w:tcBorders>
            <w:shd w:val="clear" w:color="000000" w:fill="FFFFFF"/>
            <w:noWrap/>
            <w:vAlign w:val="center"/>
            <w:hideMark/>
          </w:tcPr>
          <w:p w14:paraId="656AE9E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34.87</w:t>
            </w:r>
          </w:p>
        </w:tc>
      </w:tr>
      <w:tr w:rsidR="004C591B" w:rsidRPr="004C591B" w14:paraId="4A01C8FC" w14:textId="77777777" w:rsidTr="00C91B88">
        <w:trPr>
          <w:trHeight w:val="290"/>
        </w:trPr>
        <w:tc>
          <w:tcPr>
            <w:tcW w:w="1100" w:type="dxa"/>
            <w:tcBorders>
              <w:top w:val="nil"/>
              <w:left w:val="nil"/>
              <w:bottom w:val="nil"/>
              <w:right w:val="nil"/>
            </w:tcBorders>
            <w:shd w:val="clear" w:color="000000" w:fill="FFFFFF"/>
            <w:noWrap/>
            <w:vAlign w:val="center"/>
            <w:hideMark/>
          </w:tcPr>
          <w:p w14:paraId="14F5C44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694</w:t>
            </w:r>
          </w:p>
        </w:tc>
        <w:tc>
          <w:tcPr>
            <w:tcW w:w="960" w:type="dxa"/>
            <w:tcBorders>
              <w:top w:val="nil"/>
              <w:left w:val="nil"/>
              <w:bottom w:val="nil"/>
              <w:right w:val="nil"/>
            </w:tcBorders>
            <w:shd w:val="clear" w:color="000000" w:fill="FFFFFF"/>
            <w:noWrap/>
            <w:vAlign w:val="center"/>
            <w:hideMark/>
          </w:tcPr>
          <w:p w14:paraId="33773E6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1.45</w:t>
            </w:r>
          </w:p>
        </w:tc>
        <w:tc>
          <w:tcPr>
            <w:tcW w:w="960" w:type="dxa"/>
            <w:tcBorders>
              <w:top w:val="nil"/>
              <w:left w:val="nil"/>
              <w:bottom w:val="nil"/>
              <w:right w:val="nil"/>
            </w:tcBorders>
            <w:shd w:val="clear" w:color="000000" w:fill="FFFFFF"/>
            <w:noWrap/>
            <w:vAlign w:val="center"/>
            <w:hideMark/>
          </w:tcPr>
          <w:p w14:paraId="00A16C6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4BC9733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3.65</w:t>
            </w:r>
          </w:p>
        </w:tc>
        <w:tc>
          <w:tcPr>
            <w:tcW w:w="960" w:type="dxa"/>
            <w:tcBorders>
              <w:top w:val="nil"/>
              <w:left w:val="nil"/>
              <w:bottom w:val="nil"/>
              <w:right w:val="nil"/>
            </w:tcBorders>
            <w:shd w:val="clear" w:color="000000" w:fill="FFFFFF"/>
            <w:noWrap/>
            <w:vAlign w:val="center"/>
            <w:hideMark/>
          </w:tcPr>
          <w:p w14:paraId="0A566BE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16.4</w:t>
            </w:r>
          </w:p>
        </w:tc>
        <w:tc>
          <w:tcPr>
            <w:tcW w:w="960" w:type="dxa"/>
            <w:tcBorders>
              <w:top w:val="nil"/>
              <w:left w:val="nil"/>
              <w:bottom w:val="nil"/>
              <w:right w:val="nil"/>
            </w:tcBorders>
            <w:shd w:val="clear" w:color="000000" w:fill="FFFFFF"/>
            <w:noWrap/>
            <w:vAlign w:val="center"/>
            <w:hideMark/>
          </w:tcPr>
          <w:p w14:paraId="3076A7E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8.4</w:t>
            </w:r>
          </w:p>
        </w:tc>
        <w:tc>
          <w:tcPr>
            <w:tcW w:w="1420" w:type="dxa"/>
            <w:tcBorders>
              <w:top w:val="nil"/>
              <w:left w:val="nil"/>
              <w:bottom w:val="nil"/>
              <w:right w:val="nil"/>
            </w:tcBorders>
            <w:shd w:val="clear" w:color="000000" w:fill="FFFFFF"/>
            <w:noWrap/>
            <w:vAlign w:val="center"/>
            <w:hideMark/>
          </w:tcPr>
          <w:p w14:paraId="5314361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3.62</w:t>
            </w:r>
          </w:p>
        </w:tc>
        <w:tc>
          <w:tcPr>
            <w:tcW w:w="960" w:type="dxa"/>
            <w:tcBorders>
              <w:top w:val="nil"/>
              <w:left w:val="nil"/>
              <w:bottom w:val="nil"/>
              <w:right w:val="nil"/>
            </w:tcBorders>
            <w:shd w:val="clear" w:color="000000" w:fill="FFFFFF"/>
            <w:noWrap/>
            <w:vAlign w:val="center"/>
            <w:hideMark/>
          </w:tcPr>
          <w:p w14:paraId="496BDCC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34.87</w:t>
            </w:r>
          </w:p>
        </w:tc>
      </w:tr>
      <w:tr w:rsidR="004C591B" w:rsidRPr="004C591B" w14:paraId="3A42FD23" w14:textId="77777777" w:rsidTr="00C91B88">
        <w:trPr>
          <w:trHeight w:val="290"/>
        </w:trPr>
        <w:tc>
          <w:tcPr>
            <w:tcW w:w="1100" w:type="dxa"/>
            <w:tcBorders>
              <w:top w:val="nil"/>
              <w:left w:val="nil"/>
              <w:bottom w:val="nil"/>
              <w:right w:val="nil"/>
            </w:tcBorders>
            <w:shd w:val="clear" w:color="000000" w:fill="FFFFFF"/>
            <w:noWrap/>
            <w:vAlign w:val="center"/>
            <w:hideMark/>
          </w:tcPr>
          <w:p w14:paraId="41884DB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890</w:t>
            </w:r>
          </w:p>
        </w:tc>
        <w:tc>
          <w:tcPr>
            <w:tcW w:w="960" w:type="dxa"/>
            <w:tcBorders>
              <w:top w:val="nil"/>
              <w:left w:val="nil"/>
              <w:bottom w:val="nil"/>
              <w:right w:val="nil"/>
            </w:tcBorders>
            <w:shd w:val="clear" w:color="000000" w:fill="FFFFFF"/>
            <w:noWrap/>
            <w:vAlign w:val="center"/>
            <w:hideMark/>
          </w:tcPr>
          <w:p w14:paraId="2519CA4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1.40</w:t>
            </w:r>
          </w:p>
        </w:tc>
        <w:tc>
          <w:tcPr>
            <w:tcW w:w="960" w:type="dxa"/>
            <w:tcBorders>
              <w:top w:val="nil"/>
              <w:left w:val="nil"/>
              <w:bottom w:val="nil"/>
              <w:right w:val="nil"/>
            </w:tcBorders>
            <w:shd w:val="clear" w:color="000000" w:fill="FFFFFF"/>
            <w:noWrap/>
            <w:vAlign w:val="center"/>
            <w:hideMark/>
          </w:tcPr>
          <w:p w14:paraId="6972087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56BBB50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3.70</w:t>
            </w:r>
          </w:p>
        </w:tc>
        <w:tc>
          <w:tcPr>
            <w:tcW w:w="960" w:type="dxa"/>
            <w:tcBorders>
              <w:top w:val="nil"/>
              <w:left w:val="nil"/>
              <w:bottom w:val="nil"/>
              <w:right w:val="nil"/>
            </w:tcBorders>
            <w:shd w:val="clear" w:color="000000" w:fill="FFFFFF"/>
            <w:noWrap/>
            <w:vAlign w:val="center"/>
            <w:hideMark/>
          </w:tcPr>
          <w:p w14:paraId="7A1D2B7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17.1</w:t>
            </w:r>
          </w:p>
        </w:tc>
        <w:tc>
          <w:tcPr>
            <w:tcW w:w="960" w:type="dxa"/>
            <w:tcBorders>
              <w:top w:val="nil"/>
              <w:left w:val="nil"/>
              <w:bottom w:val="nil"/>
              <w:right w:val="nil"/>
            </w:tcBorders>
            <w:shd w:val="clear" w:color="000000" w:fill="FFFFFF"/>
            <w:noWrap/>
            <w:vAlign w:val="center"/>
            <w:hideMark/>
          </w:tcPr>
          <w:p w14:paraId="4C19E84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9.4</w:t>
            </w:r>
          </w:p>
        </w:tc>
        <w:tc>
          <w:tcPr>
            <w:tcW w:w="1420" w:type="dxa"/>
            <w:tcBorders>
              <w:top w:val="nil"/>
              <w:left w:val="nil"/>
              <w:bottom w:val="nil"/>
              <w:right w:val="nil"/>
            </w:tcBorders>
            <w:shd w:val="clear" w:color="000000" w:fill="FFFFFF"/>
            <w:noWrap/>
            <w:vAlign w:val="center"/>
            <w:hideMark/>
          </w:tcPr>
          <w:p w14:paraId="18F0902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3.58</w:t>
            </w:r>
          </w:p>
        </w:tc>
        <w:tc>
          <w:tcPr>
            <w:tcW w:w="960" w:type="dxa"/>
            <w:tcBorders>
              <w:top w:val="nil"/>
              <w:left w:val="nil"/>
              <w:bottom w:val="nil"/>
              <w:right w:val="nil"/>
            </w:tcBorders>
            <w:shd w:val="clear" w:color="000000" w:fill="FFFFFF"/>
            <w:noWrap/>
            <w:vAlign w:val="center"/>
            <w:hideMark/>
          </w:tcPr>
          <w:p w14:paraId="5FD645D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34.86</w:t>
            </w:r>
          </w:p>
        </w:tc>
      </w:tr>
      <w:tr w:rsidR="004C591B" w:rsidRPr="004C591B" w14:paraId="6144FD3C" w14:textId="77777777" w:rsidTr="00C91B88">
        <w:trPr>
          <w:trHeight w:val="290"/>
        </w:trPr>
        <w:tc>
          <w:tcPr>
            <w:tcW w:w="1100" w:type="dxa"/>
            <w:tcBorders>
              <w:top w:val="nil"/>
              <w:left w:val="nil"/>
              <w:bottom w:val="nil"/>
              <w:right w:val="nil"/>
            </w:tcBorders>
            <w:shd w:val="clear" w:color="000000" w:fill="FFFFFF"/>
            <w:noWrap/>
            <w:vAlign w:val="center"/>
            <w:hideMark/>
          </w:tcPr>
          <w:p w14:paraId="36F5F6F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1087</w:t>
            </w:r>
          </w:p>
        </w:tc>
        <w:tc>
          <w:tcPr>
            <w:tcW w:w="960" w:type="dxa"/>
            <w:tcBorders>
              <w:top w:val="nil"/>
              <w:left w:val="nil"/>
              <w:bottom w:val="nil"/>
              <w:right w:val="nil"/>
            </w:tcBorders>
            <w:shd w:val="clear" w:color="000000" w:fill="FFFFFF"/>
            <w:noWrap/>
            <w:vAlign w:val="center"/>
            <w:hideMark/>
          </w:tcPr>
          <w:p w14:paraId="1511287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1.36</w:t>
            </w:r>
          </w:p>
        </w:tc>
        <w:tc>
          <w:tcPr>
            <w:tcW w:w="960" w:type="dxa"/>
            <w:tcBorders>
              <w:top w:val="nil"/>
              <w:left w:val="nil"/>
              <w:bottom w:val="nil"/>
              <w:right w:val="nil"/>
            </w:tcBorders>
            <w:shd w:val="clear" w:color="000000" w:fill="FFFFFF"/>
            <w:noWrap/>
            <w:vAlign w:val="center"/>
            <w:hideMark/>
          </w:tcPr>
          <w:p w14:paraId="4E4B48C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393406C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3.72</w:t>
            </w:r>
          </w:p>
        </w:tc>
        <w:tc>
          <w:tcPr>
            <w:tcW w:w="960" w:type="dxa"/>
            <w:tcBorders>
              <w:top w:val="nil"/>
              <w:left w:val="nil"/>
              <w:bottom w:val="nil"/>
              <w:right w:val="nil"/>
            </w:tcBorders>
            <w:shd w:val="clear" w:color="000000" w:fill="FFFFFF"/>
            <w:noWrap/>
            <w:vAlign w:val="center"/>
            <w:hideMark/>
          </w:tcPr>
          <w:p w14:paraId="1BF5169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17.3</w:t>
            </w:r>
          </w:p>
        </w:tc>
        <w:tc>
          <w:tcPr>
            <w:tcW w:w="960" w:type="dxa"/>
            <w:tcBorders>
              <w:top w:val="nil"/>
              <w:left w:val="nil"/>
              <w:bottom w:val="nil"/>
              <w:right w:val="nil"/>
            </w:tcBorders>
            <w:shd w:val="clear" w:color="000000" w:fill="FFFFFF"/>
            <w:noWrap/>
            <w:vAlign w:val="center"/>
            <w:hideMark/>
          </w:tcPr>
          <w:p w14:paraId="2470D3A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10.6</w:t>
            </w:r>
          </w:p>
        </w:tc>
        <w:tc>
          <w:tcPr>
            <w:tcW w:w="1420" w:type="dxa"/>
            <w:tcBorders>
              <w:top w:val="nil"/>
              <w:left w:val="nil"/>
              <w:bottom w:val="nil"/>
              <w:right w:val="nil"/>
            </w:tcBorders>
            <w:shd w:val="clear" w:color="000000" w:fill="FFFFFF"/>
            <w:noWrap/>
            <w:vAlign w:val="center"/>
            <w:hideMark/>
          </w:tcPr>
          <w:p w14:paraId="1774B95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3.73</w:t>
            </w:r>
          </w:p>
        </w:tc>
        <w:tc>
          <w:tcPr>
            <w:tcW w:w="960" w:type="dxa"/>
            <w:tcBorders>
              <w:top w:val="nil"/>
              <w:left w:val="nil"/>
              <w:bottom w:val="nil"/>
              <w:right w:val="nil"/>
            </w:tcBorders>
            <w:shd w:val="clear" w:color="000000" w:fill="FFFFFF"/>
            <w:noWrap/>
            <w:vAlign w:val="center"/>
            <w:hideMark/>
          </w:tcPr>
          <w:p w14:paraId="73F6E1E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34.90</w:t>
            </w:r>
          </w:p>
        </w:tc>
      </w:tr>
      <w:tr w:rsidR="004C591B" w:rsidRPr="004C591B" w14:paraId="319536B8" w14:textId="77777777" w:rsidTr="00C91B88">
        <w:trPr>
          <w:trHeight w:val="290"/>
        </w:trPr>
        <w:tc>
          <w:tcPr>
            <w:tcW w:w="1100" w:type="dxa"/>
            <w:tcBorders>
              <w:top w:val="nil"/>
              <w:left w:val="nil"/>
              <w:bottom w:val="nil"/>
              <w:right w:val="nil"/>
            </w:tcBorders>
            <w:shd w:val="clear" w:color="000000" w:fill="FFFFFF"/>
            <w:noWrap/>
            <w:vAlign w:val="center"/>
            <w:hideMark/>
          </w:tcPr>
          <w:p w14:paraId="2EB3C82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1580</w:t>
            </w:r>
          </w:p>
        </w:tc>
        <w:tc>
          <w:tcPr>
            <w:tcW w:w="960" w:type="dxa"/>
            <w:tcBorders>
              <w:top w:val="nil"/>
              <w:left w:val="nil"/>
              <w:bottom w:val="nil"/>
              <w:right w:val="nil"/>
            </w:tcBorders>
            <w:shd w:val="clear" w:color="000000" w:fill="FFFFFF"/>
            <w:noWrap/>
            <w:vAlign w:val="center"/>
            <w:hideMark/>
          </w:tcPr>
          <w:p w14:paraId="421171F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1.44</w:t>
            </w:r>
          </w:p>
        </w:tc>
        <w:tc>
          <w:tcPr>
            <w:tcW w:w="960" w:type="dxa"/>
            <w:tcBorders>
              <w:top w:val="nil"/>
              <w:left w:val="nil"/>
              <w:bottom w:val="nil"/>
              <w:right w:val="nil"/>
            </w:tcBorders>
            <w:shd w:val="clear" w:color="000000" w:fill="FFFFFF"/>
            <w:noWrap/>
            <w:vAlign w:val="center"/>
            <w:hideMark/>
          </w:tcPr>
          <w:p w14:paraId="324D80E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6257AB0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3.72</w:t>
            </w:r>
          </w:p>
        </w:tc>
        <w:tc>
          <w:tcPr>
            <w:tcW w:w="960" w:type="dxa"/>
            <w:tcBorders>
              <w:top w:val="nil"/>
              <w:left w:val="nil"/>
              <w:bottom w:val="nil"/>
              <w:right w:val="nil"/>
            </w:tcBorders>
            <w:shd w:val="clear" w:color="000000" w:fill="FFFFFF"/>
            <w:noWrap/>
            <w:vAlign w:val="center"/>
            <w:hideMark/>
          </w:tcPr>
          <w:p w14:paraId="584A49A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34F9228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11.5</w:t>
            </w:r>
          </w:p>
        </w:tc>
        <w:tc>
          <w:tcPr>
            <w:tcW w:w="1420" w:type="dxa"/>
            <w:tcBorders>
              <w:top w:val="nil"/>
              <w:left w:val="nil"/>
              <w:bottom w:val="nil"/>
              <w:right w:val="nil"/>
            </w:tcBorders>
            <w:shd w:val="clear" w:color="000000" w:fill="FFFFFF"/>
            <w:noWrap/>
            <w:vAlign w:val="center"/>
            <w:hideMark/>
          </w:tcPr>
          <w:p w14:paraId="54AF579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3.54</w:t>
            </w:r>
          </w:p>
        </w:tc>
        <w:tc>
          <w:tcPr>
            <w:tcW w:w="960" w:type="dxa"/>
            <w:tcBorders>
              <w:top w:val="nil"/>
              <w:left w:val="nil"/>
              <w:bottom w:val="nil"/>
              <w:right w:val="nil"/>
            </w:tcBorders>
            <w:shd w:val="clear" w:color="000000" w:fill="FFFFFF"/>
            <w:noWrap/>
            <w:vAlign w:val="center"/>
            <w:hideMark/>
          </w:tcPr>
          <w:p w14:paraId="65C0D41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34.93</w:t>
            </w:r>
          </w:p>
        </w:tc>
      </w:tr>
      <w:tr w:rsidR="004C591B" w:rsidRPr="004C591B" w14:paraId="13A50558" w14:textId="77777777" w:rsidTr="00C91B88">
        <w:trPr>
          <w:trHeight w:val="290"/>
        </w:trPr>
        <w:tc>
          <w:tcPr>
            <w:tcW w:w="1100" w:type="dxa"/>
            <w:tcBorders>
              <w:top w:val="nil"/>
              <w:left w:val="nil"/>
              <w:bottom w:val="nil"/>
              <w:right w:val="nil"/>
            </w:tcBorders>
            <w:shd w:val="clear" w:color="000000" w:fill="FFFFFF"/>
            <w:noWrap/>
            <w:vAlign w:val="center"/>
            <w:hideMark/>
          </w:tcPr>
          <w:p w14:paraId="44610BC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1973</w:t>
            </w:r>
          </w:p>
        </w:tc>
        <w:tc>
          <w:tcPr>
            <w:tcW w:w="960" w:type="dxa"/>
            <w:tcBorders>
              <w:top w:val="nil"/>
              <w:left w:val="nil"/>
              <w:bottom w:val="nil"/>
              <w:right w:val="nil"/>
            </w:tcBorders>
            <w:shd w:val="clear" w:color="000000" w:fill="FFFFFF"/>
            <w:noWrap/>
            <w:vAlign w:val="center"/>
            <w:hideMark/>
          </w:tcPr>
          <w:p w14:paraId="5A0ECB4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1.36</w:t>
            </w:r>
          </w:p>
        </w:tc>
        <w:tc>
          <w:tcPr>
            <w:tcW w:w="960" w:type="dxa"/>
            <w:tcBorders>
              <w:top w:val="nil"/>
              <w:left w:val="nil"/>
              <w:bottom w:val="nil"/>
              <w:right w:val="nil"/>
            </w:tcBorders>
            <w:shd w:val="clear" w:color="000000" w:fill="FFFFFF"/>
            <w:noWrap/>
            <w:vAlign w:val="center"/>
            <w:hideMark/>
          </w:tcPr>
          <w:p w14:paraId="049A57A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3020DC1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3.68</w:t>
            </w:r>
          </w:p>
        </w:tc>
        <w:tc>
          <w:tcPr>
            <w:tcW w:w="960" w:type="dxa"/>
            <w:tcBorders>
              <w:top w:val="nil"/>
              <w:left w:val="nil"/>
              <w:bottom w:val="nil"/>
              <w:right w:val="nil"/>
            </w:tcBorders>
            <w:shd w:val="clear" w:color="000000" w:fill="FFFFFF"/>
            <w:noWrap/>
            <w:vAlign w:val="center"/>
            <w:hideMark/>
          </w:tcPr>
          <w:p w14:paraId="77A70F1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17.0</w:t>
            </w:r>
          </w:p>
        </w:tc>
        <w:tc>
          <w:tcPr>
            <w:tcW w:w="960" w:type="dxa"/>
            <w:tcBorders>
              <w:top w:val="nil"/>
              <w:left w:val="nil"/>
              <w:bottom w:val="nil"/>
              <w:right w:val="nil"/>
            </w:tcBorders>
            <w:shd w:val="clear" w:color="000000" w:fill="FFFFFF"/>
            <w:noWrap/>
            <w:vAlign w:val="center"/>
            <w:hideMark/>
          </w:tcPr>
          <w:p w14:paraId="5EFB489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12.7</w:t>
            </w:r>
          </w:p>
        </w:tc>
        <w:tc>
          <w:tcPr>
            <w:tcW w:w="1420" w:type="dxa"/>
            <w:tcBorders>
              <w:top w:val="nil"/>
              <w:left w:val="nil"/>
              <w:bottom w:val="nil"/>
              <w:right w:val="nil"/>
            </w:tcBorders>
            <w:shd w:val="clear" w:color="000000" w:fill="FFFFFF"/>
            <w:noWrap/>
            <w:vAlign w:val="center"/>
            <w:hideMark/>
          </w:tcPr>
          <w:p w14:paraId="691D85B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3.23</w:t>
            </w:r>
          </w:p>
        </w:tc>
        <w:tc>
          <w:tcPr>
            <w:tcW w:w="960" w:type="dxa"/>
            <w:tcBorders>
              <w:top w:val="nil"/>
              <w:left w:val="nil"/>
              <w:bottom w:val="nil"/>
              <w:right w:val="nil"/>
            </w:tcBorders>
            <w:shd w:val="clear" w:color="000000" w:fill="FFFFFF"/>
            <w:noWrap/>
            <w:vAlign w:val="center"/>
            <w:hideMark/>
          </w:tcPr>
          <w:p w14:paraId="2CA0107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34.93</w:t>
            </w:r>
          </w:p>
        </w:tc>
      </w:tr>
      <w:tr w:rsidR="004C591B" w:rsidRPr="004C591B" w14:paraId="38C06467" w14:textId="77777777" w:rsidTr="00C91B88">
        <w:trPr>
          <w:trHeight w:val="290"/>
        </w:trPr>
        <w:tc>
          <w:tcPr>
            <w:tcW w:w="1100" w:type="dxa"/>
            <w:tcBorders>
              <w:top w:val="nil"/>
              <w:left w:val="nil"/>
              <w:bottom w:val="nil"/>
              <w:right w:val="nil"/>
            </w:tcBorders>
            <w:shd w:val="clear" w:color="000000" w:fill="FFFFFF"/>
            <w:noWrap/>
            <w:vAlign w:val="center"/>
            <w:hideMark/>
          </w:tcPr>
          <w:p w14:paraId="3CCABF7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2217</w:t>
            </w:r>
          </w:p>
        </w:tc>
        <w:tc>
          <w:tcPr>
            <w:tcW w:w="960" w:type="dxa"/>
            <w:tcBorders>
              <w:top w:val="nil"/>
              <w:left w:val="nil"/>
              <w:bottom w:val="nil"/>
              <w:right w:val="nil"/>
            </w:tcBorders>
            <w:shd w:val="clear" w:color="000000" w:fill="FFFFFF"/>
            <w:noWrap/>
            <w:vAlign w:val="center"/>
            <w:hideMark/>
          </w:tcPr>
          <w:p w14:paraId="491FD81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65B1324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59E3DFA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3.76</w:t>
            </w:r>
          </w:p>
        </w:tc>
        <w:tc>
          <w:tcPr>
            <w:tcW w:w="960" w:type="dxa"/>
            <w:tcBorders>
              <w:top w:val="nil"/>
              <w:left w:val="nil"/>
              <w:bottom w:val="nil"/>
              <w:right w:val="nil"/>
            </w:tcBorders>
            <w:shd w:val="clear" w:color="000000" w:fill="FFFFFF"/>
            <w:noWrap/>
            <w:vAlign w:val="center"/>
            <w:hideMark/>
          </w:tcPr>
          <w:p w14:paraId="1607290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16.9</w:t>
            </w:r>
          </w:p>
        </w:tc>
        <w:tc>
          <w:tcPr>
            <w:tcW w:w="960" w:type="dxa"/>
            <w:tcBorders>
              <w:top w:val="nil"/>
              <w:left w:val="nil"/>
              <w:bottom w:val="nil"/>
              <w:right w:val="nil"/>
            </w:tcBorders>
            <w:shd w:val="clear" w:color="000000" w:fill="FFFFFF"/>
            <w:noWrap/>
            <w:vAlign w:val="center"/>
            <w:hideMark/>
          </w:tcPr>
          <w:p w14:paraId="2BBD25C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13.6</w:t>
            </w:r>
          </w:p>
        </w:tc>
        <w:tc>
          <w:tcPr>
            <w:tcW w:w="1420" w:type="dxa"/>
            <w:tcBorders>
              <w:top w:val="nil"/>
              <w:left w:val="nil"/>
              <w:bottom w:val="nil"/>
              <w:right w:val="nil"/>
            </w:tcBorders>
            <w:shd w:val="clear" w:color="000000" w:fill="FFFFFF"/>
            <w:noWrap/>
            <w:vAlign w:val="center"/>
            <w:hideMark/>
          </w:tcPr>
          <w:p w14:paraId="125F9E1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3.04</w:t>
            </w:r>
          </w:p>
        </w:tc>
        <w:tc>
          <w:tcPr>
            <w:tcW w:w="960" w:type="dxa"/>
            <w:tcBorders>
              <w:top w:val="nil"/>
              <w:left w:val="nil"/>
              <w:bottom w:val="nil"/>
              <w:right w:val="nil"/>
            </w:tcBorders>
            <w:shd w:val="clear" w:color="000000" w:fill="FFFFFF"/>
            <w:noWrap/>
            <w:vAlign w:val="center"/>
            <w:hideMark/>
          </w:tcPr>
          <w:p w14:paraId="7940747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34.93</w:t>
            </w:r>
          </w:p>
        </w:tc>
      </w:tr>
      <w:tr w:rsidR="004C591B" w:rsidRPr="004C591B" w14:paraId="13C17616" w14:textId="77777777" w:rsidTr="00C91B88">
        <w:trPr>
          <w:trHeight w:val="290"/>
        </w:trPr>
        <w:tc>
          <w:tcPr>
            <w:tcW w:w="1100" w:type="dxa"/>
            <w:tcBorders>
              <w:top w:val="nil"/>
              <w:left w:val="nil"/>
              <w:bottom w:val="nil"/>
              <w:right w:val="nil"/>
            </w:tcBorders>
            <w:shd w:val="clear" w:color="000000" w:fill="FFFFFF"/>
            <w:noWrap/>
            <w:vAlign w:val="center"/>
            <w:hideMark/>
          </w:tcPr>
          <w:p w14:paraId="47D88A6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2561</w:t>
            </w:r>
          </w:p>
        </w:tc>
        <w:tc>
          <w:tcPr>
            <w:tcW w:w="960" w:type="dxa"/>
            <w:tcBorders>
              <w:top w:val="nil"/>
              <w:left w:val="nil"/>
              <w:bottom w:val="nil"/>
              <w:right w:val="nil"/>
            </w:tcBorders>
            <w:shd w:val="clear" w:color="000000" w:fill="FFFFFF"/>
            <w:noWrap/>
            <w:vAlign w:val="center"/>
            <w:hideMark/>
          </w:tcPr>
          <w:p w14:paraId="59415F3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1.38</w:t>
            </w:r>
          </w:p>
        </w:tc>
        <w:tc>
          <w:tcPr>
            <w:tcW w:w="960" w:type="dxa"/>
            <w:tcBorders>
              <w:top w:val="nil"/>
              <w:left w:val="nil"/>
              <w:bottom w:val="nil"/>
              <w:right w:val="nil"/>
            </w:tcBorders>
            <w:shd w:val="clear" w:color="000000" w:fill="FFFFFF"/>
            <w:noWrap/>
            <w:vAlign w:val="center"/>
            <w:hideMark/>
          </w:tcPr>
          <w:p w14:paraId="3BEF833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6E8AEAC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3.67</w:t>
            </w:r>
          </w:p>
        </w:tc>
        <w:tc>
          <w:tcPr>
            <w:tcW w:w="960" w:type="dxa"/>
            <w:tcBorders>
              <w:top w:val="nil"/>
              <w:left w:val="nil"/>
              <w:bottom w:val="nil"/>
              <w:right w:val="nil"/>
            </w:tcBorders>
            <w:shd w:val="clear" w:color="000000" w:fill="FFFFFF"/>
            <w:noWrap/>
            <w:vAlign w:val="center"/>
            <w:hideMark/>
          </w:tcPr>
          <w:p w14:paraId="625E3E9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14.1</w:t>
            </w:r>
          </w:p>
        </w:tc>
        <w:tc>
          <w:tcPr>
            <w:tcW w:w="960" w:type="dxa"/>
            <w:tcBorders>
              <w:top w:val="nil"/>
              <w:left w:val="nil"/>
              <w:bottom w:val="nil"/>
              <w:right w:val="nil"/>
            </w:tcBorders>
            <w:shd w:val="clear" w:color="000000" w:fill="FFFFFF"/>
            <w:noWrap/>
            <w:vAlign w:val="center"/>
            <w:hideMark/>
          </w:tcPr>
          <w:p w14:paraId="549426C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7.6</w:t>
            </w:r>
          </w:p>
        </w:tc>
        <w:tc>
          <w:tcPr>
            <w:tcW w:w="1420" w:type="dxa"/>
            <w:tcBorders>
              <w:top w:val="nil"/>
              <w:left w:val="nil"/>
              <w:bottom w:val="nil"/>
              <w:right w:val="nil"/>
            </w:tcBorders>
            <w:shd w:val="clear" w:color="000000" w:fill="FFFFFF"/>
            <w:noWrap/>
            <w:vAlign w:val="center"/>
            <w:hideMark/>
          </w:tcPr>
          <w:p w14:paraId="529FBCA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2.65</w:t>
            </w:r>
          </w:p>
        </w:tc>
        <w:tc>
          <w:tcPr>
            <w:tcW w:w="960" w:type="dxa"/>
            <w:tcBorders>
              <w:top w:val="nil"/>
              <w:left w:val="nil"/>
              <w:bottom w:val="nil"/>
              <w:right w:val="nil"/>
            </w:tcBorders>
            <w:shd w:val="clear" w:color="000000" w:fill="FFFFFF"/>
            <w:noWrap/>
            <w:vAlign w:val="center"/>
            <w:hideMark/>
          </w:tcPr>
          <w:p w14:paraId="5514A31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34.91</w:t>
            </w:r>
          </w:p>
        </w:tc>
      </w:tr>
      <w:tr w:rsidR="004C591B" w:rsidRPr="004C591B" w14:paraId="58C7996A" w14:textId="77777777" w:rsidTr="00C91B88">
        <w:trPr>
          <w:trHeight w:val="290"/>
        </w:trPr>
        <w:tc>
          <w:tcPr>
            <w:tcW w:w="1100" w:type="dxa"/>
            <w:tcBorders>
              <w:top w:val="nil"/>
              <w:left w:val="nil"/>
              <w:bottom w:val="nil"/>
              <w:right w:val="nil"/>
            </w:tcBorders>
            <w:shd w:val="clear" w:color="000000" w:fill="FFFFFF"/>
            <w:noWrap/>
            <w:vAlign w:val="center"/>
            <w:hideMark/>
          </w:tcPr>
          <w:p w14:paraId="7FDBDD7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2756</w:t>
            </w:r>
          </w:p>
        </w:tc>
        <w:tc>
          <w:tcPr>
            <w:tcW w:w="960" w:type="dxa"/>
            <w:tcBorders>
              <w:top w:val="nil"/>
              <w:left w:val="nil"/>
              <w:bottom w:val="nil"/>
              <w:right w:val="nil"/>
            </w:tcBorders>
            <w:shd w:val="clear" w:color="000000" w:fill="FFFFFF"/>
            <w:noWrap/>
            <w:vAlign w:val="center"/>
            <w:hideMark/>
          </w:tcPr>
          <w:p w14:paraId="30CC164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1.45</w:t>
            </w:r>
          </w:p>
        </w:tc>
        <w:tc>
          <w:tcPr>
            <w:tcW w:w="960" w:type="dxa"/>
            <w:tcBorders>
              <w:top w:val="nil"/>
              <w:left w:val="nil"/>
              <w:bottom w:val="nil"/>
              <w:right w:val="nil"/>
            </w:tcBorders>
            <w:shd w:val="clear" w:color="000000" w:fill="FFFFFF"/>
            <w:noWrap/>
            <w:vAlign w:val="center"/>
            <w:hideMark/>
          </w:tcPr>
          <w:p w14:paraId="207F083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446C0EA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3.54</w:t>
            </w:r>
          </w:p>
        </w:tc>
        <w:tc>
          <w:tcPr>
            <w:tcW w:w="960" w:type="dxa"/>
            <w:tcBorders>
              <w:top w:val="nil"/>
              <w:left w:val="nil"/>
              <w:bottom w:val="nil"/>
              <w:right w:val="nil"/>
            </w:tcBorders>
            <w:shd w:val="clear" w:color="000000" w:fill="FFFFFF"/>
            <w:noWrap/>
            <w:vAlign w:val="center"/>
            <w:hideMark/>
          </w:tcPr>
          <w:p w14:paraId="007C397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13.8</w:t>
            </w:r>
          </w:p>
        </w:tc>
        <w:tc>
          <w:tcPr>
            <w:tcW w:w="960" w:type="dxa"/>
            <w:tcBorders>
              <w:top w:val="nil"/>
              <w:left w:val="nil"/>
              <w:bottom w:val="nil"/>
              <w:right w:val="nil"/>
            </w:tcBorders>
            <w:shd w:val="clear" w:color="000000" w:fill="FFFFFF"/>
            <w:noWrap/>
            <w:vAlign w:val="center"/>
            <w:hideMark/>
          </w:tcPr>
          <w:p w14:paraId="38B4BD8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7.3</w:t>
            </w:r>
          </w:p>
        </w:tc>
        <w:tc>
          <w:tcPr>
            <w:tcW w:w="1420" w:type="dxa"/>
            <w:tcBorders>
              <w:top w:val="nil"/>
              <w:left w:val="nil"/>
              <w:bottom w:val="nil"/>
              <w:right w:val="nil"/>
            </w:tcBorders>
            <w:shd w:val="clear" w:color="000000" w:fill="FFFFFF"/>
            <w:noWrap/>
            <w:vAlign w:val="center"/>
            <w:hideMark/>
          </w:tcPr>
          <w:p w14:paraId="08D6D7B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1.59</w:t>
            </w:r>
          </w:p>
        </w:tc>
        <w:tc>
          <w:tcPr>
            <w:tcW w:w="960" w:type="dxa"/>
            <w:tcBorders>
              <w:top w:val="nil"/>
              <w:left w:val="nil"/>
              <w:bottom w:val="nil"/>
              <w:right w:val="nil"/>
            </w:tcBorders>
            <w:shd w:val="clear" w:color="000000" w:fill="FFFFFF"/>
            <w:noWrap/>
            <w:vAlign w:val="center"/>
            <w:hideMark/>
          </w:tcPr>
          <w:p w14:paraId="351DF18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34.87</w:t>
            </w:r>
          </w:p>
        </w:tc>
      </w:tr>
      <w:tr w:rsidR="004C591B" w:rsidRPr="004C591B" w14:paraId="344D9137" w14:textId="77777777" w:rsidTr="00C91B88">
        <w:trPr>
          <w:trHeight w:val="290"/>
        </w:trPr>
        <w:tc>
          <w:tcPr>
            <w:tcW w:w="1100" w:type="dxa"/>
            <w:tcBorders>
              <w:top w:val="nil"/>
              <w:left w:val="nil"/>
              <w:bottom w:val="nil"/>
              <w:right w:val="nil"/>
            </w:tcBorders>
            <w:shd w:val="clear" w:color="000000" w:fill="FFFFFF"/>
            <w:noWrap/>
            <w:vAlign w:val="center"/>
            <w:hideMark/>
          </w:tcPr>
          <w:p w14:paraId="7C555B6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2851</w:t>
            </w:r>
          </w:p>
        </w:tc>
        <w:tc>
          <w:tcPr>
            <w:tcW w:w="960" w:type="dxa"/>
            <w:tcBorders>
              <w:top w:val="nil"/>
              <w:left w:val="nil"/>
              <w:bottom w:val="nil"/>
              <w:right w:val="nil"/>
            </w:tcBorders>
            <w:shd w:val="clear" w:color="000000" w:fill="FFFFFF"/>
            <w:noWrap/>
            <w:vAlign w:val="center"/>
            <w:hideMark/>
          </w:tcPr>
          <w:p w14:paraId="719FC3A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1.36</w:t>
            </w:r>
          </w:p>
        </w:tc>
        <w:tc>
          <w:tcPr>
            <w:tcW w:w="960" w:type="dxa"/>
            <w:tcBorders>
              <w:top w:val="nil"/>
              <w:left w:val="nil"/>
              <w:bottom w:val="nil"/>
              <w:right w:val="nil"/>
            </w:tcBorders>
            <w:shd w:val="clear" w:color="000000" w:fill="FFFFFF"/>
            <w:noWrap/>
            <w:vAlign w:val="center"/>
            <w:hideMark/>
          </w:tcPr>
          <w:p w14:paraId="19228E1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5DB2559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3.52</w:t>
            </w:r>
          </w:p>
        </w:tc>
        <w:tc>
          <w:tcPr>
            <w:tcW w:w="960" w:type="dxa"/>
            <w:tcBorders>
              <w:top w:val="nil"/>
              <w:left w:val="nil"/>
              <w:bottom w:val="nil"/>
              <w:right w:val="nil"/>
            </w:tcBorders>
            <w:shd w:val="clear" w:color="000000" w:fill="FFFFFF"/>
            <w:noWrap/>
            <w:vAlign w:val="center"/>
            <w:hideMark/>
          </w:tcPr>
          <w:p w14:paraId="1D8A22A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13.8</w:t>
            </w:r>
          </w:p>
        </w:tc>
        <w:tc>
          <w:tcPr>
            <w:tcW w:w="960" w:type="dxa"/>
            <w:tcBorders>
              <w:top w:val="nil"/>
              <w:left w:val="nil"/>
              <w:bottom w:val="nil"/>
              <w:right w:val="nil"/>
            </w:tcBorders>
            <w:shd w:val="clear" w:color="000000" w:fill="FFFFFF"/>
            <w:noWrap/>
            <w:vAlign w:val="center"/>
            <w:hideMark/>
          </w:tcPr>
          <w:p w14:paraId="57610FC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7.4</w:t>
            </w:r>
          </w:p>
        </w:tc>
        <w:tc>
          <w:tcPr>
            <w:tcW w:w="1420" w:type="dxa"/>
            <w:tcBorders>
              <w:top w:val="nil"/>
              <w:left w:val="nil"/>
              <w:bottom w:val="nil"/>
              <w:right w:val="nil"/>
            </w:tcBorders>
            <w:shd w:val="clear" w:color="000000" w:fill="FFFFFF"/>
            <w:noWrap/>
            <w:vAlign w:val="center"/>
            <w:hideMark/>
          </w:tcPr>
          <w:p w14:paraId="41A62ED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1.34</w:t>
            </w:r>
          </w:p>
        </w:tc>
        <w:tc>
          <w:tcPr>
            <w:tcW w:w="960" w:type="dxa"/>
            <w:tcBorders>
              <w:top w:val="nil"/>
              <w:left w:val="nil"/>
              <w:bottom w:val="nil"/>
              <w:right w:val="nil"/>
            </w:tcBorders>
            <w:shd w:val="clear" w:color="000000" w:fill="FFFFFF"/>
            <w:noWrap/>
            <w:vAlign w:val="center"/>
            <w:hideMark/>
          </w:tcPr>
          <w:p w14:paraId="1F5FABC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34.88</w:t>
            </w:r>
          </w:p>
        </w:tc>
      </w:tr>
      <w:tr w:rsidR="004C591B" w:rsidRPr="004C591B" w14:paraId="49B9D4BE" w14:textId="77777777" w:rsidTr="00C91B88">
        <w:trPr>
          <w:trHeight w:val="290"/>
        </w:trPr>
        <w:tc>
          <w:tcPr>
            <w:tcW w:w="1100" w:type="dxa"/>
            <w:tcBorders>
              <w:top w:val="nil"/>
              <w:left w:val="nil"/>
              <w:bottom w:val="nil"/>
              <w:right w:val="nil"/>
            </w:tcBorders>
            <w:shd w:val="clear" w:color="000000" w:fill="FFFFFF"/>
            <w:noWrap/>
            <w:vAlign w:val="center"/>
            <w:hideMark/>
          </w:tcPr>
          <w:p w14:paraId="1EC8ACF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2916</w:t>
            </w:r>
          </w:p>
        </w:tc>
        <w:tc>
          <w:tcPr>
            <w:tcW w:w="960" w:type="dxa"/>
            <w:tcBorders>
              <w:top w:val="nil"/>
              <w:left w:val="nil"/>
              <w:bottom w:val="nil"/>
              <w:right w:val="nil"/>
            </w:tcBorders>
            <w:shd w:val="clear" w:color="000000" w:fill="FFFFFF"/>
            <w:noWrap/>
            <w:vAlign w:val="center"/>
            <w:hideMark/>
          </w:tcPr>
          <w:p w14:paraId="13A1671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1.33</w:t>
            </w:r>
          </w:p>
        </w:tc>
        <w:tc>
          <w:tcPr>
            <w:tcW w:w="960" w:type="dxa"/>
            <w:tcBorders>
              <w:top w:val="nil"/>
              <w:left w:val="nil"/>
              <w:bottom w:val="nil"/>
              <w:right w:val="nil"/>
            </w:tcBorders>
            <w:shd w:val="clear" w:color="000000" w:fill="FFFFFF"/>
            <w:noWrap/>
            <w:vAlign w:val="center"/>
            <w:hideMark/>
          </w:tcPr>
          <w:p w14:paraId="31FC968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4227833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3.47</w:t>
            </w:r>
          </w:p>
        </w:tc>
        <w:tc>
          <w:tcPr>
            <w:tcW w:w="960" w:type="dxa"/>
            <w:tcBorders>
              <w:top w:val="nil"/>
              <w:left w:val="nil"/>
              <w:bottom w:val="nil"/>
              <w:right w:val="nil"/>
            </w:tcBorders>
            <w:shd w:val="clear" w:color="000000" w:fill="FFFFFF"/>
            <w:noWrap/>
            <w:vAlign w:val="center"/>
            <w:hideMark/>
          </w:tcPr>
          <w:p w14:paraId="00E1F4C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13.8</w:t>
            </w:r>
          </w:p>
        </w:tc>
        <w:tc>
          <w:tcPr>
            <w:tcW w:w="960" w:type="dxa"/>
            <w:tcBorders>
              <w:top w:val="nil"/>
              <w:left w:val="nil"/>
              <w:bottom w:val="nil"/>
              <w:right w:val="nil"/>
            </w:tcBorders>
            <w:shd w:val="clear" w:color="000000" w:fill="FFFFFF"/>
            <w:noWrap/>
            <w:vAlign w:val="center"/>
            <w:hideMark/>
          </w:tcPr>
          <w:p w14:paraId="7779472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7.4</w:t>
            </w:r>
          </w:p>
        </w:tc>
        <w:tc>
          <w:tcPr>
            <w:tcW w:w="1420" w:type="dxa"/>
            <w:tcBorders>
              <w:top w:val="nil"/>
              <w:left w:val="nil"/>
              <w:bottom w:val="nil"/>
              <w:right w:val="nil"/>
            </w:tcBorders>
            <w:shd w:val="clear" w:color="000000" w:fill="FFFFFF"/>
            <w:noWrap/>
            <w:vAlign w:val="center"/>
            <w:hideMark/>
          </w:tcPr>
          <w:p w14:paraId="02AC2FA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1.29</w:t>
            </w:r>
          </w:p>
        </w:tc>
        <w:tc>
          <w:tcPr>
            <w:tcW w:w="960" w:type="dxa"/>
            <w:tcBorders>
              <w:top w:val="nil"/>
              <w:left w:val="nil"/>
              <w:bottom w:val="nil"/>
              <w:right w:val="nil"/>
            </w:tcBorders>
            <w:shd w:val="clear" w:color="000000" w:fill="FFFFFF"/>
            <w:noWrap/>
            <w:vAlign w:val="center"/>
            <w:hideMark/>
          </w:tcPr>
          <w:p w14:paraId="22AC5EB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34.89</w:t>
            </w:r>
          </w:p>
        </w:tc>
      </w:tr>
      <w:tr w:rsidR="004C591B" w:rsidRPr="004C591B" w14:paraId="5A0B670C" w14:textId="77777777" w:rsidTr="00C91B88">
        <w:trPr>
          <w:trHeight w:val="290"/>
        </w:trPr>
        <w:tc>
          <w:tcPr>
            <w:tcW w:w="1100" w:type="dxa"/>
            <w:tcBorders>
              <w:top w:val="nil"/>
              <w:left w:val="nil"/>
              <w:bottom w:val="nil"/>
              <w:right w:val="nil"/>
            </w:tcBorders>
            <w:shd w:val="clear" w:color="000000" w:fill="FFFFFF"/>
            <w:noWrap/>
            <w:vAlign w:val="center"/>
            <w:hideMark/>
          </w:tcPr>
          <w:p w14:paraId="7923541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5B5DD2B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396A9B8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49DCDE4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39486D5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2A98504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304C257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7446C54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r>
      <w:tr w:rsidR="004C591B" w:rsidRPr="004C591B" w14:paraId="7C2B8D93" w14:textId="77777777" w:rsidTr="00C91B88">
        <w:trPr>
          <w:trHeight w:val="290"/>
        </w:trPr>
        <w:tc>
          <w:tcPr>
            <w:tcW w:w="5900" w:type="dxa"/>
            <w:gridSpan w:val="6"/>
            <w:tcBorders>
              <w:top w:val="nil"/>
              <w:left w:val="nil"/>
              <w:bottom w:val="nil"/>
              <w:right w:val="nil"/>
            </w:tcBorders>
            <w:shd w:val="clear" w:color="000000" w:fill="FFFFFF"/>
            <w:noWrap/>
            <w:vAlign w:val="center"/>
            <w:hideMark/>
          </w:tcPr>
          <w:p w14:paraId="027D15FF" w14:textId="77777777" w:rsidR="00C91B88" w:rsidRPr="004C591B" w:rsidRDefault="00C91B88" w:rsidP="00C91B88">
            <w:pPr>
              <w:rPr>
                <w:rFonts w:ascii="Arial" w:hAnsi="Arial" w:cs="Arial"/>
                <w:b/>
                <w:bCs/>
                <w:i/>
                <w:iCs/>
                <w:sz w:val="22"/>
                <w:szCs w:val="22"/>
                <w:lang w:val="en-GB" w:eastAsia="fr-FR"/>
              </w:rPr>
            </w:pPr>
            <w:r w:rsidRPr="004C591B">
              <w:rPr>
                <w:rFonts w:ascii="Arial" w:hAnsi="Arial" w:cs="Arial"/>
                <w:b/>
                <w:bCs/>
                <w:i/>
                <w:iCs/>
                <w:sz w:val="22"/>
                <w:szCs w:val="22"/>
                <w:lang w:val="en-GB" w:eastAsia="fr-FR"/>
              </w:rPr>
              <w:t>Station 69: 55.8°N, -48.1°E, Bottom depth 3692m</w:t>
            </w:r>
          </w:p>
        </w:tc>
        <w:tc>
          <w:tcPr>
            <w:tcW w:w="1420" w:type="dxa"/>
            <w:tcBorders>
              <w:top w:val="nil"/>
              <w:left w:val="nil"/>
              <w:bottom w:val="nil"/>
              <w:right w:val="nil"/>
            </w:tcBorders>
            <w:shd w:val="clear" w:color="000000" w:fill="FFFFFF"/>
            <w:noWrap/>
            <w:vAlign w:val="center"/>
            <w:hideMark/>
          </w:tcPr>
          <w:p w14:paraId="13C19AED"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c>
          <w:tcPr>
            <w:tcW w:w="960" w:type="dxa"/>
            <w:tcBorders>
              <w:top w:val="nil"/>
              <w:left w:val="nil"/>
              <w:bottom w:val="nil"/>
              <w:right w:val="nil"/>
            </w:tcBorders>
            <w:shd w:val="clear" w:color="000000" w:fill="FFFFFF"/>
            <w:noWrap/>
            <w:vAlign w:val="center"/>
            <w:hideMark/>
          </w:tcPr>
          <w:p w14:paraId="05612DED" w14:textId="77777777" w:rsidR="00C91B88" w:rsidRPr="004C591B" w:rsidRDefault="00C91B88" w:rsidP="00C91B88">
            <w:pPr>
              <w:jc w:val="center"/>
              <w:rPr>
                <w:rFonts w:ascii="Arial" w:hAnsi="Arial" w:cs="Arial"/>
                <w:sz w:val="22"/>
                <w:szCs w:val="22"/>
                <w:lang w:val="en-GB" w:eastAsia="fr-FR"/>
              </w:rPr>
            </w:pPr>
            <w:r w:rsidRPr="004C591B">
              <w:rPr>
                <w:rFonts w:ascii="Arial" w:hAnsi="Arial" w:cs="Arial"/>
                <w:sz w:val="22"/>
                <w:szCs w:val="22"/>
                <w:lang w:val="en-GB" w:eastAsia="fr-FR"/>
              </w:rPr>
              <w:t> </w:t>
            </w:r>
          </w:p>
        </w:tc>
      </w:tr>
      <w:tr w:rsidR="004C591B" w:rsidRPr="004C591B" w14:paraId="1FF8C181" w14:textId="77777777" w:rsidTr="00C91B88">
        <w:trPr>
          <w:trHeight w:val="290"/>
        </w:trPr>
        <w:tc>
          <w:tcPr>
            <w:tcW w:w="1100" w:type="dxa"/>
            <w:tcBorders>
              <w:top w:val="nil"/>
              <w:left w:val="nil"/>
              <w:bottom w:val="nil"/>
              <w:right w:val="nil"/>
            </w:tcBorders>
            <w:shd w:val="clear" w:color="000000" w:fill="FFFFFF"/>
            <w:noWrap/>
            <w:vAlign w:val="center"/>
            <w:hideMark/>
          </w:tcPr>
          <w:p w14:paraId="2DE32E4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w:t>
            </w:r>
          </w:p>
        </w:tc>
        <w:tc>
          <w:tcPr>
            <w:tcW w:w="960" w:type="dxa"/>
            <w:tcBorders>
              <w:top w:val="nil"/>
              <w:left w:val="nil"/>
              <w:bottom w:val="nil"/>
              <w:right w:val="nil"/>
            </w:tcBorders>
            <w:shd w:val="clear" w:color="000000" w:fill="FFFFFF"/>
            <w:noWrap/>
            <w:vAlign w:val="center"/>
            <w:hideMark/>
          </w:tcPr>
          <w:p w14:paraId="7F720BD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1.38</w:t>
            </w:r>
          </w:p>
        </w:tc>
        <w:tc>
          <w:tcPr>
            <w:tcW w:w="960" w:type="dxa"/>
            <w:tcBorders>
              <w:top w:val="nil"/>
              <w:left w:val="nil"/>
              <w:bottom w:val="nil"/>
              <w:right w:val="nil"/>
            </w:tcBorders>
            <w:shd w:val="clear" w:color="000000" w:fill="FFFFFF"/>
            <w:noWrap/>
            <w:vAlign w:val="center"/>
            <w:hideMark/>
          </w:tcPr>
          <w:p w14:paraId="553C1E1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0.07</w:t>
            </w:r>
          </w:p>
        </w:tc>
        <w:tc>
          <w:tcPr>
            <w:tcW w:w="960" w:type="dxa"/>
            <w:tcBorders>
              <w:top w:val="nil"/>
              <w:left w:val="nil"/>
              <w:bottom w:val="nil"/>
              <w:right w:val="nil"/>
            </w:tcBorders>
            <w:shd w:val="clear" w:color="000000" w:fill="FFFFFF"/>
            <w:noWrap/>
            <w:vAlign w:val="center"/>
            <w:hideMark/>
          </w:tcPr>
          <w:p w14:paraId="7E5BA8E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3.72</w:t>
            </w:r>
          </w:p>
        </w:tc>
        <w:tc>
          <w:tcPr>
            <w:tcW w:w="960" w:type="dxa"/>
            <w:tcBorders>
              <w:top w:val="nil"/>
              <w:left w:val="nil"/>
              <w:bottom w:val="nil"/>
              <w:right w:val="nil"/>
            </w:tcBorders>
            <w:shd w:val="clear" w:color="000000" w:fill="FFFFFF"/>
            <w:noWrap/>
            <w:vAlign w:val="center"/>
            <w:hideMark/>
          </w:tcPr>
          <w:p w14:paraId="1D6AACF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0.1</w:t>
            </w:r>
          </w:p>
        </w:tc>
        <w:tc>
          <w:tcPr>
            <w:tcW w:w="960" w:type="dxa"/>
            <w:tcBorders>
              <w:top w:val="nil"/>
              <w:left w:val="nil"/>
              <w:bottom w:val="nil"/>
              <w:right w:val="nil"/>
            </w:tcBorders>
            <w:shd w:val="clear" w:color="000000" w:fill="FFFFFF"/>
            <w:noWrap/>
            <w:vAlign w:val="center"/>
            <w:hideMark/>
          </w:tcPr>
          <w:p w14:paraId="207B131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w:t>
            </w:r>
          </w:p>
        </w:tc>
        <w:tc>
          <w:tcPr>
            <w:tcW w:w="1420" w:type="dxa"/>
            <w:tcBorders>
              <w:top w:val="nil"/>
              <w:left w:val="nil"/>
              <w:bottom w:val="nil"/>
              <w:right w:val="nil"/>
            </w:tcBorders>
            <w:shd w:val="clear" w:color="000000" w:fill="FFFFFF"/>
            <w:noWrap/>
            <w:vAlign w:val="center"/>
            <w:hideMark/>
          </w:tcPr>
          <w:p w14:paraId="2C98478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6.22</w:t>
            </w:r>
          </w:p>
        </w:tc>
        <w:tc>
          <w:tcPr>
            <w:tcW w:w="960" w:type="dxa"/>
            <w:tcBorders>
              <w:top w:val="nil"/>
              <w:left w:val="nil"/>
              <w:bottom w:val="nil"/>
              <w:right w:val="nil"/>
            </w:tcBorders>
            <w:shd w:val="clear" w:color="000000" w:fill="FFFFFF"/>
            <w:noWrap/>
            <w:vAlign w:val="center"/>
            <w:hideMark/>
          </w:tcPr>
          <w:p w14:paraId="68FBD3C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34.62</w:t>
            </w:r>
          </w:p>
        </w:tc>
      </w:tr>
      <w:tr w:rsidR="004C591B" w:rsidRPr="004C591B" w14:paraId="55D0A734" w14:textId="77777777" w:rsidTr="00C91B88">
        <w:trPr>
          <w:trHeight w:val="290"/>
        </w:trPr>
        <w:tc>
          <w:tcPr>
            <w:tcW w:w="1100" w:type="dxa"/>
            <w:tcBorders>
              <w:top w:val="nil"/>
              <w:left w:val="nil"/>
              <w:bottom w:val="nil"/>
              <w:right w:val="nil"/>
            </w:tcBorders>
            <w:shd w:val="clear" w:color="000000" w:fill="FFFFFF"/>
            <w:noWrap/>
            <w:vAlign w:val="center"/>
            <w:hideMark/>
          </w:tcPr>
          <w:p w14:paraId="2524328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41</w:t>
            </w:r>
          </w:p>
        </w:tc>
        <w:tc>
          <w:tcPr>
            <w:tcW w:w="960" w:type="dxa"/>
            <w:tcBorders>
              <w:top w:val="nil"/>
              <w:left w:val="nil"/>
              <w:bottom w:val="nil"/>
              <w:right w:val="nil"/>
            </w:tcBorders>
            <w:shd w:val="clear" w:color="000000" w:fill="FFFFFF"/>
            <w:noWrap/>
            <w:vAlign w:val="center"/>
            <w:hideMark/>
          </w:tcPr>
          <w:p w14:paraId="78B3358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1.32</w:t>
            </w:r>
          </w:p>
        </w:tc>
        <w:tc>
          <w:tcPr>
            <w:tcW w:w="960" w:type="dxa"/>
            <w:tcBorders>
              <w:top w:val="nil"/>
              <w:left w:val="nil"/>
              <w:bottom w:val="nil"/>
              <w:right w:val="nil"/>
            </w:tcBorders>
            <w:shd w:val="clear" w:color="000000" w:fill="FFFFFF"/>
            <w:noWrap/>
            <w:vAlign w:val="center"/>
            <w:hideMark/>
          </w:tcPr>
          <w:p w14:paraId="0E18E5F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6C3A120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3.59</w:t>
            </w:r>
          </w:p>
        </w:tc>
        <w:tc>
          <w:tcPr>
            <w:tcW w:w="960" w:type="dxa"/>
            <w:tcBorders>
              <w:top w:val="nil"/>
              <w:left w:val="nil"/>
              <w:bottom w:val="nil"/>
              <w:right w:val="nil"/>
            </w:tcBorders>
            <w:shd w:val="clear" w:color="000000" w:fill="FFFFFF"/>
            <w:noWrap/>
            <w:vAlign w:val="center"/>
            <w:hideMark/>
          </w:tcPr>
          <w:p w14:paraId="0AD3BC8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11.8</w:t>
            </w:r>
          </w:p>
        </w:tc>
        <w:tc>
          <w:tcPr>
            <w:tcW w:w="960" w:type="dxa"/>
            <w:tcBorders>
              <w:top w:val="nil"/>
              <w:left w:val="nil"/>
              <w:bottom w:val="nil"/>
              <w:right w:val="nil"/>
            </w:tcBorders>
            <w:shd w:val="clear" w:color="000000" w:fill="FFFFFF"/>
            <w:noWrap/>
            <w:vAlign w:val="center"/>
            <w:hideMark/>
          </w:tcPr>
          <w:p w14:paraId="77F4D3F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7.0</w:t>
            </w:r>
          </w:p>
        </w:tc>
        <w:tc>
          <w:tcPr>
            <w:tcW w:w="1420" w:type="dxa"/>
            <w:tcBorders>
              <w:top w:val="nil"/>
              <w:left w:val="nil"/>
              <w:bottom w:val="nil"/>
              <w:right w:val="nil"/>
            </w:tcBorders>
            <w:shd w:val="clear" w:color="000000" w:fill="FFFFFF"/>
            <w:noWrap/>
            <w:vAlign w:val="center"/>
            <w:hideMark/>
          </w:tcPr>
          <w:p w14:paraId="0674C92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3.60</w:t>
            </w:r>
          </w:p>
        </w:tc>
        <w:tc>
          <w:tcPr>
            <w:tcW w:w="960" w:type="dxa"/>
            <w:tcBorders>
              <w:top w:val="nil"/>
              <w:left w:val="nil"/>
              <w:bottom w:val="nil"/>
              <w:right w:val="nil"/>
            </w:tcBorders>
            <w:shd w:val="clear" w:color="000000" w:fill="FFFFFF"/>
            <w:noWrap/>
            <w:vAlign w:val="center"/>
            <w:hideMark/>
          </w:tcPr>
          <w:p w14:paraId="4954D08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34.74</w:t>
            </w:r>
          </w:p>
        </w:tc>
      </w:tr>
      <w:tr w:rsidR="004C591B" w:rsidRPr="004C591B" w14:paraId="5FB8C9C4" w14:textId="77777777" w:rsidTr="00C91B88">
        <w:trPr>
          <w:trHeight w:val="290"/>
        </w:trPr>
        <w:tc>
          <w:tcPr>
            <w:tcW w:w="1100" w:type="dxa"/>
            <w:tcBorders>
              <w:top w:val="nil"/>
              <w:left w:val="nil"/>
              <w:bottom w:val="nil"/>
              <w:right w:val="nil"/>
            </w:tcBorders>
            <w:shd w:val="clear" w:color="000000" w:fill="FFFFFF"/>
            <w:noWrap/>
            <w:vAlign w:val="center"/>
            <w:hideMark/>
          </w:tcPr>
          <w:p w14:paraId="40AB5FC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70</w:t>
            </w:r>
          </w:p>
        </w:tc>
        <w:tc>
          <w:tcPr>
            <w:tcW w:w="960" w:type="dxa"/>
            <w:tcBorders>
              <w:top w:val="nil"/>
              <w:left w:val="nil"/>
              <w:bottom w:val="nil"/>
              <w:right w:val="nil"/>
            </w:tcBorders>
            <w:shd w:val="clear" w:color="000000" w:fill="FFFFFF"/>
            <w:noWrap/>
            <w:vAlign w:val="center"/>
            <w:hideMark/>
          </w:tcPr>
          <w:p w14:paraId="0985AEE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1.33</w:t>
            </w:r>
          </w:p>
        </w:tc>
        <w:tc>
          <w:tcPr>
            <w:tcW w:w="960" w:type="dxa"/>
            <w:tcBorders>
              <w:top w:val="nil"/>
              <w:left w:val="nil"/>
              <w:bottom w:val="nil"/>
              <w:right w:val="nil"/>
            </w:tcBorders>
            <w:shd w:val="clear" w:color="000000" w:fill="FFFFFF"/>
            <w:noWrap/>
            <w:vAlign w:val="center"/>
            <w:hideMark/>
          </w:tcPr>
          <w:p w14:paraId="6894BA4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0.10</w:t>
            </w:r>
          </w:p>
        </w:tc>
        <w:tc>
          <w:tcPr>
            <w:tcW w:w="960" w:type="dxa"/>
            <w:tcBorders>
              <w:top w:val="nil"/>
              <w:left w:val="nil"/>
              <w:bottom w:val="nil"/>
              <w:right w:val="nil"/>
            </w:tcBorders>
            <w:shd w:val="clear" w:color="000000" w:fill="FFFFFF"/>
            <w:noWrap/>
            <w:vAlign w:val="center"/>
            <w:hideMark/>
          </w:tcPr>
          <w:p w14:paraId="2CBBEDA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3.68</w:t>
            </w:r>
          </w:p>
        </w:tc>
        <w:tc>
          <w:tcPr>
            <w:tcW w:w="960" w:type="dxa"/>
            <w:tcBorders>
              <w:top w:val="nil"/>
              <w:left w:val="nil"/>
              <w:bottom w:val="nil"/>
              <w:right w:val="nil"/>
            </w:tcBorders>
            <w:shd w:val="clear" w:color="000000" w:fill="FFFFFF"/>
            <w:noWrap/>
            <w:vAlign w:val="center"/>
            <w:hideMark/>
          </w:tcPr>
          <w:p w14:paraId="4098AC5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15.4</w:t>
            </w:r>
          </w:p>
        </w:tc>
        <w:tc>
          <w:tcPr>
            <w:tcW w:w="960" w:type="dxa"/>
            <w:tcBorders>
              <w:top w:val="nil"/>
              <w:left w:val="nil"/>
              <w:bottom w:val="nil"/>
              <w:right w:val="nil"/>
            </w:tcBorders>
            <w:shd w:val="clear" w:color="000000" w:fill="FFFFFF"/>
            <w:noWrap/>
            <w:vAlign w:val="center"/>
            <w:hideMark/>
          </w:tcPr>
          <w:p w14:paraId="3C18071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7.4</w:t>
            </w:r>
          </w:p>
        </w:tc>
        <w:tc>
          <w:tcPr>
            <w:tcW w:w="1420" w:type="dxa"/>
            <w:tcBorders>
              <w:top w:val="nil"/>
              <w:left w:val="nil"/>
              <w:bottom w:val="nil"/>
              <w:right w:val="nil"/>
            </w:tcBorders>
            <w:shd w:val="clear" w:color="000000" w:fill="FFFFFF"/>
            <w:noWrap/>
            <w:vAlign w:val="center"/>
            <w:hideMark/>
          </w:tcPr>
          <w:p w14:paraId="00D5629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3.89</w:t>
            </w:r>
          </w:p>
        </w:tc>
        <w:tc>
          <w:tcPr>
            <w:tcW w:w="960" w:type="dxa"/>
            <w:tcBorders>
              <w:top w:val="nil"/>
              <w:left w:val="nil"/>
              <w:bottom w:val="nil"/>
              <w:right w:val="nil"/>
            </w:tcBorders>
            <w:shd w:val="clear" w:color="000000" w:fill="FFFFFF"/>
            <w:noWrap/>
            <w:vAlign w:val="center"/>
            <w:hideMark/>
          </w:tcPr>
          <w:p w14:paraId="1532FA4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34.82</w:t>
            </w:r>
          </w:p>
        </w:tc>
      </w:tr>
      <w:tr w:rsidR="004C591B" w:rsidRPr="004C591B" w14:paraId="19874934" w14:textId="77777777" w:rsidTr="00C91B88">
        <w:trPr>
          <w:trHeight w:val="290"/>
        </w:trPr>
        <w:tc>
          <w:tcPr>
            <w:tcW w:w="1100" w:type="dxa"/>
            <w:tcBorders>
              <w:top w:val="nil"/>
              <w:left w:val="nil"/>
              <w:bottom w:val="nil"/>
              <w:right w:val="nil"/>
            </w:tcBorders>
            <w:shd w:val="clear" w:color="000000" w:fill="FFFFFF"/>
            <w:noWrap/>
            <w:vAlign w:val="center"/>
            <w:hideMark/>
          </w:tcPr>
          <w:p w14:paraId="4F21443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178</w:t>
            </w:r>
          </w:p>
        </w:tc>
        <w:tc>
          <w:tcPr>
            <w:tcW w:w="960" w:type="dxa"/>
            <w:tcBorders>
              <w:top w:val="nil"/>
              <w:left w:val="nil"/>
              <w:bottom w:val="nil"/>
              <w:right w:val="nil"/>
            </w:tcBorders>
            <w:shd w:val="clear" w:color="000000" w:fill="FFFFFF"/>
            <w:noWrap/>
            <w:vAlign w:val="center"/>
            <w:hideMark/>
          </w:tcPr>
          <w:p w14:paraId="4A4322F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1.34</w:t>
            </w:r>
          </w:p>
        </w:tc>
        <w:tc>
          <w:tcPr>
            <w:tcW w:w="960" w:type="dxa"/>
            <w:tcBorders>
              <w:top w:val="nil"/>
              <w:left w:val="nil"/>
              <w:bottom w:val="nil"/>
              <w:right w:val="nil"/>
            </w:tcBorders>
            <w:shd w:val="clear" w:color="000000" w:fill="FFFFFF"/>
            <w:noWrap/>
            <w:vAlign w:val="center"/>
            <w:hideMark/>
          </w:tcPr>
          <w:p w14:paraId="0CA1128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0.04</w:t>
            </w:r>
          </w:p>
        </w:tc>
        <w:tc>
          <w:tcPr>
            <w:tcW w:w="960" w:type="dxa"/>
            <w:tcBorders>
              <w:top w:val="nil"/>
              <w:left w:val="nil"/>
              <w:bottom w:val="nil"/>
              <w:right w:val="nil"/>
            </w:tcBorders>
            <w:shd w:val="clear" w:color="000000" w:fill="FFFFFF"/>
            <w:noWrap/>
            <w:vAlign w:val="center"/>
            <w:hideMark/>
          </w:tcPr>
          <w:p w14:paraId="1A51AD9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3.57</w:t>
            </w:r>
          </w:p>
        </w:tc>
        <w:tc>
          <w:tcPr>
            <w:tcW w:w="960" w:type="dxa"/>
            <w:tcBorders>
              <w:top w:val="nil"/>
              <w:left w:val="nil"/>
              <w:bottom w:val="nil"/>
              <w:right w:val="nil"/>
            </w:tcBorders>
            <w:shd w:val="clear" w:color="000000" w:fill="FFFFFF"/>
            <w:noWrap/>
            <w:vAlign w:val="center"/>
            <w:hideMark/>
          </w:tcPr>
          <w:p w14:paraId="4A7DA28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15.9</w:t>
            </w:r>
          </w:p>
        </w:tc>
        <w:tc>
          <w:tcPr>
            <w:tcW w:w="960" w:type="dxa"/>
            <w:tcBorders>
              <w:top w:val="nil"/>
              <w:left w:val="nil"/>
              <w:bottom w:val="nil"/>
              <w:right w:val="nil"/>
            </w:tcBorders>
            <w:shd w:val="clear" w:color="000000" w:fill="FFFFFF"/>
            <w:noWrap/>
            <w:vAlign w:val="center"/>
            <w:hideMark/>
          </w:tcPr>
          <w:p w14:paraId="50D09D4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8.0</w:t>
            </w:r>
          </w:p>
        </w:tc>
        <w:tc>
          <w:tcPr>
            <w:tcW w:w="1420" w:type="dxa"/>
            <w:tcBorders>
              <w:top w:val="nil"/>
              <w:left w:val="nil"/>
              <w:bottom w:val="nil"/>
              <w:right w:val="nil"/>
            </w:tcBorders>
            <w:shd w:val="clear" w:color="000000" w:fill="FFFFFF"/>
            <w:noWrap/>
            <w:vAlign w:val="center"/>
            <w:hideMark/>
          </w:tcPr>
          <w:p w14:paraId="6E2ED29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3.71</w:t>
            </w:r>
          </w:p>
        </w:tc>
        <w:tc>
          <w:tcPr>
            <w:tcW w:w="960" w:type="dxa"/>
            <w:tcBorders>
              <w:top w:val="nil"/>
              <w:left w:val="nil"/>
              <w:bottom w:val="nil"/>
              <w:right w:val="nil"/>
            </w:tcBorders>
            <w:shd w:val="clear" w:color="000000" w:fill="FFFFFF"/>
            <w:noWrap/>
            <w:vAlign w:val="center"/>
            <w:hideMark/>
          </w:tcPr>
          <w:p w14:paraId="1552836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34.85</w:t>
            </w:r>
          </w:p>
        </w:tc>
      </w:tr>
      <w:tr w:rsidR="004C591B" w:rsidRPr="004C591B" w14:paraId="711E86A0" w14:textId="77777777" w:rsidTr="00C91B88">
        <w:trPr>
          <w:trHeight w:val="290"/>
        </w:trPr>
        <w:tc>
          <w:tcPr>
            <w:tcW w:w="1100" w:type="dxa"/>
            <w:tcBorders>
              <w:top w:val="nil"/>
              <w:left w:val="nil"/>
              <w:bottom w:val="nil"/>
              <w:right w:val="nil"/>
            </w:tcBorders>
            <w:shd w:val="clear" w:color="000000" w:fill="FFFFFF"/>
            <w:noWrap/>
            <w:vAlign w:val="center"/>
            <w:hideMark/>
          </w:tcPr>
          <w:p w14:paraId="76101A5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496</w:t>
            </w:r>
          </w:p>
        </w:tc>
        <w:tc>
          <w:tcPr>
            <w:tcW w:w="960" w:type="dxa"/>
            <w:tcBorders>
              <w:top w:val="nil"/>
              <w:left w:val="nil"/>
              <w:bottom w:val="nil"/>
              <w:right w:val="nil"/>
            </w:tcBorders>
            <w:shd w:val="clear" w:color="000000" w:fill="FFFFFF"/>
            <w:noWrap/>
            <w:vAlign w:val="center"/>
            <w:hideMark/>
          </w:tcPr>
          <w:p w14:paraId="62D0771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1.44</w:t>
            </w:r>
          </w:p>
        </w:tc>
        <w:tc>
          <w:tcPr>
            <w:tcW w:w="960" w:type="dxa"/>
            <w:tcBorders>
              <w:top w:val="nil"/>
              <w:left w:val="nil"/>
              <w:bottom w:val="nil"/>
              <w:right w:val="nil"/>
            </w:tcBorders>
            <w:shd w:val="clear" w:color="000000" w:fill="FFFFFF"/>
            <w:noWrap/>
            <w:vAlign w:val="center"/>
            <w:hideMark/>
          </w:tcPr>
          <w:p w14:paraId="7276942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4A1FCA8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3.68</w:t>
            </w:r>
          </w:p>
        </w:tc>
        <w:tc>
          <w:tcPr>
            <w:tcW w:w="960" w:type="dxa"/>
            <w:tcBorders>
              <w:top w:val="nil"/>
              <w:left w:val="nil"/>
              <w:bottom w:val="nil"/>
              <w:right w:val="nil"/>
            </w:tcBorders>
            <w:shd w:val="clear" w:color="000000" w:fill="FFFFFF"/>
            <w:noWrap/>
            <w:vAlign w:val="center"/>
            <w:hideMark/>
          </w:tcPr>
          <w:p w14:paraId="40AA909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16.0</w:t>
            </w:r>
          </w:p>
        </w:tc>
        <w:tc>
          <w:tcPr>
            <w:tcW w:w="960" w:type="dxa"/>
            <w:tcBorders>
              <w:top w:val="nil"/>
              <w:left w:val="nil"/>
              <w:bottom w:val="nil"/>
              <w:right w:val="nil"/>
            </w:tcBorders>
            <w:shd w:val="clear" w:color="000000" w:fill="FFFFFF"/>
            <w:noWrap/>
            <w:vAlign w:val="center"/>
            <w:hideMark/>
          </w:tcPr>
          <w:p w14:paraId="6A7AA78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8.1</w:t>
            </w:r>
          </w:p>
        </w:tc>
        <w:tc>
          <w:tcPr>
            <w:tcW w:w="1420" w:type="dxa"/>
            <w:tcBorders>
              <w:top w:val="nil"/>
              <w:left w:val="nil"/>
              <w:bottom w:val="nil"/>
              <w:right w:val="nil"/>
            </w:tcBorders>
            <w:shd w:val="clear" w:color="000000" w:fill="FFFFFF"/>
            <w:noWrap/>
            <w:vAlign w:val="center"/>
            <w:hideMark/>
          </w:tcPr>
          <w:p w14:paraId="7E79033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w:t>
            </w:r>
          </w:p>
        </w:tc>
        <w:tc>
          <w:tcPr>
            <w:tcW w:w="960" w:type="dxa"/>
            <w:tcBorders>
              <w:top w:val="nil"/>
              <w:left w:val="nil"/>
              <w:bottom w:val="nil"/>
              <w:right w:val="nil"/>
            </w:tcBorders>
            <w:shd w:val="clear" w:color="000000" w:fill="FFFFFF"/>
            <w:noWrap/>
            <w:vAlign w:val="center"/>
            <w:hideMark/>
          </w:tcPr>
          <w:p w14:paraId="037D186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34.85</w:t>
            </w:r>
          </w:p>
        </w:tc>
      </w:tr>
      <w:tr w:rsidR="004C591B" w:rsidRPr="004C591B" w14:paraId="564339FA" w14:textId="77777777" w:rsidTr="00C91B88">
        <w:trPr>
          <w:trHeight w:val="290"/>
        </w:trPr>
        <w:tc>
          <w:tcPr>
            <w:tcW w:w="1100" w:type="dxa"/>
            <w:tcBorders>
              <w:top w:val="nil"/>
              <w:left w:val="nil"/>
              <w:bottom w:val="nil"/>
              <w:right w:val="nil"/>
            </w:tcBorders>
            <w:shd w:val="clear" w:color="000000" w:fill="FFFFFF"/>
            <w:noWrap/>
            <w:vAlign w:val="center"/>
            <w:hideMark/>
          </w:tcPr>
          <w:p w14:paraId="3B1FAC7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792</w:t>
            </w:r>
          </w:p>
        </w:tc>
        <w:tc>
          <w:tcPr>
            <w:tcW w:w="960" w:type="dxa"/>
            <w:tcBorders>
              <w:top w:val="nil"/>
              <w:left w:val="nil"/>
              <w:bottom w:val="nil"/>
              <w:right w:val="nil"/>
            </w:tcBorders>
            <w:shd w:val="clear" w:color="000000" w:fill="FFFFFF"/>
            <w:noWrap/>
            <w:vAlign w:val="center"/>
            <w:hideMark/>
          </w:tcPr>
          <w:p w14:paraId="4927893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1.35</w:t>
            </w:r>
          </w:p>
        </w:tc>
        <w:tc>
          <w:tcPr>
            <w:tcW w:w="960" w:type="dxa"/>
            <w:tcBorders>
              <w:top w:val="nil"/>
              <w:left w:val="nil"/>
              <w:bottom w:val="nil"/>
              <w:right w:val="nil"/>
            </w:tcBorders>
            <w:shd w:val="clear" w:color="000000" w:fill="FFFFFF"/>
            <w:noWrap/>
            <w:vAlign w:val="center"/>
            <w:hideMark/>
          </w:tcPr>
          <w:p w14:paraId="0CC83A8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787B342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3.69</w:t>
            </w:r>
          </w:p>
        </w:tc>
        <w:tc>
          <w:tcPr>
            <w:tcW w:w="960" w:type="dxa"/>
            <w:tcBorders>
              <w:top w:val="nil"/>
              <w:left w:val="nil"/>
              <w:bottom w:val="nil"/>
              <w:right w:val="nil"/>
            </w:tcBorders>
            <w:shd w:val="clear" w:color="000000" w:fill="FFFFFF"/>
            <w:noWrap/>
            <w:vAlign w:val="center"/>
            <w:hideMark/>
          </w:tcPr>
          <w:p w14:paraId="298D6CF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16.2</w:t>
            </w:r>
          </w:p>
        </w:tc>
        <w:tc>
          <w:tcPr>
            <w:tcW w:w="960" w:type="dxa"/>
            <w:tcBorders>
              <w:top w:val="nil"/>
              <w:left w:val="nil"/>
              <w:bottom w:val="nil"/>
              <w:right w:val="nil"/>
            </w:tcBorders>
            <w:shd w:val="clear" w:color="000000" w:fill="FFFFFF"/>
            <w:noWrap/>
            <w:vAlign w:val="center"/>
            <w:hideMark/>
          </w:tcPr>
          <w:p w14:paraId="319A895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8.2</w:t>
            </w:r>
          </w:p>
        </w:tc>
        <w:tc>
          <w:tcPr>
            <w:tcW w:w="1420" w:type="dxa"/>
            <w:tcBorders>
              <w:top w:val="nil"/>
              <w:left w:val="nil"/>
              <w:bottom w:val="nil"/>
              <w:right w:val="nil"/>
            </w:tcBorders>
            <w:shd w:val="clear" w:color="000000" w:fill="FFFFFF"/>
            <w:noWrap/>
            <w:vAlign w:val="center"/>
            <w:hideMark/>
          </w:tcPr>
          <w:p w14:paraId="109486C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w:t>
            </w:r>
          </w:p>
        </w:tc>
        <w:tc>
          <w:tcPr>
            <w:tcW w:w="960" w:type="dxa"/>
            <w:tcBorders>
              <w:top w:val="nil"/>
              <w:left w:val="nil"/>
              <w:bottom w:val="nil"/>
              <w:right w:val="nil"/>
            </w:tcBorders>
            <w:shd w:val="clear" w:color="000000" w:fill="FFFFFF"/>
            <w:noWrap/>
            <w:vAlign w:val="center"/>
            <w:hideMark/>
          </w:tcPr>
          <w:p w14:paraId="2D028F6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34.85</w:t>
            </w:r>
          </w:p>
        </w:tc>
      </w:tr>
      <w:tr w:rsidR="004C591B" w:rsidRPr="004C591B" w14:paraId="6D283678" w14:textId="77777777" w:rsidTr="00C91B88">
        <w:trPr>
          <w:trHeight w:val="290"/>
        </w:trPr>
        <w:tc>
          <w:tcPr>
            <w:tcW w:w="1100" w:type="dxa"/>
            <w:tcBorders>
              <w:top w:val="nil"/>
              <w:left w:val="nil"/>
              <w:bottom w:val="nil"/>
              <w:right w:val="nil"/>
            </w:tcBorders>
            <w:shd w:val="clear" w:color="000000" w:fill="FFFFFF"/>
            <w:noWrap/>
            <w:vAlign w:val="center"/>
            <w:hideMark/>
          </w:tcPr>
          <w:p w14:paraId="6C141F6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1087</w:t>
            </w:r>
          </w:p>
        </w:tc>
        <w:tc>
          <w:tcPr>
            <w:tcW w:w="960" w:type="dxa"/>
            <w:tcBorders>
              <w:top w:val="nil"/>
              <w:left w:val="nil"/>
              <w:bottom w:val="nil"/>
              <w:right w:val="nil"/>
            </w:tcBorders>
            <w:shd w:val="clear" w:color="000000" w:fill="FFFFFF"/>
            <w:noWrap/>
            <w:vAlign w:val="center"/>
            <w:hideMark/>
          </w:tcPr>
          <w:p w14:paraId="5B06C99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1.36</w:t>
            </w:r>
          </w:p>
        </w:tc>
        <w:tc>
          <w:tcPr>
            <w:tcW w:w="960" w:type="dxa"/>
            <w:tcBorders>
              <w:top w:val="nil"/>
              <w:left w:val="nil"/>
              <w:bottom w:val="nil"/>
              <w:right w:val="nil"/>
            </w:tcBorders>
            <w:shd w:val="clear" w:color="000000" w:fill="FFFFFF"/>
            <w:noWrap/>
            <w:vAlign w:val="center"/>
            <w:hideMark/>
          </w:tcPr>
          <w:p w14:paraId="2E700E1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0.10</w:t>
            </w:r>
          </w:p>
        </w:tc>
        <w:tc>
          <w:tcPr>
            <w:tcW w:w="960" w:type="dxa"/>
            <w:tcBorders>
              <w:top w:val="nil"/>
              <w:left w:val="nil"/>
              <w:bottom w:val="nil"/>
              <w:right w:val="nil"/>
            </w:tcBorders>
            <w:shd w:val="clear" w:color="000000" w:fill="FFFFFF"/>
            <w:noWrap/>
            <w:vAlign w:val="center"/>
            <w:hideMark/>
          </w:tcPr>
          <w:p w14:paraId="1BD9E56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3.69</w:t>
            </w:r>
          </w:p>
        </w:tc>
        <w:tc>
          <w:tcPr>
            <w:tcW w:w="960" w:type="dxa"/>
            <w:tcBorders>
              <w:top w:val="nil"/>
              <w:left w:val="nil"/>
              <w:bottom w:val="nil"/>
              <w:right w:val="nil"/>
            </w:tcBorders>
            <w:shd w:val="clear" w:color="000000" w:fill="FFFFFF"/>
            <w:noWrap/>
            <w:vAlign w:val="center"/>
            <w:hideMark/>
          </w:tcPr>
          <w:p w14:paraId="1142276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16.2</w:t>
            </w:r>
          </w:p>
        </w:tc>
        <w:tc>
          <w:tcPr>
            <w:tcW w:w="960" w:type="dxa"/>
            <w:tcBorders>
              <w:top w:val="nil"/>
              <w:left w:val="nil"/>
              <w:bottom w:val="nil"/>
              <w:right w:val="nil"/>
            </w:tcBorders>
            <w:shd w:val="clear" w:color="000000" w:fill="FFFFFF"/>
            <w:noWrap/>
            <w:vAlign w:val="center"/>
            <w:hideMark/>
          </w:tcPr>
          <w:p w14:paraId="31EDD6A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8.3</w:t>
            </w:r>
          </w:p>
        </w:tc>
        <w:tc>
          <w:tcPr>
            <w:tcW w:w="1420" w:type="dxa"/>
            <w:tcBorders>
              <w:top w:val="nil"/>
              <w:left w:val="nil"/>
              <w:bottom w:val="nil"/>
              <w:right w:val="nil"/>
            </w:tcBorders>
            <w:shd w:val="clear" w:color="000000" w:fill="FFFFFF"/>
            <w:noWrap/>
            <w:vAlign w:val="center"/>
            <w:hideMark/>
          </w:tcPr>
          <w:p w14:paraId="0C51C9A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3.46</w:t>
            </w:r>
          </w:p>
        </w:tc>
        <w:tc>
          <w:tcPr>
            <w:tcW w:w="960" w:type="dxa"/>
            <w:tcBorders>
              <w:top w:val="nil"/>
              <w:left w:val="nil"/>
              <w:bottom w:val="nil"/>
              <w:right w:val="nil"/>
            </w:tcBorders>
            <w:shd w:val="clear" w:color="000000" w:fill="FFFFFF"/>
            <w:noWrap/>
            <w:vAlign w:val="center"/>
            <w:hideMark/>
          </w:tcPr>
          <w:p w14:paraId="38B0AEA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34.85</w:t>
            </w:r>
          </w:p>
        </w:tc>
      </w:tr>
      <w:tr w:rsidR="004C591B" w:rsidRPr="004C591B" w14:paraId="5A790C6A" w14:textId="77777777" w:rsidTr="00C91B88">
        <w:trPr>
          <w:trHeight w:val="290"/>
        </w:trPr>
        <w:tc>
          <w:tcPr>
            <w:tcW w:w="1100" w:type="dxa"/>
            <w:tcBorders>
              <w:top w:val="nil"/>
              <w:left w:val="nil"/>
              <w:bottom w:val="nil"/>
              <w:right w:val="nil"/>
            </w:tcBorders>
            <w:shd w:val="clear" w:color="000000" w:fill="FFFFFF"/>
            <w:noWrap/>
            <w:vAlign w:val="center"/>
            <w:hideMark/>
          </w:tcPr>
          <w:p w14:paraId="3ABE8D9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1580</w:t>
            </w:r>
          </w:p>
        </w:tc>
        <w:tc>
          <w:tcPr>
            <w:tcW w:w="960" w:type="dxa"/>
            <w:tcBorders>
              <w:top w:val="nil"/>
              <w:left w:val="nil"/>
              <w:bottom w:val="nil"/>
              <w:right w:val="nil"/>
            </w:tcBorders>
            <w:shd w:val="clear" w:color="000000" w:fill="FFFFFF"/>
            <w:noWrap/>
            <w:vAlign w:val="center"/>
            <w:hideMark/>
          </w:tcPr>
          <w:p w14:paraId="3B4A6DD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1.31</w:t>
            </w:r>
          </w:p>
        </w:tc>
        <w:tc>
          <w:tcPr>
            <w:tcW w:w="960" w:type="dxa"/>
            <w:tcBorders>
              <w:top w:val="nil"/>
              <w:left w:val="nil"/>
              <w:bottom w:val="nil"/>
              <w:right w:val="nil"/>
            </w:tcBorders>
            <w:shd w:val="clear" w:color="000000" w:fill="FFFFFF"/>
            <w:noWrap/>
            <w:vAlign w:val="center"/>
            <w:hideMark/>
          </w:tcPr>
          <w:p w14:paraId="31657DD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0.07</w:t>
            </w:r>
          </w:p>
        </w:tc>
        <w:tc>
          <w:tcPr>
            <w:tcW w:w="960" w:type="dxa"/>
            <w:tcBorders>
              <w:top w:val="nil"/>
              <w:left w:val="nil"/>
              <w:bottom w:val="nil"/>
              <w:right w:val="nil"/>
            </w:tcBorders>
            <w:shd w:val="clear" w:color="000000" w:fill="FFFFFF"/>
            <w:noWrap/>
            <w:vAlign w:val="center"/>
            <w:hideMark/>
          </w:tcPr>
          <w:p w14:paraId="1D9A8B8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3.76</w:t>
            </w:r>
          </w:p>
        </w:tc>
        <w:tc>
          <w:tcPr>
            <w:tcW w:w="960" w:type="dxa"/>
            <w:tcBorders>
              <w:top w:val="nil"/>
              <w:left w:val="nil"/>
              <w:bottom w:val="nil"/>
              <w:right w:val="nil"/>
            </w:tcBorders>
            <w:shd w:val="clear" w:color="000000" w:fill="FFFFFF"/>
            <w:noWrap/>
            <w:vAlign w:val="center"/>
            <w:hideMark/>
          </w:tcPr>
          <w:p w14:paraId="4CE7D11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16.8</w:t>
            </w:r>
          </w:p>
        </w:tc>
        <w:tc>
          <w:tcPr>
            <w:tcW w:w="960" w:type="dxa"/>
            <w:tcBorders>
              <w:top w:val="nil"/>
              <w:left w:val="nil"/>
              <w:bottom w:val="nil"/>
              <w:right w:val="nil"/>
            </w:tcBorders>
            <w:shd w:val="clear" w:color="000000" w:fill="FFFFFF"/>
            <w:noWrap/>
            <w:vAlign w:val="center"/>
            <w:hideMark/>
          </w:tcPr>
          <w:p w14:paraId="744D8D1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9.1</w:t>
            </w:r>
          </w:p>
        </w:tc>
        <w:tc>
          <w:tcPr>
            <w:tcW w:w="1420" w:type="dxa"/>
            <w:tcBorders>
              <w:top w:val="nil"/>
              <w:left w:val="nil"/>
              <w:bottom w:val="nil"/>
              <w:right w:val="nil"/>
            </w:tcBorders>
            <w:shd w:val="clear" w:color="000000" w:fill="FFFFFF"/>
            <w:noWrap/>
            <w:vAlign w:val="center"/>
            <w:hideMark/>
          </w:tcPr>
          <w:p w14:paraId="5E2B73F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3.62</w:t>
            </w:r>
          </w:p>
        </w:tc>
        <w:tc>
          <w:tcPr>
            <w:tcW w:w="960" w:type="dxa"/>
            <w:tcBorders>
              <w:top w:val="nil"/>
              <w:left w:val="nil"/>
              <w:bottom w:val="nil"/>
              <w:right w:val="nil"/>
            </w:tcBorders>
            <w:shd w:val="clear" w:color="000000" w:fill="FFFFFF"/>
            <w:noWrap/>
            <w:vAlign w:val="center"/>
            <w:hideMark/>
          </w:tcPr>
          <w:p w14:paraId="440DA4D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34.89</w:t>
            </w:r>
          </w:p>
        </w:tc>
      </w:tr>
      <w:tr w:rsidR="004C591B" w:rsidRPr="004C591B" w14:paraId="0CB271BA" w14:textId="77777777" w:rsidTr="00C91B88">
        <w:trPr>
          <w:trHeight w:val="290"/>
        </w:trPr>
        <w:tc>
          <w:tcPr>
            <w:tcW w:w="1100" w:type="dxa"/>
            <w:tcBorders>
              <w:top w:val="nil"/>
              <w:left w:val="nil"/>
              <w:bottom w:val="nil"/>
              <w:right w:val="nil"/>
            </w:tcBorders>
            <w:shd w:val="clear" w:color="000000" w:fill="FFFFFF"/>
            <w:noWrap/>
            <w:vAlign w:val="center"/>
            <w:hideMark/>
          </w:tcPr>
          <w:p w14:paraId="70DE2F9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2071</w:t>
            </w:r>
          </w:p>
        </w:tc>
        <w:tc>
          <w:tcPr>
            <w:tcW w:w="960" w:type="dxa"/>
            <w:tcBorders>
              <w:top w:val="nil"/>
              <w:left w:val="nil"/>
              <w:bottom w:val="nil"/>
              <w:right w:val="nil"/>
            </w:tcBorders>
            <w:shd w:val="clear" w:color="000000" w:fill="FFFFFF"/>
            <w:noWrap/>
            <w:vAlign w:val="center"/>
            <w:hideMark/>
          </w:tcPr>
          <w:p w14:paraId="16D3F7E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1.34</w:t>
            </w:r>
          </w:p>
        </w:tc>
        <w:tc>
          <w:tcPr>
            <w:tcW w:w="960" w:type="dxa"/>
            <w:tcBorders>
              <w:top w:val="nil"/>
              <w:left w:val="nil"/>
              <w:bottom w:val="nil"/>
              <w:right w:val="nil"/>
            </w:tcBorders>
            <w:shd w:val="clear" w:color="000000" w:fill="FFFFFF"/>
            <w:noWrap/>
            <w:vAlign w:val="center"/>
            <w:hideMark/>
          </w:tcPr>
          <w:p w14:paraId="5CDA99D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0.07</w:t>
            </w:r>
          </w:p>
        </w:tc>
        <w:tc>
          <w:tcPr>
            <w:tcW w:w="960" w:type="dxa"/>
            <w:tcBorders>
              <w:top w:val="nil"/>
              <w:left w:val="nil"/>
              <w:bottom w:val="nil"/>
              <w:right w:val="nil"/>
            </w:tcBorders>
            <w:shd w:val="clear" w:color="000000" w:fill="FFFFFF"/>
            <w:noWrap/>
            <w:vAlign w:val="center"/>
            <w:hideMark/>
          </w:tcPr>
          <w:p w14:paraId="494D5C3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3.72</w:t>
            </w:r>
          </w:p>
        </w:tc>
        <w:tc>
          <w:tcPr>
            <w:tcW w:w="960" w:type="dxa"/>
            <w:tcBorders>
              <w:top w:val="nil"/>
              <w:left w:val="nil"/>
              <w:bottom w:val="nil"/>
              <w:right w:val="nil"/>
            </w:tcBorders>
            <w:shd w:val="clear" w:color="000000" w:fill="FFFFFF"/>
            <w:noWrap/>
            <w:vAlign w:val="center"/>
            <w:hideMark/>
          </w:tcPr>
          <w:p w14:paraId="37D6CAB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17.1</w:t>
            </w:r>
          </w:p>
        </w:tc>
        <w:tc>
          <w:tcPr>
            <w:tcW w:w="960" w:type="dxa"/>
            <w:tcBorders>
              <w:top w:val="nil"/>
              <w:left w:val="nil"/>
              <w:bottom w:val="nil"/>
              <w:right w:val="nil"/>
            </w:tcBorders>
            <w:shd w:val="clear" w:color="000000" w:fill="FFFFFF"/>
            <w:noWrap/>
            <w:vAlign w:val="center"/>
            <w:hideMark/>
          </w:tcPr>
          <w:p w14:paraId="462CE06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10.8</w:t>
            </w:r>
          </w:p>
        </w:tc>
        <w:tc>
          <w:tcPr>
            <w:tcW w:w="1420" w:type="dxa"/>
            <w:tcBorders>
              <w:top w:val="nil"/>
              <w:left w:val="nil"/>
              <w:bottom w:val="nil"/>
              <w:right w:val="nil"/>
            </w:tcBorders>
            <w:shd w:val="clear" w:color="000000" w:fill="FFFFFF"/>
            <w:noWrap/>
            <w:vAlign w:val="center"/>
            <w:hideMark/>
          </w:tcPr>
          <w:p w14:paraId="42A968D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3.45</w:t>
            </w:r>
          </w:p>
        </w:tc>
        <w:tc>
          <w:tcPr>
            <w:tcW w:w="960" w:type="dxa"/>
            <w:tcBorders>
              <w:top w:val="nil"/>
              <w:left w:val="nil"/>
              <w:bottom w:val="nil"/>
              <w:right w:val="nil"/>
            </w:tcBorders>
            <w:shd w:val="clear" w:color="000000" w:fill="FFFFFF"/>
            <w:noWrap/>
            <w:vAlign w:val="center"/>
            <w:hideMark/>
          </w:tcPr>
          <w:p w14:paraId="782709D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34.92</w:t>
            </w:r>
          </w:p>
        </w:tc>
      </w:tr>
      <w:tr w:rsidR="004C591B" w:rsidRPr="004C591B" w14:paraId="3AE8C8D6" w14:textId="77777777" w:rsidTr="00C91B88">
        <w:trPr>
          <w:trHeight w:val="290"/>
        </w:trPr>
        <w:tc>
          <w:tcPr>
            <w:tcW w:w="1100" w:type="dxa"/>
            <w:tcBorders>
              <w:top w:val="nil"/>
              <w:left w:val="nil"/>
              <w:bottom w:val="nil"/>
              <w:right w:val="nil"/>
            </w:tcBorders>
            <w:shd w:val="clear" w:color="000000" w:fill="FFFFFF"/>
            <w:noWrap/>
            <w:vAlign w:val="center"/>
            <w:hideMark/>
          </w:tcPr>
          <w:p w14:paraId="34C1AB9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2364</w:t>
            </w:r>
          </w:p>
        </w:tc>
        <w:tc>
          <w:tcPr>
            <w:tcW w:w="960" w:type="dxa"/>
            <w:tcBorders>
              <w:top w:val="nil"/>
              <w:left w:val="nil"/>
              <w:bottom w:val="nil"/>
              <w:right w:val="nil"/>
            </w:tcBorders>
            <w:shd w:val="clear" w:color="000000" w:fill="FFFFFF"/>
            <w:noWrap/>
            <w:vAlign w:val="center"/>
            <w:hideMark/>
          </w:tcPr>
          <w:p w14:paraId="04E06A1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1.35</w:t>
            </w:r>
          </w:p>
        </w:tc>
        <w:tc>
          <w:tcPr>
            <w:tcW w:w="960" w:type="dxa"/>
            <w:tcBorders>
              <w:top w:val="nil"/>
              <w:left w:val="nil"/>
              <w:bottom w:val="nil"/>
              <w:right w:val="nil"/>
            </w:tcBorders>
            <w:shd w:val="clear" w:color="000000" w:fill="FFFFFF"/>
            <w:noWrap/>
            <w:vAlign w:val="center"/>
            <w:hideMark/>
          </w:tcPr>
          <w:p w14:paraId="3053C57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18CAFB1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3.73</w:t>
            </w:r>
          </w:p>
        </w:tc>
        <w:tc>
          <w:tcPr>
            <w:tcW w:w="960" w:type="dxa"/>
            <w:tcBorders>
              <w:top w:val="nil"/>
              <w:left w:val="nil"/>
              <w:bottom w:val="nil"/>
              <w:right w:val="nil"/>
            </w:tcBorders>
            <w:shd w:val="clear" w:color="000000" w:fill="FFFFFF"/>
            <w:noWrap/>
            <w:vAlign w:val="center"/>
            <w:hideMark/>
          </w:tcPr>
          <w:p w14:paraId="3E0E5B5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17.2</w:t>
            </w:r>
          </w:p>
        </w:tc>
        <w:tc>
          <w:tcPr>
            <w:tcW w:w="960" w:type="dxa"/>
            <w:tcBorders>
              <w:top w:val="nil"/>
              <w:left w:val="nil"/>
              <w:bottom w:val="nil"/>
              <w:right w:val="nil"/>
            </w:tcBorders>
            <w:shd w:val="clear" w:color="000000" w:fill="FFFFFF"/>
            <w:noWrap/>
            <w:vAlign w:val="center"/>
            <w:hideMark/>
          </w:tcPr>
          <w:p w14:paraId="47D22FB5"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11.6</w:t>
            </w:r>
          </w:p>
        </w:tc>
        <w:tc>
          <w:tcPr>
            <w:tcW w:w="1420" w:type="dxa"/>
            <w:tcBorders>
              <w:top w:val="nil"/>
              <w:left w:val="nil"/>
              <w:bottom w:val="nil"/>
              <w:right w:val="nil"/>
            </w:tcBorders>
            <w:shd w:val="clear" w:color="000000" w:fill="FFFFFF"/>
            <w:noWrap/>
            <w:vAlign w:val="center"/>
            <w:hideMark/>
          </w:tcPr>
          <w:p w14:paraId="657D013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3.22</w:t>
            </w:r>
          </w:p>
        </w:tc>
        <w:tc>
          <w:tcPr>
            <w:tcW w:w="960" w:type="dxa"/>
            <w:tcBorders>
              <w:top w:val="nil"/>
              <w:left w:val="nil"/>
              <w:bottom w:val="nil"/>
              <w:right w:val="nil"/>
            </w:tcBorders>
            <w:shd w:val="clear" w:color="000000" w:fill="FFFFFF"/>
            <w:noWrap/>
            <w:vAlign w:val="center"/>
            <w:hideMark/>
          </w:tcPr>
          <w:p w14:paraId="07A4088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34.92</w:t>
            </w:r>
          </w:p>
        </w:tc>
      </w:tr>
      <w:tr w:rsidR="004C591B" w:rsidRPr="004C591B" w14:paraId="60A1AAE8" w14:textId="77777777" w:rsidTr="00C91B88">
        <w:trPr>
          <w:trHeight w:val="290"/>
        </w:trPr>
        <w:tc>
          <w:tcPr>
            <w:tcW w:w="1100" w:type="dxa"/>
            <w:tcBorders>
              <w:top w:val="nil"/>
              <w:left w:val="nil"/>
              <w:bottom w:val="nil"/>
              <w:right w:val="nil"/>
            </w:tcBorders>
            <w:shd w:val="clear" w:color="000000" w:fill="FFFFFF"/>
            <w:noWrap/>
            <w:vAlign w:val="center"/>
            <w:hideMark/>
          </w:tcPr>
          <w:p w14:paraId="0F6D9BC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2756</w:t>
            </w:r>
          </w:p>
        </w:tc>
        <w:tc>
          <w:tcPr>
            <w:tcW w:w="960" w:type="dxa"/>
            <w:tcBorders>
              <w:top w:val="nil"/>
              <w:left w:val="nil"/>
              <w:bottom w:val="nil"/>
              <w:right w:val="nil"/>
            </w:tcBorders>
            <w:shd w:val="clear" w:color="000000" w:fill="FFFFFF"/>
            <w:noWrap/>
            <w:vAlign w:val="center"/>
            <w:hideMark/>
          </w:tcPr>
          <w:p w14:paraId="7AFCDEB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1.39</w:t>
            </w:r>
          </w:p>
        </w:tc>
        <w:tc>
          <w:tcPr>
            <w:tcW w:w="960" w:type="dxa"/>
            <w:tcBorders>
              <w:top w:val="nil"/>
              <w:left w:val="nil"/>
              <w:bottom w:val="nil"/>
              <w:right w:val="nil"/>
            </w:tcBorders>
            <w:shd w:val="clear" w:color="000000" w:fill="FFFFFF"/>
            <w:noWrap/>
            <w:vAlign w:val="center"/>
            <w:hideMark/>
          </w:tcPr>
          <w:p w14:paraId="51F883F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0.08</w:t>
            </w:r>
          </w:p>
        </w:tc>
        <w:tc>
          <w:tcPr>
            <w:tcW w:w="960" w:type="dxa"/>
            <w:tcBorders>
              <w:top w:val="nil"/>
              <w:left w:val="nil"/>
              <w:bottom w:val="nil"/>
              <w:right w:val="nil"/>
            </w:tcBorders>
            <w:shd w:val="clear" w:color="000000" w:fill="FFFFFF"/>
            <w:noWrap/>
            <w:vAlign w:val="center"/>
            <w:hideMark/>
          </w:tcPr>
          <w:p w14:paraId="45EAABC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3.64</w:t>
            </w:r>
          </w:p>
        </w:tc>
        <w:tc>
          <w:tcPr>
            <w:tcW w:w="960" w:type="dxa"/>
            <w:tcBorders>
              <w:top w:val="nil"/>
              <w:left w:val="nil"/>
              <w:bottom w:val="nil"/>
              <w:right w:val="nil"/>
            </w:tcBorders>
            <w:shd w:val="clear" w:color="000000" w:fill="FFFFFF"/>
            <w:noWrap/>
            <w:vAlign w:val="center"/>
            <w:hideMark/>
          </w:tcPr>
          <w:p w14:paraId="56CC314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16.8</w:t>
            </w:r>
          </w:p>
        </w:tc>
        <w:tc>
          <w:tcPr>
            <w:tcW w:w="960" w:type="dxa"/>
            <w:tcBorders>
              <w:top w:val="nil"/>
              <w:left w:val="nil"/>
              <w:bottom w:val="nil"/>
              <w:right w:val="nil"/>
            </w:tcBorders>
            <w:shd w:val="clear" w:color="000000" w:fill="FFFFFF"/>
            <w:noWrap/>
            <w:vAlign w:val="center"/>
            <w:hideMark/>
          </w:tcPr>
          <w:p w14:paraId="728C528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12.5</w:t>
            </w:r>
          </w:p>
        </w:tc>
        <w:tc>
          <w:tcPr>
            <w:tcW w:w="1420" w:type="dxa"/>
            <w:tcBorders>
              <w:top w:val="nil"/>
              <w:left w:val="nil"/>
              <w:bottom w:val="nil"/>
              <w:right w:val="nil"/>
            </w:tcBorders>
            <w:shd w:val="clear" w:color="000000" w:fill="FFFFFF"/>
            <w:noWrap/>
            <w:vAlign w:val="center"/>
            <w:hideMark/>
          </w:tcPr>
          <w:p w14:paraId="0C46F30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2.93</w:t>
            </w:r>
          </w:p>
        </w:tc>
        <w:tc>
          <w:tcPr>
            <w:tcW w:w="960" w:type="dxa"/>
            <w:tcBorders>
              <w:top w:val="nil"/>
              <w:left w:val="nil"/>
              <w:bottom w:val="nil"/>
              <w:right w:val="nil"/>
            </w:tcBorders>
            <w:shd w:val="clear" w:color="000000" w:fill="FFFFFF"/>
            <w:noWrap/>
            <w:vAlign w:val="center"/>
            <w:hideMark/>
          </w:tcPr>
          <w:p w14:paraId="18E692F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34.92</w:t>
            </w:r>
          </w:p>
        </w:tc>
      </w:tr>
      <w:tr w:rsidR="004C591B" w:rsidRPr="004C591B" w14:paraId="344B6283" w14:textId="77777777" w:rsidTr="00C91B88">
        <w:trPr>
          <w:trHeight w:val="290"/>
        </w:trPr>
        <w:tc>
          <w:tcPr>
            <w:tcW w:w="1100" w:type="dxa"/>
            <w:tcBorders>
              <w:top w:val="nil"/>
              <w:left w:val="nil"/>
              <w:bottom w:val="nil"/>
              <w:right w:val="nil"/>
            </w:tcBorders>
            <w:shd w:val="clear" w:color="000000" w:fill="FFFFFF"/>
            <w:noWrap/>
            <w:vAlign w:val="center"/>
            <w:hideMark/>
          </w:tcPr>
          <w:p w14:paraId="35266C8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3196</w:t>
            </w:r>
          </w:p>
        </w:tc>
        <w:tc>
          <w:tcPr>
            <w:tcW w:w="960" w:type="dxa"/>
            <w:tcBorders>
              <w:top w:val="nil"/>
              <w:left w:val="nil"/>
              <w:bottom w:val="nil"/>
              <w:right w:val="nil"/>
            </w:tcBorders>
            <w:shd w:val="clear" w:color="000000" w:fill="FFFFFF"/>
            <w:noWrap/>
            <w:vAlign w:val="center"/>
            <w:hideMark/>
          </w:tcPr>
          <w:p w14:paraId="1E1F817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1.30</w:t>
            </w:r>
          </w:p>
        </w:tc>
        <w:tc>
          <w:tcPr>
            <w:tcW w:w="960" w:type="dxa"/>
            <w:tcBorders>
              <w:top w:val="nil"/>
              <w:left w:val="nil"/>
              <w:bottom w:val="nil"/>
              <w:right w:val="nil"/>
            </w:tcBorders>
            <w:shd w:val="clear" w:color="000000" w:fill="FFFFFF"/>
            <w:noWrap/>
            <w:vAlign w:val="center"/>
            <w:hideMark/>
          </w:tcPr>
          <w:p w14:paraId="39B69211"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0.07</w:t>
            </w:r>
          </w:p>
        </w:tc>
        <w:tc>
          <w:tcPr>
            <w:tcW w:w="960" w:type="dxa"/>
            <w:tcBorders>
              <w:top w:val="nil"/>
              <w:left w:val="nil"/>
              <w:bottom w:val="nil"/>
              <w:right w:val="nil"/>
            </w:tcBorders>
            <w:shd w:val="clear" w:color="000000" w:fill="FFFFFF"/>
            <w:noWrap/>
            <w:vAlign w:val="center"/>
            <w:hideMark/>
          </w:tcPr>
          <w:p w14:paraId="2C0E55D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3.72</w:t>
            </w:r>
          </w:p>
        </w:tc>
        <w:tc>
          <w:tcPr>
            <w:tcW w:w="960" w:type="dxa"/>
            <w:tcBorders>
              <w:top w:val="nil"/>
              <w:left w:val="nil"/>
              <w:bottom w:val="nil"/>
              <w:right w:val="nil"/>
            </w:tcBorders>
            <w:shd w:val="clear" w:color="000000" w:fill="FFFFFF"/>
            <w:noWrap/>
            <w:vAlign w:val="center"/>
            <w:hideMark/>
          </w:tcPr>
          <w:p w14:paraId="3D00E84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16.4</w:t>
            </w:r>
          </w:p>
        </w:tc>
        <w:tc>
          <w:tcPr>
            <w:tcW w:w="960" w:type="dxa"/>
            <w:tcBorders>
              <w:top w:val="nil"/>
              <w:left w:val="nil"/>
              <w:bottom w:val="nil"/>
              <w:right w:val="nil"/>
            </w:tcBorders>
            <w:shd w:val="clear" w:color="000000" w:fill="FFFFFF"/>
            <w:noWrap/>
            <w:vAlign w:val="center"/>
            <w:hideMark/>
          </w:tcPr>
          <w:p w14:paraId="66DB182C"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14.0</w:t>
            </w:r>
          </w:p>
        </w:tc>
        <w:tc>
          <w:tcPr>
            <w:tcW w:w="1420" w:type="dxa"/>
            <w:tcBorders>
              <w:top w:val="nil"/>
              <w:left w:val="nil"/>
              <w:bottom w:val="nil"/>
              <w:right w:val="nil"/>
            </w:tcBorders>
            <w:shd w:val="clear" w:color="000000" w:fill="FFFFFF"/>
            <w:noWrap/>
            <w:vAlign w:val="center"/>
            <w:hideMark/>
          </w:tcPr>
          <w:p w14:paraId="7E3B34E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2.48</w:t>
            </w:r>
          </w:p>
        </w:tc>
        <w:tc>
          <w:tcPr>
            <w:tcW w:w="960" w:type="dxa"/>
            <w:tcBorders>
              <w:top w:val="nil"/>
              <w:left w:val="nil"/>
              <w:bottom w:val="nil"/>
              <w:right w:val="nil"/>
            </w:tcBorders>
            <w:shd w:val="clear" w:color="000000" w:fill="FFFFFF"/>
            <w:noWrap/>
            <w:vAlign w:val="center"/>
            <w:hideMark/>
          </w:tcPr>
          <w:p w14:paraId="4069C22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34.91</w:t>
            </w:r>
          </w:p>
        </w:tc>
      </w:tr>
      <w:tr w:rsidR="004C591B" w:rsidRPr="004C591B" w14:paraId="0E0AF3C2" w14:textId="77777777" w:rsidTr="00C91B88">
        <w:trPr>
          <w:trHeight w:val="290"/>
        </w:trPr>
        <w:tc>
          <w:tcPr>
            <w:tcW w:w="1100" w:type="dxa"/>
            <w:tcBorders>
              <w:top w:val="nil"/>
              <w:left w:val="nil"/>
              <w:bottom w:val="nil"/>
              <w:right w:val="nil"/>
            </w:tcBorders>
            <w:shd w:val="clear" w:color="000000" w:fill="FFFFFF"/>
            <w:noWrap/>
            <w:vAlign w:val="center"/>
            <w:hideMark/>
          </w:tcPr>
          <w:p w14:paraId="4B0F0279"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3439</w:t>
            </w:r>
          </w:p>
        </w:tc>
        <w:tc>
          <w:tcPr>
            <w:tcW w:w="960" w:type="dxa"/>
            <w:tcBorders>
              <w:top w:val="nil"/>
              <w:left w:val="nil"/>
              <w:bottom w:val="nil"/>
              <w:right w:val="nil"/>
            </w:tcBorders>
            <w:shd w:val="clear" w:color="000000" w:fill="FFFFFF"/>
            <w:noWrap/>
            <w:vAlign w:val="center"/>
            <w:hideMark/>
          </w:tcPr>
          <w:p w14:paraId="19DEAF5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1.25</w:t>
            </w:r>
          </w:p>
        </w:tc>
        <w:tc>
          <w:tcPr>
            <w:tcW w:w="960" w:type="dxa"/>
            <w:tcBorders>
              <w:top w:val="nil"/>
              <w:left w:val="nil"/>
              <w:bottom w:val="nil"/>
              <w:right w:val="nil"/>
            </w:tcBorders>
            <w:shd w:val="clear" w:color="000000" w:fill="FFFFFF"/>
            <w:noWrap/>
            <w:vAlign w:val="center"/>
            <w:hideMark/>
          </w:tcPr>
          <w:p w14:paraId="0EF9EFE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0.05</w:t>
            </w:r>
          </w:p>
        </w:tc>
        <w:tc>
          <w:tcPr>
            <w:tcW w:w="960" w:type="dxa"/>
            <w:tcBorders>
              <w:top w:val="nil"/>
              <w:left w:val="nil"/>
              <w:bottom w:val="nil"/>
              <w:right w:val="nil"/>
            </w:tcBorders>
            <w:shd w:val="clear" w:color="000000" w:fill="FFFFFF"/>
            <w:noWrap/>
            <w:vAlign w:val="center"/>
            <w:hideMark/>
          </w:tcPr>
          <w:p w14:paraId="2575537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3.51</w:t>
            </w:r>
          </w:p>
        </w:tc>
        <w:tc>
          <w:tcPr>
            <w:tcW w:w="960" w:type="dxa"/>
            <w:tcBorders>
              <w:top w:val="nil"/>
              <w:left w:val="nil"/>
              <w:bottom w:val="nil"/>
              <w:right w:val="nil"/>
            </w:tcBorders>
            <w:shd w:val="clear" w:color="000000" w:fill="FFFFFF"/>
            <w:noWrap/>
            <w:vAlign w:val="center"/>
            <w:hideMark/>
          </w:tcPr>
          <w:p w14:paraId="210F372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15.4</w:t>
            </w:r>
          </w:p>
        </w:tc>
        <w:tc>
          <w:tcPr>
            <w:tcW w:w="960" w:type="dxa"/>
            <w:tcBorders>
              <w:top w:val="nil"/>
              <w:left w:val="nil"/>
              <w:bottom w:val="nil"/>
              <w:right w:val="nil"/>
            </w:tcBorders>
            <w:shd w:val="clear" w:color="000000" w:fill="FFFFFF"/>
            <w:noWrap/>
            <w:vAlign w:val="center"/>
            <w:hideMark/>
          </w:tcPr>
          <w:p w14:paraId="5FC3748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11.5</w:t>
            </w:r>
          </w:p>
        </w:tc>
        <w:tc>
          <w:tcPr>
            <w:tcW w:w="1420" w:type="dxa"/>
            <w:tcBorders>
              <w:top w:val="nil"/>
              <w:left w:val="nil"/>
              <w:bottom w:val="nil"/>
              <w:right w:val="nil"/>
            </w:tcBorders>
            <w:shd w:val="clear" w:color="000000" w:fill="FFFFFF"/>
            <w:noWrap/>
            <w:vAlign w:val="center"/>
            <w:hideMark/>
          </w:tcPr>
          <w:p w14:paraId="685998E8"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2.00</w:t>
            </w:r>
          </w:p>
        </w:tc>
        <w:tc>
          <w:tcPr>
            <w:tcW w:w="960" w:type="dxa"/>
            <w:tcBorders>
              <w:top w:val="nil"/>
              <w:left w:val="nil"/>
              <w:bottom w:val="nil"/>
              <w:right w:val="nil"/>
            </w:tcBorders>
            <w:shd w:val="clear" w:color="000000" w:fill="FFFFFF"/>
            <w:noWrap/>
            <w:vAlign w:val="center"/>
            <w:hideMark/>
          </w:tcPr>
          <w:p w14:paraId="504BFBE2"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34.90</w:t>
            </w:r>
          </w:p>
        </w:tc>
      </w:tr>
      <w:tr w:rsidR="004C591B" w:rsidRPr="004C591B" w14:paraId="4DBE7462" w14:textId="77777777" w:rsidTr="00C91B88">
        <w:trPr>
          <w:trHeight w:val="290"/>
        </w:trPr>
        <w:tc>
          <w:tcPr>
            <w:tcW w:w="1100" w:type="dxa"/>
            <w:tcBorders>
              <w:top w:val="nil"/>
              <w:left w:val="nil"/>
              <w:bottom w:val="nil"/>
              <w:right w:val="nil"/>
            </w:tcBorders>
            <w:shd w:val="clear" w:color="000000" w:fill="FFFFFF"/>
            <w:noWrap/>
            <w:vAlign w:val="center"/>
            <w:hideMark/>
          </w:tcPr>
          <w:p w14:paraId="5536071B"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3635</w:t>
            </w:r>
          </w:p>
        </w:tc>
        <w:tc>
          <w:tcPr>
            <w:tcW w:w="960" w:type="dxa"/>
            <w:tcBorders>
              <w:top w:val="nil"/>
              <w:left w:val="nil"/>
              <w:bottom w:val="nil"/>
              <w:right w:val="nil"/>
            </w:tcBorders>
            <w:shd w:val="clear" w:color="000000" w:fill="FFFFFF"/>
            <w:noWrap/>
            <w:vAlign w:val="center"/>
            <w:hideMark/>
          </w:tcPr>
          <w:p w14:paraId="14BB8867"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1.27</w:t>
            </w:r>
          </w:p>
        </w:tc>
        <w:tc>
          <w:tcPr>
            <w:tcW w:w="960" w:type="dxa"/>
            <w:tcBorders>
              <w:top w:val="nil"/>
              <w:left w:val="nil"/>
              <w:bottom w:val="nil"/>
              <w:right w:val="nil"/>
            </w:tcBorders>
            <w:shd w:val="clear" w:color="000000" w:fill="FFFFFF"/>
            <w:noWrap/>
            <w:vAlign w:val="center"/>
            <w:hideMark/>
          </w:tcPr>
          <w:p w14:paraId="796C98FA"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0.06</w:t>
            </w:r>
          </w:p>
        </w:tc>
        <w:tc>
          <w:tcPr>
            <w:tcW w:w="960" w:type="dxa"/>
            <w:tcBorders>
              <w:top w:val="nil"/>
              <w:left w:val="nil"/>
              <w:bottom w:val="nil"/>
              <w:right w:val="nil"/>
            </w:tcBorders>
            <w:shd w:val="clear" w:color="000000" w:fill="FFFFFF"/>
            <w:noWrap/>
            <w:vAlign w:val="center"/>
            <w:hideMark/>
          </w:tcPr>
          <w:p w14:paraId="5635AC8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3.59</w:t>
            </w:r>
          </w:p>
        </w:tc>
        <w:tc>
          <w:tcPr>
            <w:tcW w:w="960" w:type="dxa"/>
            <w:tcBorders>
              <w:top w:val="nil"/>
              <w:left w:val="nil"/>
              <w:bottom w:val="nil"/>
              <w:right w:val="nil"/>
            </w:tcBorders>
            <w:shd w:val="clear" w:color="000000" w:fill="FFFFFF"/>
            <w:noWrap/>
            <w:vAlign w:val="center"/>
            <w:hideMark/>
          </w:tcPr>
          <w:p w14:paraId="64296F44"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960" w:type="dxa"/>
            <w:tcBorders>
              <w:top w:val="nil"/>
              <w:left w:val="nil"/>
              <w:bottom w:val="nil"/>
              <w:right w:val="nil"/>
            </w:tcBorders>
            <w:shd w:val="clear" w:color="000000" w:fill="FFFFFF"/>
            <w:noWrap/>
            <w:vAlign w:val="center"/>
            <w:hideMark/>
          </w:tcPr>
          <w:p w14:paraId="249E7FF0"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 </w:t>
            </w:r>
          </w:p>
        </w:tc>
        <w:tc>
          <w:tcPr>
            <w:tcW w:w="1420" w:type="dxa"/>
            <w:tcBorders>
              <w:top w:val="nil"/>
              <w:left w:val="nil"/>
              <w:bottom w:val="nil"/>
              <w:right w:val="nil"/>
            </w:tcBorders>
            <w:shd w:val="clear" w:color="000000" w:fill="FFFFFF"/>
            <w:noWrap/>
            <w:vAlign w:val="center"/>
            <w:hideMark/>
          </w:tcPr>
          <w:p w14:paraId="6F9ED3CE"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1.68</w:t>
            </w:r>
          </w:p>
        </w:tc>
        <w:tc>
          <w:tcPr>
            <w:tcW w:w="960" w:type="dxa"/>
            <w:tcBorders>
              <w:top w:val="nil"/>
              <w:left w:val="nil"/>
              <w:bottom w:val="nil"/>
              <w:right w:val="nil"/>
            </w:tcBorders>
            <w:shd w:val="clear" w:color="000000" w:fill="FFFFFF"/>
            <w:noWrap/>
            <w:vAlign w:val="center"/>
            <w:hideMark/>
          </w:tcPr>
          <w:p w14:paraId="3B3079D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34.90</w:t>
            </w:r>
          </w:p>
        </w:tc>
      </w:tr>
      <w:tr w:rsidR="004C591B" w:rsidRPr="004C591B" w14:paraId="7FA5054E" w14:textId="77777777" w:rsidTr="00C91B88">
        <w:trPr>
          <w:trHeight w:val="290"/>
        </w:trPr>
        <w:tc>
          <w:tcPr>
            <w:tcW w:w="1100" w:type="dxa"/>
            <w:tcBorders>
              <w:top w:val="nil"/>
              <w:left w:val="nil"/>
              <w:bottom w:val="nil"/>
              <w:right w:val="nil"/>
            </w:tcBorders>
            <w:shd w:val="clear" w:color="000000" w:fill="FFFFFF"/>
            <w:noWrap/>
            <w:vAlign w:val="center"/>
            <w:hideMark/>
          </w:tcPr>
          <w:p w14:paraId="1E83C08D"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3660</w:t>
            </w:r>
          </w:p>
        </w:tc>
        <w:tc>
          <w:tcPr>
            <w:tcW w:w="960" w:type="dxa"/>
            <w:tcBorders>
              <w:top w:val="nil"/>
              <w:left w:val="nil"/>
              <w:bottom w:val="nil"/>
              <w:right w:val="nil"/>
            </w:tcBorders>
            <w:shd w:val="clear" w:color="000000" w:fill="FFFFFF"/>
            <w:noWrap/>
            <w:vAlign w:val="center"/>
            <w:hideMark/>
          </w:tcPr>
          <w:p w14:paraId="3F7E98B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1.28</w:t>
            </w:r>
          </w:p>
        </w:tc>
        <w:tc>
          <w:tcPr>
            <w:tcW w:w="960" w:type="dxa"/>
            <w:tcBorders>
              <w:top w:val="nil"/>
              <w:left w:val="nil"/>
              <w:bottom w:val="nil"/>
              <w:right w:val="nil"/>
            </w:tcBorders>
            <w:shd w:val="clear" w:color="000000" w:fill="FFFFFF"/>
            <w:noWrap/>
            <w:vAlign w:val="center"/>
            <w:hideMark/>
          </w:tcPr>
          <w:p w14:paraId="76B6A1B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0.09</w:t>
            </w:r>
          </w:p>
        </w:tc>
        <w:tc>
          <w:tcPr>
            <w:tcW w:w="960" w:type="dxa"/>
            <w:tcBorders>
              <w:top w:val="nil"/>
              <w:left w:val="nil"/>
              <w:bottom w:val="nil"/>
              <w:right w:val="nil"/>
            </w:tcBorders>
            <w:shd w:val="clear" w:color="000000" w:fill="FFFFFF"/>
            <w:noWrap/>
            <w:vAlign w:val="center"/>
            <w:hideMark/>
          </w:tcPr>
          <w:p w14:paraId="5766CA8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w:t>
            </w:r>
          </w:p>
        </w:tc>
        <w:tc>
          <w:tcPr>
            <w:tcW w:w="960" w:type="dxa"/>
            <w:tcBorders>
              <w:top w:val="nil"/>
              <w:left w:val="nil"/>
              <w:bottom w:val="nil"/>
              <w:right w:val="nil"/>
            </w:tcBorders>
            <w:shd w:val="clear" w:color="000000" w:fill="FFFFFF"/>
            <w:noWrap/>
            <w:vAlign w:val="center"/>
            <w:hideMark/>
          </w:tcPr>
          <w:p w14:paraId="1D73E61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14.3</w:t>
            </w:r>
          </w:p>
        </w:tc>
        <w:tc>
          <w:tcPr>
            <w:tcW w:w="960" w:type="dxa"/>
            <w:tcBorders>
              <w:top w:val="nil"/>
              <w:left w:val="nil"/>
              <w:bottom w:val="nil"/>
              <w:right w:val="nil"/>
            </w:tcBorders>
            <w:shd w:val="clear" w:color="000000" w:fill="FFFFFF"/>
            <w:noWrap/>
            <w:vAlign w:val="center"/>
            <w:hideMark/>
          </w:tcPr>
          <w:p w14:paraId="025007A3"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8.4</w:t>
            </w:r>
          </w:p>
        </w:tc>
        <w:tc>
          <w:tcPr>
            <w:tcW w:w="1420" w:type="dxa"/>
            <w:tcBorders>
              <w:top w:val="nil"/>
              <w:left w:val="nil"/>
              <w:bottom w:val="nil"/>
              <w:right w:val="nil"/>
            </w:tcBorders>
            <w:shd w:val="clear" w:color="000000" w:fill="FFFFFF"/>
            <w:noWrap/>
            <w:vAlign w:val="center"/>
            <w:hideMark/>
          </w:tcPr>
          <w:p w14:paraId="5341998F"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1.67</w:t>
            </w:r>
          </w:p>
        </w:tc>
        <w:tc>
          <w:tcPr>
            <w:tcW w:w="960" w:type="dxa"/>
            <w:tcBorders>
              <w:top w:val="nil"/>
              <w:left w:val="nil"/>
              <w:bottom w:val="nil"/>
              <w:right w:val="nil"/>
            </w:tcBorders>
            <w:shd w:val="clear" w:color="000000" w:fill="FFFFFF"/>
            <w:noWrap/>
            <w:vAlign w:val="center"/>
            <w:hideMark/>
          </w:tcPr>
          <w:p w14:paraId="16ACD646" w14:textId="77777777" w:rsidR="00C91B88" w:rsidRPr="004C591B" w:rsidRDefault="00C91B88" w:rsidP="00C91B88">
            <w:pPr>
              <w:jc w:val="center"/>
              <w:rPr>
                <w:rFonts w:ascii="Arial" w:hAnsi="Arial" w:cs="Arial"/>
                <w:sz w:val="22"/>
                <w:szCs w:val="22"/>
                <w:lang w:val="fr-FR" w:eastAsia="fr-FR"/>
              </w:rPr>
            </w:pPr>
            <w:r w:rsidRPr="004C591B">
              <w:rPr>
                <w:rFonts w:ascii="Arial" w:hAnsi="Arial" w:cs="Arial"/>
                <w:sz w:val="22"/>
                <w:szCs w:val="22"/>
                <w:lang w:val="fr-FR" w:eastAsia="fr-FR"/>
              </w:rPr>
              <w:t>34.90</w:t>
            </w:r>
          </w:p>
        </w:tc>
      </w:tr>
    </w:tbl>
    <w:p w14:paraId="4EEC7653" w14:textId="77777777" w:rsidR="008F0A20" w:rsidRPr="004C591B" w:rsidRDefault="008F0A20" w:rsidP="00477182">
      <w:pPr>
        <w:pStyle w:val="SMcaption"/>
        <w:rPr>
          <w:rFonts w:ascii="Arial" w:hAnsi="Arial" w:cs="Arial"/>
          <w:sz w:val="20"/>
        </w:rPr>
      </w:pPr>
    </w:p>
    <w:p w14:paraId="608440CA" w14:textId="77777777" w:rsidR="008F0A20" w:rsidRPr="004C591B" w:rsidRDefault="008F0A20" w:rsidP="00477182">
      <w:pPr>
        <w:pStyle w:val="SMcaption"/>
        <w:rPr>
          <w:rFonts w:ascii="Arial" w:hAnsi="Arial" w:cs="Arial"/>
          <w:sz w:val="20"/>
        </w:rPr>
      </w:pPr>
    </w:p>
    <w:p w14:paraId="0AA738C7" w14:textId="77777777" w:rsidR="00030840" w:rsidRPr="004C591B" w:rsidRDefault="00030840" w:rsidP="00477182">
      <w:pPr>
        <w:pStyle w:val="SMcaption"/>
        <w:rPr>
          <w:rFonts w:ascii="Arial" w:hAnsi="Arial" w:cs="Arial"/>
          <w:sz w:val="20"/>
        </w:rPr>
      </w:pPr>
    </w:p>
    <w:p w14:paraId="5AA83AFC" w14:textId="77777777" w:rsidR="00824938" w:rsidRPr="004C591B" w:rsidRDefault="00824938" w:rsidP="00477182">
      <w:pPr>
        <w:pStyle w:val="SMcaption"/>
        <w:rPr>
          <w:rFonts w:ascii="Arial" w:hAnsi="Arial" w:cs="Arial"/>
          <w:b/>
          <w:sz w:val="20"/>
        </w:rPr>
        <w:sectPr w:rsidR="00824938" w:rsidRPr="004C591B" w:rsidSect="004211A9">
          <w:pgSz w:w="12240" w:h="15840"/>
          <w:pgMar w:top="1440" w:right="1800" w:bottom="1440" w:left="1800" w:header="720" w:footer="720" w:gutter="0"/>
          <w:cols w:space="720"/>
          <w:docGrid w:linePitch="360"/>
        </w:sectPr>
      </w:pPr>
    </w:p>
    <w:p w14:paraId="6C96BED5" w14:textId="339789F5" w:rsidR="00820484" w:rsidRPr="004C591B" w:rsidRDefault="00F514EC" w:rsidP="005C1BCD">
      <w:pPr>
        <w:pStyle w:val="SMcaption"/>
        <w:jc w:val="center"/>
        <w:rPr>
          <w:b/>
        </w:rPr>
      </w:pPr>
      <w:r w:rsidRPr="004C591B">
        <w:rPr>
          <w:b/>
        </w:rPr>
        <w:lastRenderedPageBreak/>
        <w:t>S</w:t>
      </w:r>
      <w:r w:rsidR="00E4591C" w:rsidRPr="004C591B">
        <w:rPr>
          <w:b/>
        </w:rPr>
        <w:t xml:space="preserve">upplementary </w:t>
      </w:r>
      <w:r w:rsidRPr="004C591B">
        <w:rPr>
          <w:b/>
        </w:rPr>
        <w:t>I</w:t>
      </w:r>
      <w:r w:rsidR="00E4591C" w:rsidRPr="004C591B">
        <w:rPr>
          <w:b/>
        </w:rPr>
        <w:t>nformation -</w:t>
      </w:r>
      <w:r w:rsidRPr="004C591B">
        <w:rPr>
          <w:b/>
        </w:rPr>
        <w:t xml:space="preserve"> </w:t>
      </w:r>
      <w:r w:rsidR="00820484" w:rsidRPr="004C591B">
        <w:rPr>
          <w:b/>
        </w:rPr>
        <w:t>References</w:t>
      </w:r>
    </w:p>
    <w:p w14:paraId="59D77E69" w14:textId="7EA1072C" w:rsidR="002C667A" w:rsidRPr="004C591B" w:rsidRDefault="002C667A" w:rsidP="00477182">
      <w:pPr>
        <w:pStyle w:val="SMcaption"/>
        <w:rPr>
          <w:b/>
        </w:rPr>
      </w:pPr>
    </w:p>
    <w:p w14:paraId="109E14A9" w14:textId="1452FE42" w:rsidR="00E4591C" w:rsidRPr="004C591B" w:rsidRDefault="00E91772" w:rsidP="00E4591C">
      <w:pPr>
        <w:widowControl w:val="0"/>
        <w:autoSpaceDE w:val="0"/>
        <w:autoSpaceDN w:val="0"/>
        <w:adjustRightInd w:val="0"/>
        <w:ind w:left="480" w:hanging="480"/>
        <w:rPr>
          <w:noProof/>
          <w:szCs w:val="24"/>
        </w:rPr>
      </w:pPr>
      <w:r w:rsidRPr="004C591B">
        <w:fldChar w:fldCharType="begin" w:fldLock="1"/>
      </w:r>
      <w:r w:rsidRPr="004C591B">
        <w:instrText xml:space="preserve">ADDIN Mendeley Bibliography CSL_BIBLIOGRAPHY </w:instrText>
      </w:r>
      <w:r w:rsidRPr="004C591B">
        <w:fldChar w:fldCharType="separate"/>
      </w:r>
      <w:r w:rsidR="00E4591C" w:rsidRPr="004C591B">
        <w:rPr>
          <w:noProof/>
          <w:szCs w:val="24"/>
        </w:rPr>
        <w:t>Archer, C., Vance, D., Milne, A., Lohan, M.C., 2020. The oceanic biogeochemistry of nickel and its isotopes: New data from the South Atlantic and the Southern Ocean biogeochemical divide. Earth Planet. Sci. Lett. 535, 116118. doi:10.1016/j.epsl.2020.116118</w:t>
      </w:r>
    </w:p>
    <w:p w14:paraId="1B8B5B82"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Cameron, V., Vance, D., 2014. Heavy nickel isotope compositions in rivers and the oceans. Geochim. Cosmochim. Acta 128, 195–211. doi:10.1016/j.gca.2013.12.007</w:t>
      </w:r>
    </w:p>
    <w:p w14:paraId="4C4241F9"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Gebbie, G., Huybers, P., 2010. Total matrix intercomparison: A method for determining the geometry of water-mass pathways. J. Phys. Oceanogr. 40, 1710–1728. doi:10.1175/2010JPO4272.1</w:t>
      </w:r>
    </w:p>
    <w:p w14:paraId="24E9CCB1"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GEOTRACES Intermediate Data Product Group, 2021. The GEOTRACES GEOTRACES Intermediate Data Product 2021 (IDP2021). NERC EDS Br. Oceanogr. Data Cent. NOC. doi:doi:10.5285/cf2d9ba9-d51d-3b7c-e053-8486abc0f5fd</w:t>
      </w:r>
    </w:p>
    <w:p w14:paraId="385E76F8"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Gueguen, B., Rouxel, O., 2021. The Nickel isotope composition of the authigenic sink and the diagenetic flux in modern oceans. Chem. Geol. 563, 120050. doi:10.1016/j.chemgeo.2020.120050</w:t>
      </w:r>
    </w:p>
    <w:p w14:paraId="1B06EBAD"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Lemaitre, N., Planquette, H., Dehairs, F., Planchon, F., Sarthou, G., Gallinari, M., Roig, S., Jeandel, C., Castrillejo, M., 2020. Particulate Trace Element Export in the North Atlantic (GEOTRACES GA01 Transect, GEOVIDE cruise). ACS Earth Sp. Chem. 4, 2185–2204. doi:10.1021/acsearthspacechem.0c00045</w:t>
      </w:r>
    </w:p>
    <w:p w14:paraId="738C0EAE"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Little, S.H., Archer, C., McManus, J., Najorka, J., Wegorzewski, A. V., Vance, D., 2020. Towards balancing the oceanic Ni budget. Earth Planet. Sci. Lett. 547, 116461. doi:10.1016/j.epsl.2020.116461</w:t>
      </w:r>
    </w:p>
    <w:p w14:paraId="5F1C2A50"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Takano, S., Tanimizu, M., Hirata, T., Shin, K.-C., Fukami, Y., Suzuki, K., Sohrin, Y., 2017. A simple and rapid method for isotopic analysis of nickel, copper, and zinc in seawater using chelating extraction and anion exchange. Anal. Chim. Acta 967, 1–11. doi:10.1016/j.aca.2017.03.010</w:t>
      </w:r>
    </w:p>
    <w:p w14:paraId="569017B4"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Twining, B.S., Baines, S.B., Vogt, S., Nelson, D.M., 2012. Role of diatoms in nickel biogeochemistry in the ocean. Global Biogeochem. Cycles 26, 1–9. doi:10.1029/2011GB004233</w:t>
      </w:r>
    </w:p>
    <w:p w14:paraId="70EA29A8"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Wang, R.M., Archer, C., Bowie, A.R., Vance, D., 2019. Zinc and nickel isotopes in seawater from the Indian Sector of the Southern Ocean: The impact of natural iron fertilization versus Southern Ocean hydrography and biogeochemistry. Chem. Geol. 511, 452–464. doi:10.1016/j.chemgeo.2018.09.010</w:t>
      </w:r>
    </w:p>
    <w:p w14:paraId="624D06FE" w14:textId="77777777" w:rsidR="00E4591C" w:rsidRPr="004C591B" w:rsidRDefault="00E4591C" w:rsidP="00E4591C">
      <w:pPr>
        <w:widowControl w:val="0"/>
        <w:autoSpaceDE w:val="0"/>
        <w:autoSpaceDN w:val="0"/>
        <w:adjustRightInd w:val="0"/>
        <w:ind w:left="480" w:hanging="480"/>
        <w:rPr>
          <w:noProof/>
          <w:szCs w:val="24"/>
        </w:rPr>
      </w:pPr>
      <w:r w:rsidRPr="004C591B">
        <w:rPr>
          <w:noProof/>
          <w:szCs w:val="24"/>
        </w:rPr>
        <w:t>Yang, S., Kelly, R.L., Bian, X., Conway, T.M., Huang, K., Ho, T., Neibauer, J.A., Keil, R.G., Moffett, J.W., John, S.G., 2021. Lack of redox cycling for nickel in the water column of the Eastern tropical north pacific oxygen deficient zone : Insight from dissolved and particulate nickel isotopes. Geochim. Cosmochim. Acta 309, 235–250. doi:10.1016/j.gca.2021.07.004</w:t>
      </w:r>
    </w:p>
    <w:p w14:paraId="40122CF1" w14:textId="77777777" w:rsidR="00E4591C" w:rsidRPr="004C591B" w:rsidRDefault="00E4591C" w:rsidP="00E4591C">
      <w:pPr>
        <w:widowControl w:val="0"/>
        <w:autoSpaceDE w:val="0"/>
        <w:autoSpaceDN w:val="0"/>
        <w:adjustRightInd w:val="0"/>
        <w:ind w:left="480" w:hanging="480"/>
        <w:rPr>
          <w:noProof/>
        </w:rPr>
      </w:pPr>
      <w:r w:rsidRPr="004C591B">
        <w:rPr>
          <w:noProof/>
          <w:szCs w:val="24"/>
        </w:rPr>
        <w:t>Yang, S.C., Hawco, N.J., Pinedo-González, P., Bian, X., Huang, K.-F., Zhang, R., John, S.G., 2020. A new purification method for Ni and Cu stable isotopes in seawater provides evidence for widespread Ni isotope fractionation by phytoplankton in the North Pacific. Chem. Geol. 547, 119662. doi:10.1016/j.chemgeo.2020.119662</w:t>
      </w:r>
    </w:p>
    <w:p w14:paraId="31307427" w14:textId="6EC2754D" w:rsidR="00E91772" w:rsidRPr="004C591B" w:rsidRDefault="00E91772" w:rsidP="00477182">
      <w:pPr>
        <w:pStyle w:val="SMcaption"/>
        <w:rPr>
          <w:rFonts w:ascii="Arial" w:hAnsi="Arial" w:cs="Arial"/>
          <w:sz w:val="20"/>
        </w:rPr>
      </w:pPr>
      <w:r w:rsidRPr="004C591B">
        <w:fldChar w:fldCharType="end"/>
      </w:r>
    </w:p>
    <w:sectPr w:rsidR="00E91772" w:rsidRPr="004C591B" w:rsidSect="00F125EE">
      <w:pgSz w:w="12240" w:h="15840"/>
      <w:pgMar w:top="1440" w:right="1800" w:bottom="1440" w:left="180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B1536" w16cex:dateUtc="2022-03-03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403DC6" w16cid:durableId="25CB15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938D4" w14:textId="77777777" w:rsidR="00760228" w:rsidRDefault="00760228">
      <w:r>
        <w:separator/>
      </w:r>
    </w:p>
  </w:endnote>
  <w:endnote w:type="continuationSeparator" w:id="0">
    <w:p w14:paraId="3F62419A" w14:textId="77777777" w:rsidR="00760228" w:rsidRDefault="00760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FC8D8" w14:textId="77777777" w:rsidR="00542A07" w:rsidRDefault="00542A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080217"/>
      <w:docPartObj>
        <w:docPartGallery w:val="Page Numbers (Bottom of Page)"/>
        <w:docPartUnique/>
      </w:docPartObj>
    </w:sdtPr>
    <w:sdtEndPr>
      <w:rPr>
        <w:noProof/>
      </w:rPr>
    </w:sdtEndPr>
    <w:sdtContent>
      <w:p w14:paraId="0F8780BC" w14:textId="3E17FD00" w:rsidR="00542A07" w:rsidRDefault="00542A07">
        <w:pPr>
          <w:pStyle w:val="Footer"/>
          <w:jc w:val="right"/>
        </w:pPr>
        <w:r>
          <w:fldChar w:fldCharType="begin"/>
        </w:r>
        <w:r>
          <w:instrText xml:space="preserve"> PAGE   \* MERGEFORMAT </w:instrText>
        </w:r>
        <w:r>
          <w:fldChar w:fldCharType="separate"/>
        </w:r>
        <w:r w:rsidR="004C591B">
          <w:rPr>
            <w:noProof/>
          </w:rPr>
          <w:t>2</w:t>
        </w:r>
        <w:r>
          <w:rPr>
            <w:noProof/>
          </w:rPr>
          <w:fldChar w:fldCharType="end"/>
        </w:r>
      </w:p>
    </w:sdtContent>
  </w:sdt>
  <w:p w14:paraId="180EEFF6" w14:textId="77777777" w:rsidR="00542A07" w:rsidRDefault="00542A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4C419" w14:textId="77777777" w:rsidR="00542A07" w:rsidRDefault="00542A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33595" w14:textId="77777777" w:rsidR="00760228" w:rsidRDefault="00760228">
      <w:r>
        <w:separator/>
      </w:r>
    </w:p>
  </w:footnote>
  <w:footnote w:type="continuationSeparator" w:id="0">
    <w:p w14:paraId="2F3CBC27" w14:textId="77777777" w:rsidR="00760228" w:rsidRDefault="00760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40DC9" w14:textId="77777777" w:rsidR="00542A07" w:rsidRPr="005001AC" w:rsidRDefault="00542A07" w:rsidP="005001AC">
    <w:pPr>
      <w:jc w:val="right"/>
      <w:rPr>
        <w:sz w:val="20"/>
      </w:rPr>
    </w:pPr>
  </w:p>
  <w:p w14:paraId="0091C365" w14:textId="77777777" w:rsidR="00542A07" w:rsidRDefault="00542A0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878DC" w14:textId="77777777" w:rsidR="00542A07" w:rsidRPr="005001AC" w:rsidRDefault="00542A07" w:rsidP="005001AC">
    <w:pPr>
      <w:jc w:val="right"/>
      <w:rPr>
        <w:sz w:val="20"/>
      </w:rPr>
    </w:pPr>
  </w:p>
  <w:p w14:paraId="2A418736" w14:textId="77777777" w:rsidR="00542A07" w:rsidRDefault="00542A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04B2"/>
    <w:rsid w:val="00015F74"/>
    <w:rsid w:val="000175F8"/>
    <w:rsid w:val="00017C53"/>
    <w:rsid w:val="000215BC"/>
    <w:rsid w:val="00030840"/>
    <w:rsid w:val="00045FD9"/>
    <w:rsid w:val="00050FAE"/>
    <w:rsid w:val="00065EBD"/>
    <w:rsid w:val="00083B44"/>
    <w:rsid w:val="000850DC"/>
    <w:rsid w:val="000A2087"/>
    <w:rsid w:val="000A41E4"/>
    <w:rsid w:val="000C2771"/>
    <w:rsid w:val="000E5187"/>
    <w:rsid w:val="000F0DCE"/>
    <w:rsid w:val="00111583"/>
    <w:rsid w:val="00112C5B"/>
    <w:rsid w:val="00114193"/>
    <w:rsid w:val="001155DD"/>
    <w:rsid w:val="00115A38"/>
    <w:rsid w:val="0011687B"/>
    <w:rsid w:val="00124F82"/>
    <w:rsid w:val="0016337A"/>
    <w:rsid w:val="00164269"/>
    <w:rsid w:val="001657EB"/>
    <w:rsid w:val="0016701E"/>
    <w:rsid w:val="001724DA"/>
    <w:rsid w:val="0019539E"/>
    <w:rsid w:val="001A0E42"/>
    <w:rsid w:val="001A1BDE"/>
    <w:rsid w:val="001C0520"/>
    <w:rsid w:val="001C0975"/>
    <w:rsid w:val="001C0F11"/>
    <w:rsid w:val="001F0876"/>
    <w:rsid w:val="001F167C"/>
    <w:rsid w:val="001F5E91"/>
    <w:rsid w:val="002077B9"/>
    <w:rsid w:val="00211DC1"/>
    <w:rsid w:val="002322FA"/>
    <w:rsid w:val="0024295F"/>
    <w:rsid w:val="002430BE"/>
    <w:rsid w:val="00253866"/>
    <w:rsid w:val="00262D72"/>
    <w:rsid w:val="00266F0C"/>
    <w:rsid w:val="00291FE5"/>
    <w:rsid w:val="00294FBB"/>
    <w:rsid w:val="002C030F"/>
    <w:rsid w:val="002C5B67"/>
    <w:rsid w:val="002C667A"/>
    <w:rsid w:val="003076DB"/>
    <w:rsid w:val="00325D90"/>
    <w:rsid w:val="00331D75"/>
    <w:rsid w:val="00332BFB"/>
    <w:rsid w:val="00335EAC"/>
    <w:rsid w:val="003477AF"/>
    <w:rsid w:val="00355362"/>
    <w:rsid w:val="003614A4"/>
    <w:rsid w:val="00363E44"/>
    <w:rsid w:val="00367D30"/>
    <w:rsid w:val="00370704"/>
    <w:rsid w:val="003834EE"/>
    <w:rsid w:val="00387114"/>
    <w:rsid w:val="00395E86"/>
    <w:rsid w:val="00397983"/>
    <w:rsid w:val="003A142C"/>
    <w:rsid w:val="003A2FD8"/>
    <w:rsid w:val="003B40E6"/>
    <w:rsid w:val="003D5FF3"/>
    <w:rsid w:val="003E6A91"/>
    <w:rsid w:val="003F1D6B"/>
    <w:rsid w:val="003F4024"/>
    <w:rsid w:val="003F6E14"/>
    <w:rsid w:val="00401CBE"/>
    <w:rsid w:val="0040245E"/>
    <w:rsid w:val="00405336"/>
    <w:rsid w:val="004211A9"/>
    <w:rsid w:val="004454A6"/>
    <w:rsid w:val="00447128"/>
    <w:rsid w:val="004571D5"/>
    <w:rsid w:val="00461D81"/>
    <w:rsid w:val="0046356B"/>
    <w:rsid w:val="004736D6"/>
    <w:rsid w:val="00477182"/>
    <w:rsid w:val="004779CB"/>
    <w:rsid w:val="00485A54"/>
    <w:rsid w:val="004A159F"/>
    <w:rsid w:val="004B2F21"/>
    <w:rsid w:val="004B43D6"/>
    <w:rsid w:val="004C08BC"/>
    <w:rsid w:val="004C591B"/>
    <w:rsid w:val="004E42D8"/>
    <w:rsid w:val="004E7BA2"/>
    <w:rsid w:val="004F43EC"/>
    <w:rsid w:val="004F7EDF"/>
    <w:rsid w:val="005001AC"/>
    <w:rsid w:val="00502E90"/>
    <w:rsid w:val="00527D71"/>
    <w:rsid w:val="005412F1"/>
    <w:rsid w:val="00542A07"/>
    <w:rsid w:val="00543CF8"/>
    <w:rsid w:val="005607DD"/>
    <w:rsid w:val="00585391"/>
    <w:rsid w:val="005A08B7"/>
    <w:rsid w:val="005A558C"/>
    <w:rsid w:val="005B267D"/>
    <w:rsid w:val="005C1BCD"/>
    <w:rsid w:val="005D088E"/>
    <w:rsid w:val="005D45EC"/>
    <w:rsid w:val="005D7C22"/>
    <w:rsid w:val="005E28F8"/>
    <w:rsid w:val="005E6513"/>
    <w:rsid w:val="005F0F94"/>
    <w:rsid w:val="00605AE9"/>
    <w:rsid w:val="006069C6"/>
    <w:rsid w:val="00611A19"/>
    <w:rsid w:val="006140DF"/>
    <w:rsid w:val="006251BC"/>
    <w:rsid w:val="00625904"/>
    <w:rsid w:val="00651114"/>
    <w:rsid w:val="0065772A"/>
    <w:rsid w:val="00670299"/>
    <w:rsid w:val="0069144A"/>
    <w:rsid w:val="00691985"/>
    <w:rsid w:val="006A1B64"/>
    <w:rsid w:val="006A755B"/>
    <w:rsid w:val="006A76C1"/>
    <w:rsid w:val="006D169A"/>
    <w:rsid w:val="006E3E68"/>
    <w:rsid w:val="006E46DF"/>
    <w:rsid w:val="006E6E28"/>
    <w:rsid w:val="00700060"/>
    <w:rsid w:val="00703600"/>
    <w:rsid w:val="007108F5"/>
    <w:rsid w:val="00713E5B"/>
    <w:rsid w:val="007402FC"/>
    <w:rsid w:val="007411A1"/>
    <w:rsid w:val="00760228"/>
    <w:rsid w:val="00763345"/>
    <w:rsid w:val="00771AF6"/>
    <w:rsid w:val="0077472E"/>
    <w:rsid w:val="007843C9"/>
    <w:rsid w:val="007909EA"/>
    <w:rsid w:val="00793576"/>
    <w:rsid w:val="0079386D"/>
    <w:rsid w:val="00797F24"/>
    <w:rsid w:val="007A6DC4"/>
    <w:rsid w:val="007B5946"/>
    <w:rsid w:val="007D063A"/>
    <w:rsid w:val="007D6C90"/>
    <w:rsid w:val="007F1EEC"/>
    <w:rsid w:val="007F222E"/>
    <w:rsid w:val="007F5297"/>
    <w:rsid w:val="00807D35"/>
    <w:rsid w:val="00814489"/>
    <w:rsid w:val="00820484"/>
    <w:rsid w:val="00822FC9"/>
    <w:rsid w:val="00824938"/>
    <w:rsid w:val="00824DF3"/>
    <w:rsid w:val="00840BB2"/>
    <w:rsid w:val="00853B5D"/>
    <w:rsid w:val="008665B5"/>
    <w:rsid w:val="00885C9B"/>
    <w:rsid w:val="008C069B"/>
    <w:rsid w:val="008C1654"/>
    <w:rsid w:val="008C4CE6"/>
    <w:rsid w:val="008D5D2A"/>
    <w:rsid w:val="008F0A20"/>
    <w:rsid w:val="009021B9"/>
    <w:rsid w:val="00906978"/>
    <w:rsid w:val="00914B63"/>
    <w:rsid w:val="0092272C"/>
    <w:rsid w:val="009258B8"/>
    <w:rsid w:val="009354F3"/>
    <w:rsid w:val="00943C3C"/>
    <w:rsid w:val="009447DC"/>
    <w:rsid w:val="00950879"/>
    <w:rsid w:val="009519CF"/>
    <w:rsid w:val="00961BA5"/>
    <w:rsid w:val="009743A9"/>
    <w:rsid w:val="0097632E"/>
    <w:rsid w:val="009A1D87"/>
    <w:rsid w:val="009A5287"/>
    <w:rsid w:val="009A670E"/>
    <w:rsid w:val="009B2AC5"/>
    <w:rsid w:val="009B7984"/>
    <w:rsid w:val="009E554F"/>
    <w:rsid w:val="009F4BED"/>
    <w:rsid w:val="009F7D93"/>
    <w:rsid w:val="00A07F58"/>
    <w:rsid w:val="00A3403B"/>
    <w:rsid w:val="00A46EFB"/>
    <w:rsid w:val="00A51A12"/>
    <w:rsid w:val="00A51EE4"/>
    <w:rsid w:val="00A627D4"/>
    <w:rsid w:val="00A70655"/>
    <w:rsid w:val="00A72B81"/>
    <w:rsid w:val="00A74DA2"/>
    <w:rsid w:val="00A8377D"/>
    <w:rsid w:val="00AB7846"/>
    <w:rsid w:val="00AC15B4"/>
    <w:rsid w:val="00AC6E32"/>
    <w:rsid w:val="00AD1D7C"/>
    <w:rsid w:val="00AD499C"/>
    <w:rsid w:val="00AE17FF"/>
    <w:rsid w:val="00AE5A70"/>
    <w:rsid w:val="00B003EE"/>
    <w:rsid w:val="00B15008"/>
    <w:rsid w:val="00B16F99"/>
    <w:rsid w:val="00B26558"/>
    <w:rsid w:val="00B31D40"/>
    <w:rsid w:val="00B36869"/>
    <w:rsid w:val="00B42F9C"/>
    <w:rsid w:val="00B43B31"/>
    <w:rsid w:val="00B47CFA"/>
    <w:rsid w:val="00B5513B"/>
    <w:rsid w:val="00B5796E"/>
    <w:rsid w:val="00B57F00"/>
    <w:rsid w:val="00B77B2A"/>
    <w:rsid w:val="00B82C22"/>
    <w:rsid w:val="00B8723B"/>
    <w:rsid w:val="00B93DBA"/>
    <w:rsid w:val="00B9440A"/>
    <w:rsid w:val="00BA794A"/>
    <w:rsid w:val="00BB2D2A"/>
    <w:rsid w:val="00BB354C"/>
    <w:rsid w:val="00BC7773"/>
    <w:rsid w:val="00BD58CF"/>
    <w:rsid w:val="00C046DC"/>
    <w:rsid w:val="00C04CC1"/>
    <w:rsid w:val="00C109FD"/>
    <w:rsid w:val="00C17737"/>
    <w:rsid w:val="00C3658A"/>
    <w:rsid w:val="00C47714"/>
    <w:rsid w:val="00C50C6D"/>
    <w:rsid w:val="00C600D9"/>
    <w:rsid w:val="00C64A55"/>
    <w:rsid w:val="00C67128"/>
    <w:rsid w:val="00C71F1A"/>
    <w:rsid w:val="00C91B88"/>
    <w:rsid w:val="00CA63E0"/>
    <w:rsid w:val="00CC1384"/>
    <w:rsid w:val="00CC6A8D"/>
    <w:rsid w:val="00CD3720"/>
    <w:rsid w:val="00CF16C9"/>
    <w:rsid w:val="00CF1848"/>
    <w:rsid w:val="00CF5C2F"/>
    <w:rsid w:val="00D0381A"/>
    <w:rsid w:val="00D04BCF"/>
    <w:rsid w:val="00D143D9"/>
    <w:rsid w:val="00D269AB"/>
    <w:rsid w:val="00D346C2"/>
    <w:rsid w:val="00D47BB7"/>
    <w:rsid w:val="00D52595"/>
    <w:rsid w:val="00D75F36"/>
    <w:rsid w:val="00DA22DA"/>
    <w:rsid w:val="00DA59EA"/>
    <w:rsid w:val="00DC623A"/>
    <w:rsid w:val="00DD421A"/>
    <w:rsid w:val="00DF4F17"/>
    <w:rsid w:val="00E06E9D"/>
    <w:rsid w:val="00E257C8"/>
    <w:rsid w:val="00E37047"/>
    <w:rsid w:val="00E4591C"/>
    <w:rsid w:val="00E5211A"/>
    <w:rsid w:val="00E60D0F"/>
    <w:rsid w:val="00E614F7"/>
    <w:rsid w:val="00E617E3"/>
    <w:rsid w:val="00E63B2C"/>
    <w:rsid w:val="00E91772"/>
    <w:rsid w:val="00E9773B"/>
    <w:rsid w:val="00EA35D2"/>
    <w:rsid w:val="00EA596B"/>
    <w:rsid w:val="00EB632A"/>
    <w:rsid w:val="00EC13A3"/>
    <w:rsid w:val="00EC7C85"/>
    <w:rsid w:val="00F04CD9"/>
    <w:rsid w:val="00F125EE"/>
    <w:rsid w:val="00F12E98"/>
    <w:rsid w:val="00F22029"/>
    <w:rsid w:val="00F25DEF"/>
    <w:rsid w:val="00F36D6B"/>
    <w:rsid w:val="00F46123"/>
    <w:rsid w:val="00F514EC"/>
    <w:rsid w:val="00F5683C"/>
    <w:rsid w:val="00F60CD4"/>
    <w:rsid w:val="00F630EA"/>
    <w:rsid w:val="00F7007E"/>
    <w:rsid w:val="00F70200"/>
    <w:rsid w:val="00F729E3"/>
    <w:rsid w:val="00F73193"/>
    <w:rsid w:val="00F74F95"/>
    <w:rsid w:val="00F80705"/>
    <w:rsid w:val="00FA1481"/>
    <w:rsid w:val="00FD74FF"/>
    <w:rsid w:val="00FD7C9E"/>
    <w:rsid w:val="00FF04E3"/>
    <w:rsid w:val="00FF3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D1EA8"/>
  <w15:docId w15:val="{1FF3E053-6416-41A1-82D9-294195D9C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paragraph" w:styleId="Revision">
    <w:name w:val="Revision"/>
    <w:hidden/>
    <w:uiPriority w:val="99"/>
    <w:semiHidden/>
    <w:rsid w:val="00E614F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594284568">
      <w:bodyDiv w:val="1"/>
      <w:marLeft w:val="0"/>
      <w:marRight w:val="0"/>
      <w:marTop w:val="0"/>
      <w:marBottom w:val="0"/>
      <w:divBdr>
        <w:top w:val="none" w:sz="0" w:space="0" w:color="auto"/>
        <w:left w:val="none" w:sz="0" w:space="0" w:color="auto"/>
        <w:bottom w:val="none" w:sz="0" w:space="0" w:color="auto"/>
        <w:right w:val="none" w:sz="0" w:space="0" w:color="auto"/>
      </w:divBdr>
    </w:div>
    <w:div w:id="1145439888">
      <w:bodyDiv w:val="1"/>
      <w:marLeft w:val="0"/>
      <w:marRight w:val="0"/>
      <w:marTop w:val="0"/>
      <w:marBottom w:val="0"/>
      <w:divBdr>
        <w:top w:val="none" w:sz="0" w:space="0" w:color="auto"/>
        <w:left w:val="none" w:sz="0" w:space="0" w:color="auto"/>
        <w:bottom w:val="none" w:sz="0" w:space="0" w:color="auto"/>
        <w:right w:val="none" w:sz="0" w:space="0" w:color="auto"/>
      </w:divBdr>
    </w:div>
    <w:div w:id="1305693905">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6.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68A12-C31D-443B-8CBB-C4DC316FB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11920</Words>
  <Characters>65561</Characters>
  <Application>Microsoft Office Word</Application>
  <DocSecurity>0</DocSecurity>
  <Lines>546</Lines>
  <Paragraphs>154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77327</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dc:description/>
  <cp:lastModifiedBy>Lemaitre  Nolwenn</cp:lastModifiedBy>
  <cp:revision>3</cp:revision>
  <cp:lastPrinted>2018-02-26T17:19:00Z</cp:lastPrinted>
  <dcterms:created xsi:type="dcterms:W3CDTF">2022-03-16T15:17:00Z</dcterms:created>
  <dcterms:modified xsi:type="dcterms:W3CDTF">2022-03-16T15:17:00Z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http://www.zotero.org/styles/acs-earth-and-space-chemistry</vt:lpwstr>
  </property>
  <property fmtid="{D5CDD505-2E9C-101B-9397-08002B2CF9AE}" pid="3" name="Mendeley Recent Style Name 0_1">
    <vt:lpwstr>ACS Earth and Space Chemistry</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http://www.zotero.org/styles/deep-sea-research-part-i</vt:lpwstr>
  </property>
  <property fmtid="{D5CDD505-2E9C-101B-9397-08002B2CF9AE}" pid="7" name="Mendeley Recent Style Name 2_1">
    <vt:lpwstr>Deep-Sea Research Part I</vt:lpwstr>
  </property>
  <property fmtid="{D5CDD505-2E9C-101B-9397-08002B2CF9AE}" pid="8" name="Mendeley Recent Style Id 3_1">
    <vt:lpwstr>http://www.zotero.org/styles/deep-sea-research-part-ii</vt:lpwstr>
  </property>
  <property fmtid="{D5CDD505-2E9C-101B-9397-08002B2CF9AE}" pid="9" name="Mendeley Recent Style Name 3_1">
    <vt:lpwstr>Deep-Sea Research Part II</vt:lpwstr>
  </property>
  <property fmtid="{D5CDD505-2E9C-101B-9397-08002B2CF9AE}" pid="10" name="Mendeley Recent Style Id 4_1">
    <vt:lpwstr>http://www.zotero.org/styles/earth-and-planetary-science-letters</vt:lpwstr>
  </property>
  <property fmtid="{D5CDD505-2E9C-101B-9397-08002B2CF9AE}" pid="11" name="Mendeley Recent Style Name 4_1">
    <vt:lpwstr>Earth and Planetary Science Letters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http://www.zotero.org/styles/proceedings-of-the-national-academy-of-sciences-india-section-a-physical-sciences</vt:lpwstr>
  </property>
  <property fmtid="{D5CDD505-2E9C-101B-9397-08002B2CF9AE}" pid="21" name="Mendeley Recent Style Name 9_1">
    <vt:lpwstr>Proceedings of the National Academy of Sciences, India Section A: Physical Sciences</vt:lpwstr>
  </property>
  <property fmtid="{D5CDD505-2E9C-101B-9397-08002B2CF9AE}" pid="22" name="Mendeley Document_1">
    <vt:lpwstr>True</vt:lpwstr>
  </property>
  <property fmtid="{D5CDD505-2E9C-101B-9397-08002B2CF9AE}" pid="23" name="Mendeley Unique User Id_1">
    <vt:lpwstr>07a22956-2f42-35ba-b826-47969e2f3161</vt:lpwstr>
  </property>
  <property fmtid="{D5CDD505-2E9C-101B-9397-08002B2CF9AE}" pid="24" name="Mendeley Citation Style_1">
    <vt:lpwstr>http://www.zotero.org/styles/earth-and-planetary-science-letters</vt:lpwstr>
  </property>
</Properties>
</file>