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F62" w:rsidRPr="0007648C" w:rsidRDefault="0031158B" w:rsidP="00476F62">
      <w:pPr>
        <w:pStyle w:val="Title"/>
        <w:rPr>
          <w:rFonts w:eastAsia="Calibri" w:cs="Times New Roman"/>
          <w:b w:val="0"/>
          <w:color w:val="00B0F0"/>
          <w:spacing w:val="0"/>
          <w:kern w:val="0"/>
          <w:sz w:val="20"/>
          <w:szCs w:val="20"/>
        </w:rPr>
      </w:pPr>
      <w:bookmarkStart w:id="0" w:name="_Toc1183944935"/>
      <w:bookmarkStart w:id="1" w:name="_Toc970151168"/>
      <w:bookmarkStart w:id="2" w:name="_Toc1412807620"/>
      <w:bookmarkStart w:id="3" w:name="_GoBack"/>
      <w:bookmarkEnd w:id="3"/>
      <w:r w:rsidRPr="0007648C">
        <w:t xml:space="preserve">   </w:t>
      </w:r>
      <w:r w:rsidR="00063923" w:rsidRPr="0007648C">
        <w:t xml:space="preserve">Physical </w:t>
      </w:r>
      <w:r w:rsidR="00476F62" w:rsidRPr="0007648C">
        <w:t>control</w:t>
      </w:r>
      <w:r w:rsidR="00063923" w:rsidRPr="0007648C">
        <w:t>s on</w:t>
      </w:r>
      <w:r w:rsidR="00476F62" w:rsidRPr="0007648C">
        <w:t xml:space="preserve"> oxygen distribution and denitrif</w:t>
      </w:r>
      <w:r w:rsidR="00BD374D" w:rsidRPr="0007648C">
        <w:t>ication</w:t>
      </w:r>
      <w:r w:rsidR="00476F62" w:rsidRPr="0007648C">
        <w:t xml:space="preserve"> potential in the north west Arabian Sea</w:t>
      </w:r>
      <w:bookmarkEnd w:id="0"/>
      <w:bookmarkEnd w:id="1"/>
      <w:bookmarkEnd w:id="2"/>
    </w:p>
    <w:p w:rsidR="00476F62" w:rsidRPr="0007648C" w:rsidRDefault="00476F62" w:rsidP="00476F62">
      <w:pPr>
        <w:pStyle w:val="Title"/>
        <w:rPr>
          <w:rFonts w:eastAsia="Calibri" w:cs="Times New Roman"/>
          <w:b w:val="0"/>
          <w:color w:val="00B0F0"/>
          <w:spacing w:val="0"/>
          <w:kern w:val="0"/>
          <w:sz w:val="20"/>
          <w:szCs w:val="20"/>
        </w:rPr>
      </w:pPr>
    </w:p>
    <w:p w:rsidR="00476F62" w:rsidRPr="0007648C" w:rsidRDefault="00476F62" w:rsidP="00476F62">
      <w:pPr>
        <w:pStyle w:val="Title"/>
        <w:rPr>
          <w:rFonts w:eastAsia="Calibri" w:cs="Times New Roman"/>
          <w:b w:val="0"/>
          <w:color w:val="00B0F0"/>
          <w:spacing w:val="0"/>
          <w:kern w:val="0"/>
          <w:sz w:val="20"/>
          <w:szCs w:val="20"/>
        </w:rPr>
      </w:pPr>
    </w:p>
    <w:p w:rsidR="00476F62" w:rsidRPr="0007648C" w:rsidRDefault="00476F62" w:rsidP="00476F62">
      <w:pPr>
        <w:pStyle w:val="Title"/>
      </w:pPr>
      <w:r w:rsidRPr="0007648C">
        <w:t>B. Y. Queste</w:t>
      </w:r>
      <w:r w:rsidRPr="0007648C">
        <w:rPr>
          <w:vertAlign w:val="superscript"/>
        </w:rPr>
        <w:t>1</w:t>
      </w:r>
      <w:r w:rsidRPr="0007648C">
        <w:t>, C. Vic</w:t>
      </w:r>
      <w:r w:rsidRPr="0007648C">
        <w:rPr>
          <w:vertAlign w:val="superscript"/>
        </w:rPr>
        <w:t>2</w:t>
      </w:r>
      <w:r w:rsidRPr="0007648C">
        <w:t>, K. J. Heywood</w:t>
      </w:r>
      <w:r w:rsidRPr="0007648C">
        <w:rPr>
          <w:vertAlign w:val="superscript"/>
        </w:rPr>
        <w:t>1</w:t>
      </w:r>
      <w:r w:rsidRPr="0007648C">
        <w:t>, S. A. Piontkovski</w:t>
      </w:r>
      <w:r w:rsidRPr="0007648C">
        <w:rPr>
          <w:vertAlign w:val="superscript"/>
        </w:rPr>
        <w:t>3</w:t>
      </w:r>
    </w:p>
    <w:p w:rsidR="00476F62" w:rsidRPr="0007648C" w:rsidRDefault="00476F62" w:rsidP="00476F62">
      <w:pPr>
        <w:pStyle w:val="Note"/>
      </w:pPr>
      <w:r w:rsidRPr="0007648C">
        <w:rPr>
          <w:rFonts w:eastAsiaTheme="majorEastAsia" w:cstheme="majorBidi"/>
          <w:b/>
          <w:color w:val="auto"/>
          <w:spacing w:val="-10"/>
          <w:kern w:val="28"/>
          <w:sz w:val="28"/>
          <w:szCs w:val="56"/>
        </w:rPr>
        <w:t xml:space="preserve"> </w:t>
      </w:r>
    </w:p>
    <w:p w:rsidR="00DE3F91" w:rsidRPr="0007648C" w:rsidRDefault="008A6077" w:rsidP="00476F62">
      <w:pPr>
        <w:pStyle w:val="Affiliation"/>
      </w:pPr>
      <w:r w:rsidRPr="0007648C">
        <w:rPr>
          <w:vertAlign w:val="superscript"/>
        </w:rPr>
        <w:t>1</w:t>
      </w:r>
      <w:r w:rsidR="00476F62" w:rsidRPr="0007648C">
        <w:rPr>
          <w:rFonts w:eastAsiaTheme="minorHAnsi"/>
          <w:szCs w:val="22"/>
          <w:vertAlign w:val="superscript"/>
        </w:rPr>
        <w:t xml:space="preserve"> </w:t>
      </w:r>
      <w:r w:rsidR="00476F62" w:rsidRPr="0007648C">
        <w:t xml:space="preserve">Centre for Ocean and Atmospheric Sciences, University of East Anglia, Norwich, NR4 7TJ, UK. </w:t>
      </w:r>
      <w:r w:rsidR="00545B6C" w:rsidRPr="0007648C">
        <w:rPr>
          <w:vertAlign w:val="superscript"/>
        </w:rPr>
        <w:t>2</w:t>
      </w:r>
      <w:r w:rsidR="00476F62" w:rsidRPr="0007648C">
        <w:t xml:space="preserve"> Department of Ocean and Earth Sciences, University of Southampton, Southampton, UK. </w:t>
      </w:r>
      <w:r w:rsidR="00545B6C" w:rsidRPr="0007648C">
        <w:rPr>
          <w:vertAlign w:val="superscript"/>
        </w:rPr>
        <w:t>3</w:t>
      </w:r>
      <w:r w:rsidR="00476F62" w:rsidRPr="0007648C">
        <w:t xml:space="preserve"> College of Agricultural and Marine Sciences, Sultan Qaboos University, PO Box 34, Al-</w:t>
      </w:r>
      <w:proofErr w:type="spellStart"/>
      <w:r w:rsidR="00476F62" w:rsidRPr="0007648C">
        <w:t>Khod</w:t>
      </w:r>
      <w:proofErr w:type="spellEnd"/>
      <w:r w:rsidR="00476F62" w:rsidRPr="0007648C">
        <w:t xml:space="preserve"> 123, Sultanate of Oman.</w:t>
      </w:r>
    </w:p>
    <w:p w:rsidR="00476F62" w:rsidRPr="0007648C" w:rsidRDefault="00476F62" w:rsidP="003137C3">
      <w:pPr>
        <w:pStyle w:val="Affiliation"/>
      </w:pPr>
    </w:p>
    <w:p w:rsidR="00476F62" w:rsidRPr="0007648C" w:rsidRDefault="008A6077" w:rsidP="00476F62">
      <w:pPr>
        <w:pStyle w:val="Affiliation"/>
      </w:pPr>
      <w:r w:rsidRPr="0007648C">
        <w:t>Correspond</w:t>
      </w:r>
      <w:r w:rsidR="00DE3F91" w:rsidRPr="0007648C">
        <w:t>ing</w:t>
      </w:r>
      <w:r w:rsidRPr="0007648C">
        <w:t xml:space="preserve"> </w:t>
      </w:r>
      <w:r w:rsidR="006F662E" w:rsidRPr="0007648C">
        <w:t>author:</w:t>
      </w:r>
      <w:r w:rsidRPr="0007648C">
        <w:t xml:space="preserve"> </w:t>
      </w:r>
      <w:r w:rsidR="00476F62" w:rsidRPr="0007648C">
        <w:t>Bastien Y. Queste</w:t>
      </w:r>
      <w:r w:rsidR="00DE3F91" w:rsidRPr="0007648C">
        <w:t xml:space="preserve"> (</w:t>
      </w:r>
      <w:hyperlink r:id="rId8" w:history="1">
        <w:r w:rsidR="00476F62" w:rsidRPr="0007648C">
          <w:rPr>
            <w:rStyle w:val="Hyperlink"/>
          </w:rPr>
          <w:t>b.queste@uea.ac.uk)</w:t>
        </w:r>
      </w:hyperlink>
      <w:r w:rsidR="00DE3F91" w:rsidRPr="0007648C">
        <w:t xml:space="preserve"> </w:t>
      </w:r>
    </w:p>
    <w:p w:rsidR="00DE3F91" w:rsidRPr="0007648C" w:rsidRDefault="00DE3F91" w:rsidP="00B120F3">
      <w:pPr>
        <w:pStyle w:val="Note"/>
      </w:pPr>
    </w:p>
    <w:p w:rsidR="00C94AA5" w:rsidRPr="0007648C" w:rsidRDefault="00C94AA5" w:rsidP="005358D5">
      <w:pPr>
        <w:pStyle w:val="Heading-Main"/>
      </w:pPr>
      <w:r w:rsidRPr="0007648C">
        <w:t>Key Points:</w:t>
      </w:r>
    </w:p>
    <w:p w:rsidR="0007648C" w:rsidRPr="0007648C" w:rsidRDefault="00AE1BA7" w:rsidP="0007648C">
      <w:pPr>
        <w:pStyle w:val="KeyPoints"/>
        <w:numPr>
          <w:ilvl w:val="0"/>
          <w:numId w:val="9"/>
        </w:numPr>
      </w:pPr>
      <w:r w:rsidRPr="0007648C">
        <w:t xml:space="preserve"> </w:t>
      </w:r>
      <w:r w:rsidR="0007648C" w:rsidRPr="0007648C">
        <w:t>Climatologies overestimate oxygen concentrations and underestimate denitrification in the Gulf of Oman because of insufficient sampling</w:t>
      </w:r>
    </w:p>
    <w:p w:rsidR="0007648C" w:rsidRPr="0007648C" w:rsidRDefault="0007648C" w:rsidP="0007648C">
      <w:pPr>
        <w:pStyle w:val="KeyPoints"/>
        <w:numPr>
          <w:ilvl w:val="0"/>
          <w:numId w:val="9"/>
        </w:numPr>
      </w:pPr>
      <w:proofErr w:type="spellStart"/>
      <w:r w:rsidRPr="0007648C">
        <w:t>Submeso</w:t>
      </w:r>
      <w:proofErr w:type="spellEnd"/>
      <w:r w:rsidRPr="0007648C">
        <w:t>- and mesoscale processes regulate oxygen concentrations by stirring oxygenated Persian Gulf Water throughout the oxygen minimum zone</w:t>
      </w:r>
    </w:p>
    <w:p w:rsidR="00B719C8" w:rsidRPr="0007648C" w:rsidRDefault="0007648C" w:rsidP="0007648C">
      <w:pPr>
        <w:pStyle w:val="KeyPoints"/>
        <w:numPr>
          <w:ilvl w:val="0"/>
          <w:numId w:val="9"/>
        </w:numPr>
      </w:pPr>
      <w:r w:rsidRPr="0007648C">
        <w:t>Spiciness serves as a physical proxy for determining low oxygen concentrations in the Gulf of Oman</w:t>
      </w:r>
    </w:p>
    <w:p w:rsidR="00B719C8" w:rsidRPr="0007648C" w:rsidRDefault="00B719C8">
      <w:r w:rsidRPr="0007648C">
        <w:br w:type="page"/>
      </w:r>
    </w:p>
    <w:p w:rsidR="00896228" w:rsidRPr="0007648C" w:rsidRDefault="00896228" w:rsidP="00896228">
      <w:pPr>
        <w:pStyle w:val="Heading-Main"/>
      </w:pPr>
      <w:r w:rsidRPr="0007648C">
        <w:lastRenderedPageBreak/>
        <w:t>Supplementary Materials</w:t>
      </w:r>
    </w:p>
    <w:p w:rsidR="00896228" w:rsidRPr="0007648C" w:rsidRDefault="00896228" w:rsidP="00896228">
      <w:pPr>
        <w:pStyle w:val="Heading-Secondary"/>
      </w:pPr>
      <w:r w:rsidRPr="0007648C">
        <w:t>SM.1 Glider data</w:t>
      </w:r>
    </w:p>
    <w:p w:rsidR="00896228" w:rsidRPr="0007648C" w:rsidRDefault="00896228" w:rsidP="00896228">
      <w:r w:rsidRPr="0007648C">
        <w:t xml:space="preserve">Two </w:t>
      </w:r>
      <w:proofErr w:type="spellStart"/>
      <w:r w:rsidRPr="0007648C">
        <w:t>Seagliders</w:t>
      </w:r>
      <w:proofErr w:type="spellEnd"/>
      <w:r w:rsidRPr="0007648C">
        <w:t xml:space="preserve">, autonomous buoyancy-driven underwater vehicles, were deployed in the Gulf of Oman approximately 10 km from Muscat, at the </w:t>
      </w:r>
      <w:proofErr w:type="gramStart"/>
      <w:r w:rsidRPr="0007648C">
        <w:t>120 m</w:t>
      </w:r>
      <w:proofErr w:type="gramEnd"/>
      <w:r w:rsidRPr="0007648C">
        <w:t xml:space="preserve"> isobath. Both gliders repeatedly surveyed a </w:t>
      </w:r>
      <w:proofErr w:type="gramStart"/>
      <w:r w:rsidRPr="0007648C">
        <w:t>76 km</w:t>
      </w:r>
      <w:proofErr w:type="gramEnd"/>
      <w:r w:rsidRPr="0007648C">
        <w:t xml:space="preserve"> section across the shelf, continental slope and open ocean between 24°15’ N, 59° E and 23°39.5’ N, 58°39’ E (</w:t>
      </w:r>
      <w:r w:rsidR="00E95780">
        <w:t>Figure 1</w:t>
      </w:r>
      <w:r w:rsidRPr="0007648C">
        <w:t xml:space="preserve">). SG579 obtained 1424 vertical profiles over a </w:t>
      </w:r>
      <w:proofErr w:type="gramStart"/>
      <w:r w:rsidRPr="0007648C">
        <w:t>91 day</w:t>
      </w:r>
      <w:proofErr w:type="gramEnd"/>
      <w:r w:rsidRPr="0007648C">
        <w:t xml:space="preserve"> period (4 March 2015 to 3 June 2015), repeating the section 24 times. SG510 obtained 1646 vertical profiles over a </w:t>
      </w:r>
      <w:proofErr w:type="gramStart"/>
      <w:r w:rsidRPr="0007648C">
        <w:t>109 day</w:t>
      </w:r>
      <w:proofErr w:type="gramEnd"/>
      <w:r w:rsidRPr="0007648C">
        <w:t xml:space="preserve"> period (9 December 2015 to 27 March 2016), repeating the section 28 times. The glider data were processed using the UEA </w:t>
      </w:r>
      <w:proofErr w:type="spellStart"/>
      <w:r w:rsidRPr="0007648C">
        <w:t>Seaglider</w:t>
      </w:r>
      <w:proofErr w:type="spellEnd"/>
      <w:r w:rsidRPr="0007648C">
        <w:t xml:space="preserve"> Toolbox (bitbucket.org/</w:t>
      </w:r>
      <w:proofErr w:type="spellStart"/>
      <w:r w:rsidRPr="0007648C">
        <w:t>bastienqueste</w:t>
      </w:r>
      <w:proofErr w:type="spellEnd"/>
      <w:r w:rsidRPr="0007648C">
        <w:t>/</w:t>
      </w:r>
      <w:proofErr w:type="spellStart"/>
      <w:r w:rsidRPr="0007648C">
        <w:t>uea</w:t>
      </w:r>
      <w:proofErr w:type="spellEnd"/>
      <w:r w:rsidRPr="0007648C">
        <w:t>-</w:t>
      </w:r>
      <w:proofErr w:type="spellStart"/>
      <w:r w:rsidRPr="0007648C">
        <w:t>seaglider</w:t>
      </w:r>
      <w:proofErr w:type="spellEnd"/>
      <w:r w:rsidRPr="0007648C">
        <w:t xml:space="preserve">-toolbox, 24 February 2016) following </w:t>
      </w:r>
      <w:r w:rsidRPr="0007648C">
        <w:rPr>
          <w:i/>
        </w:rPr>
        <w:t>Queste</w:t>
      </w:r>
      <w:r w:rsidRPr="0007648C">
        <w:t xml:space="preserve"> </w:t>
      </w:r>
      <w:r w:rsidR="004B7622" w:rsidRPr="0007648C">
        <w:fldChar w:fldCharType="begin" w:fldLock="1"/>
      </w:r>
      <w:r w:rsidR="000C078D">
        <w:instrText>ADDIN CSL_CITATION { "citationItems" : [ { "id" : "ITEM-1", "itemData" : { "author" : [ { "dropping-particle" : "", "family" : "Queste", "given" : "Bastien Y.", "non-dropping-particle" : "", "parse-names" : false, "suffix" : "" } ], "id" : "ITEM-1", "issued" : { "date-parts" : [ [ "2014" ] ] }, "number-of-pages" : "251", "publisher" : "University of East Anglia", "title" : "Hydrographic observations of oxygen and related physical variables in the North Sea and Western Ross Sea Polynya", "type" : "thesis" }, "suppress-author" : 1, "uris" : [ "http://www.mendeley.com/documents/?uuid=a8bcc0ee-b5ec-42fe-8165-6319db28c143" ] } ], "mendeley" : { "formattedCitation" : "(2014)", "plainTextFormattedCitation" : "(2014)", "previouslyFormattedCitation" : "(2014)" }, "properties" : {  }, "schema" : "https://github.com/citation-style-language/schema/raw/master/csl-citation.json" }</w:instrText>
      </w:r>
      <w:r w:rsidR="004B7622" w:rsidRPr="0007648C">
        <w:fldChar w:fldCharType="separate"/>
      </w:r>
      <w:r w:rsidR="00062895" w:rsidRPr="00062895">
        <w:rPr>
          <w:noProof/>
        </w:rPr>
        <w:t>(2014)</w:t>
      </w:r>
      <w:r w:rsidR="004B7622" w:rsidRPr="0007648C">
        <w:fldChar w:fldCharType="end"/>
      </w:r>
      <w:r w:rsidRPr="0007648C">
        <w:t xml:space="preserve">. Conductivity data were corrected for thermal hysteresis following </w:t>
      </w:r>
      <w:proofErr w:type="spellStart"/>
      <w:r w:rsidRPr="0007648C">
        <w:rPr>
          <w:i/>
        </w:rPr>
        <w:t>Garau</w:t>
      </w:r>
      <w:proofErr w:type="spellEnd"/>
      <w:r w:rsidRPr="0007648C">
        <w:rPr>
          <w:i/>
        </w:rPr>
        <w:t xml:space="preserve"> et al.</w:t>
      </w:r>
      <w:r w:rsidRPr="0007648C">
        <w:t xml:space="preserve"> </w:t>
      </w:r>
      <w:r w:rsidR="004B7622" w:rsidRPr="0007648C">
        <w:fldChar w:fldCharType="begin" w:fldLock="1"/>
      </w:r>
      <w:r w:rsidR="000C078D">
        <w:instrText>ADDIN CSL_CITATION { "citationItems" : [ { "id" : "ITEM-1", "itemData" : { "DOI" : "10.1175/JTECH-D-10-05030.1", "ISSN" : "0739-0572", "author" : [ { "dropping-particle" : "", "family" : "Garau", "given" : "Bartolom\u00e9", "non-dropping-particle" : "", "parse-names" : false, "suffix" : "" }, { "dropping-particle" : "", "family" : "Ruiz", "given" : "Sim\u00f3n", "non-dropping-particle" : "", "parse-names" : false, "suffix" : "" }, { "dropping-particle" : "", "family" : "Zhang", "given" : "Weifeng G.", "non-dropping-particle" : "", "parse-names" : false, "suffix" : "" }, { "dropping-particle" : "", "family" : "Pascual", "given" : "Ananda", "non-dropping-particle" : "", "parse-names" : false, "suffix" : "" }, { "dropping-particle" : "", "family" : "Heslop", "given" : "Emma", "non-dropping-particle" : "", "parse-names" : false, "suffix" : "" }, { "dropping-particle" : "", "family" : "Kerfoot", "given" : "John", "non-dropping-particle" : "", "parse-names" : false, "suffix" : "" }, { "dropping-particle" : "", "family" : "Tintor\u00e9", "given" : "Joaqu\u00edn", "non-dropping-particle" : "", "parse-names" : false, "suffix" : "" } ], "container-title" : "Journal of Atmospheric and Oceanic Technology", "id" : "ITEM-1", "issue" : "9", "issued" : { "date-parts" : [ [ "2011", "9" ] ] }, "page" : "1065-1071", "title" : "Thermal Lag Correction on Slocum CTD Glider Data", "type" : "article-journal", "volume" : "28" }, "suppress-author" : 1, "uris" : [ "http://www.mendeley.com/documents/?uuid=f747c33d-0827-4ed5-8249-fd15314d7273" ] } ], "mendeley" : { "formattedCitation" : "(2011)", "plainTextFormattedCitation" : "(2011)", "previouslyFormattedCitation" : "(2011)" }, "properties" : {  }, "schema" : "https://github.com/citation-style-language/schema/raw/master/csl-citation.json" }</w:instrText>
      </w:r>
      <w:r w:rsidR="004B7622" w:rsidRPr="0007648C">
        <w:fldChar w:fldCharType="separate"/>
      </w:r>
      <w:r w:rsidR="00062895" w:rsidRPr="00062895">
        <w:rPr>
          <w:noProof/>
        </w:rPr>
        <w:t>(2011)</w:t>
      </w:r>
      <w:r w:rsidR="004B7622" w:rsidRPr="0007648C">
        <w:fldChar w:fldCharType="end"/>
      </w:r>
      <w:r w:rsidRPr="0007648C">
        <w:t xml:space="preserve"> using the </w:t>
      </w:r>
      <w:proofErr w:type="spellStart"/>
      <w:r w:rsidRPr="0007648C">
        <w:t>Seaglider</w:t>
      </w:r>
      <w:proofErr w:type="spellEnd"/>
      <w:r w:rsidRPr="0007648C">
        <w:t xml:space="preserve"> flight model regressed following a method adapted from </w:t>
      </w:r>
      <w:proofErr w:type="spellStart"/>
      <w:r w:rsidRPr="0007648C">
        <w:rPr>
          <w:i/>
        </w:rPr>
        <w:t>Frajka</w:t>
      </w:r>
      <w:proofErr w:type="spellEnd"/>
      <w:r w:rsidRPr="0007648C">
        <w:rPr>
          <w:i/>
        </w:rPr>
        <w:t xml:space="preserve">-Williams et al. </w:t>
      </w:r>
      <w:r w:rsidR="004B7622" w:rsidRPr="0007648C">
        <w:fldChar w:fldCharType="begin" w:fldLock="1"/>
      </w:r>
      <w:r w:rsidR="000C078D">
        <w:instrText>ADDIN CSL_CITATION { "citationItems" : [ { "id" : "ITEM-1", "itemData" : { "DOI" : "10.1175/2011JTECHO830.1", "ISSN" : "0739-0572", "author" : [ { "dropping-particle" : "", "family" : "Frajka-Williams", "given" : "Eleanor", "non-dropping-particle" : "", "parse-names" : false, "suffix" : "" }, { "dropping-particle" : "", "family" : "Eriksen", "given" : "Charles C.", "non-dropping-particle" : "", "parse-names" : false, "suffix" : "" }, { "dropping-particle" : "", "family" : "Rhines", "given" : "Peter B.", "non-dropping-particle" : "", "parse-names" : false, "suffix" : "" }, { "dropping-particle" : "", "family" : "Harcourt", "given" : "Ramsey R.", "non-dropping-particle" : "", "parse-names" : false, "suffix" : "" } ], "container-title" : "Journal of Atmospheric and Oceanic Technology", "id" : "ITEM-1", "issue" : "12", "issued" : { "date-parts" : [ [ "2011", "12" ] ] }, "page" : "1641-1656", "title" : "Determining Vertical Water Velocities from Seaglider", "type" : "article-journal", "volume" : "28" }, "suppress-author" : 1, "uris" : [ "http://www.mendeley.com/documents/?uuid=bbe688f9-b9b3-4f39-a57a-d11d3b3005b3" ] } ], "mendeley" : { "formattedCitation" : "(2011)", "plainTextFormattedCitation" : "(2011)", "previouslyFormattedCitation" : "(2011)" }, "properties" : {  }, "schema" : "https://github.com/citation-style-language/schema/raw/master/csl-citation.json" }</w:instrText>
      </w:r>
      <w:r w:rsidR="004B7622" w:rsidRPr="0007648C">
        <w:fldChar w:fldCharType="separate"/>
      </w:r>
      <w:r w:rsidR="00062895" w:rsidRPr="00062895">
        <w:rPr>
          <w:noProof/>
        </w:rPr>
        <w:t>(2011)</w:t>
      </w:r>
      <w:r w:rsidR="004B7622" w:rsidRPr="0007648C">
        <w:fldChar w:fldCharType="end"/>
      </w:r>
      <w:r w:rsidRPr="0007648C">
        <w:t xml:space="preserve">. Oxygen was measured using </w:t>
      </w:r>
      <w:proofErr w:type="spellStart"/>
      <w:r w:rsidRPr="0007648C">
        <w:t>Aanderaa</w:t>
      </w:r>
      <w:proofErr w:type="spellEnd"/>
      <w:r w:rsidRPr="0007648C">
        <w:t xml:space="preserve"> 4330F </w:t>
      </w:r>
      <w:proofErr w:type="spellStart"/>
      <w:r w:rsidRPr="0007648C">
        <w:t>optodes</w:t>
      </w:r>
      <w:proofErr w:type="spellEnd"/>
      <w:r w:rsidRPr="0007648C">
        <w:t xml:space="preserve"> with pre-aged foils. The sensors were calibrated by the manufacturer prior to launch. Oxygen measurements were further calibrated by performing both 0% and atmospheric measurements of oxygen partial pressure (</w:t>
      </w:r>
      <w:r w:rsidRPr="0007648C">
        <w:rPr>
          <w:i/>
        </w:rPr>
        <w:t>p</w:t>
      </w:r>
      <w:r w:rsidRPr="0007648C">
        <w:t>O</w:t>
      </w:r>
      <w:r w:rsidRPr="0007648C">
        <w:rPr>
          <w:vertAlign w:val="subscript"/>
        </w:rPr>
        <w:t>2</w:t>
      </w:r>
      <w:r w:rsidRPr="0007648C">
        <w:t xml:space="preserve">). 0% saturation calibrations were obtained by sealing the calibration mount in an air-tight container with a surplus of sodium sulfite to bind all dissolved oxygen. Samples were collected at 0.2Hz for 5 minutes once concentrations had stabilized. Atmospheric validation of calibration and correction of drift were performed by comparing </w:t>
      </w:r>
      <w:r w:rsidRPr="0007648C">
        <w:rPr>
          <w:i/>
        </w:rPr>
        <w:t>p</w:t>
      </w:r>
      <w:r w:rsidRPr="0007648C">
        <w:t>O</w:t>
      </w:r>
      <w:r w:rsidRPr="0007648C">
        <w:rPr>
          <w:vertAlign w:val="subscript"/>
        </w:rPr>
        <w:t>2</w:t>
      </w:r>
      <w:r w:rsidRPr="0007648C">
        <w:t xml:space="preserve"> detected by the sensor during pre and post deployment tests to atmospheric </w:t>
      </w:r>
      <w:r w:rsidRPr="0007648C">
        <w:rPr>
          <w:i/>
        </w:rPr>
        <w:t>p</w:t>
      </w:r>
      <w:r w:rsidRPr="0007648C">
        <w:t>O</w:t>
      </w:r>
      <w:r w:rsidRPr="0007648C">
        <w:rPr>
          <w:vertAlign w:val="subscript"/>
        </w:rPr>
        <w:t>2</w:t>
      </w:r>
      <w:r w:rsidRPr="0007648C">
        <w:t xml:space="preserve">, using pressure and humidity data from the ERA-Interim reanalysis product </w:t>
      </w:r>
      <w:r w:rsidR="004B7622" w:rsidRPr="0007648C">
        <w:fldChar w:fldCharType="begin" w:fldLock="1"/>
      </w:r>
      <w:r w:rsidR="000C078D">
        <w:instrText>ADDIN CSL_CITATION { "citationItems" : [ { "id" : "ITEM-1", "itemData" : { "DOI" : "10.1002/qj.828", "ISSN" : "00359009", "author" : [ { "dropping-particle" : "", "family" : "Dee", "given" : "D. P.", "non-dropping-particle" : "", "parse-names" : false, "suffix" : "" }, { "dropping-particle" : "", "family" : "Uppala", "given" : "S. M.", "non-dropping-particle" : "", "parse-names" : false, "suffix" : "" }, { "dropping-particle" : "", "family" : "Simmons", "given" : "A. J.", "non-dropping-particle" : "", "parse-names" : false, "suffix" : "" }, { "dropping-particle" : "", "family" : "Berrisford", "given" : "P.", "non-dropping-particle" : "", "parse-names" : false, "suffix" : "" }, { "dropping-particle" : "", "family" : "Poli", "given" : "P.", "non-dropping-particle" : "", "parse-names" : false, "suffix" : "" }, { "dropping-particle" : "", "family" : "Kobayashi", "given" : "S.", "non-dropping-particle" : "", "parse-names" : false, "suffix" : "" }, { "dropping-particle" : "", "family" : "Andrae", "given" : "U.", "non-dropping-particle" : "", "parse-names" : false, "suffix" : "" }, { "dropping-particle" : "", "family" : "Balmaseda", "given" : "M. A.", "non-dropping-particle" : "", "parse-names" : false, "suffix" : "" }, { "dropping-particle" : "", "family" : "Balsamo", "given" : "G.", "non-dropping-particle" : "", "parse-names" : false, "suffix" : "" }, { "dropping-particle" : "", "family" : "Bauer", "given" : "P.", "non-dropping-particle" : "", "parse-names" : false, "suffix" : "" }, { "dropping-particle" : "", "family" : "Bechtold", "given" : "P.", "non-dropping-particle" : "", "parse-names" : false, "suffix" : "" }, { "dropping-particle" : "", "family" : "Beljaars", "given" : "A. C. M.", "non-dropping-particle" : "", "parse-names" : false, "suffix" : "" }, { "dropping-particle" : "", "family" : "Berg", "given" : "L.", "non-dropping-particle" : "van de", "parse-names" : false, "suffix" : "" }, { "dropping-particle" : "", "family" : "Bidlot", "given" : "J.", "non-dropping-particle" : "", "parse-names" : false, "suffix" : "" }, { "dropping-particle" : "", "family" : "Bormann", "given" : "N.", "non-dropping-particle" : "", "parse-names" : false, "suffix" : "" }, { "dropping-particle" : "", "family" : "Delsol", "given" : "C.", "non-dropping-particle" : "", "parse-names" : false, "suffix" : "" }, { "dropping-particle" : "", "family" : "Dragani", "given" : "R.", "non-dropping-particle" : "", "parse-names" : false, "suffix" : "" }, { "dropping-particle" : "", "family" : "Fuentes", "given" : "M.", "non-dropping-particle" : "", "parse-names" : false, "suffix" : "" }, { "dropping-particle" : "", "family" : "Geer", "given" : "A. J.", "non-dropping-particle" : "", "parse-names" : false, "suffix" : "" }, { "dropping-particle" : "", "family" : "Haimberger", "given" : "L.", "non-dropping-particle" : "", "parse-names" : false, "suffix" : "" }, { "dropping-particle" : "", "family" : "Healy", "given" : "S. B.", "non-dropping-particle" : "", "parse-names" : false, "suffix" : "" }, { "dropping-particle" : "", "family" : "Hersbach", "given" : "H.", "non-dropping-particle" : "", "parse-names" : false, "suffix" : "" }, { "dropping-particle" : "V.", "family" : "H\u00f3lm", "given" : "E.", "non-dropping-particle" : "", "parse-names" : false, "suffix" : "" }, { "dropping-particle" : "", "family" : "Isaksen", "given" : "L.", "non-dropping-particle" : "", "parse-names" : false, "suffix" : "" }, { "dropping-particle" : "", "family" : "K\u00e5llberg", "given" : "P.", "non-dropping-particle" : "", "parse-names" : false, "suffix" : "" }, { "dropping-particle" : "", "family" : "K\u00f6hler", "given" : "M.", "non-dropping-particle" : "", "parse-names" : false, "suffix" : "" }, { "dropping-particle" : "", "family" : "Matricardi", "given" : "M.", "non-dropping-particle" : "", "parse-names" : false, "suffix" : "" }, { "dropping-particle" : "", "family" : "McNally", "given" : "A. P.", "non-dropping-particle" : "", "parse-names" : false, "suffix" : "" }, { "dropping-particle" : "", "family" : "Monge-Sanz", "given" : "B. M.", "non-dropping-particle" : "", "parse-names" : false, "suffix" : "" }, { "dropping-particle" : "", "family" : "Morcrette", "given" : "J.-J.", "non-dropping-particle" : "", "parse-names" : false, "suffix" : "" }, { "dropping-particle" : "", "family" : "Park", "given" : "B.-K.", "non-dropping-particle" : "", "parse-names" : false, "suffix" : "" }, { "dropping-particle" : "", "family" : "Peubey", "given" : "C.", "non-dropping-particle" : "", "parse-names" : false, "suffix" : "" }, { "dropping-particle" : "", "family" : "Rosnay", "given" : "P.", "non-dropping-particle" : "de", "parse-names" : false, "suffix" : "" }, { "dropping-particle" : "", "family" : "Tavolato", "given" : "C.", "non-dropping-particle" : "", "parse-names" : false, "suffix" : "" }, { "dropping-particle" : "", "family" : "Th\u00e9paut", "given" : "J.-N.", "non-dropping-particle" : "", "parse-names" : false, "suffix" : "" }, { "dropping-particle" : "", "family" : "Vitart", "given" : "F.", "non-dropping-particle" : "", "parse-names" : false, "suffix" : "" } ], "container-title" : "Quarterly Journal of the Royal Meteorological Society", "id" : "ITEM-1", "issue" : "656", "issued" : { "date-parts" : [ [ "2011", "4" ] ] }, "page" : "553-597", "publisher" : "John Wiley &amp; Sons, Ltd.", "title" : "The ERA-Interim reanalysis: configuration and performance of the data assimilation system", "type" : "article-journal", "volume" : "137" }, "uris" : [ "http://www.mendeley.com/documents/?uuid=28e8ca00-fcbb-33af-a4a8-32175152be52" ] } ], "mendeley" : { "formattedCitation" : "(Dee et al., 2011)", "plainTextFormattedCitation" : "(Dee et al., 2011)", "previouslyFormattedCitation" : "(Dee et al., 2011)" }, "properties" : {  }, "schema" : "https://github.com/citation-style-language/schema/raw/master/csl-citation.json" }</w:instrText>
      </w:r>
      <w:r w:rsidR="004B7622" w:rsidRPr="0007648C">
        <w:fldChar w:fldCharType="separate"/>
      </w:r>
      <w:r w:rsidR="00062895" w:rsidRPr="00062895">
        <w:rPr>
          <w:noProof/>
        </w:rPr>
        <w:t>(Dee et al., 2011)</w:t>
      </w:r>
      <w:r w:rsidR="004B7622" w:rsidRPr="0007648C">
        <w:fldChar w:fldCharType="end"/>
      </w:r>
      <w:r w:rsidRPr="0007648C">
        <w:t xml:space="preserve">. Glider oxygen concentrations were recalculated using adjusted estimates of sensor </w:t>
      </w:r>
      <w:r w:rsidRPr="0007648C">
        <w:rPr>
          <w:i/>
        </w:rPr>
        <w:t>p</w:t>
      </w:r>
      <w:r w:rsidRPr="0007648C">
        <w:t>O</w:t>
      </w:r>
      <w:r w:rsidRPr="0007648C">
        <w:rPr>
          <w:vertAlign w:val="subscript"/>
        </w:rPr>
        <w:t>2</w:t>
      </w:r>
      <w:r w:rsidRPr="0007648C">
        <w:t xml:space="preserve"> using the </w:t>
      </w:r>
      <w:r w:rsidRPr="0007648C">
        <w:rPr>
          <w:i/>
        </w:rPr>
        <w:t>Benson and Krause</w:t>
      </w:r>
      <w:r w:rsidRPr="0007648C">
        <w:t xml:space="preserve"> </w:t>
      </w:r>
      <w:r w:rsidR="004B7622" w:rsidRPr="0007648C">
        <w:fldChar w:fldCharType="begin" w:fldLock="1"/>
      </w:r>
      <w:r w:rsidR="000C078D">
        <w:instrText>ADDIN CSL_CITATION { "citationItems" : [ { "id" : "ITEM-1", "itemData" : { "author" : [ { "dropping-particle" : "", "family" : "Benson", "given" : "B. B.", "non-dropping-particle" : "", "parse-names" : false, "suffix" : "" }, { "dropping-particle" : "", "family" : "Krause Jr.", "given" : "D.", "non-dropping-particle" : "", "parse-names" : false, "suffix" : "" } ], "container-title" : "Limnology and Oceanography", "id" : "ITEM-1", "issued" : { "date-parts" : [ [ "1984" ] ] }, "page" : "620-632", "title" : "The concentration and isotopic fractionation of oxygen dissolved in freshwater and seawater in equilibrium with the atmosphere.", "type" : "article-journal", "volume" : "29" }, "suppress-author" : 1, "uris" : [ "http://www.mendeley.com/documents/?uuid=ad280d2e-b110-4c40-92a3-9e15cbb338df" ] } ], "mendeley" : { "formattedCitation" : "(1984)", "plainTextFormattedCitation" : "(1984)", "previouslyFormattedCitation" : "(1984)" }, "properties" : {  }, "schema" : "https://github.com/citation-style-language/schema/raw/master/csl-citation.json" }</w:instrText>
      </w:r>
      <w:r w:rsidR="004B7622" w:rsidRPr="0007648C">
        <w:fldChar w:fldCharType="separate"/>
      </w:r>
      <w:r w:rsidR="00062895" w:rsidRPr="00062895">
        <w:rPr>
          <w:noProof/>
        </w:rPr>
        <w:t>(1984)</w:t>
      </w:r>
      <w:r w:rsidR="004B7622" w:rsidRPr="0007648C">
        <w:fldChar w:fldCharType="end"/>
      </w:r>
      <w:r w:rsidRPr="0007648C">
        <w:t xml:space="preserve"> coefficients. Sensor response was corrected for using a lag dependent on flow speed and temperature. The oxygen sensor calibration could not be validated using </w:t>
      </w:r>
      <w:r w:rsidRPr="0007648C">
        <w:softHyphen/>
      </w:r>
      <w:r w:rsidRPr="0007648C">
        <w:rPr>
          <w:i/>
        </w:rPr>
        <w:t>in situ</w:t>
      </w:r>
      <w:r w:rsidRPr="0007648C">
        <w:t xml:space="preserve"> Winkler titrations as the vessel used for launch and recovery did not provide the capability to collect samples at relevant depths.</w:t>
      </w:r>
    </w:p>
    <w:p w:rsidR="00896228" w:rsidRPr="0007648C" w:rsidRDefault="00896228" w:rsidP="00896228"/>
    <w:p w:rsidR="00896228" w:rsidRPr="0007648C" w:rsidRDefault="00896228" w:rsidP="00896228">
      <w:pPr>
        <w:pStyle w:val="Heading-Secondary"/>
      </w:pPr>
      <w:r w:rsidRPr="0007648C">
        <w:t>SM.2 Model specification</w:t>
      </w:r>
    </w:p>
    <w:p w:rsidR="00896228" w:rsidRDefault="00896228" w:rsidP="00E4738B">
      <w:r w:rsidRPr="0007648C">
        <w:t xml:space="preserve">We use the Regional Oceanic </w:t>
      </w:r>
      <w:r w:rsidR="00A32AE7">
        <w:t>Modeling</w:t>
      </w:r>
      <w:r w:rsidRPr="0007648C">
        <w:t xml:space="preserve"> System (ROMS, </w:t>
      </w:r>
      <w:r w:rsidR="004B7622" w:rsidRPr="0007648C">
        <w:fldChar w:fldCharType="begin" w:fldLock="1"/>
      </w:r>
      <w:r w:rsidR="000C078D">
        <w:instrText>ADDIN CSL_CITATION { "citationItems" : [ { "id" : "ITEM-1", "itemData" : { "DOI" : "10.1016/j.ocemod.2004.08.002", "ISSN" : "14635003", "abstract" : "The purpose of this study is to find a combination of optimal numerical algorithms for time-stepping and mode-splitting suitable for a high-resolution, free-surface, terrain-following coordinate oceanic model. Due to mathematical feedback between the baroclinic momentum and tracer equations and, similarly, between the barotropic momentum and continuity equations, it is advantageous to treat both modes so that, after a time step for the momentum equation, the computed velocities participate immediately in the computation of tracers and continuity, and vice versa, rather than advancing all equations for one time step simultaneously. This leads to a new family of time-stepping algorithms that combine forward\u2013backward feedback with the best known synchronous algorithms, allowing an increased time step due to the enhanced internal stability without sacrificing its accuracy. Based on these algorithms we design a split-explicit hydrodynamic kernel for a realistic oceanic model, which addresses multiple numerical issues associated with mode splitting. This kernel utilizes consistent temporal averaging of the barotropic mode via a specially designed filter function to guarantee both exact conservation and constancy preservation properties for tracers and yields more accurate (up to second-order), resolved barotropic processes, while preventing aliasing of unresolved barotropic signals into the slow baroclinic motions. It has a more accurate mode-splitting due to redefined barotropic pressure-gradient terms to account for the local variations in density field, while maintaining the computational efficiency of a split model. It is naturally compatible with a variety of centered and upstream-biased high-order advection algorithms, and helps to mitigate computational cost of expensive physical parameterization of mixing processes and submodels.", "author" : [ { "dropping-particle" : "", "family" : "Shchepetkin", "given" : "Alexander F.", "non-dropping-particle" : "", "parse-names" : false, "suffix" : "" }, { "dropping-particle" : "", "family" : "McWilliams", "given" : "James C.", "non-dropping-particle" : "", "parse-names" : false, "suffix" : "" } ], "container-title" : "Ocean Modelling", "id" : "ITEM-1", "issue" : "4", "issued" : { "date-parts" : [ [ "2005" ] ] }, "page" : "347-404", "title" : "The regional oceanic modeling system (ROMS): a split-explicit, free-surface, topography-following-coordinate oceanic model", "type" : "article-journal", "volume" : "9" }, "uris" : [ "http://www.mendeley.com/documents/?uuid=1f8bf5b4-df54-3a11-a4ed-8d6161e4cd8d" ] } ], "mendeley" : { "formattedCitation" : "(Shchepetkin &amp; McWilliams, 2005)", "plainTextFormattedCitation" : "(Shchepetkin &amp; McWilliams, 2005)", "previouslyFormattedCitation" : "(Shchepetkin &amp; McWilliams, 2005)" }, "properties" : {  }, "schema" : "https://github.com/citation-style-language/schema/raw/master/csl-citation.json" }</w:instrText>
      </w:r>
      <w:r w:rsidR="004B7622" w:rsidRPr="0007648C">
        <w:fldChar w:fldCharType="separate"/>
      </w:r>
      <w:r w:rsidR="00062895" w:rsidRPr="00062895">
        <w:rPr>
          <w:noProof/>
        </w:rPr>
        <w:t>(Shchepetkin &amp; McWilliams, 2005)</w:t>
      </w:r>
      <w:r w:rsidR="004B7622" w:rsidRPr="0007648C">
        <w:fldChar w:fldCharType="end"/>
      </w:r>
      <w:r w:rsidRPr="0007648C">
        <w:t xml:space="preserve">) in a one-way nested configuration with a 2 km horizontal resolution set up from a parent solution covering the whole Arabian Sea at 6.6-km horizontal resolution </w:t>
      </w:r>
      <w:r w:rsidR="004B7622" w:rsidRPr="0007648C">
        <w:fldChar w:fldCharType="begin" w:fldLock="1"/>
      </w:r>
      <w:r w:rsidR="000C078D">
        <w:instrText>ADDIN CSL_CITATION { "citationItems" : [ { "id" : "ITEM-1", "itemData" : { "DOI" : "10.1002/2014JC009857", "ISBN" : "2169-9291", "ISSN" : "21699291", "abstract" : "The Great Whirl (GW) is a persistent anticyclonic mesoscale eddy that is observed seasonally in the Arabian Sea during a period embedding the 3 months of the southwest monsoon (June\u2013July\u2013August) at a quasi-steady location. Its dynamics remain unclear despite it being one of the largest coherent vortices in the world ocean. Realistic regional numerical experiments using ROMS are performed to investigate the life cycle of the GW, which is not well resolved by sparse available in situ measurements in the region. Using a set of sensitivity experiments and an accurate temporal characterization of the eddy properties (including position, radius, depth, and vorticity) we (i) confirm the role of basin-scale downwelling Rossby waves in the GW generation, (ii) clarify the role of the monsoonal strong anticyclonic wind in its maintenance and barotropization, and (iii) suggest a connection between basin-scale Rossby wave dynamics and GW collapse.", "author" : [ { "dropping-particle" : "", "family" : "Vic", "given" : "C.", "non-dropping-particle" : "", "parse-names" : false, "suffix" : "" }, { "dropping-particle" : "", "family" : "Roullet", "given" : "G.", "non-dropping-particle" : "", "parse-names" : false, "suffix" : "" }, { "dropping-particle" : "", "family" : "Carton", "given" : "X.", "non-dropping-particle" : "", "parse-names" : false, "suffix" : "" }, { "dropping-particle" : "", "family" : "Capet", "given" : "X.", "non-dropping-particle" : "", "parse-names" : false, "suffix" : "" } ], "container-title" : "Journal of Geophysical Research C: Oceans", "id" : "ITEM-1", "issue" : "9", "issued" : { "date-parts" : [ [ "2014", "9" ] ] }, "page" : "6422-6443", "title" : "Mesoscale dynamics in the Arabian Sea and a focus on the Great Whirl life cycle: A numerical investigation using ROMS", "type" : "article-journal", "volume" : "119" }, "uris" : [ "http://www.mendeley.com/documents/?uuid=62763148-5739-4f05-acdf-89b99ca88722" ] }, { "id" : "ITEM-2", "itemData" : { "DOI" : "10.1002/2015JC011033", "ISSN" : "21699291", "author" : [ { "dropping-particle" : "", "family" : "Vic", "given" : "C.", "non-dropping-particle" : "", "parse-names" : false, "suffix" : "" }, { "dropping-particle" : "", "family" : "Roullet", "given" : "G.", "non-dropping-particle" : "", "parse-names" : false, "suffix" : "" }, { "dropping-particle" : "", "family" : "Capet", "given" : "X.", "non-dropping-particle" : "", "parse-names" : false, "suffix" : "" }, { "dropping-particle" : "", "family" : "Carton", "given" : "X.", "non-dropping-particle" : "", "parse-names" : false, "suffix" : "" }, { "dropping-particle" : "", "family" : "Molemaker", "given" : "M. J.", "non-dropping-particle" : "", "parse-names" : false, "suffix" : "" }, { "dropping-particle" : "", "family" : "Gula", "given" : "J.", "non-dropping-particle" : "", "parse-names" : false, "suffix" : "" } ], "container-title" : "Journal of Geophysical Research: Oceans", "id" : "ITEM-2", "issue" : "10", "issued" : { "date-parts" : [ [ "2015" ] ] }, "page" : "6700-6717", "title" : "Eddy-topography interactions and the fate of the Persian Gulf Outflow", "type" : "article-journal", "volume" : "120" }, "uris" : [ "http://www.mendeley.com/documents/?uuid=89bf7a7a-d620-45f6-b4ae-126ecfccd4c8" ] } ], "mendeley" : { "formattedCitation" : "(Vic et al., 2014, 2015)", "plainTextFormattedCitation" : "(Vic et al., 2014, 2015)", "previouslyFormattedCitation" : "(Vic et al., 2014, 2015)" }, "properties" : {  }, "schema" : "https://github.com/citation-style-language/schema/raw/master/csl-citation.json" }</w:instrText>
      </w:r>
      <w:r w:rsidR="004B7622" w:rsidRPr="0007648C">
        <w:fldChar w:fldCharType="separate"/>
      </w:r>
      <w:r w:rsidR="00062895" w:rsidRPr="00062895">
        <w:rPr>
          <w:noProof/>
        </w:rPr>
        <w:t>(Vic et al., 2014, 2015)</w:t>
      </w:r>
      <w:r w:rsidR="004B7622" w:rsidRPr="0007648C">
        <w:fldChar w:fldCharType="end"/>
      </w:r>
      <w:r w:rsidRPr="0007648C">
        <w:t xml:space="preserve">. The model is spun up for 2 years and is forced by monthly climatological atmospheric fields at the surface and by the parent solution at lateral boundaries, except at the Strait of Hormuz where synthetic fields (temperature, salinity and horizontal velocity) are generated based on </w:t>
      </w:r>
      <w:r w:rsidRPr="0007648C">
        <w:rPr>
          <w:i/>
        </w:rPr>
        <w:t>in situ</w:t>
      </w:r>
      <w:r w:rsidRPr="0007648C">
        <w:t xml:space="preserve"> measurements </w:t>
      </w:r>
      <w:r w:rsidR="004B7622" w:rsidRPr="0007648C">
        <w:fldChar w:fldCharType="begin" w:fldLock="1"/>
      </w:r>
      <w:r w:rsidR="000C078D">
        <w:instrText>ADDIN CSL_CITATION { "citationItems" : [ { "id" : "ITEM-1", "itemData" : { "DOI" : "10.1029/2003JC001881", "ISBN" : "2156-2202", "ISSN" : "01480227", "abstract" : "The exchange between the Persian (Arabian) Gulf and the Indian Ocean is investigated using hydrographic and moored acoustic Doppler current profiler data from the Straits of Hormuz during the period December 1996 to March 1998. The moored time series records show a relatively steady deep outflow through the strait from 40 m to the bottom with a mean speed of approximately 20 cm/s. A variable flow is found in the upper layer with frequent reversals on timescales of several days to weeks. The annual mean flow in the near-surface layer is found to be northeastward (out of the Persian Gulf) in the southern part of the strait, suggesting a mean horizontal exchange with the Indian Ocean that is superimposed on the vertical overturning exchange driven by evaporation over the gulf. The salinity of the deep outflow varies from 39.3 to 40.8 psu with highest outflow salinities occurring in the winter months (December-March). The annual mean deep outflow through the strait is estimated to be 0.15 \u00b1 0.03 Sv. Calculation of the associated heat and freshwater fluxes through the strait yields estimates for the annual heat loss over the surface of the gulf of -7 \u00b1 4 W/m2 and an annual water loss (E-P-R) of 1.68 \u00b1 0.39 m/yr. These values are shown to be in relatively good agreement with climatological surface fluxes derived from the Southampton Oceanography Centre global flux climatology after known regional biases in the radiative budget are taken into account. Copyright 2003 by the American Geophysical Union.", "author" : [ { "dropping-particle" : "", "family" : "Johns", "given" : "W. E.", "non-dropping-particle" : "", "parse-names" : false, "suffix" : "" }, { "dropping-particle" : "", "family" : "Yao", "given" : "F.", "non-dropping-particle" : "", "parse-names" : false, "suffix" : "" }, { "dropping-particle" : "", "family" : "Olson", "given" : "D. B.", "non-dropping-particle" : "", "parse-names" : false, "suffix" : "" }, { "dropping-particle" : "", "family" : "Josey", "given" : "S. A.", "non-dropping-particle" : "", "parse-names" : false, "suffix" : "" }, { "dropping-particle" : "", "family" : "Grist", "given" : "J. P.", "non-dropping-particle" : "", "parse-names" : false, "suffix" : "" }, { "dropping-particle" : "", "family" : "Smeed", "given" : "D. A.", "non-dropping-particle" : "", "parse-names" : false, "suffix" : "" } ], "container-title" : "Journal of Geophysical Research C: Oceans", "id" : "ITEM-1", "issue" : "12", "issued" : { "date-parts" : [ [ "2003" ] ] }, "page" : "21-1", "title" : "Observations of seasonal exchange through the Straits of Hormuz and the inferred heat and freshwater budgets of the Persian Gulf", "type" : "article-journal", "volume" : "108" }, "uris" : [ "http://www.mendeley.com/documents/?uuid=e8b82b9f-1691-41a4-9a4d-2d86d10d9579" ] } ], "mendeley" : { "formattedCitation" : "(Johns et al., 2003)", "plainTextFormattedCitation" : "(Johns et al., 2003)", "previouslyFormattedCitation" : "(Johns et al., 2003)" }, "properties" : {  }, "schema" : "https://github.com/citation-style-language/schema/raw/master/csl-citation.json" }</w:instrText>
      </w:r>
      <w:r w:rsidR="004B7622" w:rsidRPr="0007648C">
        <w:fldChar w:fldCharType="separate"/>
      </w:r>
      <w:r w:rsidR="00062895" w:rsidRPr="00062895">
        <w:rPr>
          <w:noProof/>
        </w:rPr>
        <w:t>(Johns et al., 2003)</w:t>
      </w:r>
      <w:r w:rsidR="004B7622" w:rsidRPr="0007648C">
        <w:fldChar w:fldCharType="end"/>
      </w:r>
      <w:r w:rsidRPr="0007648C">
        <w:t xml:space="preserve"> to accurately represent the two-layer (inflow/outflow) exchange system and water mass properties. Wind stress is from </w:t>
      </w:r>
      <w:proofErr w:type="spellStart"/>
      <w:r w:rsidRPr="0007648C">
        <w:t>QuikSCOW</w:t>
      </w:r>
      <w:proofErr w:type="spellEnd"/>
      <w:r w:rsidRPr="0007648C">
        <w:t xml:space="preserve"> </w:t>
      </w:r>
      <w:r w:rsidR="004B7622" w:rsidRPr="0007648C">
        <w:fldChar w:fldCharType="begin" w:fldLock="1"/>
      </w:r>
      <w:r w:rsidR="000C078D">
        <w:instrText>ADDIN CSL_CITATION { "citationItems" : [ { "id" : "ITEM-1", "itemData" : { "DOI" : "10.1175/2008JPO3881.1", "ISBN" : "0022-3670", "ISSN" : "0022-3670", "abstract" : "Global seasonal cycles of the wind and wind stress fields estimated from the 8-yr record (September 1999\u2013August 2007) of wind measurements by the NASA Quick Scatterometer (QuikSCAT) are presented. While this atlas, referred to here as the Scatterometer Climatology of Ocean Winds (SCOW), consists of 12 variables, the focus here is on the wind stress and wind stress derivative (curl and divergence) fields. SCOW seasonal cycles are compared with seasonal cycles estimated from NCEP\u2013NCAR reanalysis wind fields. These comparisons show that the SCOW atlas is able to capture small-scale features that are dynamically important to both the ocean and the atmosphere but are not resolved in other observationally based wind atlases or in NCEP\u2013NCAR reanalysis fields. This is particularly true of the wind stress derivative fields in which topographic, SST gradient, and ocean current influences on surface winds are plainly visible. Discussions of five example regions are presented to highlight these seasonally recurring small-scale features. It is expected that the SCOW atlas will prove valuable to researchers conducting hydrographic and modeling studies.", "author" : [ { "dropping-particle" : "", "family" : "Risien", "given" : "Craig M.", "non-dropping-particle" : "", "parse-names" : false, "suffix" : "" }, { "dropping-particle" : "", "family" : "Chelton", "given" : "Dudley B.", "non-dropping-particle" : "", "parse-names" : false, "suffix" : "" } ], "container-title" : "Journal of Physical Oceanography", "id" : "ITEM-1", "issue" : "11", "issued" : { "date-parts" : [ [ "2008", "11", "1" ] ] }, "page" : "2379-2413", "title" : "A Global Climatology of Surface Wind and Wind Stress Fields from Eight Years of QuikSCAT Scatterometer Data", "type" : "article-journal", "volume" : "38" }, "uris" : [ "http://www.mendeley.com/documents/?uuid=1ca0ac5e-c8f7-3561-906d-18e366c2239c" ] } ], "mendeley" : { "formattedCitation" : "(Risien &amp; Chelton, 2008)", "plainTextFormattedCitation" : "(Risien &amp; Chelton, 2008)", "previouslyFormattedCitation" : "(Risien &amp; Chelton, 2008)" }, "properties" : {  }, "schema" : "https://github.com/citation-style-language/schema/raw/master/csl-citation.json" }</w:instrText>
      </w:r>
      <w:r w:rsidR="004B7622" w:rsidRPr="0007648C">
        <w:fldChar w:fldCharType="separate"/>
      </w:r>
      <w:r w:rsidR="00062895" w:rsidRPr="00062895">
        <w:rPr>
          <w:noProof/>
        </w:rPr>
        <w:t>(Risien &amp; Chelton, 2008)</w:t>
      </w:r>
      <w:r w:rsidR="004B7622" w:rsidRPr="0007648C">
        <w:fldChar w:fldCharType="end"/>
      </w:r>
      <w:r w:rsidRPr="0007648C">
        <w:t xml:space="preserve">, a ¼° resolution monthly climatology derived from </w:t>
      </w:r>
      <w:proofErr w:type="spellStart"/>
      <w:r w:rsidRPr="0007648C">
        <w:t>QuikSCAT</w:t>
      </w:r>
      <w:proofErr w:type="spellEnd"/>
      <w:r w:rsidRPr="0007648C">
        <w:t xml:space="preserve"> </w:t>
      </w:r>
      <w:proofErr w:type="spellStart"/>
      <w:r w:rsidRPr="0007648C">
        <w:t>scatterometer</w:t>
      </w:r>
      <w:proofErr w:type="spellEnd"/>
      <w:r w:rsidRPr="0007648C">
        <w:t xml:space="preserve"> winds that resolves small-scale features such as corner acceleration and island sheltering. Air-sea fluxes are from the International Comprehensive Ocean Atmosphere Dataset </w:t>
      </w:r>
      <w:r w:rsidR="004B7622" w:rsidRPr="0007648C">
        <w:fldChar w:fldCharType="begin" w:fldLock="1"/>
      </w:r>
      <w:r w:rsidR="000C078D">
        <w:instrText>ADDIN CSL_CITATION { "citationItems" : [ { "id" : "ITEM-1", "itemData" : { "DOI" : "10.1002/joc.1166", "ISBN" : "0899-8418\\r1097-0088", "ISSN" : "08998418", "PMID" : "27496865", "abstract" : "The International Comprehensive Ocean\u2013Atmosphere Data Set (ICOADS), release 2.1 (1784\u20132002), is the largest available set of in situ marine observations. Observations from ships include instrument measurements and visual estimates, and data from moored and drifting buoys are exclusively instrumental. The ICOADS collection is constructed from many diverse data sources, and made inhomogeneous by the changes in observing systems and recording practices used throughout the period of record, which is over two centuries. Nevertheless, it is a key reference data set that documents the long-term environmental state, provides input to a variety of critical climate and other research applications, and serves as a basis for many associated products and analyses. The observational database is augmented with higher level ICOADS data products. The observed data are synthesized to products by computing statistical summaries, on a monthly basis, for samples within 2\u00b0 latitude \u00d7 2\u00b0 longitude and 1\u00b0 \u00d7 1\u00b0 boxes beginning in 1800 and 1960 respectively. For each resolution the summaries are computed using two different data mixtures and quality control criteria. This partially controls and contrasts the effects of changing observing systems and accounts for periods with greater climate variability. The ICOADS observations and products are freely distributed worldwide. The standard ICOADS release is supplemented in several ways; additional summaries are produced using experimental quality control, additional observations are made available in advance of their formal blending into a release, and metadata that define recent ships' physical characteristics and instruments are available.", "author" : [ { "dropping-particle" : "", "family" : "Worley", "given" : "Steven J.", "non-dropping-particle" : "", "parse-names" : false, "suffix" : "" }, { "dropping-particle" : "", "family" : "Woodruff", "given" : "Scott D.", "non-dropping-particle" : "", "parse-names" : false, "suffix" : "" }, { "dropping-particle" : "", "family" : "Reynolds", "given" : "Richard W.", "non-dropping-particle" : "", "parse-names" : false, "suffix" : "" }, { "dropping-particle" : "", "family" : "Lubker", "given" : "Sandra J.", "non-dropping-particle" : "", "parse-names" : false, "suffix" : "" }, { "dropping-particle" : "", "family" : "Lott", "given" : "Neal", "non-dropping-particle" : "", "parse-names" : false, "suffix" : "" } ], "container-title" : "International Journal of Climatology", "id" : "ITEM-1", "issue" : "7", "issued" : { "date-parts" : [ [ "2005", "6", "15" ] ] }, "page" : "823-842", "publisher" : "John Wiley &amp; Sons, Ltd.", "title" : "ICOADS release 2.1 data and products", "type" : "article-journal", "volume" : "25" }, "uris" : [ "http://www.mendeley.com/documents/?uuid=a9b1fe07-bb3c-382a-9a3e-18b847de1c14" ] } ], "mendeley" : { "formattedCitation" : "(Worley et al., 2005)", "plainTextFormattedCitation" : "(Worley et al., 2005)", "previouslyFormattedCitation" : "(Worley et al., 2005)" }, "properties" : {  }, "schema" : "https://github.com/citation-style-language/schema/raw/master/csl-citation.json" }</w:instrText>
      </w:r>
      <w:r w:rsidR="004B7622" w:rsidRPr="0007648C">
        <w:fldChar w:fldCharType="separate"/>
      </w:r>
      <w:r w:rsidR="00062895" w:rsidRPr="00062895">
        <w:rPr>
          <w:noProof/>
        </w:rPr>
        <w:t>(Worley et al., 2005)</w:t>
      </w:r>
      <w:r w:rsidR="004B7622" w:rsidRPr="0007648C">
        <w:fldChar w:fldCharType="end"/>
      </w:r>
      <w:r w:rsidRPr="0007648C">
        <w:t xml:space="preserve">, a monthly climatology at ½° resolution based on </w:t>
      </w:r>
      <w:r w:rsidRPr="0007648C">
        <w:rPr>
          <w:i/>
        </w:rPr>
        <w:t>in situ</w:t>
      </w:r>
      <w:r w:rsidRPr="0007648C">
        <w:t xml:space="preserve"> measurements including a daily cycle. Boundary conditions are provided by the mesoscale-resolving parent model with a period of 10 days. The model is physics-only and does not incorporate oxygen or represent ecosystem processes. Further details on the model configuration and validation are given by </w:t>
      </w:r>
      <w:r w:rsidRPr="0007648C">
        <w:rPr>
          <w:i/>
        </w:rPr>
        <w:t>Vic et al.</w:t>
      </w:r>
      <w:r w:rsidRPr="0007648C">
        <w:t xml:space="preserve"> </w:t>
      </w:r>
      <w:r w:rsidR="004B7622" w:rsidRPr="0007648C">
        <w:fldChar w:fldCharType="begin" w:fldLock="1"/>
      </w:r>
      <w:r w:rsidR="000C078D">
        <w:instrText>ADDIN CSL_CITATION { "citationItems" : [ { "id" : "ITEM-1", "itemData" : { "DOI" : "10.1002/2015JC011033", "ISSN" : "21699291", "author" : [ { "dropping-particle" : "", "family" : "Vic", "given" : "C.", "non-dropping-particle" : "", "parse-names" : false, "suffix" : "" }, { "dropping-particle" : "", "family" : "Roullet", "given" : "G.", "non-dropping-particle" : "", "parse-names" : false, "suffix" : "" }, { "dropping-particle" : "", "family" : "Capet", "given" : "X.", "non-dropping-particle" : "", "parse-names" : false, "suffix" : "" }, { "dropping-particle" : "", "family" : "Carton", "given" : "X.", "non-dropping-particle" : "", "parse-names" : false, "suffix" : "" }, { "dropping-particle" : "", "family" : "Molemaker", "given" : "M. J.", "non-dropping-particle" : "", "parse-names" : false, "suffix" : "" }, { "dropping-particle" : "", "family" : "Gula", "given" : "J.", "non-dropping-particle" : "", "parse-names" : false, "suffix" : "" } ], "container-title" : "Journal of Geophysical Research: Oceans", "id" : "ITEM-1", "issue" : "10", "issued" : { "date-parts" : [ [ "2015" ] ] }, "page" : "6700-6717", "title" : "Eddy-topography interactions and the fate of the Persian Gulf Outflow", "type" : "article-journal", "volume" : "120" }, "suppress-author" : 1, "uris" : [ "http://www.mendeley.com/documents/?uuid=89bf7a7a-d620-45f6-b4ae-126ecfccd4c8" ] }, { "id" : "ITEM-2", "itemData" : { "DOI" : "10.1002/2014JC009857", "ISBN" : "2169-9291", "ISSN" : "21699291", "abstract" : "The Great Whirl (GW) is a persistent anticyclonic mesoscale eddy that is observed seasonally in the Arabian Sea during a period embedding the 3 months of the southwest monsoon (June\u2013July\u2013August) at a quasi-steady location. Its dynamics remain unclear despite it being one of the largest coherent vortices in the world ocean. Realistic regional numerical experiments using ROMS are performed to investigate the life cycle of the GW, which is not well resolved by sparse available in situ measurements in the region. Using a set of sensitivity experiments and an accurate temporal characterization of the eddy properties (including position, radius, depth, and vorticity) we (i) confirm the role of basin-scale downwelling Rossby waves in the GW generation, (ii) clarify the role of the monsoonal strong anticyclonic wind in its maintenance and barotropization, and (iii) suggest a connection between basin-scale Rossby wave dynamics and GW collapse.", "author" : [ { "dropping-particle" : "", "family" : "Vic", "given" : "C.", "non-dropping-particle" : "", "parse-names" : false, "suffix" : "" }, { "dropping-particle" : "", "family" : "Roullet", "given" : "G.", "non-dropping-particle" : "", "parse-names" : false, "suffix" : "" }, { "dropping-particle" : "", "family" : "Carton", "given" : "X.", "non-dropping-particle" : "", "parse-names" : false, "suffix" : "" }, { "dropping-particle" : "", "family" : "Capet", "given" : "X.", "non-dropping-particle" : "", "parse-names" : false, "suffix" : "" } ], "container-title" : "Journal of Geophysical Research C: Oceans", "id" : "ITEM-2", "issue" : "9", "issued" : { "date-parts" : [ [ "2014", "9" ] ] }, "page" : "6422-6443", "title" : "Mesoscale dynamics in the Arabian Sea and a focus on the Great Whirl life cycle: A numerical investigation using ROMS", "type" : "article-journal", "volume" : "119" }, "suppress-author" : 1, "uris" : [ "http://www.mendeley.com/documents/?uuid=62763148-5739-4f05-acdf-89b99ca88722" ] } ], "mendeley" : { "formattedCitation" : "(2014, 2015)", "plainTextFormattedCitation" : "(2014, 2015)", "previouslyFormattedCitation" : "(2014, 2015)" }, "properties" : {  }, "schema" : "https://github.com/citation-style-language/schema/raw/master/csl-citation.json" }</w:instrText>
      </w:r>
      <w:r w:rsidR="004B7622" w:rsidRPr="0007648C">
        <w:fldChar w:fldCharType="separate"/>
      </w:r>
      <w:r w:rsidR="00062895" w:rsidRPr="00062895">
        <w:rPr>
          <w:noProof/>
        </w:rPr>
        <w:t>(2014, 2015)</w:t>
      </w:r>
      <w:r w:rsidR="004B7622" w:rsidRPr="0007648C">
        <w:fldChar w:fldCharType="end"/>
      </w:r>
      <w:r w:rsidRPr="0007648C">
        <w:t>.</w:t>
      </w:r>
      <w:r w:rsidR="003230D5" w:rsidRPr="003230D5">
        <w:t xml:space="preserve"> </w:t>
      </w:r>
      <w:r w:rsidR="003230D5" w:rsidRPr="0007648C">
        <w:t xml:space="preserve">The hydrostatic model does not resolve the range of mixing processes occurring at the Strait of Hormuz </w:t>
      </w:r>
      <w:r w:rsidR="003230D5" w:rsidRPr="0007648C">
        <w:fldChar w:fldCharType="begin" w:fldLock="1"/>
      </w:r>
      <w:r w:rsidR="000C078D">
        <w:instrText>ADDIN CSL_CITATION { "citationItems" : [ { "id" : "ITEM-1", "itemData" : { "DOI" : "10.1175/2008JPO3941.1", "ISSN" : "0022-3670", "abstract" : "Abstract Observations in the Strait of Hormuz (26.26\u00b0N, 56.08\u00b0E) during 1997\u201398 showed substantial velocity fluctuations, accompanied by episodic changes in the salinity outflow events with amplitude varying between 1 and 2 psu on time scales of several days to a few weeks. These events are characterized by a rapid increase in salinity followed by an abrupt decline. The mechanisms behind these strong pulses of salinity events are investigated with a high-resolution (\u223c1 km) Hybrid Coordinate Ocean Model (HYCOM) with particular reference to the year 2005. In accordance with the observations, the simulated salinity events are characterized by strong coherence between the enhanced flows in zonal and meridional directions. It is inferred that most of the simulated and observed outflow variability is associated with the continuous formation of strong mesoscale cyclonic eddies, whose origin can be traced upstream to around 26\u00b0N, 55.5\u00b0E. These cyclonic eddies have a diameter of about 63 km and have a remnant of P...", "author" : [ { "dropping-particle" : "", "family" : "Thoppil", "given" : "Prasad G.", "non-dropping-particle" : "", "parse-names" : false, "suffix" : "" }, { "dropping-particle" : "", "family" : "Hogan", "given" : "Patrick J.", "non-dropping-particle" : "", "parse-names" : false, "suffix" : "" }, { "dropping-particle" : "", "family" : "Thoppil", "given" : "Prasad G.", "non-dropping-particle" : "", "parse-names" : false, "suffix" : "" }, { "dropping-particle" : "", "family" : "Hogan", "given" : "Patrick J.", "non-dropping-particle" : "", "parse-names" : false, "suffix" : "" } ], "container-title" : "Journal of Physical Oceanography", "id" : "ITEM-1", "issue" : "6", "issued" : { "date-parts" : [ [ "2009", "6" ] ] }, "page" : "1340-1360", "title" : "On the Mechanisms of Episodic Salinity Outflow Events in the Strait of Hormuz", "type" : "article-journal", "volume" : "39" }, "uris" : [ "http://www.mendeley.com/documents/?uuid=a11e7c0f-f07b-3c00-9096-fdcb4dc6f415" ] }, { "id" : "ITEM-2", "itemData" : { "DOI" : "10.1002/2015JC011033", "ISSN" : "21699291", "author" : [ { "dropping-particle" : "", "family" : "Vic", "given" : "C.", "non-dropping-particle" : "", "parse-names" : false, "suffix" : "" }, { "dropping-particle" : "", "family" : "Roullet", "given" : "G.", "non-dropping-particle" : "", "parse-names" : false, "suffix" : "" }, { "dropping-particle" : "", "family" : "Capet", "given" : "X.", "non-dropping-particle" : "", "parse-names" : false, "suffix" : "" }, { "dropping-particle" : "", "family" : "Carton", "given" : "X.", "non-dropping-particle" : "", "parse-names" : false, "suffix" : "" }, { "dropping-particle" : "", "family" : "Molemaker", "given" : "M. J.", "non-dropping-particle" : "", "parse-names" : false, "suffix" : "" }, { "dropping-particle" : "", "family" : "Gula", "given" : "J.", "non-dropping-particle" : "", "parse-names" : false, "suffix" : "" } ], "container-title" : "Journal of Geophysical Research: Oceans", "id" : "ITEM-2", "issue" : "10", "issued" : { "date-parts" : [ [ "2015" ] ] }, "page" : "6700-6717", "title" : "Eddy-topography interactions and the fate of the Persian Gulf Outflow", "type" : "article-journal", "volume" : "120" }, "uris" : [ "http://www.mendeley.com/documents/?uuid=89bf7a7a-d620-45f6-b4ae-126ecfccd4c8" ] } ], "mendeley" : { "formattedCitation" : "(Thoppil et al., 2009; Vic et al., 2015)", "plainTextFormattedCitation" : "(Thoppil et al., 2009; Vic et al., 2015)", "previouslyFormattedCitation" : "[&lt;i&gt;Thoppil et al.&lt;/i&gt;, 2009; &lt;i&gt;C. Vic et al.&lt;/i&gt;, 2015]" }, "properties" : {  }, "schema" : "https://github.com/citation-style-language/schema/raw/master/csl-citation.json" }</w:instrText>
      </w:r>
      <w:r w:rsidR="003230D5" w:rsidRPr="0007648C">
        <w:fldChar w:fldCharType="separate"/>
      </w:r>
      <w:r w:rsidR="000C078D" w:rsidRPr="000C078D">
        <w:rPr>
          <w:noProof/>
        </w:rPr>
        <w:t>(Thoppil et al., 2009; Vic et al., 2015)</w:t>
      </w:r>
      <w:r w:rsidR="003230D5" w:rsidRPr="0007648C">
        <w:fldChar w:fldCharType="end"/>
      </w:r>
      <w:r w:rsidR="003230D5" w:rsidRPr="0007648C">
        <w:t xml:space="preserve"> and the resulting PGW is slightly shallower (core at 200 m) and lighter (26 </w:t>
      </w:r>
      <w:proofErr w:type="spellStart"/>
      <w:r w:rsidR="003230D5" w:rsidRPr="0007648C">
        <w:rPr>
          <w:rFonts w:cstheme="minorHAnsi"/>
        </w:rPr>
        <w:t>σ</w:t>
      </w:r>
      <w:r w:rsidR="003230D5" w:rsidRPr="0007648C">
        <w:rPr>
          <w:rFonts w:cstheme="minorHAnsi"/>
          <w:vertAlign w:val="subscript"/>
        </w:rPr>
        <w:t>θ</w:t>
      </w:r>
      <w:proofErr w:type="spellEnd"/>
      <w:r w:rsidR="003230D5" w:rsidRPr="0007648C">
        <w:t xml:space="preserve">) than in the observations (250 m and 26.2 </w:t>
      </w:r>
      <w:proofErr w:type="spellStart"/>
      <w:r w:rsidR="003230D5" w:rsidRPr="0007648C">
        <w:rPr>
          <w:rFonts w:cstheme="minorHAnsi"/>
        </w:rPr>
        <w:t>σ</w:t>
      </w:r>
      <w:r w:rsidR="003230D5" w:rsidRPr="0007648C">
        <w:rPr>
          <w:rFonts w:cstheme="minorHAnsi"/>
          <w:vertAlign w:val="subscript"/>
        </w:rPr>
        <w:t>θ</w:t>
      </w:r>
      <w:proofErr w:type="spellEnd"/>
      <w:r w:rsidR="003230D5" w:rsidRPr="0007648C">
        <w:rPr>
          <w:rFonts w:cstheme="minorHAnsi"/>
        </w:rPr>
        <w:t>;</w:t>
      </w:r>
      <w:r w:rsidR="003230D5" w:rsidRPr="0007648C">
        <w:rPr>
          <w:rFonts w:cstheme="minorHAnsi"/>
          <w:vertAlign w:val="subscript"/>
        </w:rPr>
        <w:t xml:space="preserve"> </w:t>
      </w:r>
      <w:r w:rsidR="003230D5">
        <w:fldChar w:fldCharType="begin"/>
      </w:r>
      <w:r w:rsidR="003230D5">
        <w:rPr>
          <w:rFonts w:cstheme="minorHAnsi"/>
          <w:vertAlign w:val="subscript"/>
        </w:rPr>
        <w:instrText xml:space="preserve"> REF _Ref465589308 \h </w:instrText>
      </w:r>
      <w:r w:rsidR="003230D5">
        <w:fldChar w:fldCharType="separate"/>
      </w:r>
      <w:r w:rsidR="000C078D" w:rsidRPr="0007648C">
        <w:t xml:space="preserve">Figure </w:t>
      </w:r>
      <w:r w:rsidR="000C078D">
        <w:rPr>
          <w:noProof/>
        </w:rPr>
        <w:t>1</w:t>
      </w:r>
      <w:r w:rsidR="003230D5">
        <w:fldChar w:fldCharType="end"/>
      </w:r>
      <w:r w:rsidR="003230D5" w:rsidRPr="0007648C">
        <w:t xml:space="preserve">). To best represent the PGW core, the analysis of the model output is performed on the 26 </w:t>
      </w:r>
      <w:proofErr w:type="spellStart"/>
      <w:r w:rsidR="003230D5" w:rsidRPr="0007648C">
        <w:rPr>
          <w:rFonts w:cstheme="minorHAnsi"/>
        </w:rPr>
        <w:t>σ</w:t>
      </w:r>
      <w:r w:rsidR="003230D5" w:rsidRPr="0007648C">
        <w:rPr>
          <w:rFonts w:cstheme="minorHAnsi"/>
          <w:vertAlign w:val="subscript"/>
        </w:rPr>
        <w:t>θ</w:t>
      </w:r>
      <w:proofErr w:type="spellEnd"/>
      <w:r w:rsidR="003230D5" w:rsidRPr="0007648C">
        <w:t xml:space="preserve"> isopycnal.</w:t>
      </w:r>
    </w:p>
    <w:p w:rsidR="00BD393D" w:rsidRDefault="00BD393D" w:rsidP="00E4738B"/>
    <w:p w:rsidR="00D377C9" w:rsidRPr="0007648C" w:rsidRDefault="00D377C9" w:rsidP="00D377C9">
      <w:r w:rsidRPr="0007648C">
        <w:rPr>
          <w:noProof/>
        </w:rPr>
        <w:drawing>
          <wp:inline distT="0" distB="0" distL="0" distR="0">
            <wp:extent cx="5846108" cy="1694440"/>
            <wp:effectExtent l="19050" t="0" r="2242"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stretch>
                      <a:fillRect/>
                    </a:stretch>
                  </pic:blipFill>
                  <pic:spPr>
                    <a:xfrm>
                      <a:off x="0" y="0"/>
                      <a:ext cx="5846108" cy="1694440"/>
                    </a:xfrm>
                    <a:prstGeom prst="rect">
                      <a:avLst/>
                    </a:prstGeom>
                  </pic:spPr>
                </pic:pic>
              </a:graphicData>
            </a:graphic>
          </wp:inline>
        </w:drawing>
      </w:r>
    </w:p>
    <w:p w:rsidR="00D377C9" w:rsidRPr="0007648C" w:rsidRDefault="00D377C9" w:rsidP="00D377C9">
      <w:pPr>
        <w:pStyle w:val="Caption"/>
        <w:rPr>
          <w:lang w:val="en-US"/>
        </w:rPr>
      </w:pPr>
      <w:bookmarkStart w:id="4" w:name="_Ref465589308"/>
      <w:r w:rsidRPr="0007648C">
        <w:rPr>
          <w:lang w:val="en-US"/>
        </w:rPr>
        <w:lastRenderedPageBreak/>
        <w:t xml:space="preserve">Figure </w:t>
      </w:r>
      <w:r w:rsidRPr="0007648C">
        <w:rPr>
          <w:lang w:val="en-US"/>
        </w:rPr>
        <w:fldChar w:fldCharType="begin"/>
      </w:r>
      <w:r w:rsidRPr="0007648C">
        <w:rPr>
          <w:lang w:val="en-US"/>
        </w:rPr>
        <w:instrText>SEQ Figure \* ARABIC</w:instrText>
      </w:r>
      <w:r w:rsidRPr="0007648C">
        <w:rPr>
          <w:lang w:val="en-US"/>
        </w:rPr>
        <w:fldChar w:fldCharType="separate"/>
      </w:r>
      <w:r w:rsidR="000C078D">
        <w:rPr>
          <w:noProof/>
          <w:lang w:val="en-US"/>
        </w:rPr>
        <w:t>1</w:t>
      </w:r>
      <w:r w:rsidRPr="0007648C">
        <w:rPr>
          <w:noProof/>
          <w:lang w:val="en-US"/>
        </w:rPr>
        <w:fldChar w:fldCharType="end"/>
      </w:r>
      <w:bookmarkEnd w:id="4"/>
      <w:r w:rsidRPr="0007648C">
        <w:rPr>
          <w:lang w:val="en-US"/>
        </w:rPr>
        <w:t>: Example mean spice (kg m</w:t>
      </w:r>
      <w:r w:rsidRPr="0007648C">
        <w:rPr>
          <w:vertAlign w:val="superscript"/>
          <w:lang w:val="en-US"/>
        </w:rPr>
        <w:t>-3</w:t>
      </w:r>
      <w:r w:rsidRPr="0007648C">
        <w:rPr>
          <w:lang w:val="en-US"/>
        </w:rPr>
        <w:t>) sections from the month of March from (a) gliders and (b) model. Density contours at 0.5 kg m</w:t>
      </w:r>
      <w:r w:rsidRPr="0007648C">
        <w:rPr>
          <w:vertAlign w:val="superscript"/>
          <w:lang w:val="en-US"/>
        </w:rPr>
        <w:t>-3</w:t>
      </w:r>
      <w:r w:rsidRPr="0007648C">
        <w:rPr>
          <w:lang w:val="en-US"/>
        </w:rPr>
        <w:t xml:space="preserve"> intervals with the 26 </w:t>
      </w:r>
      <w:proofErr w:type="spellStart"/>
      <w:r w:rsidRPr="0007648C">
        <w:rPr>
          <w:rFonts w:cstheme="minorHAnsi"/>
          <w:lang w:val="en-US"/>
        </w:rPr>
        <w:t>σ</w:t>
      </w:r>
      <w:r w:rsidRPr="0007648C">
        <w:rPr>
          <w:rFonts w:cstheme="minorHAnsi"/>
          <w:vertAlign w:val="subscript"/>
          <w:lang w:val="en-US"/>
        </w:rPr>
        <w:t>θ</w:t>
      </w:r>
      <w:proofErr w:type="spellEnd"/>
      <w:r w:rsidRPr="0007648C">
        <w:rPr>
          <w:lang w:val="en-US"/>
        </w:rPr>
        <w:t xml:space="preserve"> isopycnal as the solid line</w:t>
      </w:r>
      <w:r>
        <w:rPr>
          <w:lang w:val="en-US"/>
        </w:rPr>
        <w:t>.</w:t>
      </w:r>
    </w:p>
    <w:p w:rsidR="00D377C9" w:rsidRDefault="00D377C9" w:rsidP="00E4738B"/>
    <w:p w:rsidR="00BD393D" w:rsidRDefault="00BD393D" w:rsidP="008154E4">
      <w:pPr>
        <w:pStyle w:val="Heading-Secondary"/>
      </w:pPr>
      <w:r>
        <w:t>SM.3 Video animation of two years of model data</w:t>
      </w:r>
    </w:p>
    <w:p w:rsidR="002E783F" w:rsidRDefault="00204D5F" w:rsidP="00A01C70">
      <w:r>
        <w:t>The animation provided as supplementary materials</w:t>
      </w:r>
      <w:r w:rsidR="00A01C70">
        <w:t xml:space="preserve"> illustrates </w:t>
      </w:r>
      <w:r w:rsidR="00964DFE">
        <w:t>sea surface height (cm), relative vorticity (non-</w:t>
      </w:r>
      <w:proofErr w:type="spellStart"/>
      <w:r w:rsidR="00964DFE">
        <w:t>dimensionalized</w:t>
      </w:r>
      <w:proofErr w:type="spellEnd"/>
      <w:r w:rsidR="00964DFE">
        <w:t xml:space="preserve"> by </w:t>
      </w:r>
      <w:r w:rsidR="00964DFE" w:rsidRPr="00964DFE">
        <w:rPr>
          <w:i/>
        </w:rPr>
        <w:t>f</w:t>
      </w:r>
      <w:r w:rsidR="00964DFE">
        <w:t>)</w:t>
      </w:r>
      <w:r w:rsidR="00442920">
        <w:t xml:space="preserve"> at 200 m, and practical salini</w:t>
      </w:r>
      <w:r w:rsidR="005C3F61">
        <w:t>ty</w:t>
      </w:r>
      <w:r w:rsidR="009F4AE1">
        <w:t xml:space="preserve"> at 200 m over two years of model data</w:t>
      </w:r>
      <w:r w:rsidR="00D11613">
        <w:t>.</w:t>
      </w:r>
    </w:p>
    <w:p w:rsidR="002F0FD4" w:rsidRDefault="002F0FD4" w:rsidP="00A01C70"/>
    <w:p w:rsidR="002F0FD4" w:rsidRDefault="002F0FD4" w:rsidP="00A01C70">
      <w:r>
        <w:t xml:space="preserve">See attached file: </w:t>
      </w:r>
      <w:r w:rsidR="00CB60A9" w:rsidRPr="003B2F14">
        <w:rPr>
          <w:i/>
        </w:rPr>
        <w:t>Queste_et_al_Oman_SuppMat.mp4</w:t>
      </w:r>
    </w:p>
    <w:p w:rsidR="002E783F" w:rsidRPr="0007648C" w:rsidRDefault="002E783F" w:rsidP="00A01C70"/>
    <w:p w:rsidR="008A6077" w:rsidRPr="0007648C" w:rsidRDefault="00B120F3" w:rsidP="00C81368">
      <w:pPr>
        <w:pStyle w:val="Heading-Main"/>
      </w:pPr>
      <w:r w:rsidRPr="0007648C">
        <w:t>References</w:t>
      </w:r>
    </w:p>
    <w:p w:rsidR="000C078D" w:rsidRPr="000C078D" w:rsidRDefault="004B7622" w:rsidP="000C078D">
      <w:pPr>
        <w:widowControl w:val="0"/>
        <w:autoSpaceDE w:val="0"/>
        <w:autoSpaceDN w:val="0"/>
        <w:adjustRightInd w:val="0"/>
        <w:ind w:left="480" w:hanging="480"/>
        <w:rPr>
          <w:noProof/>
          <w:sz w:val="18"/>
          <w:szCs w:val="24"/>
        </w:rPr>
      </w:pPr>
      <w:r w:rsidRPr="0007648C">
        <w:fldChar w:fldCharType="begin" w:fldLock="1"/>
      </w:r>
      <w:r w:rsidR="00C23007" w:rsidRPr="0007648C">
        <w:instrText xml:space="preserve">ADDIN Mendeley Bibliography CSL_BIBLIOGRAPHY </w:instrText>
      </w:r>
      <w:r w:rsidRPr="0007648C">
        <w:fldChar w:fldCharType="separate"/>
      </w:r>
      <w:r w:rsidR="000C078D" w:rsidRPr="000C078D">
        <w:rPr>
          <w:noProof/>
          <w:sz w:val="18"/>
          <w:szCs w:val="24"/>
        </w:rPr>
        <w:t xml:space="preserve">Benson, B. B., &amp; Krause Jr., D. (1984). The concentration and isotopic fractionation of oxygen dissolved in freshwater and seawater in equilibrium with the atmosphere. </w:t>
      </w:r>
      <w:r w:rsidR="000C078D" w:rsidRPr="000C078D">
        <w:rPr>
          <w:i/>
          <w:iCs/>
          <w:noProof/>
          <w:sz w:val="18"/>
          <w:szCs w:val="24"/>
        </w:rPr>
        <w:t>Limnology and Oceanography</w:t>
      </w:r>
      <w:r w:rsidR="000C078D" w:rsidRPr="000C078D">
        <w:rPr>
          <w:noProof/>
          <w:sz w:val="18"/>
          <w:szCs w:val="24"/>
        </w:rPr>
        <w:t xml:space="preserve">, </w:t>
      </w:r>
      <w:r w:rsidR="000C078D" w:rsidRPr="000C078D">
        <w:rPr>
          <w:i/>
          <w:iCs/>
          <w:noProof/>
          <w:sz w:val="18"/>
          <w:szCs w:val="24"/>
        </w:rPr>
        <w:t>29</w:t>
      </w:r>
      <w:r w:rsidR="000C078D" w:rsidRPr="000C078D">
        <w:rPr>
          <w:noProof/>
          <w:sz w:val="18"/>
          <w:szCs w:val="24"/>
        </w:rPr>
        <w:t>, 620–632.</w:t>
      </w:r>
    </w:p>
    <w:p w:rsidR="000C078D" w:rsidRPr="000C078D" w:rsidRDefault="000C078D" w:rsidP="000C078D">
      <w:pPr>
        <w:widowControl w:val="0"/>
        <w:autoSpaceDE w:val="0"/>
        <w:autoSpaceDN w:val="0"/>
        <w:adjustRightInd w:val="0"/>
        <w:ind w:left="480" w:hanging="480"/>
        <w:rPr>
          <w:noProof/>
          <w:sz w:val="18"/>
          <w:szCs w:val="24"/>
        </w:rPr>
      </w:pPr>
      <w:r w:rsidRPr="000C078D">
        <w:rPr>
          <w:noProof/>
          <w:sz w:val="18"/>
          <w:szCs w:val="24"/>
        </w:rPr>
        <w:t xml:space="preserve">Dee, D. P., Uppala, S. M., Simmons, A. J., Berrisford, P., Poli, P., Kobayashi, S., … Vitart, F. (2011). The ERA-Interim reanalysis: configuration and performance of the data assimilation system. </w:t>
      </w:r>
      <w:r w:rsidRPr="000C078D">
        <w:rPr>
          <w:i/>
          <w:iCs/>
          <w:noProof/>
          <w:sz w:val="18"/>
          <w:szCs w:val="24"/>
        </w:rPr>
        <w:t>Quarterly Journal of the Royal Meteorological Society</w:t>
      </w:r>
      <w:r w:rsidRPr="000C078D">
        <w:rPr>
          <w:noProof/>
          <w:sz w:val="18"/>
          <w:szCs w:val="24"/>
        </w:rPr>
        <w:t xml:space="preserve">, </w:t>
      </w:r>
      <w:r w:rsidRPr="000C078D">
        <w:rPr>
          <w:i/>
          <w:iCs/>
          <w:noProof/>
          <w:sz w:val="18"/>
          <w:szCs w:val="24"/>
        </w:rPr>
        <w:t>137</w:t>
      </w:r>
      <w:r w:rsidRPr="000C078D">
        <w:rPr>
          <w:noProof/>
          <w:sz w:val="18"/>
          <w:szCs w:val="24"/>
        </w:rPr>
        <w:t>(656), 553–597. https://doi.org/10.1002/qj.828</w:t>
      </w:r>
    </w:p>
    <w:p w:rsidR="000C078D" w:rsidRPr="000C078D" w:rsidRDefault="000C078D" w:rsidP="000C078D">
      <w:pPr>
        <w:widowControl w:val="0"/>
        <w:autoSpaceDE w:val="0"/>
        <w:autoSpaceDN w:val="0"/>
        <w:adjustRightInd w:val="0"/>
        <w:ind w:left="480" w:hanging="480"/>
        <w:rPr>
          <w:noProof/>
          <w:sz w:val="18"/>
          <w:szCs w:val="24"/>
        </w:rPr>
      </w:pPr>
      <w:r w:rsidRPr="000C078D">
        <w:rPr>
          <w:noProof/>
          <w:sz w:val="18"/>
          <w:szCs w:val="24"/>
        </w:rPr>
        <w:t xml:space="preserve">Frajka-Williams, E., Eriksen, C. C., Rhines, P. B., &amp; Harcourt, R. R. (2011). Determining Vertical Water Velocities from Seaglider. </w:t>
      </w:r>
      <w:r w:rsidRPr="000C078D">
        <w:rPr>
          <w:i/>
          <w:iCs/>
          <w:noProof/>
          <w:sz w:val="18"/>
          <w:szCs w:val="24"/>
        </w:rPr>
        <w:t>Journal of Atmospheric and Oceanic Technology</w:t>
      </w:r>
      <w:r w:rsidRPr="000C078D">
        <w:rPr>
          <w:noProof/>
          <w:sz w:val="18"/>
          <w:szCs w:val="24"/>
        </w:rPr>
        <w:t xml:space="preserve">, </w:t>
      </w:r>
      <w:r w:rsidRPr="000C078D">
        <w:rPr>
          <w:i/>
          <w:iCs/>
          <w:noProof/>
          <w:sz w:val="18"/>
          <w:szCs w:val="24"/>
        </w:rPr>
        <w:t>28</w:t>
      </w:r>
      <w:r w:rsidRPr="000C078D">
        <w:rPr>
          <w:noProof/>
          <w:sz w:val="18"/>
          <w:szCs w:val="24"/>
        </w:rPr>
        <w:t>(12), 1641–1656. https://doi.org/10.1175/2011JTECHO830.1</w:t>
      </w:r>
    </w:p>
    <w:p w:rsidR="000C078D" w:rsidRPr="000C078D" w:rsidRDefault="000C078D" w:rsidP="000C078D">
      <w:pPr>
        <w:widowControl w:val="0"/>
        <w:autoSpaceDE w:val="0"/>
        <w:autoSpaceDN w:val="0"/>
        <w:adjustRightInd w:val="0"/>
        <w:ind w:left="480" w:hanging="480"/>
        <w:rPr>
          <w:noProof/>
          <w:sz w:val="18"/>
          <w:szCs w:val="24"/>
        </w:rPr>
      </w:pPr>
      <w:r w:rsidRPr="000C078D">
        <w:rPr>
          <w:noProof/>
          <w:sz w:val="18"/>
          <w:szCs w:val="24"/>
        </w:rPr>
        <w:t xml:space="preserve">Garau, B., Ruiz, S., Zhang, W. G., Pascual, A., Heslop, E., Kerfoot, J., &amp; Tintoré, J. (2011). Thermal Lag Correction on Slocum CTD Glider Data. </w:t>
      </w:r>
      <w:r w:rsidRPr="000C078D">
        <w:rPr>
          <w:i/>
          <w:iCs/>
          <w:noProof/>
          <w:sz w:val="18"/>
          <w:szCs w:val="24"/>
        </w:rPr>
        <w:t>Journal of Atmospheric and Oceanic Technology</w:t>
      </w:r>
      <w:r w:rsidRPr="000C078D">
        <w:rPr>
          <w:noProof/>
          <w:sz w:val="18"/>
          <w:szCs w:val="24"/>
        </w:rPr>
        <w:t xml:space="preserve">, </w:t>
      </w:r>
      <w:r w:rsidRPr="000C078D">
        <w:rPr>
          <w:i/>
          <w:iCs/>
          <w:noProof/>
          <w:sz w:val="18"/>
          <w:szCs w:val="24"/>
        </w:rPr>
        <w:t>28</w:t>
      </w:r>
      <w:r w:rsidRPr="000C078D">
        <w:rPr>
          <w:noProof/>
          <w:sz w:val="18"/>
          <w:szCs w:val="24"/>
        </w:rPr>
        <w:t>(9), 1065–1071. https://doi.org/10.1175/JTECH-D-10-05030.1</w:t>
      </w:r>
    </w:p>
    <w:p w:rsidR="000C078D" w:rsidRPr="000C078D" w:rsidRDefault="000C078D" w:rsidP="000C078D">
      <w:pPr>
        <w:widowControl w:val="0"/>
        <w:autoSpaceDE w:val="0"/>
        <w:autoSpaceDN w:val="0"/>
        <w:adjustRightInd w:val="0"/>
        <w:ind w:left="480" w:hanging="480"/>
        <w:rPr>
          <w:noProof/>
          <w:sz w:val="18"/>
          <w:szCs w:val="24"/>
        </w:rPr>
      </w:pPr>
      <w:r w:rsidRPr="000C078D">
        <w:rPr>
          <w:noProof/>
          <w:sz w:val="18"/>
          <w:szCs w:val="24"/>
        </w:rPr>
        <w:t xml:space="preserve">Johns, W. E., Yao, F., Olson, D. B., Josey, S. A., Grist, J. P., &amp; Smeed, D. A. (2003). Observations of seasonal exchange through the Straits of Hormuz and the inferred heat and freshwater budgets of the Persian Gulf. </w:t>
      </w:r>
      <w:r w:rsidRPr="000C078D">
        <w:rPr>
          <w:i/>
          <w:iCs/>
          <w:noProof/>
          <w:sz w:val="18"/>
          <w:szCs w:val="24"/>
        </w:rPr>
        <w:t>Journal of Geophysical Research C: Oceans</w:t>
      </w:r>
      <w:r w:rsidRPr="000C078D">
        <w:rPr>
          <w:noProof/>
          <w:sz w:val="18"/>
          <w:szCs w:val="24"/>
        </w:rPr>
        <w:t xml:space="preserve">, </w:t>
      </w:r>
      <w:r w:rsidRPr="000C078D">
        <w:rPr>
          <w:i/>
          <w:iCs/>
          <w:noProof/>
          <w:sz w:val="18"/>
          <w:szCs w:val="24"/>
        </w:rPr>
        <w:t>108</w:t>
      </w:r>
      <w:r w:rsidRPr="000C078D">
        <w:rPr>
          <w:noProof/>
          <w:sz w:val="18"/>
          <w:szCs w:val="24"/>
        </w:rPr>
        <w:t>(12), 21–1. https://doi.org/10.1029/2003JC001881</w:t>
      </w:r>
    </w:p>
    <w:p w:rsidR="000C078D" w:rsidRPr="000C078D" w:rsidRDefault="000C078D" w:rsidP="000C078D">
      <w:pPr>
        <w:widowControl w:val="0"/>
        <w:autoSpaceDE w:val="0"/>
        <w:autoSpaceDN w:val="0"/>
        <w:adjustRightInd w:val="0"/>
        <w:ind w:left="480" w:hanging="480"/>
        <w:rPr>
          <w:noProof/>
          <w:sz w:val="18"/>
          <w:szCs w:val="24"/>
        </w:rPr>
      </w:pPr>
      <w:r w:rsidRPr="000C078D">
        <w:rPr>
          <w:noProof/>
          <w:sz w:val="18"/>
          <w:szCs w:val="24"/>
        </w:rPr>
        <w:t xml:space="preserve">Queste, B. Y. (2014). </w:t>
      </w:r>
      <w:r w:rsidRPr="000C078D">
        <w:rPr>
          <w:i/>
          <w:iCs/>
          <w:noProof/>
          <w:sz w:val="18"/>
          <w:szCs w:val="24"/>
        </w:rPr>
        <w:t>Hydrographic observations of oxygen and related physical variables in the North Sea and Western Ross Sea Polynya</w:t>
      </w:r>
      <w:r w:rsidRPr="000C078D">
        <w:rPr>
          <w:noProof/>
          <w:sz w:val="18"/>
          <w:szCs w:val="24"/>
        </w:rPr>
        <w:t>. University of East Anglia.</w:t>
      </w:r>
    </w:p>
    <w:p w:rsidR="000C078D" w:rsidRPr="000C078D" w:rsidRDefault="000C078D" w:rsidP="000C078D">
      <w:pPr>
        <w:widowControl w:val="0"/>
        <w:autoSpaceDE w:val="0"/>
        <w:autoSpaceDN w:val="0"/>
        <w:adjustRightInd w:val="0"/>
        <w:ind w:left="480" w:hanging="480"/>
        <w:rPr>
          <w:noProof/>
          <w:sz w:val="18"/>
          <w:szCs w:val="24"/>
        </w:rPr>
      </w:pPr>
      <w:r w:rsidRPr="000C078D">
        <w:rPr>
          <w:noProof/>
          <w:sz w:val="18"/>
          <w:szCs w:val="24"/>
        </w:rPr>
        <w:t xml:space="preserve">Risien, C. M., &amp; Chelton, D. B. (2008). A Global Climatology of Surface Wind and Wind Stress Fields from Eight Years of QuikSCAT Scatterometer Data. </w:t>
      </w:r>
      <w:r w:rsidRPr="000C078D">
        <w:rPr>
          <w:i/>
          <w:iCs/>
          <w:noProof/>
          <w:sz w:val="18"/>
          <w:szCs w:val="24"/>
        </w:rPr>
        <w:t>Journal of Physical Oceanography</w:t>
      </w:r>
      <w:r w:rsidRPr="000C078D">
        <w:rPr>
          <w:noProof/>
          <w:sz w:val="18"/>
          <w:szCs w:val="24"/>
        </w:rPr>
        <w:t xml:space="preserve">, </w:t>
      </w:r>
      <w:r w:rsidRPr="000C078D">
        <w:rPr>
          <w:i/>
          <w:iCs/>
          <w:noProof/>
          <w:sz w:val="18"/>
          <w:szCs w:val="24"/>
        </w:rPr>
        <w:t>38</w:t>
      </w:r>
      <w:r w:rsidRPr="000C078D">
        <w:rPr>
          <w:noProof/>
          <w:sz w:val="18"/>
          <w:szCs w:val="24"/>
        </w:rPr>
        <w:t>(11), 2379–2413. https://doi.org/10.1175/2008JPO3881.1</w:t>
      </w:r>
    </w:p>
    <w:p w:rsidR="000C078D" w:rsidRPr="000C078D" w:rsidRDefault="000C078D" w:rsidP="000C078D">
      <w:pPr>
        <w:widowControl w:val="0"/>
        <w:autoSpaceDE w:val="0"/>
        <w:autoSpaceDN w:val="0"/>
        <w:adjustRightInd w:val="0"/>
        <w:ind w:left="480" w:hanging="480"/>
        <w:rPr>
          <w:noProof/>
          <w:sz w:val="18"/>
          <w:szCs w:val="24"/>
        </w:rPr>
      </w:pPr>
      <w:r w:rsidRPr="000C078D">
        <w:rPr>
          <w:noProof/>
          <w:sz w:val="18"/>
          <w:szCs w:val="24"/>
        </w:rPr>
        <w:t xml:space="preserve">Shchepetkin, A. F., &amp; McWilliams, J. C. (2005). The regional oceanic modeling system (ROMS): a split-explicit, free-surface, topography-following-coordinate oceanic model. </w:t>
      </w:r>
      <w:r w:rsidRPr="000C078D">
        <w:rPr>
          <w:i/>
          <w:iCs/>
          <w:noProof/>
          <w:sz w:val="18"/>
          <w:szCs w:val="24"/>
        </w:rPr>
        <w:t>Ocean Modelling</w:t>
      </w:r>
      <w:r w:rsidRPr="000C078D">
        <w:rPr>
          <w:noProof/>
          <w:sz w:val="18"/>
          <w:szCs w:val="24"/>
        </w:rPr>
        <w:t xml:space="preserve">, </w:t>
      </w:r>
      <w:r w:rsidRPr="000C078D">
        <w:rPr>
          <w:i/>
          <w:iCs/>
          <w:noProof/>
          <w:sz w:val="18"/>
          <w:szCs w:val="24"/>
        </w:rPr>
        <w:t>9</w:t>
      </w:r>
      <w:r w:rsidRPr="000C078D">
        <w:rPr>
          <w:noProof/>
          <w:sz w:val="18"/>
          <w:szCs w:val="24"/>
        </w:rPr>
        <w:t>(4), 347–404. https://doi.org/10.1016/j.ocemod.2004.08.002</w:t>
      </w:r>
    </w:p>
    <w:p w:rsidR="000C078D" w:rsidRPr="000C078D" w:rsidRDefault="000C078D" w:rsidP="000C078D">
      <w:pPr>
        <w:widowControl w:val="0"/>
        <w:autoSpaceDE w:val="0"/>
        <w:autoSpaceDN w:val="0"/>
        <w:adjustRightInd w:val="0"/>
        <w:ind w:left="480" w:hanging="480"/>
        <w:rPr>
          <w:noProof/>
          <w:sz w:val="18"/>
          <w:szCs w:val="24"/>
        </w:rPr>
      </w:pPr>
      <w:r w:rsidRPr="000C078D">
        <w:rPr>
          <w:noProof/>
          <w:sz w:val="18"/>
          <w:szCs w:val="24"/>
        </w:rPr>
        <w:t xml:space="preserve">Thoppil, P. G., Hogan, P. J., Thoppil, P. G., &amp; Hogan, P. J. (2009). On the Mechanisms of Episodic Salinity Outflow Events in the Strait of Hormuz. </w:t>
      </w:r>
      <w:r w:rsidRPr="000C078D">
        <w:rPr>
          <w:i/>
          <w:iCs/>
          <w:noProof/>
          <w:sz w:val="18"/>
          <w:szCs w:val="24"/>
        </w:rPr>
        <w:t>Journal of Physical Oceanography</w:t>
      </w:r>
      <w:r w:rsidRPr="000C078D">
        <w:rPr>
          <w:noProof/>
          <w:sz w:val="18"/>
          <w:szCs w:val="24"/>
        </w:rPr>
        <w:t xml:space="preserve">, </w:t>
      </w:r>
      <w:r w:rsidRPr="000C078D">
        <w:rPr>
          <w:i/>
          <w:iCs/>
          <w:noProof/>
          <w:sz w:val="18"/>
          <w:szCs w:val="24"/>
        </w:rPr>
        <w:t>39</w:t>
      </w:r>
      <w:r w:rsidRPr="000C078D">
        <w:rPr>
          <w:noProof/>
          <w:sz w:val="18"/>
          <w:szCs w:val="24"/>
        </w:rPr>
        <w:t>(6), 1340–1360. https://doi.org/10.1175/2008JPO3941.1</w:t>
      </w:r>
    </w:p>
    <w:p w:rsidR="000C078D" w:rsidRPr="000C078D" w:rsidRDefault="000C078D" w:rsidP="000C078D">
      <w:pPr>
        <w:widowControl w:val="0"/>
        <w:autoSpaceDE w:val="0"/>
        <w:autoSpaceDN w:val="0"/>
        <w:adjustRightInd w:val="0"/>
        <w:ind w:left="480" w:hanging="480"/>
        <w:rPr>
          <w:noProof/>
          <w:sz w:val="18"/>
          <w:szCs w:val="24"/>
        </w:rPr>
      </w:pPr>
      <w:r w:rsidRPr="000C078D">
        <w:rPr>
          <w:noProof/>
          <w:sz w:val="18"/>
          <w:szCs w:val="24"/>
        </w:rPr>
        <w:t xml:space="preserve">Vic, C., Roullet, G., Carton, X., &amp; Capet, X. (2014). Mesoscale dynamics in the Arabian Sea and a focus on the Great Whirl life cycle: A numerical investigation using ROMS. </w:t>
      </w:r>
      <w:r w:rsidRPr="000C078D">
        <w:rPr>
          <w:i/>
          <w:iCs/>
          <w:noProof/>
          <w:sz w:val="18"/>
          <w:szCs w:val="24"/>
        </w:rPr>
        <w:t>Journal of Geophysical Research C: Oceans</w:t>
      </w:r>
      <w:r w:rsidRPr="000C078D">
        <w:rPr>
          <w:noProof/>
          <w:sz w:val="18"/>
          <w:szCs w:val="24"/>
        </w:rPr>
        <w:t xml:space="preserve">, </w:t>
      </w:r>
      <w:r w:rsidRPr="000C078D">
        <w:rPr>
          <w:i/>
          <w:iCs/>
          <w:noProof/>
          <w:sz w:val="18"/>
          <w:szCs w:val="24"/>
        </w:rPr>
        <w:t>119</w:t>
      </w:r>
      <w:r w:rsidRPr="000C078D">
        <w:rPr>
          <w:noProof/>
          <w:sz w:val="18"/>
          <w:szCs w:val="24"/>
        </w:rPr>
        <w:t>(9), 6422–6443. https://doi.org/10.1002/2014JC009857</w:t>
      </w:r>
    </w:p>
    <w:p w:rsidR="000C078D" w:rsidRPr="000C078D" w:rsidRDefault="000C078D" w:rsidP="000C078D">
      <w:pPr>
        <w:widowControl w:val="0"/>
        <w:autoSpaceDE w:val="0"/>
        <w:autoSpaceDN w:val="0"/>
        <w:adjustRightInd w:val="0"/>
        <w:ind w:left="480" w:hanging="480"/>
        <w:rPr>
          <w:noProof/>
          <w:sz w:val="18"/>
          <w:szCs w:val="24"/>
        </w:rPr>
      </w:pPr>
      <w:r w:rsidRPr="000C078D">
        <w:rPr>
          <w:noProof/>
          <w:sz w:val="18"/>
          <w:szCs w:val="24"/>
        </w:rPr>
        <w:t xml:space="preserve">Vic, C., Roullet, G., Capet, X., Carton, X., Molemaker, M. J., &amp; Gula, J. (2015). Eddy-topography interactions and the fate of the Persian Gulf Outflow. </w:t>
      </w:r>
      <w:r w:rsidRPr="000C078D">
        <w:rPr>
          <w:i/>
          <w:iCs/>
          <w:noProof/>
          <w:sz w:val="18"/>
          <w:szCs w:val="24"/>
        </w:rPr>
        <w:t>Journal of Geophysical Research: Oceans</w:t>
      </w:r>
      <w:r w:rsidRPr="000C078D">
        <w:rPr>
          <w:noProof/>
          <w:sz w:val="18"/>
          <w:szCs w:val="24"/>
        </w:rPr>
        <w:t xml:space="preserve">, </w:t>
      </w:r>
      <w:r w:rsidRPr="000C078D">
        <w:rPr>
          <w:i/>
          <w:iCs/>
          <w:noProof/>
          <w:sz w:val="18"/>
          <w:szCs w:val="24"/>
        </w:rPr>
        <w:t>120</w:t>
      </w:r>
      <w:r w:rsidRPr="000C078D">
        <w:rPr>
          <w:noProof/>
          <w:sz w:val="18"/>
          <w:szCs w:val="24"/>
        </w:rPr>
        <w:t>(10), 6700–6717. https://doi.org/10.1002/2015JC011033</w:t>
      </w:r>
    </w:p>
    <w:p w:rsidR="000C078D" w:rsidRPr="000C078D" w:rsidRDefault="000C078D" w:rsidP="000C078D">
      <w:pPr>
        <w:widowControl w:val="0"/>
        <w:autoSpaceDE w:val="0"/>
        <w:autoSpaceDN w:val="0"/>
        <w:adjustRightInd w:val="0"/>
        <w:ind w:left="480" w:hanging="480"/>
        <w:rPr>
          <w:noProof/>
          <w:sz w:val="18"/>
        </w:rPr>
      </w:pPr>
      <w:r w:rsidRPr="000C078D">
        <w:rPr>
          <w:noProof/>
          <w:sz w:val="18"/>
          <w:szCs w:val="24"/>
        </w:rPr>
        <w:t xml:space="preserve">Worley, S. J., Woodruff, S. D., Reynolds, R. W., Lubker, S. J., &amp; Lott, N. (2005). ICOADS release 2.1 data and products. </w:t>
      </w:r>
      <w:r w:rsidRPr="000C078D">
        <w:rPr>
          <w:i/>
          <w:iCs/>
          <w:noProof/>
          <w:sz w:val="18"/>
          <w:szCs w:val="24"/>
        </w:rPr>
        <w:t>International Journal of Climatology</w:t>
      </w:r>
      <w:r w:rsidRPr="000C078D">
        <w:rPr>
          <w:noProof/>
          <w:sz w:val="18"/>
          <w:szCs w:val="24"/>
        </w:rPr>
        <w:t xml:space="preserve">, </w:t>
      </w:r>
      <w:r w:rsidRPr="000C078D">
        <w:rPr>
          <w:i/>
          <w:iCs/>
          <w:noProof/>
          <w:sz w:val="18"/>
          <w:szCs w:val="24"/>
        </w:rPr>
        <w:t>25</w:t>
      </w:r>
      <w:r w:rsidRPr="000C078D">
        <w:rPr>
          <w:noProof/>
          <w:sz w:val="18"/>
          <w:szCs w:val="24"/>
        </w:rPr>
        <w:t>(7), 823–842. https://doi.org/10.1002/joc.1166</w:t>
      </w:r>
    </w:p>
    <w:p w:rsidR="00C23007" w:rsidRPr="0007648C" w:rsidRDefault="004B7622" w:rsidP="005C5601">
      <w:pPr>
        <w:pStyle w:val="References"/>
      </w:pPr>
      <w:r w:rsidRPr="0007648C">
        <w:fldChar w:fldCharType="end"/>
      </w:r>
    </w:p>
    <w:sectPr w:rsidR="00C23007" w:rsidRPr="0007648C" w:rsidSect="00E31404">
      <w:headerReference w:type="default" r:id="rId10"/>
      <w:footerReference w:type="default" r:id="rId11"/>
      <w:head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662" w:rsidRDefault="00281662" w:rsidP="000379AB">
      <w:r>
        <w:separator/>
      </w:r>
    </w:p>
  </w:endnote>
  <w:endnote w:type="continuationSeparator" w:id="0">
    <w:p w:rsidR="00281662" w:rsidRDefault="00281662" w:rsidP="0003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11E" w:rsidRDefault="009E511E" w:rsidP="00B719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662" w:rsidRDefault="00281662" w:rsidP="000379AB">
      <w:r>
        <w:separator/>
      </w:r>
    </w:p>
  </w:footnote>
  <w:footnote w:type="continuationSeparator" w:id="0">
    <w:p w:rsidR="00281662" w:rsidRDefault="00281662" w:rsidP="00037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11E" w:rsidRDefault="009E511E" w:rsidP="007778ED">
    <w:pPr>
      <w:pStyle w:val="Header"/>
      <w:jc w:val="center"/>
    </w:pPr>
    <w:r>
      <w:t xml:space="preserve">Confidential manuscript submitted to </w:t>
    </w:r>
    <w:r>
      <w:rPr>
        <w:i/>
      </w:rPr>
      <w:t>Geophysical Research Letters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11E" w:rsidRDefault="009E511E" w:rsidP="00E31404">
    <w:pPr>
      <w:pStyle w:val="Header"/>
      <w:jc w:val="center"/>
    </w:pPr>
    <w:r>
      <w:t xml:space="preserve">Confidential manuscript submitted to </w:t>
    </w:r>
    <w:r>
      <w:rPr>
        <w:i/>
      </w:rPr>
      <w:t xml:space="preserve">replace this text with name of </w:t>
    </w:r>
    <w:r w:rsidRPr="007778ED">
      <w:rPr>
        <w:i/>
      </w:rPr>
      <w:t>AGU journal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E64BC"/>
    <w:multiLevelType w:val="hybridMultilevel"/>
    <w:tmpl w:val="A4B0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A61D63"/>
    <w:multiLevelType w:val="hybridMultilevel"/>
    <w:tmpl w:val="3676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B5536"/>
    <w:multiLevelType w:val="hybridMultilevel"/>
    <w:tmpl w:val="CBCCF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E3973"/>
    <w:multiLevelType w:val="hybridMultilevel"/>
    <w:tmpl w:val="8C668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11597"/>
    <w:multiLevelType w:val="hybridMultilevel"/>
    <w:tmpl w:val="4E48B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0D0A31"/>
    <w:multiLevelType w:val="multilevel"/>
    <w:tmpl w:val="65BE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351C9F"/>
    <w:multiLevelType w:val="multilevel"/>
    <w:tmpl w:val="8196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5208B2"/>
    <w:multiLevelType w:val="hybridMultilevel"/>
    <w:tmpl w:val="EF94B784"/>
    <w:lvl w:ilvl="0" w:tplc="9B9AD5D6">
      <w:start w:val="1"/>
      <w:numFmt w:val="upperLetter"/>
      <w:lvlText w:val="%1t"/>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1"/>
  </w:num>
  <w:num w:numId="2">
    <w:abstractNumId w:val="0"/>
  </w:num>
  <w:num w:numId="3">
    <w:abstractNumId w:val="8"/>
  </w:num>
  <w:num w:numId="4">
    <w:abstractNumId w:val="3"/>
  </w:num>
  <w:num w:numId="5">
    <w:abstractNumId w:val="4"/>
  </w:num>
  <w:num w:numId="6">
    <w:abstractNumId w:val="5"/>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6077"/>
    <w:rsid w:val="00003D14"/>
    <w:rsid w:val="00004E78"/>
    <w:rsid w:val="000068A8"/>
    <w:rsid w:val="000078E0"/>
    <w:rsid w:val="00007F91"/>
    <w:rsid w:val="000115C2"/>
    <w:rsid w:val="00017A2D"/>
    <w:rsid w:val="00025AD4"/>
    <w:rsid w:val="00025C2E"/>
    <w:rsid w:val="00031829"/>
    <w:rsid w:val="00031FD5"/>
    <w:rsid w:val="00032BF0"/>
    <w:rsid w:val="0003310C"/>
    <w:rsid w:val="000379AB"/>
    <w:rsid w:val="000457F4"/>
    <w:rsid w:val="0006261F"/>
    <w:rsid w:val="00062895"/>
    <w:rsid w:val="00063923"/>
    <w:rsid w:val="000640FA"/>
    <w:rsid w:val="000701E9"/>
    <w:rsid w:val="000749AE"/>
    <w:rsid w:val="0007648C"/>
    <w:rsid w:val="0008552C"/>
    <w:rsid w:val="00090F2D"/>
    <w:rsid w:val="0009387F"/>
    <w:rsid w:val="00094315"/>
    <w:rsid w:val="000A4410"/>
    <w:rsid w:val="000A4BEF"/>
    <w:rsid w:val="000A71B5"/>
    <w:rsid w:val="000A72E9"/>
    <w:rsid w:val="000B6493"/>
    <w:rsid w:val="000C078D"/>
    <w:rsid w:val="000C237E"/>
    <w:rsid w:val="000C542A"/>
    <w:rsid w:val="000D1F4D"/>
    <w:rsid w:val="000D791E"/>
    <w:rsid w:val="000E08B1"/>
    <w:rsid w:val="000E0BE8"/>
    <w:rsid w:val="000E11AA"/>
    <w:rsid w:val="000E4862"/>
    <w:rsid w:val="000F01BF"/>
    <w:rsid w:val="000F2E6F"/>
    <w:rsid w:val="000F56D3"/>
    <w:rsid w:val="00102FDD"/>
    <w:rsid w:val="00104EBD"/>
    <w:rsid w:val="00105853"/>
    <w:rsid w:val="00105AAE"/>
    <w:rsid w:val="00111C9F"/>
    <w:rsid w:val="001219BA"/>
    <w:rsid w:val="00121C14"/>
    <w:rsid w:val="00131E74"/>
    <w:rsid w:val="00133667"/>
    <w:rsid w:val="00146B15"/>
    <w:rsid w:val="00150217"/>
    <w:rsid w:val="001503E6"/>
    <w:rsid w:val="0015070D"/>
    <w:rsid w:val="00154EC2"/>
    <w:rsid w:val="00156758"/>
    <w:rsid w:val="00163F08"/>
    <w:rsid w:val="00164D7A"/>
    <w:rsid w:val="0016779F"/>
    <w:rsid w:val="0016796E"/>
    <w:rsid w:val="00173A6F"/>
    <w:rsid w:val="0018135B"/>
    <w:rsid w:val="00183E96"/>
    <w:rsid w:val="001A094D"/>
    <w:rsid w:val="001B120A"/>
    <w:rsid w:val="001B7125"/>
    <w:rsid w:val="001C2B0D"/>
    <w:rsid w:val="001C54DB"/>
    <w:rsid w:val="001D2106"/>
    <w:rsid w:val="001D4D5E"/>
    <w:rsid w:val="001D6CC1"/>
    <w:rsid w:val="001E2776"/>
    <w:rsid w:val="00200B58"/>
    <w:rsid w:val="00202A1D"/>
    <w:rsid w:val="00204D5F"/>
    <w:rsid w:val="00206D42"/>
    <w:rsid w:val="002112B8"/>
    <w:rsid w:val="0021134D"/>
    <w:rsid w:val="002115AD"/>
    <w:rsid w:val="002218D5"/>
    <w:rsid w:val="002236D2"/>
    <w:rsid w:val="0022551B"/>
    <w:rsid w:val="002311AB"/>
    <w:rsid w:val="0023585E"/>
    <w:rsid w:val="00235D65"/>
    <w:rsid w:val="002419EE"/>
    <w:rsid w:val="0024308C"/>
    <w:rsid w:val="0024710C"/>
    <w:rsid w:val="00256D16"/>
    <w:rsid w:val="002620B0"/>
    <w:rsid w:val="00263FB5"/>
    <w:rsid w:val="00264694"/>
    <w:rsid w:val="00264909"/>
    <w:rsid w:val="00274651"/>
    <w:rsid w:val="002770A3"/>
    <w:rsid w:val="00280048"/>
    <w:rsid w:val="00280305"/>
    <w:rsid w:val="00281662"/>
    <w:rsid w:val="0028281C"/>
    <w:rsid w:val="002900C5"/>
    <w:rsid w:val="0029303E"/>
    <w:rsid w:val="002968E6"/>
    <w:rsid w:val="002A40A5"/>
    <w:rsid w:val="002B1CFF"/>
    <w:rsid w:val="002B3731"/>
    <w:rsid w:val="002B66F8"/>
    <w:rsid w:val="002B6F74"/>
    <w:rsid w:val="002C3263"/>
    <w:rsid w:val="002D7766"/>
    <w:rsid w:val="002E3C6D"/>
    <w:rsid w:val="002E4277"/>
    <w:rsid w:val="002E783F"/>
    <w:rsid w:val="002F0FD4"/>
    <w:rsid w:val="002F1550"/>
    <w:rsid w:val="002F2289"/>
    <w:rsid w:val="002F3B11"/>
    <w:rsid w:val="002F41D7"/>
    <w:rsid w:val="002F7B59"/>
    <w:rsid w:val="00301EF4"/>
    <w:rsid w:val="00307209"/>
    <w:rsid w:val="0031050A"/>
    <w:rsid w:val="0031158B"/>
    <w:rsid w:val="003137C3"/>
    <w:rsid w:val="00313CE2"/>
    <w:rsid w:val="00316DE8"/>
    <w:rsid w:val="00321328"/>
    <w:rsid w:val="00321596"/>
    <w:rsid w:val="00322240"/>
    <w:rsid w:val="003230D5"/>
    <w:rsid w:val="00327E84"/>
    <w:rsid w:val="0033536D"/>
    <w:rsid w:val="00336C2C"/>
    <w:rsid w:val="0034085F"/>
    <w:rsid w:val="00340E7D"/>
    <w:rsid w:val="00341D12"/>
    <w:rsid w:val="00343990"/>
    <w:rsid w:val="003446A8"/>
    <w:rsid w:val="00351206"/>
    <w:rsid w:val="003513E7"/>
    <w:rsid w:val="00351426"/>
    <w:rsid w:val="003547E5"/>
    <w:rsid w:val="00365FCC"/>
    <w:rsid w:val="0037004C"/>
    <w:rsid w:val="0037123E"/>
    <w:rsid w:val="00373094"/>
    <w:rsid w:val="0037466A"/>
    <w:rsid w:val="00374E26"/>
    <w:rsid w:val="00376A9D"/>
    <w:rsid w:val="00380EFD"/>
    <w:rsid w:val="0038265A"/>
    <w:rsid w:val="00384A88"/>
    <w:rsid w:val="00386739"/>
    <w:rsid w:val="003912DE"/>
    <w:rsid w:val="00393036"/>
    <w:rsid w:val="003936E7"/>
    <w:rsid w:val="00393D67"/>
    <w:rsid w:val="003A7ACC"/>
    <w:rsid w:val="003B2F14"/>
    <w:rsid w:val="003B3394"/>
    <w:rsid w:val="003B5C2D"/>
    <w:rsid w:val="003B7CEE"/>
    <w:rsid w:val="003C70CE"/>
    <w:rsid w:val="003C7D55"/>
    <w:rsid w:val="003D3EC2"/>
    <w:rsid w:val="003E3F65"/>
    <w:rsid w:val="003E5B37"/>
    <w:rsid w:val="003E660A"/>
    <w:rsid w:val="003F199B"/>
    <w:rsid w:val="00400425"/>
    <w:rsid w:val="004009A6"/>
    <w:rsid w:val="00404D76"/>
    <w:rsid w:val="00407021"/>
    <w:rsid w:val="00415819"/>
    <w:rsid w:val="00421CFD"/>
    <w:rsid w:val="00421D41"/>
    <w:rsid w:val="0043176D"/>
    <w:rsid w:val="004322B6"/>
    <w:rsid w:val="00432EB0"/>
    <w:rsid w:val="00433C09"/>
    <w:rsid w:val="00440B86"/>
    <w:rsid w:val="00442920"/>
    <w:rsid w:val="00450704"/>
    <w:rsid w:val="00453A40"/>
    <w:rsid w:val="0046243C"/>
    <w:rsid w:val="00476F62"/>
    <w:rsid w:val="00481664"/>
    <w:rsid w:val="00491383"/>
    <w:rsid w:val="004970C9"/>
    <w:rsid w:val="004A3188"/>
    <w:rsid w:val="004A43BC"/>
    <w:rsid w:val="004B2D3A"/>
    <w:rsid w:val="004B7622"/>
    <w:rsid w:val="004C17D2"/>
    <w:rsid w:val="004C7B6E"/>
    <w:rsid w:val="004C7F02"/>
    <w:rsid w:val="004D2E19"/>
    <w:rsid w:val="004D6827"/>
    <w:rsid w:val="004E0874"/>
    <w:rsid w:val="004E2129"/>
    <w:rsid w:val="004E453E"/>
    <w:rsid w:val="004E71F4"/>
    <w:rsid w:val="004F0992"/>
    <w:rsid w:val="004F0D18"/>
    <w:rsid w:val="004F61FA"/>
    <w:rsid w:val="00504D43"/>
    <w:rsid w:val="00506A03"/>
    <w:rsid w:val="00507BB8"/>
    <w:rsid w:val="00511DD7"/>
    <w:rsid w:val="005167EA"/>
    <w:rsid w:val="00525818"/>
    <w:rsid w:val="00525E3A"/>
    <w:rsid w:val="0053047F"/>
    <w:rsid w:val="005316AC"/>
    <w:rsid w:val="005358D5"/>
    <w:rsid w:val="00544DCB"/>
    <w:rsid w:val="00545846"/>
    <w:rsid w:val="00545B6C"/>
    <w:rsid w:val="00553726"/>
    <w:rsid w:val="00556A89"/>
    <w:rsid w:val="00562721"/>
    <w:rsid w:val="00566B52"/>
    <w:rsid w:val="00566F14"/>
    <w:rsid w:val="005704EE"/>
    <w:rsid w:val="00570649"/>
    <w:rsid w:val="005734E7"/>
    <w:rsid w:val="00576DC4"/>
    <w:rsid w:val="00581F64"/>
    <w:rsid w:val="0058516B"/>
    <w:rsid w:val="005853F5"/>
    <w:rsid w:val="005931CC"/>
    <w:rsid w:val="00595A05"/>
    <w:rsid w:val="00597FF3"/>
    <w:rsid w:val="005A1E1C"/>
    <w:rsid w:val="005A5E75"/>
    <w:rsid w:val="005A6FF7"/>
    <w:rsid w:val="005B1E8E"/>
    <w:rsid w:val="005B427A"/>
    <w:rsid w:val="005B6658"/>
    <w:rsid w:val="005C3F61"/>
    <w:rsid w:val="005C484F"/>
    <w:rsid w:val="005C4A51"/>
    <w:rsid w:val="005C4F63"/>
    <w:rsid w:val="005C5601"/>
    <w:rsid w:val="005C7354"/>
    <w:rsid w:val="005D7078"/>
    <w:rsid w:val="005E40E1"/>
    <w:rsid w:val="005F1D0B"/>
    <w:rsid w:val="005F4148"/>
    <w:rsid w:val="005F4436"/>
    <w:rsid w:val="005F5450"/>
    <w:rsid w:val="005F70F3"/>
    <w:rsid w:val="00603539"/>
    <w:rsid w:val="00616CD8"/>
    <w:rsid w:val="0062038C"/>
    <w:rsid w:val="00620592"/>
    <w:rsid w:val="00622DA8"/>
    <w:rsid w:val="0062604C"/>
    <w:rsid w:val="006427F8"/>
    <w:rsid w:val="0065242C"/>
    <w:rsid w:val="00653313"/>
    <w:rsid w:val="00655E89"/>
    <w:rsid w:val="00656920"/>
    <w:rsid w:val="00667CBA"/>
    <w:rsid w:val="00671872"/>
    <w:rsid w:val="006739C4"/>
    <w:rsid w:val="00675958"/>
    <w:rsid w:val="006769F8"/>
    <w:rsid w:val="006842A1"/>
    <w:rsid w:val="00685495"/>
    <w:rsid w:val="00685908"/>
    <w:rsid w:val="006859B5"/>
    <w:rsid w:val="0068724B"/>
    <w:rsid w:val="00695E0A"/>
    <w:rsid w:val="006968C2"/>
    <w:rsid w:val="00697276"/>
    <w:rsid w:val="00697D9A"/>
    <w:rsid w:val="006A2C07"/>
    <w:rsid w:val="006A5146"/>
    <w:rsid w:val="006A56E4"/>
    <w:rsid w:val="006B0206"/>
    <w:rsid w:val="006B2FB5"/>
    <w:rsid w:val="006C1E96"/>
    <w:rsid w:val="006D6C26"/>
    <w:rsid w:val="006E15B3"/>
    <w:rsid w:val="006E59EE"/>
    <w:rsid w:val="006F1555"/>
    <w:rsid w:val="006F4B5E"/>
    <w:rsid w:val="006F662E"/>
    <w:rsid w:val="006F7B66"/>
    <w:rsid w:val="00713195"/>
    <w:rsid w:val="00713F46"/>
    <w:rsid w:val="00716B6B"/>
    <w:rsid w:val="007178AC"/>
    <w:rsid w:val="00721F1C"/>
    <w:rsid w:val="00725553"/>
    <w:rsid w:val="007317EE"/>
    <w:rsid w:val="0073205B"/>
    <w:rsid w:val="00734889"/>
    <w:rsid w:val="0073605D"/>
    <w:rsid w:val="007401A6"/>
    <w:rsid w:val="00742A5D"/>
    <w:rsid w:val="00752782"/>
    <w:rsid w:val="00752E93"/>
    <w:rsid w:val="0077007F"/>
    <w:rsid w:val="00770C0F"/>
    <w:rsid w:val="00775CAC"/>
    <w:rsid w:val="00777503"/>
    <w:rsid w:val="007778ED"/>
    <w:rsid w:val="00780563"/>
    <w:rsid w:val="00785696"/>
    <w:rsid w:val="007914A2"/>
    <w:rsid w:val="00796FB8"/>
    <w:rsid w:val="007978D7"/>
    <w:rsid w:val="007A1055"/>
    <w:rsid w:val="007A17CA"/>
    <w:rsid w:val="007A4D5A"/>
    <w:rsid w:val="007B54C3"/>
    <w:rsid w:val="007B5560"/>
    <w:rsid w:val="007C1DF7"/>
    <w:rsid w:val="007C29EA"/>
    <w:rsid w:val="007C35DA"/>
    <w:rsid w:val="007C5BD3"/>
    <w:rsid w:val="007C7512"/>
    <w:rsid w:val="007D0A7E"/>
    <w:rsid w:val="007D3277"/>
    <w:rsid w:val="007D4734"/>
    <w:rsid w:val="007E59F5"/>
    <w:rsid w:val="007F06AE"/>
    <w:rsid w:val="007F2658"/>
    <w:rsid w:val="007F7FFE"/>
    <w:rsid w:val="0081000A"/>
    <w:rsid w:val="008104F5"/>
    <w:rsid w:val="0081250C"/>
    <w:rsid w:val="00813315"/>
    <w:rsid w:val="00814CD0"/>
    <w:rsid w:val="008154E4"/>
    <w:rsid w:val="00824639"/>
    <w:rsid w:val="00827FAB"/>
    <w:rsid w:val="00832251"/>
    <w:rsid w:val="0083714E"/>
    <w:rsid w:val="008408C1"/>
    <w:rsid w:val="0084236F"/>
    <w:rsid w:val="008423D0"/>
    <w:rsid w:val="00843C8B"/>
    <w:rsid w:val="00843DDC"/>
    <w:rsid w:val="00844C3F"/>
    <w:rsid w:val="008502CE"/>
    <w:rsid w:val="00855B07"/>
    <w:rsid w:val="00864F9B"/>
    <w:rsid w:val="00871697"/>
    <w:rsid w:val="00873E9D"/>
    <w:rsid w:val="00874073"/>
    <w:rsid w:val="00874A29"/>
    <w:rsid w:val="00894A9B"/>
    <w:rsid w:val="00895B84"/>
    <w:rsid w:val="00896228"/>
    <w:rsid w:val="008A22DD"/>
    <w:rsid w:val="008A4B23"/>
    <w:rsid w:val="008A5D42"/>
    <w:rsid w:val="008A6077"/>
    <w:rsid w:val="008A674D"/>
    <w:rsid w:val="008A6B8A"/>
    <w:rsid w:val="008A7B59"/>
    <w:rsid w:val="008B4476"/>
    <w:rsid w:val="008B50DE"/>
    <w:rsid w:val="008B6718"/>
    <w:rsid w:val="008D345E"/>
    <w:rsid w:val="008D3873"/>
    <w:rsid w:val="008E4CD2"/>
    <w:rsid w:val="008E5672"/>
    <w:rsid w:val="008E7BB6"/>
    <w:rsid w:val="008F4273"/>
    <w:rsid w:val="00902F46"/>
    <w:rsid w:val="0090357C"/>
    <w:rsid w:val="00906B54"/>
    <w:rsid w:val="00913126"/>
    <w:rsid w:val="00913AAD"/>
    <w:rsid w:val="009203CB"/>
    <w:rsid w:val="009343DF"/>
    <w:rsid w:val="00934C46"/>
    <w:rsid w:val="00940AB8"/>
    <w:rsid w:val="00947A90"/>
    <w:rsid w:val="009535E1"/>
    <w:rsid w:val="0095652E"/>
    <w:rsid w:val="0096075F"/>
    <w:rsid w:val="009626CB"/>
    <w:rsid w:val="00964DFE"/>
    <w:rsid w:val="009716FE"/>
    <w:rsid w:val="0097213C"/>
    <w:rsid w:val="009730B1"/>
    <w:rsid w:val="00974B7E"/>
    <w:rsid w:val="0097578D"/>
    <w:rsid w:val="00975AE5"/>
    <w:rsid w:val="00975D9D"/>
    <w:rsid w:val="0097749F"/>
    <w:rsid w:val="0097764D"/>
    <w:rsid w:val="009810DE"/>
    <w:rsid w:val="00983F88"/>
    <w:rsid w:val="00985429"/>
    <w:rsid w:val="00990993"/>
    <w:rsid w:val="0099393A"/>
    <w:rsid w:val="00995269"/>
    <w:rsid w:val="00996A5F"/>
    <w:rsid w:val="009977CC"/>
    <w:rsid w:val="009A3D94"/>
    <w:rsid w:val="009B2B27"/>
    <w:rsid w:val="009B392A"/>
    <w:rsid w:val="009B4EDD"/>
    <w:rsid w:val="009C380C"/>
    <w:rsid w:val="009C577E"/>
    <w:rsid w:val="009C63F2"/>
    <w:rsid w:val="009D7047"/>
    <w:rsid w:val="009E32C9"/>
    <w:rsid w:val="009E511E"/>
    <w:rsid w:val="009E5C37"/>
    <w:rsid w:val="009F4AE1"/>
    <w:rsid w:val="009F6C81"/>
    <w:rsid w:val="00A01C70"/>
    <w:rsid w:val="00A044C2"/>
    <w:rsid w:val="00A05E07"/>
    <w:rsid w:val="00A05E1E"/>
    <w:rsid w:val="00A07954"/>
    <w:rsid w:val="00A11232"/>
    <w:rsid w:val="00A12424"/>
    <w:rsid w:val="00A12A66"/>
    <w:rsid w:val="00A24E20"/>
    <w:rsid w:val="00A32AE7"/>
    <w:rsid w:val="00A35D4A"/>
    <w:rsid w:val="00A402FE"/>
    <w:rsid w:val="00A40AF6"/>
    <w:rsid w:val="00A436E6"/>
    <w:rsid w:val="00A471DC"/>
    <w:rsid w:val="00A60EFE"/>
    <w:rsid w:val="00A620EE"/>
    <w:rsid w:val="00A675C8"/>
    <w:rsid w:val="00A67B75"/>
    <w:rsid w:val="00A67D81"/>
    <w:rsid w:val="00A71131"/>
    <w:rsid w:val="00A718B6"/>
    <w:rsid w:val="00A7410B"/>
    <w:rsid w:val="00A81110"/>
    <w:rsid w:val="00A83CC5"/>
    <w:rsid w:val="00A8483C"/>
    <w:rsid w:val="00A84FC3"/>
    <w:rsid w:val="00A86E62"/>
    <w:rsid w:val="00A9167B"/>
    <w:rsid w:val="00A965B8"/>
    <w:rsid w:val="00A96C28"/>
    <w:rsid w:val="00A96F38"/>
    <w:rsid w:val="00AA0370"/>
    <w:rsid w:val="00AA1B9B"/>
    <w:rsid w:val="00AA286F"/>
    <w:rsid w:val="00AA4AA3"/>
    <w:rsid w:val="00AA4D04"/>
    <w:rsid w:val="00AA6988"/>
    <w:rsid w:val="00AA77B3"/>
    <w:rsid w:val="00AB0738"/>
    <w:rsid w:val="00AB1634"/>
    <w:rsid w:val="00AB46CF"/>
    <w:rsid w:val="00AB4C30"/>
    <w:rsid w:val="00AB6556"/>
    <w:rsid w:val="00AC340B"/>
    <w:rsid w:val="00AC6C71"/>
    <w:rsid w:val="00AC702E"/>
    <w:rsid w:val="00AD48CF"/>
    <w:rsid w:val="00AD563E"/>
    <w:rsid w:val="00AE1BA7"/>
    <w:rsid w:val="00AE4C32"/>
    <w:rsid w:val="00AF1A55"/>
    <w:rsid w:val="00AF20CE"/>
    <w:rsid w:val="00AF33DA"/>
    <w:rsid w:val="00B10D4D"/>
    <w:rsid w:val="00B120F3"/>
    <w:rsid w:val="00B13A82"/>
    <w:rsid w:val="00B14DB3"/>
    <w:rsid w:val="00B15C02"/>
    <w:rsid w:val="00B16FBD"/>
    <w:rsid w:val="00B25374"/>
    <w:rsid w:val="00B472D4"/>
    <w:rsid w:val="00B50F72"/>
    <w:rsid w:val="00B544DF"/>
    <w:rsid w:val="00B57887"/>
    <w:rsid w:val="00B647CE"/>
    <w:rsid w:val="00B65904"/>
    <w:rsid w:val="00B719C8"/>
    <w:rsid w:val="00B826BD"/>
    <w:rsid w:val="00B82BE5"/>
    <w:rsid w:val="00B838C2"/>
    <w:rsid w:val="00B86578"/>
    <w:rsid w:val="00B9710D"/>
    <w:rsid w:val="00BA117B"/>
    <w:rsid w:val="00BA1E93"/>
    <w:rsid w:val="00BA2E4C"/>
    <w:rsid w:val="00BA6D4D"/>
    <w:rsid w:val="00BB05F4"/>
    <w:rsid w:val="00BC329A"/>
    <w:rsid w:val="00BC4AC4"/>
    <w:rsid w:val="00BC6D3E"/>
    <w:rsid w:val="00BD374D"/>
    <w:rsid w:val="00BD393D"/>
    <w:rsid w:val="00BE342B"/>
    <w:rsid w:val="00BF0028"/>
    <w:rsid w:val="00BF3719"/>
    <w:rsid w:val="00BF687A"/>
    <w:rsid w:val="00C011A3"/>
    <w:rsid w:val="00C012A0"/>
    <w:rsid w:val="00C162DA"/>
    <w:rsid w:val="00C219F7"/>
    <w:rsid w:val="00C23007"/>
    <w:rsid w:val="00C33520"/>
    <w:rsid w:val="00C34D85"/>
    <w:rsid w:val="00C471C6"/>
    <w:rsid w:val="00C53D5B"/>
    <w:rsid w:val="00C655ED"/>
    <w:rsid w:val="00C81368"/>
    <w:rsid w:val="00C81692"/>
    <w:rsid w:val="00C8590F"/>
    <w:rsid w:val="00C936DA"/>
    <w:rsid w:val="00C94AA5"/>
    <w:rsid w:val="00C96000"/>
    <w:rsid w:val="00CA3EEC"/>
    <w:rsid w:val="00CA5CC5"/>
    <w:rsid w:val="00CB2924"/>
    <w:rsid w:val="00CB44B1"/>
    <w:rsid w:val="00CB51C6"/>
    <w:rsid w:val="00CB55EF"/>
    <w:rsid w:val="00CB60A9"/>
    <w:rsid w:val="00CB6B3C"/>
    <w:rsid w:val="00CB7BED"/>
    <w:rsid w:val="00CC13C8"/>
    <w:rsid w:val="00CC2F9A"/>
    <w:rsid w:val="00CC3EAA"/>
    <w:rsid w:val="00CC6111"/>
    <w:rsid w:val="00CD1945"/>
    <w:rsid w:val="00CD1CF3"/>
    <w:rsid w:val="00CD42C5"/>
    <w:rsid w:val="00CD474E"/>
    <w:rsid w:val="00CE025A"/>
    <w:rsid w:val="00CE1B2B"/>
    <w:rsid w:val="00CE4613"/>
    <w:rsid w:val="00D11613"/>
    <w:rsid w:val="00D20401"/>
    <w:rsid w:val="00D311C3"/>
    <w:rsid w:val="00D345E3"/>
    <w:rsid w:val="00D35093"/>
    <w:rsid w:val="00D369D4"/>
    <w:rsid w:val="00D377C9"/>
    <w:rsid w:val="00D41E1F"/>
    <w:rsid w:val="00D47513"/>
    <w:rsid w:val="00D5003E"/>
    <w:rsid w:val="00D501DA"/>
    <w:rsid w:val="00D52C09"/>
    <w:rsid w:val="00D530C5"/>
    <w:rsid w:val="00D5613D"/>
    <w:rsid w:val="00D57EC6"/>
    <w:rsid w:val="00D65586"/>
    <w:rsid w:val="00D6639B"/>
    <w:rsid w:val="00D71FEF"/>
    <w:rsid w:val="00D7428E"/>
    <w:rsid w:val="00D75E20"/>
    <w:rsid w:val="00D81AEA"/>
    <w:rsid w:val="00D8481E"/>
    <w:rsid w:val="00D94839"/>
    <w:rsid w:val="00D95509"/>
    <w:rsid w:val="00D97EC8"/>
    <w:rsid w:val="00DA0E60"/>
    <w:rsid w:val="00DA3A5C"/>
    <w:rsid w:val="00DB3101"/>
    <w:rsid w:val="00DB5576"/>
    <w:rsid w:val="00DC1231"/>
    <w:rsid w:val="00DC4B34"/>
    <w:rsid w:val="00DC70FB"/>
    <w:rsid w:val="00DD0D4E"/>
    <w:rsid w:val="00DD1246"/>
    <w:rsid w:val="00DD35E5"/>
    <w:rsid w:val="00DE2689"/>
    <w:rsid w:val="00DE3F91"/>
    <w:rsid w:val="00DE5FC4"/>
    <w:rsid w:val="00DF3529"/>
    <w:rsid w:val="00DF36C1"/>
    <w:rsid w:val="00DF7FAF"/>
    <w:rsid w:val="00E00B02"/>
    <w:rsid w:val="00E01F07"/>
    <w:rsid w:val="00E05D73"/>
    <w:rsid w:val="00E06FC6"/>
    <w:rsid w:val="00E2037E"/>
    <w:rsid w:val="00E22BF8"/>
    <w:rsid w:val="00E31404"/>
    <w:rsid w:val="00E321B5"/>
    <w:rsid w:val="00E33548"/>
    <w:rsid w:val="00E40007"/>
    <w:rsid w:val="00E446D5"/>
    <w:rsid w:val="00E450DC"/>
    <w:rsid w:val="00E45FDA"/>
    <w:rsid w:val="00E4738B"/>
    <w:rsid w:val="00E559B2"/>
    <w:rsid w:val="00E625B5"/>
    <w:rsid w:val="00E660CA"/>
    <w:rsid w:val="00E664DF"/>
    <w:rsid w:val="00E67B96"/>
    <w:rsid w:val="00E72449"/>
    <w:rsid w:val="00E73803"/>
    <w:rsid w:val="00E74CAA"/>
    <w:rsid w:val="00E849F8"/>
    <w:rsid w:val="00E861D6"/>
    <w:rsid w:val="00E94EF0"/>
    <w:rsid w:val="00E95780"/>
    <w:rsid w:val="00E964F6"/>
    <w:rsid w:val="00E96C79"/>
    <w:rsid w:val="00E97176"/>
    <w:rsid w:val="00EA0F4B"/>
    <w:rsid w:val="00EA174B"/>
    <w:rsid w:val="00EA421E"/>
    <w:rsid w:val="00EA5704"/>
    <w:rsid w:val="00EA5B96"/>
    <w:rsid w:val="00EB1BA1"/>
    <w:rsid w:val="00EB4348"/>
    <w:rsid w:val="00EC1AC3"/>
    <w:rsid w:val="00EC4D2C"/>
    <w:rsid w:val="00EC7C7C"/>
    <w:rsid w:val="00ED033D"/>
    <w:rsid w:val="00ED6552"/>
    <w:rsid w:val="00ED7238"/>
    <w:rsid w:val="00EE2F1C"/>
    <w:rsid w:val="00EE45D3"/>
    <w:rsid w:val="00EF6E74"/>
    <w:rsid w:val="00F019C6"/>
    <w:rsid w:val="00F02E79"/>
    <w:rsid w:val="00F038FB"/>
    <w:rsid w:val="00F0492C"/>
    <w:rsid w:val="00F0626F"/>
    <w:rsid w:val="00F075F0"/>
    <w:rsid w:val="00F1121C"/>
    <w:rsid w:val="00F11F3E"/>
    <w:rsid w:val="00F14079"/>
    <w:rsid w:val="00F14922"/>
    <w:rsid w:val="00F21080"/>
    <w:rsid w:val="00F21862"/>
    <w:rsid w:val="00F24F5A"/>
    <w:rsid w:val="00F34433"/>
    <w:rsid w:val="00F4006A"/>
    <w:rsid w:val="00F40A03"/>
    <w:rsid w:val="00F4247E"/>
    <w:rsid w:val="00F42EB5"/>
    <w:rsid w:val="00F470EF"/>
    <w:rsid w:val="00F55E8E"/>
    <w:rsid w:val="00F61C9E"/>
    <w:rsid w:val="00F65F2A"/>
    <w:rsid w:val="00F66FC9"/>
    <w:rsid w:val="00F672F2"/>
    <w:rsid w:val="00F70453"/>
    <w:rsid w:val="00F71CD1"/>
    <w:rsid w:val="00F809BE"/>
    <w:rsid w:val="00F90738"/>
    <w:rsid w:val="00F92EDB"/>
    <w:rsid w:val="00F94881"/>
    <w:rsid w:val="00FA045E"/>
    <w:rsid w:val="00FA15D8"/>
    <w:rsid w:val="00FA356B"/>
    <w:rsid w:val="00FB241E"/>
    <w:rsid w:val="00FB327C"/>
    <w:rsid w:val="00FB7778"/>
    <w:rsid w:val="00FC1A35"/>
    <w:rsid w:val="00FC23C0"/>
    <w:rsid w:val="00FC3C82"/>
    <w:rsid w:val="00FC7C25"/>
    <w:rsid w:val="00FD39B1"/>
    <w:rsid w:val="00FD7452"/>
    <w:rsid w:val="00FE44F2"/>
    <w:rsid w:val="00FE46A0"/>
    <w:rsid w:val="00FE6BD9"/>
    <w:rsid w:val="00FF2C8F"/>
    <w:rsid w:val="00FF3F6A"/>
    <w:rsid w:val="00FF4B33"/>
    <w:rsid w:val="00FF667F"/>
    <w:rsid w:val="1ACF9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167BFC3-87EB-439C-83AF-759DAD92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881"/>
    <w:pPr>
      <w:jc w:val="both"/>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0425"/>
    <w:pPr>
      <w:contextualSpacing/>
      <w:jc w:val="center"/>
    </w:pPr>
    <w:rPr>
      <w:rFonts w:eastAsiaTheme="majorEastAsia" w:cstheme="majorBidi"/>
      <w:b/>
      <w:spacing w:val="-10"/>
      <w:kern w:val="28"/>
      <w:sz w:val="28"/>
      <w:szCs w:val="56"/>
    </w:rPr>
  </w:style>
  <w:style w:type="paragraph" w:customStyle="1" w:styleId="Reference">
    <w:name w:val="Reference"/>
    <w:basedOn w:val="Normal"/>
    <w:rsid w:val="008A6077"/>
    <w:pPr>
      <w:spacing w:before="120"/>
      <w:ind w:left="720" w:hanging="720"/>
    </w:pPr>
    <w:rPr>
      <w:rFonts w:eastAsia="Times New Roman"/>
      <w:sz w:val="24"/>
      <w:szCs w:val="24"/>
    </w:rPr>
  </w:style>
  <w:style w:type="paragraph" w:styleId="Header">
    <w:name w:val="header"/>
    <w:basedOn w:val="Normal"/>
    <w:link w:val="HeaderChar"/>
    <w:uiPriority w:val="99"/>
    <w:unhideWhenUsed/>
    <w:rsid w:val="000379AB"/>
    <w:pPr>
      <w:tabs>
        <w:tab w:val="center" w:pos="4680"/>
        <w:tab w:val="right" w:pos="9360"/>
      </w:tabs>
    </w:pPr>
  </w:style>
  <w:style w:type="paragraph" w:customStyle="1" w:styleId="Heading-Secondary">
    <w:name w:val="Heading-Secondary"/>
    <w:basedOn w:val="Heading-Main"/>
    <w:qFormat/>
    <w:rsid w:val="00896228"/>
  </w:style>
  <w:style w:type="paragraph" w:customStyle="1" w:styleId="Authors">
    <w:name w:val="Authors"/>
    <w:basedOn w:val="Normal"/>
    <w:rsid w:val="00B120F3"/>
    <w:pPr>
      <w:spacing w:before="120" w:after="360"/>
    </w:pPr>
    <w:rPr>
      <w:rFonts w:eastAsia="Times New Roman"/>
      <w:b/>
      <w:sz w:val="24"/>
      <w:szCs w:val="24"/>
    </w:rPr>
  </w:style>
  <w:style w:type="paragraph" w:customStyle="1" w:styleId="Text">
    <w:name w:val="Text"/>
    <w:basedOn w:val="Normal"/>
    <w:rsid w:val="008A6077"/>
    <w:pPr>
      <w:spacing w:before="120"/>
      <w:ind w:firstLine="720"/>
    </w:pPr>
    <w:rPr>
      <w:rFonts w:eastAsia="Times New Roman"/>
      <w:sz w:val="24"/>
      <w:szCs w:val="24"/>
    </w:rPr>
  </w:style>
  <w:style w:type="paragraph" w:customStyle="1" w:styleId="FigureorTableCaption">
    <w:name w:val="Figure or Table Caption"/>
    <w:basedOn w:val="Normal"/>
    <w:rsid w:val="008A6077"/>
    <w:pPr>
      <w:keepNext/>
      <w:spacing w:before="240"/>
      <w:outlineLvl w:val="0"/>
    </w:pPr>
    <w:rPr>
      <w:rFonts w:eastAsia="Times New Roman"/>
      <w:kern w:val="28"/>
      <w:sz w:val="24"/>
      <w:szCs w:val="24"/>
    </w:rPr>
  </w:style>
  <w:style w:type="character" w:customStyle="1" w:styleId="HeaderChar">
    <w:name w:val="Header Char"/>
    <w:basedOn w:val="DefaultParagraphFont"/>
    <w:link w:val="Header"/>
    <w:uiPriority w:val="99"/>
    <w:rsid w:val="000379AB"/>
    <w:rPr>
      <w:rFonts w:ascii="Times New Roman" w:eastAsia="Calibri" w:hAnsi="Times New Roman" w:cs="Times New Roman"/>
      <w:sz w:val="20"/>
      <w:szCs w:val="20"/>
    </w:rPr>
  </w:style>
  <w:style w:type="character" w:styleId="Hyperlink">
    <w:name w:val="Hyperlink"/>
    <w:rsid w:val="008A6077"/>
    <w:rPr>
      <w:color w:val="0000FF"/>
      <w:u w:val="single"/>
    </w:rPr>
  </w:style>
  <w:style w:type="paragraph" w:customStyle="1" w:styleId="Heading-Main">
    <w:name w:val="Heading-Main"/>
    <w:basedOn w:val="Normal"/>
    <w:rsid w:val="005358D5"/>
    <w:pPr>
      <w:keepNext/>
      <w:spacing w:before="240" w:after="120"/>
      <w:outlineLvl w:val="0"/>
    </w:pPr>
    <w:rPr>
      <w:rFonts w:eastAsia="Times New Roman"/>
      <w:b/>
      <w:bCs/>
      <w:kern w:val="28"/>
      <w:sz w:val="24"/>
      <w:szCs w:val="24"/>
    </w:rPr>
  </w:style>
  <w:style w:type="paragraph" w:customStyle="1" w:styleId="Affiliation">
    <w:name w:val="Affiliation"/>
    <w:basedOn w:val="Text"/>
    <w:qFormat/>
    <w:rsid w:val="00B719C8"/>
    <w:pPr>
      <w:ind w:firstLine="0"/>
    </w:pPr>
  </w:style>
  <w:style w:type="paragraph" w:customStyle="1" w:styleId="KeyPoints">
    <w:name w:val="Key Points"/>
    <w:basedOn w:val="Normal"/>
    <w:rsid w:val="008A6077"/>
    <w:pPr>
      <w:spacing w:before="120"/>
    </w:pPr>
    <w:rPr>
      <w:rFonts w:eastAsia="Times New Roman"/>
      <w:sz w:val="24"/>
      <w:szCs w:val="24"/>
    </w:rPr>
  </w:style>
  <w:style w:type="paragraph" w:customStyle="1" w:styleId="Abstract">
    <w:name w:val="Abstract"/>
    <w:basedOn w:val="Normal"/>
    <w:qFormat/>
    <w:rsid w:val="00400425"/>
    <w:pPr>
      <w:spacing w:before="120"/>
    </w:pPr>
    <w:rPr>
      <w:rFonts w:eastAsia="Times New Roman"/>
      <w:sz w:val="24"/>
      <w:szCs w:val="24"/>
    </w:rPr>
  </w:style>
  <w:style w:type="character" w:customStyle="1" w:styleId="TitleChar">
    <w:name w:val="Title Char"/>
    <w:basedOn w:val="DefaultParagraphFont"/>
    <w:link w:val="Title"/>
    <w:uiPriority w:val="10"/>
    <w:qFormat/>
    <w:rsid w:val="00400425"/>
    <w:rPr>
      <w:rFonts w:ascii="Times New Roman" w:eastAsiaTheme="majorEastAsia" w:hAnsi="Times New Roman" w:cstheme="majorBidi"/>
      <w:b/>
      <w:spacing w:val="-10"/>
      <w:kern w:val="28"/>
      <w:sz w:val="28"/>
      <w:szCs w:val="56"/>
    </w:rPr>
  </w:style>
  <w:style w:type="paragraph" w:customStyle="1" w:styleId="Note">
    <w:name w:val="Note"/>
    <w:basedOn w:val="Normal"/>
    <w:qFormat/>
    <w:rsid w:val="0037466A"/>
    <w:pPr>
      <w:spacing w:before="240" w:after="240"/>
    </w:pPr>
    <w:rPr>
      <w:color w:val="00B0F0"/>
    </w:rPr>
  </w:style>
  <w:style w:type="paragraph" w:styleId="NormalWeb">
    <w:name w:val="Normal (Web)"/>
    <w:basedOn w:val="Normal"/>
    <w:uiPriority w:val="99"/>
    <w:semiHidden/>
    <w:unhideWhenUsed/>
    <w:rsid w:val="002F3B11"/>
    <w:rPr>
      <w:sz w:val="24"/>
      <w:szCs w:val="24"/>
    </w:rPr>
  </w:style>
  <w:style w:type="paragraph" w:styleId="Footer">
    <w:name w:val="footer"/>
    <w:basedOn w:val="Normal"/>
    <w:link w:val="FooterChar"/>
    <w:uiPriority w:val="99"/>
    <w:unhideWhenUsed/>
    <w:rsid w:val="000379AB"/>
    <w:pPr>
      <w:tabs>
        <w:tab w:val="center" w:pos="4680"/>
        <w:tab w:val="right" w:pos="9360"/>
      </w:tabs>
    </w:pPr>
  </w:style>
  <w:style w:type="character" w:customStyle="1" w:styleId="FooterChar">
    <w:name w:val="Footer Char"/>
    <w:basedOn w:val="DefaultParagraphFont"/>
    <w:link w:val="Footer"/>
    <w:uiPriority w:val="99"/>
    <w:rsid w:val="000379AB"/>
    <w:rPr>
      <w:rFonts w:ascii="Times New Roman" w:eastAsia="Calibri" w:hAnsi="Times New Roman" w:cs="Times New Roman"/>
      <w:sz w:val="20"/>
      <w:szCs w:val="20"/>
    </w:rPr>
  </w:style>
  <w:style w:type="table" w:styleId="TableGrid">
    <w:name w:val="Table Grid"/>
    <w:basedOn w:val="TableNormal"/>
    <w:uiPriority w:val="39"/>
    <w:rsid w:val="00476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8281C"/>
    <w:pPr>
      <w:spacing w:after="200"/>
    </w:pPr>
    <w:rPr>
      <w:rFonts w:asciiTheme="minorHAnsi" w:eastAsiaTheme="minorHAnsi" w:hAnsiTheme="minorHAnsi" w:cstheme="minorBidi"/>
      <w:i/>
      <w:iCs/>
      <w:color w:val="44546A" w:themeColor="text2"/>
      <w:sz w:val="18"/>
      <w:szCs w:val="18"/>
      <w:lang w:val="en-GB"/>
    </w:rPr>
  </w:style>
  <w:style w:type="paragraph" w:styleId="BalloonText">
    <w:name w:val="Balloon Text"/>
    <w:basedOn w:val="Normal"/>
    <w:link w:val="BalloonTextChar"/>
    <w:uiPriority w:val="99"/>
    <w:semiHidden/>
    <w:unhideWhenUsed/>
    <w:rsid w:val="0028281C"/>
    <w:rPr>
      <w:rFonts w:ascii="Tahoma" w:hAnsi="Tahoma" w:cs="Tahoma"/>
      <w:sz w:val="16"/>
      <w:szCs w:val="16"/>
    </w:rPr>
  </w:style>
  <w:style w:type="character" w:customStyle="1" w:styleId="BalloonTextChar">
    <w:name w:val="Balloon Text Char"/>
    <w:basedOn w:val="DefaultParagraphFont"/>
    <w:link w:val="BalloonText"/>
    <w:uiPriority w:val="99"/>
    <w:semiHidden/>
    <w:rsid w:val="0028281C"/>
    <w:rPr>
      <w:rFonts w:ascii="Tahoma" w:eastAsia="Calibri" w:hAnsi="Tahoma" w:cs="Tahoma"/>
      <w:sz w:val="16"/>
      <w:szCs w:val="16"/>
    </w:rPr>
  </w:style>
  <w:style w:type="character" w:styleId="CommentReference">
    <w:name w:val="annotation reference"/>
    <w:basedOn w:val="DefaultParagraphFont"/>
    <w:uiPriority w:val="99"/>
    <w:semiHidden/>
    <w:unhideWhenUsed/>
    <w:rsid w:val="00163F08"/>
    <w:rPr>
      <w:sz w:val="16"/>
      <w:szCs w:val="16"/>
    </w:rPr>
  </w:style>
  <w:style w:type="paragraph" w:styleId="CommentText">
    <w:name w:val="annotation text"/>
    <w:basedOn w:val="Normal"/>
    <w:link w:val="CommentTextChar"/>
    <w:uiPriority w:val="99"/>
    <w:semiHidden/>
    <w:unhideWhenUsed/>
    <w:rsid w:val="00163F08"/>
  </w:style>
  <w:style w:type="character" w:customStyle="1" w:styleId="CommentTextChar">
    <w:name w:val="Comment Text Char"/>
    <w:basedOn w:val="DefaultParagraphFont"/>
    <w:link w:val="CommentText"/>
    <w:uiPriority w:val="99"/>
    <w:semiHidden/>
    <w:rsid w:val="00163F0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3F08"/>
    <w:rPr>
      <w:b/>
      <w:bCs/>
    </w:rPr>
  </w:style>
  <w:style w:type="character" w:customStyle="1" w:styleId="CommentSubjectChar">
    <w:name w:val="Comment Subject Char"/>
    <w:basedOn w:val="CommentTextChar"/>
    <w:link w:val="CommentSubject"/>
    <w:uiPriority w:val="99"/>
    <w:semiHidden/>
    <w:rsid w:val="00163F08"/>
    <w:rPr>
      <w:rFonts w:ascii="Times New Roman" w:eastAsia="Calibri" w:hAnsi="Times New Roman" w:cs="Times New Roman"/>
      <w:b/>
      <w:bCs/>
      <w:sz w:val="20"/>
      <w:szCs w:val="20"/>
    </w:rPr>
  </w:style>
  <w:style w:type="paragraph" w:customStyle="1" w:styleId="Replies">
    <w:name w:val="Replies"/>
    <w:link w:val="RepliesChar"/>
    <w:qFormat/>
    <w:rsid w:val="00F40A03"/>
    <w:pPr>
      <w:spacing w:after="200" w:line="276" w:lineRule="auto"/>
    </w:pPr>
    <w:rPr>
      <w:i/>
      <w:sz w:val="20"/>
      <w:szCs w:val="22"/>
      <w:shd w:val="clear" w:color="auto" w:fill="FFFFFF"/>
      <w:lang w:val="en-GB"/>
    </w:rPr>
  </w:style>
  <w:style w:type="character" w:customStyle="1" w:styleId="RepliesChar">
    <w:name w:val="Replies Char"/>
    <w:basedOn w:val="DefaultParagraphFont"/>
    <w:link w:val="Replies"/>
    <w:rsid w:val="00F40A03"/>
    <w:rPr>
      <w:i/>
      <w:sz w:val="20"/>
      <w:szCs w:val="22"/>
      <w:lang w:val="en-GB"/>
    </w:rPr>
  </w:style>
  <w:style w:type="paragraph" w:styleId="Revision">
    <w:name w:val="Revision"/>
    <w:hidden/>
    <w:uiPriority w:val="99"/>
    <w:semiHidden/>
    <w:rsid w:val="00A40AF6"/>
    <w:rPr>
      <w:rFonts w:ascii="Times New Roman" w:eastAsia="Calibri" w:hAnsi="Times New Roman" w:cs="Times New Roman"/>
      <w:sz w:val="20"/>
      <w:szCs w:val="20"/>
    </w:rPr>
  </w:style>
  <w:style w:type="character" w:customStyle="1" w:styleId="apple-converted-space">
    <w:name w:val="apple-converted-space"/>
    <w:basedOn w:val="DefaultParagraphFont"/>
    <w:rsid w:val="00913AAD"/>
  </w:style>
  <w:style w:type="paragraph" w:customStyle="1" w:styleId="References">
    <w:name w:val="References"/>
    <w:basedOn w:val="Normal"/>
    <w:link w:val="ReferencesChar"/>
    <w:qFormat/>
    <w:rsid w:val="005C5601"/>
    <w:pPr>
      <w:widowControl w:val="0"/>
      <w:autoSpaceDE w:val="0"/>
      <w:autoSpaceDN w:val="0"/>
      <w:adjustRightInd w:val="0"/>
      <w:ind w:left="480" w:hanging="480"/>
    </w:pPr>
    <w:rPr>
      <w:sz w:val="18"/>
      <w:szCs w:val="18"/>
    </w:rPr>
  </w:style>
  <w:style w:type="character" w:customStyle="1" w:styleId="ReferencesChar">
    <w:name w:val="References Char"/>
    <w:basedOn w:val="DefaultParagraphFont"/>
    <w:link w:val="References"/>
    <w:rsid w:val="005C5601"/>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08731">
      <w:bodyDiv w:val="1"/>
      <w:marLeft w:val="0"/>
      <w:marRight w:val="0"/>
      <w:marTop w:val="0"/>
      <w:marBottom w:val="0"/>
      <w:divBdr>
        <w:top w:val="none" w:sz="0" w:space="0" w:color="auto"/>
        <w:left w:val="none" w:sz="0" w:space="0" w:color="auto"/>
        <w:bottom w:val="none" w:sz="0" w:space="0" w:color="auto"/>
        <w:right w:val="none" w:sz="0" w:space="0" w:color="auto"/>
      </w:divBdr>
    </w:div>
    <w:div w:id="345134175">
      <w:bodyDiv w:val="1"/>
      <w:marLeft w:val="0"/>
      <w:marRight w:val="0"/>
      <w:marTop w:val="0"/>
      <w:marBottom w:val="0"/>
      <w:divBdr>
        <w:top w:val="none" w:sz="0" w:space="0" w:color="auto"/>
        <w:left w:val="none" w:sz="0" w:space="0" w:color="auto"/>
        <w:bottom w:val="none" w:sz="0" w:space="0" w:color="auto"/>
        <w:right w:val="none" w:sz="0" w:space="0" w:color="auto"/>
      </w:divBdr>
    </w:div>
    <w:div w:id="421487361">
      <w:bodyDiv w:val="1"/>
      <w:marLeft w:val="0"/>
      <w:marRight w:val="0"/>
      <w:marTop w:val="0"/>
      <w:marBottom w:val="0"/>
      <w:divBdr>
        <w:top w:val="none" w:sz="0" w:space="0" w:color="auto"/>
        <w:left w:val="none" w:sz="0" w:space="0" w:color="auto"/>
        <w:bottom w:val="none" w:sz="0" w:space="0" w:color="auto"/>
        <w:right w:val="none" w:sz="0" w:space="0" w:color="auto"/>
      </w:divBdr>
    </w:div>
    <w:div w:id="537671214">
      <w:bodyDiv w:val="1"/>
      <w:marLeft w:val="0"/>
      <w:marRight w:val="0"/>
      <w:marTop w:val="0"/>
      <w:marBottom w:val="0"/>
      <w:divBdr>
        <w:top w:val="none" w:sz="0" w:space="0" w:color="auto"/>
        <w:left w:val="none" w:sz="0" w:space="0" w:color="auto"/>
        <w:bottom w:val="none" w:sz="0" w:space="0" w:color="auto"/>
        <w:right w:val="none" w:sz="0" w:space="0" w:color="auto"/>
      </w:divBdr>
    </w:div>
    <w:div w:id="704406528">
      <w:bodyDiv w:val="1"/>
      <w:marLeft w:val="0"/>
      <w:marRight w:val="0"/>
      <w:marTop w:val="0"/>
      <w:marBottom w:val="0"/>
      <w:divBdr>
        <w:top w:val="none" w:sz="0" w:space="0" w:color="auto"/>
        <w:left w:val="none" w:sz="0" w:space="0" w:color="auto"/>
        <w:bottom w:val="none" w:sz="0" w:space="0" w:color="auto"/>
        <w:right w:val="none" w:sz="0" w:space="0" w:color="auto"/>
      </w:divBdr>
    </w:div>
    <w:div w:id="812676312">
      <w:bodyDiv w:val="1"/>
      <w:marLeft w:val="0"/>
      <w:marRight w:val="0"/>
      <w:marTop w:val="0"/>
      <w:marBottom w:val="0"/>
      <w:divBdr>
        <w:top w:val="none" w:sz="0" w:space="0" w:color="auto"/>
        <w:left w:val="none" w:sz="0" w:space="0" w:color="auto"/>
        <w:bottom w:val="none" w:sz="0" w:space="0" w:color="auto"/>
        <w:right w:val="none" w:sz="0" w:space="0" w:color="auto"/>
      </w:divBdr>
    </w:div>
    <w:div w:id="877201397">
      <w:bodyDiv w:val="1"/>
      <w:marLeft w:val="0"/>
      <w:marRight w:val="0"/>
      <w:marTop w:val="0"/>
      <w:marBottom w:val="0"/>
      <w:divBdr>
        <w:top w:val="none" w:sz="0" w:space="0" w:color="auto"/>
        <w:left w:val="none" w:sz="0" w:space="0" w:color="auto"/>
        <w:bottom w:val="none" w:sz="0" w:space="0" w:color="auto"/>
        <w:right w:val="none" w:sz="0" w:space="0" w:color="auto"/>
      </w:divBdr>
    </w:div>
    <w:div w:id="1017734784">
      <w:bodyDiv w:val="1"/>
      <w:marLeft w:val="0"/>
      <w:marRight w:val="0"/>
      <w:marTop w:val="0"/>
      <w:marBottom w:val="0"/>
      <w:divBdr>
        <w:top w:val="none" w:sz="0" w:space="0" w:color="auto"/>
        <w:left w:val="none" w:sz="0" w:space="0" w:color="auto"/>
        <w:bottom w:val="none" w:sz="0" w:space="0" w:color="auto"/>
        <w:right w:val="none" w:sz="0" w:space="0" w:color="auto"/>
      </w:divBdr>
    </w:div>
    <w:div w:id="1254120579">
      <w:bodyDiv w:val="1"/>
      <w:marLeft w:val="0"/>
      <w:marRight w:val="0"/>
      <w:marTop w:val="0"/>
      <w:marBottom w:val="0"/>
      <w:divBdr>
        <w:top w:val="none" w:sz="0" w:space="0" w:color="auto"/>
        <w:left w:val="none" w:sz="0" w:space="0" w:color="auto"/>
        <w:bottom w:val="none" w:sz="0" w:space="0" w:color="auto"/>
        <w:right w:val="none" w:sz="0" w:space="0" w:color="auto"/>
      </w:divBdr>
    </w:div>
    <w:div w:id="1524050897">
      <w:bodyDiv w:val="1"/>
      <w:marLeft w:val="0"/>
      <w:marRight w:val="0"/>
      <w:marTop w:val="0"/>
      <w:marBottom w:val="0"/>
      <w:divBdr>
        <w:top w:val="none" w:sz="0" w:space="0" w:color="auto"/>
        <w:left w:val="none" w:sz="0" w:space="0" w:color="auto"/>
        <w:bottom w:val="none" w:sz="0" w:space="0" w:color="auto"/>
        <w:right w:val="none" w:sz="0" w:space="0" w:color="auto"/>
      </w:divBdr>
    </w:div>
    <w:div w:id="1572689984">
      <w:bodyDiv w:val="1"/>
      <w:marLeft w:val="0"/>
      <w:marRight w:val="0"/>
      <w:marTop w:val="0"/>
      <w:marBottom w:val="0"/>
      <w:divBdr>
        <w:top w:val="none" w:sz="0" w:space="0" w:color="auto"/>
        <w:left w:val="none" w:sz="0" w:space="0" w:color="auto"/>
        <w:bottom w:val="none" w:sz="0" w:space="0" w:color="auto"/>
        <w:right w:val="none" w:sz="0" w:space="0" w:color="auto"/>
      </w:divBdr>
    </w:div>
    <w:div w:id="1653018542">
      <w:bodyDiv w:val="1"/>
      <w:marLeft w:val="0"/>
      <w:marRight w:val="0"/>
      <w:marTop w:val="0"/>
      <w:marBottom w:val="0"/>
      <w:divBdr>
        <w:top w:val="none" w:sz="0" w:space="0" w:color="auto"/>
        <w:left w:val="none" w:sz="0" w:space="0" w:color="auto"/>
        <w:bottom w:val="none" w:sz="0" w:space="0" w:color="auto"/>
        <w:right w:val="none" w:sz="0" w:space="0" w:color="auto"/>
      </w:divBdr>
    </w:div>
    <w:div w:id="1699696663">
      <w:bodyDiv w:val="1"/>
      <w:marLeft w:val="0"/>
      <w:marRight w:val="0"/>
      <w:marTop w:val="0"/>
      <w:marBottom w:val="0"/>
      <w:divBdr>
        <w:top w:val="none" w:sz="0" w:space="0" w:color="auto"/>
        <w:left w:val="none" w:sz="0" w:space="0" w:color="auto"/>
        <w:bottom w:val="none" w:sz="0" w:space="0" w:color="auto"/>
        <w:right w:val="none" w:sz="0" w:space="0" w:color="auto"/>
      </w:divBdr>
    </w:div>
    <w:div w:id="1858538578">
      <w:bodyDiv w:val="1"/>
      <w:marLeft w:val="0"/>
      <w:marRight w:val="0"/>
      <w:marTop w:val="0"/>
      <w:marBottom w:val="0"/>
      <w:divBdr>
        <w:top w:val="none" w:sz="0" w:space="0" w:color="auto"/>
        <w:left w:val="none" w:sz="0" w:space="0" w:color="auto"/>
        <w:bottom w:val="none" w:sz="0" w:space="0" w:color="auto"/>
        <w:right w:val="none" w:sz="0" w:space="0" w:color="auto"/>
      </w:divBdr>
    </w:div>
    <w:div w:id="2086684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queste@uea.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2C042466-DBED-43B4-A8A8-BBCE58C4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6390</Words>
  <Characters>36425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Hanson</dc:creator>
  <cp:keywords/>
  <dc:description/>
  <cp:lastModifiedBy>Bastien Queste (ENV - Staff)</cp:lastModifiedBy>
  <cp:revision>33</cp:revision>
  <dcterms:created xsi:type="dcterms:W3CDTF">2017-12-04T17:02:00Z</dcterms:created>
  <dcterms:modified xsi:type="dcterms:W3CDTF">2018-03-14T18:03:00Z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3f5f09ad-1b5d-31da-af34-a5c8151a7fad</vt:lpwstr>
  </property>
  <property fmtid="{D5CDD505-2E9C-101B-9397-08002B2CF9AE}" pid="4" name="Mendeley Citation Style_1">
    <vt:lpwstr>http://www.zotero.org/styles/geophysical-research-letters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http://csl.mendeley.com/styles/10568/GeophysicalResearchLetters</vt:lpwstr>
  </property>
  <property fmtid="{D5CDD505-2E9C-101B-9397-08002B2CF9AE}" pid="10" name="Mendeley Recent Style Name 2_1">
    <vt:lpwstr>GRL - Bastien Queste</vt:lpwstr>
  </property>
  <property fmtid="{D5CDD505-2E9C-101B-9397-08002B2CF9AE}" pid="11" name="Mendeley Recent Style Id 3_1">
    <vt:lpwstr>http://www.zotero.org/styles/geophysical-research-letters</vt:lpwstr>
  </property>
  <property fmtid="{D5CDD505-2E9C-101B-9397-08002B2CF9AE}" pid="12" name="Mendeley Recent Style Name 3_1">
    <vt:lpwstr>Geophysical Research Letters</vt:lpwstr>
  </property>
  <property fmtid="{D5CDD505-2E9C-101B-9397-08002B2CF9AE}" pid="13" name="Mendeley Recent Style Id 4_1">
    <vt:lpwstr>http://www.zotero.org/styles/harvard-cite-them-right</vt:lpwstr>
  </property>
  <property fmtid="{D5CDD505-2E9C-101B-9397-08002B2CF9AE}" pid="14" name="Mendeley Recent Style Name 4_1">
    <vt:lpwstr>Harvard - Cite Them Right 9th edition</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