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662D7" w14:textId="77777777" w:rsidR="008265B4" w:rsidRPr="00545D43" w:rsidRDefault="008265B4" w:rsidP="008265B4">
      <w:pPr>
        <w:pStyle w:val="Titre1"/>
      </w:pPr>
      <w:r>
        <w:t xml:space="preserve">Gene expression plasticity, genetic variation and fatty acid remodelling in divergent populations of a tropical bivalve species </w:t>
      </w:r>
    </w:p>
    <w:p w14:paraId="2DAAC0C7" w14:textId="77777777" w:rsidR="008265B4" w:rsidRPr="00E43DC3" w:rsidRDefault="008265B4" w:rsidP="008265B4"/>
    <w:p w14:paraId="0AB250B6" w14:textId="282716CC" w:rsidR="008265B4" w:rsidRDefault="008265B4" w:rsidP="008265B4">
      <w:pPr>
        <w:rPr>
          <w:vertAlign w:val="superscript"/>
          <w:lang w:val="fr-FR"/>
        </w:rPr>
      </w:pPr>
      <w:r w:rsidRPr="00BE483D">
        <w:rPr>
          <w:lang w:val="fr-FR"/>
        </w:rPr>
        <w:t>J. Le Luyer</w:t>
      </w:r>
      <w:proofErr w:type="gramStart"/>
      <w:r w:rsidRPr="00BE483D">
        <w:rPr>
          <w:vertAlign w:val="superscript"/>
          <w:lang w:val="fr-FR"/>
        </w:rPr>
        <w:t>1,*</w:t>
      </w:r>
      <w:proofErr w:type="gramEnd"/>
      <w:r w:rsidRPr="00BE483D">
        <w:rPr>
          <w:lang w:val="fr-FR"/>
        </w:rPr>
        <w:t xml:space="preserve">, </w:t>
      </w:r>
      <w:r w:rsidR="006A5C24">
        <w:rPr>
          <w:lang w:val="fr-FR"/>
        </w:rPr>
        <w:t>C. J. Monaco</w:t>
      </w:r>
      <w:r w:rsidR="006A5C24" w:rsidRPr="00BE483D">
        <w:rPr>
          <w:vertAlign w:val="superscript"/>
          <w:lang w:val="fr-FR"/>
        </w:rPr>
        <w:t>1</w:t>
      </w:r>
      <w:r w:rsidR="006A5C24">
        <w:rPr>
          <w:lang w:val="fr-FR"/>
        </w:rPr>
        <w:t>,</w:t>
      </w:r>
      <w:r w:rsidR="006A5C24" w:rsidRPr="00BE483D">
        <w:rPr>
          <w:lang w:val="fr-FR"/>
        </w:rPr>
        <w:t xml:space="preserve"> </w:t>
      </w:r>
      <w:r w:rsidRPr="00BE483D">
        <w:rPr>
          <w:lang w:val="fr-FR"/>
        </w:rPr>
        <w:t>L. Milhade</w:t>
      </w:r>
      <w:r w:rsidRPr="00BE483D">
        <w:rPr>
          <w:vertAlign w:val="superscript"/>
          <w:lang w:val="fr-FR"/>
        </w:rPr>
        <w:t>1</w:t>
      </w:r>
      <w:r w:rsidRPr="00BE483D">
        <w:rPr>
          <w:lang w:val="fr-FR"/>
        </w:rPr>
        <w:t>,</w:t>
      </w:r>
      <w:r>
        <w:rPr>
          <w:lang w:val="fr-FR"/>
        </w:rPr>
        <w:t xml:space="preserve"> </w:t>
      </w:r>
      <w:r w:rsidRPr="00BE483D">
        <w:rPr>
          <w:lang w:val="fr-FR"/>
        </w:rPr>
        <w:t>C. Reisser</w:t>
      </w:r>
      <w:r w:rsidRPr="00BE483D">
        <w:rPr>
          <w:vertAlign w:val="superscript"/>
          <w:lang w:val="fr-FR"/>
        </w:rPr>
        <w:t>1,2</w:t>
      </w:r>
      <w:r w:rsidRPr="00BE483D">
        <w:rPr>
          <w:lang w:val="fr-FR"/>
        </w:rPr>
        <w:t>, C. Soyez</w:t>
      </w:r>
      <w:r w:rsidRPr="00BE483D">
        <w:rPr>
          <w:vertAlign w:val="superscript"/>
          <w:lang w:val="fr-FR"/>
        </w:rPr>
        <w:t>1</w:t>
      </w:r>
      <w:r w:rsidRPr="00BE483D">
        <w:rPr>
          <w:lang w:val="fr-FR"/>
        </w:rPr>
        <w:t xml:space="preserve">, </w:t>
      </w:r>
      <w:r w:rsidR="00710779">
        <w:rPr>
          <w:lang w:val="fr-FR"/>
        </w:rPr>
        <w:t>H. Raapoto</w:t>
      </w:r>
      <w:r w:rsidR="00710779" w:rsidRPr="00710779">
        <w:rPr>
          <w:vertAlign w:val="superscript"/>
          <w:lang w:val="fr-FR"/>
        </w:rPr>
        <w:t>1</w:t>
      </w:r>
      <w:r w:rsidR="00710779">
        <w:rPr>
          <w:lang w:val="fr-FR"/>
        </w:rPr>
        <w:t xml:space="preserve">, </w:t>
      </w:r>
      <w:r w:rsidRPr="00BE483D">
        <w:rPr>
          <w:lang w:val="fr-FR"/>
        </w:rPr>
        <w:t>C. Belliard</w:t>
      </w:r>
      <w:r w:rsidRPr="00BE483D">
        <w:rPr>
          <w:vertAlign w:val="superscript"/>
          <w:lang w:val="fr-FR"/>
        </w:rPr>
        <w:t>1</w:t>
      </w:r>
      <w:r w:rsidRPr="00BE483D">
        <w:rPr>
          <w:lang w:val="fr-FR"/>
        </w:rPr>
        <w:t>, G. Le Moullac</w:t>
      </w:r>
      <w:r w:rsidRPr="00BE483D">
        <w:rPr>
          <w:vertAlign w:val="superscript"/>
          <w:lang w:val="fr-FR"/>
        </w:rPr>
        <w:t>1</w:t>
      </w:r>
      <w:r w:rsidRPr="00BE483D">
        <w:rPr>
          <w:lang w:val="fr-FR"/>
        </w:rPr>
        <w:t>,</w:t>
      </w:r>
      <w:r w:rsidRPr="0040723A">
        <w:rPr>
          <w:lang w:val="fr-FR"/>
        </w:rPr>
        <w:t xml:space="preserve"> </w:t>
      </w:r>
      <w:r w:rsidRPr="00BE483D">
        <w:rPr>
          <w:lang w:val="fr-FR"/>
        </w:rPr>
        <w:t>C.-L. Ky</w:t>
      </w:r>
      <w:r w:rsidRPr="00BE483D">
        <w:rPr>
          <w:vertAlign w:val="superscript"/>
          <w:lang w:val="fr-FR"/>
        </w:rPr>
        <w:t>1</w:t>
      </w:r>
      <w:r>
        <w:rPr>
          <w:vertAlign w:val="superscript"/>
          <w:lang w:val="fr-FR"/>
        </w:rPr>
        <w:t>,3</w:t>
      </w:r>
      <w:r>
        <w:rPr>
          <w:lang w:val="fr-FR"/>
        </w:rPr>
        <w:t xml:space="preserve"> and</w:t>
      </w:r>
      <w:r w:rsidRPr="00BE483D">
        <w:rPr>
          <w:lang w:val="fr-FR"/>
        </w:rPr>
        <w:t xml:space="preserve"> F. Pernet</w:t>
      </w:r>
      <w:r>
        <w:rPr>
          <w:vertAlign w:val="superscript"/>
          <w:lang w:val="fr-FR"/>
        </w:rPr>
        <w:t>4</w:t>
      </w:r>
    </w:p>
    <w:p w14:paraId="75CF155B" w14:textId="77777777" w:rsidR="008265B4" w:rsidRPr="00BE483D" w:rsidRDefault="008265B4" w:rsidP="008265B4">
      <w:pPr>
        <w:rPr>
          <w:lang w:val="fr-FR"/>
        </w:rPr>
      </w:pPr>
    </w:p>
    <w:p w14:paraId="24732997" w14:textId="77777777" w:rsidR="008265B4" w:rsidRPr="00AD0CEC" w:rsidRDefault="008265B4" w:rsidP="008265B4">
      <w:pPr>
        <w:rPr>
          <w:rFonts w:eastAsia="Times New Roman"/>
          <w:sz w:val="20"/>
          <w:szCs w:val="20"/>
          <w:lang w:val="fr-FR" w:eastAsia="fr-FR"/>
        </w:rPr>
      </w:pPr>
      <w:r w:rsidRPr="00BE483D">
        <w:rPr>
          <w:vertAlign w:val="superscript"/>
          <w:lang w:val="fr-FR" w:eastAsia="fr-FR"/>
        </w:rPr>
        <w:t>1.</w:t>
      </w:r>
      <w:r w:rsidRPr="00BE483D">
        <w:rPr>
          <w:lang w:val="fr-FR" w:eastAsia="fr-FR"/>
        </w:rPr>
        <w:t xml:space="preserve"> </w:t>
      </w:r>
      <w:r w:rsidRPr="00943C3D">
        <w:rPr>
          <w:lang w:val="fr-FR"/>
        </w:rPr>
        <w:t>Ifremer, IRD, Institut Louis</w:t>
      </w:r>
      <w:r w:rsidRPr="00943C3D">
        <w:rPr>
          <w:rFonts w:ascii="Cambria Math" w:hAnsi="Cambria Math" w:cs="Cambria Math"/>
          <w:lang w:val="fr-FR"/>
        </w:rPr>
        <w:t>‐</w:t>
      </w:r>
      <w:r w:rsidRPr="00943C3D">
        <w:rPr>
          <w:lang w:val="fr-FR"/>
        </w:rPr>
        <w:t>Malardé, Univ Polynésie française, EIO, F</w:t>
      </w:r>
      <w:r w:rsidRPr="00943C3D">
        <w:rPr>
          <w:rFonts w:ascii="Cambria Math" w:hAnsi="Cambria Math" w:cs="Cambria Math"/>
          <w:lang w:val="fr-FR"/>
        </w:rPr>
        <w:t>‐</w:t>
      </w:r>
      <w:r w:rsidRPr="00943C3D">
        <w:rPr>
          <w:lang w:val="fr-FR"/>
        </w:rPr>
        <w:t>98719 Taravao, Tahiti, Polynésie française, France</w:t>
      </w:r>
    </w:p>
    <w:p w14:paraId="710F3E20" w14:textId="77777777" w:rsidR="008265B4" w:rsidRPr="00AD0CEC" w:rsidRDefault="008265B4" w:rsidP="008265B4">
      <w:pPr>
        <w:rPr>
          <w:lang w:val="fr-FR"/>
        </w:rPr>
      </w:pPr>
      <w:r w:rsidRPr="00AD0CEC">
        <w:rPr>
          <w:vertAlign w:val="superscript"/>
          <w:lang w:val="fr-FR" w:eastAsia="fr-FR"/>
        </w:rPr>
        <w:t>2.</w:t>
      </w:r>
      <w:r w:rsidRPr="00AD0CEC">
        <w:rPr>
          <w:lang w:val="fr-FR" w:eastAsia="fr-FR"/>
        </w:rPr>
        <w:t xml:space="preserve"> </w:t>
      </w:r>
      <w:r w:rsidRPr="00485DCB">
        <w:rPr>
          <w:lang w:val="fr-FR"/>
        </w:rPr>
        <w:t>MARBEC, Univ Montpellier, CNRS, IFREMER, IRD, Montpellier, France</w:t>
      </w:r>
    </w:p>
    <w:p w14:paraId="70CF3B45" w14:textId="77777777" w:rsidR="008265B4" w:rsidRDefault="008265B4" w:rsidP="008265B4">
      <w:pPr>
        <w:spacing w:after="0" w:line="240" w:lineRule="auto"/>
        <w:jc w:val="left"/>
        <w:rPr>
          <w:lang w:val="fr-FR" w:eastAsia="fr-FR"/>
        </w:rPr>
      </w:pPr>
      <w:r>
        <w:rPr>
          <w:vertAlign w:val="superscript"/>
          <w:lang w:val="fr-FR" w:eastAsia="fr-FR"/>
        </w:rPr>
        <w:t>3</w:t>
      </w:r>
      <w:r w:rsidRPr="00014B3E">
        <w:rPr>
          <w:vertAlign w:val="superscript"/>
          <w:lang w:val="fr-FR" w:eastAsia="fr-FR"/>
        </w:rPr>
        <w:t>.</w:t>
      </w:r>
      <w:r>
        <w:rPr>
          <w:lang w:val="fr-FR" w:eastAsia="fr-FR"/>
        </w:rPr>
        <w:t xml:space="preserve"> Ifremer, IHPE</w:t>
      </w:r>
      <w:r w:rsidRPr="00107553">
        <w:rPr>
          <w:lang w:val="fr-FR" w:eastAsia="fr-FR"/>
        </w:rPr>
        <w:t xml:space="preserve">, Univ. Montpellier, CNRS, Univ. Perpignan Via Domitia, Montpellier, </w:t>
      </w:r>
      <w:r>
        <w:rPr>
          <w:lang w:val="fr-FR" w:eastAsia="fr-FR"/>
        </w:rPr>
        <w:t>France</w:t>
      </w:r>
    </w:p>
    <w:p w14:paraId="5921CAC3" w14:textId="77777777" w:rsidR="008265B4" w:rsidRDefault="008265B4" w:rsidP="008265B4">
      <w:pPr>
        <w:spacing w:after="0" w:line="240" w:lineRule="auto"/>
        <w:jc w:val="left"/>
        <w:rPr>
          <w:lang w:val="fr-FR" w:eastAsia="fr-FR"/>
        </w:rPr>
      </w:pPr>
    </w:p>
    <w:p w14:paraId="006C8F0F" w14:textId="77777777" w:rsidR="008265B4" w:rsidRDefault="008265B4" w:rsidP="008265B4">
      <w:pPr>
        <w:rPr>
          <w:lang w:val="fr-FR" w:eastAsia="fr-FR"/>
        </w:rPr>
      </w:pPr>
      <w:r>
        <w:rPr>
          <w:vertAlign w:val="superscript"/>
          <w:lang w:val="fr-FR" w:eastAsia="fr-FR"/>
        </w:rPr>
        <w:t>4</w:t>
      </w:r>
      <w:r w:rsidRPr="00AD0CEC">
        <w:rPr>
          <w:vertAlign w:val="superscript"/>
          <w:lang w:val="fr-FR" w:eastAsia="fr-FR"/>
        </w:rPr>
        <w:t>.</w:t>
      </w:r>
      <w:r w:rsidRPr="00AD0CEC">
        <w:rPr>
          <w:lang w:val="fr-FR" w:eastAsia="fr-FR"/>
        </w:rPr>
        <w:t xml:space="preserve"> </w:t>
      </w:r>
      <w:r w:rsidRPr="00BD5F59">
        <w:rPr>
          <w:lang w:val="fr-FR"/>
        </w:rPr>
        <w:t>Univ Brest, Ifremer, CNRS, IRD, LEMAR, F-29280 Plouzané, France</w:t>
      </w:r>
      <w:r w:rsidRPr="00AD0CEC" w:rsidDel="006D19E8">
        <w:rPr>
          <w:lang w:val="fr-FR"/>
        </w:rPr>
        <w:t xml:space="preserve"> </w:t>
      </w:r>
    </w:p>
    <w:p w14:paraId="5FB8DB5C" w14:textId="77777777" w:rsidR="008265B4" w:rsidRPr="008951C9" w:rsidRDefault="008265B4" w:rsidP="008265B4">
      <w:pPr>
        <w:spacing w:after="0" w:line="240" w:lineRule="auto"/>
        <w:jc w:val="left"/>
        <w:rPr>
          <w:rFonts w:eastAsia="Times New Roman"/>
          <w:lang w:val="fr-FR" w:eastAsia="fr-FR"/>
        </w:rPr>
      </w:pPr>
    </w:p>
    <w:p w14:paraId="51C43901" w14:textId="77777777" w:rsidR="008265B4" w:rsidRPr="00AD0CEC" w:rsidRDefault="008265B4" w:rsidP="008265B4">
      <w:pPr>
        <w:pStyle w:val="Corpsdetexte"/>
        <w:rPr>
          <w:lang w:val="fr-FR"/>
        </w:rPr>
      </w:pPr>
    </w:p>
    <w:p w14:paraId="6FCBC5D5" w14:textId="77777777" w:rsidR="008265B4" w:rsidRPr="00BD5F59" w:rsidRDefault="008265B4" w:rsidP="008265B4">
      <w:pPr>
        <w:rPr>
          <w:lang w:val="en-US"/>
        </w:rPr>
      </w:pPr>
      <w:r w:rsidRPr="00BD5F59">
        <w:rPr>
          <w:b/>
          <w:lang w:val="en-US"/>
        </w:rPr>
        <w:t>*Authors for correspondence</w:t>
      </w:r>
      <w:r w:rsidRPr="00BD5F59">
        <w:rPr>
          <w:lang w:val="en-US"/>
        </w:rPr>
        <w:t>: jeremy.le.luyer@ifremer.fr</w:t>
      </w:r>
    </w:p>
    <w:p w14:paraId="777180D9" w14:textId="77777777" w:rsidR="008265B4" w:rsidRPr="00BD5F59" w:rsidRDefault="008265B4" w:rsidP="008265B4">
      <w:pPr>
        <w:rPr>
          <w:lang w:val="en-US"/>
        </w:rPr>
      </w:pPr>
    </w:p>
    <w:p w14:paraId="58690A6E" w14:textId="36E38730" w:rsidR="001D158D" w:rsidRDefault="008265B4" w:rsidP="008265B4">
      <w:pPr>
        <w:rPr>
          <w:lang w:val="en-US"/>
        </w:rPr>
      </w:pPr>
      <w:r w:rsidRPr="0001485B">
        <w:rPr>
          <w:b/>
          <w:lang w:val="en-US"/>
        </w:rPr>
        <w:t>Keywords</w:t>
      </w:r>
      <w:r w:rsidRPr="0001485B">
        <w:rPr>
          <w:lang w:val="en-US"/>
        </w:rPr>
        <w:t>: acclimation; adaptation; fatty acids</w:t>
      </w:r>
      <w:r>
        <w:rPr>
          <w:lang w:val="en-US"/>
        </w:rPr>
        <w:t xml:space="preserve"> remodeling</w:t>
      </w:r>
      <w:r w:rsidRPr="0001485B">
        <w:rPr>
          <w:lang w:val="en-US"/>
        </w:rPr>
        <w:t>; RNA-seq</w:t>
      </w:r>
      <w:r w:rsidRPr="0001485B">
        <w:rPr>
          <w:i/>
          <w:lang w:val="en-US"/>
        </w:rPr>
        <w:t xml:space="preserve">; </w:t>
      </w:r>
      <w:r w:rsidRPr="0001485B">
        <w:rPr>
          <w:lang w:val="en-US"/>
        </w:rPr>
        <w:t>thermal plasticity</w:t>
      </w:r>
    </w:p>
    <w:p w14:paraId="51C5FC93" w14:textId="77777777" w:rsidR="001D158D" w:rsidRDefault="001D158D">
      <w:pPr>
        <w:spacing w:after="0" w:line="240" w:lineRule="auto"/>
        <w:ind w:firstLine="0"/>
        <w:jc w:val="left"/>
        <w:rPr>
          <w:lang w:val="en-US"/>
        </w:rPr>
      </w:pPr>
      <w:r>
        <w:rPr>
          <w:lang w:val="en-US"/>
        </w:rPr>
        <w:br w:type="page"/>
      </w:r>
    </w:p>
    <w:p w14:paraId="618C59DC" w14:textId="238E106B" w:rsidR="00892EE2" w:rsidRDefault="00892EE2" w:rsidP="00F92DCD">
      <w:pPr>
        <w:pStyle w:val="Titre3"/>
      </w:pPr>
      <w:r>
        <w:lastRenderedPageBreak/>
        <w:t>Animal husbandry</w:t>
      </w:r>
    </w:p>
    <w:p w14:paraId="32D0EADF" w14:textId="7A722B97" w:rsidR="00710779" w:rsidRPr="00BF1DE5" w:rsidRDefault="00710779" w:rsidP="008467B2">
      <w:pPr>
        <w:spacing w:after="0"/>
        <w:ind w:firstLine="0"/>
        <w:rPr>
          <w:rFonts w:eastAsia="Times New Roman"/>
          <w:color w:val="000000" w:themeColor="text1"/>
          <w:sz w:val="24"/>
          <w:szCs w:val="24"/>
          <w:lang w:val="en-US" w:eastAsia="fr-FR"/>
        </w:rPr>
      </w:pPr>
      <w:r w:rsidRPr="008D6402">
        <w:rPr>
          <w:b/>
          <w:bCs/>
          <w:lang w:val="en-GB"/>
        </w:rPr>
        <w:t>F1 animal maintaining.</w:t>
      </w:r>
      <w:r>
        <w:rPr>
          <w:lang w:val="en-GB"/>
        </w:rPr>
        <w:t xml:space="preserve"> </w:t>
      </w:r>
      <w:r w:rsidR="00144E3A" w:rsidRPr="00144E3A">
        <w:rPr>
          <w:color w:val="000000" w:themeColor="text1"/>
          <w:lang w:val="en-GB"/>
        </w:rPr>
        <w:t xml:space="preserve">The larval rearing (20-22 days post-fecundation) is usually conducted in ambient seawater temperature, then, once spat are fixed to collectors and they are transferred to lines in the lagoons of Vairao (Tahiti) and Mangareva (Gambier), for the Marquesas and Gambier populations, respectively. </w:t>
      </w:r>
      <w:r w:rsidR="00144E3A" w:rsidRPr="00144E3A">
        <w:rPr>
          <w:color w:val="000000" w:themeColor="text1"/>
        </w:rPr>
        <w:t xml:space="preserve">The F1 individuals experience exact thus same variation than the wild individuals. </w:t>
      </w:r>
      <w:r w:rsidR="00144E3A" w:rsidRPr="00144E3A">
        <w:rPr>
          <w:color w:val="000000" w:themeColor="text1"/>
          <w:lang w:val="en-GB"/>
        </w:rPr>
        <w:t xml:space="preserve">During this time, temperature was recorded based on sea surface temperature. </w:t>
      </w:r>
      <w:r w:rsidR="00144E3A" w:rsidRPr="00144E3A">
        <w:rPr>
          <w:rFonts w:eastAsia="Times New Roman"/>
          <w:color w:val="000000" w:themeColor="text1"/>
          <w:shd w:val="clear" w:color="auto" w:fill="FFFFFF"/>
          <w:lang w:val="en-US" w:eastAsia="fr-FR"/>
        </w:rPr>
        <w:t xml:space="preserve">For surface temperatures, we used the Multi-scale Ultra high Resolution (MUR) SST analysis </w:t>
      </w:r>
      <w:r w:rsidR="00144E3A" w:rsidRPr="00144E3A">
        <w:rPr>
          <w:rFonts w:eastAsia="Times New Roman"/>
          <w:color w:val="000000" w:themeColor="text1"/>
          <w:shd w:val="clear" w:color="auto" w:fill="FFFFFF"/>
          <w:lang w:val="en-US" w:eastAsia="fr-FR"/>
        </w:rPr>
        <w:fldChar w:fldCharType="begin"/>
      </w:r>
      <w:r w:rsidR="00144E3A" w:rsidRPr="00144E3A">
        <w:rPr>
          <w:rFonts w:eastAsia="Times New Roman"/>
          <w:color w:val="000000" w:themeColor="text1"/>
          <w:shd w:val="clear" w:color="auto" w:fill="FFFFFF"/>
          <w:lang w:val="en-US" w:eastAsia="fr-FR"/>
        </w:rPr>
        <w:instrText xml:space="preserve"> ADDIN ZOTERO_ITEM CSL_CITATION {"citationID":"znJoscUn","properties":{"formattedCitation":"(Chin et al., 2017)","plainCitation":"(Chin et al., 2017)","noteIndex":0},"citationItems":[{"id":18847,"uris":["http://zotero.org/users/2561899/items/J5R7FMRP"],"uri":["http://zotero.org/users/2561899/items/J5R7FMRP"],"itemData":{"id":18847,"type":"article-journal","abstract":"The Multi-scale Ultra-high Resolution (MUR) sea surface temperature (SST) analysis presents daily SST estimates on a global 0.01° ×0.01° grid. The current version (Version 4.1, http://dx.doi.org/10.5067/GHGMR-4FJ04) features the 1-km resolution MODIS retrievals, which are fused with AVHRR GAC, microwave, and in-situ SST data by applying internal correction for relative biases among the data sets. Only the night-time (dusk to dawn locally) satellite SST retrievals are used to estimate the foundation SST. The MUR SST values agree with the GHRSST Multi-Product Ensemble (GMPE) SST ﬁeld to 0.36°C on average, except in summer-time Arctic region where the existing SST analysis products are known to disagree with each other. The feature resolution of the MUR SST analysis is an order of magnitude higher than most existing analysis products.","container-title":"Remote Sensing of Environment","DOI":"10.1016/j.rse.2017.07.029","ISSN":"00344257","journalAbbreviation":"Remote Sensing of Environment","language":"en","page":"154-169","source":"DOI.org (Crossref)","title":"A multi-scale high-resolution analysis of global sea surface temperature","volume":"200","author":[{"family":"Chin","given":"Toshio Michael"},{"family":"Vazquez-Cuervo","given":"Jorge"},{"family":"Armstrong","given":"Edward M."}],"issued":{"date-parts":[["2017",10]]}}}],"schema":"https://github.com/citation-style-language/schema/raw/master/csl-citation.json"} </w:instrText>
      </w:r>
      <w:r w:rsidR="00144E3A" w:rsidRPr="00144E3A">
        <w:rPr>
          <w:rFonts w:eastAsia="Times New Roman"/>
          <w:color w:val="000000" w:themeColor="text1"/>
          <w:shd w:val="clear" w:color="auto" w:fill="FFFFFF"/>
          <w:lang w:val="en-US" w:eastAsia="fr-FR"/>
        </w:rPr>
        <w:fldChar w:fldCharType="separate"/>
      </w:r>
      <w:r w:rsidR="00144E3A" w:rsidRPr="00144E3A">
        <w:rPr>
          <w:rFonts w:eastAsia="Times New Roman"/>
          <w:noProof/>
          <w:color w:val="000000" w:themeColor="text1"/>
          <w:shd w:val="clear" w:color="auto" w:fill="FFFFFF"/>
          <w:lang w:val="en-US" w:eastAsia="fr-FR"/>
        </w:rPr>
        <w:t>(Chin et al., 2017)</w:t>
      </w:r>
      <w:r w:rsidR="00144E3A" w:rsidRPr="00144E3A">
        <w:rPr>
          <w:rFonts w:eastAsia="Times New Roman"/>
          <w:color w:val="000000" w:themeColor="text1"/>
          <w:shd w:val="clear" w:color="auto" w:fill="FFFFFF"/>
          <w:lang w:val="en-US" w:eastAsia="fr-FR"/>
        </w:rPr>
        <w:fldChar w:fldCharType="end"/>
      </w:r>
      <w:r w:rsidR="00144E3A" w:rsidRPr="00144E3A">
        <w:rPr>
          <w:rFonts w:eastAsia="Times New Roman"/>
          <w:color w:val="000000" w:themeColor="text1"/>
          <w:shd w:val="clear" w:color="auto" w:fill="FFFFFF"/>
          <w:lang w:val="en-US" w:eastAsia="fr-FR"/>
        </w:rPr>
        <w:t xml:space="preserve"> which provides daily temperatures at 0.01 degree (approximately 1km) resolution. The </w:t>
      </w:r>
      <w:proofErr w:type="spellStart"/>
      <w:r w:rsidR="00144E3A" w:rsidRPr="00144E3A">
        <w:rPr>
          <w:rFonts w:eastAsia="Times New Roman"/>
          <w:color w:val="000000" w:themeColor="text1"/>
          <w:shd w:val="clear" w:color="auto" w:fill="FFFFFF"/>
          <w:lang w:val="en-US" w:eastAsia="fr-FR"/>
        </w:rPr>
        <w:t>Millenium</w:t>
      </w:r>
      <w:proofErr w:type="spellEnd"/>
      <w:r w:rsidR="00144E3A" w:rsidRPr="00144E3A">
        <w:rPr>
          <w:rFonts w:eastAsia="Times New Roman"/>
          <w:color w:val="000000" w:themeColor="text1"/>
          <w:shd w:val="clear" w:color="auto" w:fill="FFFFFF"/>
          <w:lang w:val="en-US" w:eastAsia="fr-FR"/>
        </w:rPr>
        <w:t xml:space="preserve"> Coral Reef Mapping Project </w:t>
      </w:r>
      <w:r w:rsidR="00144E3A" w:rsidRPr="00144E3A">
        <w:rPr>
          <w:rFonts w:eastAsia="Times New Roman"/>
          <w:color w:val="000000" w:themeColor="text1"/>
          <w:shd w:val="clear" w:color="auto" w:fill="FFFFFF"/>
          <w:lang w:val="en-US" w:eastAsia="fr-FR"/>
        </w:rPr>
        <w:fldChar w:fldCharType="begin"/>
      </w:r>
      <w:r w:rsidR="00144E3A" w:rsidRPr="00144E3A">
        <w:rPr>
          <w:rFonts w:eastAsia="Times New Roman"/>
          <w:color w:val="000000" w:themeColor="text1"/>
          <w:shd w:val="clear" w:color="auto" w:fill="FFFFFF"/>
          <w:lang w:val="en-US" w:eastAsia="fr-FR"/>
        </w:rPr>
        <w:instrText xml:space="preserve"> ADDIN ZOTERO_ITEM CSL_CITATION {"citationID":"0ketkX3p","properties":{"formattedCitation":"(Andr\\uc0\\u233{}fou\\uc0\\u235{}t et al., 2006)","plainCitation":"(Andréfouët et al., 2006)","noteIndex":0},"citationItems":[{"id":18849,"uris":["http://zotero.org/users/2561899/items/MBHDS2YB"],"uri":["http://zotero.org/users/2561899/items/MBHDS2YB"],"itemData":{"id":18849,"type":"article-journal","abstract":"In 2001, the Millennium Coral Reef Mapping Project initiated a global compilation of 30-meter spatial resolution Landsat 7 ETM+ satellite images that provides unprecedented coverage of coral reefs worldwide. From this unique image data set, it is possible to create globally consistent map products to serve local, regional and global applications. The project has examined ~1,500 images to design a thematically rich (966 classes) geomorphological classification scheme used to interpret and map every single reef of the planet. Compared to previously existing databases, the maps provide greatly enhanced localization, inventory and spatial analysis of reef structures. Distributed as Geographic Information Systems layers beginning in late 2003, the map products, have been used for a variety of applications. We present an overview of the milestones of the project and the methods we followed to create the image archive and use it to develop geomorphological maps of the world’s coral reefs. We also present preliminary results obtained for a variety of applications—namely reef surface quantification, establishment of marine protected areas in Papua New Guinea and Eastern Caribbean, reef condition assessment in the Caribbean, morphometric analyses of Maldivian reefs and geochemical budgets in French Polynesian atolls. We believe that many scientists and managers will use the data and maps in a variety of applications and that the dataset will become a lasting foundation for understanding and conserving coral reefs around the world.","container-title":"Proceedings of 10th International Coral Reef Symposium","language":"en","page":"1732-1745","source":"Zotero","title":"Global assessment of modern coral reef extent and diversity for regional science and management applications: a view from space","author":[{"family":"Andréfouët","given":"Serge"},{"family":"Muller-Karger","given":"Frank E"},{"family":"Robinson","given":"Julie A"},{"family":"Torres-Pulliza","given":"Damaris"},{"family":"Spraggins","given":"Steven A"},{"family":"Murch","given":"Brock"}],"issued":{"date-parts":[["2006"]]}}}],"schema":"https://github.com/citation-style-language/schema/raw/master/csl-citation.json"} </w:instrText>
      </w:r>
      <w:r w:rsidR="00144E3A" w:rsidRPr="00144E3A">
        <w:rPr>
          <w:rFonts w:eastAsia="Times New Roman"/>
          <w:color w:val="000000" w:themeColor="text1"/>
          <w:shd w:val="clear" w:color="auto" w:fill="FFFFFF"/>
          <w:lang w:val="en-US" w:eastAsia="fr-FR"/>
        </w:rPr>
        <w:fldChar w:fldCharType="separate"/>
      </w:r>
      <w:r w:rsidR="00144E3A" w:rsidRPr="00144E3A">
        <w:rPr>
          <w:color w:val="000000" w:themeColor="text1"/>
        </w:rPr>
        <w:t>(Andréfouët et al., 2006)</w:t>
      </w:r>
      <w:r w:rsidR="00144E3A" w:rsidRPr="00144E3A">
        <w:rPr>
          <w:rFonts w:eastAsia="Times New Roman"/>
          <w:color w:val="000000" w:themeColor="text1"/>
          <w:shd w:val="clear" w:color="auto" w:fill="FFFFFF"/>
          <w:lang w:val="en-US" w:eastAsia="fr-FR"/>
        </w:rPr>
        <w:fldChar w:fldCharType="end"/>
      </w:r>
      <w:r w:rsidR="00144E3A" w:rsidRPr="00144E3A">
        <w:rPr>
          <w:rFonts w:eastAsia="Times New Roman"/>
          <w:color w:val="000000" w:themeColor="text1"/>
          <w:shd w:val="clear" w:color="auto" w:fill="FFFFFF"/>
          <w:lang w:val="en-US" w:eastAsia="fr-FR"/>
        </w:rPr>
        <w:t xml:space="preserve"> at 30m resolution was used to identify and discard land pixels. Pixels remaining in the lagoon were then extracted on a period extending from June 2015 to December 2017</w:t>
      </w:r>
      <w:r w:rsidR="00144E3A" w:rsidRPr="00144E3A">
        <w:rPr>
          <w:rFonts w:eastAsia="Times New Roman"/>
          <w:color w:val="000000" w:themeColor="text1"/>
        </w:rPr>
        <w:t xml:space="preserve"> (Figure S1)</w:t>
      </w:r>
      <w:r w:rsidR="00144E3A" w:rsidRPr="00144E3A">
        <w:rPr>
          <w:rFonts w:eastAsia="Times New Roman"/>
          <w:color w:val="000000" w:themeColor="text1"/>
          <w:shd w:val="clear" w:color="auto" w:fill="FFFFFF"/>
          <w:lang w:val="en-US" w:eastAsia="fr-FR"/>
        </w:rPr>
        <w:t>. </w:t>
      </w:r>
      <w:r w:rsidR="00144E3A" w:rsidRPr="00144E3A">
        <w:rPr>
          <w:color w:val="000000" w:themeColor="text1"/>
        </w:rPr>
        <w:t>The F1 individuals experience exact thus same variation than the wild individuals</w:t>
      </w:r>
      <w:r w:rsidR="00144E3A" w:rsidRPr="0097150B">
        <w:rPr>
          <w:color w:val="4F81BD" w:themeColor="accent1"/>
        </w:rPr>
        <w:t>.</w:t>
      </w:r>
      <w:r w:rsidR="00144E3A">
        <w:t xml:space="preserve"> It is important to note that f</w:t>
      </w:r>
      <w:r w:rsidR="00144E3A" w:rsidRPr="00660B99">
        <w:t xml:space="preserve">or the </w:t>
      </w:r>
      <w:r w:rsidR="00144E3A">
        <w:t xml:space="preserve">F1 </w:t>
      </w:r>
      <w:r w:rsidR="00144E3A" w:rsidRPr="00660B99">
        <w:t xml:space="preserve">Marquesas </w:t>
      </w:r>
      <w:r w:rsidR="00144E3A">
        <w:t>population</w:t>
      </w:r>
      <w:r w:rsidR="00144E3A" w:rsidRPr="00660B99">
        <w:t>, the animals were maintained in the lagoo</w:t>
      </w:r>
      <w:r w:rsidR="00144E3A">
        <w:t>n</w:t>
      </w:r>
      <w:r w:rsidR="00144E3A" w:rsidRPr="00660B99">
        <w:t xml:space="preserve"> of Tahiti. They </w:t>
      </w:r>
      <w:r w:rsidR="00144E3A">
        <w:t xml:space="preserve">probably </w:t>
      </w:r>
      <w:r w:rsidR="00144E3A" w:rsidRPr="00660B99">
        <w:t>did not experience same extremes variation</w:t>
      </w:r>
      <w:r w:rsidR="00144E3A">
        <w:t>s</w:t>
      </w:r>
      <w:r w:rsidR="00144E3A" w:rsidRPr="00660B99">
        <w:t xml:space="preserve"> as experienced </w:t>
      </w:r>
      <w:r w:rsidR="00144E3A">
        <w:t xml:space="preserve">by </w:t>
      </w:r>
      <w:r w:rsidR="00144E3A" w:rsidRPr="00660B99">
        <w:t xml:space="preserve">the individuals </w:t>
      </w:r>
      <w:r w:rsidR="00144E3A">
        <w:t xml:space="preserve">living </w:t>
      </w:r>
      <w:r w:rsidR="00144E3A" w:rsidRPr="00660B99">
        <w:t>in the tide pools</w:t>
      </w:r>
      <w:r w:rsidR="00144E3A">
        <w:t>. Nevertheless, temperatures in the water columns in Marquesas are similar to the variations recorded in Tahiti. We expect that gametes are expulsed on the Marquesas water columns, so gametes and young stages experience similar temperature conditions in Tahiti or in the Marquesas.</w:t>
      </w:r>
      <w:r w:rsidR="008467B2">
        <w:rPr>
          <w:lang w:val="en-US"/>
        </w:rPr>
        <w:tab/>
      </w:r>
      <w:r>
        <w:rPr>
          <w:lang w:val="en-GB"/>
        </w:rPr>
        <w:t>One month prior to the start of the experiment (</w:t>
      </w:r>
      <w:r w:rsidRPr="00660989">
        <w:rPr>
          <w:lang w:val="en-GB"/>
        </w:rPr>
        <w:t>September 2017</w:t>
      </w:r>
      <w:r>
        <w:rPr>
          <w:lang w:val="en-GB"/>
        </w:rPr>
        <w:t>), the Gambier population was transferred to the Vairao lagoon on the exact same lines than Marquesas population.</w:t>
      </w:r>
    </w:p>
    <w:p w14:paraId="13CF335F" w14:textId="77777777" w:rsidR="00710779" w:rsidRDefault="00710779" w:rsidP="00710779">
      <w:pPr>
        <w:jc w:val="center"/>
        <w:rPr>
          <w:lang w:val="en-GB"/>
        </w:rPr>
      </w:pPr>
      <w:r>
        <w:rPr>
          <w:noProof/>
          <w:lang w:val="en-GB"/>
        </w:rPr>
        <w:lastRenderedPageBreak/>
        <mc:AlternateContent>
          <mc:Choice Requires="wps">
            <w:drawing>
              <wp:anchor distT="0" distB="0" distL="114300" distR="114300" simplePos="0" relativeHeight="251660288" behindDoc="0" locked="0" layoutInCell="1" allowOverlap="1" wp14:anchorId="6CC07923" wp14:editId="2EF420BD">
                <wp:simplePos x="0" y="0"/>
                <wp:positionH relativeFrom="column">
                  <wp:posOffset>228258</wp:posOffset>
                </wp:positionH>
                <wp:positionV relativeFrom="paragraph">
                  <wp:posOffset>269923</wp:posOffset>
                </wp:positionV>
                <wp:extent cx="742462" cy="333424"/>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742462" cy="333424"/>
                        </a:xfrm>
                        <a:prstGeom prst="rect">
                          <a:avLst/>
                        </a:prstGeom>
                        <a:solidFill>
                          <a:schemeClr val="lt1"/>
                        </a:solidFill>
                        <a:ln w="6350">
                          <a:noFill/>
                        </a:ln>
                      </wps:spPr>
                      <wps:txbx>
                        <w:txbxContent>
                          <w:p w14:paraId="2E21D407" w14:textId="77777777" w:rsidR="00710779" w:rsidRPr="00660989" w:rsidRDefault="00710779" w:rsidP="00710779">
                            <w:pPr>
                              <w:jc w:val="center"/>
                              <w:rPr>
                                <w:b/>
                                <w:bCs/>
                                <w:lang w:val="fr-FR"/>
                              </w:rPr>
                            </w:pPr>
                            <w:r w:rsidRPr="00660989">
                              <w:rPr>
                                <w:b/>
                                <w:bCs/>
                                <w:lang w:val="fr-FR"/>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07923" id="_x0000_t202" coordsize="21600,21600" o:spt="202" path="m,l,21600r21600,l21600,xe">
                <v:stroke joinstyle="miter"/>
                <v:path gradientshapeok="t" o:connecttype="rect"/>
              </v:shapetype>
              <v:shape id="Zone de texte 11" o:spid="_x0000_s1026" type="#_x0000_t202" style="position:absolute;left:0;text-align:left;margin-left:17.95pt;margin-top:21.25pt;width:58.4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" fillcolor="white [3201]" stroked="f" strokeweight=".5pt">
                <v:textbox>
                  <w:txbxContent>
                    <w:p w14:paraId="2E21D407" w14:textId="77777777" w:rsidR="00710779" w:rsidRPr="00660989" w:rsidRDefault="00710779" w:rsidP="00710779">
                      <w:pPr>
                        <w:jc w:val="center"/>
                        <w:rPr>
                          <w:b/>
                          <w:bCs/>
                          <w:lang w:val="fr-FR"/>
                        </w:rPr>
                      </w:pPr>
                      <w:r w:rsidRPr="00660989">
                        <w:rPr>
                          <w:b/>
                          <w:bCs/>
                          <w:lang w:val="fr-FR"/>
                        </w:rPr>
                        <w:t>A</w:t>
                      </w:r>
                    </w:p>
                  </w:txbxContent>
                </v:textbox>
              </v:shape>
            </w:pict>
          </mc:Fallback>
        </mc:AlternateContent>
      </w:r>
      <w:r>
        <w:rPr>
          <w:noProof/>
          <w:lang w:val="en-GB"/>
        </w:rPr>
        <mc:AlternateContent>
          <mc:Choice Requires="wps">
            <w:drawing>
              <wp:anchor distT="0" distB="0" distL="114300" distR="114300" simplePos="0" relativeHeight="251659264" behindDoc="0" locked="0" layoutInCell="1" allowOverlap="1" wp14:anchorId="6698B139" wp14:editId="0AD3CB40">
                <wp:simplePos x="0" y="0"/>
                <wp:positionH relativeFrom="column">
                  <wp:posOffset>224985</wp:posOffset>
                </wp:positionH>
                <wp:positionV relativeFrom="paragraph">
                  <wp:posOffset>3410829</wp:posOffset>
                </wp:positionV>
                <wp:extent cx="742462" cy="333424"/>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742462" cy="333424"/>
                        </a:xfrm>
                        <a:prstGeom prst="rect">
                          <a:avLst/>
                        </a:prstGeom>
                        <a:solidFill>
                          <a:schemeClr val="lt1"/>
                        </a:solidFill>
                        <a:ln w="6350">
                          <a:noFill/>
                        </a:ln>
                      </wps:spPr>
                      <wps:txbx>
                        <w:txbxContent>
                          <w:p w14:paraId="5E007C08" w14:textId="77777777" w:rsidR="00710779" w:rsidRPr="00660989" w:rsidRDefault="00710779" w:rsidP="00710779">
                            <w:pPr>
                              <w:jc w:val="center"/>
                              <w:rPr>
                                <w:b/>
                                <w:bCs/>
                                <w:lang w:val="fr-FR"/>
                              </w:rPr>
                            </w:pPr>
                            <w:r w:rsidRPr="00660989">
                              <w:rPr>
                                <w:b/>
                                <w:bCs/>
                                <w:lang w:val="fr-FR"/>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B139" id="Zone de texte 9" o:spid="_x0000_s1027" type="#_x0000_t202" style="position:absolute;left:0;text-align:left;margin-left:17.7pt;margin-top:268.55pt;width:58.4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" fillcolor="white [3201]" stroked="f" strokeweight=".5pt">
                <v:textbox>
                  <w:txbxContent>
                    <w:p w14:paraId="5E007C08" w14:textId="77777777" w:rsidR="00710779" w:rsidRPr="00660989" w:rsidRDefault="00710779" w:rsidP="00710779">
                      <w:pPr>
                        <w:jc w:val="center"/>
                        <w:rPr>
                          <w:b/>
                          <w:bCs/>
                          <w:lang w:val="fr-FR"/>
                        </w:rPr>
                      </w:pPr>
                      <w:r w:rsidRPr="00660989">
                        <w:rPr>
                          <w:b/>
                          <w:bCs/>
                          <w:lang w:val="fr-FR"/>
                        </w:rPr>
                        <w:t>B</w:t>
                      </w:r>
                    </w:p>
                  </w:txbxContent>
                </v:textbox>
              </v:shape>
            </w:pict>
          </mc:Fallback>
        </mc:AlternateContent>
      </w:r>
      <w:r>
        <w:rPr>
          <w:noProof/>
          <w:lang w:val="en-GB"/>
        </w:rPr>
        <w:drawing>
          <wp:inline distT="0" distB="0" distL="0" distR="0" wp14:anchorId="7A290D2B" wp14:editId="13EB304C">
            <wp:extent cx="3931139" cy="341025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stretch>
                      <a:fillRect/>
                    </a:stretch>
                  </pic:blipFill>
                  <pic:spPr>
                    <a:xfrm>
                      <a:off x="0" y="0"/>
                      <a:ext cx="3962471" cy="3437434"/>
                    </a:xfrm>
                    <a:prstGeom prst="rect">
                      <a:avLst/>
                    </a:prstGeom>
                  </pic:spPr>
                </pic:pic>
              </a:graphicData>
            </a:graphic>
          </wp:inline>
        </w:drawing>
      </w:r>
    </w:p>
    <w:p w14:paraId="0EF28C7F" w14:textId="11DFF08E" w:rsidR="00710779" w:rsidRDefault="00194656" w:rsidP="00710779">
      <w:pPr>
        <w:jc w:val="center"/>
        <w:rPr>
          <w:lang w:val="en-GB"/>
        </w:rPr>
      </w:pPr>
      <w:r>
        <w:rPr>
          <w:noProof/>
          <w:lang w:val="en-GB"/>
        </w:rPr>
        <w:drawing>
          <wp:inline distT="0" distB="0" distL="0" distR="0" wp14:anchorId="571C2C42" wp14:editId="7E53963A">
            <wp:extent cx="5755640" cy="31553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a:fillRect/>
                    </a:stretch>
                  </pic:blipFill>
                  <pic:spPr>
                    <a:xfrm>
                      <a:off x="0" y="0"/>
                      <a:ext cx="5755640" cy="3155315"/>
                    </a:xfrm>
                    <a:prstGeom prst="rect">
                      <a:avLst/>
                    </a:prstGeom>
                  </pic:spPr>
                </pic:pic>
              </a:graphicData>
            </a:graphic>
          </wp:inline>
        </w:drawing>
      </w:r>
    </w:p>
    <w:p w14:paraId="0A049478" w14:textId="65E0202C" w:rsidR="00710779" w:rsidRPr="008D6402" w:rsidRDefault="00710779" w:rsidP="00710779">
      <w:pPr>
        <w:pStyle w:val="Lgende"/>
        <w:rPr>
          <w:b w:val="0"/>
          <w:bCs w:val="0"/>
          <w:lang w:val="en-GB"/>
        </w:rPr>
      </w:pPr>
      <w:r>
        <w:t xml:space="preserve">Figure S </w:t>
      </w:r>
      <w:r>
        <w:fldChar w:fldCharType="begin"/>
      </w:r>
      <w:r>
        <w:instrText xml:space="preserve"> SEQ Figure_S \* ARABIC </w:instrText>
      </w:r>
      <w:r>
        <w:fldChar w:fldCharType="separate"/>
      </w:r>
      <w:r w:rsidR="0001021A">
        <w:rPr>
          <w:noProof/>
        </w:rPr>
        <w:t>1</w:t>
      </w:r>
      <w:r>
        <w:fldChar w:fldCharType="end"/>
      </w:r>
      <w:r>
        <w:t>: Geographical (A) and SST (B) records for the two locations Gambier</w:t>
      </w:r>
      <w:r w:rsidR="000C15FB">
        <w:t xml:space="preserve"> (Mangareva)</w:t>
      </w:r>
      <w:r>
        <w:t xml:space="preserve"> and Tahiti. </w:t>
      </w:r>
      <w:r w:rsidRPr="008D6402">
        <w:rPr>
          <w:b w:val="0"/>
          <w:bCs w:val="0"/>
        </w:rPr>
        <w:t xml:space="preserve">The graphs also provide details on the origin </w:t>
      </w:r>
      <w:r>
        <w:rPr>
          <w:b w:val="0"/>
          <w:bCs w:val="0"/>
        </w:rPr>
        <w:t xml:space="preserve">of the </w:t>
      </w:r>
      <w:r w:rsidRPr="008D6402">
        <w:rPr>
          <w:b w:val="0"/>
          <w:bCs w:val="0"/>
        </w:rPr>
        <w:t>biological material used in Le Moullac et al., (2016) to estimate physiological optimum and limits.</w:t>
      </w:r>
      <w:r w:rsidR="00194656">
        <w:rPr>
          <w:b w:val="0"/>
          <w:bCs w:val="0"/>
        </w:rPr>
        <w:t xml:space="preserve"> </w:t>
      </w:r>
      <w:proofErr w:type="spellStart"/>
      <w:r w:rsidR="00194656">
        <w:rPr>
          <w:b w:val="0"/>
          <w:bCs w:val="0"/>
        </w:rPr>
        <w:t>Takaraoa</w:t>
      </w:r>
      <w:proofErr w:type="spellEnd"/>
      <w:r w:rsidR="00194656">
        <w:rPr>
          <w:b w:val="0"/>
          <w:bCs w:val="0"/>
        </w:rPr>
        <w:t xml:space="preserve"> (Tuamotus) values are plotted for comparisons. </w:t>
      </w:r>
      <w:r w:rsidR="00194656" w:rsidRPr="00194656">
        <w:rPr>
          <w:b w:val="0"/>
          <w:bCs w:val="0"/>
        </w:rPr>
        <w:t xml:space="preserve">The temperatures values presented here </w:t>
      </w:r>
      <w:r w:rsidR="00194656">
        <w:rPr>
          <w:b w:val="0"/>
          <w:bCs w:val="0"/>
        </w:rPr>
        <w:t xml:space="preserve">for </w:t>
      </w:r>
      <w:proofErr w:type="spellStart"/>
      <w:r w:rsidR="00194656">
        <w:rPr>
          <w:b w:val="0"/>
          <w:bCs w:val="0"/>
        </w:rPr>
        <w:t>Ua</w:t>
      </w:r>
      <w:proofErr w:type="spellEnd"/>
      <w:r w:rsidR="00194656">
        <w:rPr>
          <w:b w:val="0"/>
          <w:bCs w:val="0"/>
        </w:rPr>
        <w:t xml:space="preserve"> </w:t>
      </w:r>
      <w:proofErr w:type="spellStart"/>
      <w:r w:rsidR="00194656">
        <w:rPr>
          <w:b w:val="0"/>
          <w:bCs w:val="0"/>
        </w:rPr>
        <w:t>Pou</w:t>
      </w:r>
      <w:proofErr w:type="spellEnd"/>
      <w:r w:rsidR="00194656" w:rsidRPr="00194656">
        <w:rPr>
          <w:b w:val="0"/>
          <w:bCs w:val="0"/>
        </w:rPr>
        <w:t xml:space="preserve"> </w:t>
      </w:r>
      <w:r w:rsidR="00194656">
        <w:rPr>
          <w:b w:val="0"/>
          <w:bCs w:val="0"/>
        </w:rPr>
        <w:t>(</w:t>
      </w:r>
      <w:r w:rsidR="00194656" w:rsidRPr="00194656">
        <w:rPr>
          <w:b w:val="0"/>
          <w:bCs w:val="0"/>
        </w:rPr>
        <w:t>Marquesas</w:t>
      </w:r>
      <w:r w:rsidR="00194656">
        <w:rPr>
          <w:b w:val="0"/>
          <w:bCs w:val="0"/>
        </w:rPr>
        <w:t>) correspond to</w:t>
      </w:r>
      <w:r w:rsidR="00194656" w:rsidRPr="00194656">
        <w:rPr>
          <w:b w:val="0"/>
          <w:bCs w:val="0"/>
        </w:rPr>
        <w:t xml:space="preserve"> water temperature and do not represent the variations in the tidepools associated with tide movements.</w:t>
      </w:r>
    </w:p>
    <w:p w14:paraId="1C189B56" w14:textId="77777777" w:rsidR="00710779" w:rsidRPr="00710779" w:rsidRDefault="00710779" w:rsidP="00710779">
      <w:pPr>
        <w:rPr>
          <w:lang w:val="en-GB"/>
        </w:rPr>
      </w:pPr>
    </w:p>
    <w:p w14:paraId="68444E33" w14:textId="281A3D8D" w:rsidR="00892EE2" w:rsidRDefault="00892EE2" w:rsidP="00305818">
      <w:pPr>
        <w:jc w:val="center"/>
        <w:rPr>
          <w:lang w:val="en-GB"/>
        </w:rPr>
      </w:pPr>
      <w:r>
        <w:rPr>
          <w:noProof/>
          <w:lang w:val="en-GB"/>
        </w:rPr>
        <w:lastRenderedPageBreak/>
        <w:drawing>
          <wp:inline distT="0" distB="0" distL="0" distR="0" wp14:anchorId="458CE7FC" wp14:editId="376EFD36">
            <wp:extent cx="4060190" cy="234455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stretch>
                      <a:fillRect/>
                    </a:stretch>
                  </pic:blipFill>
                  <pic:spPr>
                    <a:xfrm>
                      <a:off x="0" y="0"/>
                      <a:ext cx="4072813" cy="2351843"/>
                    </a:xfrm>
                    <a:prstGeom prst="rect">
                      <a:avLst/>
                    </a:prstGeom>
                  </pic:spPr>
                </pic:pic>
              </a:graphicData>
            </a:graphic>
          </wp:inline>
        </w:drawing>
      </w:r>
    </w:p>
    <w:p w14:paraId="11B81BD3" w14:textId="3EC3C525" w:rsidR="00892EE2" w:rsidRPr="00892EE2" w:rsidRDefault="00892EE2" w:rsidP="00892EE2">
      <w:pPr>
        <w:pStyle w:val="Lgende"/>
        <w:rPr>
          <w:lang w:val="en-GB"/>
        </w:rPr>
      </w:pPr>
      <w:r w:rsidRPr="001D158D">
        <w:t>Figure S</w:t>
      </w:r>
      <w:r w:rsidRPr="001D158D">
        <w:fldChar w:fldCharType="begin"/>
      </w:r>
      <w:r w:rsidRPr="001D158D">
        <w:instrText xml:space="preserve"> SEQ Figure_S \* ARABIC </w:instrText>
      </w:r>
      <w:r w:rsidRPr="001D158D">
        <w:fldChar w:fldCharType="separate"/>
      </w:r>
      <w:r w:rsidR="0001021A">
        <w:rPr>
          <w:noProof/>
        </w:rPr>
        <w:t>2</w:t>
      </w:r>
      <w:r w:rsidRPr="001D158D">
        <w:fldChar w:fldCharType="end"/>
      </w:r>
      <w:r w:rsidRPr="001D158D">
        <w:t>: Experimental design</w:t>
      </w:r>
    </w:p>
    <w:p w14:paraId="7DDC7E8E" w14:textId="39392D51" w:rsidR="00F92DCD" w:rsidRPr="004C572C" w:rsidRDefault="00F92DCD" w:rsidP="00F92DCD">
      <w:pPr>
        <w:pStyle w:val="Titre3"/>
      </w:pPr>
      <w:r>
        <w:t>Biometry</w:t>
      </w:r>
      <w:r>
        <w:rPr>
          <w:noProof/>
        </w:rPr>
        <w:drawing>
          <wp:inline distT="0" distB="0" distL="0" distR="0" wp14:anchorId="287F0507" wp14:editId="18038E12">
            <wp:extent cx="4879340" cy="24396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a:stretch>
                      <a:fillRect/>
                    </a:stretch>
                  </pic:blipFill>
                  <pic:spPr>
                    <a:xfrm>
                      <a:off x="0" y="0"/>
                      <a:ext cx="4883822" cy="2441911"/>
                    </a:xfrm>
                    <a:prstGeom prst="rect">
                      <a:avLst/>
                    </a:prstGeom>
                  </pic:spPr>
                </pic:pic>
              </a:graphicData>
            </a:graphic>
          </wp:inline>
        </w:drawing>
      </w:r>
    </w:p>
    <w:p w14:paraId="1807BA6F" w14:textId="14A88010" w:rsidR="00305818" w:rsidRDefault="00F92DCD" w:rsidP="00305818">
      <w:pPr>
        <w:pStyle w:val="Lgende"/>
        <w:jc w:val="center"/>
        <w:rPr>
          <w:b w:val="0"/>
          <w:bCs w:val="0"/>
        </w:rPr>
      </w:pPr>
      <w:r>
        <w:t>Figure S</w:t>
      </w:r>
      <w:r>
        <w:fldChar w:fldCharType="begin"/>
      </w:r>
      <w:r>
        <w:instrText xml:space="preserve"> SEQ Figure_S \* ARABIC </w:instrText>
      </w:r>
      <w:r>
        <w:fldChar w:fldCharType="separate"/>
      </w:r>
      <w:r w:rsidR="0001021A">
        <w:rPr>
          <w:noProof/>
        </w:rPr>
        <w:t>3</w:t>
      </w:r>
      <w:r>
        <w:fldChar w:fldCharType="end"/>
      </w:r>
      <w:r>
        <w:t xml:space="preserve">: Wet weight of individuals across the 48 days experiment. </w:t>
      </w:r>
      <w:r>
        <w:rPr>
          <w:b w:val="0"/>
          <w:bCs w:val="0"/>
        </w:rPr>
        <w:t>Letters</w:t>
      </w:r>
      <w:r w:rsidRPr="004C572C">
        <w:rPr>
          <w:b w:val="0"/>
          <w:bCs w:val="0"/>
        </w:rPr>
        <w:t xml:space="preserve"> represent significant differences difference across days (</w:t>
      </w:r>
      <w:proofErr w:type="spellStart"/>
      <w:r w:rsidRPr="004C572C">
        <w:rPr>
          <w:b w:val="0"/>
          <w:bCs w:val="0"/>
        </w:rPr>
        <w:t>TukeyHSD</w:t>
      </w:r>
      <w:proofErr w:type="spellEnd"/>
      <w:r w:rsidRPr="004C572C">
        <w:rPr>
          <w:b w:val="0"/>
          <w:bCs w:val="0"/>
        </w:rPr>
        <w:t xml:space="preserve">: adj. </w:t>
      </w:r>
      <w:r w:rsidRPr="004C572C">
        <w:rPr>
          <w:b w:val="0"/>
          <w:bCs w:val="0"/>
          <w:i/>
          <w:iCs/>
        </w:rPr>
        <w:t xml:space="preserve">P </w:t>
      </w:r>
      <w:r w:rsidRPr="004C572C">
        <w:rPr>
          <w:b w:val="0"/>
          <w:bCs w:val="0"/>
        </w:rPr>
        <w:t>&lt; 0.05)</w:t>
      </w:r>
    </w:p>
    <w:p w14:paraId="472C9927" w14:textId="77777777" w:rsidR="00305818" w:rsidRPr="00305818" w:rsidRDefault="00305818" w:rsidP="00305818"/>
    <w:p w14:paraId="36D2C6A0" w14:textId="704B68FE" w:rsidR="001D158D" w:rsidRDefault="001D158D" w:rsidP="00305818">
      <w:pPr>
        <w:pStyle w:val="Titre3"/>
      </w:pPr>
      <w:r>
        <w:t>Lipids</w:t>
      </w:r>
    </w:p>
    <w:p w14:paraId="01A28EFF" w14:textId="7AC9A35C" w:rsidR="00707CA8" w:rsidRDefault="00707CA8" w:rsidP="00707CA8">
      <w:pPr>
        <w:rPr>
          <w:lang w:val="en-US"/>
        </w:rPr>
      </w:pPr>
      <w:r w:rsidRPr="000C758F">
        <w:rPr>
          <w:lang w:val="en-US"/>
        </w:rPr>
        <w:t xml:space="preserve">To study the </w:t>
      </w:r>
      <w:r>
        <w:rPr>
          <w:lang w:val="en-US"/>
        </w:rPr>
        <w:t>fatty acid remodeling</w:t>
      </w:r>
      <w:r w:rsidRPr="000C758F">
        <w:rPr>
          <w:lang w:val="en-US"/>
        </w:rPr>
        <w:t xml:space="preserve"> of membrane lipids in response to temperature, it is often necessary to purify polar lipids</w:t>
      </w:r>
      <w:r>
        <w:rPr>
          <w:lang w:val="en-US"/>
        </w:rPr>
        <w:t xml:space="preserve"> </w:t>
      </w:r>
      <w:r>
        <w:fldChar w:fldCharType="begin"/>
      </w:r>
      <w:r w:rsidR="002E78B2">
        <w:instrText xml:space="preserve"> ADDIN ZOTERO_ITEM CSL_CITATION {"citationID":"y8UIT76c","properties":{"formattedCitation":"(Couturier et al., 2020)","plainCitation":"(Couturier et al., 2020)","noteIndex":0},"citationItems":[{"id":18778,"uris":["http://zotero.org/users/2561899/items/VXHCJ4MH"],"uri":["http://zotero.org/users/2561899/items/VXHCJ4MH"],"itemData":{"id":18778,"type":"article-journal","abstract":"Abstract\n            Determining the lipid content and fatty acid (FA) composition of aquatic organisms has been of major interest in trophic ecology, aquaculture, and nutrition for over half a century. Although protocols for lipid analysis are well-described, their application to aquatic sciences often requires modifications to adapt to field conditions and to sample type. Here, we present the current state of knowledge of methods dedicated to both marine and freshwater lipid analyses, from sampling to data treatment. We review: (i) sample preservation, storage and transport protocols, and their effects on lipids, (ii) lipid extraction, separation of polar and neutral lipids, derivatization, and detection methods, and (iii) available tools for the statistical analysis of FA data. We provide recommendations for best practices in field situations and advocate for protocol standardization and interlaboratory calibration.","container-title":"ICES Journal of Marine Science","DOI":"10.1093/icesjms/fsaa121","ISSN":"1054-3139, 1095-9289","language":"en","page":"fsaa121","source":"DOI.org (Crossref)","title":"State of art and best practices for fatty acid analysis in aquatic sciences","author":[{"family":"Couturier","given":"Lydie I E"},{"family":"Michel","given":"Loïc N"},{"family":"Amaro","given":"Teresa"},{"family":"Budge","given":"Suzanne M"},{"family":"Costa","given":"Elisabete","non-dropping-particle":"da"},{"family":"De Troch","given":"Marleen"},{"family":"Di Dato","given":"Valeria"},{"family":"Fink","given":"Patrick"},{"family":"Giraldo","given":"Carolina"},{"family":"Le Grand","given":"Fabienne"},{"family":"Loaiza","given":"Iván"},{"family":"Mathieu-Resuge","given":"Margaux"},{"family":"Nichols","given":"Peter D"},{"family":"Parrish","given":"Christopher C"},{"family":"Sardenne","given":"Fany"},{"family":"Vagner","given":"Marie"},{"family":"Pernet","given":"Fabrice"},{"family":"Soudant","given":"Philippe"}],"editor":[{"family":"Browman","given":"Howard"}],"issued":{"date-parts":[["2020",8,23]]}}}],"schema":"https://github.com/citation-style-language/schema/raw/master/csl-citation.json"} </w:instrText>
      </w:r>
      <w:r>
        <w:fldChar w:fldCharType="separate"/>
      </w:r>
      <w:r w:rsidR="002E78B2">
        <w:rPr>
          <w:noProof/>
        </w:rPr>
        <w:t>(Couturier et al., 2020)</w:t>
      </w:r>
      <w:r>
        <w:fldChar w:fldCharType="end"/>
      </w:r>
      <w:r w:rsidRPr="000C758F">
        <w:rPr>
          <w:lang w:val="en-US"/>
        </w:rPr>
        <w:t>. Indeed, the neutral lipids</w:t>
      </w:r>
      <w:r>
        <w:rPr>
          <w:lang w:val="en-US"/>
        </w:rPr>
        <w:t>,</w:t>
      </w:r>
      <w:r w:rsidRPr="000C758F">
        <w:rPr>
          <w:lang w:val="en-US"/>
        </w:rPr>
        <w:t xml:space="preserve"> which constitute energy reserves</w:t>
      </w:r>
      <w:r>
        <w:rPr>
          <w:lang w:val="en-US"/>
        </w:rPr>
        <w:t>,</w:t>
      </w:r>
      <w:r w:rsidRPr="000C758F">
        <w:rPr>
          <w:lang w:val="en-US"/>
        </w:rPr>
        <w:t xml:space="preserve"> are not involved in this process </w:t>
      </w:r>
      <w:r>
        <w:rPr>
          <w:lang w:val="en-US"/>
        </w:rPr>
        <w:t>but</w:t>
      </w:r>
      <w:r w:rsidRPr="000C758F">
        <w:rPr>
          <w:lang w:val="en-US"/>
        </w:rPr>
        <w:t xml:space="preserve"> </w:t>
      </w:r>
      <w:r>
        <w:rPr>
          <w:lang w:val="en-US"/>
        </w:rPr>
        <w:t xml:space="preserve">may </w:t>
      </w:r>
      <w:r w:rsidRPr="000C758F">
        <w:rPr>
          <w:lang w:val="en-US"/>
        </w:rPr>
        <w:t xml:space="preserve">contain fatty acids. </w:t>
      </w:r>
      <w:r>
        <w:rPr>
          <w:lang w:val="en-US"/>
        </w:rPr>
        <w:t>Here w</w:t>
      </w:r>
      <w:r w:rsidRPr="000C758F">
        <w:rPr>
          <w:lang w:val="en-US"/>
        </w:rPr>
        <w:t xml:space="preserve">e </w:t>
      </w:r>
      <w:r>
        <w:rPr>
          <w:lang w:val="en-US"/>
        </w:rPr>
        <w:t>analyzed neutral lipids by thin layer chromatography and found only sterols (no</w:t>
      </w:r>
      <w:r w:rsidRPr="00514E0E">
        <w:rPr>
          <w:lang w:val="en-US"/>
        </w:rPr>
        <w:t xml:space="preserve"> free fatty acids, alcohols, mono- diacylglycerols, triacylglycerols</w:t>
      </w:r>
      <w:r>
        <w:rPr>
          <w:lang w:val="en-US"/>
        </w:rPr>
        <w:t>). W</w:t>
      </w:r>
      <w:r w:rsidRPr="00024031">
        <w:rPr>
          <w:lang w:val="en-US"/>
        </w:rPr>
        <w:t xml:space="preserve">e </w:t>
      </w:r>
      <w:r>
        <w:rPr>
          <w:lang w:val="en-US"/>
        </w:rPr>
        <w:t xml:space="preserve">therefore </w:t>
      </w:r>
      <w:r w:rsidRPr="00024031">
        <w:rPr>
          <w:lang w:val="en-US"/>
        </w:rPr>
        <w:t>analyze</w:t>
      </w:r>
      <w:r>
        <w:rPr>
          <w:lang w:val="en-US"/>
        </w:rPr>
        <w:t>d</w:t>
      </w:r>
      <w:r w:rsidRPr="00024031">
        <w:rPr>
          <w:lang w:val="en-US"/>
        </w:rPr>
        <w:t xml:space="preserve"> the fatty acid composition of </w:t>
      </w:r>
      <w:r>
        <w:rPr>
          <w:lang w:val="en-US"/>
        </w:rPr>
        <w:t xml:space="preserve">bulk </w:t>
      </w:r>
      <w:r w:rsidRPr="00024031">
        <w:rPr>
          <w:lang w:val="en-US"/>
        </w:rPr>
        <w:t>lipids</w:t>
      </w:r>
      <w:r>
        <w:rPr>
          <w:lang w:val="en-US"/>
        </w:rPr>
        <w:t xml:space="preserve"> (no purification)</w:t>
      </w:r>
      <w:r w:rsidRPr="00024031">
        <w:rPr>
          <w:lang w:val="en-US"/>
        </w:rPr>
        <w:t>, considering that they come exclusively from polar lipids</w:t>
      </w:r>
      <w:r>
        <w:rPr>
          <w:lang w:val="en-US"/>
        </w:rPr>
        <w:t xml:space="preserve"> </w:t>
      </w:r>
      <w:r>
        <w:fldChar w:fldCharType="begin"/>
      </w:r>
      <w:r w:rsidR="002E78B2">
        <w:instrText xml:space="preserve"> ADDIN ZOTERO_ITEM CSL_CITATION {"citationID":"NuJ9MvEN","properties":{"formattedCitation":"(Couturier et al., 2020)","plainCitation":"(Couturier et al., 2020)","noteIndex":0},"citationItems":[{"id":18778,"uris":["http://zotero.org/users/2561899/items/VXHCJ4MH"],"uri":["http://zotero.org/users/2561899/items/VXHCJ4MH"],"itemData":{"id":18778,"type":"article-journal","abstract":"Abstract\n            Determining the lipid content and fatty acid (FA) composition of aquatic organisms has been of major interest in trophic ecology, aquaculture, and nutrition for over half a century. Although protocols for lipid analysis are well-described, their application to aquatic sciences often requires modifications to adapt to field conditions and to sample type. Here, we present the current state of knowledge of methods dedicated to both marine and freshwater lipid analyses, from sampling to data treatment. We review: (i) sample preservation, storage and transport protocols, and their effects on lipids, (ii) lipid extraction, separation of polar and neutral lipids, derivatization, and detection methods, and (iii) available tools for the statistical analysis of FA data. We provide recommendations for best practices in field situations and advocate for protocol standardization and interlaboratory calibration.","container-title":"ICES Journal of Marine Science","DOI":"10.1093/icesjms/fsaa121","ISSN":"1054-3139, 1095-9289","language":"en","page":"fsaa121","source":"DOI.org (Crossref)","title":"State of art and best practices for fatty acid analysis in aquatic sciences","author":[{"family":"Couturier","given":"Lydie I E"},{"family":"Michel","given":"Loïc N"},{"family":"Amaro","given":"Teresa"},{"family":"Budge","given":"Suzanne M"},{"family":"Costa","given":"Elisabete","non-dropping-particle":"da"},{"family":"De Troch","given":"Marleen"},{"family":"Di Dato","given":"Valeria"},{"family":"Fink","given":"Patrick"},{"family":"Giraldo","given":"Carolina"},{"family":"Le Grand","given":"Fabienne"},{"family":"Loaiza","given":"Iván"},{"family":"Mathieu-Resuge","given":"Margaux"},{"family":"Nichols","given":"Peter D"},{"family":"Parrish","given":"Christopher C"},{"family":"Sardenne","given":"Fany"},{"family":"Vagner","given":"Marie"},{"family":"Pernet","given":"Fabrice"},{"family":"Soudant","given":"Philippe"}],"editor":[{"family":"Browman","given":"Howard"}],"issued":{"date-parts":[["2020",8,23]]}}}],"schema":"https://github.com/citation-style-language/schema/raw/master/csl-citation.json"} </w:instrText>
      </w:r>
      <w:r>
        <w:fldChar w:fldCharType="separate"/>
      </w:r>
      <w:r w:rsidR="002E78B2">
        <w:rPr>
          <w:noProof/>
        </w:rPr>
        <w:t>(Couturier et al., 2020)</w:t>
      </w:r>
      <w:r>
        <w:fldChar w:fldCharType="end"/>
      </w:r>
      <w:r w:rsidRPr="00024031">
        <w:rPr>
          <w:lang w:val="en-US"/>
        </w:rPr>
        <w:t>.</w:t>
      </w:r>
      <w:r>
        <w:rPr>
          <w:lang w:val="en-US"/>
        </w:rPr>
        <w:t xml:space="preserve"> </w:t>
      </w:r>
    </w:p>
    <w:p w14:paraId="460FA5D1" w14:textId="039CB80B" w:rsidR="001D158D" w:rsidRPr="00305818" w:rsidRDefault="001D158D" w:rsidP="00305818">
      <w:r>
        <w:lastRenderedPageBreak/>
        <w:t xml:space="preserve">For lipids extractions and quantification, tissue samples </w:t>
      </w:r>
      <w:r w:rsidRPr="005642A9">
        <w:t xml:space="preserve">were homogenized </w:t>
      </w:r>
      <w:r>
        <w:t>over crushed ice using</w:t>
      </w:r>
      <w:r w:rsidRPr="005642A9">
        <w:t xml:space="preserve"> a glass pestle </w:t>
      </w:r>
      <w:r>
        <w:t>and</w:t>
      </w:r>
      <w:r w:rsidRPr="005642A9">
        <w:t xml:space="preserve"> a 7-mL </w:t>
      </w:r>
      <w:proofErr w:type="spellStart"/>
      <w:r w:rsidRPr="005642A9">
        <w:t>Tenbroeck</w:t>
      </w:r>
      <w:proofErr w:type="spellEnd"/>
      <w:r w:rsidRPr="005642A9">
        <w:t xml:space="preserve"> tissue grinder containing</w:t>
      </w:r>
      <w:r>
        <w:t xml:space="preserve"> 2 mL of chloroform/methanol (2:1, v/v). The solution was poured in a 6-mL glass vial and rinsed twice with 1-mL chloroform/methanol (2:1, v/v). Samples were capped with Teflon and kept in</w:t>
      </w:r>
      <w:r w:rsidRPr="003D3BB5">
        <w:t xml:space="preserve"> nitrogen at −20°C </w:t>
      </w:r>
      <w:r>
        <w:t>f</w:t>
      </w:r>
      <w:r w:rsidRPr="000A0DAD">
        <w:t xml:space="preserve"> </w:t>
      </w:r>
      <w:r>
        <w:t>and</w:t>
      </w:r>
      <w:r w:rsidRPr="003D3BB5">
        <w:t xml:space="preserve"> </w:t>
      </w:r>
      <w:r>
        <w:t xml:space="preserve">analysed within one month. A 1-mL subsample of the chloroform/methanol (2:1, v/v) mixture was evaporated to dryness under nitrogen. </w:t>
      </w:r>
      <w:r w:rsidRPr="00122F48">
        <w:t>A known amount of 23:0 fatty acid was added as an internal standard.</w:t>
      </w:r>
      <w:r>
        <w:t xml:space="preserve"> F</w:t>
      </w:r>
      <w:r w:rsidRPr="00FF10DB">
        <w:t>atty acid methyl esters (FAME)</w:t>
      </w:r>
      <w:r>
        <w:t xml:space="preserve"> were obtained by a</w:t>
      </w:r>
      <w:r w:rsidRPr="00FF10DB">
        <w:t>cidic transesterification. Briefly, 0.8</w:t>
      </w:r>
      <w:r>
        <w:t xml:space="preserve"> </w:t>
      </w:r>
      <w:r w:rsidRPr="00FF10DB">
        <w:t>m</w:t>
      </w:r>
      <w:r>
        <w:t>L</w:t>
      </w:r>
      <w:r w:rsidRPr="00FF10DB">
        <w:t xml:space="preserve"> of H</w:t>
      </w:r>
      <w:r w:rsidRPr="0048742B">
        <w:rPr>
          <w:vertAlign w:val="subscript"/>
        </w:rPr>
        <w:t>2</w:t>
      </w:r>
      <w:r w:rsidRPr="00FF10DB">
        <w:t>SO</w:t>
      </w:r>
      <w:r w:rsidRPr="0048742B">
        <w:rPr>
          <w:vertAlign w:val="subscript"/>
        </w:rPr>
        <w:t>4</w:t>
      </w:r>
      <w:r w:rsidRPr="00FF10DB">
        <w:t>/methanol was added (3.4%</w:t>
      </w:r>
      <w:r>
        <w:t>,</w:t>
      </w:r>
      <w:r w:rsidRPr="00FF10DB">
        <w:t xml:space="preserve"> v/v) and lipid samples were then vortexed and heated at 100°C for 10 min. After cooling, 0.8 m</w:t>
      </w:r>
      <w:r>
        <w:t>L</w:t>
      </w:r>
      <w:r w:rsidRPr="00FF10DB">
        <w:t xml:space="preserve"> of hexane and 1.5 m</w:t>
      </w:r>
      <w:r>
        <w:t>L</w:t>
      </w:r>
      <w:r w:rsidRPr="00FF10DB">
        <w:t xml:space="preserve"> of distilled water saturated in hexane were added. </w:t>
      </w:r>
      <w:r>
        <w:t xml:space="preserve">Samples </w:t>
      </w:r>
      <w:r w:rsidRPr="00FF10DB">
        <w:t>were homogenized and centrifuged at 738 g</w:t>
      </w:r>
      <w:r>
        <w:t xml:space="preserve"> for</w:t>
      </w:r>
      <w:r w:rsidRPr="00FF10DB">
        <w:t xml:space="preserve"> 1 min at </w:t>
      </w:r>
      <w:r>
        <w:t>room temperature</w:t>
      </w:r>
      <w:r w:rsidRPr="00FF10DB">
        <w:t xml:space="preserve">. The aqueous phase (without FAME) was discarded and the organic phase–containing FAME was washed </w:t>
      </w:r>
      <w:r>
        <w:t>twice</w:t>
      </w:r>
      <w:r w:rsidRPr="00FF10DB">
        <w:t xml:space="preserve"> with distilled water saturated in hexane.</w:t>
      </w:r>
      <w:r w:rsidRPr="00122F48">
        <w:t xml:space="preserve"> </w:t>
      </w:r>
      <w:r w:rsidRPr="00737902">
        <w:t xml:space="preserve">This transesterification produces fatty acid methyl esters (FAME) from the fatty acid esterified at the sn-1 and sn-2 position of </w:t>
      </w:r>
      <w:proofErr w:type="spellStart"/>
      <w:r w:rsidRPr="00737902">
        <w:t>diacylphospholipids</w:t>
      </w:r>
      <w:proofErr w:type="spellEnd"/>
      <w:r w:rsidRPr="00737902">
        <w:t>, and the sn-2 position of plasmalogen phospholipids. It also produces dimethyl acetals (DMA) from the alkenyl chains at the sn-1 position of plasmalogens</w:t>
      </w:r>
      <w:r>
        <w:t xml:space="preserve"> </w:t>
      </w:r>
      <w:r>
        <w:fldChar w:fldCharType="begin"/>
      </w:r>
      <w:r>
        <w:instrText xml:space="preserve"> ADDIN ZOTERO_ITEM CSL_CITATION {"citationID":"MFZdCowY","properties":{"formattedCitation":"(Morrison &amp; Smith, n.d.)","plainCitation":"(Morrison &amp; Smith, n.d.)","dontUpdate":true,"noteIndex":0},"citationItems":[{"id":18720,"uris":["http://zotero.org/users/2561899/items/DPTX7FNB"],"uri":["http://zotero.org/users/2561899/items/DPTX7FNB"],"itemData":{"id":18720,"type":"article-journal","container-title":"Journal of Lipid Research","language":"en","page":"600-8","source":"Zotero","title":"Preparation of fatty acid methyl esters and dimethylacetals from lipids with boron fluoride-methanol","volume":"5","author":[{"family":"Morrison","given":"William R"},{"family":"Smith","given":"M"}],"issued":{"date-parts":[["1964"]]}}}],"schema":"https://github.com/citation-style-language/schema/raw/master/csl-citation.json"} </w:instrText>
      </w:r>
      <w:r>
        <w:fldChar w:fldCharType="separate"/>
      </w:r>
      <w:r>
        <w:rPr>
          <w:noProof/>
        </w:rPr>
        <w:t>(Morrison &amp; Smith, 1964)</w:t>
      </w:r>
      <w:r>
        <w:fldChar w:fldCharType="end"/>
      </w:r>
      <w:r w:rsidRPr="00737902">
        <w:t>. FAME and DMA were analysed in a HP6890 gas-chromatography system (Hewlett-Packard) equipped with a DB-Wax capillary column (30 m × 0.25 mm; 0.25</w:t>
      </w:r>
      <w:r>
        <w:t>-</w:t>
      </w:r>
      <w:r w:rsidRPr="00737902">
        <w:t>μm film thickness; Agilent technologies)</w:t>
      </w:r>
      <w:r>
        <w:t xml:space="preserve"> </w:t>
      </w:r>
      <w:r w:rsidRPr="00122F48">
        <w:t>and a flame ionization detector. Hydrogen was used as the carrier gas. The fatty acids were identified by comparing their retention times with those of standards</w:t>
      </w:r>
      <w:r w:rsidRPr="00887B2E">
        <w:t xml:space="preserve"> (</w:t>
      </w:r>
      <w:proofErr w:type="spellStart"/>
      <w:r w:rsidRPr="00887B2E">
        <w:t>Supelco</w:t>
      </w:r>
      <w:proofErr w:type="spellEnd"/>
      <w:r w:rsidRPr="00887B2E">
        <w:t xml:space="preserve"> 37 Component FAME Mix, the PUFA No.1 and No.3, and the Bacterial Acid Methyl Ester Mix from Sigma) and in-house standard mixtures from marine bivalves and microalgae.</w:t>
      </w:r>
      <w:r>
        <w:t xml:space="preserve"> </w:t>
      </w:r>
    </w:p>
    <w:p w14:paraId="3650487E" w14:textId="31B234DE" w:rsidR="001D158D" w:rsidRPr="001D158D" w:rsidRDefault="001D158D" w:rsidP="001D158D">
      <w:pPr>
        <w:tabs>
          <w:tab w:val="left" w:pos="5860"/>
        </w:tabs>
        <w:rPr>
          <w:lang w:val="en-US"/>
        </w:rPr>
        <w:sectPr w:rsidR="001D158D" w:rsidRPr="001D158D" w:rsidSect="007F4BBB">
          <w:footerReference w:type="even" r:id="rId12"/>
          <w:footerReference w:type="default" r:id="rId13"/>
          <w:pgSz w:w="11900" w:h="16840"/>
          <w:pgMar w:top="1418" w:right="1418" w:bottom="1418" w:left="1418" w:header="709" w:footer="709" w:gutter="0"/>
          <w:lnNumType w:countBy="10" w:restart="continuous"/>
          <w:cols w:space="708"/>
          <w:docGrid w:linePitch="360"/>
        </w:sectPr>
      </w:pPr>
      <w:r>
        <w:rPr>
          <w:lang w:val="en-US"/>
        </w:rPr>
        <w:tab/>
      </w:r>
    </w:p>
    <w:p w14:paraId="11FF1559" w14:textId="44BB77F0" w:rsidR="00A51F90" w:rsidRPr="00710779" w:rsidRDefault="00896F29" w:rsidP="001D158D">
      <w:pPr>
        <w:pStyle w:val="Lgende"/>
        <w:ind w:firstLine="0"/>
        <w:rPr>
          <w:rFonts w:eastAsia="Times New Roman" w:cstheme="minorHAnsi"/>
          <w:b w:val="0"/>
          <w:bCs w:val="0"/>
          <w:lang w:val="en-US" w:eastAsia="fr-FR"/>
        </w:rPr>
      </w:pPr>
      <w:r>
        <w:lastRenderedPageBreak/>
        <w:t xml:space="preserve">Table S </w:t>
      </w:r>
      <w:r>
        <w:fldChar w:fldCharType="begin"/>
      </w:r>
      <w:r>
        <w:instrText xml:space="preserve"> SEQ Table_S \* ARABIC </w:instrText>
      </w:r>
      <w:r>
        <w:fldChar w:fldCharType="separate"/>
      </w:r>
      <w:r w:rsidR="0059595E">
        <w:rPr>
          <w:noProof/>
        </w:rPr>
        <w:t>1</w:t>
      </w:r>
      <w:r>
        <w:fldChar w:fldCharType="end"/>
      </w:r>
      <w:r>
        <w:t xml:space="preserve">.  </w:t>
      </w:r>
      <w:r w:rsidR="00F6192D" w:rsidRPr="00A92CCB">
        <w:rPr>
          <w:lang w:val="en-US"/>
        </w:rPr>
        <w:t>Fatty</w:t>
      </w:r>
      <w:r>
        <w:rPr>
          <w:lang w:val="en-US"/>
        </w:rPr>
        <w:t xml:space="preserve"> </w:t>
      </w:r>
      <w:r w:rsidR="00F6192D" w:rsidRPr="00A92CCB">
        <w:rPr>
          <w:lang w:val="en-US"/>
        </w:rPr>
        <w:t>acid</w:t>
      </w:r>
      <w:r>
        <w:rPr>
          <w:lang w:val="en-US"/>
        </w:rPr>
        <w:t xml:space="preserve"> </w:t>
      </w:r>
      <w:r w:rsidR="00F6192D" w:rsidRPr="00A92CCB">
        <w:rPr>
          <w:lang w:val="en-US"/>
        </w:rPr>
        <w:t>composition</w:t>
      </w:r>
      <w:r>
        <w:rPr>
          <w:lang w:val="en-US"/>
        </w:rPr>
        <w:t xml:space="preserve"> </w:t>
      </w:r>
      <w:r w:rsidR="00F6192D" w:rsidRPr="00A92CCB">
        <w:rPr>
          <w:lang w:val="en-US"/>
        </w:rPr>
        <w:t>of</w:t>
      </w:r>
      <w:r>
        <w:rPr>
          <w:lang w:val="en-US"/>
        </w:rPr>
        <w:t xml:space="preserve"> </w:t>
      </w:r>
      <w:r w:rsidR="00F6192D" w:rsidRPr="00A92CCB">
        <w:rPr>
          <w:lang w:val="en-US"/>
        </w:rPr>
        <w:t>oysters</w:t>
      </w:r>
      <w:r>
        <w:rPr>
          <w:lang w:val="en-US"/>
        </w:rPr>
        <w:t xml:space="preserve"> </w:t>
      </w:r>
      <w:r w:rsidR="00F6192D">
        <w:rPr>
          <w:lang w:val="en-US"/>
        </w:rPr>
        <w:t>from</w:t>
      </w:r>
      <w:r>
        <w:rPr>
          <w:lang w:val="en-US"/>
        </w:rPr>
        <w:t xml:space="preserve"> </w:t>
      </w:r>
      <w:r w:rsidR="00F6192D">
        <w:rPr>
          <w:lang w:val="en-US"/>
        </w:rPr>
        <w:t>Gambier</w:t>
      </w:r>
      <w:r>
        <w:rPr>
          <w:lang w:val="en-US"/>
        </w:rPr>
        <w:t xml:space="preserve"> </w:t>
      </w:r>
      <w:r w:rsidR="00F6192D">
        <w:rPr>
          <w:lang w:val="en-US"/>
        </w:rPr>
        <w:t>and</w:t>
      </w:r>
      <w:r>
        <w:rPr>
          <w:lang w:val="en-US"/>
        </w:rPr>
        <w:t xml:space="preserve"> </w:t>
      </w:r>
      <w:r w:rsidR="00F6192D">
        <w:rPr>
          <w:lang w:val="en-US"/>
        </w:rPr>
        <w:t>Marquesas</w:t>
      </w:r>
      <w:r>
        <w:rPr>
          <w:lang w:val="en-US"/>
        </w:rPr>
        <w:t xml:space="preserve"> </w:t>
      </w:r>
      <w:r w:rsidR="00F6192D" w:rsidRPr="00A92CCB">
        <w:rPr>
          <w:lang w:val="en-US"/>
        </w:rPr>
        <w:t>at</w:t>
      </w:r>
      <w:r>
        <w:rPr>
          <w:lang w:val="en-US"/>
        </w:rPr>
        <w:t xml:space="preserve"> </w:t>
      </w:r>
      <w:r w:rsidR="00F6192D" w:rsidRPr="00A92CCB">
        <w:rPr>
          <w:lang w:val="en-US"/>
        </w:rPr>
        <w:t>day</w:t>
      </w:r>
      <w:r>
        <w:rPr>
          <w:lang w:val="en-US"/>
        </w:rPr>
        <w:t xml:space="preserve"> </w:t>
      </w:r>
      <w:r w:rsidR="00F6192D" w:rsidRPr="00A92CCB">
        <w:rPr>
          <w:lang w:val="en-US"/>
        </w:rPr>
        <w:t>4</w:t>
      </w:r>
      <w:r w:rsidR="00F6192D">
        <w:rPr>
          <w:lang w:val="en-US"/>
        </w:rPr>
        <w:t>8.</w:t>
      </w:r>
      <w:r>
        <w:rPr>
          <w:lang w:val="en-US"/>
        </w:rPr>
        <w:t xml:space="preserve"> </w:t>
      </w:r>
      <w:r w:rsidR="00F6192D" w:rsidRPr="00896F29">
        <w:rPr>
          <w:b w:val="0"/>
          <w:bCs w:val="0"/>
          <w:lang w:val="en-US"/>
        </w:rPr>
        <w:t>Data</w:t>
      </w:r>
      <w:r w:rsidRPr="00896F29">
        <w:rPr>
          <w:b w:val="0"/>
          <w:bCs w:val="0"/>
          <w:lang w:val="en-US"/>
        </w:rPr>
        <w:t xml:space="preserve"> </w:t>
      </w:r>
      <w:r w:rsidR="00F6192D" w:rsidRPr="00896F29">
        <w:rPr>
          <w:b w:val="0"/>
          <w:bCs w:val="0"/>
          <w:lang w:val="en-US"/>
        </w:rPr>
        <w:t>are</w:t>
      </w:r>
      <w:r w:rsidRPr="00896F29">
        <w:rPr>
          <w:b w:val="0"/>
          <w:bCs w:val="0"/>
          <w:lang w:val="en-US"/>
        </w:rPr>
        <w:t xml:space="preserve"> </w:t>
      </w:r>
      <w:r w:rsidR="00F6192D" w:rsidRPr="00896F29">
        <w:rPr>
          <w:b w:val="0"/>
          <w:bCs w:val="0"/>
          <w:lang w:val="en-US"/>
        </w:rPr>
        <w:t>means</w:t>
      </w:r>
      <w:r w:rsidRPr="00896F29">
        <w:rPr>
          <w:b w:val="0"/>
          <w:bCs w:val="0"/>
          <w:lang w:val="en-US"/>
        </w:rPr>
        <w:t xml:space="preserve"> </w:t>
      </w:r>
      <w:r w:rsidR="00F6192D" w:rsidRPr="00896F29">
        <w:rPr>
          <w:rFonts w:eastAsia="Times New Roman" w:cstheme="minorHAnsi"/>
          <w:b w:val="0"/>
          <w:bCs w:val="0"/>
          <w:lang w:val="en-US" w:eastAsia="fr-FR"/>
        </w:rPr>
        <w:t>±</w:t>
      </w:r>
      <w:r w:rsidRPr="00896F29">
        <w:rPr>
          <w:rFonts w:eastAsia="Times New Roman" w:cstheme="minorHAnsi"/>
          <w:b w:val="0"/>
          <w:bCs w:val="0"/>
          <w:lang w:val="en-US" w:eastAsia="fr-FR"/>
        </w:rPr>
        <w:t xml:space="preserve"> </w:t>
      </w:r>
      <w:r w:rsidR="00F6192D" w:rsidRPr="00896F29">
        <w:rPr>
          <w:rFonts w:eastAsia="Times New Roman" w:cstheme="minorHAnsi"/>
          <w:b w:val="0"/>
          <w:bCs w:val="0"/>
          <w:lang w:val="en-US" w:eastAsia="fr-FR"/>
        </w:rPr>
        <w:t>SD</w:t>
      </w:r>
      <w:r w:rsidRPr="00896F29">
        <w:rPr>
          <w:rFonts w:eastAsia="Times New Roman" w:cstheme="minorHAnsi"/>
          <w:b w:val="0"/>
          <w:bCs w:val="0"/>
          <w:lang w:val="en-US" w:eastAsia="fr-FR"/>
        </w:rPr>
        <w:t xml:space="preserve"> </w:t>
      </w:r>
      <w:r w:rsidR="00F6192D" w:rsidRPr="00896F29">
        <w:rPr>
          <w:rFonts w:eastAsia="Times New Roman" w:cstheme="minorHAnsi"/>
          <w:b w:val="0"/>
          <w:bCs w:val="0"/>
          <w:lang w:val="en-US" w:eastAsia="fr-FR"/>
        </w:rPr>
        <w:t>(n</w:t>
      </w:r>
      <w:r w:rsidRPr="00896F29">
        <w:rPr>
          <w:rFonts w:eastAsia="Times New Roman" w:cstheme="minorHAnsi"/>
          <w:b w:val="0"/>
          <w:bCs w:val="0"/>
          <w:lang w:val="en-US" w:eastAsia="fr-FR"/>
        </w:rPr>
        <w:t xml:space="preserve"> </w:t>
      </w:r>
      <w:r w:rsidR="00F6192D" w:rsidRPr="00896F29">
        <w:rPr>
          <w:rFonts w:eastAsia="Times New Roman" w:cstheme="minorHAnsi"/>
          <w:b w:val="0"/>
          <w:bCs w:val="0"/>
          <w:lang w:val="en-US" w:eastAsia="fr-FR"/>
        </w:rPr>
        <w:t>=</w:t>
      </w:r>
      <w:r w:rsidRPr="00896F29">
        <w:rPr>
          <w:rFonts w:eastAsia="Times New Roman" w:cstheme="minorHAnsi"/>
          <w:b w:val="0"/>
          <w:bCs w:val="0"/>
          <w:lang w:val="en-US" w:eastAsia="fr-FR"/>
        </w:rPr>
        <w:t xml:space="preserve"> </w:t>
      </w:r>
      <w:r w:rsidR="00F6192D" w:rsidRPr="00896F29">
        <w:rPr>
          <w:rFonts w:eastAsia="Times New Roman" w:cstheme="minorHAnsi"/>
          <w:b w:val="0"/>
          <w:bCs w:val="0"/>
          <w:lang w:val="en-US" w:eastAsia="fr-FR"/>
        </w:rPr>
        <w:t>4</w:t>
      </w:r>
      <w:r w:rsidRPr="00896F29">
        <w:rPr>
          <w:rFonts w:eastAsia="Times New Roman" w:cstheme="minorHAnsi"/>
          <w:b w:val="0"/>
          <w:bCs w:val="0"/>
          <w:lang w:val="en-US" w:eastAsia="fr-FR"/>
        </w:rPr>
        <w:t xml:space="preserve"> </w:t>
      </w:r>
      <w:r w:rsidR="00F6192D" w:rsidRPr="00896F29">
        <w:rPr>
          <w:rFonts w:eastAsia="Times New Roman" w:cstheme="minorHAnsi"/>
          <w:b w:val="0"/>
          <w:bCs w:val="0"/>
          <w:lang w:val="en-US" w:eastAsia="fr-FR"/>
        </w:rPr>
        <w:t>individuals).</w:t>
      </w:r>
      <w:r w:rsidR="00710779" w:rsidRPr="00710779">
        <w:t xml:space="preserve"> </w:t>
      </w:r>
      <w:r w:rsidR="00710779" w:rsidRPr="00710779">
        <w:rPr>
          <w:b w:val="0"/>
          <w:bCs w:val="0"/>
        </w:rPr>
        <w:t xml:space="preserve">Lipid nomenclature: </w:t>
      </w:r>
      <w:proofErr w:type="gramStart"/>
      <w:r w:rsidR="00710779" w:rsidRPr="00710779">
        <w:rPr>
          <w:b w:val="0"/>
          <w:bCs w:val="0"/>
        </w:rPr>
        <w:t>a[</w:t>
      </w:r>
      <w:proofErr w:type="gramEnd"/>
      <w:r w:rsidR="00710779" w:rsidRPr="00710779">
        <w:rPr>
          <w:b w:val="0"/>
          <w:bCs w:val="0"/>
        </w:rPr>
        <w:t xml:space="preserve">14-22] represent acid names: 14: </w:t>
      </w:r>
      <w:proofErr w:type="spellStart"/>
      <w:r w:rsidR="00710779" w:rsidRPr="00710779">
        <w:rPr>
          <w:b w:val="0"/>
          <w:bCs w:val="0"/>
        </w:rPr>
        <w:t>tetradecanoic</w:t>
      </w:r>
      <w:proofErr w:type="spellEnd"/>
      <w:r w:rsidR="00710779" w:rsidRPr="00710779">
        <w:rPr>
          <w:b w:val="0"/>
          <w:bCs w:val="0"/>
        </w:rPr>
        <w:t xml:space="preserve">, 16: octadecanoic, 18: octadecanoic, 20: </w:t>
      </w:r>
      <w:proofErr w:type="spellStart"/>
      <w:r w:rsidR="00710779" w:rsidRPr="00710779">
        <w:rPr>
          <w:b w:val="0"/>
          <w:bCs w:val="0"/>
        </w:rPr>
        <w:t>icosanoic</w:t>
      </w:r>
      <w:proofErr w:type="spellEnd"/>
      <w:r w:rsidR="00710779" w:rsidRPr="00710779">
        <w:rPr>
          <w:b w:val="0"/>
          <w:bCs w:val="0"/>
        </w:rPr>
        <w:t xml:space="preserve">, 22: </w:t>
      </w:r>
      <w:proofErr w:type="spellStart"/>
      <w:r w:rsidR="00710779" w:rsidRPr="00710779">
        <w:rPr>
          <w:b w:val="0"/>
          <w:bCs w:val="0"/>
        </w:rPr>
        <w:t>docosanoic</w:t>
      </w:r>
      <w:proofErr w:type="spellEnd"/>
      <w:r w:rsidR="00710779" w:rsidRPr="00710779">
        <w:rPr>
          <w:b w:val="0"/>
          <w:bCs w:val="0"/>
        </w:rPr>
        <w:t xml:space="preserve">. 1n and 2n represent </w:t>
      </w:r>
      <w:proofErr w:type="spellStart"/>
      <w:r w:rsidR="00710779" w:rsidRPr="00710779">
        <w:rPr>
          <w:b w:val="0"/>
          <w:bCs w:val="0"/>
        </w:rPr>
        <w:t>monoinsatured</w:t>
      </w:r>
      <w:proofErr w:type="spellEnd"/>
      <w:r w:rsidR="00710779" w:rsidRPr="00710779">
        <w:rPr>
          <w:b w:val="0"/>
          <w:bCs w:val="0"/>
        </w:rPr>
        <w:t xml:space="preserve"> and </w:t>
      </w:r>
      <w:proofErr w:type="spellStart"/>
      <w:r w:rsidR="00710779" w:rsidRPr="00710779">
        <w:rPr>
          <w:b w:val="0"/>
          <w:bCs w:val="0"/>
        </w:rPr>
        <w:t>polyinsatured</w:t>
      </w:r>
      <w:proofErr w:type="spellEnd"/>
      <w:r w:rsidR="00710779" w:rsidRPr="00710779">
        <w:rPr>
          <w:b w:val="0"/>
          <w:bCs w:val="0"/>
        </w:rPr>
        <w:t xml:space="preserve">, respectively. </w:t>
      </w:r>
    </w:p>
    <w:bookmarkStart w:id="0" w:name="_MON_1665477789"/>
    <w:bookmarkEnd w:id="0"/>
    <w:p w14:paraId="08120BDB" w14:textId="33676CE2" w:rsidR="00A51F90" w:rsidRPr="00A51F90" w:rsidRDefault="001D4AFD" w:rsidP="00A51F90">
      <w:pPr>
        <w:rPr>
          <w:lang w:eastAsia="fr-FR"/>
        </w:rPr>
      </w:pPr>
      <w:r>
        <w:rPr>
          <w:noProof/>
          <w:lang w:val="en-US"/>
        </w:rPr>
        <w:object w:dxaOrig="13260" w:dyaOrig="7840" w14:anchorId="140FE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62.8pt;height:391.75pt;mso-width-percent:0;mso-height-percent:0;mso-width-percent:0;mso-height-percent:0" o:ole="">
            <v:imagedata r:id="rId14" o:title=""/>
          </v:shape>
          <o:OLEObject Type="Embed" ProgID="Word.Document.12" ShapeID="_x0000_i1026" DrawAspect="Content" ObjectID="_1710147147" r:id="rId15">
            <o:FieldCodes>\s</o:FieldCodes>
          </o:OLEObject>
        </w:object>
      </w:r>
    </w:p>
    <w:p w14:paraId="07B93F60" w14:textId="1F904961" w:rsidR="00451513" w:rsidRPr="00E42C64" w:rsidRDefault="00451513" w:rsidP="007F4BBB">
      <w:pPr>
        <w:ind w:firstLine="0"/>
        <w:rPr>
          <w:rFonts w:eastAsia="Times New Roman" w:cstheme="minorHAnsi"/>
          <w:lang w:val="en-US" w:eastAsia="fr-FR"/>
        </w:rPr>
      </w:pPr>
    </w:p>
    <w:p w14:paraId="4BDFF2DD" w14:textId="77777777" w:rsidR="00E42C64" w:rsidRDefault="00E42C64" w:rsidP="00E42C64">
      <w:pPr>
        <w:pStyle w:val="Titre3"/>
        <w:numPr>
          <w:ilvl w:val="0"/>
          <w:numId w:val="0"/>
        </w:numPr>
        <w:sectPr w:rsidR="00E42C64" w:rsidSect="001D158D">
          <w:pgSz w:w="16840" w:h="11900" w:orient="landscape"/>
          <w:pgMar w:top="480" w:right="1418" w:bottom="1418" w:left="1418" w:header="709" w:footer="709" w:gutter="0"/>
          <w:lnNumType w:countBy="10" w:restart="continuous"/>
          <w:cols w:space="708"/>
          <w:docGrid w:linePitch="360"/>
        </w:sectPr>
      </w:pPr>
    </w:p>
    <w:p w14:paraId="697CB117" w14:textId="56E9DEA9" w:rsidR="00DD1B53" w:rsidRPr="00DD1B53" w:rsidRDefault="00DD1B53" w:rsidP="00DD1B53">
      <w:pPr>
        <w:pStyle w:val="Titre3"/>
      </w:pPr>
      <w:r>
        <w:lastRenderedPageBreak/>
        <w:t>RNAseq analysis</w:t>
      </w:r>
    </w:p>
    <w:p w14:paraId="731285A9" w14:textId="72BA12CB" w:rsidR="00707CA8" w:rsidRPr="00305818" w:rsidRDefault="00707CA8" w:rsidP="00707CA8">
      <w:pPr>
        <w:ind w:firstLine="0"/>
      </w:pPr>
      <w:r w:rsidRPr="00707CA8">
        <w:rPr>
          <w:b/>
        </w:rPr>
        <w:t>Mapping and filtering</w:t>
      </w:r>
      <w:r>
        <w:t xml:space="preserve">. </w:t>
      </w:r>
      <w:r w:rsidRPr="00E43DC3">
        <w:t>Raw reads provided by RNA</w:t>
      </w:r>
      <w:r>
        <w:t xml:space="preserve"> </w:t>
      </w:r>
      <w:r w:rsidRPr="00E43DC3">
        <w:t>seq</w:t>
      </w:r>
      <w:r>
        <w:t>uencing</w:t>
      </w:r>
      <w:r w:rsidRPr="00E43DC3">
        <w:t xml:space="preserve"> were filtered for quality and length using Trimmomatic v.0.36 </w:t>
      </w:r>
      <w:r w:rsidRPr="00E43DC3">
        <w:fldChar w:fldCharType="begin" w:fldLock="1"/>
      </w:r>
      <w:r w:rsidR="002E78B2">
        <w:instrText xml:space="preserve"> ADDIN ZOTERO_ITEM CSL_CITATION {"citationID":"QzTEIvdC","properties":{"formattedCitation":"(Bolger et al., 2014)","plainCitation":"(Bolger et al., 2014)","noteIndex":0},"citationItems":[{"id":"FMHOYEaQ/sHZmSQCy","uris":["http://zotero.org/users/local/F27WG0jN/items/UP7JBTER"],"uri":["http://zotero.org/users/local/F27WG0jN/items/UP7JBTER"],"itemData":{"DOI":"10.1093/bioinformatics/btu170","ISSN":"1460-2059, 1367-4803","author":[{"dropping-particle":"","family":"Bolger","given":"Anthony M.","non-dropping-particle":"","parse-names":false,"suffix":""},{"dropping-particle":"","family":"Lohse","given":"Marc","non-dropping-particle":"","parse-names":false,"suffix":""},{"dropping-particle":"","family":"Usadel","given":"Bjoern","non-dropping-particle":"","parse-names":false,"suffix":""}],"container-title":"Bioinformatics","id":"ITEM-1","issue":"15","issued":{"date-parts":[["2014","8"]]},"language":"en","page":"2114-2120","title":"Trimmomatic: a flexible trimmer for Illumina sequence data","type":"article-journal","volume":"30"}}],"schema":"https://github.com/citation-style-language/schema/raw/master/csl-citation.json"} </w:instrText>
      </w:r>
      <w:r w:rsidRPr="00E43DC3">
        <w:fldChar w:fldCharType="separate"/>
      </w:r>
      <w:r w:rsidR="002E78B2">
        <w:rPr>
          <w:noProof/>
        </w:rPr>
        <w:t>(Bolger et al., 2014)</w:t>
      </w:r>
      <w:r w:rsidRPr="00E43DC3">
        <w:fldChar w:fldCharType="end"/>
      </w:r>
      <w:r w:rsidRPr="00E43DC3">
        <w:t xml:space="preserve"> with </w:t>
      </w:r>
      <w:r>
        <w:t xml:space="preserve">the </w:t>
      </w:r>
      <w:r w:rsidRPr="00E43DC3">
        <w:t xml:space="preserve">quality parameters minimum length, trailing, and leading set to 60 bp, 20, and 20, respectively. Illumina’s adaptors and residual cloning vectors were removed </w:t>
      </w:r>
      <w:r>
        <w:t>using</w:t>
      </w:r>
      <w:r w:rsidRPr="00E43DC3">
        <w:t xml:space="preserve"> the UNIVEC database (</w:t>
      </w:r>
      <w:hyperlink r:id="rId16">
        <w:r w:rsidRPr="00E43DC3">
          <w:rPr>
            <w:color w:val="1F497D" w:themeColor="text2"/>
            <w:highlight w:val="white"/>
            <w:u w:val="single"/>
          </w:rPr>
          <w:t>https://www.ncbi.nlm.nih.gov/tools/vecscreen/univec/</w:t>
        </w:r>
      </w:hyperlink>
      <w:r w:rsidRPr="00E43DC3">
        <w:rPr>
          <w:highlight w:val="white"/>
        </w:rPr>
        <w:t>).</w:t>
      </w:r>
      <w:r w:rsidRPr="00E43DC3">
        <w:t xml:space="preserve"> Trimmed paired-end reads were mapped against </w:t>
      </w:r>
      <w:r w:rsidRPr="00E43DC3">
        <w:rPr>
          <w:i/>
        </w:rPr>
        <w:t>P</w:t>
      </w:r>
      <w:r>
        <w:rPr>
          <w:i/>
        </w:rPr>
        <w:t xml:space="preserve">. </w:t>
      </w:r>
      <w:r w:rsidRPr="00E43DC3">
        <w:rPr>
          <w:i/>
        </w:rPr>
        <w:t>margaritifera</w:t>
      </w:r>
      <w:r w:rsidRPr="00E43DC3">
        <w:t xml:space="preserve"> </w:t>
      </w:r>
      <w:r w:rsidRPr="00E16DD6">
        <w:t>reference genome</w:t>
      </w:r>
      <w:r>
        <w:t xml:space="preserve"> </w:t>
      </w:r>
      <w:r>
        <w:fldChar w:fldCharType="begin"/>
      </w:r>
      <w:r>
        <w:instrText xml:space="preserve"> ADDIN ZOTERO_ITEM CSL_CITATION {"citationID":"UM2pV7j5","properties":{"formattedCitation":"(Le Luyer et al., 2019)","plainCitation":"(Le Luyer et al., 2019)","dontUpdate":true,"noteIndex":0},"citationItems":[{"id":18277,"uris":["http://zotero.org/users/2561899/items/JBDCJMJ6"],"uri":["http://zotero.org/users/2561899/items/JBDCJMJ6"],"itemData":{"id":18277,"type":"article-journal","abstract":"Background: Cultured pearls are unique gems produced by living organisms, mainly molluscs of the Pinctada genus, through the biomineralization properties of pearl sac tissue. Improvement of P. margaritifera pearl quality is one of the biggest challenges that Polynesian research has faced to date. To achieve this goal, a better understanding of the complex mechanisms related to nacre and pearl formation is essential and can now be approached through the use of massive parallel sequencing technologies. The aim of this study was to use RNAseq to compare whole transcriptome expression of pearl sacs that had producing pearls with high and low quality. For this purpose, a comprehensive reference transcriptome of P. margaritifera was built based on multi-tissue sampling (mantle, gonad, whole animal), including different living stages (juvenile, adults) and phenotypes (colour morphotypes, sex).\nResults: Strikingly, few genes were found to be up-regulated for high quality pearls (n = 16) compared to the upregulated genes in low quality pearls (n = 246). Biomineralization genes up-regulated in low quality pearls were specific to prismatic and prism-nacre layers. Alternative splicing was further identified in several key biomineralization genes based on a recent P. margaritifera draft genome.\nConclusion: This study lifts the veil on the multi-level regulation of biomineralization genes associated with pearl quality determination.","container-title":"BMC Genomics","DOI":"10.1186/s12864-019-5443-5","ISSN":"1471-2164","issue":"1","journalAbbreviation":"BMC Genomics","language":"en","page":"111","source":"DOI.org (Crossref)","title":"Whole transcriptome sequencing and biomineralization gene architecture associated with cultured pearl quality traits in the pearl oyster, &lt;i&gt;Pinctada margaritifera&lt;/i&gt;","volume":"20","author":[{"family":"Le Luyer","given":"J."},{"family":"Auffret","given":"P."},{"family":"Quillien","given":"V."},{"family":"Leclerc","given":"N."},{"family":"Reisser","given":"C."},{"family":"Vidal-Dupiol","given":"J."},{"family":"Ky","given":"C.-L."}],"issued":{"date-parts":[["2019",12]]}}}],"schema":"https://github.com/citation-style-language/schema/raw/master/csl-citation.json"} </w:instrText>
      </w:r>
      <w:r>
        <w:fldChar w:fldCharType="separate"/>
      </w:r>
      <w:r>
        <w:rPr>
          <w:noProof/>
        </w:rPr>
        <w:t>(Le Luyer et al., 2019)</w:t>
      </w:r>
      <w:r>
        <w:fldChar w:fldCharType="end"/>
      </w:r>
      <w:r w:rsidRPr="00E43DC3">
        <w:t xml:space="preserve"> using GSNAP v2018-07-04 </w:t>
      </w:r>
      <w:r w:rsidRPr="00E43DC3">
        <w:fldChar w:fldCharType="begin" w:fldLock="1"/>
      </w:r>
      <w:r>
        <w:instrText xml:space="preserve"> ADDIN ZOTERO_ITEM CSL_CITATION {"citationID":"Kn42Fah4","properties":{"formattedCitation":"(Wu, Reeder, Lawrence, Becker, &amp; Brauer, 2016)","plainCitation":"(Wu, Reeder, Lawrence, Becker, &amp; Brauer, 2016)","dontUpdate":true,"noteIndex":0},"citationItems":[{"id":2736,"uris":["http://zotero.org/users/2561899/items/KCTWBMBV"],"uri":["http://zotero.org/users/2561899/items/KCTWBMBV"],"itemData":{"id":2736,"type":"article-newspaper","container-title":"Statistical Genomics: Methods and Protocols","event-place":"New York, NY","page":"283-334","publisher-place":"New York, NY","title":"GMAP and GSNAP for genomic sequence alignment: enhancements to speed, accuracy, and functionality","author":[{"family":"Wu","given":"Thomas D."},{"family":"Reeder","given":"Jens"},{"family":"Lawrence","given":"Michael"},{"family":"Becker","given":"Gabe"},{"family":"Brauer","given":"Matthew J."}],"issued":{"date-parts":[["2016"]]}}}],"schema":"https://github.com/citation-style-language/schema/raw/master/csl-citation.json"} </w:instrText>
      </w:r>
      <w:r w:rsidRPr="00E43DC3">
        <w:fldChar w:fldCharType="separate"/>
      </w:r>
      <w:r>
        <w:rPr>
          <w:noProof/>
        </w:rPr>
        <w:t>(Wu, Reeder, Lawrence, Becker, &amp; Brauer, 2016</w:t>
      </w:r>
      <w:r w:rsidRPr="00E43DC3">
        <w:fldChar w:fldCharType="end"/>
      </w:r>
      <w:r w:rsidRPr="00E43DC3">
        <w:t xml:space="preserve">; --max-mismatches = 2; --novel-splicing =1; --min-coverage=0.95; --split-output). Only </w:t>
      </w:r>
      <w:r>
        <w:t xml:space="preserve">the </w:t>
      </w:r>
      <w:r w:rsidRPr="00E43DC3">
        <w:t>uniquely</w:t>
      </w:r>
      <w:r>
        <w:t>-</w:t>
      </w:r>
      <w:r w:rsidRPr="00E43DC3">
        <w:t xml:space="preserve">mapped reads (concordant_uniq) with mapping value &gt; 5 were </w:t>
      </w:r>
      <w:r>
        <w:t>retained</w:t>
      </w:r>
      <w:r w:rsidRPr="00E43DC3">
        <w:t xml:space="preserve"> for downstream analys</w:t>
      </w:r>
      <w:r>
        <w:t>e</w:t>
      </w:r>
      <w:r w:rsidRPr="00E43DC3">
        <w:t xml:space="preserve">s. </w:t>
      </w:r>
    </w:p>
    <w:p w14:paraId="6AC5CA5A" w14:textId="32377F59" w:rsidR="00710779" w:rsidRDefault="00707CA8" w:rsidP="00710779">
      <w:pPr>
        <w:ind w:firstLine="0"/>
        <w:rPr>
          <w:lang w:eastAsia="fr-FR"/>
        </w:rPr>
      </w:pPr>
      <w:r w:rsidRPr="00707CA8">
        <w:rPr>
          <w:b/>
        </w:rPr>
        <w:t>SNPs detection.</w:t>
      </w:r>
      <w:r>
        <w:t xml:space="preserve"> </w:t>
      </w:r>
      <w:r w:rsidRPr="00E16DD6">
        <w:t xml:space="preserve">For variants discovery (Single Nucleotide Polymorphisms; SNPs), mappings were processed with GATKv-4.0.3.0 suite </w:t>
      </w:r>
      <w:r w:rsidRPr="00E16DD6">
        <w:fldChar w:fldCharType="begin" w:fldLock="1"/>
      </w:r>
      <w:r w:rsidR="002E78B2">
        <w:instrText xml:space="preserve"> ADDIN ZOTERO_ITEM CSL_CITATION {"citationID":"YuPJktYT","properties":{"formattedCitation":"(Auwera et al., 2013)","plainCitation":"(Auwera et al., 2013)","noteIndex":0},"citationItems":[{"id":17920,"uris":["http://zotero.org/users/2561899/items/2ABLIYT6"],"uri":["http://zotero.org/users/2561899/items/2ABLIYT6"],"itemData":{"id":17920,"type":"article-journal","container-title":"Current Protocols in Bioinformatics","DOI":"10.1002/0471250953.bi1110s43","ISSN":"1934-340X","issue":"1","language":"en","page":"</w:instrText>
      </w:r>
      <w:r w:rsidR="002E78B2">
        <w:rPr>
          <w:rFonts w:hint="eastAsia"/>
        </w:rPr>
        <w:instrText>11.10.1-11.10.33","source":"currentprotocols.onlinelibrary.wiley.com","title":"From FastQ data to high</w:instrText>
      </w:r>
      <w:r w:rsidR="002E78B2">
        <w:rPr>
          <w:rFonts w:hint="eastAsia"/>
        </w:rPr>
        <w:instrText>‐</w:instrText>
      </w:r>
      <w:r w:rsidR="002E78B2">
        <w:rPr>
          <w:rFonts w:hint="eastAsia"/>
        </w:rPr>
        <w:instrText>confidence variant calls: the genome analysis toolkit best practices pipeline","title-short":"From FastQ Data to High</w:instrText>
      </w:r>
      <w:r w:rsidR="002E78B2">
        <w:rPr>
          <w:rFonts w:hint="eastAsia"/>
        </w:rPr>
        <w:instrText>‐</w:instrText>
      </w:r>
      <w:r w:rsidR="002E78B2">
        <w:rPr>
          <w:rFonts w:hint="eastAsia"/>
        </w:rPr>
        <w:instrText>Confidence Variant Calls","volume"</w:instrText>
      </w:r>
      <w:r w:rsidR="002E78B2">
        <w:instrText>:"43","author":[{"family":"Auwera","given":"Geraldine A. Van","dropping-particle":"der"},{"family":"Carneiro","given":"Mauricio O."},{"family":"Hartl","given":"Christopher"},{"family":"Poplin","given":"Ryan"},{"family":"Angel","given":"Guillermo","droppin</w:instrText>
      </w:r>
      <w:r w:rsidR="002E78B2">
        <w:rPr>
          <w:rFonts w:hint="eastAsia"/>
        </w:rPr>
        <w:instrText>g-particle":"del"},{"family":"Levy</w:instrText>
      </w:r>
      <w:r w:rsidR="002E78B2">
        <w:rPr>
          <w:rFonts w:hint="eastAsia"/>
        </w:rPr>
        <w:instrText>‐</w:instrText>
      </w:r>
      <w:r w:rsidR="002E78B2">
        <w:rPr>
          <w:rFonts w:hint="eastAsia"/>
        </w:rPr>
        <w:instrText>Moonshine","given":"Ami"},{"family":"Jordan","given":"Tadeusz"},{"family":"Shakir","given":"Khalid"},{"family":"Roazen","given":"David"},{"family":"Thibault","given":"Joel"},{"family":"Banks","given":"Eric"},{"family":"G</w:instrText>
      </w:r>
      <w:r w:rsidR="002E78B2">
        <w:instrText xml:space="preserve">arimella","given":"Kiran V."},{"family":"Altshuler","given":"David"},{"family":"Gabriel","given":"Stacey"},{"family":"DePristo","given":"Mark A."}],"issued":{"date-parts":[["2013",10,1]]}}}],"schema":"https://github.com/citation-style-language/schema/raw/master/csl-citation.json"} </w:instrText>
      </w:r>
      <w:r w:rsidRPr="00E16DD6">
        <w:fldChar w:fldCharType="separate"/>
      </w:r>
      <w:r w:rsidR="002E78B2">
        <w:rPr>
          <w:noProof/>
        </w:rPr>
        <w:t>(Auwera et al., 2013)</w:t>
      </w:r>
      <w:r w:rsidRPr="00E16DD6">
        <w:fldChar w:fldCharType="end"/>
      </w:r>
      <w:r w:rsidRPr="00E16DD6">
        <w:t xml:space="preserve"> following recommendations for RNAseq data.</w:t>
      </w:r>
      <w:r>
        <w:t xml:space="preserve"> SNPs discovery and filtration in provided in Supplementary material.</w:t>
      </w:r>
      <w:r w:rsidRPr="00E16DD6">
        <w:t xml:space="preserve"> Raw SAM files were trimmed using ‘</w:t>
      </w:r>
      <w:proofErr w:type="spellStart"/>
      <w:r w:rsidRPr="00E16DD6">
        <w:rPr>
          <w:i/>
          <w:iCs/>
        </w:rPr>
        <w:t>CleanSam</w:t>
      </w:r>
      <w:proofErr w:type="spellEnd"/>
      <w:r w:rsidRPr="00E16DD6">
        <w:t>’ and ‘</w:t>
      </w:r>
      <w:proofErr w:type="spellStart"/>
      <w:r w:rsidRPr="00E16DD6">
        <w:rPr>
          <w:i/>
          <w:iCs/>
        </w:rPr>
        <w:t>MarkDuplicates</w:t>
      </w:r>
      <w:proofErr w:type="spellEnd"/>
      <w:r w:rsidRPr="00E16DD6">
        <w:t xml:space="preserve">’ functions to remove putative PCR duplicates </w:t>
      </w:r>
      <w:r w:rsidRPr="00E16DD6">
        <w:fldChar w:fldCharType="begin" w:fldLock="1"/>
      </w:r>
      <w:r w:rsidR="002E78B2">
        <w:instrText xml:space="preserve"> ADDIN ZOTERO_ITEM CSL_CITATION {"citationID":"o6LwE9JF","properties":{"formattedCitation":"(Auwera et al., 2013)","plainCitation":"(Auwera et al., 2013)","noteIndex":0},"citationItems":[{"id":17920,"uris":["http://zotero.org/users/2561899/items/2ABLIYT6"],"uri":["http://zotero.org/users/2561899/items/2ABLIYT6"],"itemData":{"id":17920,"type":"article-journal","container-title":"Current Protocols in Bioinformatics","DOI":"10.1002/0471250953.bi1110s43","ISSN":"1934-340X","issue":"1","language":"en","page":"</w:instrText>
      </w:r>
      <w:r w:rsidR="002E78B2">
        <w:rPr>
          <w:rFonts w:hint="eastAsia"/>
        </w:rPr>
        <w:instrText>11.10.1-11.10.33","source":"currentprotocols.onlinelibrary.wiley.com","title":"From FastQ data to high</w:instrText>
      </w:r>
      <w:r w:rsidR="002E78B2">
        <w:rPr>
          <w:rFonts w:hint="eastAsia"/>
        </w:rPr>
        <w:instrText>‐</w:instrText>
      </w:r>
      <w:r w:rsidR="002E78B2">
        <w:rPr>
          <w:rFonts w:hint="eastAsia"/>
        </w:rPr>
        <w:instrText>confidence variant calls: the genome analysis toolkit best practices pipeline","title-short":"From FastQ Data to High</w:instrText>
      </w:r>
      <w:r w:rsidR="002E78B2">
        <w:rPr>
          <w:rFonts w:hint="eastAsia"/>
        </w:rPr>
        <w:instrText>‐</w:instrText>
      </w:r>
      <w:r w:rsidR="002E78B2">
        <w:rPr>
          <w:rFonts w:hint="eastAsia"/>
        </w:rPr>
        <w:instrText>Confidence Variant Calls","volume"</w:instrText>
      </w:r>
      <w:r w:rsidR="002E78B2">
        <w:instrText>:"43","author":[{"family":"Auwera","given":"Geraldine A. Van","dropping-particle":"der"},{"family":"Carneiro","given":"Mauricio O."},{"family":"Hartl","given":"Christopher"},{"family":"Poplin","given":"Ryan"},{"family":"Angel","given":"Guillermo","droppin</w:instrText>
      </w:r>
      <w:r w:rsidR="002E78B2">
        <w:rPr>
          <w:rFonts w:hint="eastAsia"/>
        </w:rPr>
        <w:instrText>g-particle":"del"},{"family":"Levy</w:instrText>
      </w:r>
      <w:r w:rsidR="002E78B2">
        <w:rPr>
          <w:rFonts w:hint="eastAsia"/>
        </w:rPr>
        <w:instrText>‐</w:instrText>
      </w:r>
      <w:r w:rsidR="002E78B2">
        <w:rPr>
          <w:rFonts w:hint="eastAsia"/>
        </w:rPr>
        <w:instrText>Moonshine","given":"Ami"},{"family":"Jordan","given":"Tadeusz"},{"family":"Shakir","given":"Khalid"},{"family":"Roazen","given":"David"},{"family":"Thibault","given":"Joel"},{"family":"Banks","given":"Eric"},{"family":"G</w:instrText>
      </w:r>
      <w:r w:rsidR="002E78B2">
        <w:instrText xml:space="preserve">arimella","given":"Kiran V."},{"family":"Altshuler","given":"David"},{"family":"Gabriel","given":"Stacey"},{"family":"DePristo","given":"Mark A."}],"issued":{"date-parts":[["2013",10,1]]}}}],"schema":"https://github.com/citation-style-language/schema/raw/master/csl-citation.json"} </w:instrText>
      </w:r>
      <w:r w:rsidRPr="00E16DD6">
        <w:fldChar w:fldCharType="separate"/>
      </w:r>
      <w:r w:rsidR="002E78B2">
        <w:rPr>
          <w:noProof/>
        </w:rPr>
        <w:t>(Auwera et al., 2013)</w:t>
      </w:r>
      <w:r w:rsidRPr="00E16DD6">
        <w:fldChar w:fldCharType="end"/>
      </w:r>
      <w:r w:rsidRPr="00E16DD6">
        <w:t>. The function ‘</w:t>
      </w:r>
      <w:proofErr w:type="spellStart"/>
      <w:r w:rsidRPr="00E16DD6">
        <w:rPr>
          <w:i/>
          <w:iCs/>
        </w:rPr>
        <w:t>SplitNCigarReads</w:t>
      </w:r>
      <w:proofErr w:type="spellEnd"/>
      <w:r w:rsidRPr="00E16DD6">
        <w:t>’ was used to filter problematic reads according to their CIGAR string values (</w:t>
      </w:r>
      <w:r w:rsidRPr="00E16DD6">
        <w:rPr>
          <w:lang w:eastAsia="fr-FR"/>
        </w:rPr>
        <w:t xml:space="preserve">-refactor-cigar-string true; -RF </w:t>
      </w:r>
      <w:proofErr w:type="spellStart"/>
      <w:r w:rsidRPr="00E16DD6">
        <w:rPr>
          <w:lang w:eastAsia="fr-FR"/>
        </w:rPr>
        <w:t>CigarContainsNoNOperator</w:t>
      </w:r>
      <w:proofErr w:type="spellEnd"/>
      <w:r w:rsidRPr="00E16DD6">
        <w:rPr>
          <w:lang w:eastAsia="fr-FR"/>
        </w:rPr>
        <w:t xml:space="preserve">; -RF </w:t>
      </w:r>
      <w:proofErr w:type="spellStart"/>
      <w:r w:rsidRPr="00E16DD6">
        <w:rPr>
          <w:lang w:eastAsia="fr-FR"/>
        </w:rPr>
        <w:t>GoodCigarReadFilter</w:t>
      </w:r>
      <w:proofErr w:type="spellEnd"/>
      <w:r w:rsidRPr="00E16DD6">
        <w:rPr>
          <w:lang w:eastAsia="fr-FR"/>
        </w:rPr>
        <w:t>). Individuals raw GVCF files were produced using ‘</w:t>
      </w:r>
      <w:proofErr w:type="spellStart"/>
      <w:r w:rsidRPr="00E16DD6">
        <w:rPr>
          <w:i/>
          <w:iCs/>
          <w:lang w:eastAsia="fr-FR"/>
        </w:rPr>
        <w:t>HaplotypeCaller</w:t>
      </w:r>
      <w:proofErr w:type="spellEnd"/>
      <w:r w:rsidRPr="00E16DD6">
        <w:rPr>
          <w:i/>
          <w:iCs/>
          <w:lang w:eastAsia="fr-FR"/>
        </w:rPr>
        <w:t>’</w:t>
      </w:r>
      <w:r w:rsidRPr="00E16DD6">
        <w:rPr>
          <w:lang w:eastAsia="fr-FR"/>
        </w:rPr>
        <w:t xml:space="preserve"> and combined using ‘</w:t>
      </w:r>
      <w:proofErr w:type="spellStart"/>
      <w:r w:rsidRPr="00E16DD6">
        <w:rPr>
          <w:i/>
          <w:iCs/>
          <w:lang w:eastAsia="fr-FR"/>
        </w:rPr>
        <w:t>CombineGVCFs</w:t>
      </w:r>
      <w:proofErr w:type="spellEnd"/>
      <w:r w:rsidRPr="00E16DD6">
        <w:rPr>
          <w:i/>
          <w:iCs/>
          <w:lang w:eastAsia="fr-FR"/>
        </w:rPr>
        <w:t>’</w:t>
      </w:r>
      <w:r w:rsidRPr="00E16DD6">
        <w:rPr>
          <w:lang w:eastAsia="fr-FR"/>
        </w:rPr>
        <w:t xml:space="preserve"> before the  genotypes were extracted in single VCF file using ‘</w:t>
      </w:r>
      <w:proofErr w:type="spellStart"/>
      <w:r w:rsidRPr="00E16DD6">
        <w:rPr>
          <w:i/>
          <w:iCs/>
          <w:lang w:eastAsia="fr-FR"/>
        </w:rPr>
        <w:t>GenotypeGVCFs</w:t>
      </w:r>
      <w:proofErr w:type="spellEnd"/>
      <w:r w:rsidRPr="00E16DD6">
        <w:rPr>
          <w:i/>
          <w:iCs/>
          <w:lang w:eastAsia="fr-FR"/>
        </w:rPr>
        <w:t>’</w:t>
      </w:r>
      <w:r w:rsidRPr="00E16DD6">
        <w:rPr>
          <w:lang w:eastAsia="fr-FR"/>
        </w:rPr>
        <w:t xml:space="preserve">, all implemented in the </w:t>
      </w:r>
      <w:r w:rsidRPr="00E16DD6">
        <w:t xml:space="preserve">GATKv-4.0.3.0 suite </w:t>
      </w:r>
      <w:r w:rsidRPr="00E16DD6">
        <w:fldChar w:fldCharType="begin" w:fldLock="1"/>
      </w:r>
      <w:r w:rsidR="002E78B2">
        <w:instrText xml:space="preserve"> ADDIN ZOTERO_ITEM CSL_CITATION {"citationID":"RTX6Mzr5","properties":{"formattedCitation":"(Auwera et al., 2013)","plainCitation":"(Auwera et al., 2013)","noteIndex":0},"citationItems":[{"id":17920,"uris":["http://zotero.org/users/2561899/items/2ABLIYT6"],"uri":["http://zotero.org/users/2561899/items/2ABLIYT6"],"itemData":{"id":17920,"type":"article-journal","container-title":"Current Protocols in Bioinformatics","DOI":"10.1002/0471250953.bi1110s43","ISSN":"1934-340X","issue":"1","language":"en","page":"</w:instrText>
      </w:r>
      <w:r w:rsidR="002E78B2">
        <w:rPr>
          <w:rFonts w:hint="eastAsia"/>
        </w:rPr>
        <w:instrText>11.10.1-11.10.33","source":"currentprotocols.onlinelibrary.wiley.com","title":"From FastQ data to high</w:instrText>
      </w:r>
      <w:r w:rsidR="002E78B2">
        <w:rPr>
          <w:rFonts w:hint="eastAsia"/>
        </w:rPr>
        <w:instrText>‐</w:instrText>
      </w:r>
      <w:r w:rsidR="002E78B2">
        <w:rPr>
          <w:rFonts w:hint="eastAsia"/>
        </w:rPr>
        <w:instrText>confidence variant calls: the genome analysis toolkit best practices pipeline","title-short":"From FastQ Data to High</w:instrText>
      </w:r>
      <w:r w:rsidR="002E78B2">
        <w:rPr>
          <w:rFonts w:hint="eastAsia"/>
        </w:rPr>
        <w:instrText>‐</w:instrText>
      </w:r>
      <w:r w:rsidR="002E78B2">
        <w:rPr>
          <w:rFonts w:hint="eastAsia"/>
        </w:rPr>
        <w:instrText>Confidence Variant Calls","volume"</w:instrText>
      </w:r>
      <w:r w:rsidR="002E78B2">
        <w:instrText>:"43","author":[{"family":"Auwera","given":"Geraldine A. Van","dropping-particle":"der"},{"family":"Carneiro","given":"Mauricio O."},{"family":"Hartl","given":"Christopher"},{"family":"Poplin","given":"Ryan"},{"family":"Angel","given":"Guillermo","droppin</w:instrText>
      </w:r>
      <w:r w:rsidR="002E78B2">
        <w:rPr>
          <w:rFonts w:hint="eastAsia"/>
        </w:rPr>
        <w:instrText>g-particle":"del"},{"family":"Levy</w:instrText>
      </w:r>
      <w:r w:rsidR="002E78B2">
        <w:rPr>
          <w:rFonts w:hint="eastAsia"/>
        </w:rPr>
        <w:instrText>‐</w:instrText>
      </w:r>
      <w:r w:rsidR="002E78B2">
        <w:rPr>
          <w:rFonts w:hint="eastAsia"/>
        </w:rPr>
        <w:instrText>Moonshine","given":"Ami"},{"family":"Jordan","given":"Tadeusz"},{"family":"Shakir","given":"Khalid"},{"family":"Roazen","given":"David"},{"family":"Thibault","given":"Joel"},{"family":"Banks","given":"Eric"},{"family":"G</w:instrText>
      </w:r>
      <w:r w:rsidR="002E78B2">
        <w:instrText xml:space="preserve">arimella","given":"Kiran V."},{"family":"Altshuler","given":"David"},{"family":"Gabriel","given":"Stacey"},{"family":"DePristo","given":"Mark A."}],"issued":{"date-parts":[["2013",10,1]]}}}],"schema":"https://github.com/citation-style-language/schema/raw/master/csl-citation.json"} </w:instrText>
      </w:r>
      <w:r w:rsidRPr="00E16DD6">
        <w:fldChar w:fldCharType="separate"/>
      </w:r>
      <w:r w:rsidR="002E78B2">
        <w:rPr>
          <w:noProof/>
        </w:rPr>
        <w:t>(Auwera et al., 2013)</w:t>
      </w:r>
      <w:r w:rsidRPr="00E16DD6">
        <w:fldChar w:fldCharType="end"/>
      </w:r>
      <w:r w:rsidRPr="00E16DD6">
        <w:rPr>
          <w:lang w:eastAsia="fr-FR"/>
        </w:rPr>
        <w:t xml:space="preserve">. VCF file was filtered using </w:t>
      </w:r>
      <w:proofErr w:type="spellStart"/>
      <w:r w:rsidRPr="00E16DD6">
        <w:rPr>
          <w:lang w:eastAsia="fr-FR"/>
        </w:rPr>
        <w:t>VCFtools</w:t>
      </w:r>
      <w:proofErr w:type="spellEnd"/>
      <w:r w:rsidRPr="00E16DD6">
        <w:rPr>
          <w:lang w:eastAsia="fr-FR"/>
        </w:rPr>
        <w:t xml:space="preserve"> </w:t>
      </w:r>
      <w:r w:rsidRPr="00E16DD6">
        <w:rPr>
          <w:lang w:eastAsia="fr-FR"/>
        </w:rPr>
        <w:fldChar w:fldCharType="begin" w:fldLock="1"/>
      </w:r>
      <w:r w:rsidR="002E78B2">
        <w:rPr>
          <w:lang w:eastAsia="fr-FR"/>
        </w:rPr>
        <w:instrText xml:space="preserve"> ADDIN ZOTERO_ITEM CSL_CITATION {"citationID":"kxZyLlbv","properties":{"formattedCitation":"(Danecek et al., 2011)","plainCitation":"(Danecek et al., 2011)","noteIndex":0},"citationItems":[{"id":"FMHOYEaQ/SwB7ECGH","uris":["http://www.mendeley.com/documents/?uuid=7c750d82-73d5-3347-b93f-43f188997d25"],"uri":["http://www.mendeley.com/documents/?uuid=7c750d82-73d5-3347-b93f-43f188997d25"],"itemData":{"DOI":"10.1093/bioinformatics/btr330","ISSN":"1367-4803","author":[{"dropping-particle":"","family":"Danecek","given":"P.","non-dropping-particle":"","parse-names":false,"suffix":""},{"dropping-particle":"","family":"Auton","given":"A.","non-dropping-particle":"","parse-names":false,"suffix":""},{"dropping-particle":"","family":"Abecasis","given":"G.","non-dropping-particle":"","parse-names":false,"suffix":""},{"dropping-particle":"","family":"Albers","given":"C. A.","non-dropping-particle":"","parse-names":false,"suffix":""},{"dropping-particle":"","family":"Banks","given":"E.","non-dropping-particle":"","parse-names":false,"suffix":""},{"dropping-particle":"","family":"DePristo","given":"M. A.","non-dropping-particle":"","parse-names":false,"suffix":""},{"dropping-particle":"","family":"Handsaker","given":"R. E.","non-dropping-particle":"","parse-names":false,"suffix":""},{"dropping-particle":"","family":"Lunter","given":"G.","non-dropping-particle":"","parse-names":false,"suffix":""},{"dropping-particle":"","family":"Marth","given":"G. T.","non-dropping-particle":"","parse-names":false,"suffix":""},{"dropping-particle":"","family":"Sherry","given":"S. T.","non-dropping-particle":"","parse-names":false,"suffix":""},{"dropping-particle":"","family":"McVean","given":"G.","non-dropping-particle":"","parse-names":false,"suffix":""},{"dropping-particle":"","family":"Durbin","given":"R.","non-dropping-particle":"","parse-names":false,"suffix":""}],"container-title":"Bioinformatics","id":"ITEM-1","issue":"15","issued":{"date-parts":[["2011","8","1"]]},"page":"2156-2158","publisher":"Oxford University Press","title":"The variant call format and VCFtools","type":"article-journal","volume":"27"}}],"schema":"https://github.com/citation-style-language/schema/raw/master/csl-citation.json"} </w:instrText>
      </w:r>
      <w:r w:rsidRPr="00E16DD6">
        <w:rPr>
          <w:lang w:eastAsia="fr-FR"/>
        </w:rPr>
        <w:fldChar w:fldCharType="separate"/>
      </w:r>
      <w:r w:rsidR="002E78B2">
        <w:rPr>
          <w:noProof/>
          <w:lang w:eastAsia="fr-FR"/>
        </w:rPr>
        <w:t>(Danecek et al., 2011)</w:t>
      </w:r>
      <w:r w:rsidRPr="00E16DD6">
        <w:rPr>
          <w:lang w:eastAsia="fr-FR"/>
        </w:rPr>
        <w:fldChar w:fldCharType="end"/>
      </w:r>
      <w:r w:rsidRPr="00E16DD6">
        <w:rPr>
          <w:lang w:eastAsia="fr-FR"/>
        </w:rPr>
        <w:t xml:space="preserve"> for minimum depth values (</w:t>
      </w:r>
      <w:proofErr w:type="spellStart"/>
      <w:r w:rsidRPr="00E16DD6">
        <w:rPr>
          <w:lang w:eastAsia="fr-FR"/>
        </w:rPr>
        <w:t>minDP</w:t>
      </w:r>
      <w:proofErr w:type="spellEnd"/>
      <w:r w:rsidRPr="00E16DD6">
        <w:rPr>
          <w:lang w:eastAsia="fr-FR"/>
        </w:rPr>
        <w:t>) of 10, max sites missing (max-missing) of 10%, minor allele frequency (MAF) of 10%, minimum quality value (</w:t>
      </w:r>
      <w:proofErr w:type="spellStart"/>
      <w:r w:rsidRPr="00E16DD6">
        <w:rPr>
          <w:lang w:eastAsia="fr-FR"/>
        </w:rPr>
        <w:t>minQ</w:t>
      </w:r>
      <w:proofErr w:type="spellEnd"/>
      <w:r w:rsidRPr="00E16DD6">
        <w:rPr>
          <w:lang w:eastAsia="fr-FR"/>
        </w:rPr>
        <w:t xml:space="preserve">) of 30 and only biallelic variants were conserved.  Finally, the few missing genotypes (initial missing of 3.04 </w:t>
      </w:r>
      <w:r w:rsidRPr="00E16DD6">
        <w:rPr>
          <w:lang w:eastAsia="fr-FR"/>
        </w:rPr>
        <w:sym w:font="Symbol" w:char="F0B1"/>
      </w:r>
      <w:r w:rsidRPr="00E16DD6">
        <w:rPr>
          <w:lang w:eastAsia="fr-FR"/>
        </w:rPr>
        <w:t xml:space="preserve"> 1.75 %) were imputed using a Hidden Markov Model approach implemented in Beagle v</w:t>
      </w:r>
      <w:r w:rsidRPr="00E16DD6">
        <w:t xml:space="preserve">5.0 </w:t>
      </w:r>
      <w:r w:rsidRPr="00E16DD6">
        <w:rPr>
          <w:lang w:eastAsia="fr-FR"/>
        </w:rPr>
        <w:fldChar w:fldCharType="begin" w:fldLock="1"/>
      </w:r>
      <w:r w:rsidR="002E78B2">
        <w:rPr>
          <w:lang w:eastAsia="fr-FR"/>
        </w:rPr>
        <w:instrText xml:space="preserve"> ADDIN ZOTERO_ITEM CSL_CITATION {"citationID":"W1kxOM8Q","properties":{"formattedCitation":"(Browning et al., 2018)","plainCitation":"(Browning et al., 2018)","noteIndex":0},"citationItems":[{"id":"FMHOYEaQ/2YPpFrXo","uris":["http://www.mendeley.com/documents/?uuid=531a4e9c-0613-3572-b0e1-cd05e5172f8d"],"uri":["http://www.mendeley.com/documents/?uuid=531a4e9c-0613-3572-b0e1-cd05e5172f8d"],"itemData":{"DOI":"10.1016/J.AJHG.2018.07.015","ISSN":"0002-9297","abstract":"Genotype imputation is commonly performed in genome-wide association studies because it greatly increases the number of markers that can be tested for association with a trait. In general, one should perform genotype imputation using the largest reference panel that is available because the number of accurately imputed variants increases with reference panel size. However, one impediment to using larger reference panels is the increased computational cost of imputation. We present a new genotype imputation method, Beagle 5.0, which greatly reduces the computational cost of imputation from large reference panels. We compare Beagle 5.0 with Beagle 4.1, Impute4, Minimac3, and Minimac4 using 1000 Genomes Project data, Haplotype Reference Consortium data, and simulated data for 10k, 100k, 1M, and 10M reference samples. All methods produce nearly identical accuracy, but Beagle 5.0 has the lowest computation time and the best scaling of computation time with increasing reference panel size. For 10k, 100k, 1M, and 10M reference samples and 1,000 phased target samples, Beagle 5.0’s computation time is 3× (10k), 12× (100k), 43× (1M), and 533× (10M) faster than the fastest alternative method. Cost data from the Amazon Elastic Compute Cloud show that Beagle 5.0 can perform genome-wide imputation from 10M reference samples into 1,000 phased target samples at a cost of less than one US cent per sample.","author":[{"dropping-particle":"","family":"Browning","given":"Brian L.","non-dropping-particle":"","parse-names":false,"suffix":""},{"dropping-particle":"","family":"Zhou","given":"Ying","non-dropping-particle":"","parse-names":false,"suffix":""},{"dropping-particle":"","family":"Browning","given":"Sharon R.","non-dropping-particle":"","parse-names":false,"suffix":""}],"container-title":"The American Journal of Human Genetics","id":"ITEM-1","issue":"3","issued":{"date-parts":[["2018","9","6"]]},"page":"338-348","publisher":"Cell Press","title":"A One-Penny Imputed Genome from Next-Generation Reference Panels","type":"article-journal","volume":"103"}}],"schema":"https://github.com/citation-style-language/schema/raw/master/csl-citation.json"} </w:instrText>
      </w:r>
      <w:r w:rsidRPr="00E16DD6">
        <w:rPr>
          <w:lang w:eastAsia="fr-FR"/>
        </w:rPr>
        <w:fldChar w:fldCharType="separate"/>
      </w:r>
      <w:r w:rsidR="002E78B2">
        <w:rPr>
          <w:noProof/>
          <w:lang w:eastAsia="fr-FR"/>
        </w:rPr>
        <w:t>(Browning et al., 2018)</w:t>
      </w:r>
      <w:r w:rsidRPr="00E16DD6">
        <w:rPr>
          <w:lang w:eastAsia="fr-FR"/>
        </w:rPr>
        <w:fldChar w:fldCharType="end"/>
      </w:r>
      <w:r w:rsidRPr="00E16DD6">
        <w:rPr>
          <w:lang w:eastAsia="fr-FR"/>
        </w:rPr>
        <w:t>.</w:t>
      </w:r>
    </w:p>
    <w:p w14:paraId="161D4AB5" w14:textId="37173FB5" w:rsidR="0001021A" w:rsidRDefault="0001021A" w:rsidP="00710779">
      <w:pPr>
        <w:ind w:firstLine="0"/>
        <w:rPr>
          <w:lang w:eastAsia="fr-FR"/>
        </w:rPr>
      </w:pPr>
      <w:r>
        <w:rPr>
          <w:lang w:eastAsia="fr-FR"/>
        </w:rPr>
        <w:t xml:space="preserve">We </w:t>
      </w:r>
    </w:p>
    <w:p w14:paraId="11F3C3F2" w14:textId="73AD7118" w:rsidR="0001021A" w:rsidRDefault="0001021A" w:rsidP="0001021A">
      <w:pPr>
        <w:ind w:firstLine="0"/>
        <w:jc w:val="center"/>
        <w:rPr>
          <w:lang w:eastAsia="fr-FR"/>
        </w:rPr>
      </w:pPr>
      <w:r w:rsidRPr="0001021A">
        <w:rPr>
          <w:noProof/>
          <w:lang w:eastAsia="fr-FR"/>
        </w:rPr>
        <w:lastRenderedPageBreak/>
        <w:drawing>
          <wp:inline distT="0" distB="0" distL="0" distR="0" wp14:anchorId="091E600B" wp14:editId="72117DF6">
            <wp:extent cx="5755640" cy="25914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5640" cy="2591435"/>
                    </a:xfrm>
                    <a:prstGeom prst="rect">
                      <a:avLst/>
                    </a:prstGeom>
                  </pic:spPr>
                </pic:pic>
              </a:graphicData>
            </a:graphic>
          </wp:inline>
        </w:drawing>
      </w:r>
    </w:p>
    <w:p w14:paraId="5FD8A984" w14:textId="29C12C75" w:rsidR="0001021A" w:rsidRPr="00C8758E" w:rsidRDefault="0001021A" w:rsidP="0001021A">
      <w:pPr>
        <w:pStyle w:val="Lgende"/>
        <w:rPr>
          <w:b w:val="0"/>
          <w:bCs w:val="0"/>
          <w:lang w:eastAsia="fr-FR"/>
        </w:rPr>
      </w:pPr>
      <w:r>
        <w:t xml:space="preserve">Figure S </w:t>
      </w:r>
      <w:r>
        <w:fldChar w:fldCharType="begin"/>
      </w:r>
      <w:r>
        <w:instrText xml:space="preserve"> SEQ Figure_S \* ARABIC </w:instrText>
      </w:r>
      <w:r>
        <w:fldChar w:fldCharType="separate"/>
      </w:r>
      <w:r>
        <w:rPr>
          <w:noProof/>
        </w:rPr>
        <w:t>4</w:t>
      </w:r>
      <w:r>
        <w:fldChar w:fldCharType="end"/>
      </w:r>
      <w:r>
        <w:t xml:space="preserve">: Analysis of kinship for the Marquesas and Gambier population separately. </w:t>
      </w:r>
      <w:r w:rsidRPr="00C8758E">
        <w:rPr>
          <w:b w:val="0"/>
          <w:bCs w:val="0"/>
        </w:rPr>
        <w:t xml:space="preserve">After filtering for linkage </w:t>
      </w:r>
      <w:r w:rsidR="00C8758E" w:rsidRPr="00C8758E">
        <w:rPr>
          <w:b w:val="0"/>
          <w:bCs w:val="0"/>
        </w:rPr>
        <w:t>disequilibrium</w:t>
      </w:r>
      <w:r w:rsidRPr="00C8758E">
        <w:rPr>
          <w:b w:val="0"/>
          <w:bCs w:val="0"/>
        </w:rPr>
        <w:t xml:space="preserve"> (LD</w:t>
      </w:r>
      <w:r w:rsidR="00C8758E" w:rsidRPr="00C8758E">
        <w:rPr>
          <w:b w:val="0"/>
          <w:bCs w:val="0"/>
        </w:rPr>
        <w:t xml:space="preserve">) datasets consisted in 4,597 and </w:t>
      </w:r>
      <w:r w:rsidR="00C8758E">
        <w:rPr>
          <w:b w:val="0"/>
          <w:bCs w:val="0"/>
        </w:rPr>
        <w:t>5,107</w:t>
      </w:r>
      <w:r w:rsidR="00C8758E" w:rsidRPr="00C8758E">
        <w:rPr>
          <w:b w:val="0"/>
          <w:bCs w:val="0"/>
        </w:rPr>
        <w:t xml:space="preserve"> </w:t>
      </w:r>
      <w:r w:rsidR="00C8758E">
        <w:rPr>
          <w:b w:val="0"/>
          <w:bCs w:val="0"/>
        </w:rPr>
        <w:t>markers</w:t>
      </w:r>
      <w:r w:rsidR="00C8758E" w:rsidRPr="00C8758E">
        <w:rPr>
          <w:b w:val="0"/>
          <w:bCs w:val="0"/>
        </w:rPr>
        <w:t xml:space="preserve"> for Marquesas and Gambier, respectively.</w:t>
      </w:r>
    </w:p>
    <w:p w14:paraId="24161A14" w14:textId="0778CB14" w:rsidR="00707CA8" w:rsidRPr="00710779" w:rsidRDefault="00707CA8" w:rsidP="00710779">
      <w:pPr>
        <w:ind w:firstLine="0"/>
        <w:rPr>
          <w:lang w:eastAsia="fr-FR"/>
        </w:rPr>
      </w:pPr>
      <w:r w:rsidRPr="00710779">
        <w:rPr>
          <w:b/>
          <w:bCs/>
        </w:rPr>
        <w:t>Genes network analysis</w:t>
      </w:r>
      <w:r>
        <w:t xml:space="preserve">. </w:t>
      </w:r>
      <w:r w:rsidRPr="00707CA8">
        <w:rPr>
          <w:color w:val="000000"/>
        </w:rPr>
        <w:t>Signed co-expression network was built based on the variance stabilized read counts (</w:t>
      </w:r>
      <w:proofErr w:type="spellStart"/>
      <w:r w:rsidRPr="00707CA8">
        <w:rPr>
          <w:i/>
          <w:iCs/>
          <w:color w:val="000000"/>
        </w:rPr>
        <w:t>vst</w:t>
      </w:r>
      <w:proofErr w:type="spellEnd"/>
      <w:r w:rsidRPr="00707CA8">
        <w:rPr>
          <w:i/>
          <w:iCs/>
          <w:color w:val="000000"/>
        </w:rPr>
        <w:t xml:space="preserve"> </w:t>
      </w:r>
      <w:r w:rsidRPr="00707CA8">
        <w:rPr>
          <w:color w:val="000000"/>
        </w:rPr>
        <w:t>transformed) using the R package</w:t>
      </w:r>
      <w:r w:rsidRPr="00707CA8">
        <w:rPr>
          <w:i/>
          <w:iCs/>
          <w:color w:val="000000"/>
        </w:rPr>
        <w:t xml:space="preserve"> WGCNA</w:t>
      </w:r>
      <w:r w:rsidRPr="00707CA8">
        <w:rPr>
          <w:color w:val="000000"/>
        </w:rPr>
        <w:t xml:space="preserve"> following the protocol developed by Langfelder and Horvath </w:t>
      </w:r>
      <w:r w:rsidRPr="00707CA8">
        <w:rPr>
          <w:b/>
          <w:color w:val="000000"/>
        </w:rPr>
        <w:fldChar w:fldCharType="begin"/>
      </w:r>
      <w:r w:rsidR="002E78B2">
        <w:rPr>
          <w:color w:val="000000"/>
        </w:rPr>
        <w:instrText xml:space="preserve"> ADDIN ZOTERO_ITEM CSL_CITATION {"citationID":"6c7c7Aku","properties":{"formattedCitation":"(Langfelder &amp; Horvath, 2008)","plainCitation":"(Langfelder &amp; Horvath, 2008)","noteIndex":0},"citationItems":[{"id":3162,"uris":["http://zotero.org/users/2561899/items/9ED4LHRW"],"uri":["http://zotero.org/users/2561899/items/9ED4LHRW"],"itemData":{"id":3162,"type":"article-journal","abstract":"Correlation networks are increasingly being used in bioinformatics applications. For example, weighted gene co-expression network analysis is a systems biology method for describing the correlation patterns among genes across microarray samples. Weighted correlation network analysis (WGCNA) can be used for finding clusters (modules) of highly correlated genes, for summarizing such clusters using the module eigengene or an intramodular hub gene, for relating modules to one another and to external sample traits (using eigengene network methodology), and for calculating module membership measures. Correlation networks facilitate network based gene screening methods that can be used to identify candidate biomarkers or therapeutic targets. These methods have been successfully applied in various biological contexts, e.g. cancer, mouse genetics, yeast genetics, and analysis of brain imaging data. While parts of the correlation network methodology have been described in separate publications, there is a need to provide a user-friendly, comprehensive, and consistent software implementation and an accompanying tutorial.","container-title":"BMC Bioinformatics","DOI":"10.1186/1471-2105-9-559","ISSN":"1471-2105","journalAbbreviation":"BMC Bioinformatics","page":"559","source":"BioMed Central","title":"WGCNA: an R package for weighted correlation network analysis","title-short":"WGCNA","volume":"9","author":[{"family":"Langfelder","given":"Peter"},{"family":"Horvath","given":"Steve"}],"issued":{"date-parts":[["2008"]]}}}],"schema":"https://github.com/citation-style-language/schema/raw/master/csl-citation.json"} </w:instrText>
      </w:r>
      <w:r w:rsidRPr="00707CA8">
        <w:rPr>
          <w:b/>
          <w:color w:val="000000"/>
        </w:rPr>
        <w:fldChar w:fldCharType="separate"/>
      </w:r>
      <w:r w:rsidR="002E78B2">
        <w:rPr>
          <w:noProof/>
          <w:color w:val="000000"/>
        </w:rPr>
        <w:t>(Langfelder &amp; Horvath, 2008)</w:t>
      </w:r>
      <w:r w:rsidRPr="00707CA8">
        <w:rPr>
          <w:b/>
          <w:color w:val="000000"/>
        </w:rPr>
        <w:fldChar w:fldCharType="end"/>
      </w:r>
      <w:r w:rsidRPr="00707CA8">
        <w:rPr>
          <w:color w:val="FF0000"/>
        </w:rPr>
        <w:t xml:space="preserve">.  </w:t>
      </w:r>
      <w:r w:rsidRPr="00707CA8">
        <w:rPr>
          <w:color w:val="000000"/>
        </w:rPr>
        <w:t>Briefly, we filtered the data for keeping only genes with at least 5% of total variance, as recommended. We fixed a “soft” threshold power of 15 using the scale-free topology criterion to reach a model fit (|R</w:t>
      </w:r>
      <w:r w:rsidRPr="00707CA8">
        <w:rPr>
          <w:color w:val="000000"/>
          <w:vertAlign w:val="superscript"/>
        </w:rPr>
        <w:t>2</w:t>
      </w:r>
      <w:r w:rsidRPr="00707CA8">
        <w:rPr>
          <w:color w:val="000000"/>
        </w:rPr>
        <w:t>|) of 0.90 for host and symbionts. The modules were defined using the “</w:t>
      </w:r>
      <w:r w:rsidRPr="00707CA8">
        <w:rPr>
          <w:i/>
          <w:iCs/>
          <w:color w:val="000000"/>
        </w:rPr>
        <w:t>cutreeDynamic</w:t>
      </w:r>
      <w:r w:rsidRPr="00707CA8">
        <w:rPr>
          <w:color w:val="000000"/>
        </w:rPr>
        <w:t>” function (minimum of 50 genes by module and default cutting-height = 0.99) based on the topological overlap matrix, and a module Eigengene distance threshold of 0.25 was used to merge highly similar modules. For each module, we defined the module membership (kME, correlation between module Eigengene value and gene expression values).</w:t>
      </w:r>
    </w:p>
    <w:p w14:paraId="46741EE1" w14:textId="4313B388" w:rsidR="00ED0B9C" w:rsidRDefault="00ED0B9C" w:rsidP="00ED0B9C">
      <w:pPr>
        <w:jc w:val="center"/>
        <w:rPr>
          <w:lang w:val="en-GB"/>
        </w:rPr>
      </w:pPr>
      <w:r>
        <w:rPr>
          <w:noProof/>
          <w:lang w:val="en-GB"/>
        </w:rPr>
        <w:lastRenderedPageBreak/>
        <w:drawing>
          <wp:inline distT="0" distB="0" distL="0" distR="0" wp14:anchorId="33D011E4" wp14:editId="2F82AC2B">
            <wp:extent cx="5755005" cy="57550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005" cy="5755005"/>
                    </a:xfrm>
                    <a:prstGeom prst="rect">
                      <a:avLst/>
                    </a:prstGeom>
                    <a:noFill/>
                  </pic:spPr>
                </pic:pic>
              </a:graphicData>
            </a:graphic>
          </wp:inline>
        </w:drawing>
      </w:r>
    </w:p>
    <w:p w14:paraId="5278CAF5" w14:textId="0B183DD0" w:rsidR="00ED0B9C" w:rsidRPr="00ED0B9C" w:rsidRDefault="00ED0B9C" w:rsidP="00ED0B9C">
      <w:pPr>
        <w:rPr>
          <w:lang w:val="en-GB"/>
        </w:rPr>
      </w:pPr>
      <w:r w:rsidRPr="00ED0B9C">
        <w:rPr>
          <w:b/>
          <w:lang w:val="en-GB"/>
        </w:rPr>
        <w:t>Figure S</w:t>
      </w:r>
      <w:r w:rsidR="009B4529">
        <w:rPr>
          <w:b/>
          <w:lang w:val="en-GB"/>
        </w:rPr>
        <w:t>5</w:t>
      </w:r>
      <w:r w:rsidRPr="00ED0B9C">
        <w:rPr>
          <w:b/>
          <w:lang w:val="en-GB"/>
        </w:rPr>
        <w:t xml:space="preserve">: </w:t>
      </w:r>
      <w:r w:rsidRPr="00305818">
        <w:rPr>
          <w:rFonts w:eastAsia="Calibri"/>
          <w:b/>
          <w:sz w:val="24"/>
          <w:szCs w:val="24"/>
          <w:shd w:val="clear" w:color="auto" w:fill="FFFFFF"/>
          <w:lang w:val="en-US" w:eastAsia="fr-FR"/>
        </w:rPr>
        <w:t>Volcano of contrasts comparisons</w:t>
      </w:r>
      <w:r w:rsidRPr="00305818">
        <w:rPr>
          <w:rFonts w:eastAsia="Calibri"/>
          <w:sz w:val="24"/>
          <w:szCs w:val="24"/>
          <w:shd w:val="clear" w:color="auto" w:fill="FFFFFF"/>
          <w:lang w:val="en-US" w:eastAsia="fr-FR"/>
        </w:rPr>
        <w:t>. Colors indicate genes also differentially expressed in the other population (blue = Marquesas; red= Gambier).</w:t>
      </w:r>
    </w:p>
    <w:p w14:paraId="1ACA8279" w14:textId="472FC586" w:rsidR="001D158D" w:rsidRDefault="001D158D" w:rsidP="001D158D">
      <w:pPr>
        <w:pStyle w:val="Lgende"/>
      </w:pPr>
      <w:r>
        <w:t xml:space="preserve">Table S </w:t>
      </w:r>
      <w:r>
        <w:fldChar w:fldCharType="begin"/>
      </w:r>
      <w:r>
        <w:instrText xml:space="preserve"> SEQ Table_S \* ARABIC </w:instrText>
      </w:r>
      <w:r>
        <w:fldChar w:fldCharType="separate"/>
      </w:r>
      <w:r w:rsidR="0059595E">
        <w:rPr>
          <w:noProof/>
        </w:rPr>
        <w:t>2</w:t>
      </w:r>
      <w:r>
        <w:fldChar w:fldCharType="end"/>
      </w:r>
      <w:r>
        <w:t>: Sequencing statistics.</w:t>
      </w:r>
    </w:p>
    <w:p w14:paraId="5CD15495" w14:textId="047A19B6" w:rsidR="001D158D" w:rsidRPr="001D158D" w:rsidRDefault="001D4AFD" w:rsidP="001D158D">
      <w:pPr>
        <w:rPr>
          <w:lang w:val="en-GB"/>
        </w:rPr>
      </w:pPr>
      <w:r>
        <w:rPr>
          <w:noProof/>
          <w:lang w:val="en-GB"/>
        </w:rPr>
        <w:object w:dxaOrig="8340" w:dyaOrig="20880" w14:anchorId="5B390C32">
          <v:shape id="_x0000_i1025" type="#_x0000_t75" alt="" style="width:299.65pt;height:753.9pt;mso-width-percent:0;mso-height-percent:0;mso-width-percent:0;mso-height-percent:0" o:ole="">
            <v:imagedata r:id="rId19" o:title=""/>
          </v:shape>
          <o:OLEObject Type="Embed" ProgID="Excel.Sheet.12" ShapeID="_x0000_i1025" DrawAspect="Content" ObjectID="_1710147148" r:id="rId20"/>
        </w:object>
      </w:r>
    </w:p>
    <w:p w14:paraId="31C70447" w14:textId="2E870DD8" w:rsidR="005F417F" w:rsidRDefault="005F417F" w:rsidP="005F417F">
      <w:pPr>
        <w:pStyle w:val="Lgende"/>
      </w:pPr>
      <w:r>
        <w:lastRenderedPageBreak/>
        <w:t xml:space="preserve">Table S </w:t>
      </w:r>
      <w:r>
        <w:fldChar w:fldCharType="begin"/>
      </w:r>
      <w:r>
        <w:instrText xml:space="preserve"> SEQ Table_S \* ARABIC </w:instrText>
      </w:r>
      <w:r>
        <w:fldChar w:fldCharType="separate"/>
      </w:r>
      <w:r w:rsidR="0059595E">
        <w:rPr>
          <w:noProof/>
        </w:rPr>
        <w:t>3</w:t>
      </w:r>
      <w:r>
        <w:fldChar w:fldCharType="end"/>
      </w:r>
      <w:r>
        <w:t xml:space="preserve">: Table of gene ontology enrichment. </w:t>
      </w:r>
      <w:r w:rsidRPr="002C558E">
        <w:rPr>
          <w:b w:val="0"/>
          <w:bCs w:val="0"/>
        </w:rPr>
        <w:t>Excel file.</w:t>
      </w:r>
    </w:p>
    <w:p w14:paraId="35349B4E" w14:textId="01577C39" w:rsidR="001D158D" w:rsidRDefault="00340A76" w:rsidP="001D158D">
      <w:pPr>
        <w:pStyle w:val="Lgende"/>
      </w:pPr>
      <w:r>
        <w:t xml:space="preserve">Table S </w:t>
      </w:r>
      <w:r w:rsidR="005F417F">
        <w:t>4</w:t>
      </w:r>
      <w:r>
        <w:t xml:space="preserve">: Table of </w:t>
      </w:r>
      <w:r w:rsidR="005F417F">
        <w:t>list of differentially expressed genes</w:t>
      </w:r>
      <w:r w:rsidR="002C558E">
        <w:t xml:space="preserve">. </w:t>
      </w:r>
      <w:r w:rsidR="002C558E" w:rsidRPr="002C558E">
        <w:rPr>
          <w:b w:val="0"/>
          <w:bCs w:val="0"/>
        </w:rPr>
        <w:t>Excel file.</w:t>
      </w:r>
    </w:p>
    <w:p w14:paraId="06FB982A" w14:textId="77777777" w:rsidR="001D158D" w:rsidRDefault="001D158D" w:rsidP="001D158D">
      <w:pPr>
        <w:pStyle w:val="Lgende"/>
      </w:pPr>
    </w:p>
    <w:p w14:paraId="4F3B4138" w14:textId="1D68B9F4" w:rsidR="00340A76" w:rsidRDefault="00FA561A" w:rsidP="001D158D">
      <w:pPr>
        <w:pStyle w:val="Lgende"/>
      </w:pPr>
      <w:r>
        <w:t>References</w:t>
      </w:r>
    </w:p>
    <w:p w14:paraId="6D703578" w14:textId="77777777" w:rsidR="002E78B2" w:rsidRPr="002E78B2" w:rsidRDefault="002E78B2" w:rsidP="002E78B2">
      <w:pPr>
        <w:pStyle w:val="Bibliographie3"/>
      </w:pPr>
      <w:r>
        <w:fldChar w:fldCharType="begin"/>
      </w:r>
      <w:r>
        <w:instrText xml:space="preserve"> ADDIN ZOTERO_BIBL {"uncited":[],"omitted":[],"custom":[]} CSL_BIBLIOGRAPHY </w:instrText>
      </w:r>
      <w:r>
        <w:fldChar w:fldCharType="separate"/>
      </w:r>
      <w:r w:rsidRPr="002E78B2">
        <w:t xml:space="preserve">Andréfouët, S., Muller-Karger, F. E., Robinson, J. A., Torres-Pulliza, D., Spraggins, S. A., &amp; Murch, B. (2006). Global assessment of modern coral reef extent and diversity for regional science and management applications: A view from space. </w:t>
      </w:r>
      <w:r w:rsidRPr="002E78B2">
        <w:rPr>
          <w:i/>
          <w:iCs/>
        </w:rPr>
        <w:t>Proceedings of 10th International Coral Reef Symposium</w:t>
      </w:r>
      <w:r w:rsidRPr="002E78B2">
        <w:t>, 1732–1745.</w:t>
      </w:r>
    </w:p>
    <w:p w14:paraId="04C02007" w14:textId="36921582" w:rsidR="002E78B2" w:rsidRPr="002E78B2" w:rsidRDefault="002E78B2" w:rsidP="002E78B2">
      <w:pPr>
        <w:pStyle w:val="Bibliographie3"/>
      </w:pPr>
      <w:r w:rsidRPr="002E78B2">
        <w:t xml:space="preserve">Auwera, G. A. V. der, Carneiro, M. O., Hartl, C., Poplin, R., Angel, G. del, Levy‐Moonshine, A., Jordan, T., Shakir, K., Roazen, D., Thibault, J., Banks, E., Garimella, K. V., Altshuler, D., Gabriel, S., &amp; DePristo, M. A. (2013). From FastQ data to high‐confidence variant calls: The genome analysis toolkit best practices pipeline. </w:t>
      </w:r>
      <w:r w:rsidRPr="002E78B2">
        <w:rPr>
          <w:i/>
          <w:iCs/>
        </w:rPr>
        <w:t>Current Protocols in Bioinformatics</w:t>
      </w:r>
      <w:r w:rsidRPr="002E78B2">
        <w:t xml:space="preserve">, </w:t>
      </w:r>
      <w:r w:rsidRPr="002E78B2">
        <w:rPr>
          <w:i/>
          <w:iCs/>
        </w:rPr>
        <w:t>43</w:t>
      </w:r>
      <w:r w:rsidRPr="002E78B2">
        <w:t xml:space="preserve">(1), 11.10.1-11.10.33. </w:t>
      </w:r>
    </w:p>
    <w:p w14:paraId="59996184" w14:textId="29121016" w:rsidR="002E78B2" w:rsidRPr="002E78B2" w:rsidRDefault="002E78B2" w:rsidP="002E78B2">
      <w:pPr>
        <w:pStyle w:val="Bibliographie3"/>
      </w:pPr>
      <w:r w:rsidRPr="002E78B2">
        <w:t xml:space="preserve">Bolger, A. M., Lohse, M., &amp; Usadel, B. (2014). Trimmomatic: A flexible trimmer for Illumina sequence data. </w:t>
      </w:r>
      <w:r w:rsidRPr="002E78B2">
        <w:rPr>
          <w:i/>
          <w:iCs/>
        </w:rPr>
        <w:t>Bioinformatics</w:t>
      </w:r>
      <w:r w:rsidRPr="002E78B2">
        <w:t xml:space="preserve">, </w:t>
      </w:r>
      <w:r w:rsidRPr="002E78B2">
        <w:rPr>
          <w:i/>
          <w:iCs/>
        </w:rPr>
        <w:t>30</w:t>
      </w:r>
      <w:r w:rsidRPr="002E78B2">
        <w:t xml:space="preserve">(15), 2114–2120. </w:t>
      </w:r>
    </w:p>
    <w:p w14:paraId="6C3EEEE6" w14:textId="788EECBA" w:rsidR="002E78B2" w:rsidRPr="002E78B2" w:rsidRDefault="002E78B2" w:rsidP="002E78B2">
      <w:pPr>
        <w:pStyle w:val="Bibliographie3"/>
      </w:pPr>
      <w:r w:rsidRPr="002E78B2">
        <w:t xml:space="preserve">Browning, B. L., Zhou, Y., &amp; Browning, S. R. (2018). A One-Penny Imputed Genome from Next-Generation Reference Panels. </w:t>
      </w:r>
      <w:r w:rsidRPr="002E78B2">
        <w:rPr>
          <w:i/>
          <w:iCs/>
        </w:rPr>
        <w:t>The American Journal of Human Genetics</w:t>
      </w:r>
      <w:r w:rsidRPr="002E78B2">
        <w:t xml:space="preserve">, </w:t>
      </w:r>
      <w:r w:rsidRPr="002E78B2">
        <w:rPr>
          <w:i/>
          <w:iCs/>
        </w:rPr>
        <w:t>103</w:t>
      </w:r>
      <w:r w:rsidRPr="002E78B2">
        <w:t xml:space="preserve">(3), 338–348. </w:t>
      </w:r>
    </w:p>
    <w:p w14:paraId="455FE79D" w14:textId="4A63333A" w:rsidR="002E78B2" w:rsidRPr="002E78B2" w:rsidRDefault="002E78B2" w:rsidP="002E78B2">
      <w:pPr>
        <w:pStyle w:val="Bibliographie3"/>
      </w:pPr>
      <w:r w:rsidRPr="002E78B2">
        <w:t xml:space="preserve">Chin, T. M., Vazquez-Cuervo, J., &amp; Armstrong, E. M. (2017). A multi-scale high-resolution analysis of global sea surface temperature. </w:t>
      </w:r>
      <w:r w:rsidRPr="002E78B2">
        <w:rPr>
          <w:i/>
          <w:iCs/>
        </w:rPr>
        <w:t>Remote Sensing of Environment</w:t>
      </w:r>
      <w:r w:rsidRPr="002E78B2">
        <w:t xml:space="preserve">, </w:t>
      </w:r>
      <w:r w:rsidRPr="002E78B2">
        <w:rPr>
          <w:i/>
          <w:iCs/>
        </w:rPr>
        <w:t>200</w:t>
      </w:r>
      <w:r w:rsidRPr="002E78B2">
        <w:t xml:space="preserve">, 154–169. </w:t>
      </w:r>
    </w:p>
    <w:p w14:paraId="0B4547D5" w14:textId="1F86307E" w:rsidR="002E78B2" w:rsidRPr="002E78B2" w:rsidRDefault="002E78B2" w:rsidP="002E78B2">
      <w:pPr>
        <w:pStyle w:val="Bibliographie3"/>
      </w:pPr>
      <w:r w:rsidRPr="008467B2">
        <w:t xml:space="preserve">Couturier, L. I. E., Michel, L. N., Amaro, T., Budge, S. M., da Costa, E., De Troch, M., Di Dato, V., Fink, P., Giraldo, C., Le Grand, F., Loaiza, I., Mathieu-Resuge, M., Nichols, P. D., Parrish, C. C., Sardenne, F., Vagner, M., Pernet, F., &amp; Soudant, P. (2020). </w:t>
      </w:r>
      <w:r w:rsidRPr="002E78B2">
        <w:t xml:space="preserve">State of art and best practices for fatty acid analysis in aquatic sciences. </w:t>
      </w:r>
      <w:r w:rsidRPr="002E78B2">
        <w:rPr>
          <w:i/>
          <w:iCs/>
        </w:rPr>
        <w:t>ICES Journal of Marine Science</w:t>
      </w:r>
      <w:r w:rsidRPr="002E78B2">
        <w:t xml:space="preserve">, fsaa121. </w:t>
      </w:r>
    </w:p>
    <w:p w14:paraId="7BE16907" w14:textId="57893DA1" w:rsidR="002E78B2" w:rsidRPr="002E78B2" w:rsidRDefault="002E78B2" w:rsidP="002E78B2">
      <w:pPr>
        <w:pStyle w:val="Bibliographie3"/>
      </w:pPr>
      <w:r w:rsidRPr="002E78B2">
        <w:t xml:space="preserve">Danecek, P., Auton, A., Abecasis, G., Albers, C. A., Banks, E., DePristo, M. A., Handsaker, R. E., Lunter, G., Marth, G. T., Sherry, S. T., McVean, G., &amp; Durbin, R. (2011). The variant call format and VCFtools. </w:t>
      </w:r>
      <w:r w:rsidRPr="002E78B2">
        <w:rPr>
          <w:i/>
          <w:iCs/>
        </w:rPr>
        <w:t>Bioinformatics</w:t>
      </w:r>
      <w:r w:rsidRPr="002E78B2">
        <w:t xml:space="preserve">, </w:t>
      </w:r>
      <w:r w:rsidRPr="002E78B2">
        <w:rPr>
          <w:i/>
          <w:iCs/>
        </w:rPr>
        <w:t>27</w:t>
      </w:r>
      <w:r w:rsidRPr="002E78B2">
        <w:t xml:space="preserve">(15), 2156–2158. </w:t>
      </w:r>
    </w:p>
    <w:p w14:paraId="118729A8" w14:textId="05905802" w:rsidR="002E78B2" w:rsidRPr="002E78B2" w:rsidRDefault="002E78B2" w:rsidP="002E78B2">
      <w:pPr>
        <w:pStyle w:val="Bibliographie3"/>
        <w:rPr>
          <w:lang w:val="fr-FR"/>
        </w:rPr>
      </w:pPr>
      <w:r w:rsidRPr="002E78B2">
        <w:t xml:space="preserve">Langfelder, P., &amp; Horvath, S. (2008). WGCNA: An R package for weighted correlation network analysis. </w:t>
      </w:r>
      <w:r w:rsidRPr="002E78B2">
        <w:rPr>
          <w:i/>
          <w:iCs/>
          <w:lang w:val="fr-FR"/>
        </w:rPr>
        <w:t>BMC Bioinformatics</w:t>
      </w:r>
      <w:r w:rsidRPr="002E78B2">
        <w:rPr>
          <w:lang w:val="fr-FR"/>
        </w:rPr>
        <w:t xml:space="preserve">, </w:t>
      </w:r>
      <w:r w:rsidRPr="002E78B2">
        <w:rPr>
          <w:i/>
          <w:iCs/>
          <w:lang w:val="fr-FR"/>
        </w:rPr>
        <w:t>9</w:t>
      </w:r>
      <w:r w:rsidRPr="002E78B2">
        <w:rPr>
          <w:lang w:val="fr-FR"/>
        </w:rPr>
        <w:t xml:space="preserve">, 559. </w:t>
      </w:r>
    </w:p>
    <w:p w14:paraId="0955CC1B" w14:textId="14A3A5C9" w:rsidR="002E78B2" w:rsidRPr="002E78B2" w:rsidRDefault="002E78B2" w:rsidP="002E78B2">
      <w:pPr>
        <w:pStyle w:val="Bibliographie3"/>
      </w:pPr>
      <w:r w:rsidRPr="002E78B2">
        <w:rPr>
          <w:lang w:val="fr-FR"/>
        </w:rPr>
        <w:lastRenderedPageBreak/>
        <w:t xml:space="preserve">Le Luyer, J., Auffret, P., Quillien, V., Leclerc, N., Reisser, C., Vidal-Dupiol, J., &amp; Ky, C.-L. (2019). </w:t>
      </w:r>
      <w:r w:rsidRPr="002E78B2">
        <w:t xml:space="preserve">Whole transcriptome sequencing and biomineralization gene architecture associated with cultured pearl quality traits in the pearl oyster, </w:t>
      </w:r>
      <w:r w:rsidRPr="002E78B2">
        <w:rPr>
          <w:i/>
          <w:iCs/>
        </w:rPr>
        <w:t>Pinctada margaritifera</w:t>
      </w:r>
      <w:r w:rsidRPr="002E78B2">
        <w:t xml:space="preserve">. </w:t>
      </w:r>
      <w:r w:rsidRPr="002E78B2">
        <w:rPr>
          <w:i/>
          <w:iCs/>
        </w:rPr>
        <w:t>BMC Genomics</w:t>
      </w:r>
      <w:r w:rsidRPr="002E78B2">
        <w:t xml:space="preserve">, </w:t>
      </w:r>
      <w:r w:rsidRPr="002E78B2">
        <w:rPr>
          <w:i/>
          <w:iCs/>
        </w:rPr>
        <w:t>20</w:t>
      </w:r>
      <w:r w:rsidRPr="002E78B2">
        <w:t xml:space="preserve">(1), 111. </w:t>
      </w:r>
    </w:p>
    <w:p w14:paraId="3B83D285" w14:textId="77777777" w:rsidR="002E78B2" w:rsidRPr="002E78B2" w:rsidRDefault="002E78B2" w:rsidP="002E78B2">
      <w:pPr>
        <w:pStyle w:val="Bibliographie3"/>
      </w:pPr>
      <w:r w:rsidRPr="002E78B2">
        <w:t xml:space="preserve">Morrison, W. R., &amp; Smith, M. (1964). Preparation of fatty acid methyl esters and dimethylacetals from lipids with boron fluoride-methanol. </w:t>
      </w:r>
      <w:r w:rsidRPr="002E78B2">
        <w:rPr>
          <w:i/>
          <w:iCs/>
        </w:rPr>
        <w:t>Journal of Lipid Research</w:t>
      </w:r>
      <w:r w:rsidRPr="002E78B2">
        <w:t xml:space="preserve">, </w:t>
      </w:r>
      <w:r w:rsidRPr="002E78B2">
        <w:rPr>
          <w:i/>
          <w:iCs/>
        </w:rPr>
        <w:t>5</w:t>
      </w:r>
      <w:r w:rsidRPr="002E78B2">
        <w:t>, 600–608.</w:t>
      </w:r>
    </w:p>
    <w:p w14:paraId="4B300052" w14:textId="45FC70BC" w:rsidR="002E78B2" w:rsidRPr="002E78B2" w:rsidRDefault="002E78B2" w:rsidP="002E78B2">
      <w:pPr>
        <w:pStyle w:val="Bibliographie3"/>
      </w:pPr>
      <w:r w:rsidRPr="002E78B2">
        <w:t xml:space="preserve">Rodrigues, C. H., Pires, D. E., &amp; Ascher, D. B. (2018). DynaMut: Predicting the impact of mutations on protein conformation, flexibility and stability. </w:t>
      </w:r>
      <w:r w:rsidRPr="002E78B2">
        <w:rPr>
          <w:i/>
          <w:iCs/>
        </w:rPr>
        <w:t>Nucleic Acids Research</w:t>
      </w:r>
      <w:r w:rsidRPr="002E78B2">
        <w:t xml:space="preserve">, </w:t>
      </w:r>
      <w:r w:rsidRPr="002E78B2">
        <w:rPr>
          <w:i/>
          <w:iCs/>
        </w:rPr>
        <w:t>46</w:t>
      </w:r>
      <w:r w:rsidRPr="002E78B2">
        <w:t xml:space="preserve">(W1), W350–W355. </w:t>
      </w:r>
    </w:p>
    <w:p w14:paraId="0B8938FC" w14:textId="77777777" w:rsidR="002E78B2" w:rsidRPr="002E78B2" w:rsidRDefault="002E78B2" w:rsidP="002E78B2">
      <w:pPr>
        <w:pStyle w:val="Bibliographie3"/>
      </w:pPr>
      <w:r w:rsidRPr="002E78B2">
        <w:t xml:space="preserve">Wu, T. D., Reeder, J., Lawrence, M., Becker, G., &amp; Brauer, M. J. (2016). GMAP and GSNAP for genomic sequence alignment: Enhancements to speed, accuracy, and functionality. </w:t>
      </w:r>
      <w:r w:rsidRPr="002E78B2">
        <w:rPr>
          <w:i/>
          <w:iCs/>
        </w:rPr>
        <w:t>Statistical Genomics: Methods and Protocols</w:t>
      </w:r>
      <w:r w:rsidRPr="002E78B2">
        <w:t>, 283–334.</w:t>
      </w:r>
    </w:p>
    <w:p w14:paraId="03F24FB8" w14:textId="635BBE51" w:rsidR="00FA561A" w:rsidRPr="00FA561A" w:rsidRDefault="002E78B2" w:rsidP="00FA561A">
      <w:r>
        <w:fldChar w:fldCharType="end"/>
      </w:r>
    </w:p>
    <w:p w14:paraId="29284EFF" w14:textId="5AF91C04" w:rsidR="0044345D" w:rsidRPr="00340A76" w:rsidRDefault="0044345D" w:rsidP="002C558E">
      <w:pPr>
        <w:pStyle w:val="Titre3"/>
        <w:numPr>
          <w:ilvl w:val="0"/>
          <w:numId w:val="0"/>
        </w:numPr>
        <w:rPr>
          <w:b w:val="0"/>
          <w:sz w:val="28"/>
          <w:szCs w:val="28"/>
        </w:rPr>
      </w:pPr>
    </w:p>
    <w:sectPr w:rsidR="0044345D" w:rsidRPr="00340A76" w:rsidSect="00BA713D">
      <w:pgSz w:w="11900" w:h="16840"/>
      <w:pgMar w:top="900" w:right="1418" w:bottom="1418" w:left="1418" w:header="709" w:footer="709" w:gutter="0"/>
      <w:lnNumType w:countBy="10"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6C7C9" w14:textId="77777777" w:rsidR="001D4AFD" w:rsidRDefault="001D4AFD" w:rsidP="00D35312">
      <w:pPr>
        <w:spacing w:after="0" w:line="240" w:lineRule="auto"/>
      </w:pPr>
      <w:r>
        <w:separator/>
      </w:r>
    </w:p>
  </w:endnote>
  <w:endnote w:type="continuationSeparator" w:id="0">
    <w:p w14:paraId="22124F36" w14:textId="77777777" w:rsidR="001D4AFD" w:rsidRDefault="001D4AFD" w:rsidP="00D35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BBB8" w14:textId="77777777" w:rsidR="00F6192D" w:rsidRDefault="00F6192D" w:rsidP="002763C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4468712" w14:textId="77777777" w:rsidR="00F6192D" w:rsidRDefault="00F6192D" w:rsidP="00D3531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EAD6" w14:textId="77777777" w:rsidR="00F6192D" w:rsidRDefault="00F6192D" w:rsidP="002763C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404BA202" w14:textId="77777777" w:rsidR="00F6192D" w:rsidRDefault="00F6192D" w:rsidP="00D35312">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F9AA1" w14:textId="77777777" w:rsidR="001D4AFD" w:rsidRDefault="001D4AFD" w:rsidP="00D35312">
      <w:pPr>
        <w:spacing w:after="0" w:line="240" w:lineRule="auto"/>
      </w:pPr>
      <w:r>
        <w:separator/>
      </w:r>
    </w:p>
  </w:footnote>
  <w:footnote w:type="continuationSeparator" w:id="0">
    <w:p w14:paraId="6C8BD986" w14:textId="77777777" w:rsidR="001D4AFD" w:rsidRDefault="001D4AFD" w:rsidP="00D353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38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355F49"/>
    <w:multiLevelType w:val="hybridMultilevel"/>
    <w:tmpl w:val="FFB8E93C"/>
    <w:lvl w:ilvl="0" w:tplc="9DF2E8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AE288F"/>
    <w:multiLevelType w:val="hybridMultilevel"/>
    <w:tmpl w:val="5E5C633A"/>
    <w:lvl w:ilvl="0" w:tplc="9DF2E8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9C0EAF"/>
    <w:multiLevelType w:val="hybridMultilevel"/>
    <w:tmpl w:val="CCDA5BC4"/>
    <w:lvl w:ilvl="0" w:tplc="230C10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524E1E"/>
    <w:multiLevelType w:val="hybridMultilevel"/>
    <w:tmpl w:val="82AC880E"/>
    <w:lvl w:ilvl="0" w:tplc="9DF2E8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EA04CF"/>
    <w:multiLevelType w:val="multilevel"/>
    <w:tmpl w:val="D922818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7F60AA"/>
    <w:multiLevelType w:val="hybridMultilevel"/>
    <w:tmpl w:val="1F3EEF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6001EF9"/>
    <w:multiLevelType w:val="hybridMultilevel"/>
    <w:tmpl w:val="DC289C70"/>
    <w:lvl w:ilvl="0" w:tplc="9DF2E8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62F4E98"/>
    <w:multiLevelType w:val="hybridMultilevel"/>
    <w:tmpl w:val="BA6AF9E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46C12A01"/>
    <w:multiLevelType w:val="hybridMultilevel"/>
    <w:tmpl w:val="D6B690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6E054F1"/>
    <w:multiLevelType w:val="hybridMultilevel"/>
    <w:tmpl w:val="DC289C70"/>
    <w:lvl w:ilvl="0" w:tplc="9DF2E8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8052F6F"/>
    <w:multiLevelType w:val="hybridMultilevel"/>
    <w:tmpl w:val="C9821DC0"/>
    <w:lvl w:ilvl="0" w:tplc="835CE76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D313F1"/>
    <w:multiLevelType w:val="hybridMultilevel"/>
    <w:tmpl w:val="2804AC7C"/>
    <w:lvl w:ilvl="0" w:tplc="D56E75A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4D1194B"/>
    <w:multiLevelType w:val="hybridMultilevel"/>
    <w:tmpl w:val="42D413DE"/>
    <w:lvl w:ilvl="0" w:tplc="D56E75A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AF21BE8"/>
    <w:multiLevelType w:val="hybridMultilevel"/>
    <w:tmpl w:val="AB12586A"/>
    <w:lvl w:ilvl="0" w:tplc="4718F726">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36D627C"/>
    <w:multiLevelType w:val="hybridMultilevel"/>
    <w:tmpl w:val="647EA4B0"/>
    <w:lvl w:ilvl="0" w:tplc="D56E75A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9032942"/>
    <w:multiLevelType w:val="multilevel"/>
    <w:tmpl w:val="04DA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781A96"/>
    <w:multiLevelType w:val="hybridMultilevel"/>
    <w:tmpl w:val="D9228186"/>
    <w:lvl w:ilvl="0" w:tplc="D56E75A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14"/>
  </w:num>
  <w:num w:numId="3">
    <w:abstractNumId w:val="11"/>
  </w:num>
  <w:num w:numId="4">
    <w:abstractNumId w:val="2"/>
  </w:num>
  <w:num w:numId="5">
    <w:abstractNumId w:val="16"/>
    <w:lvlOverride w:ilvl="0">
      <w:lvl w:ilvl="0">
        <w:numFmt w:val="decimal"/>
        <w:lvlText w:val="%1."/>
        <w:lvlJc w:val="left"/>
      </w:lvl>
    </w:lvlOverride>
  </w:num>
  <w:num w:numId="6">
    <w:abstractNumId w:val="14"/>
    <w:lvlOverride w:ilvl="0">
      <w:startOverride w:val="1"/>
    </w:lvlOverride>
  </w:num>
  <w:num w:numId="7">
    <w:abstractNumId w:val="10"/>
  </w:num>
  <w:num w:numId="8">
    <w:abstractNumId w:val="14"/>
    <w:lvlOverride w:ilvl="0">
      <w:startOverride w:val="1"/>
    </w:lvlOverride>
  </w:num>
  <w:num w:numId="9">
    <w:abstractNumId w:val="14"/>
    <w:lvlOverride w:ilvl="0">
      <w:startOverride w:val="1"/>
    </w:lvlOverride>
  </w:num>
  <w:num w:numId="10">
    <w:abstractNumId w:val="15"/>
  </w:num>
  <w:num w:numId="11">
    <w:abstractNumId w:val="14"/>
    <w:lvlOverride w:ilvl="0">
      <w:startOverride w:val="1"/>
    </w:lvlOverride>
  </w:num>
  <w:num w:numId="12">
    <w:abstractNumId w:val="5"/>
  </w:num>
  <w:num w:numId="13">
    <w:abstractNumId w:val="17"/>
  </w:num>
  <w:num w:numId="14">
    <w:abstractNumId w:val="12"/>
  </w:num>
  <w:num w:numId="15">
    <w:abstractNumId w:val="7"/>
  </w:num>
  <w:num w:numId="16">
    <w:abstractNumId w:val="1"/>
  </w:num>
  <w:num w:numId="17">
    <w:abstractNumId w:val="4"/>
  </w:num>
  <w:num w:numId="18">
    <w:abstractNumId w:val="0"/>
  </w:num>
  <w:num w:numId="19">
    <w:abstractNumId w:val="6"/>
  </w:num>
  <w:num w:numId="20">
    <w:abstractNumId w:val="3"/>
  </w:num>
  <w:num w:numId="21">
    <w:abstractNumId w:val="8"/>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17"/>
    <w:rsid w:val="0001021A"/>
    <w:rsid w:val="00025746"/>
    <w:rsid w:val="00046D43"/>
    <w:rsid w:val="000735DC"/>
    <w:rsid w:val="00095979"/>
    <w:rsid w:val="000A4F7B"/>
    <w:rsid w:val="000C15FB"/>
    <w:rsid w:val="000C4F78"/>
    <w:rsid w:val="000D7210"/>
    <w:rsid w:val="000E52AB"/>
    <w:rsid w:val="0010108C"/>
    <w:rsid w:val="001075E1"/>
    <w:rsid w:val="0011047D"/>
    <w:rsid w:val="00122EDB"/>
    <w:rsid w:val="001367EA"/>
    <w:rsid w:val="00144E3A"/>
    <w:rsid w:val="00194656"/>
    <w:rsid w:val="001A39E4"/>
    <w:rsid w:val="001B1F82"/>
    <w:rsid w:val="001C1B7E"/>
    <w:rsid w:val="001C4594"/>
    <w:rsid w:val="001C6590"/>
    <w:rsid w:val="001C7B9D"/>
    <w:rsid w:val="001D158D"/>
    <w:rsid w:val="001D1F76"/>
    <w:rsid w:val="001D4AFD"/>
    <w:rsid w:val="001E1AB2"/>
    <w:rsid w:val="0020662D"/>
    <w:rsid w:val="00207018"/>
    <w:rsid w:val="002112A3"/>
    <w:rsid w:val="00222BB1"/>
    <w:rsid w:val="0022311C"/>
    <w:rsid w:val="00223BD2"/>
    <w:rsid w:val="00241562"/>
    <w:rsid w:val="002475FB"/>
    <w:rsid w:val="0025262D"/>
    <w:rsid w:val="00253F87"/>
    <w:rsid w:val="00257C6E"/>
    <w:rsid w:val="00271374"/>
    <w:rsid w:val="002763CF"/>
    <w:rsid w:val="002C558E"/>
    <w:rsid w:val="002E78B2"/>
    <w:rsid w:val="002F3DA4"/>
    <w:rsid w:val="002F5C9C"/>
    <w:rsid w:val="0030186E"/>
    <w:rsid w:val="00305818"/>
    <w:rsid w:val="00310B24"/>
    <w:rsid w:val="00317D7A"/>
    <w:rsid w:val="0033234B"/>
    <w:rsid w:val="003404F0"/>
    <w:rsid w:val="00340A76"/>
    <w:rsid w:val="00342A15"/>
    <w:rsid w:val="00344689"/>
    <w:rsid w:val="0034669D"/>
    <w:rsid w:val="00347FAB"/>
    <w:rsid w:val="00356350"/>
    <w:rsid w:val="003710CE"/>
    <w:rsid w:val="00377F62"/>
    <w:rsid w:val="003814EB"/>
    <w:rsid w:val="003A1E50"/>
    <w:rsid w:val="003A2905"/>
    <w:rsid w:val="003C60AE"/>
    <w:rsid w:val="003D33B5"/>
    <w:rsid w:val="003E1263"/>
    <w:rsid w:val="003F590F"/>
    <w:rsid w:val="00406DCD"/>
    <w:rsid w:val="00414378"/>
    <w:rsid w:val="0042671D"/>
    <w:rsid w:val="0044345D"/>
    <w:rsid w:val="00447E23"/>
    <w:rsid w:val="00451513"/>
    <w:rsid w:val="00472AF5"/>
    <w:rsid w:val="004C0AF0"/>
    <w:rsid w:val="004C572C"/>
    <w:rsid w:val="004C5EE4"/>
    <w:rsid w:val="004D0497"/>
    <w:rsid w:val="004D70FD"/>
    <w:rsid w:val="004E477D"/>
    <w:rsid w:val="004F650B"/>
    <w:rsid w:val="00502C17"/>
    <w:rsid w:val="00521B08"/>
    <w:rsid w:val="005270CA"/>
    <w:rsid w:val="0054781F"/>
    <w:rsid w:val="005660B6"/>
    <w:rsid w:val="005912DB"/>
    <w:rsid w:val="0059595E"/>
    <w:rsid w:val="005B1DD3"/>
    <w:rsid w:val="005C181B"/>
    <w:rsid w:val="005C3262"/>
    <w:rsid w:val="005C500E"/>
    <w:rsid w:val="005F417F"/>
    <w:rsid w:val="0060094E"/>
    <w:rsid w:val="00616812"/>
    <w:rsid w:val="006233A7"/>
    <w:rsid w:val="00646227"/>
    <w:rsid w:val="00653ED3"/>
    <w:rsid w:val="006671EA"/>
    <w:rsid w:val="0069171D"/>
    <w:rsid w:val="00696E09"/>
    <w:rsid w:val="006A1ACD"/>
    <w:rsid w:val="006A49A7"/>
    <w:rsid w:val="006A5C24"/>
    <w:rsid w:val="006D12F0"/>
    <w:rsid w:val="006F79A7"/>
    <w:rsid w:val="007050D3"/>
    <w:rsid w:val="00707CA8"/>
    <w:rsid w:val="00710779"/>
    <w:rsid w:val="00712025"/>
    <w:rsid w:val="00715586"/>
    <w:rsid w:val="007333EF"/>
    <w:rsid w:val="007422A1"/>
    <w:rsid w:val="00791F4E"/>
    <w:rsid w:val="007951AF"/>
    <w:rsid w:val="007B3897"/>
    <w:rsid w:val="007C2571"/>
    <w:rsid w:val="007F31D2"/>
    <w:rsid w:val="007F4BBB"/>
    <w:rsid w:val="008243B2"/>
    <w:rsid w:val="00824ECA"/>
    <w:rsid w:val="008265B4"/>
    <w:rsid w:val="00843728"/>
    <w:rsid w:val="008467B2"/>
    <w:rsid w:val="00856096"/>
    <w:rsid w:val="008707AE"/>
    <w:rsid w:val="008736C0"/>
    <w:rsid w:val="00883086"/>
    <w:rsid w:val="0089110C"/>
    <w:rsid w:val="00892EE2"/>
    <w:rsid w:val="00895BF2"/>
    <w:rsid w:val="00896CE3"/>
    <w:rsid w:val="00896F29"/>
    <w:rsid w:val="008A5645"/>
    <w:rsid w:val="008B421D"/>
    <w:rsid w:val="008B60BF"/>
    <w:rsid w:val="008F68EA"/>
    <w:rsid w:val="00913367"/>
    <w:rsid w:val="009210FB"/>
    <w:rsid w:val="00937935"/>
    <w:rsid w:val="00956288"/>
    <w:rsid w:val="009740D4"/>
    <w:rsid w:val="009760F3"/>
    <w:rsid w:val="00986035"/>
    <w:rsid w:val="0099347A"/>
    <w:rsid w:val="00995107"/>
    <w:rsid w:val="009B4529"/>
    <w:rsid w:val="009D016C"/>
    <w:rsid w:val="009D4FFA"/>
    <w:rsid w:val="009D641A"/>
    <w:rsid w:val="009E4E18"/>
    <w:rsid w:val="00A26B71"/>
    <w:rsid w:val="00A43067"/>
    <w:rsid w:val="00A46FAD"/>
    <w:rsid w:val="00A51F90"/>
    <w:rsid w:val="00A85ABD"/>
    <w:rsid w:val="00A97124"/>
    <w:rsid w:val="00AA5D70"/>
    <w:rsid w:val="00AB454E"/>
    <w:rsid w:val="00AD18D5"/>
    <w:rsid w:val="00AD2D36"/>
    <w:rsid w:val="00B12E3D"/>
    <w:rsid w:val="00B2392B"/>
    <w:rsid w:val="00B30FAA"/>
    <w:rsid w:val="00B55424"/>
    <w:rsid w:val="00B761AD"/>
    <w:rsid w:val="00B827ED"/>
    <w:rsid w:val="00B855C9"/>
    <w:rsid w:val="00B90A9F"/>
    <w:rsid w:val="00B95983"/>
    <w:rsid w:val="00BA1991"/>
    <w:rsid w:val="00BA713D"/>
    <w:rsid w:val="00BC0E8A"/>
    <w:rsid w:val="00BD229D"/>
    <w:rsid w:val="00BE29C1"/>
    <w:rsid w:val="00C00FB1"/>
    <w:rsid w:val="00C01422"/>
    <w:rsid w:val="00C16B09"/>
    <w:rsid w:val="00C35590"/>
    <w:rsid w:val="00C40F53"/>
    <w:rsid w:val="00C53B78"/>
    <w:rsid w:val="00C66030"/>
    <w:rsid w:val="00C7459C"/>
    <w:rsid w:val="00C8433C"/>
    <w:rsid w:val="00C86301"/>
    <w:rsid w:val="00C8758E"/>
    <w:rsid w:val="00C87BEF"/>
    <w:rsid w:val="00CA505B"/>
    <w:rsid w:val="00CA7618"/>
    <w:rsid w:val="00CB146B"/>
    <w:rsid w:val="00CB48DE"/>
    <w:rsid w:val="00CB5552"/>
    <w:rsid w:val="00CC32DB"/>
    <w:rsid w:val="00CD0E18"/>
    <w:rsid w:val="00CD1FF5"/>
    <w:rsid w:val="00D073AD"/>
    <w:rsid w:val="00D21027"/>
    <w:rsid w:val="00D3093A"/>
    <w:rsid w:val="00D345F8"/>
    <w:rsid w:val="00D35312"/>
    <w:rsid w:val="00D535A9"/>
    <w:rsid w:val="00D61E77"/>
    <w:rsid w:val="00D64C9C"/>
    <w:rsid w:val="00D714E9"/>
    <w:rsid w:val="00D772E1"/>
    <w:rsid w:val="00DA2BD0"/>
    <w:rsid w:val="00DA6F29"/>
    <w:rsid w:val="00DB2093"/>
    <w:rsid w:val="00DD1B53"/>
    <w:rsid w:val="00DE2497"/>
    <w:rsid w:val="00DE77E8"/>
    <w:rsid w:val="00DF1709"/>
    <w:rsid w:val="00DF73EF"/>
    <w:rsid w:val="00E013FC"/>
    <w:rsid w:val="00E02E1B"/>
    <w:rsid w:val="00E079FD"/>
    <w:rsid w:val="00E13DE0"/>
    <w:rsid w:val="00E153CC"/>
    <w:rsid w:val="00E263D7"/>
    <w:rsid w:val="00E30D35"/>
    <w:rsid w:val="00E42C64"/>
    <w:rsid w:val="00E44833"/>
    <w:rsid w:val="00E50EA2"/>
    <w:rsid w:val="00E51904"/>
    <w:rsid w:val="00E76A5F"/>
    <w:rsid w:val="00E77B53"/>
    <w:rsid w:val="00E83EBD"/>
    <w:rsid w:val="00E86487"/>
    <w:rsid w:val="00E9037D"/>
    <w:rsid w:val="00EA584D"/>
    <w:rsid w:val="00EB4786"/>
    <w:rsid w:val="00EC7A73"/>
    <w:rsid w:val="00ED0B9C"/>
    <w:rsid w:val="00EE30FB"/>
    <w:rsid w:val="00F1437C"/>
    <w:rsid w:val="00F51484"/>
    <w:rsid w:val="00F53594"/>
    <w:rsid w:val="00F56DAF"/>
    <w:rsid w:val="00F6192D"/>
    <w:rsid w:val="00F63E92"/>
    <w:rsid w:val="00F85857"/>
    <w:rsid w:val="00F92DCD"/>
    <w:rsid w:val="00FA43FB"/>
    <w:rsid w:val="00FA561A"/>
    <w:rsid w:val="00FB01E4"/>
    <w:rsid w:val="00FD34AE"/>
    <w:rsid w:val="00FD34CF"/>
    <w:rsid w:val="00FD7E99"/>
    <w:rsid w:val="00FE217F"/>
    <w:rsid w:val="00FE486B"/>
    <w:rsid w:val="00FF277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EB0E9E"/>
  <w14:defaultImageDpi w14:val="300"/>
  <w15:docId w15:val="{1208EAC9-F75A-8444-88FB-1F220EA8D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EastAsia" w:hAnsi="Arial Narrow"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C17"/>
    <w:pPr>
      <w:spacing w:after="200" w:line="480" w:lineRule="auto"/>
      <w:ind w:firstLine="360"/>
      <w:jc w:val="both"/>
    </w:pPr>
    <w:rPr>
      <w:rFonts w:ascii="Times New Roman" w:hAnsi="Times New Roman"/>
      <w:sz w:val="22"/>
      <w:szCs w:val="22"/>
      <w:lang w:val="en-CA" w:eastAsia="en-US"/>
    </w:rPr>
  </w:style>
  <w:style w:type="paragraph" w:styleId="Titre1">
    <w:name w:val="heading 1"/>
    <w:basedOn w:val="Normal"/>
    <w:next w:val="Normal"/>
    <w:link w:val="Titre1Car"/>
    <w:uiPriority w:val="9"/>
    <w:qFormat/>
    <w:rsid w:val="00502C17"/>
    <w:pPr>
      <w:keepNext/>
      <w:keepLines/>
      <w:spacing w:before="480" w:after="0"/>
      <w:jc w:val="center"/>
      <w:outlineLvl w:val="0"/>
    </w:pPr>
    <w:rPr>
      <w:rFonts w:eastAsiaTheme="majorEastAsia"/>
      <w:b/>
      <w:bCs/>
      <w:sz w:val="24"/>
      <w:szCs w:val="24"/>
      <w:lang w:val="en-GB"/>
    </w:rPr>
  </w:style>
  <w:style w:type="paragraph" w:styleId="Titre2">
    <w:name w:val="heading 2"/>
    <w:basedOn w:val="Normal"/>
    <w:next w:val="Normal"/>
    <w:link w:val="Titre2Car"/>
    <w:uiPriority w:val="9"/>
    <w:unhideWhenUsed/>
    <w:qFormat/>
    <w:rsid w:val="00502C17"/>
    <w:pPr>
      <w:outlineLvl w:val="1"/>
    </w:pPr>
    <w:rPr>
      <w:b/>
      <w:sz w:val="28"/>
      <w:szCs w:val="28"/>
    </w:rPr>
  </w:style>
  <w:style w:type="paragraph" w:styleId="Titre3">
    <w:name w:val="heading 3"/>
    <w:basedOn w:val="Normal"/>
    <w:next w:val="Normal"/>
    <w:link w:val="Titre3Car"/>
    <w:uiPriority w:val="9"/>
    <w:unhideWhenUsed/>
    <w:qFormat/>
    <w:rsid w:val="00502C17"/>
    <w:pPr>
      <w:keepNext/>
      <w:keepLines/>
      <w:numPr>
        <w:numId w:val="2"/>
      </w:numPr>
      <w:spacing w:before="200" w:after="0"/>
      <w:outlineLvl w:val="2"/>
    </w:pPr>
    <w:rPr>
      <w:rFonts w:eastAsiaTheme="majorEastAsia"/>
      <w:b/>
      <w:bCs/>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2C17"/>
    <w:rPr>
      <w:rFonts w:ascii="Times New Roman" w:eastAsiaTheme="majorEastAsia" w:hAnsi="Times New Roman"/>
      <w:b/>
      <w:bCs/>
      <w:sz w:val="24"/>
      <w:szCs w:val="24"/>
      <w:lang w:val="en-GB" w:eastAsia="en-US"/>
    </w:rPr>
  </w:style>
  <w:style w:type="character" w:customStyle="1" w:styleId="Titre2Car">
    <w:name w:val="Titre 2 Car"/>
    <w:basedOn w:val="Policepardfaut"/>
    <w:link w:val="Titre2"/>
    <w:uiPriority w:val="9"/>
    <w:rsid w:val="00502C17"/>
    <w:rPr>
      <w:rFonts w:ascii="Times New Roman" w:eastAsiaTheme="minorHAnsi" w:hAnsi="Times New Roman"/>
      <w:b/>
      <w:sz w:val="28"/>
      <w:szCs w:val="28"/>
      <w:lang w:val="en-CA" w:eastAsia="en-US"/>
    </w:rPr>
  </w:style>
  <w:style w:type="character" w:customStyle="1" w:styleId="Titre3Car">
    <w:name w:val="Titre 3 Car"/>
    <w:basedOn w:val="Policepardfaut"/>
    <w:link w:val="Titre3"/>
    <w:uiPriority w:val="9"/>
    <w:rsid w:val="00502C17"/>
    <w:rPr>
      <w:rFonts w:ascii="Times New Roman" w:eastAsiaTheme="majorEastAsia" w:hAnsi="Times New Roman"/>
      <w:b/>
      <w:bCs/>
      <w:sz w:val="22"/>
      <w:szCs w:val="22"/>
      <w:lang w:val="en-GB" w:eastAsia="en-US"/>
    </w:rPr>
  </w:style>
  <w:style w:type="paragraph" w:styleId="Bibliographie">
    <w:name w:val="Bibliography"/>
    <w:basedOn w:val="Normal"/>
    <w:next w:val="Normal"/>
    <w:uiPriority w:val="37"/>
    <w:unhideWhenUsed/>
    <w:rsid w:val="00502C17"/>
    <w:pPr>
      <w:tabs>
        <w:tab w:val="left" w:pos="264"/>
      </w:tabs>
      <w:spacing w:after="0"/>
      <w:ind w:left="264" w:hanging="264"/>
    </w:pPr>
  </w:style>
  <w:style w:type="character" w:customStyle="1" w:styleId="PrformatHTMLCar">
    <w:name w:val="Préformaté HTML Car"/>
    <w:basedOn w:val="Policepardfaut"/>
    <w:link w:val="PrformatHTML"/>
    <w:uiPriority w:val="99"/>
    <w:semiHidden/>
    <w:rsid w:val="00502C17"/>
    <w:rPr>
      <w:rFonts w:ascii="Consolas" w:eastAsiaTheme="minorHAnsi" w:hAnsi="Consolas"/>
      <w:lang w:val="en-CA" w:eastAsia="en-US"/>
    </w:rPr>
  </w:style>
  <w:style w:type="paragraph" w:styleId="PrformatHTML">
    <w:name w:val="HTML Preformatted"/>
    <w:basedOn w:val="Normal"/>
    <w:link w:val="PrformatHTMLCar"/>
    <w:uiPriority w:val="99"/>
    <w:semiHidden/>
    <w:unhideWhenUsed/>
    <w:rsid w:val="00502C17"/>
    <w:pPr>
      <w:spacing w:after="0" w:line="240" w:lineRule="auto"/>
    </w:pPr>
    <w:rPr>
      <w:rFonts w:ascii="Consolas" w:hAnsi="Consolas"/>
      <w:sz w:val="20"/>
      <w:szCs w:val="20"/>
    </w:rPr>
  </w:style>
  <w:style w:type="character" w:styleId="Lienhypertexte">
    <w:name w:val="Hyperlink"/>
    <w:basedOn w:val="Policepardfaut"/>
    <w:uiPriority w:val="99"/>
    <w:unhideWhenUsed/>
    <w:rsid w:val="00502C17"/>
    <w:rPr>
      <w:color w:val="0000FF"/>
      <w:u w:val="single"/>
    </w:rPr>
  </w:style>
  <w:style w:type="paragraph" w:styleId="Paragraphedeliste">
    <w:name w:val="List Paragraph"/>
    <w:basedOn w:val="Normal"/>
    <w:uiPriority w:val="34"/>
    <w:qFormat/>
    <w:rsid w:val="00502C17"/>
    <w:pPr>
      <w:ind w:left="720"/>
      <w:contextualSpacing/>
    </w:pPr>
  </w:style>
  <w:style w:type="paragraph" w:styleId="Corpsdetexte">
    <w:name w:val="Body Text"/>
    <w:basedOn w:val="Normal"/>
    <w:link w:val="CorpsdetexteCar"/>
    <w:rsid w:val="00502C17"/>
    <w:pPr>
      <w:widowControl w:val="0"/>
      <w:suppressAutoHyphens/>
      <w:spacing w:after="140" w:line="288" w:lineRule="auto"/>
    </w:pPr>
    <w:rPr>
      <w:rFonts w:eastAsia="Times New Roman"/>
      <w:sz w:val="20"/>
      <w:szCs w:val="20"/>
      <w:lang w:eastAsia="fr-FR"/>
    </w:rPr>
  </w:style>
  <w:style w:type="character" w:customStyle="1" w:styleId="CorpsdetexteCar">
    <w:name w:val="Corps de texte Car"/>
    <w:basedOn w:val="Policepardfaut"/>
    <w:link w:val="Corpsdetexte"/>
    <w:rsid w:val="00502C17"/>
    <w:rPr>
      <w:rFonts w:ascii="Times New Roman" w:eastAsia="Times New Roman" w:hAnsi="Times New Roman"/>
      <w:lang w:val="en-CA"/>
    </w:rPr>
  </w:style>
  <w:style w:type="paragraph" w:styleId="Textedebulles">
    <w:name w:val="Balloon Text"/>
    <w:basedOn w:val="Normal"/>
    <w:link w:val="TextedebullesCar"/>
    <w:uiPriority w:val="99"/>
    <w:semiHidden/>
    <w:unhideWhenUsed/>
    <w:rsid w:val="00502C17"/>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02C17"/>
    <w:rPr>
      <w:rFonts w:ascii="Lucida Grande" w:eastAsiaTheme="minorHAnsi" w:hAnsi="Lucida Grande" w:cs="Lucida Grande"/>
      <w:sz w:val="18"/>
      <w:szCs w:val="18"/>
      <w:lang w:val="en-CA" w:eastAsia="en-US"/>
    </w:rPr>
  </w:style>
  <w:style w:type="character" w:styleId="Marquedecommentaire">
    <w:name w:val="annotation reference"/>
    <w:basedOn w:val="Policepardfaut"/>
    <w:uiPriority w:val="99"/>
    <w:semiHidden/>
    <w:unhideWhenUsed/>
    <w:rsid w:val="00502C17"/>
    <w:rPr>
      <w:sz w:val="18"/>
      <w:szCs w:val="18"/>
    </w:rPr>
  </w:style>
  <w:style w:type="paragraph" w:styleId="Commentaire">
    <w:name w:val="annotation text"/>
    <w:basedOn w:val="Normal"/>
    <w:link w:val="CommentaireCar"/>
    <w:uiPriority w:val="99"/>
    <w:unhideWhenUsed/>
    <w:rsid w:val="00502C17"/>
    <w:pPr>
      <w:spacing w:line="240" w:lineRule="auto"/>
    </w:pPr>
    <w:rPr>
      <w:sz w:val="24"/>
      <w:szCs w:val="24"/>
    </w:rPr>
  </w:style>
  <w:style w:type="character" w:customStyle="1" w:styleId="CommentaireCar">
    <w:name w:val="Commentaire Car"/>
    <w:basedOn w:val="Policepardfaut"/>
    <w:link w:val="Commentaire"/>
    <w:uiPriority w:val="99"/>
    <w:rsid w:val="00502C17"/>
    <w:rPr>
      <w:rFonts w:ascii="Times New Roman" w:eastAsiaTheme="minorHAnsi" w:hAnsi="Times New Roman"/>
      <w:sz w:val="24"/>
      <w:szCs w:val="24"/>
      <w:lang w:val="en-CA" w:eastAsia="en-US"/>
    </w:rPr>
  </w:style>
  <w:style w:type="paragraph" w:styleId="Objetducommentaire">
    <w:name w:val="annotation subject"/>
    <w:basedOn w:val="Commentaire"/>
    <w:next w:val="Commentaire"/>
    <w:link w:val="ObjetducommentaireCar"/>
    <w:uiPriority w:val="99"/>
    <w:semiHidden/>
    <w:unhideWhenUsed/>
    <w:rsid w:val="00502C17"/>
    <w:rPr>
      <w:b/>
      <w:bCs/>
      <w:sz w:val="20"/>
      <w:szCs w:val="20"/>
    </w:rPr>
  </w:style>
  <w:style w:type="character" w:customStyle="1" w:styleId="ObjetducommentaireCar">
    <w:name w:val="Objet du commentaire Car"/>
    <w:basedOn w:val="CommentaireCar"/>
    <w:link w:val="Objetducommentaire"/>
    <w:uiPriority w:val="99"/>
    <w:semiHidden/>
    <w:rsid w:val="00502C17"/>
    <w:rPr>
      <w:rFonts w:ascii="Times New Roman" w:eastAsiaTheme="minorHAnsi" w:hAnsi="Times New Roman"/>
      <w:b/>
      <w:bCs/>
      <w:sz w:val="24"/>
      <w:szCs w:val="24"/>
      <w:lang w:val="en-CA" w:eastAsia="en-US"/>
    </w:rPr>
  </w:style>
  <w:style w:type="paragraph" w:customStyle="1" w:styleId="Bibliographie1">
    <w:name w:val="Bibliographie1"/>
    <w:basedOn w:val="Normal"/>
    <w:rsid w:val="00502C17"/>
    <w:pPr>
      <w:tabs>
        <w:tab w:val="left" w:pos="380"/>
      </w:tabs>
      <w:spacing w:after="240" w:line="240" w:lineRule="auto"/>
      <w:ind w:left="384" w:hanging="384"/>
    </w:pPr>
  </w:style>
  <w:style w:type="paragraph" w:styleId="Pieddepage">
    <w:name w:val="footer"/>
    <w:basedOn w:val="Normal"/>
    <w:link w:val="PieddepageCar"/>
    <w:uiPriority w:val="99"/>
    <w:unhideWhenUsed/>
    <w:rsid w:val="00502C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2C17"/>
    <w:rPr>
      <w:rFonts w:ascii="Times New Roman" w:eastAsiaTheme="minorHAnsi" w:hAnsi="Times New Roman"/>
      <w:sz w:val="22"/>
      <w:szCs w:val="22"/>
      <w:lang w:val="en-CA" w:eastAsia="en-US"/>
    </w:rPr>
  </w:style>
  <w:style w:type="character" w:styleId="lev">
    <w:name w:val="Strong"/>
    <w:basedOn w:val="Policepardfaut"/>
    <w:uiPriority w:val="22"/>
    <w:qFormat/>
    <w:rsid w:val="00502C17"/>
    <w:rPr>
      <w:b/>
      <w:bCs/>
    </w:rPr>
  </w:style>
  <w:style w:type="character" w:styleId="Accentuation">
    <w:name w:val="Emphasis"/>
    <w:basedOn w:val="Policepardfaut"/>
    <w:uiPriority w:val="20"/>
    <w:qFormat/>
    <w:rsid w:val="00502C17"/>
    <w:rPr>
      <w:i/>
      <w:iCs/>
    </w:rPr>
  </w:style>
  <w:style w:type="paragraph" w:customStyle="1" w:styleId="Bibliographie2">
    <w:name w:val="Bibliographie2"/>
    <w:basedOn w:val="Normal"/>
    <w:rsid w:val="00896CE3"/>
    <w:pPr>
      <w:tabs>
        <w:tab w:val="left" w:pos="380"/>
      </w:tabs>
      <w:spacing w:after="240" w:line="240" w:lineRule="auto"/>
      <w:ind w:left="384" w:hanging="384"/>
    </w:pPr>
  </w:style>
  <w:style w:type="character" w:customStyle="1" w:styleId="Mentionnonrsolue1">
    <w:name w:val="Mention non résolue1"/>
    <w:basedOn w:val="Policepardfaut"/>
    <w:uiPriority w:val="99"/>
    <w:semiHidden/>
    <w:unhideWhenUsed/>
    <w:rsid w:val="009D641A"/>
    <w:rPr>
      <w:color w:val="605E5C"/>
      <w:shd w:val="clear" w:color="auto" w:fill="E1DFDD"/>
    </w:rPr>
  </w:style>
  <w:style w:type="character" w:styleId="Numrodepage">
    <w:name w:val="page number"/>
    <w:basedOn w:val="Policepardfaut"/>
    <w:uiPriority w:val="99"/>
    <w:semiHidden/>
    <w:unhideWhenUsed/>
    <w:rsid w:val="00D35312"/>
  </w:style>
  <w:style w:type="character" w:styleId="Numrodeligne">
    <w:name w:val="line number"/>
    <w:basedOn w:val="Policepardfaut"/>
    <w:uiPriority w:val="99"/>
    <w:semiHidden/>
    <w:unhideWhenUsed/>
    <w:rsid w:val="00D35312"/>
  </w:style>
  <w:style w:type="paragraph" w:styleId="Lgende">
    <w:name w:val="caption"/>
    <w:basedOn w:val="Normal"/>
    <w:next w:val="Normal"/>
    <w:uiPriority w:val="35"/>
    <w:unhideWhenUsed/>
    <w:qFormat/>
    <w:rsid w:val="008F68EA"/>
    <w:pPr>
      <w:spacing w:line="240" w:lineRule="auto"/>
    </w:pPr>
    <w:rPr>
      <w:b/>
      <w:bCs/>
    </w:rPr>
  </w:style>
  <w:style w:type="paragraph" w:styleId="En-tte">
    <w:name w:val="header"/>
    <w:basedOn w:val="Normal"/>
    <w:link w:val="En-tteCar"/>
    <w:uiPriority w:val="99"/>
    <w:unhideWhenUsed/>
    <w:rsid w:val="00305818"/>
    <w:pPr>
      <w:tabs>
        <w:tab w:val="center" w:pos="4703"/>
        <w:tab w:val="right" w:pos="9406"/>
      </w:tabs>
      <w:spacing w:after="0" w:line="240" w:lineRule="auto"/>
    </w:pPr>
  </w:style>
  <w:style w:type="character" w:customStyle="1" w:styleId="En-tteCar">
    <w:name w:val="En-tête Car"/>
    <w:basedOn w:val="Policepardfaut"/>
    <w:link w:val="En-tte"/>
    <w:uiPriority w:val="99"/>
    <w:rsid w:val="00305818"/>
    <w:rPr>
      <w:rFonts w:ascii="Times New Roman" w:hAnsi="Times New Roman"/>
      <w:sz w:val="22"/>
      <w:szCs w:val="22"/>
      <w:lang w:val="en-CA" w:eastAsia="en-US"/>
    </w:rPr>
  </w:style>
  <w:style w:type="paragraph" w:customStyle="1" w:styleId="Bibliographie3">
    <w:name w:val="Bibliographie3"/>
    <w:basedOn w:val="Normal"/>
    <w:link w:val="BibliographyCar"/>
    <w:rsid w:val="002E78B2"/>
    <w:pPr>
      <w:spacing w:after="0"/>
      <w:ind w:left="720" w:hanging="720"/>
    </w:pPr>
  </w:style>
  <w:style w:type="character" w:customStyle="1" w:styleId="BibliographyCar">
    <w:name w:val="Bibliography Car"/>
    <w:basedOn w:val="Policepardfaut"/>
    <w:link w:val="Bibliographie3"/>
    <w:rsid w:val="002E78B2"/>
    <w:rPr>
      <w:rFonts w:ascii="Times New Roman" w:hAnsi="Times New Roman"/>
      <w:sz w:val="22"/>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505524">
      <w:bodyDiv w:val="1"/>
      <w:marLeft w:val="0"/>
      <w:marRight w:val="0"/>
      <w:marTop w:val="0"/>
      <w:marBottom w:val="0"/>
      <w:divBdr>
        <w:top w:val="none" w:sz="0" w:space="0" w:color="auto"/>
        <w:left w:val="none" w:sz="0" w:space="0" w:color="auto"/>
        <w:bottom w:val="none" w:sz="0" w:space="0" w:color="auto"/>
        <w:right w:val="none" w:sz="0" w:space="0" w:color="auto"/>
      </w:divBdr>
    </w:div>
    <w:div w:id="2009744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ncbi.nlm.nih.gov/tools/vecscreen/univec/" TargetMode="External"/><Relationship Id="rId20" Type="http://schemas.openxmlformats.org/officeDocument/2006/relationships/package" Target="embeddings/Feuille_de_calcul_Microsoft_Excel.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package" Target="embeddings/Document_Microsoft_Word.docx"/><Relationship Id="rId10" Type="http://schemas.openxmlformats.org/officeDocument/2006/relationships/image" Target="media/image3.jp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EA2D8-BF7A-425D-9236-E40CE0CE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12</Pages>
  <Words>6056</Words>
  <Characters>33310</Characters>
  <Application>Microsoft Office Word</Application>
  <DocSecurity>0</DocSecurity>
  <Lines>277</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Ifremer</Company>
  <LinksUpToDate>false</LinksUpToDate>
  <CharactersWithSpaces>39288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Le Luyer</dc:creator>
  <cp:keywords/>
  <dc:description/>
  <cp:lastModifiedBy>Microsoft Office User</cp:lastModifiedBy>
  <cp:revision>19</cp:revision>
  <cp:lastPrinted>2021-12-31T02:53:00Z</cp:lastPrinted>
  <dcterms:created xsi:type="dcterms:W3CDTF">2021-12-30T20:41:00Z</dcterms:created>
  <dcterms:modified xsi:type="dcterms:W3CDTF">2022-03-30T22:06:00Z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id="FMHOYEaQ"/&gt;&lt;style id="http://www.zotero.org/styles/journal-of-animal-ecology" hasBibliography="1" bibliographyStyleHasBeenSet="1"/&gt;&lt;prefs&gt;&lt;pref name="fieldType" value="Field"/&gt;&lt;pref name="dontA</vt:lpwstr>
  </property>
  <property fmtid="{D5CDD505-2E9C-101B-9397-08002B2CF9AE}" pid="3" name="ZOTERO_PREF_2">
    <vt:lpwstr>skDelayCitationUpdates"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7db6df36-a91d-3487-8204-204d8b0fc1af</vt:lpwstr>
  </property>
  <property fmtid="{D5CDD505-2E9C-101B-9397-08002B2CF9AE}" pid="26" name="Mendeley Citation Style_1">
    <vt:lpwstr>http://www.zotero.org/styles/ieee</vt:lpwstr>
  </property>
</Properties>
</file>