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DA32" w14:textId="77777777" w:rsidR="00DC5194" w:rsidRDefault="00DC5194">
      <w:pPr>
        <w:widowControl w:val="0"/>
        <w:pBdr>
          <w:top w:val="nil"/>
          <w:left w:val="nil"/>
          <w:bottom w:val="nil"/>
          <w:right w:val="nil"/>
          <w:between w:val="nil"/>
        </w:pBdr>
        <w:spacing w:after="0" w:line="276" w:lineRule="auto"/>
      </w:pPr>
    </w:p>
    <w:p w14:paraId="3515A846" w14:textId="77777777" w:rsidR="00DC5194" w:rsidRDefault="00EE0AE9">
      <w:pPr>
        <w:jc w:val="center"/>
        <w:rPr>
          <w:rFonts w:ascii="Times New Roman" w:eastAsia="Times New Roman" w:hAnsi="Times New Roman" w:cs="Times New Roman"/>
          <w:b/>
          <w:sz w:val="28"/>
          <w:szCs w:val="28"/>
        </w:rPr>
      </w:pPr>
      <w:bookmarkStart w:id="0" w:name="_heading=h.2et92p0" w:colFirst="0" w:colLast="0"/>
      <w:bookmarkEnd w:id="0"/>
      <w:r>
        <w:rPr>
          <w:rFonts w:ascii="Times New Roman" w:eastAsia="Times New Roman" w:hAnsi="Times New Roman" w:cs="Times New Roman"/>
          <w:b/>
          <w:sz w:val="28"/>
          <w:szCs w:val="28"/>
        </w:rPr>
        <w:t>Supplementary Materials</w:t>
      </w:r>
    </w:p>
    <w:p w14:paraId="1AE565CA" w14:textId="77777777" w:rsidR="00DC5194" w:rsidRDefault="00DC5194">
      <w:pPr>
        <w:rPr>
          <w:rFonts w:ascii="Times New Roman" w:eastAsia="Times New Roman" w:hAnsi="Times New Roman" w:cs="Times New Roman"/>
          <w:b/>
          <w:sz w:val="24"/>
          <w:szCs w:val="24"/>
        </w:rPr>
      </w:pPr>
    </w:p>
    <w:p w14:paraId="6D7EC07C" w14:textId="77777777" w:rsidR="00DC5194" w:rsidRDefault="00EE0A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p w14:paraId="32AB478A" w14:textId="77777777" w:rsidR="00DC5194" w:rsidRDefault="00DC5194">
      <w:pPr>
        <w:spacing w:line="480" w:lineRule="auto"/>
        <w:rPr>
          <w:rFonts w:ascii="Times New Roman" w:eastAsia="Times New Roman" w:hAnsi="Times New Roman" w:cs="Times New Roman"/>
          <w:b/>
          <w:sz w:val="24"/>
          <w:szCs w:val="24"/>
        </w:rPr>
      </w:pPr>
    </w:p>
    <w:p w14:paraId="6FE44196" w14:textId="77777777" w:rsidR="00DC5194" w:rsidRDefault="00EE0A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Trace metal clean techniques</w:t>
      </w:r>
      <w:r>
        <w:rPr>
          <w:rFonts w:ascii="Times New Roman" w:eastAsia="Times New Roman" w:hAnsi="Times New Roman" w:cs="Times New Roman"/>
          <w:sz w:val="24"/>
          <w:szCs w:val="24"/>
        </w:rPr>
        <w:t xml:space="preserve"> (page 2)</w:t>
      </w:r>
    </w:p>
    <w:p w14:paraId="22B50A22" w14:textId="77777777"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S1</w:t>
      </w:r>
      <w:r>
        <w:rPr>
          <w:rFonts w:ascii="Times New Roman" w:eastAsia="Times New Roman" w:hAnsi="Times New Roman" w:cs="Times New Roman"/>
          <w:sz w:val="24"/>
          <w:szCs w:val="24"/>
        </w:rPr>
        <w:t xml:space="preserve"> (page 3)</w:t>
      </w:r>
    </w:p>
    <w:p w14:paraId="165290E6" w14:textId="77777777"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S2</w:t>
      </w:r>
      <w:r>
        <w:rPr>
          <w:rFonts w:ascii="Times New Roman" w:eastAsia="Times New Roman" w:hAnsi="Times New Roman" w:cs="Times New Roman"/>
          <w:sz w:val="24"/>
          <w:szCs w:val="24"/>
        </w:rPr>
        <w:t xml:space="preserve"> (page 4)</w:t>
      </w:r>
    </w:p>
    <w:p w14:paraId="788D7329" w14:textId="1B1DFACA"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Blank calculations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Fe uptake rates equations for SF- and GS-experiments</w:t>
      </w:r>
      <w:r w:rsidR="003002E5">
        <w:rPr>
          <w:rFonts w:ascii="Times New Roman" w:eastAsia="Times New Roman" w:hAnsi="Times New Roman" w:cs="Times New Roman"/>
          <w:b/>
          <w:sz w:val="24"/>
          <w:szCs w:val="24"/>
        </w:rPr>
        <w:t>, Figure S3</w:t>
      </w:r>
      <w:r>
        <w:rPr>
          <w:rFonts w:ascii="Times New Roman" w:eastAsia="Times New Roman" w:hAnsi="Times New Roman" w:cs="Times New Roman"/>
          <w:sz w:val="24"/>
          <w:szCs w:val="24"/>
        </w:rPr>
        <w:t xml:space="preserve"> (page 5)</w:t>
      </w:r>
    </w:p>
    <w:p w14:paraId="265CDD57" w14:textId="2B4488D8"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(page </w:t>
      </w:r>
      <w:r w:rsidR="0054266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53A40C60" w14:textId="3A772396"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S2</w:t>
      </w:r>
      <w:r>
        <w:rPr>
          <w:rFonts w:ascii="Times New Roman" w:eastAsia="Times New Roman" w:hAnsi="Times New Roman" w:cs="Times New Roman"/>
          <w:sz w:val="24"/>
          <w:szCs w:val="24"/>
        </w:rPr>
        <w:t xml:space="preserve"> (page </w:t>
      </w:r>
      <w:r w:rsidR="00542661">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14:paraId="577B9A70" w14:textId="2EDF8C84" w:rsidR="00DC5194" w:rsidRDefault="00EE0A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S3</w:t>
      </w:r>
      <w:r>
        <w:rPr>
          <w:rFonts w:ascii="Times New Roman" w:eastAsia="Times New Roman" w:hAnsi="Times New Roman" w:cs="Times New Roman"/>
          <w:sz w:val="24"/>
          <w:szCs w:val="24"/>
        </w:rPr>
        <w:t xml:space="preserve"> (page </w:t>
      </w:r>
      <w:r w:rsidR="0054266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4CC68347" w14:textId="1A8A5DE3" w:rsidR="00924430" w:rsidRDefault="00924430">
      <w:pPr>
        <w:spacing w:line="480" w:lineRule="auto"/>
        <w:rPr>
          <w:rFonts w:ascii="Times New Roman" w:eastAsia="Times New Roman" w:hAnsi="Times New Roman" w:cs="Times New Roman"/>
          <w:sz w:val="24"/>
          <w:szCs w:val="24"/>
        </w:rPr>
      </w:pPr>
      <w:r w:rsidRPr="00924430">
        <w:rPr>
          <w:rFonts w:ascii="Times New Roman" w:eastAsia="Times New Roman" w:hAnsi="Times New Roman" w:cs="Times New Roman"/>
          <w:b/>
          <w:bCs/>
          <w:sz w:val="24"/>
          <w:szCs w:val="24"/>
        </w:rPr>
        <w:t>Table S4</w:t>
      </w:r>
      <w:r>
        <w:rPr>
          <w:rFonts w:ascii="Times New Roman" w:eastAsia="Times New Roman" w:hAnsi="Times New Roman" w:cs="Times New Roman"/>
          <w:sz w:val="24"/>
          <w:szCs w:val="24"/>
        </w:rPr>
        <w:t xml:space="preserve"> (page 1</w:t>
      </w:r>
      <w:r w:rsidR="00542661">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453C71FE" w14:textId="4A09F5F3" w:rsidR="00924430" w:rsidRPr="00924430" w:rsidRDefault="00924430">
      <w:pPr>
        <w:spacing w:line="480" w:lineRule="auto"/>
        <w:rPr>
          <w:rFonts w:ascii="Times New Roman" w:eastAsia="Times New Roman" w:hAnsi="Times New Roman" w:cs="Times New Roman"/>
          <w:sz w:val="24"/>
          <w:szCs w:val="24"/>
        </w:rPr>
      </w:pPr>
      <w:r w:rsidRPr="003C080B">
        <w:rPr>
          <w:rFonts w:ascii="Times New Roman" w:eastAsia="Times New Roman" w:hAnsi="Times New Roman" w:cs="Times New Roman"/>
          <w:b/>
          <w:bCs/>
          <w:sz w:val="24"/>
          <w:szCs w:val="24"/>
        </w:rPr>
        <w:t>Table S</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(page 1</w:t>
      </w:r>
      <w:r w:rsidR="0054266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3BE0932E" w14:textId="104EBDC4" w:rsidR="00DC5194" w:rsidRDefault="00EE0AE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 xml:space="preserve"> (page 1</w:t>
      </w:r>
      <w:r w:rsidR="0054266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317B130B" w14:textId="77777777" w:rsidR="00DC5194" w:rsidRDefault="00DC5194">
      <w:pPr>
        <w:rPr>
          <w:rFonts w:ascii="Times New Roman" w:eastAsia="Times New Roman" w:hAnsi="Times New Roman" w:cs="Times New Roman"/>
          <w:b/>
          <w:sz w:val="24"/>
          <w:szCs w:val="24"/>
        </w:rPr>
      </w:pPr>
    </w:p>
    <w:p w14:paraId="599663D6" w14:textId="77777777" w:rsidR="00DC5194" w:rsidRDefault="00EE0AE9">
      <w:pPr>
        <w:rPr>
          <w:rFonts w:ascii="Times New Roman" w:eastAsia="Times New Roman" w:hAnsi="Times New Roman" w:cs="Times New Roman"/>
          <w:b/>
          <w:sz w:val="24"/>
          <w:szCs w:val="24"/>
        </w:rPr>
      </w:pPr>
      <w:r>
        <w:br w:type="page"/>
      </w:r>
    </w:p>
    <w:p w14:paraId="7980F695" w14:textId="77777777" w:rsidR="00DC5194" w:rsidRDefault="00EE0AE9" w:rsidP="00992FD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Trace metal clean techniques</w:t>
      </w:r>
    </w:p>
    <w:p w14:paraId="6380BD45" w14:textId="77777777" w:rsidR="00DC5194" w:rsidRDefault="00EE0AE9" w:rsidP="00992F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Incubation PC bottles were soaked for 1 week in alkaline detergent </w:t>
      </w:r>
      <w:proofErr w:type="spellStart"/>
      <w:r>
        <w:rPr>
          <w:rFonts w:ascii="Times New Roman" w:eastAsia="Times New Roman" w:hAnsi="Times New Roman" w:cs="Times New Roman"/>
          <w:color w:val="000000"/>
          <w:sz w:val="24"/>
          <w:szCs w:val="24"/>
        </w:rPr>
        <w:t>Decon</w:t>
      </w:r>
      <w:proofErr w:type="spellEnd"/>
      <w:r>
        <w:rPr>
          <w:rFonts w:ascii="Times New Roman" w:eastAsia="Times New Roman" w:hAnsi="Times New Roman" w:cs="Times New Roman"/>
          <w:color w:val="000000"/>
          <w:sz w:val="24"/>
          <w:szCs w:val="24"/>
        </w:rPr>
        <w:t xml:space="preserve"> 90 and rinsed five times with demineralized water followed by ultrapure </w:t>
      </w:r>
      <w:proofErr w:type="spellStart"/>
      <w:r>
        <w:rPr>
          <w:rFonts w:ascii="Times New Roman" w:eastAsia="Times New Roman" w:hAnsi="Times New Roman" w:cs="Times New Roman"/>
          <w:color w:val="000000"/>
          <w:sz w:val="24"/>
          <w:szCs w:val="24"/>
        </w:rPr>
        <w:t>MilliQ</w:t>
      </w:r>
      <w:proofErr w:type="spellEnd"/>
      <w:r>
        <w:rPr>
          <w:rFonts w:ascii="Times New Roman" w:eastAsia="Times New Roman" w:hAnsi="Times New Roman" w:cs="Times New Roman"/>
          <w:color w:val="000000"/>
          <w:sz w:val="24"/>
          <w:szCs w:val="24"/>
        </w:rPr>
        <w:t xml:space="preserve"> water rinse (3 times) into a trace metal clean laboratory (clean room, ISO5). They were then filled with 10% analytical grade HCl for one week followed by 5 rinses with Ultrapure </w:t>
      </w:r>
      <w:proofErr w:type="spellStart"/>
      <w:r>
        <w:rPr>
          <w:rFonts w:ascii="Times New Roman" w:eastAsia="Times New Roman" w:hAnsi="Times New Roman" w:cs="Times New Roman"/>
          <w:color w:val="000000"/>
          <w:sz w:val="24"/>
          <w:szCs w:val="24"/>
        </w:rPr>
        <w:t>MilliQ</w:t>
      </w:r>
      <w:proofErr w:type="spellEnd"/>
      <w:r>
        <w:rPr>
          <w:rFonts w:ascii="Times New Roman" w:eastAsia="Times New Roman" w:hAnsi="Times New Roman" w:cs="Times New Roman"/>
          <w:color w:val="000000"/>
          <w:sz w:val="24"/>
          <w:szCs w:val="24"/>
        </w:rPr>
        <w:t xml:space="preserve"> water and filled with </w:t>
      </w:r>
      <w:r>
        <w:rPr>
          <w:rFonts w:ascii="Times New Roman" w:eastAsia="Times New Roman" w:hAnsi="Times New Roman" w:cs="Times New Roman"/>
          <w:sz w:val="24"/>
          <w:szCs w:val="24"/>
        </w:rPr>
        <w:t>100 mL of</w:t>
      </w:r>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Suprapur</w:t>
      </w:r>
      <w:proofErr w:type="spellEnd"/>
      <w:r>
        <w:rPr>
          <w:rFonts w:ascii="Times New Roman" w:eastAsia="Times New Roman" w:hAnsi="Times New Roman" w:cs="Times New Roman"/>
          <w:color w:val="000000"/>
          <w:sz w:val="24"/>
          <w:szCs w:val="24"/>
        </w:rPr>
        <w:t xml:space="preserve"> (Merck) HCl for several weeks until use. Prior to sample collection for incubation experiments, the bottles were vigorously rinsed 3 times with surface seawater from the TMR. </w:t>
      </w:r>
    </w:p>
    <w:p w14:paraId="5CE9E5BE" w14:textId="77777777" w:rsidR="00DC5194" w:rsidRDefault="00EE0AE9" w:rsidP="003002E5">
      <w:pPr>
        <w:jc w:val="both"/>
        <w:rPr>
          <w:rFonts w:ascii="Times New Roman" w:eastAsia="Times New Roman" w:hAnsi="Times New Roman" w:cs="Times New Roman"/>
          <w:sz w:val="24"/>
          <w:szCs w:val="24"/>
        </w:rPr>
      </w:pPr>
      <w:r>
        <w:br w:type="page"/>
      </w:r>
    </w:p>
    <w:p w14:paraId="141F9686" w14:textId="77777777" w:rsidR="00DC5194" w:rsidRDefault="00EE0AE9">
      <w:pPr>
        <w:keepNext/>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14:anchorId="64C618FE" wp14:editId="1EB9B2E6">
            <wp:extent cx="5730280" cy="3312708"/>
            <wp:effectExtent l="0" t="0" r="0" b="0"/>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r="885" b="20185"/>
                    <a:stretch>
                      <a:fillRect/>
                    </a:stretch>
                  </pic:blipFill>
                  <pic:spPr>
                    <a:xfrm>
                      <a:off x="0" y="0"/>
                      <a:ext cx="5730280" cy="3312708"/>
                    </a:xfrm>
                    <a:prstGeom prst="rect">
                      <a:avLst/>
                    </a:prstGeom>
                    <a:ln/>
                  </pic:spPr>
                </pic:pic>
              </a:graphicData>
            </a:graphic>
          </wp:inline>
        </w:drawing>
      </w:r>
    </w:p>
    <w:p w14:paraId="6C46AB57" w14:textId="77777777" w:rsidR="00D02A5E" w:rsidRDefault="00D02A5E" w:rsidP="00D02A5E">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bookmarkStart w:id="1" w:name="_heading=h.gjdgxs" w:colFirst="0" w:colLast="0"/>
      <w:bookmarkEnd w:id="1"/>
    </w:p>
    <w:p w14:paraId="1ADE46C2" w14:textId="2AF0A069" w:rsidR="00DC5194" w:rsidRDefault="00EE0AE9" w:rsidP="00992FDF">
      <w:p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Figure S1. </w:t>
      </w:r>
      <w:r>
        <w:rPr>
          <w:rFonts w:ascii="Times New Roman" w:eastAsia="Times New Roman" w:hAnsi="Times New Roman" w:cs="Times New Roman"/>
          <w:color w:val="000000"/>
          <w:sz w:val="24"/>
          <w:szCs w:val="24"/>
        </w:rPr>
        <w:t>Schematic representation of size-fraction (SF</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group-specific (GS) </w:t>
      </w:r>
      <w:r>
        <w:rPr>
          <w:rFonts w:ascii="Times New Roman" w:eastAsia="Times New Roman" w:hAnsi="Times New Roman" w:cs="Times New Roman"/>
          <w:sz w:val="24"/>
          <w:szCs w:val="24"/>
        </w:rPr>
        <w:t xml:space="preserve">experiments to determine Fe uptake rates by different members of the microbial community during the TONGA cruise. During the GS experiments, </w:t>
      </w:r>
      <w:r>
        <w:rPr>
          <w:rFonts w:ascii="Times New Roman" w:eastAsia="Times New Roman" w:hAnsi="Times New Roman" w:cs="Times New Roman"/>
          <w:color w:val="000000"/>
          <w:sz w:val="24"/>
          <w:szCs w:val="24"/>
        </w:rPr>
        <w:t xml:space="preserve">specific diazotrophic and non-diazotrophic groups of the microbial community were sorted. </w:t>
      </w:r>
    </w:p>
    <w:p w14:paraId="5C4D3D2B" w14:textId="77777777" w:rsidR="00DC5194" w:rsidRDefault="00EE0AE9">
      <w:bookmarkStart w:id="2" w:name="_heading=h.30j0zll" w:colFirst="0" w:colLast="0"/>
      <w:bookmarkEnd w:id="2"/>
      <w:r>
        <w:br w:type="page"/>
      </w:r>
    </w:p>
    <w:p w14:paraId="1A307968" w14:textId="77777777" w:rsidR="00DC5194" w:rsidRDefault="00DC5194"/>
    <w:tbl>
      <w:tblPr>
        <w:tblStyle w:val="a5"/>
        <w:tblW w:w="9072" w:type="dxa"/>
        <w:tblInd w:w="0" w:type="dxa"/>
        <w:tblLayout w:type="fixed"/>
        <w:tblLook w:val="0400" w:firstRow="0" w:lastRow="0" w:firstColumn="0" w:lastColumn="0" w:noHBand="0" w:noVBand="1"/>
      </w:tblPr>
      <w:tblGrid>
        <w:gridCol w:w="5471"/>
        <w:gridCol w:w="3601"/>
      </w:tblGrid>
      <w:tr w:rsidR="00DC5194" w14:paraId="130A5F4A" w14:textId="77777777">
        <w:trPr>
          <w:trHeight w:val="2741"/>
        </w:trPr>
        <w:tc>
          <w:tcPr>
            <w:tcW w:w="5471" w:type="dxa"/>
          </w:tcPr>
          <w:p w14:paraId="50AE5C01" w14:textId="77777777" w:rsidR="00DC5194" w:rsidRDefault="00EE0AE9">
            <w:pPr>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noProof/>
              </w:rPr>
              <w:drawing>
                <wp:inline distT="0" distB="0" distL="114300" distR="114300" wp14:anchorId="5510E73D" wp14:editId="0483E628">
                  <wp:extent cx="3355340" cy="1870075"/>
                  <wp:effectExtent l="0" t="0" r="0" b="0"/>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355340" cy="1870075"/>
                          </a:xfrm>
                          <a:prstGeom prst="rect">
                            <a:avLst/>
                          </a:prstGeom>
                          <a:ln/>
                        </pic:spPr>
                      </pic:pic>
                    </a:graphicData>
                  </a:graphic>
                </wp:inline>
              </w:drawing>
            </w:r>
          </w:p>
        </w:tc>
        <w:tc>
          <w:tcPr>
            <w:tcW w:w="3601" w:type="dxa"/>
          </w:tcPr>
          <w:p w14:paraId="4C0C684E" w14:textId="77777777" w:rsidR="00DC5194" w:rsidRDefault="00EE0AE9">
            <w:pPr>
              <w:rPr>
                <w:rFonts w:ascii="Times New Roman" w:eastAsia="Times New Roman" w:hAnsi="Times New Roman" w:cs="Times New Roman"/>
                <w:b/>
              </w:rPr>
            </w:pPr>
            <w:r>
              <w:rPr>
                <w:noProof/>
              </w:rPr>
              <w:drawing>
                <wp:inline distT="0" distB="0" distL="0" distR="0" wp14:anchorId="53213B96" wp14:editId="3CF7C607">
                  <wp:extent cx="2097444" cy="2137144"/>
                  <wp:effectExtent l="0" t="0" r="0" b="0"/>
                  <wp:docPr id="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97444" cy="2137144"/>
                          </a:xfrm>
                          <a:prstGeom prst="rect">
                            <a:avLst/>
                          </a:prstGeom>
                          <a:ln/>
                        </pic:spPr>
                      </pic:pic>
                    </a:graphicData>
                  </a:graphic>
                </wp:inline>
              </w:drawing>
            </w:r>
          </w:p>
        </w:tc>
      </w:tr>
      <w:tr w:rsidR="00DC5194" w14:paraId="6EE4BA15" w14:textId="77777777">
        <w:trPr>
          <w:trHeight w:val="3255"/>
        </w:trPr>
        <w:tc>
          <w:tcPr>
            <w:tcW w:w="5471" w:type="dxa"/>
          </w:tcPr>
          <w:p w14:paraId="0FF66364" w14:textId="77777777" w:rsidR="00DC5194" w:rsidRDefault="00EE0AE9">
            <w:pPr>
              <w:rPr>
                <w:rFonts w:ascii="Times New Roman" w:eastAsia="Times New Roman" w:hAnsi="Times New Roman" w:cs="Times New Roman"/>
              </w:rPr>
            </w:pPr>
            <w:r>
              <w:rPr>
                <w:rFonts w:ascii="Times New Roman" w:eastAsia="Times New Roman" w:hAnsi="Times New Roman" w:cs="Times New Roman"/>
                <w:b/>
              </w:rPr>
              <w:t>b)</w:t>
            </w:r>
            <w:r>
              <w:rPr>
                <w:noProof/>
              </w:rPr>
              <w:drawing>
                <wp:anchor distT="0" distB="0" distL="114300" distR="114300" simplePos="0" relativeHeight="251658240" behindDoc="0" locked="0" layoutInCell="1" hidden="0" allowOverlap="1" wp14:anchorId="0874E0E6" wp14:editId="06E48FAE">
                  <wp:simplePos x="0" y="0"/>
                  <wp:positionH relativeFrom="column">
                    <wp:posOffset>-3172</wp:posOffset>
                  </wp:positionH>
                  <wp:positionV relativeFrom="paragraph">
                    <wp:posOffset>187325</wp:posOffset>
                  </wp:positionV>
                  <wp:extent cx="3368040" cy="1704340"/>
                  <wp:effectExtent l="0" t="0" r="0" b="0"/>
                  <wp:wrapSquare wrapText="bothSides" distT="0" distB="0" distL="114300" distR="114300"/>
                  <wp:docPr id="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368040" cy="1704340"/>
                          </a:xfrm>
                          <a:prstGeom prst="rect">
                            <a:avLst/>
                          </a:prstGeom>
                          <a:ln/>
                        </pic:spPr>
                      </pic:pic>
                    </a:graphicData>
                  </a:graphic>
                </wp:anchor>
              </w:drawing>
            </w:r>
          </w:p>
          <w:p w14:paraId="7A4FAE12" w14:textId="77777777" w:rsidR="00DC5194" w:rsidRDefault="00DC5194">
            <w:pPr>
              <w:rPr>
                <w:rFonts w:ascii="Times New Roman" w:eastAsia="Times New Roman" w:hAnsi="Times New Roman" w:cs="Times New Roman"/>
              </w:rPr>
            </w:pPr>
          </w:p>
        </w:tc>
        <w:tc>
          <w:tcPr>
            <w:tcW w:w="3601" w:type="dxa"/>
          </w:tcPr>
          <w:p w14:paraId="5DD5D1F6" w14:textId="77777777" w:rsidR="00DC5194" w:rsidRDefault="00EE0AE9">
            <w:pPr>
              <w:rPr>
                <w:rFonts w:ascii="Times New Roman" w:eastAsia="Times New Roman" w:hAnsi="Times New Roman" w:cs="Times New Roman"/>
                <w:b/>
              </w:rPr>
            </w:pPr>
            <w:r>
              <w:rPr>
                <w:noProof/>
              </w:rPr>
              <w:drawing>
                <wp:inline distT="0" distB="0" distL="0" distR="0" wp14:anchorId="0968BB90" wp14:editId="11F04361">
                  <wp:extent cx="2030883" cy="2090227"/>
                  <wp:effectExtent l="0" t="0" r="0" b="0"/>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030883" cy="2090227"/>
                          </a:xfrm>
                          <a:prstGeom prst="rect">
                            <a:avLst/>
                          </a:prstGeom>
                          <a:ln/>
                        </pic:spPr>
                      </pic:pic>
                    </a:graphicData>
                  </a:graphic>
                </wp:inline>
              </w:drawing>
            </w:r>
          </w:p>
        </w:tc>
      </w:tr>
      <w:tr w:rsidR="00DC5194" w14:paraId="2C322C7F" w14:textId="77777777">
        <w:trPr>
          <w:trHeight w:val="3425"/>
        </w:trPr>
        <w:tc>
          <w:tcPr>
            <w:tcW w:w="5471" w:type="dxa"/>
          </w:tcPr>
          <w:p w14:paraId="57C3B129" w14:textId="77777777" w:rsidR="00DC5194" w:rsidRDefault="00EE0AE9">
            <w:pPr>
              <w:rPr>
                <w:rFonts w:ascii="Times New Roman" w:eastAsia="Times New Roman" w:hAnsi="Times New Roman" w:cs="Times New Roman"/>
                <w:b/>
              </w:rPr>
            </w:pPr>
            <w:r>
              <w:rPr>
                <w:rFonts w:ascii="Times New Roman" w:eastAsia="Times New Roman" w:hAnsi="Times New Roman" w:cs="Times New Roman"/>
                <w:b/>
              </w:rPr>
              <w:t>c)</w:t>
            </w:r>
            <w:r>
              <w:rPr>
                <w:noProof/>
              </w:rPr>
              <w:drawing>
                <wp:anchor distT="0" distB="0" distL="114300" distR="114300" simplePos="0" relativeHeight="251659264" behindDoc="0" locked="0" layoutInCell="1" hidden="0" allowOverlap="1" wp14:anchorId="49559F54" wp14:editId="74CE311B">
                  <wp:simplePos x="0" y="0"/>
                  <wp:positionH relativeFrom="column">
                    <wp:posOffset>4448</wp:posOffset>
                  </wp:positionH>
                  <wp:positionV relativeFrom="paragraph">
                    <wp:posOffset>190500</wp:posOffset>
                  </wp:positionV>
                  <wp:extent cx="3348355" cy="1820545"/>
                  <wp:effectExtent l="0" t="0" r="0" b="0"/>
                  <wp:wrapSquare wrapText="bothSides" distT="0" distB="0" distL="114300" distR="114300"/>
                  <wp:docPr id="6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348355" cy="1820545"/>
                          </a:xfrm>
                          <a:prstGeom prst="rect">
                            <a:avLst/>
                          </a:prstGeom>
                          <a:ln/>
                        </pic:spPr>
                      </pic:pic>
                    </a:graphicData>
                  </a:graphic>
                </wp:anchor>
              </w:drawing>
            </w:r>
          </w:p>
          <w:p w14:paraId="097063B7" w14:textId="77777777" w:rsidR="00DC5194" w:rsidRDefault="00DC5194">
            <w:pPr>
              <w:rPr>
                <w:rFonts w:ascii="Times New Roman" w:eastAsia="Times New Roman" w:hAnsi="Times New Roman" w:cs="Times New Roman"/>
              </w:rPr>
            </w:pPr>
          </w:p>
        </w:tc>
        <w:tc>
          <w:tcPr>
            <w:tcW w:w="3601" w:type="dxa"/>
          </w:tcPr>
          <w:p w14:paraId="37AE1396" w14:textId="77777777" w:rsidR="00DC5194" w:rsidRDefault="00EE0AE9">
            <w:pPr>
              <w:rPr>
                <w:rFonts w:ascii="Times New Roman" w:eastAsia="Times New Roman" w:hAnsi="Times New Roman" w:cs="Times New Roman"/>
                <w:b/>
              </w:rPr>
            </w:pPr>
            <w:r>
              <w:rPr>
                <w:noProof/>
              </w:rPr>
              <w:drawing>
                <wp:inline distT="0" distB="0" distL="0" distR="0" wp14:anchorId="253EBF9D" wp14:editId="7349A59A">
                  <wp:extent cx="2201926" cy="2194890"/>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201926" cy="2194890"/>
                          </a:xfrm>
                          <a:prstGeom prst="rect">
                            <a:avLst/>
                          </a:prstGeom>
                          <a:ln/>
                        </pic:spPr>
                      </pic:pic>
                    </a:graphicData>
                  </a:graphic>
                </wp:inline>
              </w:drawing>
            </w:r>
          </w:p>
        </w:tc>
      </w:tr>
      <w:tr w:rsidR="00DC5194" w14:paraId="4207FD43" w14:textId="77777777">
        <w:trPr>
          <w:trHeight w:val="619"/>
        </w:trPr>
        <w:tc>
          <w:tcPr>
            <w:tcW w:w="9072" w:type="dxa"/>
            <w:gridSpan w:val="2"/>
          </w:tcPr>
          <w:p w14:paraId="1BE1D729" w14:textId="159C63C3" w:rsidR="00DC5194" w:rsidRDefault="00EE0AE9" w:rsidP="00992FDF">
            <w:pPr>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Figure S2.</w:t>
            </w:r>
            <w:r>
              <w:rPr>
                <w:rFonts w:ascii="Times New Roman" w:eastAsia="Times New Roman" w:hAnsi="Times New Roman" w:cs="Times New Roman"/>
                <w:color w:val="000000"/>
                <w:sz w:val="24"/>
                <w:szCs w:val="24"/>
              </w:rPr>
              <w:t xml:space="preserve"> Example of cytograms obtained during cell sorting by flow cytometry, showing clusters of </w:t>
            </w:r>
            <w:r>
              <w:rPr>
                <w:rFonts w:ascii="Times New Roman" w:eastAsia="Times New Roman" w:hAnsi="Times New Roman" w:cs="Times New Roman"/>
                <w:i/>
                <w:color w:val="000000"/>
                <w:sz w:val="24"/>
                <w:szCs w:val="24"/>
              </w:rPr>
              <w:t>C. watsonii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Synechococcus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Prochlorococcus</w:t>
            </w:r>
            <w:r>
              <w:rPr>
                <w:rFonts w:ascii="Times New Roman" w:eastAsia="Times New Roman" w:hAnsi="Times New Roman" w:cs="Times New Roman"/>
                <w:color w:val="000000"/>
                <w:sz w:val="24"/>
                <w:szCs w:val="24"/>
              </w:rPr>
              <w:t xml:space="preserve">, pico-eukaryotes and heterotrophic bacteria (HB) with high (HNA) and low (LNA) nucleic acid content at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S10-B,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S10-A and </w:t>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S10-H</w:t>
            </w:r>
            <w:r w:rsidR="00D02A5E">
              <w:rPr>
                <w:rFonts w:ascii="Times New Roman" w:eastAsia="Times New Roman" w:hAnsi="Times New Roman" w:cs="Times New Roman"/>
                <w:color w:val="000000"/>
                <w:sz w:val="24"/>
                <w:szCs w:val="24"/>
              </w:rPr>
              <w:t>.</w:t>
            </w:r>
          </w:p>
        </w:tc>
      </w:tr>
    </w:tbl>
    <w:p w14:paraId="478BC41D" w14:textId="77777777" w:rsidR="00DC5194" w:rsidRDefault="00DC5194">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p>
    <w:p w14:paraId="57EF5F08" w14:textId="77777777" w:rsidR="00DC5194" w:rsidRDefault="00EE0AE9">
      <w:pPr>
        <w:rPr>
          <w:rFonts w:ascii="Times New Roman" w:eastAsia="Times New Roman" w:hAnsi="Times New Roman" w:cs="Times New Roman"/>
          <w:b/>
          <w:color w:val="000000"/>
          <w:sz w:val="24"/>
          <w:szCs w:val="24"/>
        </w:rPr>
      </w:pPr>
      <w:r>
        <w:br w:type="page"/>
      </w:r>
    </w:p>
    <w:p w14:paraId="151D8F39" w14:textId="77777777" w:rsidR="00DC5194" w:rsidRDefault="00EE0AE9">
      <w:pPr>
        <w:keepNext/>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rPr>
        <w:lastRenderedPageBreak/>
        <w:t>Blank calculations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Fe uptake rates equations for SF- and GS-experiments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Size-</w:t>
      </w:r>
    </w:p>
    <w:p w14:paraId="2A0C44F7" w14:textId="2E7A937B" w:rsidR="00DC5194" w:rsidRDefault="00EE0AE9">
      <w:pPr>
        <w:keepNext/>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Size-</w:t>
      </w:r>
      <w:r w:rsidR="000A7BA1">
        <w:rPr>
          <w:rFonts w:ascii="Times New Roman" w:eastAsia="Times New Roman" w:hAnsi="Times New Roman" w:cs="Times New Roman"/>
          <w:color w:val="000000"/>
          <w:sz w:val="24"/>
          <w:szCs w:val="24"/>
          <w:u w:val="single"/>
        </w:rPr>
        <w:t>Fractionation</w:t>
      </w:r>
      <w:r>
        <w:rPr>
          <w:rFonts w:ascii="Times New Roman" w:eastAsia="Times New Roman" w:hAnsi="Times New Roman" w:cs="Times New Roman"/>
          <w:color w:val="000000"/>
          <w:sz w:val="24"/>
          <w:szCs w:val="24"/>
          <w:u w:val="single"/>
        </w:rPr>
        <w:t xml:space="preserve"> (SF) Experiment:</w:t>
      </w:r>
    </w:p>
    <w:p w14:paraId="33BE879B" w14:textId="2740A18E" w:rsidR="00DC5194" w:rsidRDefault="00EE0AE9" w:rsidP="006E644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each station, a control bottle was amended with formaldehyde (0.5% final concentration) to stop all biological activity and spiked 15 min later with the same amount of </w:t>
      </w:r>
      <w:r>
        <w:rPr>
          <w:rFonts w:ascii="Times New Roman" w:eastAsia="Times New Roman" w:hAnsi="Times New Roman" w:cs="Times New Roman"/>
          <w:color w:val="000000"/>
          <w:sz w:val="24"/>
          <w:szCs w:val="24"/>
          <w:vertAlign w:val="superscript"/>
        </w:rPr>
        <w:t>55</w:t>
      </w:r>
      <w:r>
        <w:rPr>
          <w:rFonts w:ascii="Times New Roman" w:eastAsia="Times New Roman" w:hAnsi="Times New Roman" w:cs="Times New Roman"/>
          <w:color w:val="000000"/>
          <w:sz w:val="24"/>
          <w:szCs w:val="24"/>
        </w:rPr>
        <w:t>Fe and treated the same way as experimental bottles. The radioactivity for each control filter (A</w:t>
      </w:r>
      <w:r>
        <w:rPr>
          <w:rFonts w:ascii="Times New Roman" w:eastAsia="Times New Roman" w:hAnsi="Times New Roman" w:cs="Times New Roman"/>
          <w:color w:val="000000"/>
          <w:sz w:val="24"/>
          <w:szCs w:val="24"/>
          <w:vertAlign w:val="subscript"/>
        </w:rPr>
        <w:t xml:space="preserve">SF </w:t>
      </w:r>
      <w:r>
        <w:rPr>
          <w:rFonts w:ascii="Times New Roman" w:eastAsia="Times New Roman" w:hAnsi="Times New Roman" w:cs="Times New Roman"/>
          <w:sz w:val="24"/>
          <w:szCs w:val="24"/>
          <w:vertAlign w:val="subscript"/>
        </w:rPr>
        <w:t>B</w:t>
      </w:r>
      <w:r>
        <w:rPr>
          <w:rFonts w:ascii="Times New Roman" w:eastAsia="Times New Roman" w:hAnsi="Times New Roman" w:cs="Times New Roman"/>
          <w:color w:val="000000"/>
          <w:sz w:val="24"/>
          <w:szCs w:val="24"/>
          <w:vertAlign w:val="subscript"/>
        </w:rPr>
        <w:t>lank</w:t>
      </w:r>
      <w:r>
        <w:rPr>
          <w:rFonts w:ascii="Times New Roman" w:eastAsia="Times New Roman" w:hAnsi="Times New Roman" w:cs="Times New Roman"/>
          <w:color w:val="000000"/>
          <w:sz w:val="24"/>
          <w:szCs w:val="24"/>
        </w:rPr>
        <w:t xml:space="preserve">) corresponds to the non-desorbing adsorption of </w:t>
      </w:r>
      <w:r>
        <w:rPr>
          <w:rFonts w:ascii="Times New Roman" w:eastAsia="Times New Roman" w:hAnsi="Times New Roman" w:cs="Times New Roman"/>
          <w:color w:val="000000"/>
          <w:sz w:val="24"/>
          <w:szCs w:val="24"/>
          <w:vertAlign w:val="superscript"/>
        </w:rPr>
        <w:t>55</w:t>
      </w:r>
      <w:r>
        <w:rPr>
          <w:rFonts w:ascii="Times New Roman" w:eastAsia="Times New Roman" w:hAnsi="Times New Roman" w:cs="Times New Roman"/>
          <w:color w:val="000000"/>
          <w:sz w:val="24"/>
          <w:szCs w:val="24"/>
        </w:rPr>
        <w:t xml:space="preserve">Fe that is considered as background </w:t>
      </w:r>
      <w:r>
        <w:rPr>
          <w:rFonts w:ascii="Times New Roman" w:eastAsia="Times New Roman" w:hAnsi="Times New Roman" w:cs="Times New Roman"/>
          <w:color w:val="000000"/>
          <w:sz w:val="24"/>
          <w:szCs w:val="24"/>
          <w:vertAlign w:val="superscript"/>
        </w:rPr>
        <w:t>55</w:t>
      </w:r>
      <w:r>
        <w:rPr>
          <w:rFonts w:ascii="Times New Roman" w:eastAsia="Times New Roman" w:hAnsi="Times New Roman" w:cs="Times New Roman"/>
          <w:color w:val="000000"/>
          <w:sz w:val="24"/>
          <w:szCs w:val="24"/>
        </w:rPr>
        <w:t>Fe uptake. The activity of the blank is subtracted from the activity on the SF-filter (A</w:t>
      </w:r>
      <w:r>
        <w:rPr>
          <w:rFonts w:ascii="Times New Roman" w:eastAsia="Times New Roman" w:hAnsi="Times New Roman" w:cs="Times New Roman"/>
          <w:color w:val="000000"/>
          <w:sz w:val="24"/>
          <w:szCs w:val="24"/>
          <w:vertAlign w:val="subscript"/>
        </w:rPr>
        <w:t>SF filter</w:t>
      </w:r>
      <w:r>
        <w:rPr>
          <w:rFonts w:ascii="Times New Roman" w:eastAsia="Times New Roman" w:hAnsi="Times New Roman" w:cs="Times New Roman"/>
          <w:color w:val="000000"/>
          <w:sz w:val="24"/>
          <w:szCs w:val="24"/>
        </w:rPr>
        <w:t xml:space="preserve">) to calculate intracellular </w:t>
      </w:r>
      <w:r>
        <w:rPr>
          <w:rFonts w:ascii="Times New Roman" w:eastAsia="Times New Roman" w:hAnsi="Times New Roman" w:cs="Times New Roman"/>
          <w:color w:val="000000"/>
          <w:sz w:val="24"/>
          <w:szCs w:val="24"/>
          <w:vertAlign w:val="superscript"/>
        </w:rPr>
        <w:t>55</w:t>
      </w:r>
      <w:r>
        <w:rPr>
          <w:rFonts w:ascii="Times New Roman" w:eastAsia="Times New Roman" w:hAnsi="Times New Roman" w:cs="Times New Roman"/>
          <w:color w:val="000000"/>
          <w:sz w:val="24"/>
          <w:szCs w:val="24"/>
        </w:rPr>
        <w:t>Fe on the filter (in mol, Eq S1.a), which is injected in Eq S1.b to give the Fe uptake rates for each size fraction (</w:t>
      </w:r>
      <w:bookmarkStart w:id="3" w:name="_Hlk82874837"/>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pico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nano</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micro</w:t>
      </w:r>
      <w:proofErr w:type="spellEnd"/>
      <w:r>
        <w:rPr>
          <w:rFonts w:ascii="Times New Roman" w:eastAsia="Times New Roman" w:hAnsi="Times New Roman" w:cs="Times New Roman"/>
          <w:color w:val="000000"/>
          <w:sz w:val="24"/>
          <w:szCs w:val="24"/>
        </w:rPr>
        <w:t xml:space="preserve"> </w:t>
      </w:r>
      <w:bookmarkEnd w:id="3"/>
      <w:r>
        <w:rPr>
          <w:rFonts w:ascii="Times New Roman" w:eastAsia="Times New Roman" w:hAnsi="Times New Roman" w:cs="Times New Roman"/>
          <w:color w:val="000000"/>
          <w:sz w:val="24"/>
          <w:szCs w:val="24"/>
        </w:rPr>
        <w:t>in mol Fe L</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14:paraId="2F6510EA" w14:textId="77777777" w:rsidR="00DC5194" w:rsidRDefault="00EE0AE9" w:rsidP="006E6440">
      <w:pPr>
        <w:keepNext/>
        <w:spacing w:after="0" w:line="480" w:lineRule="auto"/>
        <w:rPr>
          <w:rFonts w:ascii="Times New Roman" w:eastAsia="Times New Roman" w:hAnsi="Times New Roman" w:cs="Times New Roman"/>
          <w:sz w:val="20"/>
          <w:szCs w:val="20"/>
        </w:rPr>
      </w:pPr>
      <m:oMath>
        <m:r>
          <w:rPr>
            <w:rFonts w:ascii="Cambria Math" w:eastAsia="Cambria Math" w:hAnsi="Cambria Math" w:cs="Cambria Math"/>
            <w:sz w:val="20"/>
            <w:szCs w:val="20"/>
          </w:rPr>
          <m:t>55Fe on filter=</m:t>
        </m:r>
        <m:f>
          <m:fPr>
            <m:ctrlPr>
              <w:rPr>
                <w:rFonts w:ascii="Cambria Math" w:eastAsia="Cambria Math" w:hAnsi="Cambria Math" w:cs="Cambria Math"/>
                <w:sz w:val="20"/>
                <w:szCs w:val="20"/>
              </w:rPr>
            </m:ctrlPr>
          </m:fPr>
          <m:num>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sz w:val="20"/>
                    <w:szCs w:val="20"/>
                  </w:rPr>
                  <m:t>A</m:t>
                </m:r>
              </m:e>
              <m:sub>
                <m:r>
                  <w:rPr>
                    <w:rFonts w:ascii="Cambria Math" w:eastAsia="Cambria Math" w:hAnsi="Cambria Math" w:cs="Cambria Math"/>
                    <w:sz w:val="24"/>
                    <w:szCs w:val="24"/>
                    <w:vertAlign w:val="subscript"/>
                  </w:rPr>
                  <m:t>F</m:t>
                </m:r>
                <m:r>
                  <w:rPr>
                    <w:rFonts w:ascii="Cambria Math" w:eastAsia="Cambria Math" w:hAnsi="Cambria Math" w:cs="Cambria Math"/>
                    <w:color w:val="000000"/>
                    <w:sz w:val="24"/>
                    <w:szCs w:val="24"/>
                    <w:vertAlign w:val="subscript"/>
                  </w:rPr>
                  <m:t>filter</m:t>
                </m:r>
              </m:sub>
            </m:sSub>
            <m:r>
              <w:rPr>
                <w:rFonts w:ascii="Cambria Math" w:eastAsia="Cambria Math" w:hAnsi="Cambria Math" w:cs="Cambria Math"/>
                <w:sz w:val="20"/>
                <w:szCs w:val="20"/>
              </w:rPr>
              <m:t>-</m:t>
            </m:r>
            <m:sSub>
              <m:sSubPr>
                <m:ctrlPr>
                  <w:rPr>
                    <w:rFonts w:ascii="Cambria Math" w:eastAsia="Cambria Math" w:hAnsi="Cambria Math" w:cs="Cambria Math"/>
                    <w:color w:val="000000"/>
                    <w:sz w:val="24"/>
                    <w:szCs w:val="24"/>
                    <w:vertAlign w:val="subscript"/>
                  </w:rPr>
                </m:ctrlPr>
              </m:sSubPr>
              <m:e>
                <m:r>
                  <w:rPr>
                    <w:rFonts w:ascii="Cambria Math" w:eastAsia="Cambria Math" w:hAnsi="Cambria Math" w:cs="Cambria Math"/>
                    <w:sz w:val="20"/>
                    <w:szCs w:val="20"/>
                  </w:rPr>
                  <m:t>A</m:t>
                </m:r>
              </m:e>
              <m:sub>
                <m:r>
                  <w:rPr>
                    <w:rFonts w:ascii="Cambria Math" w:eastAsia="Cambria Math" w:hAnsi="Cambria Math" w:cs="Cambria Math"/>
                    <w:sz w:val="24"/>
                    <w:szCs w:val="24"/>
                    <w:vertAlign w:val="subscript"/>
                  </w:rPr>
                  <m:t>B</m:t>
                </m:r>
                <m:r>
                  <w:rPr>
                    <w:rFonts w:ascii="Cambria Math" w:eastAsia="Cambria Math" w:hAnsi="Cambria Math" w:cs="Cambria Math"/>
                    <w:color w:val="000000"/>
                    <w:sz w:val="24"/>
                    <w:szCs w:val="24"/>
                    <w:vertAlign w:val="subscript"/>
                  </w:rPr>
                  <m:t>lank</m:t>
                </m:r>
              </m:sub>
            </m:sSub>
          </m:num>
          <m:den>
            <m:r>
              <w:rPr>
                <w:rFonts w:ascii="Cambria Math" w:eastAsia="Cambria Math" w:hAnsi="Cambria Math" w:cs="Cambria Math"/>
                <w:sz w:val="20"/>
                <w:szCs w:val="20"/>
              </w:rPr>
              <m:t>Specific Activity of 55Fe source</m:t>
            </m:r>
          </m:den>
        </m:f>
      </m:oMath>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color w:val="000000"/>
          <w:sz w:val="24"/>
          <w:szCs w:val="24"/>
        </w:rPr>
        <w:t>(Eq S1.a)</w:t>
      </w:r>
    </w:p>
    <w:p w14:paraId="53469F0C" w14:textId="77777777" w:rsidR="00DC5194" w:rsidRDefault="00EE0AE9" w:rsidP="006E6440">
      <w:pPr>
        <w:keepNext/>
        <w:spacing w:after="0" w:line="480" w:lineRule="auto"/>
        <w:rPr>
          <w:rFonts w:ascii="Times New Roman" w:eastAsia="Times New Roman" w:hAnsi="Times New Roman" w:cs="Times New Roman"/>
          <w:b/>
          <w:color w:val="000000"/>
          <w:sz w:val="24"/>
          <w:szCs w:val="24"/>
        </w:rPr>
      </w:pPr>
      <m:oMath>
        <m:r>
          <w:rPr>
            <w:rFonts w:ascii="Cambria Math" w:eastAsia="Cambria Math" w:hAnsi="Cambria Math" w:cs="Cambria Math"/>
            <w:sz w:val="20"/>
            <w:szCs w:val="20"/>
          </w:rPr>
          <m:t xml:space="preserve">SF-Fe uptake rate :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SF</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55Fe on filter</m:t>
            </m:r>
          </m:num>
          <m:den>
            <m:sSub>
              <m:sSubPr>
                <m:ctrlPr>
                  <w:rPr>
                    <w:rFonts w:ascii="Cambria Math" w:eastAsia="Cambria Math" w:hAnsi="Cambria Math" w:cs="Cambria Math"/>
                    <w:sz w:val="20"/>
                    <w:szCs w:val="20"/>
                    <w:vertAlign w:val="subscript"/>
                  </w:rPr>
                </m:ctrlPr>
              </m:sSub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t</m:t>
                    </m:r>
                  </m:e>
                  <m:sub>
                    <m:r>
                      <w:rPr>
                        <w:rFonts w:ascii="Cambria Math" w:eastAsia="Cambria Math" w:hAnsi="Cambria Math" w:cs="Cambria Math"/>
                        <w:sz w:val="20"/>
                        <w:szCs w:val="20"/>
                      </w:rPr>
                      <m:t>inc</m:t>
                    </m:r>
                  </m:sub>
                </m:sSub>
                <m:r>
                  <w:rPr>
                    <w:rFonts w:ascii="Cambria Math" w:eastAsia="Cambria Math" w:hAnsi="Cambria Math" w:cs="Cambria Math"/>
                    <w:sz w:val="20"/>
                    <w:szCs w:val="20"/>
                  </w:rPr>
                  <m:t>×V</m:t>
                </m:r>
              </m:e>
              <m:sub>
                <m:r>
                  <w:rPr>
                    <w:rFonts w:ascii="Cambria Math" w:eastAsia="Cambria Math" w:hAnsi="Cambria Math" w:cs="Cambria Math"/>
                    <w:sz w:val="20"/>
                    <w:szCs w:val="20"/>
                    <w:vertAlign w:val="subscript"/>
                  </w:rPr>
                  <m:t>inc</m:t>
                </m:r>
              </m:sub>
            </m:sSub>
          </m:den>
        </m:f>
        <m:r>
          <w:rPr>
            <w:rFonts w:ascii="Cambria Math" w:eastAsia="Cambria Math" w:hAnsi="Cambria Math" w:cs="Cambria Math"/>
            <w:sz w:val="20"/>
            <w:szCs w:val="20"/>
            <w:vertAlign w:val="subscript"/>
          </w:rPr>
          <m:t>×</m:t>
        </m:r>
        <m:f>
          <m:fPr>
            <m:ctrlPr>
              <w:rPr>
                <w:rFonts w:ascii="Cambria Math" w:eastAsia="Cambria Math" w:hAnsi="Cambria Math" w:cs="Cambria Math"/>
                <w:sz w:val="20"/>
                <w:szCs w:val="20"/>
              </w:rPr>
            </m:ctrlPr>
          </m:fPr>
          <m:num>
            <m:d>
              <m:dPr>
                <m:begChr m:val="["/>
                <m:endChr m:val="]"/>
                <m:ctrlPr>
                  <w:rPr>
                    <w:rFonts w:ascii="Cambria Math" w:eastAsia="Cambria Math" w:hAnsi="Cambria Math" w:cs="Cambria Math"/>
                    <w:sz w:val="20"/>
                    <w:szCs w:val="20"/>
                  </w:rPr>
                </m:ctrlPr>
              </m:dPr>
              <m:e>
                <m:r>
                  <w:rPr>
                    <w:rFonts w:ascii="Cambria Math" w:eastAsia="Cambria Math" w:hAnsi="Cambria Math" w:cs="Cambria Math"/>
                    <w:sz w:val="20"/>
                    <w:szCs w:val="20"/>
                  </w:rPr>
                  <m:t>dFe</m:t>
                </m:r>
              </m:e>
            </m:d>
            <m:r>
              <w:rPr>
                <w:rFonts w:ascii="Cambria Math" w:eastAsia="Cambria Math" w:hAnsi="Cambria Math" w:cs="Cambria Math"/>
                <w:sz w:val="20"/>
                <w:szCs w:val="20"/>
                <w:vertAlign w:val="subscript"/>
              </w:rPr>
              <m:t>seawater</m:t>
            </m:r>
            <m:r>
              <w:rPr>
                <w:rFonts w:ascii="Cambria Math" w:eastAsia="Cambria Math" w:hAnsi="Cambria Math" w:cs="Cambria Math"/>
                <w:sz w:val="20"/>
                <w:szCs w:val="20"/>
              </w:rPr>
              <m:t>+[55Fe] added</m:t>
            </m:r>
          </m:num>
          <m:den>
            <m:r>
              <w:rPr>
                <w:rFonts w:ascii="Cambria Math" w:eastAsia="Cambria Math" w:hAnsi="Cambria Math" w:cs="Cambria Math"/>
                <w:sz w:val="20"/>
                <w:szCs w:val="20"/>
              </w:rPr>
              <m:t>[55Fe] added</m:t>
            </m:r>
          </m:den>
        </m:f>
      </m:oMath>
      <w:r>
        <w:rPr>
          <w:sz w:val="20"/>
          <w:szCs w:val="20"/>
        </w:rPr>
        <w:tab/>
      </w:r>
      <w:r>
        <w:rPr>
          <w:sz w:val="20"/>
          <w:szCs w:val="20"/>
        </w:rPr>
        <w:tab/>
      </w:r>
      <w:r>
        <w:rPr>
          <w:sz w:val="20"/>
          <w:szCs w:val="20"/>
        </w:rPr>
        <w:tab/>
      </w:r>
      <w:r>
        <w:rPr>
          <w:rFonts w:ascii="Times New Roman" w:eastAsia="Times New Roman" w:hAnsi="Times New Roman" w:cs="Times New Roman"/>
          <w:b/>
          <w:color w:val="000000"/>
          <w:sz w:val="24"/>
          <w:szCs w:val="24"/>
        </w:rPr>
        <w:t>(Eq S1.b)</w:t>
      </w:r>
    </w:p>
    <w:p w14:paraId="5750787C" w14:textId="2F788EDB" w:rsidR="00DC5194" w:rsidRDefault="00EE0AE9" w:rsidP="006E6440">
      <w:pPr>
        <w:keepNext/>
        <w:spacing w:after="0" w:line="480" w:lineRule="auto"/>
        <w:rPr>
          <w:rFonts w:ascii="Times New Roman" w:eastAsia="Times New Roman" w:hAnsi="Times New Roman" w:cs="Times New Roman"/>
          <w:sz w:val="20"/>
          <w:szCs w:val="20"/>
        </w:rPr>
      </w:pPr>
      <m:oMath>
        <m:r>
          <w:rPr>
            <w:rFonts w:ascii="Cambria Math" w:eastAsia="Cambria Math" w:hAnsi="Cambria Math" w:cs="Cambria Math"/>
            <w:sz w:val="20"/>
            <w:szCs w:val="20"/>
          </w:rPr>
          <m:t xml:space="preserve">Bulk Fe uptake rate: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Bulk</m:t>
            </m:r>
          </m:sub>
        </m:sSub>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pico</m:t>
            </m:r>
          </m:sub>
        </m:sSub>
        <m:r>
          <w:rPr>
            <w:rFonts w:ascii="Cambria Math" w:eastAsia="Cambria Math" w:hAnsi="Cambria Math" w:cs="Cambria Math"/>
            <w:color w:val="000000"/>
            <w:sz w:val="24"/>
            <w:szCs w:val="24"/>
          </w:rPr>
          <m:t>+</m:t>
        </m:r>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nano</m:t>
            </m:r>
          </m:sub>
        </m:sSub>
        <m:r>
          <w:rPr>
            <w:rFonts w:ascii="Cambria Math" w:eastAsia="Cambria Math" w:hAnsi="Cambria Math" w:cs="Cambria Math"/>
            <w:color w:val="000000"/>
            <w:sz w:val="24"/>
            <w:szCs w:val="24"/>
          </w:rPr>
          <m:t>+</m:t>
        </m:r>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micro</m:t>
            </m:r>
          </m:sub>
        </m:sSub>
      </m:oMath>
      <w:r>
        <w:rPr>
          <w:sz w:val="20"/>
          <w:szCs w:val="20"/>
        </w:rPr>
        <w:tab/>
      </w:r>
      <w:r>
        <w:rPr>
          <w:sz w:val="20"/>
          <w:szCs w:val="20"/>
        </w:rPr>
        <w:tab/>
      </w:r>
      <w:r>
        <w:rPr>
          <w:sz w:val="20"/>
          <w:szCs w:val="20"/>
        </w:rPr>
        <w:tab/>
      </w:r>
      <w:r>
        <w:rPr>
          <w:sz w:val="20"/>
          <w:szCs w:val="20"/>
        </w:rPr>
        <w:tab/>
      </w:r>
      <w:r w:rsidR="000A7BA1">
        <w:rPr>
          <w:sz w:val="20"/>
          <w:szCs w:val="20"/>
        </w:rPr>
        <w:tab/>
      </w:r>
      <w:r>
        <w:rPr>
          <w:rFonts w:ascii="Times New Roman" w:eastAsia="Times New Roman" w:hAnsi="Times New Roman" w:cs="Times New Roman"/>
          <w:b/>
          <w:color w:val="000000"/>
          <w:sz w:val="24"/>
          <w:szCs w:val="24"/>
        </w:rPr>
        <w:t>(Eq S1.c)</w:t>
      </w:r>
    </w:p>
    <w:p w14:paraId="452B00D1" w14:textId="77777777" w:rsidR="00DC5194" w:rsidRDefault="00EE0AE9">
      <w:pPr>
        <w:keepNext/>
        <w:spacing w:after="0" w:line="48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Group-Specific (GS) Experiment:</w:t>
      </w:r>
    </w:p>
    <w:p w14:paraId="1DCB2E9D" w14:textId="77777777" w:rsidR="00DC5194" w:rsidRDefault="00EE0AE9" w:rsidP="006E644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each sorted organism, we have plotted the number of disintegrations per minute (</w:t>
      </w:r>
      <w:proofErr w:type="spellStart"/>
      <w:r>
        <w:rPr>
          <w:rFonts w:ascii="Times New Roman" w:eastAsia="Times New Roman" w:hAnsi="Times New Roman" w:cs="Times New Roman"/>
          <w:color w:val="000000"/>
          <w:sz w:val="24"/>
          <w:szCs w:val="24"/>
        </w:rPr>
        <w:t>dpm</w:t>
      </w:r>
      <w:proofErr w:type="spellEnd"/>
      <w:r>
        <w:rPr>
          <w:rFonts w:ascii="Times New Roman" w:eastAsia="Times New Roman" w:hAnsi="Times New Roman" w:cs="Times New Roman"/>
          <w:color w:val="000000"/>
          <w:sz w:val="24"/>
          <w:szCs w:val="24"/>
        </w:rPr>
        <w:t>) against the number of sorted cells. The y-intercept from the linear curve is considered as the abiotic blank (A</w:t>
      </w:r>
      <w:r>
        <w:rPr>
          <w:rFonts w:ascii="Times New Roman" w:eastAsia="Times New Roman" w:hAnsi="Times New Roman" w:cs="Times New Roman"/>
          <w:color w:val="000000"/>
          <w:sz w:val="24"/>
          <w:szCs w:val="24"/>
          <w:vertAlign w:val="subscript"/>
        </w:rPr>
        <w:t>GS</w:t>
      </w:r>
      <w:r>
        <w:rPr>
          <w:rFonts w:ascii="Times New Roman" w:eastAsia="Times New Roman" w:hAnsi="Times New Roman" w:cs="Times New Roman"/>
          <w:sz w:val="24"/>
          <w:szCs w:val="24"/>
          <w:vertAlign w:val="subscript"/>
        </w:rPr>
        <w:t xml:space="preserve"> B</w:t>
      </w:r>
      <w:r>
        <w:rPr>
          <w:rFonts w:ascii="Times New Roman" w:eastAsia="Times New Roman" w:hAnsi="Times New Roman" w:cs="Times New Roman"/>
          <w:color w:val="000000"/>
          <w:sz w:val="24"/>
          <w:szCs w:val="24"/>
          <w:vertAlign w:val="subscript"/>
        </w:rPr>
        <w:t>lank</w:t>
      </w:r>
      <w:r>
        <w:rPr>
          <w:rFonts w:ascii="Times New Roman" w:eastAsia="Times New Roman" w:hAnsi="Times New Roman" w:cs="Times New Roman"/>
          <w:color w:val="000000"/>
          <w:sz w:val="24"/>
          <w:szCs w:val="24"/>
        </w:rPr>
        <w:t>) (Table in Figure S3). The activity of the blank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is subtracted from the activity of the filter containing the cells (</w:t>
      </w:r>
      <w:proofErr w:type="spellStart"/>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cells</w:t>
      </w:r>
      <w:proofErr w:type="spellEnd"/>
      <w:r>
        <w:rPr>
          <w:rFonts w:ascii="Times New Roman" w:eastAsia="Times New Roman" w:hAnsi="Times New Roman" w:cs="Times New Roman"/>
          <w:color w:val="000000"/>
          <w:sz w:val="24"/>
          <w:szCs w:val="24"/>
        </w:rPr>
        <w:t xml:space="preserve">) to calculate the intracellular </w:t>
      </w:r>
      <w:r>
        <w:rPr>
          <w:rFonts w:ascii="Times New Roman" w:eastAsia="Times New Roman" w:hAnsi="Times New Roman" w:cs="Times New Roman"/>
          <w:color w:val="000000"/>
          <w:sz w:val="24"/>
          <w:szCs w:val="24"/>
          <w:vertAlign w:val="superscript"/>
        </w:rPr>
        <w:t>55</w:t>
      </w:r>
      <w:r>
        <w:rPr>
          <w:rFonts w:ascii="Times New Roman" w:eastAsia="Times New Roman" w:hAnsi="Times New Roman" w:cs="Times New Roman"/>
          <w:color w:val="000000"/>
          <w:sz w:val="24"/>
          <w:szCs w:val="24"/>
        </w:rPr>
        <w:t>Fe uptake (in mol, Eq S2.a) which is injected in Eq S2.b to give group-specific Fe uptake rates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Tricho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i/>
          <w:color w:val="000000"/>
          <w:sz w:val="24"/>
          <w:szCs w:val="24"/>
          <w:vertAlign w:val="subscript"/>
        </w:rPr>
        <w:t>C.Watsonii</w:t>
      </w:r>
      <w:proofErr w:type="spellEnd"/>
      <w:r>
        <w:rPr>
          <w:rFonts w:ascii="Times New Roman" w:eastAsia="Times New Roman" w:hAnsi="Times New Roman" w:cs="Times New Roman"/>
          <w:color w:val="000000"/>
          <w:sz w:val="24"/>
          <w:szCs w:val="24"/>
          <w:vertAlign w:val="subscript"/>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Syn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Proch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picoeuk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HNA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LNA</w:t>
      </w:r>
      <w:proofErr w:type="spellEnd"/>
      <w:r>
        <w:rPr>
          <w:rFonts w:ascii="Times New Roman" w:eastAsia="Times New Roman" w:hAnsi="Times New Roman" w:cs="Times New Roman"/>
          <w:color w:val="000000"/>
          <w:sz w:val="24"/>
          <w:szCs w:val="24"/>
        </w:rPr>
        <w:t>, in mol Fe cell</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14:paraId="16C80AF7" w14:textId="77777777" w:rsidR="00DC5194" w:rsidRDefault="00EE0AE9">
      <w:pPr>
        <w:jc w:val="both"/>
        <w:rPr>
          <w:rFonts w:ascii="Times New Roman" w:eastAsia="Times New Roman" w:hAnsi="Times New Roman" w:cs="Times New Roman"/>
          <w:color w:val="000000"/>
          <w:sz w:val="24"/>
          <w:szCs w:val="24"/>
        </w:rPr>
      </w:pPr>
      <w:bookmarkStart w:id="4" w:name="_heading=h.tyjcwt" w:colFirst="0" w:colLast="0"/>
      <w:bookmarkEnd w:id="4"/>
      <m:oMath>
        <m:r>
          <w:rPr>
            <w:rFonts w:ascii="Cambria Math" w:eastAsia="Cambria Math" w:hAnsi="Cambria Math" w:cs="Cambria Math"/>
            <w:sz w:val="20"/>
            <w:szCs w:val="20"/>
          </w:rPr>
          <m:t>55Fe on sorted organism=</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Cell</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GS Blank</m:t>
                </m:r>
              </m:sub>
            </m:sSub>
          </m:num>
          <m:den>
            <m:r>
              <w:rPr>
                <w:rFonts w:ascii="Cambria Math" w:eastAsia="Cambria Math" w:hAnsi="Cambria Math" w:cs="Cambria Math"/>
                <w:sz w:val="20"/>
                <w:szCs w:val="20"/>
              </w:rPr>
              <m:t>Specific Activity of 55Fe source</m:t>
            </m:r>
          </m:den>
        </m:f>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(Eq S2.a)</w:t>
      </w:r>
    </w:p>
    <w:p w14:paraId="1359559D" w14:textId="77777777" w:rsidR="00DC5194" w:rsidRDefault="00EE0AE9">
      <w:pPr>
        <w:jc w:val="both"/>
        <w:rPr>
          <w:rFonts w:ascii="Times New Roman" w:eastAsia="Times New Roman" w:hAnsi="Times New Roman" w:cs="Times New Roman"/>
          <w:b/>
          <w:color w:val="000000"/>
          <w:sz w:val="24"/>
          <w:szCs w:val="24"/>
        </w:rPr>
      </w:pPr>
      <m:oMath>
        <m:r>
          <w:rPr>
            <w:rFonts w:ascii="Cambria Math" w:eastAsia="Cambria Math" w:hAnsi="Cambria Math" w:cs="Cambria Math"/>
            <w:sz w:val="20"/>
            <w:szCs w:val="20"/>
          </w:rPr>
          <m:t>GS-cellular Fe uptake rates:</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55Fe on sorted organism</m:t>
            </m:r>
          </m:num>
          <m:den>
            <m:sSub>
              <m:sSubPr>
                <m:ctrlPr>
                  <w:rPr>
                    <w:rFonts w:ascii="Cambria Math" w:eastAsia="Cambria Math" w:hAnsi="Cambria Math" w:cs="Cambria Math"/>
                    <w:sz w:val="20"/>
                    <w:szCs w:val="20"/>
                  </w:rPr>
                </m:ctrlPr>
              </m:sSubPr>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t</m:t>
                    </m:r>
                  </m:e>
                  <m:sub>
                    <m:r>
                      <w:rPr>
                        <w:rFonts w:ascii="Cambria Math" w:eastAsia="Cambria Math" w:hAnsi="Cambria Math" w:cs="Cambria Math"/>
                        <w:sz w:val="20"/>
                        <w:szCs w:val="20"/>
                      </w:rPr>
                      <m:t>inc</m:t>
                    </m:r>
                  </m:sub>
                </m:sSub>
                <m:r>
                  <w:rPr>
                    <w:rFonts w:ascii="Cambria Math" w:eastAsia="Cambria Math" w:hAnsi="Cambria Math" w:cs="Cambria Math"/>
                    <w:sz w:val="20"/>
                    <w:szCs w:val="20"/>
                  </w:rPr>
                  <m:t>× number of cells</m:t>
                </m:r>
              </m:e>
              <m:sub/>
            </m:sSub>
          </m:den>
        </m:f>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d>
              <m:dPr>
                <m:begChr m:val="["/>
                <m:endChr m:val="]"/>
                <m:ctrlPr>
                  <w:rPr>
                    <w:rFonts w:ascii="Cambria Math" w:eastAsia="Cambria Math" w:hAnsi="Cambria Math" w:cs="Cambria Math"/>
                    <w:sz w:val="20"/>
                    <w:szCs w:val="20"/>
                  </w:rPr>
                </m:ctrlPr>
              </m:dPr>
              <m:e>
                <m:r>
                  <w:rPr>
                    <w:rFonts w:ascii="Cambria Math" w:eastAsia="Cambria Math" w:hAnsi="Cambria Math" w:cs="Cambria Math"/>
                    <w:sz w:val="20"/>
                    <w:szCs w:val="20"/>
                  </w:rPr>
                  <m:t>dFe</m:t>
                </m:r>
              </m:e>
            </m:d>
            <m:r>
              <w:rPr>
                <w:rFonts w:ascii="Cambria Math" w:eastAsia="Cambria Math" w:hAnsi="Cambria Math" w:cs="Cambria Math"/>
                <w:sz w:val="20"/>
                <w:szCs w:val="20"/>
                <w:vertAlign w:val="subscript"/>
              </w:rPr>
              <m:t>seawater</m:t>
            </m:r>
            <m:r>
              <w:rPr>
                <w:rFonts w:ascii="Cambria Math" w:eastAsia="Cambria Math" w:hAnsi="Cambria Math" w:cs="Cambria Math"/>
                <w:sz w:val="20"/>
                <w:szCs w:val="20"/>
              </w:rPr>
              <m:t>+[55Fe] added</m:t>
            </m:r>
          </m:num>
          <m:den>
            <m:r>
              <w:rPr>
                <w:rFonts w:ascii="Cambria Math" w:eastAsia="Cambria Math" w:hAnsi="Cambria Math" w:cs="Cambria Math"/>
                <w:sz w:val="20"/>
                <w:szCs w:val="20"/>
              </w:rPr>
              <m:t>[55Fe] added</m:t>
            </m:r>
          </m:den>
        </m:f>
      </m:oMath>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(Eq S2.b)</w:t>
      </w:r>
    </w:p>
    <w:p w14:paraId="65361E22" w14:textId="6425BFEC" w:rsidR="00DC5194" w:rsidRDefault="00EE0AE9" w:rsidP="006E644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 uptake rates of HB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HB</w:t>
      </w:r>
      <w:proofErr w:type="spellEnd"/>
      <w:r>
        <w:rPr>
          <w:rFonts w:ascii="Times New Roman" w:eastAsia="Times New Roman" w:hAnsi="Times New Roman" w:cs="Times New Roman"/>
          <w:color w:val="000000"/>
          <w:sz w:val="24"/>
          <w:szCs w:val="24"/>
        </w:rPr>
        <w:t>, in mol Fe cell</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were calculated by using HNA and LNA specific uptake rates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HNA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ρ</w:t>
      </w:r>
      <w:r>
        <w:rPr>
          <w:rFonts w:ascii="Times New Roman" w:eastAsia="Times New Roman" w:hAnsi="Times New Roman" w:cs="Times New Roman"/>
          <w:color w:val="000000"/>
          <w:sz w:val="24"/>
          <w:szCs w:val="24"/>
          <w:vertAlign w:val="subscript"/>
        </w:rPr>
        <w:t>LNA</w:t>
      </w:r>
      <w:proofErr w:type="spellEnd"/>
      <w:r>
        <w:rPr>
          <w:rFonts w:ascii="Times New Roman" w:eastAsia="Times New Roman" w:hAnsi="Times New Roman" w:cs="Times New Roman"/>
          <w:color w:val="000000"/>
          <w:sz w:val="24"/>
          <w:szCs w:val="24"/>
        </w:rPr>
        <w:t>) and their abundances</w:t>
      </w:r>
      <w:r w:rsidR="00017EC3">
        <w:rPr>
          <w:rFonts w:ascii="Times New Roman" w:eastAsia="Times New Roman" w:hAnsi="Times New Roman" w:cs="Times New Roman"/>
          <w:color w:val="000000"/>
          <w:sz w:val="24"/>
          <w:szCs w:val="24"/>
        </w:rPr>
        <w:t xml:space="preserve"> (see Table S1),</w:t>
      </w:r>
      <w:r>
        <w:rPr>
          <w:rFonts w:ascii="Times New Roman" w:eastAsia="Times New Roman" w:hAnsi="Times New Roman" w:cs="Times New Roman"/>
          <w:color w:val="000000"/>
          <w:sz w:val="24"/>
          <w:szCs w:val="24"/>
        </w:rPr>
        <w:t xml:space="preserve"> as described in Eq 2.c: </w:t>
      </w:r>
    </w:p>
    <w:p w14:paraId="682EDDBC" w14:textId="77777777" w:rsidR="00DC5194" w:rsidRDefault="00EE0AE9">
      <w:pPr>
        <w:rPr>
          <w:rFonts w:ascii="Times New Roman" w:eastAsia="Times New Roman" w:hAnsi="Times New Roman" w:cs="Times New Roman"/>
          <w:color w:val="000000"/>
          <w:sz w:val="24"/>
          <w:szCs w:val="24"/>
        </w:rPr>
      </w:pPr>
      <m:oMath>
        <m:r>
          <w:rPr>
            <w:rFonts w:ascii="Cambria Math" w:eastAsia="Cambria Math" w:hAnsi="Cambria Math" w:cs="Cambria Math"/>
            <w:sz w:val="20"/>
            <w:szCs w:val="20"/>
          </w:rPr>
          <m:t>HB cell specific Fe uptake rate:</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HB</m:t>
            </m:r>
          </m:sub>
        </m:sSub>
        <m:r>
          <w:rPr>
            <w:rFonts w:ascii="Cambria Math" w:eastAsia="Cambria Math" w:hAnsi="Cambria Math" w:cs="Cambria Math"/>
            <w:sz w:val="20"/>
            <w:szCs w:val="20"/>
          </w:rPr>
          <m:t xml:space="preserve">= </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GS-HNA</m:t>
                </m:r>
              </m:sub>
            </m:sSub>
            <m:r>
              <w:rPr>
                <w:rFonts w:ascii="Cambria Math" w:eastAsia="Cambria Math" w:hAnsi="Cambria Math" w:cs="Cambria Math"/>
                <w:sz w:val="20"/>
                <w:szCs w:val="20"/>
              </w:rPr>
              <m:t xml:space="preserve">×abundance HNA+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GS-LNA</m:t>
                </m:r>
              </m:sub>
            </m:sSub>
            <m:r>
              <w:rPr>
                <w:rFonts w:ascii="Cambria Math" w:eastAsia="Cambria Math" w:hAnsi="Cambria Math" w:cs="Cambria Math"/>
                <w:sz w:val="20"/>
                <w:szCs w:val="20"/>
              </w:rPr>
              <m:t>×abundance LNA</m:t>
            </m:r>
          </m:num>
          <m:den>
            <m:r>
              <w:rPr>
                <w:rFonts w:ascii="Cambria Math" w:eastAsia="Cambria Math" w:hAnsi="Cambria Math" w:cs="Cambria Math"/>
                <w:sz w:val="20"/>
                <w:szCs w:val="20"/>
              </w:rPr>
              <m:t>abundance HNA+ abundance LNA</m:t>
            </m:r>
          </m:den>
        </m:f>
      </m:oMath>
      <w:r>
        <w:rPr>
          <w:rFonts w:ascii="Times New Roman" w:eastAsia="Times New Roman" w:hAnsi="Times New Roman" w:cs="Times New Roman"/>
          <w:b/>
          <w:color w:val="000000"/>
          <w:sz w:val="24"/>
          <w:szCs w:val="24"/>
        </w:rPr>
        <w:tab/>
        <w:t>(Eq S2.c)</w:t>
      </w:r>
    </w:p>
    <w:p w14:paraId="68FD57E6" w14:textId="77777777" w:rsidR="00DC5194" w:rsidRDefault="00DC5194">
      <w:pPr>
        <w:rPr>
          <w:rFonts w:ascii="Times New Roman" w:eastAsia="Times New Roman" w:hAnsi="Times New Roman" w:cs="Times New Roman"/>
          <w:color w:val="000000"/>
          <w:sz w:val="24"/>
          <w:szCs w:val="24"/>
        </w:rPr>
      </w:pPr>
    </w:p>
    <w:p w14:paraId="5A221441" w14:textId="43ED54FA" w:rsidR="00DC5194" w:rsidRDefault="00EE0AE9" w:rsidP="006E6440">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contribution of each sorted organisms to the bulk Fe uptake is calculated as described in Eq S3.a</w:t>
      </w:r>
      <w:r w:rsidR="00F974DF">
        <w:rPr>
          <w:rFonts w:ascii="Times New Roman" w:eastAsia="Times New Roman" w:hAnsi="Times New Roman" w:cs="Times New Roman"/>
          <w:color w:val="000000"/>
          <w:sz w:val="24"/>
          <w:szCs w:val="24"/>
        </w:rPr>
        <w:t xml:space="preserve"> (</w:t>
      </w:r>
      <w:proofErr w:type="gramStart"/>
      <w:r w:rsidR="00F974DF">
        <w:rPr>
          <w:rFonts w:ascii="Times New Roman" w:eastAsia="Times New Roman" w:hAnsi="Times New Roman" w:cs="Times New Roman"/>
          <w:color w:val="000000"/>
          <w:sz w:val="24"/>
          <w:szCs w:val="24"/>
        </w:rPr>
        <w:t>e.g.</w:t>
      </w:r>
      <w:proofErr w:type="gramEnd"/>
      <w:r w:rsidR="00F974DF">
        <w:rPr>
          <w:rFonts w:ascii="Times New Roman" w:eastAsia="Times New Roman" w:hAnsi="Times New Roman" w:cs="Times New Roman"/>
          <w:color w:val="000000"/>
          <w:sz w:val="24"/>
          <w:szCs w:val="24"/>
        </w:rPr>
        <w:t xml:space="preserve"> for </w:t>
      </w:r>
      <w:r w:rsidR="00F974DF" w:rsidRPr="00F974DF">
        <w:rPr>
          <w:rFonts w:ascii="Times New Roman" w:eastAsia="Times New Roman" w:hAnsi="Times New Roman" w:cs="Times New Roman"/>
          <w:i/>
          <w:iCs/>
          <w:color w:val="000000"/>
          <w:sz w:val="24"/>
          <w:szCs w:val="24"/>
        </w:rPr>
        <w:t>Trichodesmium</w:t>
      </w:r>
      <w:r w:rsidR="00F974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686FEB8F" w14:textId="589A1039" w:rsidR="00DC5194" w:rsidRDefault="00EE0AE9">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m:oMath>
        <m:r>
          <w:rPr>
            <w:rFonts w:ascii="Cambria Math" w:eastAsia="Cambria Math" w:hAnsi="Cambria Math" w:cs="Cambria Math"/>
            <w:color w:val="000000"/>
            <w:sz w:val="24"/>
            <w:szCs w:val="24"/>
          </w:rPr>
          <m:t>GS-</m:t>
        </m:r>
        <m:r>
          <w:rPr>
            <w:rFonts w:ascii="Cambria Math" w:eastAsia="Cambria Math" w:hAnsi="Cambria Math" w:cs="Cambria Math"/>
            <w:sz w:val="20"/>
            <w:szCs w:val="20"/>
          </w:rPr>
          <m:t xml:space="preserve">Contribution of Trichodesmium (%)=100× </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Tricho</m:t>
                </m:r>
              </m:sub>
            </m:sSub>
            <m:r>
              <w:rPr>
                <w:rFonts w:ascii="Cambria Math" w:eastAsia="Cambria Math" w:hAnsi="Cambria Math" w:cs="Cambria Math"/>
                <w:sz w:val="20"/>
                <w:szCs w:val="20"/>
              </w:rPr>
              <m:t>×abundance of Trichodesmium</m:t>
            </m:r>
          </m:num>
          <m:den>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Bulk</m:t>
                </m:r>
              </m:sub>
            </m:sSub>
          </m:den>
        </m:f>
      </m:oMath>
      <w:r>
        <w:rPr>
          <w:rFonts w:ascii="Times New Roman" w:eastAsia="Times New Roman" w:hAnsi="Times New Roman" w:cs="Times New Roman"/>
          <w:sz w:val="20"/>
          <w:szCs w:val="20"/>
        </w:rPr>
        <w:tab/>
      </w:r>
      <w:r>
        <w:rPr>
          <w:rFonts w:ascii="Times New Roman" w:eastAsia="Times New Roman" w:hAnsi="Times New Roman" w:cs="Times New Roman"/>
          <w:b/>
          <w:color w:val="000000"/>
          <w:sz w:val="24"/>
          <w:szCs w:val="24"/>
        </w:rPr>
        <w:t>(Eq S3.a)</w:t>
      </w:r>
    </w:p>
    <w:p w14:paraId="28ACC702" w14:textId="77777777" w:rsidR="00DC5194" w:rsidRDefault="00EE0AE9" w:rsidP="006E644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contribution of ‘others’ is calculated as described in Eq S3.b:</w:t>
      </w:r>
    </w:p>
    <w:p w14:paraId="075B6D73" w14:textId="328C86EB" w:rsidR="00DC5194" w:rsidRDefault="00EE0AE9">
      <w:pPr>
        <w:spacing w:line="480" w:lineRule="auto"/>
        <w:rPr>
          <w:rFonts w:ascii="Times New Roman" w:eastAsia="Times New Roman" w:hAnsi="Times New Roman" w:cs="Times New Roman"/>
          <w:b/>
          <w:color w:val="000000"/>
          <w:sz w:val="24"/>
          <w:szCs w:val="24"/>
        </w:rPr>
      </w:pPr>
      <w:r w:rsidRPr="000A7BA1">
        <w:rPr>
          <w:rFonts w:ascii="Times New Roman" w:eastAsia="Times New Roman" w:hAnsi="Times New Roman" w:cs="Times New Roman"/>
          <w:i/>
          <w:color w:val="000000"/>
          <w:sz w:val="24"/>
          <w:szCs w:val="24"/>
        </w:rPr>
        <w:t xml:space="preserve"> </w:t>
      </w:r>
      <m:oMath>
        <m:r>
          <w:rPr>
            <w:rFonts w:ascii="Cambria Math" w:eastAsia="Cambria Math" w:hAnsi="Cambria Math" w:cs="Cambria Math"/>
            <w:sz w:val="20"/>
            <w:szCs w:val="20"/>
          </w:rPr>
          <m:t xml:space="preserve">Others contribution  </m:t>
        </m:r>
        <m:d>
          <m:dPr>
            <m:ctrlPr>
              <w:rPr>
                <w:rFonts w:ascii="Cambria Math" w:eastAsia="Cambria Math" w:hAnsi="Cambria Math" w:cs="Cambria Math"/>
                <w:sz w:val="20"/>
                <w:szCs w:val="20"/>
              </w:rPr>
            </m:ctrlPr>
          </m:dPr>
          <m:e>
            <m:r>
              <w:rPr>
                <w:rFonts w:ascii="Cambria Math" w:eastAsia="Cambria Math" w:hAnsi="Cambria Math" w:cs="Cambria Math"/>
                <w:sz w:val="20"/>
                <w:szCs w:val="20"/>
              </w:rPr>
              <m:t>%</m:t>
            </m:r>
          </m:e>
        </m:d>
        <m:r>
          <w:rPr>
            <w:rFonts w:ascii="Cambria Math" w:eastAsia="Cambria Math" w:hAnsi="Cambria Math" w:cs="Cambria Math"/>
            <w:sz w:val="20"/>
            <w:szCs w:val="20"/>
          </w:rPr>
          <m:t>=1-</m:t>
        </m:r>
        <m:nary>
          <m:naryPr>
            <m:chr m:val="∑"/>
            <m:limLoc m:val="undOvr"/>
            <m:subHide m:val="1"/>
            <m:supHide m:val="1"/>
            <m:ctrlPr>
              <w:rPr>
                <w:rFonts w:ascii="Cambria Math" w:eastAsia="Cambria Math" w:hAnsi="Cambria Math" w:cs="Cambria Math"/>
                <w:i/>
                <w:sz w:val="20"/>
                <w:szCs w:val="20"/>
              </w:rPr>
            </m:ctrlPr>
          </m:naryPr>
          <m:sub/>
          <m:sup/>
          <m:e>
            <m:r>
              <w:rPr>
                <w:rFonts w:ascii="Cambria Math" w:eastAsia="Cambria Math" w:hAnsi="Cambria Math" w:cs="Cambria Math"/>
                <w:sz w:val="20"/>
                <w:szCs w:val="20"/>
              </w:rPr>
              <m:t>Contribution of sorted organisms</m:t>
            </m:r>
          </m:e>
        </m:nary>
      </m:oMath>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074C1">
        <w:rPr>
          <w:rFonts w:ascii="Times New Roman" w:eastAsia="Times New Roman" w:hAnsi="Times New Roman" w:cs="Times New Roman"/>
          <w:sz w:val="20"/>
          <w:szCs w:val="20"/>
        </w:rPr>
        <w:tab/>
      </w:r>
      <w:r>
        <w:rPr>
          <w:rFonts w:ascii="Times New Roman" w:eastAsia="Times New Roman" w:hAnsi="Times New Roman" w:cs="Times New Roman"/>
          <w:b/>
          <w:color w:val="000000"/>
          <w:sz w:val="24"/>
          <w:szCs w:val="24"/>
        </w:rPr>
        <w:t>(Eq S3.b)</w:t>
      </w:r>
    </w:p>
    <w:p w14:paraId="1CCD8048" w14:textId="341340D8" w:rsidR="00DC5194" w:rsidRDefault="00EE0AE9" w:rsidP="006E6440">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The apparent Fe uptake rate constant k</w:t>
      </w:r>
      <w:r>
        <w:rPr>
          <w:rFonts w:ascii="Times New Roman" w:eastAsia="Times New Roman" w:hAnsi="Times New Roman" w:cs="Times New Roman"/>
          <w:color w:val="000000"/>
          <w:sz w:val="24"/>
          <w:szCs w:val="24"/>
          <w:vertAlign w:val="subscript"/>
        </w:rPr>
        <w:t>in-app</w:t>
      </w:r>
      <w:r>
        <w:rPr>
          <w:rFonts w:ascii="Times New Roman" w:eastAsia="Times New Roman" w:hAnsi="Times New Roman" w:cs="Times New Roman"/>
          <w:color w:val="000000"/>
          <w:sz w:val="24"/>
          <w:szCs w:val="24"/>
        </w:rPr>
        <w:t xml:space="preserve"> (in L cell</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was calculated using the equation from</w:t>
      </w:r>
      <w:r w:rsidR="003002E5">
        <w:rPr>
          <w:rFonts w:ascii="Times New Roman" w:eastAsia="Times New Roman" w:hAnsi="Times New Roman" w:cs="Times New Roman"/>
          <w:color w:val="000000"/>
          <w:sz w:val="24"/>
          <w:szCs w:val="24"/>
        </w:rPr>
        <w:t xml:space="preserve"> </w:t>
      </w:r>
      <w:r w:rsidR="003002E5">
        <w:rPr>
          <w:rFonts w:ascii="Times New Roman" w:eastAsia="Times New Roman" w:hAnsi="Times New Roman" w:cs="Times New Roman"/>
          <w:color w:val="000000"/>
          <w:sz w:val="24"/>
          <w:szCs w:val="24"/>
        </w:rPr>
        <w:fldChar w:fldCharType="begin" w:fldLock="1"/>
      </w:r>
      <w:r w:rsidR="00157AE6">
        <w:rPr>
          <w:rFonts w:ascii="Times New Roman" w:eastAsia="Times New Roman" w:hAnsi="Times New Roman" w:cs="Times New Roman"/>
          <w:color w:val="000000"/>
          <w:sz w:val="24"/>
          <w:szCs w:val="24"/>
        </w:rPr>
        <w:instrText>ADDIN CSL_CITATION {"citationItems":[{"id":"ITEM-1","itemData":{"DOI":"10.1038/ismej.2014.199","ISSN":"1751-7362","abstract":"Phytoplankton are often limited by iron in aquatic environments. Here we examine Fe bioavailability to phytoplankton by analyzing iron uptake from various Fe substrates by several species of phytoplankton grown under conditions of Fe limitation and comparing the measured uptake rate constants (Fe uptake rate/substrate concentration). When unchelated iron, Fe′, buffered by an excess of the chelating agent EDTA is used as the Fe substrate, the uptake rate constants of all the eukaryotic phytoplankton species are tightly correlated and proportional to their respective surface areas (S.A.). The same is true when FeDFB is the substrate, but the corresponding uptake constants are one thousand times smaller than for Fe′. The uptake rate constants for the other substrates we examined fall mostly between the values for Fe′ and FeDFB for the same S.A. These two model substrates thus empirically define a bioavailability envelope with Fe′ at the upper and FeDFB at the lower limit of iron bioavailability. This envelope provides a convenient framework to compare the relative bioavailabilities of various Fe substrates to eukaryotic phytoplankton and the Fe uptake abilities of different phytoplankton species. Compared with eukaryotic species, cyanobacteria have similar uptake constants for Fe′ but lower ones for FeDFB. The unique relationship between the uptake rate constants and the S.A. of phytoplankton species suggests that the uptake rate constant of Fe-limited phytoplankton has reached a universal upper limit and provides insight into the underlying uptake mechanism.","author":[{"dropping-particle":"","family":"Lis","given":"Hagar","non-dropping-particle":"","parse-names":false,"suffix":""},{"dropping-particle":"","family":"Shaked","given":"Yeala","non-dropping-particle":"","parse-names":false,"suffix":""},{"dropping-particle":"","family":"Kranzler","given":"Chana","non-dropping-particle":"","parse-names":false,"suffix":""},{"dropping-particle":"","family":"Keren","given":"Nir","non-dropping-particle":"","parse-names":false,"suffix":""},{"dropping-particle":"","family":"Morel","given":"François M M","non-dropping-particle":"","parse-names":false,"suffix":""}],"container-title":"The ISME Journal","id":"ITEM-1","issue":"4","issued":{"date-parts":[["2015","4","28"]]},"page":"1003-1013","title":"Iron bioavailability to phytoplankton: an empirical approach","type":"article-journal","volume":"9"},"uris":["http://www.mendeley.com/documents/?uuid=aac5adac-9fba-4568-ae76-9d0691bc7cd0"]}],"mendeley":{"formattedCitation":"(1)","plainTextFormattedCitation":"(1)","previouslyFormattedCitation":"(1)"},"properties":{"noteIndex":0},"schema":"https://github.com/citation-style-language/schema/raw/master/csl-citation.json"}</w:instrText>
      </w:r>
      <w:r w:rsidR="003002E5">
        <w:rPr>
          <w:rFonts w:ascii="Times New Roman" w:eastAsia="Times New Roman" w:hAnsi="Times New Roman" w:cs="Times New Roman"/>
          <w:color w:val="000000"/>
          <w:sz w:val="24"/>
          <w:szCs w:val="24"/>
        </w:rPr>
        <w:fldChar w:fldCharType="separate"/>
      </w:r>
      <w:r w:rsidR="003002E5" w:rsidRPr="003002E5">
        <w:rPr>
          <w:rFonts w:ascii="Times New Roman" w:eastAsia="Times New Roman" w:hAnsi="Times New Roman" w:cs="Times New Roman"/>
          <w:noProof/>
          <w:color w:val="000000"/>
          <w:sz w:val="24"/>
          <w:szCs w:val="24"/>
        </w:rPr>
        <w:t>(1)</w:t>
      </w:r>
      <w:r w:rsidR="003002E5">
        <w:rPr>
          <w:rFonts w:ascii="Times New Roman" w:eastAsia="Times New Roman" w:hAnsi="Times New Roman" w:cs="Times New Roman"/>
          <w:color w:val="000000"/>
          <w:sz w:val="24"/>
          <w:szCs w:val="24"/>
        </w:rPr>
        <w:fldChar w:fldCharType="end"/>
      </w:r>
      <w:r w:rsidR="000E368D">
        <w:rPr>
          <w:rFonts w:ascii="Times New Roman" w:eastAsia="Times New Roman" w:hAnsi="Times New Roman" w:cs="Times New Roman"/>
          <w:color w:val="000000"/>
          <w:sz w:val="24"/>
          <w:szCs w:val="24"/>
        </w:rPr>
        <w:t xml:space="preserve"> (e.g. for </w:t>
      </w:r>
      <w:r w:rsidR="000E368D" w:rsidRPr="00F974DF">
        <w:rPr>
          <w:rFonts w:ascii="Times New Roman" w:eastAsia="Times New Roman" w:hAnsi="Times New Roman" w:cs="Times New Roman"/>
          <w:i/>
          <w:iCs/>
          <w:color w:val="000000"/>
          <w:sz w:val="24"/>
          <w:szCs w:val="24"/>
        </w:rPr>
        <w:t>Trichodesmium</w:t>
      </w:r>
      <w:r w:rsidR="000E36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m:oMath>
        <m:sSub>
          <m:sSubPr>
            <m:ctrlPr>
              <w:rPr>
                <w:rFonts w:ascii="Cambria Math" w:eastAsia="Cambria Math" w:hAnsi="Cambria Math" w:cs="Cambria Math"/>
                <w:sz w:val="20"/>
                <w:szCs w:val="20"/>
                <w:vertAlign w:val="subscript"/>
              </w:rPr>
            </m:ctrlPr>
          </m:sSubPr>
          <m:e>
            <m:r>
              <w:rPr>
                <w:rFonts w:ascii="Cambria Math" w:eastAsia="Cambria Math" w:hAnsi="Cambria Math" w:cs="Cambria Math"/>
                <w:sz w:val="20"/>
                <w:szCs w:val="20"/>
              </w:rPr>
              <m:t>k</m:t>
            </m:r>
          </m:e>
          <m:sub>
            <m:r>
              <w:rPr>
                <w:rFonts w:ascii="Cambria Math" w:eastAsia="Cambria Math" w:hAnsi="Cambria Math" w:cs="Cambria Math"/>
                <w:sz w:val="20"/>
                <w:szCs w:val="20"/>
                <w:vertAlign w:val="subscript"/>
              </w:rPr>
              <m:t>in-app</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ρ</m:t>
                </m:r>
              </m:e>
              <m:sub>
                <m:r>
                  <w:rPr>
                    <w:rFonts w:ascii="Cambria Math" w:eastAsia="Cambria Math" w:hAnsi="Cambria Math" w:cs="Cambria Math"/>
                    <w:sz w:val="20"/>
                    <w:szCs w:val="20"/>
                  </w:rPr>
                  <m:t>Tricho</m:t>
                </m:r>
              </m:sub>
            </m:sSub>
          </m:num>
          <m:den>
            <m:sSub>
              <m:sSubPr>
                <m:ctrlPr>
                  <w:rPr>
                    <w:rFonts w:ascii="Cambria Math" w:eastAsia="Cambria Math" w:hAnsi="Cambria Math" w:cs="Cambria Math"/>
                    <w:sz w:val="20"/>
                    <w:szCs w:val="20"/>
                    <w:vertAlign w:val="subscript"/>
                  </w:rPr>
                </m:ctrlPr>
              </m:sSubPr>
              <m:e>
                <m:r>
                  <w:rPr>
                    <w:rFonts w:ascii="Cambria Math" w:eastAsia="Cambria Math" w:hAnsi="Cambria Math" w:cs="Cambria Math"/>
                    <w:sz w:val="20"/>
                    <w:szCs w:val="20"/>
                  </w:rPr>
                  <m:t>[dFe]</m:t>
                </m:r>
              </m:e>
              <m:sub>
                <m:r>
                  <w:rPr>
                    <w:rFonts w:ascii="Cambria Math" w:eastAsia="Cambria Math" w:hAnsi="Cambria Math" w:cs="Cambria Math"/>
                    <w:sz w:val="20"/>
                    <w:szCs w:val="20"/>
                    <w:vertAlign w:val="subscript"/>
                  </w:rPr>
                  <m:t>seawater</m:t>
                </m:r>
              </m:sub>
            </m:sSub>
          </m:den>
        </m:f>
      </m:oMath>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color w:val="000000"/>
          <w:sz w:val="24"/>
          <w:szCs w:val="24"/>
        </w:rPr>
        <w:t>(Eq S4)</w:t>
      </w:r>
    </w:p>
    <w:p w14:paraId="12BF17DC" w14:textId="77777777" w:rsidR="00DC5194" w:rsidRDefault="00DC5194">
      <w:pPr>
        <w:spacing w:line="480" w:lineRule="auto"/>
        <w:rPr>
          <w:rFonts w:ascii="Times New Roman" w:eastAsia="Times New Roman" w:hAnsi="Times New Roman" w:cs="Times New Roman"/>
          <w:color w:val="000000"/>
          <w:sz w:val="24"/>
          <w:szCs w:val="24"/>
        </w:rPr>
      </w:pPr>
    </w:p>
    <w:tbl>
      <w:tblPr>
        <w:tblStyle w:val="a6"/>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79"/>
        <w:gridCol w:w="3893"/>
      </w:tblGrid>
      <w:tr w:rsidR="00DC5194" w14:paraId="27CDDADF" w14:textId="77777777">
        <w:tc>
          <w:tcPr>
            <w:tcW w:w="5179" w:type="dxa"/>
          </w:tcPr>
          <w:p w14:paraId="48031442" w14:textId="77777777" w:rsidR="00DC5194" w:rsidRDefault="00EE0AE9">
            <w:pPr>
              <w:spacing w:after="200"/>
              <w:jc w:val="both"/>
              <w:rPr>
                <w:rFonts w:ascii="Times New Roman" w:eastAsia="Times New Roman" w:hAnsi="Times New Roman" w:cs="Times New Roman"/>
                <w:b/>
                <w:color w:val="000000"/>
                <w:sz w:val="24"/>
                <w:szCs w:val="24"/>
              </w:rPr>
            </w:pPr>
            <w:r>
              <w:rPr>
                <w:noProof/>
              </w:rPr>
              <w:lastRenderedPageBreak/>
              <w:drawing>
                <wp:inline distT="0" distB="0" distL="0" distR="0" wp14:anchorId="6B62EE4B" wp14:editId="565D03A7">
                  <wp:extent cx="3187700" cy="1905000"/>
                  <wp:effectExtent l="0" t="0" r="0" b="0"/>
                  <wp:docPr id="60" name="Graphique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893" w:type="dxa"/>
            <w:vAlign w:val="center"/>
          </w:tcPr>
          <w:p w14:paraId="392D10CD" w14:textId="77777777" w:rsidR="00DC5194" w:rsidRDefault="00DC5194">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bl>
            <w:tblPr>
              <w:tblStyle w:val="a7"/>
              <w:tblW w:w="37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971"/>
              <w:gridCol w:w="686"/>
            </w:tblGrid>
            <w:tr w:rsidR="00DC5194" w14:paraId="364E64DB" w14:textId="77777777">
              <w:trPr>
                <w:trHeight w:val="391"/>
              </w:trPr>
              <w:tc>
                <w:tcPr>
                  <w:tcW w:w="2047" w:type="dxa"/>
                  <w:shd w:val="clear" w:color="auto" w:fill="auto"/>
                  <w:vAlign w:val="center"/>
                </w:tcPr>
                <w:p w14:paraId="10EA66BC" w14:textId="77777777" w:rsidR="00DC5194" w:rsidRDefault="00DC5194">
                  <w:pPr>
                    <w:spacing w:after="0" w:line="240" w:lineRule="auto"/>
                    <w:jc w:val="center"/>
                    <w:rPr>
                      <w:rFonts w:ascii="Times New Roman" w:eastAsia="Times New Roman" w:hAnsi="Times New Roman" w:cs="Times New Roman"/>
                      <w:color w:val="000000"/>
                      <w:sz w:val="16"/>
                      <w:szCs w:val="16"/>
                    </w:rPr>
                  </w:pPr>
                </w:p>
              </w:tc>
              <w:tc>
                <w:tcPr>
                  <w:tcW w:w="971" w:type="dxa"/>
                  <w:shd w:val="clear" w:color="auto" w:fill="auto"/>
                  <w:vAlign w:val="center"/>
                </w:tcPr>
                <w:p w14:paraId="1789562F" w14:textId="77777777" w:rsidR="000E368D"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Blank </w:t>
                  </w:r>
                </w:p>
                <w:p w14:paraId="0B74011C" w14:textId="0F2B9F42"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dpm</w:t>
                  </w:r>
                  <w:proofErr w:type="spellEnd"/>
                  <w:r>
                    <w:rPr>
                      <w:rFonts w:ascii="Times New Roman" w:eastAsia="Times New Roman" w:hAnsi="Times New Roman" w:cs="Times New Roman"/>
                      <w:color w:val="000000"/>
                      <w:sz w:val="16"/>
                      <w:szCs w:val="16"/>
                    </w:rPr>
                    <w:t>)</w:t>
                  </w:r>
                </w:p>
              </w:tc>
              <w:tc>
                <w:tcPr>
                  <w:tcW w:w="686" w:type="dxa"/>
                  <w:vAlign w:val="center"/>
                </w:tcPr>
                <w:p w14:paraId="7C5B353B"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S10-H</w:t>
                  </w:r>
                </w:p>
                <w:p w14:paraId="52162320"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dpm</w:t>
                  </w:r>
                  <w:proofErr w:type="spellEnd"/>
                  <w:r>
                    <w:rPr>
                      <w:rFonts w:ascii="Times New Roman" w:eastAsia="Times New Roman" w:hAnsi="Times New Roman" w:cs="Times New Roman"/>
                      <w:color w:val="000000"/>
                      <w:sz w:val="16"/>
                      <w:szCs w:val="16"/>
                    </w:rPr>
                    <w:t xml:space="preserve">) </w:t>
                  </w:r>
                </w:p>
              </w:tc>
            </w:tr>
            <w:tr w:rsidR="00DC5194" w14:paraId="5642C60C" w14:textId="77777777">
              <w:trPr>
                <w:trHeight w:val="391"/>
              </w:trPr>
              <w:tc>
                <w:tcPr>
                  <w:tcW w:w="2047" w:type="dxa"/>
                  <w:shd w:val="clear" w:color="auto" w:fill="auto"/>
                  <w:vAlign w:val="center"/>
                </w:tcPr>
                <w:p w14:paraId="7880046A" w14:textId="77777777" w:rsidR="00DC5194" w:rsidRDefault="00EE0AE9">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Trichodesmium</w:t>
                  </w:r>
                </w:p>
              </w:tc>
              <w:tc>
                <w:tcPr>
                  <w:tcW w:w="971" w:type="dxa"/>
                  <w:shd w:val="clear" w:color="auto" w:fill="auto"/>
                  <w:vAlign w:val="center"/>
                </w:tcPr>
                <w:p w14:paraId="6236550F"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1016</w:t>
                  </w:r>
                </w:p>
              </w:tc>
              <w:tc>
                <w:tcPr>
                  <w:tcW w:w="686" w:type="dxa"/>
                  <w:vAlign w:val="center"/>
                </w:tcPr>
                <w:p w14:paraId="596A18B5"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3460</w:t>
                  </w:r>
                </w:p>
              </w:tc>
            </w:tr>
            <w:tr w:rsidR="00DC5194" w14:paraId="32C11F87" w14:textId="77777777">
              <w:trPr>
                <w:trHeight w:val="391"/>
              </w:trPr>
              <w:tc>
                <w:tcPr>
                  <w:tcW w:w="2047" w:type="dxa"/>
                  <w:shd w:val="clear" w:color="auto" w:fill="auto"/>
                  <w:vAlign w:val="center"/>
                </w:tcPr>
                <w:p w14:paraId="5AB4A295" w14:textId="77777777" w:rsidR="00DC5194" w:rsidRDefault="00EE0AE9">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Crocosphaera Watsonii</w:t>
                  </w:r>
                </w:p>
              </w:tc>
              <w:tc>
                <w:tcPr>
                  <w:tcW w:w="971" w:type="dxa"/>
                  <w:shd w:val="clear" w:color="auto" w:fill="auto"/>
                  <w:vAlign w:val="center"/>
                </w:tcPr>
                <w:p w14:paraId="5ECE215E"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489</w:t>
                  </w:r>
                </w:p>
              </w:tc>
              <w:tc>
                <w:tcPr>
                  <w:tcW w:w="686" w:type="dxa"/>
                  <w:vAlign w:val="center"/>
                </w:tcPr>
                <w:p w14:paraId="24E2FAED"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3491</w:t>
                  </w:r>
                </w:p>
              </w:tc>
            </w:tr>
            <w:tr w:rsidR="00DC5194" w14:paraId="14BDC3E7" w14:textId="77777777">
              <w:trPr>
                <w:trHeight w:val="391"/>
              </w:trPr>
              <w:tc>
                <w:tcPr>
                  <w:tcW w:w="2047" w:type="dxa"/>
                  <w:shd w:val="clear" w:color="auto" w:fill="auto"/>
                  <w:vAlign w:val="center"/>
                </w:tcPr>
                <w:p w14:paraId="35E3582F" w14:textId="77777777" w:rsidR="00DC5194" w:rsidRDefault="00EE0AE9">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Synechococcus</w:t>
                  </w:r>
                </w:p>
              </w:tc>
              <w:tc>
                <w:tcPr>
                  <w:tcW w:w="971" w:type="dxa"/>
                  <w:shd w:val="clear" w:color="auto" w:fill="auto"/>
                  <w:vAlign w:val="center"/>
                </w:tcPr>
                <w:p w14:paraId="6DBACA41"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333</w:t>
                  </w:r>
                </w:p>
              </w:tc>
              <w:tc>
                <w:tcPr>
                  <w:tcW w:w="686" w:type="dxa"/>
                  <w:vAlign w:val="center"/>
                </w:tcPr>
                <w:p w14:paraId="31EE0EE2"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952</w:t>
                  </w:r>
                </w:p>
              </w:tc>
            </w:tr>
            <w:tr w:rsidR="00DC5194" w14:paraId="4394AC02" w14:textId="77777777">
              <w:trPr>
                <w:trHeight w:val="391"/>
              </w:trPr>
              <w:tc>
                <w:tcPr>
                  <w:tcW w:w="2047" w:type="dxa"/>
                  <w:shd w:val="clear" w:color="auto" w:fill="auto"/>
                  <w:vAlign w:val="center"/>
                </w:tcPr>
                <w:p w14:paraId="4F11398D" w14:textId="77777777" w:rsidR="00DC5194" w:rsidRDefault="00EE0AE9">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Prochlorococcus</w:t>
                  </w:r>
                </w:p>
              </w:tc>
              <w:tc>
                <w:tcPr>
                  <w:tcW w:w="971" w:type="dxa"/>
                  <w:shd w:val="clear" w:color="auto" w:fill="auto"/>
                  <w:vAlign w:val="center"/>
                </w:tcPr>
                <w:p w14:paraId="62D9BEBF"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64</w:t>
                  </w:r>
                </w:p>
              </w:tc>
              <w:tc>
                <w:tcPr>
                  <w:tcW w:w="686" w:type="dxa"/>
                  <w:vAlign w:val="center"/>
                </w:tcPr>
                <w:p w14:paraId="56778E23" w14:textId="0C71F378" w:rsidR="00DC5194" w:rsidRDefault="0044045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144</w:t>
                  </w:r>
                </w:p>
              </w:tc>
            </w:tr>
            <w:tr w:rsidR="00DC5194" w14:paraId="26555815" w14:textId="77777777">
              <w:trPr>
                <w:trHeight w:val="391"/>
              </w:trPr>
              <w:tc>
                <w:tcPr>
                  <w:tcW w:w="2047" w:type="dxa"/>
                  <w:shd w:val="clear" w:color="auto" w:fill="auto"/>
                  <w:vAlign w:val="center"/>
                </w:tcPr>
                <w:p w14:paraId="399793A8" w14:textId="0A95F1F4"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Pico eukaryote</w:t>
                  </w:r>
                  <w:r w:rsidR="0044045A">
                    <w:rPr>
                      <w:rFonts w:ascii="Times New Roman" w:eastAsia="Times New Roman" w:hAnsi="Times New Roman" w:cs="Times New Roman"/>
                      <w:color w:val="000000"/>
                      <w:sz w:val="16"/>
                      <w:szCs w:val="16"/>
                    </w:rPr>
                    <w:t>s</w:t>
                  </w:r>
                </w:p>
              </w:tc>
              <w:tc>
                <w:tcPr>
                  <w:tcW w:w="971" w:type="dxa"/>
                  <w:shd w:val="clear" w:color="auto" w:fill="auto"/>
                  <w:vAlign w:val="center"/>
                </w:tcPr>
                <w:p w14:paraId="07086016"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50</w:t>
                  </w:r>
                </w:p>
              </w:tc>
              <w:tc>
                <w:tcPr>
                  <w:tcW w:w="686" w:type="dxa"/>
                  <w:vAlign w:val="center"/>
                </w:tcPr>
                <w:p w14:paraId="675AED7A"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108</w:t>
                  </w:r>
                </w:p>
              </w:tc>
            </w:tr>
            <w:tr w:rsidR="00DC5194" w14:paraId="06DBD69B" w14:textId="77777777">
              <w:trPr>
                <w:trHeight w:val="391"/>
              </w:trPr>
              <w:tc>
                <w:tcPr>
                  <w:tcW w:w="2047" w:type="dxa"/>
                  <w:shd w:val="clear" w:color="auto" w:fill="auto"/>
                  <w:vAlign w:val="center"/>
                </w:tcPr>
                <w:p w14:paraId="3320F3A6"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HB</w:t>
                  </w:r>
                </w:p>
              </w:tc>
              <w:tc>
                <w:tcPr>
                  <w:tcW w:w="971" w:type="dxa"/>
                  <w:shd w:val="clear" w:color="auto" w:fill="auto"/>
                  <w:vAlign w:val="center"/>
                </w:tcPr>
                <w:p w14:paraId="122FEEDD"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w:t>
                  </w:r>
                </w:p>
              </w:tc>
              <w:tc>
                <w:tcPr>
                  <w:tcW w:w="686" w:type="dxa"/>
                  <w:vAlign w:val="center"/>
                </w:tcPr>
                <w:p w14:paraId="53EB59AB" w14:textId="77777777" w:rsidR="00DC5194" w:rsidRDefault="00EE0AE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298</w:t>
                  </w:r>
                </w:p>
              </w:tc>
            </w:tr>
          </w:tbl>
          <w:p w14:paraId="3AC4B7D9" w14:textId="77777777" w:rsidR="00DC5194" w:rsidRDefault="00DC5194">
            <w:pPr>
              <w:spacing w:after="200"/>
              <w:jc w:val="center"/>
              <w:rPr>
                <w:rFonts w:ascii="Times New Roman" w:eastAsia="Times New Roman" w:hAnsi="Times New Roman" w:cs="Times New Roman"/>
                <w:b/>
                <w:color w:val="000000"/>
                <w:sz w:val="24"/>
                <w:szCs w:val="24"/>
              </w:rPr>
            </w:pPr>
          </w:p>
        </w:tc>
      </w:tr>
    </w:tbl>
    <w:p w14:paraId="1F526B17" w14:textId="77777777" w:rsidR="00DC5194" w:rsidRDefault="00EE0AE9">
      <w:pPr>
        <w:pBdr>
          <w:top w:val="nil"/>
          <w:left w:val="nil"/>
          <w:bottom w:val="nil"/>
          <w:right w:val="nil"/>
          <w:between w:val="nil"/>
        </w:pBd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S3. </w:t>
      </w:r>
      <w:r>
        <w:rPr>
          <w:rFonts w:ascii="Times New Roman" w:eastAsia="Times New Roman" w:hAnsi="Times New Roman" w:cs="Times New Roman"/>
          <w:sz w:val="24"/>
          <w:szCs w:val="24"/>
        </w:rPr>
        <w:t xml:space="preserve">Example of blank calculation for pico-eukaryotes: the y-intercept corresponds to the remaining </w:t>
      </w:r>
      <w:r>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 xml:space="preserve">Fe when no cells of </w:t>
      </w:r>
      <w:proofErr w:type="spellStart"/>
      <w:r>
        <w:rPr>
          <w:rFonts w:ascii="Times New Roman" w:eastAsia="Times New Roman" w:hAnsi="Times New Roman" w:cs="Times New Roman"/>
          <w:sz w:val="24"/>
          <w:szCs w:val="24"/>
        </w:rPr>
        <w:t>pico</w:t>
      </w:r>
      <w:proofErr w:type="spellEnd"/>
      <w:r>
        <w:rPr>
          <w:rFonts w:ascii="Times New Roman" w:eastAsia="Times New Roman" w:hAnsi="Times New Roman" w:cs="Times New Roman"/>
          <w:sz w:val="24"/>
          <w:szCs w:val="24"/>
        </w:rPr>
        <w:t xml:space="preserve"> eukaryotes uptake Fe. On the righten side, the blank for each sorted organism and the activity of the filter of the sorted organism at S10-H are reported.</w:t>
      </w:r>
    </w:p>
    <w:p w14:paraId="37E30F2C" w14:textId="77777777" w:rsidR="00DC5194" w:rsidRDefault="00DC5194">
      <w:pPr>
        <w:rPr>
          <w:rFonts w:ascii="Times New Roman" w:eastAsia="Times New Roman" w:hAnsi="Times New Roman" w:cs="Times New Roman"/>
          <w:sz w:val="24"/>
          <w:szCs w:val="24"/>
        </w:rPr>
      </w:pPr>
    </w:p>
    <w:p w14:paraId="1CC9DF35" w14:textId="77777777" w:rsidR="00DC5194" w:rsidRDefault="00DC5194">
      <w:pPr>
        <w:rPr>
          <w:rFonts w:ascii="Times New Roman" w:eastAsia="Times New Roman" w:hAnsi="Times New Roman" w:cs="Times New Roman"/>
          <w:b/>
          <w:color w:val="000000"/>
          <w:sz w:val="24"/>
          <w:szCs w:val="24"/>
        </w:rPr>
      </w:pPr>
    </w:p>
    <w:p w14:paraId="0784AE07" w14:textId="77777777" w:rsidR="00DC5194" w:rsidRDefault="00EE0AE9">
      <w:pPr>
        <w:rPr>
          <w:rFonts w:ascii="Times New Roman" w:eastAsia="Times New Roman" w:hAnsi="Times New Roman" w:cs="Times New Roman"/>
          <w:sz w:val="24"/>
          <w:szCs w:val="24"/>
        </w:rPr>
      </w:pPr>
      <w:r>
        <w:br w:type="page"/>
      </w:r>
    </w:p>
    <w:p w14:paraId="0814F7BF" w14:textId="77777777" w:rsidR="00DC5194" w:rsidRDefault="00DC5194">
      <w:pPr>
        <w:jc w:val="center"/>
        <w:rPr>
          <w:rFonts w:ascii="Times New Roman" w:eastAsia="Times New Roman" w:hAnsi="Times New Roman" w:cs="Times New Roman"/>
          <w:sz w:val="24"/>
          <w:szCs w:val="24"/>
        </w:rPr>
      </w:pPr>
    </w:p>
    <w:p w14:paraId="097F4FEC" w14:textId="25D162E7" w:rsidR="00DC5194" w:rsidRDefault="00EE0AE9">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S1</w:t>
      </w:r>
      <w:r>
        <w:rPr>
          <w:rFonts w:ascii="Times New Roman" w:eastAsia="Times New Roman" w:hAnsi="Times New Roman" w:cs="Times New Roman"/>
          <w:color w:val="000000"/>
          <w:sz w:val="24"/>
          <w:szCs w:val="24"/>
        </w:rPr>
        <w:t>. Summary of environmental conditions in the study area at 5m depth: N</w:t>
      </w:r>
      <w:r w:rsidRPr="00992FDF">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fixation and primary production rates, nutrients concentrations and </w:t>
      </w:r>
      <w:r w:rsidRPr="00992FDF">
        <w:rPr>
          <w:rFonts w:ascii="Times New Roman" w:eastAsia="Times New Roman" w:hAnsi="Times New Roman" w:cs="Times New Roman"/>
          <w:i/>
          <w:color w:val="000000"/>
          <w:sz w:val="24"/>
          <w:szCs w:val="24"/>
        </w:rPr>
        <w:t>in situ</w:t>
      </w:r>
      <w:r>
        <w:rPr>
          <w:rFonts w:ascii="Times New Roman" w:eastAsia="Times New Roman" w:hAnsi="Times New Roman" w:cs="Times New Roman"/>
          <w:color w:val="000000"/>
          <w:sz w:val="24"/>
          <w:szCs w:val="24"/>
        </w:rPr>
        <w:t xml:space="preserve"> abundances </w:t>
      </w:r>
      <w:r w:rsidR="00B64358">
        <w:rPr>
          <w:rFonts w:ascii="Times New Roman" w:eastAsia="Times New Roman" w:hAnsi="Times New Roman" w:cs="Times New Roman"/>
          <w:color w:val="000000"/>
          <w:sz w:val="24"/>
          <w:szCs w:val="24"/>
        </w:rPr>
        <w:t xml:space="preserve">and C biomass </w:t>
      </w:r>
      <w:r>
        <w:rPr>
          <w:rFonts w:ascii="Times New Roman" w:eastAsia="Times New Roman" w:hAnsi="Times New Roman" w:cs="Times New Roman"/>
          <w:color w:val="000000"/>
          <w:sz w:val="24"/>
          <w:szCs w:val="24"/>
        </w:rPr>
        <w:t>of the major planktonic groups sorted by flow cytometry in this study. LQ</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quantification limit  </w:t>
      </w:r>
    </w:p>
    <w:tbl>
      <w:tblPr>
        <w:tblStyle w:val="a8"/>
        <w:tblW w:w="10340" w:type="dxa"/>
        <w:tblInd w:w="-567" w:type="dxa"/>
        <w:tblLayout w:type="fixed"/>
        <w:tblLook w:val="0400" w:firstRow="0" w:lastRow="0" w:firstColumn="0" w:lastColumn="0" w:noHBand="0" w:noVBand="1"/>
      </w:tblPr>
      <w:tblGrid>
        <w:gridCol w:w="2342"/>
        <w:gridCol w:w="713"/>
        <w:gridCol w:w="250"/>
        <w:gridCol w:w="713"/>
        <w:gridCol w:w="1120"/>
        <w:gridCol w:w="749"/>
        <w:gridCol w:w="250"/>
        <w:gridCol w:w="749"/>
        <w:gridCol w:w="831"/>
        <w:gridCol w:w="250"/>
        <w:gridCol w:w="646"/>
        <w:gridCol w:w="831"/>
        <w:gridCol w:w="250"/>
        <w:gridCol w:w="646"/>
      </w:tblGrid>
      <w:tr w:rsidR="00DC5194" w14:paraId="395E0AC4" w14:textId="77777777">
        <w:trPr>
          <w:trHeight w:val="305"/>
        </w:trPr>
        <w:tc>
          <w:tcPr>
            <w:tcW w:w="2342" w:type="dxa"/>
            <w:tcBorders>
              <w:bottom w:val="single" w:sz="4" w:space="0" w:color="000000"/>
              <w:right w:val="single" w:sz="4" w:space="0" w:color="000000"/>
            </w:tcBorders>
            <w:shd w:val="clear" w:color="auto" w:fill="auto"/>
            <w:vAlign w:val="center"/>
          </w:tcPr>
          <w:p w14:paraId="7429C4CF" w14:textId="77777777" w:rsidR="00DC5194" w:rsidRDefault="00DC5194">
            <w:pPr>
              <w:spacing w:after="0" w:line="240" w:lineRule="auto"/>
              <w:rPr>
                <w:rFonts w:ascii="Times New Roman" w:eastAsia="Times New Roman" w:hAnsi="Times New Roman" w:cs="Times New Roman"/>
                <w:sz w:val="20"/>
                <w:szCs w:val="20"/>
              </w:rPr>
            </w:pPr>
          </w:p>
        </w:tc>
        <w:tc>
          <w:tcPr>
            <w:tcW w:w="1676" w:type="dxa"/>
            <w:gridSpan w:val="3"/>
            <w:tcBorders>
              <w:left w:val="single" w:sz="4" w:space="0" w:color="000000"/>
              <w:bottom w:val="single" w:sz="4" w:space="0" w:color="000000"/>
            </w:tcBorders>
            <w:shd w:val="clear" w:color="auto" w:fill="auto"/>
            <w:vAlign w:val="center"/>
          </w:tcPr>
          <w:p w14:paraId="01701C42"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S10 - B</w:t>
            </w:r>
          </w:p>
        </w:tc>
        <w:tc>
          <w:tcPr>
            <w:tcW w:w="1120" w:type="dxa"/>
            <w:tcBorders>
              <w:bottom w:val="single" w:sz="4" w:space="0" w:color="000000"/>
            </w:tcBorders>
            <w:shd w:val="clear" w:color="auto" w:fill="auto"/>
            <w:vAlign w:val="center"/>
          </w:tcPr>
          <w:p w14:paraId="44F8C88C"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S10 - A</w:t>
            </w:r>
          </w:p>
        </w:tc>
        <w:tc>
          <w:tcPr>
            <w:tcW w:w="1748" w:type="dxa"/>
            <w:gridSpan w:val="3"/>
            <w:tcBorders>
              <w:bottom w:val="single" w:sz="4" w:space="0" w:color="000000"/>
            </w:tcBorders>
            <w:shd w:val="clear" w:color="auto" w:fill="auto"/>
            <w:vAlign w:val="center"/>
          </w:tcPr>
          <w:p w14:paraId="17328206"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S10 - H</w:t>
            </w:r>
          </w:p>
        </w:tc>
        <w:tc>
          <w:tcPr>
            <w:tcW w:w="1727" w:type="dxa"/>
            <w:gridSpan w:val="3"/>
            <w:tcBorders>
              <w:bottom w:val="single" w:sz="4" w:space="0" w:color="000000"/>
            </w:tcBorders>
            <w:shd w:val="clear" w:color="auto" w:fill="auto"/>
            <w:vAlign w:val="center"/>
          </w:tcPr>
          <w:p w14:paraId="07B2D2FC"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S11</w:t>
            </w:r>
          </w:p>
        </w:tc>
        <w:tc>
          <w:tcPr>
            <w:tcW w:w="1727" w:type="dxa"/>
            <w:gridSpan w:val="3"/>
            <w:tcBorders>
              <w:bottom w:val="single" w:sz="4" w:space="0" w:color="000000"/>
            </w:tcBorders>
            <w:shd w:val="clear" w:color="auto" w:fill="auto"/>
            <w:vAlign w:val="center"/>
          </w:tcPr>
          <w:p w14:paraId="7254C6DD"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S12</w:t>
            </w:r>
          </w:p>
        </w:tc>
      </w:tr>
      <w:tr w:rsidR="00DC5194" w14:paraId="2672A1AE" w14:textId="77777777">
        <w:trPr>
          <w:trHeight w:val="410"/>
        </w:trPr>
        <w:tc>
          <w:tcPr>
            <w:tcW w:w="2342" w:type="dxa"/>
            <w:tcBorders>
              <w:top w:val="single" w:sz="4" w:space="0" w:color="000000"/>
              <w:bottom w:val="single" w:sz="4" w:space="0" w:color="000000"/>
              <w:right w:val="single" w:sz="4" w:space="0" w:color="000000"/>
            </w:tcBorders>
            <w:shd w:val="clear" w:color="auto" w:fill="auto"/>
            <w:vAlign w:val="center"/>
          </w:tcPr>
          <w:p w14:paraId="67CFCC0E"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w:t>
            </w:r>
            <w:r>
              <w:rPr>
                <w:rFonts w:ascii="Times New Roman" w:eastAsia="Times New Roman" w:hAnsi="Times New Roman" w:cs="Times New Roman"/>
                <w:b/>
                <w:color w:val="000000"/>
                <w:sz w:val="20"/>
                <w:szCs w:val="20"/>
                <w:vertAlign w:val="subscript"/>
              </w:rPr>
              <w:t>2</w:t>
            </w:r>
            <w:r>
              <w:rPr>
                <w:rFonts w:ascii="Times New Roman" w:eastAsia="Times New Roman" w:hAnsi="Times New Roman" w:cs="Times New Roman"/>
                <w:b/>
                <w:color w:val="000000"/>
                <w:sz w:val="20"/>
                <w:szCs w:val="20"/>
              </w:rPr>
              <w:t xml:space="preserve"> fixation rates</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(nmol N 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713" w:type="dxa"/>
            <w:tcBorders>
              <w:top w:val="single" w:sz="4" w:space="0" w:color="000000"/>
              <w:left w:val="single" w:sz="4" w:space="0" w:color="000000"/>
              <w:bottom w:val="single" w:sz="4" w:space="0" w:color="000000"/>
            </w:tcBorders>
            <w:shd w:val="clear" w:color="auto" w:fill="auto"/>
            <w:vAlign w:val="center"/>
          </w:tcPr>
          <w:p w14:paraId="29D42089"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w:t>
            </w:r>
          </w:p>
        </w:tc>
        <w:tc>
          <w:tcPr>
            <w:tcW w:w="250" w:type="dxa"/>
            <w:tcBorders>
              <w:top w:val="single" w:sz="4" w:space="0" w:color="000000"/>
              <w:bottom w:val="single" w:sz="4" w:space="0" w:color="000000"/>
            </w:tcBorders>
            <w:shd w:val="clear" w:color="auto" w:fill="auto"/>
            <w:vAlign w:val="center"/>
          </w:tcPr>
          <w:p w14:paraId="49F0ED61"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13" w:type="dxa"/>
            <w:tcBorders>
              <w:top w:val="single" w:sz="4" w:space="0" w:color="000000"/>
              <w:bottom w:val="single" w:sz="4" w:space="0" w:color="000000"/>
            </w:tcBorders>
            <w:shd w:val="clear" w:color="auto" w:fill="auto"/>
            <w:vAlign w:val="center"/>
          </w:tcPr>
          <w:p w14:paraId="3ACF7243"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c>
          <w:tcPr>
            <w:tcW w:w="1120" w:type="dxa"/>
            <w:tcBorders>
              <w:top w:val="single" w:sz="4" w:space="0" w:color="000000"/>
              <w:bottom w:val="single" w:sz="4" w:space="0" w:color="000000"/>
            </w:tcBorders>
            <w:shd w:val="clear" w:color="auto" w:fill="auto"/>
            <w:vAlign w:val="center"/>
          </w:tcPr>
          <w:p w14:paraId="435F4DE1"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749" w:type="dxa"/>
            <w:tcBorders>
              <w:top w:val="single" w:sz="4" w:space="0" w:color="000000"/>
              <w:bottom w:val="single" w:sz="4" w:space="0" w:color="000000"/>
            </w:tcBorders>
            <w:shd w:val="clear" w:color="auto" w:fill="auto"/>
            <w:vAlign w:val="center"/>
          </w:tcPr>
          <w:p w14:paraId="3A3B8CE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p>
        </w:tc>
        <w:tc>
          <w:tcPr>
            <w:tcW w:w="250" w:type="dxa"/>
            <w:tcBorders>
              <w:top w:val="single" w:sz="4" w:space="0" w:color="000000"/>
              <w:bottom w:val="single" w:sz="4" w:space="0" w:color="000000"/>
            </w:tcBorders>
            <w:shd w:val="clear" w:color="auto" w:fill="auto"/>
            <w:vAlign w:val="center"/>
          </w:tcPr>
          <w:p w14:paraId="19993D6E"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49" w:type="dxa"/>
            <w:tcBorders>
              <w:top w:val="single" w:sz="4" w:space="0" w:color="000000"/>
              <w:bottom w:val="single" w:sz="4" w:space="0" w:color="000000"/>
            </w:tcBorders>
            <w:shd w:val="clear" w:color="auto" w:fill="auto"/>
            <w:vAlign w:val="center"/>
          </w:tcPr>
          <w:p w14:paraId="26D671B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31" w:type="dxa"/>
            <w:tcBorders>
              <w:top w:val="single" w:sz="4" w:space="0" w:color="000000"/>
              <w:bottom w:val="single" w:sz="4" w:space="0" w:color="000000"/>
            </w:tcBorders>
            <w:shd w:val="clear" w:color="auto" w:fill="auto"/>
            <w:vAlign w:val="center"/>
          </w:tcPr>
          <w:p w14:paraId="0BD446C8"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c>
          <w:tcPr>
            <w:tcW w:w="250" w:type="dxa"/>
            <w:tcBorders>
              <w:top w:val="single" w:sz="4" w:space="0" w:color="000000"/>
              <w:bottom w:val="single" w:sz="4" w:space="0" w:color="000000"/>
            </w:tcBorders>
            <w:shd w:val="clear" w:color="auto" w:fill="auto"/>
            <w:vAlign w:val="center"/>
          </w:tcPr>
          <w:p w14:paraId="69AC11F6"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46" w:type="dxa"/>
            <w:tcBorders>
              <w:top w:val="single" w:sz="4" w:space="0" w:color="000000"/>
              <w:bottom w:val="single" w:sz="4" w:space="0" w:color="000000"/>
            </w:tcBorders>
            <w:shd w:val="clear" w:color="auto" w:fill="auto"/>
            <w:vAlign w:val="center"/>
          </w:tcPr>
          <w:p w14:paraId="093A0A2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31" w:type="dxa"/>
            <w:tcBorders>
              <w:top w:val="single" w:sz="4" w:space="0" w:color="000000"/>
              <w:bottom w:val="single" w:sz="4" w:space="0" w:color="000000"/>
            </w:tcBorders>
            <w:shd w:val="clear" w:color="auto" w:fill="auto"/>
            <w:vAlign w:val="center"/>
          </w:tcPr>
          <w:p w14:paraId="12A3157D"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250" w:type="dxa"/>
            <w:tcBorders>
              <w:top w:val="single" w:sz="4" w:space="0" w:color="000000"/>
              <w:bottom w:val="single" w:sz="4" w:space="0" w:color="000000"/>
            </w:tcBorders>
            <w:shd w:val="clear" w:color="auto" w:fill="auto"/>
            <w:vAlign w:val="center"/>
          </w:tcPr>
          <w:p w14:paraId="157C282A"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46" w:type="dxa"/>
            <w:tcBorders>
              <w:top w:val="single" w:sz="4" w:space="0" w:color="000000"/>
              <w:bottom w:val="single" w:sz="4" w:space="0" w:color="000000"/>
            </w:tcBorders>
            <w:shd w:val="clear" w:color="auto" w:fill="auto"/>
            <w:vAlign w:val="center"/>
          </w:tcPr>
          <w:p w14:paraId="571D9F3C"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r>
      <w:tr w:rsidR="00DC5194" w14:paraId="277806E4" w14:textId="77777777">
        <w:trPr>
          <w:trHeight w:val="516"/>
        </w:trPr>
        <w:tc>
          <w:tcPr>
            <w:tcW w:w="2342" w:type="dxa"/>
            <w:tcBorders>
              <w:top w:val="single" w:sz="4" w:space="0" w:color="000000"/>
              <w:bottom w:val="single" w:sz="4" w:space="0" w:color="000000"/>
              <w:right w:val="single" w:sz="4" w:space="0" w:color="000000"/>
            </w:tcBorders>
            <w:shd w:val="clear" w:color="auto" w:fill="auto"/>
            <w:vAlign w:val="center"/>
          </w:tcPr>
          <w:p w14:paraId="16B164BC"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Primary Production</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(µmol C 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713" w:type="dxa"/>
            <w:tcBorders>
              <w:top w:val="single" w:sz="4" w:space="0" w:color="000000"/>
              <w:left w:val="single" w:sz="4" w:space="0" w:color="000000"/>
              <w:bottom w:val="single" w:sz="4" w:space="0" w:color="000000"/>
            </w:tcBorders>
            <w:shd w:val="clear" w:color="auto" w:fill="auto"/>
            <w:vAlign w:val="center"/>
          </w:tcPr>
          <w:p w14:paraId="2E722F94"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w:t>
            </w:r>
          </w:p>
        </w:tc>
        <w:tc>
          <w:tcPr>
            <w:tcW w:w="250" w:type="dxa"/>
            <w:tcBorders>
              <w:top w:val="single" w:sz="4" w:space="0" w:color="000000"/>
              <w:bottom w:val="single" w:sz="4" w:space="0" w:color="000000"/>
            </w:tcBorders>
            <w:shd w:val="clear" w:color="auto" w:fill="auto"/>
            <w:vAlign w:val="center"/>
          </w:tcPr>
          <w:p w14:paraId="6D980BD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13" w:type="dxa"/>
            <w:tcBorders>
              <w:top w:val="single" w:sz="4" w:space="0" w:color="000000"/>
              <w:bottom w:val="single" w:sz="4" w:space="0" w:color="000000"/>
            </w:tcBorders>
            <w:shd w:val="clear" w:color="auto" w:fill="auto"/>
            <w:vAlign w:val="center"/>
          </w:tcPr>
          <w:p w14:paraId="7D0B3774"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0.73</w:t>
            </w:r>
          </w:p>
        </w:tc>
        <w:tc>
          <w:tcPr>
            <w:tcW w:w="1120" w:type="dxa"/>
            <w:tcBorders>
              <w:top w:val="single" w:sz="4" w:space="0" w:color="000000"/>
              <w:bottom w:val="single" w:sz="4" w:space="0" w:color="000000"/>
            </w:tcBorders>
            <w:shd w:val="clear" w:color="auto" w:fill="auto"/>
            <w:vAlign w:val="center"/>
          </w:tcPr>
          <w:p w14:paraId="325B633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749" w:type="dxa"/>
            <w:tcBorders>
              <w:top w:val="single" w:sz="4" w:space="0" w:color="000000"/>
              <w:bottom w:val="single" w:sz="4" w:space="0" w:color="000000"/>
            </w:tcBorders>
            <w:shd w:val="clear" w:color="auto" w:fill="auto"/>
            <w:vAlign w:val="center"/>
          </w:tcPr>
          <w:p w14:paraId="76F900A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w:t>
            </w:r>
          </w:p>
        </w:tc>
        <w:tc>
          <w:tcPr>
            <w:tcW w:w="250" w:type="dxa"/>
            <w:tcBorders>
              <w:top w:val="single" w:sz="4" w:space="0" w:color="000000"/>
              <w:bottom w:val="single" w:sz="4" w:space="0" w:color="000000"/>
            </w:tcBorders>
            <w:shd w:val="clear" w:color="auto" w:fill="auto"/>
            <w:vAlign w:val="center"/>
          </w:tcPr>
          <w:p w14:paraId="4999F24F"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49" w:type="dxa"/>
            <w:tcBorders>
              <w:top w:val="single" w:sz="4" w:space="0" w:color="000000"/>
              <w:bottom w:val="single" w:sz="4" w:space="0" w:color="000000"/>
            </w:tcBorders>
            <w:shd w:val="clear" w:color="auto" w:fill="auto"/>
            <w:vAlign w:val="center"/>
          </w:tcPr>
          <w:p w14:paraId="31F1A80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0.004</w:t>
            </w:r>
          </w:p>
        </w:tc>
        <w:tc>
          <w:tcPr>
            <w:tcW w:w="831" w:type="dxa"/>
            <w:tcBorders>
              <w:top w:val="single" w:sz="4" w:space="0" w:color="000000"/>
              <w:bottom w:val="single" w:sz="4" w:space="0" w:color="000000"/>
            </w:tcBorders>
            <w:shd w:val="clear" w:color="auto" w:fill="auto"/>
            <w:vAlign w:val="center"/>
          </w:tcPr>
          <w:p w14:paraId="1EC7DA8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250" w:type="dxa"/>
            <w:tcBorders>
              <w:top w:val="single" w:sz="4" w:space="0" w:color="000000"/>
              <w:bottom w:val="single" w:sz="4" w:space="0" w:color="000000"/>
            </w:tcBorders>
            <w:shd w:val="clear" w:color="auto" w:fill="auto"/>
            <w:vAlign w:val="center"/>
          </w:tcPr>
          <w:p w14:paraId="7417398B"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46" w:type="dxa"/>
            <w:tcBorders>
              <w:top w:val="single" w:sz="4" w:space="0" w:color="000000"/>
              <w:bottom w:val="single" w:sz="4" w:space="0" w:color="000000"/>
            </w:tcBorders>
            <w:shd w:val="clear" w:color="auto" w:fill="auto"/>
            <w:vAlign w:val="center"/>
          </w:tcPr>
          <w:p w14:paraId="3A0774CB"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w:t>
            </w:r>
          </w:p>
        </w:tc>
        <w:tc>
          <w:tcPr>
            <w:tcW w:w="831" w:type="dxa"/>
            <w:tcBorders>
              <w:top w:val="single" w:sz="4" w:space="0" w:color="000000"/>
              <w:bottom w:val="single" w:sz="4" w:space="0" w:color="000000"/>
            </w:tcBorders>
            <w:shd w:val="clear" w:color="auto" w:fill="auto"/>
            <w:vAlign w:val="center"/>
          </w:tcPr>
          <w:p w14:paraId="4B186DC8"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w:t>
            </w:r>
          </w:p>
        </w:tc>
        <w:tc>
          <w:tcPr>
            <w:tcW w:w="250" w:type="dxa"/>
            <w:tcBorders>
              <w:top w:val="single" w:sz="4" w:space="0" w:color="000000"/>
              <w:bottom w:val="single" w:sz="4" w:space="0" w:color="000000"/>
            </w:tcBorders>
            <w:shd w:val="clear" w:color="auto" w:fill="auto"/>
            <w:vAlign w:val="center"/>
          </w:tcPr>
          <w:p w14:paraId="033869ED"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46" w:type="dxa"/>
            <w:tcBorders>
              <w:top w:val="single" w:sz="4" w:space="0" w:color="000000"/>
              <w:bottom w:val="single" w:sz="4" w:space="0" w:color="000000"/>
            </w:tcBorders>
            <w:shd w:val="clear" w:color="auto" w:fill="auto"/>
            <w:vAlign w:val="center"/>
          </w:tcPr>
          <w:p w14:paraId="26445B8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w:t>
            </w:r>
          </w:p>
        </w:tc>
      </w:tr>
      <w:tr w:rsidR="00DC5194" w14:paraId="6E0DE31F" w14:textId="77777777">
        <w:trPr>
          <w:trHeight w:val="290"/>
        </w:trPr>
        <w:tc>
          <w:tcPr>
            <w:tcW w:w="2342" w:type="dxa"/>
            <w:tcBorders>
              <w:top w:val="single" w:sz="4" w:space="0" w:color="000000"/>
              <w:right w:val="single" w:sz="4" w:space="0" w:color="000000"/>
            </w:tcBorders>
            <w:shd w:val="clear" w:color="auto" w:fill="auto"/>
            <w:vAlign w:val="center"/>
          </w:tcPr>
          <w:p w14:paraId="42AD0FD3"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NO2</w:t>
            </w:r>
            <w:r>
              <w:rPr>
                <w:rFonts w:ascii="Times New Roman" w:eastAsia="Times New Roman" w:hAnsi="Times New Roman" w:cs="Times New Roman"/>
                <w:color w:val="000000"/>
                <w:sz w:val="20"/>
                <w:szCs w:val="20"/>
              </w:rPr>
              <w:t xml:space="preserve"> (µM)</w:t>
            </w:r>
          </w:p>
        </w:tc>
        <w:tc>
          <w:tcPr>
            <w:tcW w:w="1676" w:type="dxa"/>
            <w:gridSpan w:val="3"/>
            <w:tcBorders>
              <w:top w:val="single" w:sz="4" w:space="0" w:color="000000"/>
              <w:left w:val="single" w:sz="4" w:space="0" w:color="000000"/>
            </w:tcBorders>
            <w:shd w:val="clear" w:color="auto" w:fill="auto"/>
            <w:vAlign w:val="center"/>
          </w:tcPr>
          <w:p w14:paraId="0444F7EF"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LQ=0.01</w:t>
            </w:r>
          </w:p>
        </w:tc>
        <w:tc>
          <w:tcPr>
            <w:tcW w:w="1120" w:type="dxa"/>
            <w:tcBorders>
              <w:top w:val="single" w:sz="4" w:space="0" w:color="000000"/>
            </w:tcBorders>
            <w:shd w:val="clear" w:color="auto" w:fill="auto"/>
            <w:vAlign w:val="center"/>
          </w:tcPr>
          <w:p w14:paraId="64E83CFA" w14:textId="77777777" w:rsidR="00DC5194" w:rsidRDefault="00EE0A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LQ=0.01</w:t>
            </w:r>
          </w:p>
        </w:tc>
        <w:tc>
          <w:tcPr>
            <w:tcW w:w="1748" w:type="dxa"/>
            <w:gridSpan w:val="3"/>
            <w:tcBorders>
              <w:top w:val="single" w:sz="4" w:space="0" w:color="000000"/>
            </w:tcBorders>
            <w:shd w:val="clear" w:color="auto" w:fill="auto"/>
            <w:vAlign w:val="center"/>
          </w:tcPr>
          <w:p w14:paraId="3C7822A7"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LQ=0.01</w:t>
            </w:r>
          </w:p>
        </w:tc>
        <w:tc>
          <w:tcPr>
            <w:tcW w:w="1727" w:type="dxa"/>
            <w:gridSpan w:val="3"/>
            <w:tcBorders>
              <w:top w:val="single" w:sz="4" w:space="0" w:color="000000"/>
            </w:tcBorders>
            <w:shd w:val="clear" w:color="auto" w:fill="auto"/>
            <w:vAlign w:val="center"/>
          </w:tcPr>
          <w:p w14:paraId="67D646B8"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LQ=0.01</w:t>
            </w:r>
          </w:p>
        </w:tc>
        <w:tc>
          <w:tcPr>
            <w:tcW w:w="1727" w:type="dxa"/>
            <w:gridSpan w:val="3"/>
            <w:tcBorders>
              <w:top w:val="single" w:sz="4" w:space="0" w:color="000000"/>
            </w:tcBorders>
            <w:shd w:val="clear" w:color="auto" w:fill="auto"/>
            <w:vAlign w:val="center"/>
          </w:tcPr>
          <w:p w14:paraId="2263E9D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LQ=0.01</w:t>
            </w:r>
          </w:p>
        </w:tc>
      </w:tr>
      <w:tr w:rsidR="00DC5194" w14:paraId="08E58A8E" w14:textId="77777777">
        <w:trPr>
          <w:trHeight w:val="290"/>
        </w:trPr>
        <w:tc>
          <w:tcPr>
            <w:tcW w:w="2342" w:type="dxa"/>
            <w:tcBorders>
              <w:right w:val="single" w:sz="4" w:space="0" w:color="000000"/>
            </w:tcBorders>
            <w:shd w:val="clear" w:color="auto" w:fill="auto"/>
            <w:vAlign w:val="center"/>
          </w:tcPr>
          <w:p w14:paraId="25CF0131"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NO3</w:t>
            </w:r>
            <w:r>
              <w:rPr>
                <w:rFonts w:ascii="Times New Roman" w:eastAsia="Times New Roman" w:hAnsi="Times New Roman" w:cs="Times New Roman"/>
                <w:color w:val="000000"/>
                <w:sz w:val="20"/>
                <w:szCs w:val="20"/>
              </w:rPr>
              <w:t xml:space="preserve"> (µM)</w:t>
            </w:r>
          </w:p>
        </w:tc>
        <w:tc>
          <w:tcPr>
            <w:tcW w:w="1676" w:type="dxa"/>
            <w:gridSpan w:val="3"/>
            <w:tcBorders>
              <w:left w:val="single" w:sz="4" w:space="0" w:color="000000"/>
            </w:tcBorders>
            <w:shd w:val="clear" w:color="auto" w:fill="auto"/>
            <w:vAlign w:val="center"/>
          </w:tcPr>
          <w:p w14:paraId="116D820E"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LQ=0.05</w:t>
            </w:r>
          </w:p>
        </w:tc>
        <w:tc>
          <w:tcPr>
            <w:tcW w:w="1120" w:type="dxa"/>
            <w:shd w:val="clear" w:color="auto" w:fill="auto"/>
            <w:vAlign w:val="center"/>
          </w:tcPr>
          <w:p w14:paraId="312310FA" w14:textId="77777777" w:rsidR="00DC5194" w:rsidRDefault="00EE0AE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LQ=0.05</w:t>
            </w:r>
          </w:p>
        </w:tc>
        <w:tc>
          <w:tcPr>
            <w:tcW w:w="1748" w:type="dxa"/>
            <w:gridSpan w:val="3"/>
            <w:shd w:val="clear" w:color="auto" w:fill="auto"/>
            <w:vAlign w:val="center"/>
          </w:tcPr>
          <w:p w14:paraId="294F220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LQ=0.05</w:t>
            </w:r>
          </w:p>
        </w:tc>
        <w:tc>
          <w:tcPr>
            <w:tcW w:w="1727" w:type="dxa"/>
            <w:gridSpan w:val="3"/>
            <w:shd w:val="clear" w:color="auto" w:fill="auto"/>
            <w:vAlign w:val="center"/>
          </w:tcPr>
          <w:p w14:paraId="5BD882BD"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LQ=0.05</w:t>
            </w:r>
          </w:p>
        </w:tc>
        <w:tc>
          <w:tcPr>
            <w:tcW w:w="1727" w:type="dxa"/>
            <w:gridSpan w:val="3"/>
            <w:shd w:val="clear" w:color="auto" w:fill="auto"/>
            <w:vAlign w:val="center"/>
          </w:tcPr>
          <w:p w14:paraId="1C1C689A"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LQ=0.05</w:t>
            </w:r>
          </w:p>
        </w:tc>
      </w:tr>
      <w:tr w:rsidR="00DC5194" w14:paraId="5F0C5D43" w14:textId="77777777">
        <w:trPr>
          <w:trHeight w:val="290"/>
        </w:trPr>
        <w:tc>
          <w:tcPr>
            <w:tcW w:w="2342" w:type="dxa"/>
            <w:tcBorders>
              <w:right w:val="single" w:sz="4" w:space="0" w:color="000000"/>
            </w:tcBorders>
            <w:shd w:val="clear" w:color="auto" w:fill="auto"/>
            <w:vAlign w:val="center"/>
          </w:tcPr>
          <w:p w14:paraId="69011C4F"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PO4</w:t>
            </w:r>
            <w:r>
              <w:rPr>
                <w:rFonts w:ascii="Times New Roman" w:eastAsia="Times New Roman" w:hAnsi="Times New Roman" w:cs="Times New Roman"/>
                <w:color w:val="000000"/>
                <w:sz w:val="20"/>
                <w:szCs w:val="20"/>
              </w:rPr>
              <w:t xml:space="preserve"> (µM)</w:t>
            </w:r>
          </w:p>
        </w:tc>
        <w:tc>
          <w:tcPr>
            <w:tcW w:w="1676" w:type="dxa"/>
            <w:gridSpan w:val="3"/>
            <w:tcBorders>
              <w:left w:val="single" w:sz="4" w:space="0" w:color="000000"/>
            </w:tcBorders>
            <w:shd w:val="clear" w:color="auto" w:fill="auto"/>
            <w:vAlign w:val="center"/>
          </w:tcPr>
          <w:p w14:paraId="6AA801C6"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120" w:type="dxa"/>
            <w:shd w:val="clear" w:color="auto" w:fill="auto"/>
            <w:vAlign w:val="center"/>
          </w:tcPr>
          <w:p w14:paraId="4A590B88"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748" w:type="dxa"/>
            <w:gridSpan w:val="3"/>
            <w:shd w:val="clear" w:color="auto" w:fill="auto"/>
            <w:vAlign w:val="center"/>
          </w:tcPr>
          <w:p w14:paraId="551C2AE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c>
          <w:tcPr>
            <w:tcW w:w="1727" w:type="dxa"/>
            <w:gridSpan w:val="3"/>
            <w:shd w:val="clear" w:color="auto" w:fill="auto"/>
            <w:vAlign w:val="center"/>
          </w:tcPr>
          <w:p w14:paraId="34A60F1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LQ=0.02</w:t>
            </w:r>
          </w:p>
        </w:tc>
        <w:tc>
          <w:tcPr>
            <w:tcW w:w="1727" w:type="dxa"/>
            <w:gridSpan w:val="3"/>
            <w:shd w:val="clear" w:color="auto" w:fill="auto"/>
            <w:vAlign w:val="center"/>
          </w:tcPr>
          <w:p w14:paraId="619CFFC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 LQ=0.02</w:t>
            </w:r>
          </w:p>
        </w:tc>
      </w:tr>
      <w:tr w:rsidR="00DC5194" w14:paraId="54B7DCFD" w14:textId="77777777">
        <w:trPr>
          <w:trHeight w:val="290"/>
        </w:trPr>
        <w:tc>
          <w:tcPr>
            <w:tcW w:w="2342" w:type="dxa"/>
            <w:tcBorders>
              <w:right w:val="single" w:sz="4" w:space="0" w:color="000000"/>
            </w:tcBorders>
            <w:shd w:val="clear" w:color="auto" w:fill="auto"/>
            <w:vAlign w:val="center"/>
          </w:tcPr>
          <w:p w14:paraId="7862BE7C"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Si(OH)4</w:t>
            </w:r>
            <w:r>
              <w:rPr>
                <w:rFonts w:ascii="Times New Roman" w:eastAsia="Times New Roman" w:hAnsi="Times New Roman" w:cs="Times New Roman"/>
                <w:color w:val="000000"/>
                <w:sz w:val="20"/>
                <w:szCs w:val="20"/>
              </w:rPr>
              <w:t xml:space="preserve"> (µM)</w:t>
            </w:r>
          </w:p>
        </w:tc>
        <w:tc>
          <w:tcPr>
            <w:tcW w:w="1676" w:type="dxa"/>
            <w:gridSpan w:val="3"/>
            <w:tcBorders>
              <w:left w:val="single" w:sz="4" w:space="0" w:color="000000"/>
            </w:tcBorders>
            <w:shd w:val="clear" w:color="auto" w:fill="auto"/>
            <w:vAlign w:val="center"/>
          </w:tcPr>
          <w:p w14:paraId="7F329181"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120" w:type="dxa"/>
            <w:shd w:val="clear" w:color="auto" w:fill="auto"/>
            <w:vAlign w:val="center"/>
          </w:tcPr>
          <w:p w14:paraId="520508CF"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748" w:type="dxa"/>
            <w:gridSpan w:val="3"/>
            <w:shd w:val="clear" w:color="auto" w:fill="auto"/>
            <w:vAlign w:val="center"/>
          </w:tcPr>
          <w:p w14:paraId="262FCC49"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1727" w:type="dxa"/>
            <w:gridSpan w:val="3"/>
            <w:shd w:val="clear" w:color="auto" w:fill="auto"/>
            <w:vAlign w:val="center"/>
          </w:tcPr>
          <w:p w14:paraId="12BCD341"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1727" w:type="dxa"/>
            <w:gridSpan w:val="3"/>
            <w:shd w:val="clear" w:color="auto" w:fill="auto"/>
            <w:vAlign w:val="center"/>
          </w:tcPr>
          <w:p w14:paraId="71012A1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w:t>
            </w:r>
          </w:p>
        </w:tc>
      </w:tr>
      <w:tr w:rsidR="00DC5194" w14:paraId="659A92E1" w14:textId="77777777">
        <w:trPr>
          <w:trHeight w:val="290"/>
        </w:trPr>
        <w:tc>
          <w:tcPr>
            <w:tcW w:w="2342" w:type="dxa"/>
            <w:tcBorders>
              <w:bottom w:val="single" w:sz="4" w:space="0" w:color="000000"/>
              <w:right w:val="single" w:sz="4" w:space="0" w:color="000000"/>
            </w:tcBorders>
            <w:shd w:val="clear" w:color="auto" w:fill="auto"/>
            <w:vAlign w:val="center"/>
          </w:tcPr>
          <w:p w14:paraId="2CA5B7D8"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DOC</w:t>
            </w:r>
            <w:r>
              <w:rPr>
                <w:rFonts w:ascii="Times New Roman" w:eastAsia="Times New Roman" w:hAnsi="Times New Roman" w:cs="Times New Roman"/>
                <w:color w:val="000000"/>
                <w:sz w:val="20"/>
                <w:szCs w:val="20"/>
              </w:rPr>
              <w:t xml:space="preserve"> (µM)</w:t>
            </w:r>
          </w:p>
        </w:tc>
        <w:tc>
          <w:tcPr>
            <w:tcW w:w="1676" w:type="dxa"/>
            <w:gridSpan w:val="3"/>
            <w:tcBorders>
              <w:left w:val="single" w:sz="4" w:space="0" w:color="000000"/>
              <w:bottom w:val="single" w:sz="4" w:space="0" w:color="000000"/>
            </w:tcBorders>
            <w:shd w:val="clear" w:color="auto" w:fill="auto"/>
            <w:vAlign w:val="center"/>
          </w:tcPr>
          <w:p w14:paraId="6C8A9C74"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120" w:type="dxa"/>
            <w:tcBorders>
              <w:bottom w:val="single" w:sz="4" w:space="0" w:color="000000"/>
            </w:tcBorders>
            <w:shd w:val="clear" w:color="auto" w:fill="auto"/>
            <w:vAlign w:val="center"/>
          </w:tcPr>
          <w:p w14:paraId="1CA0F6D1"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748" w:type="dxa"/>
            <w:gridSpan w:val="3"/>
            <w:tcBorders>
              <w:bottom w:val="single" w:sz="4" w:space="0" w:color="000000"/>
            </w:tcBorders>
            <w:shd w:val="clear" w:color="auto" w:fill="auto"/>
            <w:vAlign w:val="center"/>
          </w:tcPr>
          <w:p w14:paraId="6629805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727" w:type="dxa"/>
            <w:gridSpan w:val="3"/>
            <w:tcBorders>
              <w:bottom w:val="single" w:sz="4" w:space="0" w:color="000000"/>
            </w:tcBorders>
            <w:shd w:val="clear" w:color="auto" w:fill="auto"/>
            <w:vAlign w:val="center"/>
          </w:tcPr>
          <w:p w14:paraId="612CC62B"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727" w:type="dxa"/>
            <w:gridSpan w:val="3"/>
            <w:tcBorders>
              <w:bottom w:val="single" w:sz="4" w:space="0" w:color="000000"/>
            </w:tcBorders>
            <w:shd w:val="clear" w:color="auto" w:fill="auto"/>
            <w:vAlign w:val="center"/>
          </w:tcPr>
          <w:p w14:paraId="0DBB4D8B"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DC5194" w14:paraId="1AE69D41" w14:textId="77777777" w:rsidTr="00597527">
        <w:trPr>
          <w:trHeight w:val="320"/>
        </w:trPr>
        <w:tc>
          <w:tcPr>
            <w:tcW w:w="2342" w:type="dxa"/>
            <w:tcBorders>
              <w:top w:val="single" w:sz="4" w:space="0" w:color="000000"/>
              <w:bottom w:val="dotted" w:sz="4" w:space="0" w:color="auto"/>
              <w:right w:val="single" w:sz="4" w:space="0" w:color="000000"/>
            </w:tcBorders>
            <w:shd w:val="clear" w:color="auto" w:fill="auto"/>
            <w:vAlign w:val="center"/>
          </w:tcPr>
          <w:p w14:paraId="7601A338" w14:textId="77777777" w:rsidR="00DC5194" w:rsidRDefault="00EE0AE9">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Trichodesmium </w:t>
            </w:r>
          </w:p>
          <w:p w14:paraId="37DF813F" w14:textId="77777777" w:rsidR="00DC5194" w:rsidRDefault="00EE0AE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filament</w:t>
            </w:r>
            <w:proofErr w:type="gramEnd"/>
            <w:r>
              <w:rPr>
                <w:rFonts w:ascii="Times New Roman" w:eastAsia="Times New Roman" w:hAnsi="Times New Roman" w:cs="Times New Roman"/>
                <w:color w:val="000000"/>
                <w:sz w:val="20"/>
                <w:szCs w:val="20"/>
              </w:rPr>
              <w:t xml:space="preserve"> 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1676" w:type="dxa"/>
            <w:gridSpan w:val="3"/>
            <w:tcBorders>
              <w:top w:val="single" w:sz="4" w:space="0" w:color="000000"/>
              <w:left w:val="single" w:sz="4" w:space="0" w:color="000000"/>
              <w:bottom w:val="dotted" w:sz="4" w:space="0" w:color="auto"/>
            </w:tcBorders>
            <w:shd w:val="clear" w:color="auto" w:fill="auto"/>
            <w:vAlign w:val="center"/>
          </w:tcPr>
          <w:p w14:paraId="146E28ED" w14:textId="77777777"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2637</w:t>
            </w:r>
          </w:p>
        </w:tc>
        <w:tc>
          <w:tcPr>
            <w:tcW w:w="1120" w:type="dxa"/>
            <w:tcBorders>
              <w:top w:val="single" w:sz="4" w:space="0" w:color="000000"/>
              <w:bottom w:val="dotted" w:sz="4" w:space="0" w:color="auto"/>
            </w:tcBorders>
            <w:shd w:val="clear" w:color="auto" w:fill="auto"/>
            <w:vAlign w:val="center"/>
          </w:tcPr>
          <w:p w14:paraId="6124DA2C" w14:textId="77777777"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2687</w:t>
            </w:r>
          </w:p>
        </w:tc>
        <w:tc>
          <w:tcPr>
            <w:tcW w:w="1748" w:type="dxa"/>
            <w:gridSpan w:val="3"/>
            <w:tcBorders>
              <w:top w:val="single" w:sz="4" w:space="0" w:color="000000"/>
              <w:bottom w:val="dotted" w:sz="4" w:space="0" w:color="auto"/>
            </w:tcBorders>
            <w:shd w:val="clear" w:color="auto" w:fill="auto"/>
            <w:vAlign w:val="center"/>
          </w:tcPr>
          <w:p w14:paraId="5DD2AE29" w14:textId="77777777"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1851</w:t>
            </w:r>
          </w:p>
        </w:tc>
        <w:tc>
          <w:tcPr>
            <w:tcW w:w="831" w:type="dxa"/>
            <w:tcBorders>
              <w:top w:val="single" w:sz="4" w:space="0" w:color="000000"/>
              <w:bottom w:val="dotted" w:sz="4" w:space="0" w:color="auto"/>
            </w:tcBorders>
            <w:shd w:val="clear" w:color="auto" w:fill="auto"/>
            <w:vAlign w:val="center"/>
          </w:tcPr>
          <w:p w14:paraId="76705579" w14:textId="6CCBFAFA" w:rsidR="00DC5194" w:rsidRDefault="00DC5194" w:rsidP="00423E51">
            <w:pPr>
              <w:spacing w:after="0" w:line="240" w:lineRule="auto"/>
              <w:jc w:val="center"/>
              <w:rPr>
                <w:rFonts w:ascii="Times New Roman" w:eastAsia="Times New Roman" w:hAnsi="Times New Roman" w:cs="Times New Roman"/>
                <w:sz w:val="20"/>
                <w:szCs w:val="20"/>
              </w:rPr>
            </w:pPr>
          </w:p>
        </w:tc>
        <w:tc>
          <w:tcPr>
            <w:tcW w:w="250" w:type="dxa"/>
            <w:tcBorders>
              <w:top w:val="single" w:sz="4" w:space="0" w:color="000000"/>
              <w:bottom w:val="dotted" w:sz="4" w:space="0" w:color="auto"/>
            </w:tcBorders>
            <w:shd w:val="clear" w:color="auto" w:fill="auto"/>
            <w:vAlign w:val="center"/>
          </w:tcPr>
          <w:p w14:paraId="4E8C0974" w14:textId="73F2C5BD" w:rsidR="00DC5194" w:rsidRDefault="00423E51" w:rsidP="00B6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46" w:type="dxa"/>
            <w:tcBorders>
              <w:top w:val="single" w:sz="4" w:space="0" w:color="000000"/>
              <w:bottom w:val="dotted" w:sz="4" w:space="0" w:color="auto"/>
            </w:tcBorders>
            <w:shd w:val="clear" w:color="auto" w:fill="auto"/>
            <w:vAlign w:val="center"/>
          </w:tcPr>
          <w:p w14:paraId="6D5382C7" w14:textId="77777777" w:rsidR="00DC5194" w:rsidRDefault="00DC5194" w:rsidP="00B64358">
            <w:pPr>
              <w:spacing w:after="0" w:line="240" w:lineRule="auto"/>
              <w:rPr>
                <w:rFonts w:ascii="Times New Roman" w:eastAsia="Times New Roman" w:hAnsi="Times New Roman" w:cs="Times New Roman"/>
                <w:sz w:val="20"/>
                <w:szCs w:val="20"/>
              </w:rPr>
            </w:pPr>
          </w:p>
        </w:tc>
        <w:tc>
          <w:tcPr>
            <w:tcW w:w="831" w:type="dxa"/>
            <w:tcBorders>
              <w:top w:val="single" w:sz="4" w:space="0" w:color="000000"/>
              <w:bottom w:val="dotted" w:sz="4" w:space="0" w:color="auto"/>
            </w:tcBorders>
            <w:shd w:val="clear" w:color="auto" w:fill="auto"/>
            <w:vAlign w:val="center"/>
          </w:tcPr>
          <w:p w14:paraId="37CCEBC1" w14:textId="68683876" w:rsidR="00DC5194" w:rsidRDefault="00DC5194" w:rsidP="00B64358">
            <w:pPr>
              <w:spacing w:after="0" w:line="240" w:lineRule="auto"/>
              <w:rPr>
                <w:rFonts w:ascii="Times New Roman" w:eastAsia="Times New Roman" w:hAnsi="Times New Roman" w:cs="Times New Roman"/>
                <w:sz w:val="20"/>
                <w:szCs w:val="20"/>
              </w:rPr>
            </w:pPr>
          </w:p>
        </w:tc>
        <w:tc>
          <w:tcPr>
            <w:tcW w:w="250" w:type="dxa"/>
            <w:tcBorders>
              <w:top w:val="single" w:sz="4" w:space="0" w:color="000000"/>
              <w:bottom w:val="dotted" w:sz="4" w:space="0" w:color="auto"/>
            </w:tcBorders>
            <w:shd w:val="clear" w:color="auto" w:fill="auto"/>
            <w:vAlign w:val="center"/>
          </w:tcPr>
          <w:p w14:paraId="4B7D0E79" w14:textId="302B360A" w:rsidR="00DC5194" w:rsidRDefault="00423E51" w:rsidP="00B643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46" w:type="dxa"/>
            <w:tcBorders>
              <w:top w:val="single" w:sz="4" w:space="0" w:color="000000"/>
              <w:bottom w:val="dotted" w:sz="4" w:space="0" w:color="auto"/>
            </w:tcBorders>
            <w:shd w:val="clear" w:color="auto" w:fill="auto"/>
            <w:vAlign w:val="center"/>
          </w:tcPr>
          <w:p w14:paraId="17A11D1D" w14:textId="77777777" w:rsidR="00DC5194" w:rsidRDefault="00DC5194">
            <w:pPr>
              <w:spacing w:after="0" w:line="240" w:lineRule="auto"/>
              <w:jc w:val="center"/>
              <w:rPr>
                <w:rFonts w:ascii="Times New Roman" w:eastAsia="Times New Roman" w:hAnsi="Times New Roman" w:cs="Times New Roman"/>
                <w:sz w:val="20"/>
                <w:szCs w:val="20"/>
              </w:rPr>
            </w:pPr>
          </w:p>
        </w:tc>
      </w:tr>
      <w:tr w:rsidR="00DC5194" w14:paraId="09BEC113" w14:textId="77777777" w:rsidTr="00597527">
        <w:trPr>
          <w:trHeight w:val="320"/>
        </w:trPr>
        <w:tc>
          <w:tcPr>
            <w:tcW w:w="2342" w:type="dxa"/>
            <w:tcBorders>
              <w:top w:val="dotted" w:sz="4" w:space="0" w:color="auto"/>
              <w:right w:val="single" w:sz="4" w:space="0" w:color="auto"/>
            </w:tcBorders>
            <w:shd w:val="clear" w:color="auto" w:fill="auto"/>
            <w:vAlign w:val="center"/>
          </w:tcPr>
          <w:p w14:paraId="1C2B978A" w14:textId="77777777" w:rsidR="00DC5194" w:rsidRDefault="00EE0AE9">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Trichodesmium </w:t>
            </w:r>
          </w:p>
          <w:p w14:paraId="0F43934F" w14:textId="77777777"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nifH</w:t>
            </w:r>
            <w:r>
              <w:rPr>
                <w:rFonts w:ascii="Times New Roman" w:eastAsia="Times New Roman" w:hAnsi="Times New Roman" w:cs="Times New Roman"/>
                <w:sz w:val="20"/>
                <w:szCs w:val="20"/>
              </w:rPr>
              <w:t xml:space="preserve"> gene copies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p w14:paraId="4F614334" w14:textId="1F487D7F" w:rsidR="00423E51" w:rsidRDefault="00423E5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top w:val="dotted" w:sz="4" w:space="0" w:color="auto"/>
              <w:left w:val="single" w:sz="4" w:space="0" w:color="auto"/>
            </w:tcBorders>
            <w:shd w:val="clear" w:color="auto" w:fill="auto"/>
            <w:vAlign w:val="center"/>
          </w:tcPr>
          <w:p w14:paraId="5F604A1C" w14:textId="77777777" w:rsidR="00423E51" w:rsidRDefault="00423E51">
            <w:pPr>
              <w:spacing w:after="0" w:line="240" w:lineRule="auto"/>
              <w:jc w:val="center"/>
              <w:rPr>
                <w:rFonts w:ascii="Times New Roman" w:eastAsia="Times New Roman" w:hAnsi="Times New Roman" w:cs="Times New Roman"/>
                <w:sz w:val="20"/>
                <w:szCs w:val="20"/>
              </w:rPr>
            </w:pPr>
          </w:p>
          <w:p w14:paraId="1ED3C1AE" w14:textId="395079E0"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 x 10</w:t>
            </w:r>
            <w:r w:rsidR="002D4C19">
              <w:rPr>
                <w:rFonts w:ascii="Times New Roman" w:eastAsia="Times New Roman" w:hAnsi="Times New Roman" w:cs="Times New Roman"/>
                <w:sz w:val="20"/>
                <w:szCs w:val="20"/>
                <w:vertAlign w:val="superscript"/>
              </w:rPr>
              <w:t>6</w:t>
            </w:r>
          </w:p>
          <w:p w14:paraId="615BF2F6" w14:textId="72AFC72B" w:rsidR="00423E51" w:rsidRPr="00D678AF" w:rsidRDefault="00423E51" w:rsidP="00423E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120" w:type="dxa"/>
            <w:tcBorders>
              <w:top w:val="dotted" w:sz="4" w:space="0" w:color="auto"/>
            </w:tcBorders>
            <w:shd w:val="clear" w:color="auto" w:fill="auto"/>
            <w:vAlign w:val="center"/>
          </w:tcPr>
          <w:p w14:paraId="4612B020" w14:textId="77777777" w:rsidR="00423E51" w:rsidRDefault="00423E51">
            <w:pPr>
              <w:spacing w:after="0" w:line="240" w:lineRule="auto"/>
              <w:jc w:val="center"/>
              <w:rPr>
                <w:rFonts w:ascii="Times New Roman" w:eastAsia="Times New Roman" w:hAnsi="Times New Roman" w:cs="Times New Roman"/>
                <w:sz w:val="20"/>
                <w:szCs w:val="20"/>
              </w:rPr>
            </w:pPr>
          </w:p>
          <w:p w14:paraId="1F84B5BD" w14:textId="5EC85285"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p>
        </w:tc>
        <w:tc>
          <w:tcPr>
            <w:tcW w:w="1748" w:type="dxa"/>
            <w:gridSpan w:val="3"/>
            <w:tcBorders>
              <w:top w:val="dotted" w:sz="4" w:space="0" w:color="auto"/>
            </w:tcBorders>
            <w:shd w:val="clear" w:color="auto" w:fill="auto"/>
            <w:vAlign w:val="center"/>
          </w:tcPr>
          <w:p w14:paraId="286DAD50" w14:textId="77777777" w:rsidR="00423E51" w:rsidRDefault="00423E51">
            <w:pPr>
              <w:spacing w:after="0" w:line="240" w:lineRule="auto"/>
              <w:jc w:val="center"/>
              <w:rPr>
                <w:rFonts w:ascii="Times New Roman" w:eastAsia="Times New Roman" w:hAnsi="Times New Roman" w:cs="Times New Roman"/>
                <w:sz w:val="20"/>
                <w:szCs w:val="20"/>
              </w:rPr>
            </w:pPr>
          </w:p>
          <w:p w14:paraId="034CA676" w14:textId="0C07F5CF" w:rsidR="00DC5194" w:rsidRDefault="00EE0AE9">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8.8 x 10</w:t>
            </w:r>
            <w:r>
              <w:rPr>
                <w:rFonts w:ascii="Times New Roman" w:eastAsia="Times New Roman" w:hAnsi="Times New Roman" w:cs="Times New Roman"/>
                <w:sz w:val="20"/>
                <w:szCs w:val="20"/>
                <w:vertAlign w:val="superscript"/>
              </w:rPr>
              <w:t>6</w:t>
            </w:r>
          </w:p>
          <w:p w14:paraId="413CDC7E" w14:textId="20B8B9AD" w:rsidR="00423E51" w:rsidRDefault="00423E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6.7</w:t>
            </w:r>
          </w:p>
        </w:tc>
        <w:tc>
          <w:tcPr>
            <w:tcW w:w="1727" w:type="dxa"/>
            <w:gridSpan w:val="3"/>
            <w:tcBorders>
              <w:top w:val="dotted" w:sz="4" w:space="0" w:color="auto"/>
            </w:tcBorders>
            <w:shd w:val="clear" w:color="auto" w:fill="auto"/>
            <w:vAlign w:val="center"/>
          </w:tcPr>
          <w:p w14:paraId="6BC0CEBE" w14:textId="77777777" w:rsidR="00423E51" w:rsidRDefault="00423E51">
            <w:pPr>
              <w:spacing w:after="0" w:line="240" w:lineRule="auto"/>
              <w:jc w:val="center"/>
              <w:rPr>
                <w:rFonts w:ascii="Times New Roman" w:eastAsia="Times New Roman" w:hAnsi="Times New Roman" w:cs="Times New Roman"/>
                <w:sz w:val="20"/>
                <w:szCs w:val="20"/>
              </w:rPr>
            </w:pPr>
          </w:p>
          <w:p w14:paraId="5CF808C6" w14:textId="129EA8DD" w:rsidR="00DC5194" w:rsidRDefault="00EE0AE9">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4.0 x 10</w:t>
            </w:r>
            <w:r>
              <w:rPr>
                <w:rFonts w:ascii="Times New Roman" w:eastAsia="Times New Roman" w:hAnsi="Times New Roman" w:cs="Times New Roman"/>
                <w:sz w:val="20"/>
                <w:szCs w:val="20"/>
                <w:vertAlign w:val="superscript"/>
              </w:rPr>
              <w:t>6</w:t>
            </w:r>
          </w:p>
          <w:p w14:paraId="56E39687" w14:textId="4E964AC5" w:rsidR="00423E51" w:rsidRDefault="00423E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4.6</w:t>
            </w:r>
          </w:p>
        </w:tc>
        <w:tc>
          <w:tcPr>
            <w:tcW w:w="1727" w:type="dxa"/>
            <w:gridSpan w:val="3"/>
            <w:tcBorders>
              <w:top w:val="dotted" w:sz="4" w:space="0" w:color="auto"/>
            </w:tcBorders>
            <w:shd w:val="clear" w:color="auto" w:fill="auto"/>
            <w:vAlign w:val="center"/>
          </w:tcPr>
          <w:p w14:paraId="322E4A8C" w14:textId="77777777" w:rsidR="00423E51" w:rsidRDefault="00423E51">
            <w:pPr>
              <w:spacing w:after="0" w:line="240" w:lineRule="auto"/>
              <w:jc w:val="center"/>
              <w:rPr>
                <w:rFonts w:ascii="Times New Roman" w:eastAsia="Times New Roman" w:hAnsi="Times New Roman" w:cs="Times New Roman"/>
                <w:sz w:val="20"/>
                <w:szCs w:val="20"/>
              </w:rPr>
            </w:pPr>
          </w:p>
          <w:p w14:paraId="7412A131" w14:textId="55FBA679" w:rsidR="00DC5194"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C5194" w14:paraId="39A978C1" w14:textId="77777777">
        <w:trPr>
          <w:trHeight w:val="320"/>
        </w:trPr>
        <w:tc>
          <w:tcPr>
            <w:tcW w:w="2342" w:type="dxa"/>
            <w:tcBorders>
              <w:right w:val="single" w:sz="4" w:space="0" w:color="000000"/>
            </w:tcBorders>
            <w:shd w:val="clear" w:color="auto" w:fill="auto"/>
            <w:vAlign w:val="center"/>
          </w:tcPr>
          <w:p w14:paraId="7601BB82" w14:textId="77777777" w:rsidR="00DC5194" w:rsidRDefault="00EE0AE9">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C. Watsonii</w:t>
            </w:r>
            <w:r>
              <w:rPr>
                <w:rFonts w:ascii="Times New Roman" w:eastAsia="Times New Roman" w:hAnsi="Times New Roman" w:cs="Times New Roman"/>
                <w:i/>
                <w:color w:val="000000"/>
                <w:sz w:val="20"/>
                <w:szCs w:val="20"/>
              </w:rPr>
              <w:t xml:space="preserve"> </w:t>
            </w:r>
          </w:p>
          <w:p w14:paraId="789A649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nifH</w:t>
            </w:r>
            <w:r>
              <w:rPr>
                <w:rFonts w:ascii="Times New Roman" w:eastAsia="Times New Roman" w:hAnsi="Times New Roman" w:cs="Times New Roman"/>
                <w:color w:val="000000"/>
                <w:sz w:val="20"/>
                <w:szCs w:val="20"/>
              </w:rPr>
              <w:t xml:space="preserve"> gene copies 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3B83609D" w14:textId="3B032896" w:rsidR="00423E51" w:rsidRDefault="00423E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6FF4BAE7" w14:textId="77777777" w:rsidR="00423E51" w:rsidRDefault="00423E51">
            <w:pPr>
              <w:spacing w:after="0" w:line="240" w:lineRule="auto"/>
              <w:jc w:val="center"/>
              <w:rPr>
                <w:rFonts w:ascii="Times New Roman" w:eastAsia="Times New Roman" w:hAnsi="Times New Roman" w:cs="Times New Roman"/>
                <w:sz w:val="20"/>
                <w:szCs w:val="20"/>
              </w:rPr>
            </w:pPr>
          </w:p>
          <w:p w14:paraId="513BCF36" w14:textId="7E892F9E" w:rsidR="00DC5194" w:rsidRDefault="00EE0AE9">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2.7 x 10</w:t>
            </w:r>
            <w:r>
              <w:rPr>
                <w:rFonts w:ascii="Times New Roman" w:eastAsia="Times New Roman" w:hAnsi="Times New Roman" w:cs="Times New Roman"/>
                <w:sz w:val="20"/>
                <w:szCs w:val="20"/>
                <w:vertAlign w:val="superscript"/>
              </w:rPr>
              <w:t>5</w:t>
            </w:r>
          </w:p>
          <w:p w14:paraId="3A1E4093" w14:textId="73FED9E4" w:rsidR="00423E51"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423E51">
              <w:rPr>
                <w:rFonts w:ascii="Times New Roman" w:eastAsia="Times New Roman" w:hAnsi="Times New Roman" w:cs="Times New Roman"/>
                <w:sz w:val="20"/>
                <w:szCs w:val="20"/>
              </w:rPr>
              <w:t>2</w:t>
            </w:r>
          </w:p>
        </w:tc>
        <w:tc>
          <w:tcPr>
            <w:tcW w:w="1120" w:type="dxa"/>
            <w:shd w:val="clear" w:color="auto" w:fill="auto"/>
            <w:vAlign w:val="center"/>
          </w:tcPr>
          <w:p w14:paraId="6F74868E" w14:textId="77777777" w:rsidR="00423E51" w:rsidRDefault="00423E51">
            <w:pPr>
              <w:spacing w:after="0" w:line="240" w:lineRule="auto"/>
              <w:jc w:val="center"/>
              <w:rPr>
                <w:rFonts w:ascii="Times New Roman" w:eastAsia="Times New Roman" w:hAnsi="Times New Roman" w:cs="Times New Roman"/>
                <w:color w:val="000000"/>
                <w:sz w:val="20"/>
                <w:szCs w:val="20"/>
              </w:rPr>
            </w:pPr>
          </w:p>
          <w:p w14:paraId="0C7AE769"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D02A5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r w:rsidR="00D02A5E">
              <w:rPr>
                <w:rFonts w:ascii="Times New Roman" w:eastAsia="Times New Roman" w:hAnsi="Times New Roman" w:cs="Times New Roman"/>
                <w:color w:val="000000"/>
                <w:sz w:val="20"/>
                <w:szCs w:val="20"/>
              </w:rPr>
              <w:t xml:space="preserve"> </w:t>
            </w:r>
            <w:r w:rsidR="00D02A5E">
              <w:rPr>
                <w:rFonts w:ascii="Times New Roman" w:eastAsia="Times New Roman" w:hAnsi="Times New Roman" w:cs="Times New Roman"/>
                <w:sz w:val="20"/>
                <w:szCs w:val="20"/>
              </w:rPr>
              <w:t>x 10</w:t>
            </w:r>
            <w:r w:rsidR="00D02A5E">
              <w:rPr>
                <w:rFonts w:ascii="Times New Roman" w:eastAsia="Times New Roman" w:hAnsi="Times New Roman" w:cs="Times New Roman"/>
                <w:sz w:val="20"/>
                <w:szCs w:val="20"/>
                <w:vertAlign w:val="superscript"/>
              </w:rPr>
              <w:t>5</w:t>
            </w:r>
            <w:r>
              <w:rPr>
                <w:rFonts w:ascii="Times New Roman" w:eastAsia="Times New Roman" w:hAnsi="Times New Roman" w:cs="Times New Roman"/>
                <w:color w:val="000000"/>
                <w:sz w:val="20"/>
                <w:szCs w:val="20"/>
              </w:rPr>
              <w:t>*</w:t>
            </w:r>
          </w:p>
          <w:p w14:paraId="35A02391" w14:textId="717ACDEF" w:rsidR="00423E51"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B64358">
              <w:rPr>
                <w:rFonts w:ascii="Times New Roman" w:eastAsia="Times New Roman" w:hAnsi="Times New Roman" w:cs="Times New Roman"/>
                <w:sz w:val="20"/>
                <w:szCs w:val="20"/>
              </w:rPr>
              <w:t>55</w:t>
            </w:r>
          </w:p>
        </w:tc>
        <w:tc>
          <w:tcPr>
            <w:tcW w:w="1748" w:type="dxa"/>
            <w:gridSpan w:val="3"/>
            <w:shd w:val="clear" w:color="auto" w:fill="auto"/>
            <w:vAlign w:val="center"/>
          </w:tcPr>
          <w:p w14:paraId="4900CD55" w14:textId="77777777" w:rsidR="00423E51" w:rsidRDefault="00423E51">
            <w:pPr>
              <w:spacing w:after="0" w:line="240" w:lineRule="auto"/>
              <w:jc w:val="center"/>
              <w:rPr>
                <w:rFonts w:ascii="Times New Roman" w:eastAsia="Times New Roman" w:hAnsi="Times New Roman" w:cs="Times New Roman"/>
                <w:sz w:val="20"/>
                <w:szCs w:val="20"/>
              </w:rPr>
            </w:pPr>
          </w:p>
          <w:p w14:paraId="1E91B669" w14:textId="77777777" w:rsidR="00DC5194" w:rsidRDefault="00EE0AE9">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4.0 x 10</w:t>
            </w:r>
            <w:r>
              <w:rPr>
                <w:rFonts w:ascii="Times New Roman" w:eastAsia="Times New Roman" w:hAnsi="Times New Roman" w:cs="Times New Roman"/>
                <w:sz w:val="20"/>
                <w:szCs w:val="20"/>
                <w:vertAlign w:val="superscript"/>
              </w:rPr>
              <w:t>6</w:t>
            </w:r>
          </w:p>
          <w:p w14:paraId="5B81352F" w14:textId="52FA573E" w:rsidR="00423E51" w:rsidRDefault="00B643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2.9</w:t>
            </w:r>
          </w:p>
        </w:tc>
        <w:tc>
          <w:tcPr>
            <w:tcW w:w="1727" w:type="dxa"/>
            <w:gridSpan w:val="3"/>
            <w:shd w:val="clear" w:color="auto" w:fill="auto"/>
            <w:vAlign w:val="center"/>
          </w:tcPr>
          <w:p w14:paraId="16B28A66" w14:textId="77777777" w:rsidR="00423E51" w:rsidRDefault="00423E51">
            <w:pPr>
              <w:spacing w:after="0" w:line="240" w:lineRule="auto"/>
              <w:jc w:val="center"/>
              <w:rPr>
                <w:rFonts w:ascii="Times New Roman" w:eastAsia="Times New Roman" w:hAnsi="Times New Roman" w:cs="Times New Roman"/>
                <w:sz w:val="20"/>
                <w:szCs w:val="20"/>
              </w:rPr>
            </w:pPr>
          </w:p>
          <w:p w14:paraId="0D877E1B" w14:textId="21FD8A62" w:rsidR="00DC5194" w:rsidRDefault="00EE0AE9">
            <w:pPr>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6.6 x 10</w:t>
            </w:r>
            <w:r>
              <w:rPr>
                <w:rFonts w:ascii="Times New Roman" w:eastAsia="Times New Roman" w:hAnsi="Times New Roman" w:cs="Times New Roman"/>
                <w:sz w:val="20"/>
                <w:szCs w:val="20"/>
                <w:vertAlign w:val="superscript"/>
              </w:rPr>
              <w:t>4</w:t>
            </w:r>
          </w:p>
          <w:p w14:paraId="06E23F2B" w14:textId="25614215" w:rsidR="00423E51" w:rsidRDefault="008558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727" w:type="dxa"/>
            <w:gridSpan w:val="3"/>
            <w:shd w:val="clear" w:color="auto" w:fill="auto"/>
            <w:vAlign w:val="center"/>
          </w:tcPr>
          <w:p w14:paraId="61F1AB0C" w14:textId="77777777" w:rsidR="00A127B7" w:rsidRDefault="00A127B7">
            <w:pPr>
              <w:spacing w:after="0" w:line="240" w:lineRule="auto"/>
              <w:jc w:val="center"/>
              <w:rPr>
                <w:rFonts w:ascii="Times New Roman" w:eastAsia="Times New Roman" w:hAnsi="Times New Roman" w:cs="Times New Roman"/>
                <w:sz w:val="20"/>
                <w:szCs w:val="20"/>
              </w:rPr>
            </w:pPr>
          </w:p>
          <w:p w14:paraId="06140428"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sidR="00D02A5E">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00D02A5E">
              <w:rPr>
                <w:rFonts w:ascii="Times New Roman" w:eastAsia="Times New Roman" w:hAnsi="Times New Roman" w:cs="Times New Roman"/>
                <w:sz w:val="20"/>
                <w:szCs w:val="20"/>
              </w:rPr>
              <w:t xml:space="preserve"> x 10</w:t>
            </w:r>
            <w:r w:rsidR="00D02A5E">
              <w:rPr>
                <w:rFonts w:ascii="Times New Roman" w:eastAsia="Times New Roman" w:hAnsi="Times New Roman" w:cs="Times New Roman"/>
                <w:sz w:val="20"/>
                <w:szCs w:val="20"/>
                <w:vertAlign w:val="superscript"/>
              </w:rPr>
              <w:t>4</w:t>
            </w:r>
            <w:r>
              <w:rPr>
                <w:rFonts w:ascii="Times New Roman" w:eastAsia="Times New Roman" w:hAnsi="Times New Roman" w:cs="Times New Roman"/>
                <w:color w:val="000000"/>
                <w:sz w:val="20"/>
                <w:szCs w:val="20"/>
              </w:rPr>
              <w:t>*</w:t>
            </w:r>
          </w:p>
          <w:p w14:paraId="309E0819" w14:textId="3A5BF4CB" w:rsidR="00A127B7" w:rsidRDefault="008558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r>
      <w:tr w:rsidR="00DC5194" w14:paraId="3CEA20E2" w14:textId="77777777">
        <w:trPr>
          <w:trHeight w:val="320"/>
        </w:trPr>
        <w:tc>
          <w:tcPr>
            <w:tcW w:w="2342" w:type="dxa"/>
            <w:tcBorders>
              <w:right w:val="single" w:sz="4" w:space="0" w:color="000000"/>
            </w:tcBorders>
            <w:shd w:val="clear" w:color="auto" w:fill="auto"/>
            <w:vAlign w:val="center"/>
          </w:tcPr>
          <w:p w14:paraId="358A5D81" w14:textId="77777777" w:rsidR="00DC5194" w:rsidRDefault="00EE0AE9">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Synechococcus</w:t>
            </w:r>
            <w:r>
              <w:rPr>
                <w:rFonts w:ascii="Times New Roman" w:eastAsia="Times New Roman" w:hAnsi="Times New Roman" w:cs="Times New Roman"/>
                <w:i/>
                <w:color w:val="000000"/>
                <w:sz w:val="20"/>
                <w:szCs w:val="20"/>
              </w:rPr>
              <w:t xml:space="preserve"> </w:t>
            </w:r>
          </w:p>
          <w:p w14:paraId="288F4FD2"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cell</w:t>
            </w:r>
            <w:proofErr w:type="gramEnd"/>
            <w:r>
              <w:rPr>
                <w:rFonts w:ascii="Times New Roman" w:eastAsia="Times New Roman" w:hAnsi="Times New Roman" w:cs="Times New Roman"/>
                <w:color w:val="000000"/>
                <w:sz w:val="20"/>
                <w:szCs w:val="20"/>
              </w:rPr>
              <w:t xml:space="preserve"> mL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1831EC17" w14:textId="0338C5DB" w:rsidR="00423E51" w:rsidRDefault="00423E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62F9CE7E"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33F578E4" w14:textId="6887F1AA"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946</w:t>
            </w:r>
          </w:p>
          <w:p w14:paraId="4E3AFA1C" w14:textId="265C25B2"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A127B7">
              <w:rPr>
                <w:rFonts w:ascii="Times New Roman" w:eastAsia="Times New Roman" w:hAnsi="Times New Roman" w:cs="Times New Roman"/>
                <w:sz w:val="20"/>
                <w:szCs w:val="20"/>
              </w:rPr>
              <w:t>21</w:t>
            </w:r>
          </w:p>
        </w:tc>
        <w:tc>
          <w:tcPr>
            <w:tcW w:w="1120" w:type="dxa"/>
            <w:shd w:val="clear" w:color="auto" w:fill="auto"/>
            <w:vAlign w:val="center"/>
          </w:tcPr>
          <w:p w14:paraId="751776DB"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0185508D" w14:textId="424EFCB2"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417</w:t>
            </w:r>
          </w:p>
          <w:p w14:paraId="4799D026" w14:textId="445B5EF8"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A127B7">
              <w:rPr>
                <w:rFonts w:ascii="Times New Roman" w:eastAsia="Times New Roman" w:hAnsi="Times New Roman" w:cs="Times New Roman"/>
                <w:sz w:val="20"/>
                <w:szCs w:val="20"/>
              </w:rPr>
              <w:t>9</w:t>
            </w:r>
          </w:p>
        </w:tc>
        <w:tc>
          <w:tcPr>
            <w:tcW w:w="1748" w:type="dxa"/>
            <w:gridSpan w:val="3"/>
            <w:shd w:val="clear" w:color="auto" w:fill="auto"/>
            <w:vAlign w:val="center"/>
          </w:tcPr>
          <w:p w14:paraId="4BB00B0C"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47275569" w14:textId="6B410EC1"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181</w:t>
            </w:r>
          </w:p>
          <w:p w14:paraId="72D322AF" w14:textId="0B833CFC"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A127B7">
              <w:rPr>
                <w:rFonts w:ascii="Times New Roman" w:eastAsia="Times New Roman" w:hAnsi="Times New Roman" w:cs="Times New Roman"/>
                <w:sz w:val="20"/>
                <w:szCs w:val="20"/>
              </w:rPr>
              <w:t>17</w:t>
            </w:r>
          </w:p>
        </w:tc>
        <w:tc>
          <w:tcPr>
            <w:tcW w:w="1727" w:type="dxa"/>
            <w:gridSpan w:val="3"/>
            <w:shd w:val="clear" w:color="auto" w:fill="auto"/>
            <w:vAlign w:val="center"/>
          </w:tcPr>
          <w:p w14:paraId="2F48BE2B"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061EAA2B" w14:textId="39DFF701"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165</w:t>
            </w:r>
          </w:p>
          <w:p w14:paraId="28E68E75" w14:textId="6FC3A82E"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A127B7">
              <w:rPr>
                <w:rFonts w:ascii="Times New Roman" w:eastAsia="Times New Roman" w:hAnsi="Times New Roman" w:cs="Times New Roman"/>
                <w:sz w:val="20"/>
                <w:szCs w:val="20"/>
              </w:rPr>
              <w:t>7</w:t>
            </w:r>
          </w:p>
        </w:tc>
        <w:tc>
          <w:tcPr>
            <w:tcW w:w="1727" w:type="dxa"/>
            <w:gridSpan w:val="3"/>
            <w:shd w:val="clear" w:color="auto" w:fill="auto"/>
            <w:vAlign w:val="center"/>
          </w:tcPr>
          <w:p w14:paraId="5F6EC482"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12CA5CB8" w14:textId="6013A2A0"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502</w:t>
            </w:r>
          </w:p>
          <w:p w14:paraId="2FF3F426" w14:textId="18B28C06"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A127B7">
              <w:rPr>
                <w:rFonts w:ascii="Times New Roman" w:eastAsia="Times New Roman" w:hAnsi="Times New Roman" w:cs="Times New Roman"/>
                <w:sz w:val="20"/>
                <w:szCs w:val="20"/>
              </w:rPr>
              <w:t>5</w:t>
            </w:r>
          </w:p>
        </w:tc>
      </w:tr>
      <w:tr w:rsidR="00DC5194" w14:paraId="0BDCA930" w14:textId="77777777">
        <w:trPr>
          <w:trHeight w:val="475"/>
        </w:trPr>
        <w:tc>
          <w:tcPr>
            <w:tcW w:w="2342" w:type="dxa"/>
            <w:tcBorders>
              <w:right w:val="single" w:sz="4" w:space="0" w:color="000000"/>
            </w:tcBorders>
            <w:shd w:val="clear" w:color="auto" w:fill="auto"/>
            <w:vAlign w:val="center"/>
          </w:tcPr>
          <w:p w14:paraId="4EF338F0"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Prochlorococcus</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br/>
              <w:t>(cell mL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7CFC5816" w14:textId="340B2159" w:rsidR="00423E51" w:rsidRDefault="00423E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5316687B"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482A0C1A" w14:textId="22BC862F"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378</w:t>
            </w:r>
          </w:p>
          <w:p w14:paraId="77CC49F6" w14:textId="0A8C9352"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A127B7">
              <w:rPr>
                <w:rFonts w:ascii="Times New Roman" w:eastAsia="Times New Roman" w:hAnsi="Times New Roman" w:cs="Times New Roman"/>
                <w:sz w:val="20"/>
                <w:szCs w:val="20"/>
              </w:rPr>
              <w:t>13</w:t>
            </w:r>
          </w:p>
        </w:tc>
        <w:tc>
          <w:tcPr>
            <w:tcW w:w="1120" w:type="dxa"/>
            <w:shd w:val="clear" w:color="auto" w:fill="auto"/>
            <w:vAlign w:val="center"/>
          </w:tcPr>
          <w:p w14:paraId="5E3B388F"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140A9555" w14:textId="357479AA"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524</w:t>
            </w:r>
          </w:p>
          <w:p w14:paraId="733E59E0" w14:textId="3FE1E6A6"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6979FD">
              <w:rPr>
                <w:rFonts w:ascii="Times New Roman" w:eastAsia="Times New Roman" w:hAnsi="Times New Roman" w:cs="Times New Roman"/>
                <w:sz w:val="20"/>
                <w:szCs w:val="20"/>
              </w:rPr>
              <w:t>5</w:t>
            </w:r>
          </w:p>
        </w:tc>
        <w:tc>
          <w:tcPr>
            <w:tcW w:w="1748" w:type="dxa"/>
            <w:gridSpan w:val="3"/>
            <w:shd w:val="clear" w:color="auto" w:fill="auto"/>
            <w:vAlign w:val="center"/>
          </w:tcPr>
          <w:p w14:paraId="38D9557A"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73BAC589" w14:textId="506C3843"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100</w:t>
            </w:r>
          </w:p>
          <w:p w14:paraId="3A0ADBCA" w14:textId="28E776D9"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16</w:t>
            </w:r>
          </w:p>
        </w:tc>
        <w:tc>
          <w:tcPr>
            <w:tcW w:w="1727" w:type="dxa"/>
            <w:gridSpan w:val="3"/>
            <w:shd w:val="clear" w:color="auto" w:fill="auto"/>
            <w:vAlign w:val="center"/>
          </w:tcPr>
          <w:p w14:paraId="4BEC17F1"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3356A04F" w14:textId="62B74372" w:rsidR="00A127B7"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699</w:t>
            </w:r>
          </w:p>
          <w:p w14:paraId="4D9EA023" w14:textId="48718566" w:rsidR="00DC5194"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A127B7">
              <w:rPr>
                <w:rFonts w:ascii="Times New Roman" w:eastAsia="Times New Roman" w:hAnsi="Times New Roman" w:cs="Times New Roman"/>
                <w:sz w:val="20"/>
                <w:szCs w:val="20"/>
              </w:rPr>
              <w:t>8</w:t>
            </w:r>
          </w:p>
        </w:tc>
        <w:tc>
          <w:tcPr>
            <w:tcW w:w="1727" w:type="dxa"/>
            <w:gridSpan w:val="3"/>
            <w:shd w:val="clear" w:color="auto" w:fill="auto"/>
            <w:vAlign w:val="center"/>
          </w:tcPr>
          <w:p w14:paraId="156B923A"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1BB11C16" w14:textId="2BA355D7" w:rsidR="00DC5194" w:rsidRDefault="00EE0AE9" w:rsidP="00A127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127B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610</w:t>
            </w:r>
          </w:p>
          <w:p w14:paraId="59722AB1" w14:textId="45722AC2" w:rsidR="00A127B7" w:rsidRDefault="00855892" w:rsidP="00A127B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6979FD">
              <w:rPr>
                <w:rFonts w:ascii="Times New Roman" w:eastAsia="Times New Roman" w:hAnsi="Times New Roman" w:cs="Times New Roman"/>
                <w:sz w:val="20"/>
                <w:szCs w:val="20"/>
              </w:rPr>
              <w:t>2</w:t>
            </w:r>
          </w:p>
        </w:tc>
      </w:tr>
      <w:tr w:rsidR="00DC5194" w14:paraId="3D1A7F06" w14:textId="77777777">
        <w:trPr>
          <w:trHeight w:val="270"/>
        </w:trPr>
        <w:tc>
          <w:tcPr>
            <w:tcW w:w="2342" w:type="dxa"/>
            <w:tcBorders>
              <w:right w:val="single" w:sz="4" w:space="0" w:color="000000"/>
            </w:tcBorders>
            <w:shd w:val="clear" w:color="auto" w:fill="auto"/>
            <w:vAlign w:val="center"/>
          </w:tcPr>
          <w:p w14:paraId="7723021C"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Pico eukaryotes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(cell mL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2B534498" w14:textId="2A0B356B" w:rsidR="00423E51" w:rsidRDefault="00423E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080C398B"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07E54594" w14:textId="69CD6799"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p w14:paraId="347B50DD" w14:textId="64056CE7"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0.08</w:t>
            </w:r>
            <w:r w:rsidR="00A127B7">
              <w:rPr>
                <w:rFonts w:ascii="Times New Roman" w:eastAsia="Times New Roman" w:hAnsi="Times New Roman" w:cs="Times New Roman"/>
                <w:sz w:val="20"/>
                <w:szCs w:val="20"/>
              </w:rPr>
              <w:t xml:space="preserve"> </w:t>
            </w:r>
          </w:p>
        </w:tc>
        <w:tc>
          <w:tcPr>
            <w:tcW w:w="1120" w:type="dxa"/>
            <w:shd w:val="clear" w:color="auto" w:fill="auto"/>
            <w:vAlign w:val="center"/>
          </w:tcPr>
          <w:p w14:paraId="4F572B48"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6E46E123"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498</w:t>
            </w:r>
          </w:p>
          <w:p w14:paraId="79D9F95C" w14:textId="4647E01B"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11</w:t>
            </w:r>
          </w:p>
        </w:tc>
        <w:tc>
          <w:tcPr>
            <w:tcW w:w="1748" w:type="dxa"/>
            <w:gridSpan w:val="3"/>
            <w:shd w:val="clear" w:color="auto" w:fill="auto"/>
            <w:vAlign w:val="center"/>
          </w:tcPr>
          <w:p w14:paraId="33C2D8ED"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6DAE84CA"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w:t>
            </w:r>
          </w:p>
          <w:p w14:paraId="3A403EC6" w14:textId="1ED17E08"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6979FD">
              <w:rPr>
                <w:rFonts w:ascii="Times New Roman" w:eastAsia="Times New Roman" w:hAnsi="Times New Roman" w:cs="Times New Roman"/>
                <w:sz w:val="20"/>
                <w:szCs w:val="20"/>
              </w:rPr>
              <w:t>5</w:t>
            </w:r>
          </w:p>
        </w:tc>
        <w:tc>
          <w:tcPr>
            <w:tcW w:w="1727" w:type="dxa"/>
            <w:gridSpan w:val="3"/>
            <w:shd w:val="clear" w:color="auto" w:fill="auto"/>
            <w:vAlign w:val="center"/>
          </w:tcPr>
          <w:p w14:paraId="51E5E3A3"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66FFC54D"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282</w:t>
            </w:r>
          </w:p>
          <w:p w14:paraId="4DB5119D" w14:textId="2A2F8948"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A127B7">
              <w:rPr>
                <w:rFonts w:ascii="Times New Roman" w:eastAsia="Times New Roman" w:hAnsi="Times New Roman" w:cs="Times New Roman"/>
                <w:sz w:val="20"/>
                <w:szCs w:val="20"/>
              </w:rPr>
              <w:t>6</w:t>
            </w:r>
          </w:p>
        </w:tc>
        <w:tc>
          <w:tcPr>
            <w:tcW w:w="1727" w:type="dxa"/>
            <w:gridSpan w:val="3"/>
            <w:shd w:val="clear" w:color="auto" w:fill="auto"/>
            <w:vAlign w:val="center"/>
          </w:tcPr>
          <w:p w14:paraId="4CCB0377" w14:textId="77777777" w:rsidR="00A127B7" w:rsidRDefault="00A127B7">
            <w:pPr>
              <w:spacing w:after="0" w:line="240" w:lineRule="auto"/>
              <w:jc w:val="center"/>
              <w:rPr>
                <w:rFonts w:ascii="Times New Roman" w:eastAsia="Times New Roman" w:hAnsi="Times New Roman" w:cs="Times New Roman"/>
                <w:color w:val="000000"/>
                <w:sz w:val="20"/>
                <w:szCs w:val="20"/>
              </w:rPr>
            </w:pPr>
          </w:p>
          <w:p w14:paraId="55D57535"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422</w:t>
            </w:r>
          </w:p>
          <w:p w14:paraId="36718C27" w14:textId="617A7CD8" w:rsidR="00A127B7"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r w:rsidR="006979FD">
              <w:rPr>
                <w:rFonts w:ascii="Times New Roman" w:eastAsia="Times New Roman" w:hAnsi="Times New Roman" w:cs="Times New Roman"/>
                <w:sz w:val="20"/>
                <w:szCs w:val="20"/>
              </w:rPr>
              <w:t>9</w:t>
            </w:r>
          </w:p>
        </w:tc>
      </w:tr>
      <w:tr w:rsidR="00DC5194" w14:paraId="3DB718B1" w14:textId="77777777">
        <w:trPr>
          <w:trHeight w:val="320"/>
        </w:trPr>
        <w:tc>
          <w:tcPr>
            <w:tcW w:w="2342" w:type="dxa"/>
            <w:tcBorders>
              <w:right w:val="single" w:sz="4" w:space="0" w:color="000000"/>
            </w:tcBorders>
            <w:shd w:val="clear" w:color="auto" w:fill="auto"/>
            <w:vAlign w:val="center"/>
          </w:tcPr>
          <w:p w14:paraId="379D93E3" w14:textId="77777777" w:rsidR="00423E51" w:rsidRDefault="00EE0A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HNA</w:t>
            </w:r>
            <w:r>
              <w:rPr>
                <w:rFonts w:ascii="Times New Roman" w:eastAsia="Times New Roman" w:hAnsi="Times New Roman" w:cs="Times New Roman"/>
                <w:color w:val="000000"/>
                <w:sz w:val="20"/>
                <w:szCs w:val="20"/>
              </w:rPr>
              <w:t xml:space="preserve">  (cell mL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r w:rsidR="00423E51">
              <w:rPr>
                <w:rFonts w:ascii="Times New Roman" w:eastAsia="Times New Roman" w:hAnsi="Times New Roman" w:cs="Times New Roman"/>
                <w:sz w:val="20"/>
                <w:szCs w:val="20"/>
              </w:rPr>
              <w:t xml:space="preserve"> </w:t>
            </w:r>
          </w:p>
          <w:p w14:paraId="3C87CE44" w14:textId="0B0D0B70" w:rsidR="00DC5194" w:rsidRDefault="00423E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24122214"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7331C593" w14:textId="78BA7BC9"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558</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821</w:t>
            </w:r>
          </w:p>
          <w:p w14:paraId="4100CC50" w14:textId="5C766C60"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58</w:t>
            </w:r>
          </w:p>
        </w:tc>
        <w:tc>
          <w:tcPr>
            <w:tcW w:w="1120" w:type="dxa"/>
            <w:shd w:val="clear" w:color="auto" w:fill="auto"/>
            <w:vAlign w:val="center"/>
          </w:tcPr>
          <w:p w14:paraId="5C2B227A"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63E9448B" w14:textId="252BB6C5"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773</w:t>
            </w:r>
          </w:p>
          <w:p w14:paraId="56AAE916" w14:textId="12E5A040"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53</w:t>
            </w:r>
          </w:p>
        </w:tc>
        <w:tc>
          <w:tcPr>
            <w:tcW w:w="1748" w:type="dxa"/>
            <w:gridSpan w:val="3"/>
            <w:shd w:val="clear" w:color="auto" w:fill="auto"/>
            <w:vAlign w:val="center"/>
          </w:tcPr>
          <w:p w14:paraId="1F32974C"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74C57B19" w14:textId="190F7B03"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332</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306</w:t>
            </w:r>
          </w:p>
          <w:p w14:paraId="75BCCA87" w14:textId="75030990"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34</w:t>
            </w:r>
          </w:p>
        </w:tc>
        <w:tc>
          <w:tcPr>
            <w:tcW w:w="1727" w:type="dxa"/>
            <w:gridSpan w:val="3"/>
            <w:shd w:val="clear" w:color="auto" w:fill="auto"/>
            <w:vAlign w:val="center"/>
          </w:tcPr>
          <w:p w14:paraId="5C5407CE"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2989C648" w14:textId="01EED498"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417</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954</w:t>
            </w:r>
          </w:p>
          <w:p w14:paraId="66B29F91" w14:textId="1751F832"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4</w:t>
            </w:r>
            <w:r>
              <w:rPr>
                <w:rFonts w:ascii="Times New Roman" w:eastAsia="Times New Roman" w:hAnsi="Times New Roman" w:cs="Times New Roman"/>
                <w:sz w:val="20"/>
                <w:szCs w:val="20"/>
              </w:rPr>
              <w:t>3</w:t>
            </w:r>
          </w:p>
        </w:tc>
        <w:tc>
          <w:tcPr>
            <w:tcW w:w="1727" w:type="dxa"/>
            <w:gridSpan w:val="3"/>
            <w:shd w:val="clear" w:color="auto" w:fill="auto"/>
            <w:vAlign w:val="center"/>
          </w:tcPr>
          <w:p w14:paraId="7AD98989"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741D7470" w14:textId="425E8F0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522</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056</w:t>
            </w:r>
          </w:p>
          <w:p w14:paraId="6DA067B2" w14:textId="0E209191"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54</w:t>
            </w:r>
          </w:p>
        </w:tc>
      </w:tr>
      <w:tr w:rsidR="00DC5194" w14:paraId="17289315" w14:textId="77777777">
        <w:trPr>
          <w:trHeight w:val="320"/>
        </w:trPr>
        <w:tc>
          <w:tcPr>
            <w:tcW w:w="2342" w:type="dxa"/>
            <w:tcBorders>
              <w:right w:val="single" w:sz="4" w:space="0" w:color="000000"/>
            </w:tcBorders>
            <w:shd w:val="clear" w:color="auto" w:fill="auto"/>
            <w:vAlign w:val="center"/>
          </w:tcPr>
          <w:p w14:paraId="62C999BB" w14:textId="77777777"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LNA</w:t>
            </w:r>
            <w:r>
              <w:rPr>
                <w:rFonts w:ascii="Times New Roman" w:eastAsia="Times New Roman" w:hAnsi="Times New Roman" w:cs="Times New Roman"/>
                <w:color w:val="000000"/>
                <w:sz w:val="20"/>
                <w:szCs w:val="20"/>
              </w:rPr>
              <w:t xml:space="preserve">  (cell mL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343B100C" w14:textId="21D5A009" w:rsidR="00423E51" w:rsidRDefault="006979FD">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w:t>
            </w:r>
            <w:r w:rsidR="00855892">
              <w:rPr>
                <w:rFonts w:ascii="Times New Roman" w:eastAsia="Times New Roman" w:hAnsi="Times New Roman" w:cs="Times New Roman"/>
                <w:sz w:val="20"/>
                <w:szCs w:val="20"/>
              </w:rPr>
              <w:t>µ</w:t>
            </w:r>
            <w:r>
              <w:rPr>
                <w:rFonts w:ascii="Times New Roman" w:eastAsia="Times New Roman" w:hAnsi="Times New Roman" w:cs="Times New Roman"/>
                <w:iCs/>
                <w:sz w:val="20"/>
                <w:szCs w:val="20"/>
              </w:rPr>
              <w:t>mol C L</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676" w:type="dxa"/>
            <w:gridSpan w:val="3"/>
            <w:tcBorders>
              <w:left w:val="single" w:sz="4" w:space="0" w:color="000000"/>
            </w:tcBorders>
            <w:shd w:val="clear" w:color="auto" w:fill="auto"/>
            <w:vAlign w:val="center"/>
          </w:tcPr>
          <w:p w14:paraId="5A31E914"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2DA188B2" w14:textId="40A1E825" w:rsidR="00DC5194" w:rsidRDefault="00EE0AE9" w:rsidP="006979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642</w:t>
            </w:r>
          </w:p>
          <w:p w14:paraId="58E37CB7" w14:textId="182C695D" w:rsidR="006979FD" w:rsidRDefault="00855892" w:rsidP="006979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39</w:t>
            </w:r>
          </w:p>
        </w:tc>
        <w:tc>
          <w:tcPr>
            <w:tcW w:w="1120" w:type="dxa"/>
            <w:shd w:val="clear" w:color="auto" w:fill="auto"/>
            <w:vAlign w:val="center"/>
          </w:tcPr>
          <w:p w14:paraId="06EA2631"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5E379FC6" w14:textId="1E53B3CD"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513</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081</w:t>
            </w:r>
          </w:p>
          <w:p w14:paraId="2A3468F3" w14:textId="1953055D"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92</w:t>
            </w:r>
          </w:p>
        </w:tc>
        <w:tc>
          <w:tcPr>
            <w:tcW w:w="1748" w:type="dxa"/>
            <w:gridSpan w:val="3"/>
            <w:shd w:val="clear" w:color="auto" w:fill="auto"/>
            <w:vAlign w:val="center"/>
          </w:tcPr>
          <w:p w14:paraId="572BF2D2"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29CE9603" w14:textId="0C258995"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560</w:t>
            </w:r>
          </w:p>
          <w:p w14:paraId="37AAFE68" w14:textId="6C443C22"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31</w:t>
            </w:r>
          </w:p>
        </w:tc>
        <w:tc>
          <w:tcPr>
            <w:tcW w:w="1727" w:type="dxa"/>
            <w:gridSpan w:val="3"/>
            <w:shd w:val="clear" w:color="auto" w:fill="auto"/>
            <w:vAlign w:val="center"/>
          </w:tcPr>
          <w:p w14:paraId="6F898E4A"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01F14559" w14:textId="171BBEE5"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091</w:t>
            </w:r>
          </w:p>
          <w:p w14:paraId="35EEA43D" w14:textId="3D0CE904"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30</w:t>
            </w:r>
          </w:p>
        </w:tc>
        <w:tc>
          <w:tcPr>
            <w:tcW w:w="1727" w:type="dxa"/>
            <w:gridSpan w:val="3"/>
            <w:shd w:val="clear" w:color="auto" w:fill="auto"/>
            <w:vAlign w:val="center"/>
          </w:tcPr>
          <w:p w14:paraId="23F32939" w14:textId="77777777" w:rsidR="006979FD" w:rsidRDefault="006979FD">
            <w:pPr>
              <w:spacing w:after="0" w:line="240" w:lineRule="auto"/>
              <w:jc w:val="center"/>
              <w:rPr>
                <w:rFonts w:ascii="Times New Roman" w:eastAsia="Times New Roman" w:hAnsi="Times New Roman" w:cs="Times New Roman"/>
                <w:color w:val="000000"/>
                <w:sz w:val="20"/>
                <w:szCs w:val="20"/>
              </w:rPr>
            </w:pPr>
          </w:p>
          <w:p w14:paraId="5F2B17E3" w14:textId="1E771FA6" w:rsidR="00DC5194" w:rsidRDefault="00EE0A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466</w:t>
            </w:r>
            <w:r w:rsidR="006979F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071</w:t>
            </w:r>
          </w:p>
          <w:p w14:paraId="1F1F8471" w14:textId="73613BEF" w:rsidR="006979FD" w:rsidRDefault="00855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r w:rsidR="006979FD">
              <w:rPr>
                <w:rFonts w:ascii="Times New Roman" w:eastAsia="Times New Roman" w:hAnsi="Times New Roman" w:cs="Times New Roman"/>
                <w:sz w:val="20"/>
                <w:szCs w:val="20"/>
              </w:rPr>
              <w:t>48</w:t>
            </w:r>
          </w:p>
        </w:tc>
      </w:tr>
      <w:tr w:rsidR="00DC5194" w14:paraId="4D203AE9" w14:textId="77777777">
        <w:trPr>
          <w:trHeight w:val="320"/>
        </w:trPr>
        <w:tc>
          <w:tcPr>
            <w:tcW w:w="10340" w:type="dxa"/>
            <w:gridSpan w:val="14"/>
            <w:shd w:val="clear" w:color="auto" w:fill="auto"/>
            <w:vAlign w:val="center"/>
          </w:tcPr>
          <w:p w14:paraId="0A9F50AB" w14:textId="11F09108" w:rsidR="00DC5194" w:rsidRDefault="00EE0AE9">
            <w:pPr>
              <w:keepNext/>
              <w:pBdr>
                <w:top w:val="nil"/>
                <w:left w:val="nil"/>
                <w:bottom w:val="nil"/>
                <w:right w:val="nil"/>
                <w:between w:val="nil"/>
              </w:pBdr>
              <w:spacing w:after="20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*Abundance measured by flow cytometry (in cell 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p w14:paraId="1CE660E7" w14:textId="77777777" w:rsidR="00DC5194" w:rsidRDefault="00DC5194">
            <w:pPr>
              <w:spacing w:after="0" w:line="240" w:lineRule="auto"/>
              <w:jc w:val="center"/>
              <w:rPr>
                <w:rFonts w:ascii="Times New Roman" w:eastAsia="Times New Roman" w:hAnsi="Times New Roman" w:cs="Times New Roman"/>
                <w:sz w:val="20"/>
                <w:szCs w:val="20"/>
              </w:rPr>
            </w:pPr>
          </w:p>
        </w:tc>
      </w:tr>
    </w:tbl>
    <w:p w14:paraId="2745F03E" w14:textId="77777777" w:rsidR="00F47091" w:rsidRDefault="00F47091"/>
    <w:p w14:paraId="40024EB6" w14:textId="77777777" w:rsidR="00F47091" w:rsidRDefault="00F47091">
      <w:r>
        <w:br w:type="page"/>
      </w:r>
    </w:p>
    <w:p w14:paraId="33927FC6" w14:textId="727E0BFD" w:rsidR="00F47091" w:rsidRDefault="00F47091" w:rsidP="00F47091">
      <w:pPr>
        <w:spacing w:after="0"/>
        <w:rPr>
          <w:rFonts w:ascii="Times New Roman" w:eastAsia="Times New Roman" w:hAnsi="Times New Roman" w:cs="Times New Roman"/>
          <w:sz w:val="24"/>
          <w:szCs w:val="24"/>
        </w:rPr>
      </w:pPr>
      <w:r w:rsidRPr="003C080B">
        <w:rPr>
          <w:rFonts w:ascii="Times New Roman" w:eastAsia="Times New Roman" w:hAnsi="Times New Roman" w:cs="Times New Roman"/>
          <w:b/>
          <w:bCs/>
          <w:sz w:val="24"/>
          <w:szCs w:val="24"/>
        </w:rPr>
        <w:lastRenderedPageBreak/>
        <w:t>Table S</w:t>
      </w:r>
      <w:r>
        <w:rPr>
          <w:rFonts w:ascii="Times New Roman" w:eastAsia="Times New Roman" w:hAnsi="Times New Roman" w:cs="Times New Roman"/>
          <w:b/>
          <w:bCs/>
          <w:sz w:val="24"/>
          <w:szCs w:val="24"/>
        </w:rPr>
        <w:t>2</w:t>
      </w:r>
      <w:r w:rsidRPr="003C080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Detailed data of the SF-Experiment: DPM (in triplicates) measured for each size fraction and blanks, </w:t>
      </w:r>
      <w:r w:rsidRPr="003C080B">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 xml:space="preserve">Fe added, </w:t>
      </w:r>
      <w:r w:rsidRPr="00157AE6">
        <w:rPr>
          <w:rFonts w:ascii="Times New Roman" w:eastAsia="Times New Roman" w:hAnsi="Times New Roman" w:cs="Times New Roman"/>
          <w:i/>
          <w:iCs/>
          <w:sz w:val="24"/>
          <w:szCs w:val="24"/>
        </w:rPr>
        <w:t>in situ</w:t>
      </w:r>
      <w:r>
        <w:rPr>
          <w:rFonts w:ascii="Times New Roman" w:eastAsia="Times New Roman" w:hAnsi="Times New Roman" w:cs="Times New Roman"/>
          <w:sz w:val="24"/>
          <w:szCs w:val="24"/>
        </w:rPr>
        <w:t xml:space="preserve"> dFe concentrations and Fe uptake rates calculated using Equations S1.</w:t>
      </w:r>
    </w:p>
    <w:tbl>
      <w:tblPr>
        <w:tblW w:w="7560" w:type="dxa"/>
        <w:tblCellMar>
          <w:left w:w="70" w:type="dxa"/>
          <w:right w:w="70" w:type="dxa"/>
        </w:tblCellMar>
        <w:tblLook w:val="04A0" w:firstRow="1" w:lastRow="0" w:firstColumn="1" w:lastColumn="0" w:noHBand="0" w:noVBand="1"/>
      </w:tblPr>
      <w:tblGrid>
        <w:gridCol w:w="1134"/>
        <w:gridCol w:w="1140"/>
        <w:gridCol w:w="659"/>
        <w:gridCol w:w="1178"/>
        <w:gridCol w:w="976"/>
        <w:gridCol w:w="1037"/>
        <w:gridCol w:w="1436"/>
      </w:tblGrid>
      <w:tr w:rsidR="00F47091" w:rsidRPr="003C080B" w14:paraId="426C0795" w14:textId="77777777" w:rsidTr="00F47091">
        <w:trPr>
          <w:trHeight w:val="379"/>
        </w:trPr>
        <w:tc>
          <w:tcPr>
            <w:tcW w:w="1134" w:type="dxa"/>
            <w:tcBorders>
              <w:top w:val="nil"/>
              <w:left w:val="nil"/>
              <w:bottom w:val="nil"/>
              <w:right w:val="nil"/>
            </w:tcBorders>
            <w:shd w:val="clear" w:color="auto" w:fill="auto"/>
            <w:noWrap/>
            <w:vAlign w:val="center"/>
            <w:hideMark/>
          </w:tcPr>
          <w:p w14:paraId="163C98BD" w14:textId="77777777" w:rsidR="00F47091" w:rsidRPr="003C080B" w:rsidRDefault="00F47091" w:rsidP="008B132E">
            <w:pPr>
              <w:spacing w:after="0" w:line="240" w:lineRule="auto"/>
              <w:jc w:val="center"/>
              <w:rPr>
                <w:rFonts w:eastAsia="Times New Roman"/>
                <w:b/>
                <w:bCs/>
                <w:color w:val="000000"/>
                <w:sz w:val="16"/>
                <w:szCs w:val="16"/>
                <w:lang w:val="fr-FR"/>
              </w:rPr>
            </w:pPr>
            <w:r w:rsidRPr="003C080B">
              <w:rPr>
                <w:rFonts w:eastAsia="Times New Roman"/>
                <w:b/>
                <w:bCs/>
                <w:color w:val="000000"/>
                <w:sz w:val="16"/>
                <w:szCs w:val="16"/>
                <w:lang w:val="fr-FR"/>
              </w:rPr>
              <w:t>Stations</w:t>
            </w:r>
          </w:p>
        </w:tc>
        <w:tc>
          <w:tcPr>
            <w:tcW w:w="1140" w:type="dxa"/>
            <w:tcBorders>
              <w:top w:val="nil"/>
              <w:left w:val="nil"/>
              <w:bottom w:val="nil"/>
              <w:right w:val="nil"/>
            </w:tcBorders>
            <w:shd w:val="clear" w:color="auto" w:fill="auto"/>
            <w:vAlign w:val="center"/>
            <w:hideMark/>
          </w:tcPr>
          <w:p w14:paraId="2DBC3AEA" w14:textId="77777777" w:rsidR="00F47091" w:rsidRDefault="00F47091" w:rsidP="008B132E">
            <w:pPr>
              <w:spacing w:after="0" w:line="240" w:lineRule="auto"/>
              <w:jc w:val="center"/>
              <w:rPr>
                <w:rFonts w:eastAsia="Times New Roman"/>
                <w:b/>
                <w:bCs/>
                <w:color w:val="000000"/>
                <w:sz w:val="16"/>
                <w:szCs w:val="16"/>
                <w:lang w:val="fr-FR"/>
              </w:rPr>
            </w:pPr>
            <w:proofErr w:type="spellStart"/>
            <w:r w:rsidRPr="003C080B">
              <w:rPr>
                <w:rFonts w:eastAsia="Times New Roman"/>
                <w:b/>
                <w:bCs/>
                <w:color w:val="000000"/>
                <w:sz w:val="16"/>
                <w:szCs w:val="16"/>
                <w:lang w:val="fr-FR"/>
              </w:rPr>
              <w:t>Filter</w:t>
            </w:r>
            <w:proofErr w:type="spellEnd"/>
            <w:r w:rsidRPr="003C080B">
              <w:rPr>
                <w:rFonts w:eastAsia="Times New Roman"/>
                <w:b/>
                <w:bCs/>
                <w:color w:val="000000"/>
                <w:sz w:val="16"/>
                <w:szCs w:val="16"/>
                <w:lang w:val="fr-FR"/>
              </w:rPr>
              <w:t xml:space="preserve"> </w:t>
            </w:r>
            <w:proofErr w:type="spellStart"/>
            <w:r w:rsidRPr="003C080B">
              <w:rPr>
                <w:rFonts w:eastAsia="Times New Roman"/>
                <w:b/>
                <w:bCs/>
                <w:color w:val="000000"/>
                <w:sz w:val="16"/>
                <w:szCs w:val="16"/>
                <w:lang w:val="fr-FR"/>
              </w:rPr>
              <w:t>porosity</w:t>
            </w:r>
            <w:proofErr w:type="spellEnd"/>
          </w:p>
          <w:p w14:paraId="292CFBF3" w14:textId="77777777" w:rsidR="00F47091" w:rsidRPr="003C080B" w:rsidRDefault="00F47091" w:rsidP="008B132E">
            <w:pPr>
              <w:spacing w:after="0" w:line="240" w:lineRule="auto"/>
              <w:jc w:val="center"/>
              <w:rPr>
                <w:rFonts w:eastAsia="Times New Roman"/>
                <w:b/>
                <w:bCs/>
                <w:color w:val="000000"/>
                <w:sz w:val="16"/>
                <w:szCs w:val="16"/>
                <w:lang w:val="fr-FR"/>
              </w:rPr>
            </w:pPr>
            <w:proofErr w:type="gramStart"/>
            <w:r w:rsidRPr="003C080B">
              <w:rPr>
                <w:rFonts w:eastAsia="Times New Roman"/>
                <w:i/>
                <w:iCs/>
                <w:color w:val="000000"/>
                <w:sz w:val="16"/>
                <w:szCs w:val="16"/>
                <w:lang w:val="fr-FR"/>
              </w:rPr>
              <w:t>µm</w:t>
            </w:r>
            <w:proofErr w:type="gramEnd"/>
          </w:p>
        </w:tc>
        <w:tc>
          <w:tcPr>
            <w:tcW w:w="659" w:type="dxa"/>
            <w:tcBorders>
              <w:top w:val="nil"/>
              <w:left w:val="nil"/>
              <w:bottom w:val="nil"/>
              <w:right w:val="nil"/>
            </w:tcBorders>
            <w:shd w:val="clear" w:color="auto" w:fill="auto"/>
            <w:vAlign w:val="center"/>
            <w:hideMark/>
          </w:tcPr>
          <w:p w14:paraId="3DCA640E" w14:textId="77777777" w:rsidR="00F47091" w:rsidRPr="003C080B" w:rsidRDefault="00F47091" w:rsidP="008B132E">
            <w:pPr>
              <w:spacing w:after="0" w:line="240" w:lineRule="auto"/>
              <w:jc w:val="center"/>
              <w:rPr>
                <w:rFonts w:eastAsia="Times New Roman"/>
                <w:b/>
                <w:bCs/>
                <w:color w:val="000000"/>
                <w:sz w:val="16"/>
                <w:szCs w:val="16"/>
                <w:lang w:val="fr-FR"/>
              </w:rPr>
            </w:pPr>
            <w:r w:rsidRPr="003C080B">
              <w:rPr>
                <w:rFonts w:eastAsia="Times New Roman"/>
                <w:b/>
                <w:bCs/>
                <w:color w:val="000000"/>
                <w:sz w:val="16"/>
                <w:szCs w:val="16"/>
                <w:lang w:val="fr-FR"/>
              </w:rPr>
              <w:t>DPM</w:t>
            </w:r>
          </w:p>
        </w:tc>
        <w:tc>
          <w:tcPr>
            <w:tcW w:w="1178" w:type="dxa"/>
            <w:tcBorders>
              <w:top w:val="nil"/>
              <w:left w:val="nil"/>
              <w:bottom w:val="nil"/>
              <w:right w:val="nil"/>
            </w:tcBorders>
            <w:shd w:val="clear" w:color="auto" w:fill="auto"/>
            <w:vAlign w:val="center"/>
            <w:hideMark/>
          </w:tcPr>
          <w:p w14:paraId="186D5191" w14:textId="77777777" w:rsidR="00F47091" w:rsidRPr="003C080B" w:rsidRDefault="00F47091" w:rsidP="008B132E">
            <w:pPr>
              <w:spacing w:after="0" w:line="240" w:lineRule="auto"/>
              <w:jc w:val="center"/>
              <w:rPr>
                <w:rFonts w:eastAsia="Times New Roman"/>
                <w:b/>
                <w:bCs/>
                <w:color w:val="000000"/>
                <w:sz w:val="16"/>
                <w:szCs w:val="16"/>
                <w:lang w:val="fr-FR"/>
              </w:rPr>
            </w:pPr>
            <w:proofErr w:type="spellStart"/>
            <w:proofErr w:type="gramStart"/>
            <w:r w:rsidRPr="003C080B">
              <w:rPr>
                <w:rFonts w:eastAsia="Times New Roman"/>
                <w:b/>
                <w:bCs/>
                <w:color w:val="000000"/>
                <w:sz w:val="16"/>
                <w:szCs w:val="16"/>
                <w:lang w:val="fr-FR"/>
              </w:rPr>
              <w:t>specific</w:t>
            </w:r>
            <w:proofErr w:type="spellEnd"/>
            <w:proofErr w:type="gramEnd"/>
            <w:r w:rsidRPr="003C080B">
              <w:rPr>
                <w:rFonts w:eastAsia="Times New Roman"/>
                <w:b/>
                <w:bCs/>
                <w:color w:val="000000"/>
                <w:sz w:val="16"/>
                <w:szCs w:val="16"/>
                <w:lang w:val="fr-FR"/>
              </w:rPr>
              <w:t xml:space="preserve"> </w:t>
            </w:r>
            <w:proofErr w:type="spellStart"/>
            <w:r w:rsidRPr="003C080B">
              <w:rPr>
                <w:rFonts w:eastAsia="Times New Roman"/>
                <w:b/>
                <w:bCs/>
                <w:color w:val="000000"/>
                <w:sz w:val="16"/>
                <w:szCs w:val="16"/>
                <w:lang w:val="fr-FR"/>
              </w:rPr>
              <w:t>activity</w:t>
            </w:r>
            <w:proofErr w:type="spellEnd"/>
            <w:r w:rsidRPr="003C080B">
              <w:rPr>
                <w:rFonts w:eastAsia="Times New Roman"/>
                <w:b/>
                <w:bCs/>
                <w:color w:val="000000"/>
                <w:sz w:val="16"/>
                <w:szCs w:val="16"/>
                <w:lang w:val="fr-FR"/>
              </w:rPr>
              <w:t xml:space="preserve"> </w:t>
            </w:r>
            <w:r w:rsidRPr="003C080B">
              <w:rPr>
                <w:rFonts w:eastAsia="Times New Roman"/>
                <w:b/>
                <w:bCs/>
                <w:color w:val="000000"/>
                <w:sz w:val="16"/>
                <w:szCs w:val="16"/>
                <w:lang w:val="fr-FR"/>
              </w:rPr>
              <w:br/>
            </w:r>
            <w:proofErr w:type="spellStart"/>
            <w:r w:rsidRPr="003C080B">
              <w:rPr>
                <w:rFonts w:eastAsia="Times New Roman"/>
                <w:i/>
                <w:iCs/>
                <w:color w:val="000000"/>
                <w:sz w:val="16"/>
                <w:szCs w:val="16"/>
                <w:lang w:val="fr-FR"/>
              </w:rPr>
              <w:t>dpm</w:t>
            </w:r>
            <w:proofErr w:type="spellEnd"/>
            <w:r w:rsidRPr="003C080B">
              <w:rPr>
                <w:rFonts w:eastAsia="Times New Roman"/>
                <w:i/>
                <w:iCs/>
                <w:color w:val="000000"/>
                <w:sz w:val="16"/>
                <w:szCs w:val="16"/>
                <w:lang w:val="fr-FR"/>
              </w:rPr>
              <w:t>/mol</w:t>
            </w:r>
          </w:p>
        </w:tc>
        <w:tc>
          <w:tcPr>
            <w:tcW w:w="976" w:type="dxa"/>
            <w:tcBorders>
              <w:top w:val="nil"/>
              <w:left w:val="nil"/>
              <w:bottom w:val="nil"/>
              <w:right w:val="nil"/>
            </w:tcBorders>
            <w:shd w:val="clear" w:color="auto" w:fill="auto"/>
            <w:vAlign w:val="center"/>
            <w:hideMark/>
          </w:tcPr>
          <w:p w14:paraId="34DEF168" w14:textId="77777777" w:rsidR="00F47091" w:rsidRPr="003C080B" w:rsidRDefault="00F47091" w:rsidP="008B132E">
            <w:pPr>
              <w:spacing w:after="0" w:line="240" w:lineRule="auto"/>
              <w:jc w:val="center"/>
              <w:rPr>
                <w:rFonts w:eastAsia="Times New Roman"/>
                <w:b/>
                <w:bCs/>
                <w:color w:val="000000"/>
                <w:sz w:val="16"/>
                <w:szCs w:val="16"/>
                <w:lang w:val="fr-FR"/>
              </w:rPr>
            </w:pPr>
            <w:r w:rsidRPr="00157AE6">
              <w:rPr>
                <w:rFonts w:eastAsia="Times New Roman"/>
                <w:b/>
                <w:bCs/>
                <w:color w:val="000000"/>
                <w:sz w:val="16"/>
                <w:szCs w:val="16"/>
                <w:vertAlign w:val="superscript"/>
                <w:lang w:val="fr-FR"/>
              </w:rPr>
              <w:t>55</w:t>
            </w:r>
            <w:r w:rsidRPr="003C080B">
              <w:rPr>
                <w:rFonts w:eastAsia="Times New Roman"/>
                <w:b/>
                <w:bCs/>
                <w:color w:val="000000"/>
                <w:sz w:val="16"/>
                <w:szCs w:val="16"/>
                <w:lang w:val="fr-FR"/>
              </w:rPr>
              <w:t xml:space="preserve">Fe </w:t>
            </w:r>
            <w:proofErr w:type="spellStart"/>
            <w:r w:rsidRPr="003C080B">
              <w:rPr>
                <w:rFonts w:eastAsia="Times New Roman"/>
                <w:b/>
                <w:bCs/>
                <w:color w:val="000000"/>
                <w:sz w:val="16"/>
                <w:szCs w:val="16"/>
                <w:lang w:val="fr-FR"/>
              </w:rPr>
              <w:t>added</w:t>
            </w:r>
            <w:proofErr w:type="spellEnd"/>
            <w:r w:rsidRPr="003C080B">
              <w:rPr>
                <w:rFonts w:eastAsia="Times New Roman"/>
                <w:b/>
                <w:bCs/>
                <w:color w:val="000000"/>
                <w:sz w:val="16"/>
                <w:szCs w:val="16"/>
                <w:lang w:val="fr-FR"/>
              </w:rPr>
              <w:br/>
            </w:r>
            <w:proofErr w:type="spellStart"/>
            <w:r w:rsidRPr="003C080B">
              <w:rPr>
                <w:rFonts w:eastAsia="Times New Roman"/>
                <w:i/>
                <w:iCs/>
                <w:color w:val="000000"/>
                <w:sz w:val="16"/>
                <w:szCs w:val="16"/>
                <w:lang w:val="fr-FR"/>
              </w:rPr>
              <w:t>nM</w:t>
            </w:r>
            <w:proofErr w:type="spellEnd"/>
          </w:p>
        </w:tc>
        <w:tc>
          <w:tcPr>
            <w:tcW w:w="1037" w:type="dxa"/>
            <w:tcBorders>
              <w:top w:val="nil"/>
              <w:left w:val="nil"/>
              <w:bottom w:val="nil"/>
              <w:right w:val="nil"/>
            </w:tcBorders>
            <w:shd w:val="clear" w:color="auto" w:fill="auto"/>
            <w:vAlign w:val="center"/>
            <w:hideMark/>
          </w:tcPr>
          <w:p w14:paraId="67DFF26E" w14:textId="77777777" w:rsidR="00F47091" w:rsidRPr="003C080B" w:rsidRDefault="00F47091" w:rsidP="008B132E">
            <w:pPr>
              <w:spacing w:after="0" w:line="240" w:lineRule="auto"/>
              <w:jc w:val="center"/>
              <w:rPr>
                <w:rFonts w:eastAsia="Times New Roman"/>
                <w:b/>
                <w:bCs/>
                <w:color w:val="000000"/>
                <w:sz w:val="16"/>
                <w:szCs w:val="16"/>
                <w:lang w:val="fr-FR"/>
              </w:rPr>
            </w:pPr>
            <w:proofErr w:type="gramStart"/>
            <w:r w:rsidRPr="003C080B">
              <w:rPr>
                <w:rFonts w:eastAsia="Times New Roman"/>
                <w:b/>
                <w:bCs/>
                <w:color w:val="000000"/>
                <w:sz w:val="16"/>
                <w:szCs w:val="16"/>
                <w:lang w:val="fr-FR"/>
              </w:rPr>
              <w:t>dFe</w:t>
            </w:r>
            <w:proofErr w:type="gramEnd"/>
            <w:r w:rsidRPr="003C080B">
              <w:rPr>
                <w:rFonts w:eastAsia="Times New Roman"/>
                <w:b/>
                <w:bCs/>
                <w:color w:val="000000"/>
                <w:sz w:val="16"/>
                <w:szCs w:val="16"/>
                <w:lang w:val="fr-FR"/>
              </w:rPr>
              <w:t xml:space="preserve"> in situ</w:t>
            </w:r>
            <w:r w:rsidRPr="003C080B">
              <w:rPr>
                <w:rFonts w:eastAsia="Times New Roman"/>
                <w:b/>
                <w:bCs/>
                <w:color w:val="000000"/>
                <w:sz w:val="16"/>
                <w:szCs w:val="16"/>
                <w:lang w:val="fr-FR"/>
              </w:rPr>
              <w:br/>
            </w:r>
            <w:proofErr w:type="spellStart"/>
            <w:r w:rsidRPr="003C080B">
              <w:rPr>
                <w:rFonts w:eastAsia="Times New Roman"/>
                <w:i/>
                <w:iCs/>
                <w:color w:val="000000"/>
                <w:sz w:val="16"/>
                <w:szCs w:val="16"/>
                <w:lang w:val="fr-FR"/>
              </w:rPr>
              <w:t>nM</w:t>
            </w:r>
            <w:proofErr w:type="spellEnd"/>
          </w:p>
        </w:tc>
        <w:tc>
          <w:tcPr>
            <w:tcW w:w="1436" w:type="dxa"/>
            <w:tcBorders>
              <w:top w:val="nil"/>
              <w:left w:val="nil"/>
              <w:bottom w:val="nil"/>
              <w:right w:val="nil"/>
            </w:tcBorders>
            <w:shd w:val="clear" w:color="auto" w:fill="auto"/>
            <w:vAlign w:val="center"/>
            <w:hideMark/>
          </w:tcPr>
          <w:p w14:paraId="15644306" w14:textId="77777777" w:rsidR="00F47091" w:rsidRPr="003C080B" w:rsidRDefault="00F47091" w:rsidP="008B132E">
            <w:pPr>
              <w:spacing w:after="0" w:line="240" w:lineRule="auto"/>
              <w:jc w:val="center"/>
              <w:rPr>
                <w:rFonts w:eastAsia="Times New Roman"/>
                <w:b/>
                <w:bCs/>
                <w:color w:val="000000"/>
                <w:sz w:val="16"/>
                <w:szCs w:val="16"/>
              </w:rPr>
            </w:pPr>
            <w:r w:rsidRPr="003C080B">
              <w:rPr>
                <w:rFonts w:eastAsia="Times New Roman"/>
                <w:b/>
                <w:bCs/>
                <w:color w:val="000000"/>
                <w:sz w:val="16"/>
                <w:szCs w:val="16"/>
              </w:rPr>
              <w:t>Fe uptake rate</w:t>
            </w:r>
            <w:r w:rsidRPr="003C080B">
              <w:rPr>
                <w:rFonts w:eastAsia="Times New Roman"/>
                <w:b/>
                <w:bCs/>
                <w:color w:val="000000"/>
                <w:sz w:val="16"/>
                <w:szCs w:val="16"/>
              </w:rPr>
              <w:br/>
            </w:r>
            <w:r w:rsidRPr="003C080B">
              <w:rPr>
                <w:rFonts w:eastAsia="Times New Roman"/>
                <w:i/>
                <w:iCs/>
                <w:color w:val="000000"/>
                <w:sz w:val="16"/>
                <w:szCs w:val="16"/>
              </w:rPr>
              <w:t>nmol Fe/</w:t>
            </w:r>
            <w:proofErr w:type="spellStart"/>
            <w:r w:rsidRPr="003C080B">
              <w:rPr>
                <w:rFonts w:eastAsia="Times New Roman"/>
                <w:i/>
                <w:iCs/>
                <w:color w:val="000000"/>
                <w:sz w:val="16"/>
                <w:szCs w:val="16"/>
              </w:rPr>
              <w:t>L.d</w:t>
            </w:r>
            <w:proofErr w:type="spellEnd"/>
          </w:p>
        </w:tc>
      </w:tr>
      <w:tr w:rsidR="00F47091" w:rsidRPr="003C080B" w14:paraId="686D8C37" w14:textId="77777777" w:rsidTr="00F47091">
        <w:trPr>
          <w:trHeight w:val="210"/>
        </w:trPr>
        <w:tc>
          <w:tcPr>
            <w:tcW w:w="1134" w:type="dxa"/>
            <w:tcBorders>
              <w:top w:val="single" w:sz="4" w:space="0" w:color="auto"/>
              <w:left w:val="nil"/>
              <w:bottom w:val="nil"/>
              <w:right w:val="nil"/>
            </w:tcBorders>
            <w:shd w:val="clear" w:color="auto" w:fill="auto"/>
            <w:noWrap/>
            <w:vAlign w:val="center"/>
            <w:hideMark/>
          </w:tcPr>
          <w:p w14:paraId="456BC72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single" w:sz="4" w:space="0" w:color="auto"/>
              <w:left w:val="nil"/>
              <w:bottom w:val="nil"/>
              <w:right w:val="nil"/>
            </w:tcBorders>
            <w:shd w:val="clear" w:color="auto" w:fill="auto"/>
            <w:noWrap/>
            <w:vAlign w:val="center"/>
            <w:hideMark/>
          </w:tcPr>
          <w:p w14:paraId="52C31B5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single" w:sz="4" w:space="0" w:color="auto"/>
              <w:left w:val="nil"/>
              <w:bottom w:val="nil"/>
              <w:right w:val="nil"/>
            </w:tcBorders>
            <w:shd w:val="clear" w:color="auto" w:fill="auto"/>
            <w:noWrap/>
            <w:vAlign w:val="center"/>
            <w:hideMark/>
          </w:tcPr>
          <w:p w14:paraId="21FC0CE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10506</w:t>
            </w:r>
          </w:p>
        </w:tc>
        <w:tc>
          <w:tcPr>
            <w:tcW w:w="1178" w:type="dxa"/>
            <w:tcBorders>
              <w:top w:val="single" w:sz="4" w:space="0" w:color="auto"/>
              <w:left w:val="nil"/>
              <w:bottom w:val="nil"/>
              <w:right w:val="nil"/>
            </w:tcBorders>
            <w:shd w:val="clear" w:color="auto" w:fill="auto"/>
            <w:noWrap/>
            <w:vAlign w:val="center"/>
            <w:hideMark/>
          </w:tcPr>
          <w:p w14:paraId="5D88CEC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single" w:sz="4" w:space="0" w:color="auto"/>
              <w:left w:val="nil"/>
              <w:bottom w:val="nil"/>
              <w:right w:val="nil"/>
            </w:tcBorders>
            <w:shd w:val="clear" w:color="auto" w:fill="auto"/>
            <w:noWrap/>
            <w:vAlign w:val="center"/>
            <w:hideMark/>
          </w:tcPr>
          <w:p w14:paraId="647119E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single" w:sz="4" w:space="0" w:color="auto"/>
              <w:left w:val="nil"/>
              <w:bottom w:val="nil"/>
              <w:right w:val="nil"/>
            </w:tcBorders>
            <w:shd w:val="clear" w:color="auto" w:fill="auto"/>
            <w:noWrap/>
            <w:vAlign w:val="center"/>
            <w:hideMark/>
          </w:tcPr>
          <w:p w14:paraId="61FBB7E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single" w:sz="4" w:space="0" w:color="auto"/>
              <w:left w:val="nil"/>
              <w:bottom w:val="nil"/>
              <w:right w:val="nil"/>
            </w:tcBorders>
            <w:shd w:val="clear" w:color="auto" w:fill="auto"/>
            <w:noWrap/>
            <w:vAlign w:val="center"/>
            <w:hideMark/>
          </w:tcPr>
          <w:p w14:paraId="10CB75A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4.62E-03</w:t>
            </w:r>
          </w:p>
        </w:tc>
      </w:tr>
      <w:tr w:rsidR="00F47091" w:rsidRPr="003C080B" w14:paraId="48246FF2" w14:textId="77777777" w:rsidTr="00F47091">
        <w:trPr>
          <w:trHeight w:val="210"/>
        </w:trPr>
        <w:tc>
          <w:tcPr>
            <w:tcW w:w="1134" w:type="dxa"/>
            <w:tcBorders>
              <w:top w:val="nil"/>
              <w:left w:val="nil"/>
              <w:bottom w:val="nil"/>
              <w:right w:val="nil"/>
            </w:tcBorders>
            <w:shd w:val="clear" w:color="auto" w:fill="auto"/>
            <w:noWrap/>
            <w:vAlign w:val="center"/>
            <w:hideMark/>
          </w:tcPr>
          <w:p w14:paraId="4DA9002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6778DB9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228E46B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1997</w:t>
            </w:r>
          </w:p>
        </w:tc>
        <w:tc>
          <w:tcPr>
            <w:tcW w:w="1178" w:type="dxa"/>
            <w:tcBorders>
              <w:top w:val="nil"/>
              <w:left w:val="nil"/>
              <w:bottom w:val="nil"/>
              <w:right w:val="nil"/>
            </w:tcBorders>
            <w:shd w:val="clear" w:color="auto" w:fill="auto"/>
            <w:noWrap/>
            <w:vAlign w:val="center"/>
            <w:hideMark/>
          </w:tcPr>
          <w:p w14:paraId="473BC02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A47AB0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0A7905F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5FE7513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7.28E-04</w:t>
            </w:r>
          </w:p>
        </w:tc>
      </w:tr>
      <w:tr w:rsidR="00F47091" w:rsidRPr="003C080B" w14:paraId="022D4E16" w14:textId="77777777" w:rsidTr="00F47091">
        <w:trPr>
          <w:trHeight w:val="210"/>
        </w:trPr>
        <w:tc>
          <w:tcPr>
            <w:tcW w:w="1134" w:type="dxa"/>
            <w:tcBorders>
              <w:top w:val="nil"/>
              <w:left w:val="nil"/>
              <w:bottom w:val="nil"/>
              <w:right w:val="nil"/>
            </w:tcBorders>
            <w:shd w:val="clear" w:color="auto" w:fill="auto"/>
            <w:noWrap/>
            <w:vAlign w:val="center"/>
            <w:hideMark/>
          </w:tcPr>
          <w:p w14:paraId="38E7682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2092DCA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3D27FFF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3410</w:t>
            </w:r>
          </w:p>
        </w:tc>
        <w:tc>
          <w:tcPr>
            <w:tcW w:w="1178" w:type="dxa"/>
            <w:tcBorders>
              <w:top w:val="nil"/>
              <w:left w:val="nil"/>
              <w:bottom w:val="nil"/>
              <w:right w:val="nil"/>
            </w:tcBorders>
            <w:shd w:val="clear" w:color="auto" w:fill="auto"/>
            <w:noWrap/>
            <w:vAlign w:val="center"/>
            <w:hideMark/>
          </w:tcPr>
          <w:p w14:paraId="4294300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4A0443D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20AB057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5BFC895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1.44E-03</w:t>
            </w:r>
          </w:p>
        </w:tc>
      </w:tr>
      <w:tr w:rsidR="00F47091" w:rsidRPr="003C080B" w14:paraId="3D83904A" w14:textId="77777777" w:rsidTr="00F47091">
        <w:trPr>
          <w:trHeight w:val="210"/>
        </w:trPr>
        <w:tc>
          <w:tcPr>
            <w:tcW w:w="1134" w:type="dxa"/>
            <w:tcBorders>
              <w:top w:val="nil"/>
              <w:left w:val="nil"/>
              <w:bottom w:val="nil"/>
              <w:right w:val="nil"/>
            </w:tcBorders>
            <w:shd w:val="clear" w:color="auto" w:fill="auto"/>
            <w:noWrap/>
            <w:vAlign w:val="center"/>
            <w:hideMark/>
          </w:tcPr>
          <w:p w14:paraId="1F194B0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2861203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311ED84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3022</w:t>
            </w:r>
          </w:p>
        </w:tc>
        <w:tc>
          <w:tcPr>
            <w:tcW w:w="1178" w:type="dxa"/>
            <w:tcBorders>
              <w:top w:val="nil"/>
              <w:left w:val="nil"/>
              <w:bottom w:val="nil"/>
              <w:right w:val="nil"/>
            </w:tcBorders>
            <w:shd w:val="clear" w:color="auto" w:fill="auto"/>
            <w:noWrap/>
            <w:vAlign w:val="center"/>
            <w:hideMark/>
          </w:tcPr>
          <w:p w14:paraId="075C930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058269D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77220F5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70B3D1C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1.03E-03</w:t>
            </w:r>
          </w:p>
        </w:tc>
      </w:tr>
      <w:tr w:rsidR="00F47091" w:rsidRPr="003C080B" w14:paraId="12128397" w14:textId="77777777" w:rsidTr="00F47091">
        <w:trPr>
          <w:trHeight w:val="210"/>
        </w:trPr>
        <w:tc>
          <w:tcPr>
            <w:tcW w:w="1134" w:type="dxa"/>
            <w:tcBorders>
              <w:top w:val="nil"/>
              <w:left w:val="nil"/>
              <w:bottom w:val="nil"/>
              <w:right w:val="nil"/>
            </w:tcBorders>
            <w:shd w:val="clear" w:color="auto" w:fill="auto"/>
            <w:noWrap/>
            <w:vAlign w:val="center"/>
            <w:hideMark/>
          </w:tcPr>
          <w:p w14:paraId="7B434E5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6021F35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11813B3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5278</w:t>
            </w:r>
          </w:p>
        </w:tc>
        <w:tc>
          <w:tcPr>
            <w:tcW w:w="1178" w:type="dxa"/>
            <w:tcBorders>
              <w:top w:val="nil"/>
              <w:left w:val="nil"/>
              <w:bottom w:val="nil"/>
              <w:right w:val="nil"/>
            </w:tcBorders>
            <w:shd w:val="clear" w:color="auto" w:fill="auto"/>
            <w:noWrap/>
            <w:vAlign w:val="center"/>
            <w:hideMark/>
          </w:tcPr>
          <w:p w14:paraId="25CA0C1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33FB1E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4D984D3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66D8466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2.30E-03</w:t>
            </w:r>
          </w:p>
        </w:tc>
      </w:tr>
      <w:tr w:rsidR="00F47091" w:rsidRPr="003C080B" w14:paraId="7754979C" w14:textId="77777777" w:rsidTr="00F47091">
        <w:trPr>
          <w:trHeight w:val="210"/>
        </w:trPr>
        <w:tc>
          <w:tcPr>
            <w:tcW w:w="1134" w:type="dxa"/>
            <w:tcBorders>
              <w:top w:val="nil"/>
              <w:left w:val="nil"/>
              <w:bottom w:val="nil"/>
              <w:right w:val="nil"/>
            </w:tcBorders>
            <w:shd w:val="clear" w:color="auto" w:fill="auto"/>
            <w:noWrap/>
            <w:vAlign w:val="center"/>
            <w:hideMark/>
          </w:tcPr>
          <w:p w14:paraId="6B4EEFF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4E59258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4D01B8D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21547</w:t>
            </w:r>
          </w:p>
        </w:tc>
        <w:tc>
          <w:tcPr>
            <w:tcW w:w="1178" w:type="dxa"/>
            <w:tcBorders>
              <w:top w:val="nil"/>
              <w:left w:val="nil"/>
              <w:bottom w:val="nil"/>
              <w:right w:val="nil"/>
            </w:tcBorders>
            <w:shd w:val="clear" w:color="auto" w:fill="auto"/>
            <w:noWrap/>
            <w:vAlign w:val="center"/>
            <w:hideMark/>
          </w:tcPr>
          <w:p w14:paraId="561CA8D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485CAF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3BC872E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13EC9D2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1.01E-02</w:t>
            </w:r>
          </w:p>
        </w:tc>
      </w:tr>
      <w:tr w:rsidR="00F47091" w:rsidRPr="003C080B" w14:paraId="6529235C" w14:textId="77777777" w:rsidTr="00F47091">
        <w:trPr>
          <w:trHeight w:val="210"/>
        </w:trPr>
        <w:tc>
          <w:tcPr>
            <w:tcW w:w="1134" w:type="dxa"/>
            <w:tcBorders>
              <w:top w:val="nil"/>
              <w:left w:val="nil"/>
              <w:bottom w:val="nil"/>
              <w:right w:val="nil"/>
            </w:tcBorders>
            <w:shd w:val="clear" w:color="auto" w:fill="auto"/>
            <w:noWrap/>
            <w:vAlign w:val="center"/>
            <w:hideMark/>
          </w:tcPr>
          <w:p w14:paraId="0349245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28043AB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454DEDF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13163</w:t>
            </w:r>
          </w:p>
        </w:tc>
        <w:tc>
          <w:tcPr>
            <w:tcW w:w="1178" w:type="dxa"/>
            <w:tcBorders>
              <w:top w:val="nil"/>
              <w:left w:val="nil"/>
              <w:bottom w:val="nil"/>
              <w:right w:val="nil"/>
            </w:tcBorders>
            <w:shd w:val="clear" w:color="auto" w:fill="auto"/>
            <w:noWrap/>
            <w:vAlign w:val="center"/>
            <w:hideMark/>
          </w:tcPr>
          <w:p w14:paraId="59AE883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7ABEF3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3A04A68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5F76A1C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5.89E-03</w:t>
            </w:r>
          </w:p>
        </w:tc>
      </w:tr>
      <w:tr w:rsidR="00F47091" w:rsidRPr="003C080B" w14:paraId="651BD4DA" w14:textId="77777777" w:rsidTr="00F47091">
        <w:trPr>
          <w:trHeight w:val="210"/>
        </w:trPr>
        <w:tc>
          <w:tcPr>
            <w:tcW w:w="1134" w:type="dxa"/>
            <w:tcBorders>
              <w:top w:val="nil"/>
              <w:left w:val="nil"/>
              <w:bottom w:val="nil"/>
              <w:right w:val="nil"/>
            </w:tcBorders>
            <w:shd w:val="clear" w:color="auto" w:fill="auto"/>
            <w:noWrap/>
            <w:vAlign w:val="center"/>
            <w:hideMark/>
          </w:tcPr>
          <w:p w14:paraId="763E78F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55B418F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792F79A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9509</w:t>
            </w:r>
          </w:p>
        </w:tc>
        <w:tc>
          <w:tcPr>
            <w:tcW w:w="1178" w:type="dxa"/>
            <w:tcBorders>
              <w:top w:val="nil"/>
              <w:left w:val="nil"/>
              <w:bottom w:val="nil"/>
              <w:right w:val="nil"/>
            </w:tcBorders>
            <w:shd w:val="clear" w:color="auto" w:fill="auto"/>
            <w:noWrap/>
            <w:vAlign w:val="center"/>
            <w:hideMark/>
          </w:tcPr>
          <w:p w14:paraId="2D5ACA0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0F05E1D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6FB5A06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25D7DBE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4.32E-03</w:t>
            </w:r>
          </w:p>
        </w:tc>
      </w:tr>
      <w:tr w:rsidR="00F47091" w:rsidRPr="003C080B" w14:paraId="688921FC" w14:textId="77777777" w:rsidTr="00F47091">
        <w:trPr>
          <w:trHeight w:val="210"/>
        </w:trPr>
        <w:tc>
          <w:tcPr>
            <w:tcW w:w="1134" w:type="dxa"/>
            <w:tcBorders>
              <w:top w:val="nil"/>
              <w:left w:val="nil"/>
              <w:bottom w:val="nil"/>
              <w:right w:val="nil"/>
            </w:tcBorders>
            <w:shd w:val="clear" w:color="auto" w:fill="auto"/>
            <w:noWrap/>
            <w:vAlign w:val="center"/>
            <w:hideMark/>
          </w:tcPr>
          <w:p w14:paraId="77C1A84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S10-B</w:t>
            </w:r>
          </w:p>
        </w:tc>
        <w:tc>
          <w:tcPr>
            <w:tcW w:w="1140" w:type="dxa"/>
            <w:tcBorders>
              <w:top w:val="nil"/>
              <w:left w:val="nil"/>
              <w:bottom w:val="nil"/>
              <w:right w:val="nil"/>
            </w:tcBorders>
            <w:shd w:val="clear" w:color="auto" w:fill="auto"/>
            <w:noWrap/>
            <w:vAlign w:val="center"/>
            <w:hideMark/>
          </w:tcPr>
          <w:p w14:paraId="5B619A0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4A5E466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42735</w:t>
            </w:r>
          </w:p>
        </w:tc>
        <w:tc>
          <w:tcPr>
            <w:tcW w:w="1178" w:type="dxa"/>
            <w:tcBorders>
              <w:top w:val="nil"/>
              <w:left w:val="nil"/>
              <w:bottom w:val="nil"/>
              <w:right w:val="nil"/>
            </w:tcBorders>
            <w:shd w:val="clear" w:color="auto" w:fill="auto"/>
            <w:noWrap/>
            <w:vAlign w:val="center"/>
            <w:hideMark/>
          </w:tcPr>
          <w:p w14:paraId="1DC0753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7B5D08C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3B27BA8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0.49</w:t>
            </w:r>
          </w:p>
        </w:tc>
        <w:tc>
          <w:tcPr>
            <w:tcW w:w="1436" w:type="dxa"/>
            <w:tcBorders>
              <w:top w:val="nil"/>
              <w:left w:val="nil"/>
              <w:bottom w:val="nil"/>
              <w:right w:val="nil"/>
            </w:tcBorders>
            <w:shd w:val="clear" w:color="auto" w:fill="auto"/>
            <w:noWrap/>
            <w:vAlign w:val="center"/>
            <w:hideMark/>
          </w:tcPr>
          <w:p w14:paraId="7E2B91E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2.03E-02</w:t>
            </w:r>
          </w:p>
        </w:tc>
      </w:tr>
      <w:tr w:rsidR="00F47091" w:rsidRPr="003C080B" w14:paraId="50E012F1" w14:textId="77777777" w:rsidTr="00F47091">
        <w:trPr>
          <w:trHeight w:val="210"/>
        </w:trPr>
        <w:tc>
          <w:tcPr>
            <w:tcW w:w="1134" w:type="dxa"/>
            <w:tcBorders>
              <w:top w:val="nil"/>
              <w:left w:val="nil"/>
              <w:bottom w:val="nil"/>
              <w:right w:val="nil"/>
            </w:tcBorders>
            <w:shd w:val="clear" w:color="auto" w:fill="auto"/>
            <w:noWrap/>
            <w:vAlign w:val="center"/>
            <w:hideMark/>
          </w:tcPr>
          <w:p w14:paraId="6FE99D1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S10-B</w:t>
            </w:r>
          </w:p>
        </w:tc>
        <w:tc>
          <w:tcPr>
            <w:tcW w:w="1140" w:type="dxa"/>
            <w:tcBorders>
              <w:top w:val="nil"/>
              <w:left w:val="nil"/>
              <w:bottom w:val="nil"/>
              <w:right w:val="nil"/>
            </w:tcBorders>
            <w:shd w:val="clear" w:color="auto" w:fill="auto"/>
            <w:noWrap/>
            <w:vAlign w:val="center"/>
            <w:hideMark/>
          </w:tcPr>
          <w:p w14:paraId="703C14F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4BFDBFD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859</w:t>
            </w:r>
          </w:p>
        </w:tc>
        <w:tc>
          <w:tcPr>
            <w:tcW w:w="1178" w:type="dxa"/>
            <w:tcBorders>
              <w:top w:val="nil"/>
              <w:left w:val="nil"/>
              <w:bottom w:val="nil"/>
              <w:right w:val="nil"/>
            </w:tcBorders>
            <w:shd w:val="clear" w:color="auto" w:fill="auto"/>
            <w:noWrap/>
            <w:vAlign w:val="center"/>
            <w:hideMark/>
          </w:tcPr>
          <w:p w14:paraId="60B49EA6"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0C372B7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3B8B099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5FFB906A"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4A89EECF" w14:textId="77777777" w:rsidTr="00F47091">
        <w:trPr>
          <w:trHeight w:val="210"/>
        </w:trPr>
        <w:tc>
          <w:tcPr>
            <w:tcW w:w="1134" w:type="dxa"/>
            <w:tcBorders>
              <w:top w:val="nil"/>
              <w:left w:val="nil"/>
              <w:bottom w:val="nil"/>
              <w:right w:val="nil"/>
            </w:tcBorders>
            <w:shd w:val="clear" w:color="auto" w:fill="auto"/>
            <w:noWrap/>
            <w:vAlign w:val="center"/>
            <w:hideMark/>
          </w:tcPr>
          <w:p w14:paraId="3F4378A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S10-B</w:t>
            </w:r>
          </w:p>
        </w:tc>
        <w:tc>
          <w:tcPr>
            <w:tcW w:w="1140" w:type="dxa"/>
            <w:tcBorders>
              <w:top w:val="nil"/>
              <w:left w:val="nil"/>
              <w:bottom w:val="nil"/>
              <w:right w:val="nil"/>
            </w:tcBorders>
            <w:shd w:val="clear" w:color="auto" w:fill="auto"/>
            <w:noWrap/>
            <w:vAlign w:val="center"/>
            <w:hideMark/>
          </w:tcPr>
          <w:p w14:paraId="1A775A2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FC9932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476</w:t>
            </w:r>
          </w:p>
        </w:tc>
        <w:tc>
          <w:tcPr>
            <w:tcW w:w="1178" w:type="dxa"/>
            <w:tcBorders>
              <w:top w:val="nil"/>
              <w:left w:val="nil"/>
              <w:bottom w:val="nil"/>
              <w:right w:val="nil"/>
            </w:tcBorders>
            <w:shd w:val="clear" w:color="auto" w:fill="auto"/>
            <w:noWrap/>
            <w:vAlign w:val="center"/>
            <w:hideMark/>
          </w:tcPr>
          <w:p w14:paraId="23203AD5"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267DBF3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411E7A6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494A82D5"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6930B0A9" w14:textId="77777777" w:rsidTr="00F47091">
        <w:trPr>
          <w:trHeight w:val="210"/>
        </w:trPr>
        <w:tc>
          <w:tcPr>
            <w:tcW w:w="1134" w:type="dxa"/>
            <w:tcBorders>
              <w:top w:val="nil"/>
              <w:left w:val="nil"/>
              <w:bottom w:val="nil"/>
              <w:right w:val="nil"/>
            </w:tcBorders>
            <w:shd w:val="clear" w:color="auto" w:fill="auto"/>
            <w:noWrap/>
            <w:vAlign w:val="center"/>
            <w:hideMark/>
          </w:tcPr>
          <w:p w14:paraId="289B555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S10-B</w:t>
            </w:r>
          </w:p>
        </w:tc>
        <w:tc>
          <w:tcPr>
            <w:tcW w:w="1140" w:type="dxa"/>
            <w:tcBorders>
              <w:top w:val="nil"/>
              <w:left w:val="nil"/>
              <w:bottom w:val="nil"/>
              <w:right w:val="nil"/>
            </w:tcBorders>
            <w:shd w:val="clear" w:color="auto" w:fill="auto"/>
            <w:noWrap/>
            <w:vAlign w:val="center"/>
            <w:hideMark/>
          </w:tcPr>
          <w:p w14:paraId="6A25B1C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43225B4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398</w:t>
            </w:r>
          </w:p>
        </w:tc>
        <w:tc>
          <w:tcPr>
            <w:tcW w:w="1178" w:type="dxa"/>
            <w:tcBorders>
              <w:top w:val="nil"/>
              <w:left w:val="nil"/>
              <w:bottom w:val="nil"/>
              <w:right w:val="nil"/>
            </w:tcBorders>
            <w:shd w:val="clear" w:color="auto" w:fill="auto"/>
            <w:noWrap/>
            <w:vAlign w:val="center"/>
            <w:hideMark/>
          </w:tcPr>
          <w:p w14:paraId="1814F59C"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771F1F5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000212E4"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6A9B76FD"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4BB166FE" w14:textId="77777777" w:rsidTr="00F47091">
        <w:trPr>
          <w:trHeight w:val="210"/>
        </w:trPr>
        <w:tc>
          <w:tcPr>
            <w:tcW w:w="1134" w:type="dxa"/>
            <w:tcBorders>
              <w:top w:val="single" w:sz="4" w:space="0" w:color="auto"/>
              <w:left w:val="nil"/>
              <w:bottom w:val="nil"/>
              <w:right w:val="nil"/>
            </w:tcBorders>
            <w:shd w:val="clear" w:color="auto" w:fill="auto"/>
            <w:noWrap/>
            <w:vAlign w:val="center"/>
            <w:hideMark/>
          </w:tcPr>
          <w:p w14:paraId="0BF6288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single" w:sz="4" w:space="0" w:color="auto"/>
              <w:left w:val="nil"/>
              <w:bottom w:val="nil"/>
              <w:right w:val="nil"/>
            </w:tcBorders>
            <w:shd w:val="clear" w:color="auto" w:fill="auto"/>
            <w:noWrap/>
            <w:vAlign w:val="center"/>
            <w:hideMark/>
          </w:tcPr>
          <w:p w14:paraId="7D7E64F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single" w:sz="4" w:space="0" w:color="auto"/>
              <w:left w:val="nil"/>
              <w:bottom w:val="nil"/>
              <w:right w:val="nil"/>
            </w:tcBorders>
            <w:shd w:val="clear" w:color="auto" w:fill="auto"/>
            <w:noWrap/>
            <w:vAlign w:val="center"/>
            <w:hideMark/>
          </w:tcPr>
          <w:p w14:paraId="74F3427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4421</w:t>
            </w:r>
          </w:p>
        </w:tc>
        <w:tc>
          <w:tcPr>
            <w:tcW w:w="1178" w:type="dxa"/>
            <w:tcBorders>
              <w:top w:val="single" w:sz="4" w:space="0" w:color="auto"/>
              <w:left w:val="nil"/>
              <w:bottom w:val="nil"/>
              <w:right w:val="nil"/>
            </w:tcBorders>
            <w:shd w:val="clear" w:color="auto" w:fill="auto"/>
            <w:noWrap/>
            <w:vAlign w:val="center"/>
            <w:hideMark/>
          </w:tcPr>
          <w:p w14:paraId="3349FC6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single" w:sz="4" w:space="0" w:color="auto"/>
              <w:left w:val="nil"/>
              <w:bottom w:val="nil"/>
              <w:right w:val="nil"/>
            </w:tcBorders>
            <w:shd w:val="clear" w:color="auto" w:fill="auto"/>
            <w:noWrap/>
            <w:vAlign w:val="center"/>
            <w:hideMark/>
          </w:tcPr>
          <w:p w14:paraId="3864597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single" w:sz="4" w:space="0" w:color="auto"/>
              <w:left w:val="nil"/>
              <w:bottom w:val="nil"/>
              <w:right w:val="nil"/>
            </w:tcBorders>
            <w:shd w:val="clear" w:color="auto" w:fill="auto"/>
            <w:noWrap/>
            <w:vAlign w:val="center"/>
            <w:hideMark/>
          </w:tcPr>
          <w:p w14:paraId="7CC96C4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single" w:sz="4" w:space="0" w:color="auto"/>
              <w:left w:val="nil"/>
              <w:bottom w:val="nil"/>
              <w:right w:val="nil"/>
            </w:tcBorders>
            <w:shd w:val="clear" w:color="auto" w:fill="auto"/>
            <w:noWrap/>
            <w:vAlign w:val="center"/>
            <w:hideMark/>
          </w:tcPr>
          <w:p w14:paraId="564C645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5.13E-03</w:t>
            </w:r>
          </w:p>
        </w:tc>
      </w:tr>
      <w:tr w:rsidR="00F47091" w:rsidRPr="003C080B" w14:paraId="71AD3E5B" w14:textId="77777777" w:rsidTr="00F47091">
        <w:trPr>
          <w:trHeight w:val="210"/>
        </w:trPr>
        <w:tc>
          <w:tcPr>
            <w:tcW w:w="1134" w:type="dxa"/>
            <w:tcBorders>
              <w:top w:val="nil"/>
              <w:left w:val="nil"/>
              <w:bottom w:val="nil"/>
              <w:right w:val="nil"/>
            </w:tcBorders>
            <w:shd w:val="clear" w:color="auto" w:fill="auto"/>
            <w:noWrap/>
            <w:vAlign w:val="center"/>
            <w:hideMark/>
          </w:tcPr>
          <w:p w14:paraId="6FC909D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0E8C838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3F9FCCC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5511</w:t>
            </w:r>
          </w:p>
        </w:tc>
        <w:tc>
          <w:tcPr>
            <w:tcW w:w="1178" w:type="dxa"/>
            <w:tcBorders>
              <w:top w:val="nil"/>
              <w:left w:val="nil"/>
              <w:bottom w:val="nil"/>
              <w:right w:val="nil"/>
            </w:tcBorders>
            <w:shd w:val="clear" w:color="auto" w:fill="auto"/>
            <w:noWrap/>
            <w:vAlign w:val="center"/>
            <w:hideMark/>
          </w:tcPr>
          <w:p w14:paraId="7080DC1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A8855B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7B4D34F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5BF56EE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6.69E-03</w:t>
            </w:r>
          </w:p>
        </w:tc>
      </w:tr>
      <w:tr w:rsidR="00F47091" w:rsidRPr="003C080B" w14:paraId="76F8E8C4" w14:textId="77777777" w:rsidTr="00F47091">
        <w:trPr>
          <w:trHeight w:val="210"/>
        </w:trPr>
        <w:tc>
          <w:tcPr>
            <w:tcW w:w="1134" w:type="dxa"/>
            <w:tcBorders>
              <w:top w:val="nil"/>
              <w:left w:val="nil"/>
              <w:bottom w:val="nil"/>
              <w:right w:val="nil"/>
            </w:tcBorders>
            <w:shd w:val="clear" w:color="auto" w:fill="auto"/>
            <w:noWrap/>
            <w:vAlign w:val="center"/>
            <w:hideMark/>
          </w:tcPr>
          <w:p w14:paraId="1E3E151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4EBC83F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311EE4A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14804</w:t>
            </w:r>
          </w:p>
        </w:tc>
        <w:tc>
          <w:tcPr>
            <w:tcW w:w="1178" w:type="dxa"/>
            <w:tcBorders>
              <w:top w:val="nil"/>
              <w:left w:val="nil"/>
              <w:bottom w:val="nil"/>
              <w:right w:val="nil"/>
            </w:tcBorders>
            <w:shd w:val="clear" w:color="auto" w:fill="auto"/>
            <w:noWrap/>
            <w:vAlign w:val="center"/>
            <w:hideMark/>
          </w:tcPr>
          <w:p w14:paraId="0935EF2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7524458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0B8CBCF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31391C2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1.84E-02</w:t>
            </w:r>
          </w:p>
        </w:tc>
      </w:tr>
      <w:tr w:rsidR="00F47091" w:rsidRPr="003C080B" w14:paraId="5D1EA753" w14:textId="77777777" w:rsidTr="00F47091">
        <w:trPr>
          <w:trHeight w:val="210"/>
        </w:trPr>
        <w:tc>
          <w:tcPr>
            <w:tcW w:w="1134" w:type="dxa"/>
            <w:tcBorders>
              <w:top w:val="nil"/>
              <w:left w:val="nil"/>
              <w:bottom w:val="nil"/>
              <w:right w:val="nil"/>
            </w:tcBorders>
            <w:shd w:val="clear" w:color="auto" w:fill="auto"/>
            <w:noWrap/>
            <w:vAlign w:val="center"/>
            <w:hideMark/>
          </w:tcPr>
          <w:p w14:paraId="46068BA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0429826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477B99D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3759</w:t>
            </w:r>
          </w:p>
        </w:tc>
        <w:tc>
          <w:tcPr>
            <w:tcW w:w="1178" w:type="dxa"/>
            <w:tcBorders>
              <w:top w:val="nil"/>
              <w:left w:val="nil"/>
              <w:bottom w:val="nil"/>
              <w:right w:val="nil"/>
            </w:tcBorders>
            <w:shd w:val="clear" w:color="auto" w:fill="auto"/>
            <w:noWrap/>
            <w:vAlign w:val="center"/>
            <w:hideMark/>
          </w:tcPr>
          <w:p w14:paraId="6BCA3F7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48F2DC4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27F9746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27F42AE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4.29E-03</w:t>
            </w:r>
          </w:p>
        </w:tc>
      </w:tr>
      <w:tr w:rsidR="00F47091" w:rsidRPr="003C080B" w14:paraId="4AF338F7" w14:textId="77777777" w:rsidTr="00F47091">
        <w:trPr>
          <w:trHeight w:val="210"/>
        </w:trPr>
        <w:tc>
          <w:tcPr>
            <w:tcW w:w="1134" w:type="dxa"/>
            <w:tcBorders>
              <w:top w:val="nil"/>
              <w:left w:val="nil"/>
              <w:bottom w:val="nil"/>
              <w:right w:val="nil"/>
            </w:tcBorders>
            <w:shd w:val="clear" w:color="auto" w:fill="auto"/>
            <w:noWrap/>
            <w:vAlign w:val="center"/>
            <w:hideMark/>
          </w:tcPr>
          <w:p w14:paraId="7C05F8F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0C2CDF1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30775A9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5355</w:t>
            </w:r>
          </w:p>
        </w:tc>
        <w:tc>
          <w:tcPr>
            <w:tcW w:w="1178" w:type="dxa"/>
            <w:tcBorders>
              <w:top w:val="nil"/>
              <w:left w:val="nil"/>
              <w:bottom w:val="nil"/>
              <w:right w:val="nil"/>
            </w:tcBorders>
            <w:shd w:val="clear" w:color="auto" w:fill="auto"/>
            <w:noWrap/>
            <w:vAlign w:val="center"/>
            <w:hideMark/>
          </w:tcPr>
          <w:p w14:paraId="6DDAEF2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0316848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11E6767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515BD47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6.49E-03</w:t>
            </w:r>
          </w:p>
        </w:tc>
      </w:tr>
      <w:tr w:rsidR="00F47091" w:rsidRPr="003C080B" w14:paraId="577EAB77" w14:textId="77777777" w:rsidTr="00F47091">
        <w:trPr>
          <w:trHeight w:val="210"/>
        </w:trPr>
        <w:tc>
          <w:tcPr>
            <w:tcW w:w="1134" w:type="dxa"/>
            <w:tcBorders>
              <w:top w:val="nil"/>
              <w:left w:val="nil"/>
              <w:bottom w:val="nil"/>
              <w:right w:val="nil"/>
            </w:tcBorders>
            <w:shd w:val="clear" w:color="auto" w:fill="auto"/>
            <w:noWrap/>
            <w:vAlign w:val="center"/>
            <w:hideMark/>
          </w:tcPr>
          <w:p w14:paraId="6FDD441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168A9AA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5E5AA54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5682</w:t>
            </w:r>
          </w:p>
        </w:tc>
        <w:tc>
          <w:tcPr>
            <w:tcW w:w="1178" w:type="dxa"/>
            <w:tcBorders>
              <w:top w:val="nil"/>
              <w:left w:val="nil"/>
              <w:bottom w:val="nil"/>
              <w:right w:val="nil"/>
            </w:tcBorders>
            <w:shd w:val="clear" w:color="auto" w:fill="auto"/>
            <w:noWrap/>
            <w:vAlign w:val="center"/>
            <w:hideMark/>
          </w:tcPr>
          <w:p w14:paraId="56841EC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59DFE7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3938790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4687817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6.86E-03</w:t>
            </w:r>
          </w:p>
        </w:tc>
      </w:tr>
      <w:tr w:rsidR="00F47091" w:rsidRPr="003C080B" w14:paraId="7B1E2908" w14:textId="77777777" w:rsidTr="00F47091">
        <w:trPr>
          <w:trHeight w:val="210"/>
        </w:trPr>
        <w:tc>
          <w:tcPr>
            <w:tcW w:w="1134" w:type="dxa"/>
            <w:tcBorders>
              <w:top w:val="nil"/>
              <w:left w:val="nil"/>
              <w:bottom w:val="nil"/>
              <w:right w:val="nil"/>
            </w:tcBorders>
            <w:shd w:val="clear" w:color="auto" w:fill="auto"/>
            <w:noWrap/>
            <w:vAlign w:val="center"/>
            <w:hideMark/>
          </w:tcPr>
          <w:p w14:paraId="3184CA0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4E47213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19D14CE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1551</w:t>
            </w:r>
          </w:p>
        </w:tc>
        <w:tc>
          <w:tcPr>
            <w:tcW w:w="1178" w:type="dxa"/>
            <w:tcBorders>
              <w:top w:val="nil"/>
              <w:left w:val="nil"/>
              <w:bottom w:val="nil"/>
              <w:right w:val="nil"/>
            </w:tcBorders>
            <w:shd w:val="clear" w:color="auto" w:fill="auto"/>
            <w:noWrap/>
            <w:vAlign w:val="center"/>
            <w:hideMark/>
          </w:tcPr>
          <w:p w14:paraId="0D80670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1FC5B7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194DD6B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5A333FA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1.49E-03</w:t>
            </w:r>
          </w:p>
        </w:tc>
      </w:tr>
      <w:tr w:rsidR="00F47091" w:rsidRPr="003C080B" w14:paraId="2125F1B2" w14:textId="77777777" w:rsidTr="00F47091">
        <w:trPr>
          <w:trHeight w:val="210"/>
        </w:trPr>
        <w:tc>
          <w:tcPr>
            <w:tcW w:w="1134" w:type="dxa"/>
            <w:tcBorders>
              <w:top w:val="nil"/>
              <w:left w:val="nil"/>
              <w:bottom w:val="nil"/>
              <w:right w:val="nil"/>
            </w:tcBorders>
            <w:shd w:val="clear" w:color="auto" w:fill="auto"/>
            <w:noWrap/>
            <w:vAlign w:val="center"/>
            <w:hideMark/>
          </w:tcPr>
          <w:p w14:paraId="4F1914A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103A81D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2F94FFC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1887</w:t>
            </w:r>
          </w:p>
        </w:tc>
        <w:tc>
          <w:tcPr>
            <w:tcW w:w="1178" w:type="dxa"/>
            <w:tcBorders>
              <w:top w:val="nil"/>
              <w:left w:val="nil"/>
              <w:bottom w:val="nil"/>
              <w:right w:val="nil"/>
            </w:tcBorders>
            <w:shd w:val="clear" w:color="auto" w:fill="auto"/>
            <w:noWrap/>
            <w:vAlign w:val="center"/>
            <w:hideMark/>
          </w:tcPr>
          <w:p w14:paraId="022494B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069DEC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0894A89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4A14F5C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2.09E-03</w:t>
            </w:r>
          </w:p>
        </w:tc>
      </w:tr>
      <w:tr w:rsidR="00F47091" w:rsidRPr="003C080B" w14:paraId="688BBA44" w14:textId="77777777" w:rsidTr="00F47091">
        <w:trPr>
          <w:trHeight w:val="210"/>
        </w:trPr>
        <w:tc>
          <w:tcPr>
            <w:tcW w:w="1134" w:type="dxa"/>
            <w:tcBorders>
              <w:top w:val="nil"/>
              <w:left w:val="nil"/>
              <w:bottom w:val="nil"/>
              <w:right w:val="nil"/>
            </w:tcBorders>
            <w:shd w:val="clear" w:color="auto" w:fill="auto"/>
            <w:noWrap/>
            <w:vAlign w:val="center"/>
            <w:hideMark/>
          </w:tcPr>
          <w:p w14:paraId="47B5ECB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S10-A</w:t>
            </w:r>
          </w:p>
        </w:tc>
        <w:tc>
          <w:tcPr>
            <w:tcW w:w="1140" w:type="dxa"/>
            <w:tcBorders>
              <w:top w:val="nil"/>
              <w:left w:val="nil"/>
              <w:bottom w:val="nil"/>
              <w:right w:val="nil"/>
            </w:tcBorders>
            <w:shd w:val="clear" w:color="auto" w:fill="auto"/>
            <w:noWrap/>
            <w:vAlign w:val="center"/>
            <w:hideMark/>
          </w:tcPr>
          <w:p w14:paraId="2946108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7FF4D6C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4897</w:t>
            </w:r>
          </w:p>
        </w:tc>
        <w:tc>
          <w:tcPr>
            <w:tcW w:w="1178" w:type="dxa"/>
            <w:tcBorders>
              <w:top w:val="nil"/>
              <w:left w:val="nil"/>
              <w:bottom w:val="nil"/>
              <w:right w:val="nil"/>
            </w:tcBorders>
            <w:shd w:val="clear" w:color="auto" w:fill="auto"/>
            <w:noWrap/>
            <w:vAlign w:val="center"/>
            <w:hideMark/>
          </w:tcPr>
          <w:p w14:paraId="6EE11C1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4CFF590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0.20</w:t>
            </w:r>
          </w:p>
        </w:tc>
        <w:tc>
          <w:tcPr>
            <w:tcW w:w="1037" w:type="dxa"/>
            <w:tcBorders>
              <w:top w:val="nil"/>
              <w:left w:val="nil"/>
              <w:bottom w:val="nil"/>
              <w:right w:val="nil"/>
            </w:tcBorders>
            <w:shd w:val="clear" w:color="auto" w:fill="auto"/>
            <w:noWrap/>
            <w:vAlign w:val="center"/>
            <w:hideMark/>
          </w:tcPr>
          <w:p w14:paraId="7B071DB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1.56</w:t>
            </w:r>
          </w:p>
        </w:tc>
        <w:tc>
          <w:tcPr>
            <w:tcW w:w="1436" w:type="dxa"/>
            <w:tcBorders>
              <w:top w:val="nil"/>
              <w:left w:val="nil"/>
              <w:bottom w:val="nil"/>
              <w:right w:val="nil"/>
            </w:tcBorders>
            <w:shd w:val="clear" w:color="auto" w:fill="auto"/>
            <w:noWrap/>
            <w:vAlign w:val="center"/>
            <w:hideMark/>
          </w:tcPr>
          <w:p w14:paraId="5B0BA37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5.87E-03</w:t>
            </w:r>
          </w:p>
        </w:tc>
      </w:tr>
      <w:tr w:rsidR="00F47091" w:rsidRPr="003C080B" w14:paraId="0D74C933" w14:textId="77777777" w:rsidTr="00F47091">
        <w:trPr>
          <w:trHeight w:val="210"/>
        </w:trPr>
        <w:tc>
          <w:tcPr>
            <w:tcW w:w="1134" w:type="dxa"/>
            <w:tcBorders>
              <w:top w:val="nil"/>
              <w:left w:val="nil"/>
              <w:bottom w:val="nil"/>
              <w:right w:val="nil"/>
            </w:tcBorders>
            <w:shd w:val="clear" w:color="auto" w:fill="auto"/>
            <w:noWrap/>
            <w:vAlign w:val="center"/>
            <w:hideMark/>
          </w:tcPr>
          <w:p w14:paraId="5375A3F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S10-A</w:t>
            </w:r>
          </w:p>
        </w:tc>
        <w:tc>
          <w:tcPr>
            <w:tcW w:w="1140" w:type="dxa"/>
            <w:tcBorders>
              <w:top w:val="nil"/>
              <w:left w:val="nil"/>
              <w:bottom w:val="nil"/>
              <w:right w:val="nil"/>
            </w:tcBorders>
            <w:shd w:val="clear" w:color="auto" w:fill="auto"/>
            <w:noWrap/>
            <w:vAlign w:val="center"/>
            <w:hideMark/>
          </w:tcPr>
          <w:p w14:paraId="631FE55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59AF082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377</w:t>
            </w:r>
          </w:p>
        </w:tc>
        <w:tc>
          <w:tcPr>
            <w:tcW w:w="1178" w:type="dxa"/>
            <w:tcBorders>
              <w:top w:val="nil"/>
              <w:left w:val="nil"/>
              <w:bottom w:val="nil"/>
              <w:right w:val="nil"/>
            </w:tcBorders>
            <w:shd w:val="clear" w:color="auto" w:fill="auto"/>
            <w:noWrap/>
            <w:vAlign w:val="center"/>
            <w:hideMark/>
          </w:tcPr>
          <w:p w14:paraId="2AD9E664"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046852B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3139D56D"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12BD911D"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1DFA8BA5" w14:textId="77777777" w:rsidTr="00F47091">
        <w:trPr>
          <w:trHeight w:val="210"/>
        </w:trPr>
        <w:tc>
          <w:tcPr>
            <w:tcW w:w="1134" w:type="dxa"/>
            <w:tcBorders>
              <w:top w:val="nil"/>
              <w:left w:val="nil"/>
              <w:bottom w:val="nil"/>
              <w:right w:val="nil"/>
            </w:tcBorders>
            <w:shd w:val="clear" w:color="auto" w:fill="auto"/>
            <w:noWrap/>
            <w:vAlign w:val="center"/>
            <w:hideMark/>
          </w:tcPr>
          <w:p w14:paraId="54575DD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S10-A</w:t>
            </w:r>
          </w:p>
        </w:tc>
        <w:tc>
          <w:tcPr>
            <w:tcW w:w="1140" w:type="dxa"/>
            <w:tcBorders>
              <w:top w:val="nil"/>
              <w:left w:val="nil"/>
              <w:bottom w:val="nil"/>
              <w:right w:val="nil"/>
            </w:tcBorders>
            <w:shd w:val="clear" w:color="auto" w:fill="auto"/>
            <w:noWrap/>
            <w:vAlign w:val="center"/>
            <w:hideMark/>
          </w:tcPr>
          <w:p w14:paraId="36B75F9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33DBDC7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236</w:t>
            </w:r>
          </w:p>
        </w:tc>
        <w:tc>
          <w:tcPr>
            <w:tcW w:w="1178" w:type="dxa"/>
            <w:tcBorders>
              <w:top w:val="nil"/>
              <w:left w:val="nil"/>
              <w:bottom w:val="nil"/>
              <w:right w:val="nil"/>
            </w:tcBorders>
            <w:shd w:val="clear" w:color="auto" w:fill="auto"/>
            <w:noWrap/>
            <w:vAlign w:val="center"/>
            <w:hideMark/>
          </w:tcPr>
          <w:p w14:paraId="14A546DA"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239BE493"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2E9CAAE7"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4B552F0B"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702AC9B0" w14:textId="77777777" w:rsidTr="00F47091">
        <w:trPr>
          <w:trHeight w:val="210"/>
        </w:trPr>
        <w:tc>
          <w:tcPr>
            <w:tcW w:w="1134" w:type="dxa"/>
            <w:tcBorders>
              <w:top w:val="nil"/>
              <w:left w:val="nil"/>
              <w:bottom w:val="nil"/>
              <w:right w:val="nil"/>
            </w:tcBorders>
            <w:shd w:val="clear" w:color="auto" w:fill="auto"/>
            <w:noWrap/>
            <w:vAlign w:val="center"/>
            <w:hideMark/>
          </w:tcPr>
          <w:p w14:paraId="2FCBF9D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S10-A</w:t>
            </w:r>
          </w:p>
        </w:tc>
        <w:tc>
          <w:tcPr>
            <w:tcW w:w="1140" w:type="dxa"/>
            <w:tcBorders>
              <w:top w:val="nil"/>
              <w:left w:val="nil"/>
              <w:bottom w:val="nil"/>
              <w:right w:val="nil"/>
            </w:tcBorders>
            <w:shd w:val="clear" w:color="auto" w:fill="auto"/>
            <w:noWrap/>
            <w:vAlign w:val="center"/>
            <w:hideMark/>
          </w:tcPr>
          <w:p w14:paraId="3F3C1F6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008D365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271</w:t>
            </w:r>
          </w:p>
        </w:tc>
        <w:tc>
          <w:tcPr>
            <w:tcW w:w="1178" w:type="dxa"/>
            <w:tcBorders>
              <w:top w:val="nil"/>
              <w:left w:val="nil"/>
              <w:bottom w:val="nil"/>
              <w:right w:val="nil"/>
            </w:tcBorders>
            <w:shd w:val="clear" w:color="auto" w:fill="auto"/>
            <w:noWrap/>
            <w:vAlign w:val="center"/>
            <w:hideMark/>
          </w:tcPr>
          <w:p w14:paraId="446985FC"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1F45F61B"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59FF3BC7"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2FA5368F"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5C63892B" w14:textId="77777777" w:rsidTr="00F47091">
        <w:trPr>
          <w:trHeight w:val="210"/>
        </w:trPr>
        <w:tc>
          <w:tcPr>
            <w:tcW w:w="1134" w:type="dxa"/>
            <w:tcBorders>
              <w:top w:val="single" w:sz="4" w:space="0" w:color="auto"/>
              <w:left w:val="nil"/>
              <w:bottom w:val="nil"/>
              <w:right w:val="nil"/>
            </w:tcBorders>
            <w:shd w:val="clear" w:color="auto" w:fill="auto"/>
            <w:noWrap/>
            <w:vAlign w:val="center"/>
            <w:hideMark/>
          </w:tcPr>
          <w:p w14:paraId="3488588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single" w:sz="4" w:space="0" w:color="auto"/>
              <w:left w:val="nil"/>
              <w:bottom w:val="nil"/>
              <w:right w:val="nil"/>
            </w:tcBorders>
            <w:shd w:val="clear" w:color="auto" w:fill="auto"/>
            <w:noWrap/>
            <w:vAlign w:val="center"/>
            <w:hideMark/>
          </w:tcPr>
          <w:p w14:paraId="6DB9FD8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single" w:sz="4" w:space="0" w:color="auto"/>
              <w:left w:val="nil"/>
              <w:bottom w:val="nil"/>
              <w:right w:val="nil"/>
            </w:tcBorders>
            <w:shd w:val="clear" w:color="auto" w:fill="auto"/>
            <w:noWrap/>
            <w:vAlign w:val="center"/>
            <w:hideMark/>
          </w:tcPr>
          <w:p w14:paraId="1340EC6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9825</w:t>
            </w:r>
          </w:p>
        </w:tc>
        <w:tc>
          <w:tcPr>
            <w:tcW w:w="1178" w:type="dxa"/>
            <w:tcBorders>
              <w:top w:val="single" w:sz="4" w:space="0" w:color="auto"/>
              <w:left w:val="nil"/>
              <w:bottom w:val="nil"/>
              <w:right w:val="nil"/>
            </w:tcBorders>
            <w:shd w:val="clear" w:color="auto" w:fill="auto"/>
            <w:noWrap/>
            <w:vAlign w:val="center"/>
            <w:hideMark/>
          </w:tcPr>
          <w:p w14:paraId="3CB91D4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single" w:sz="4" w:space="0" w:color="auto"/>
              <w:left w:val="nil"/>
              <w:bottom w:val="nil"/>
              <w:right w:val="nil"/>
            </w:tcBorders>
            <w:shd w:val="clear" w:color="auto" w:fill="auto"/>
            <w:noWrap/>
            <w:vAlign w:val="center"/>
            <w:hideMark/>
          </w:tcPr>
          <w:p w14:paraId="24A5170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single" w:sz="4" w:space="0" w:color="auto"/>
              <w:left w:val="nil"/>
              <w:bottom w:val="nil"/>
              <w:right w:val="nil"/>
            </w:tcBorders>
            <w:shd w:val="clear" w:color="auto" w:fill="auto"/>
            <w:noWrap/>
            <w:vAlign w:val="center"/>
            <w:hideMark/>
          </w:tcPr>
          <w:p w14:paraId="6C71CA3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single" w:sz="4" w:space="0" w:color="auto"/>
              <w:left w:val="nil"/>
              <w:bottom w:val="nil"/>
              <w:right w:val="nil"/>
            </w:tcBorders>
            <w:shd w:val="clear" w:color="auto" w:fill="auto"/>
            <w:noWrap/>
            <w:vAlign w:val="center"/>
            <w:hideMark/>
          </w:tcPr>
          <w:p w14:paraId="6466F21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3.91E-03</w:t>
            </w:r>
          </w:p>
        </w:tc>
      </w:tr>
      <w:tr w:rsidR="00F47091" w:rsidRPr="003C080B" w14:paraId="1CFE4228" w14:textId="77777777" w:rsidTr="00F47091">
        <w:trPr>
          <w:trHeight w:val="210"/>
        </w:trPr>
        <w:tc>
          <w:tcPr>
            <w:tcW w:w="1134" w:type="dxa"/>
            <w:tcBorders>
              <w:top w:val="nil"/>
              <w:left w:val="nil"/>
              <w:bottom w:val="nil"/>
              <w:right w:val="nil"/>
            </w:tcBorders>
            <w:shd w:val="clear" w:color="auto" w:fill="auto"/>
            <w:noWrap/>
            <w:vAlign w:val="center"/>
            <w:hideMark/>
          </w:tcPr>
          <w:p w14:paraId="719224C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0E994D7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2A3EAFF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6121</w:t>
            </w:r>
          </w:p>
        </w:tc>
        <w:tc>
          <w:tcPr>
            <w:tcW w:w="1178" w:type="dxa"/>
            <w:tcBorders>
              <w:top w:val="nil"/>
              <w:left w:val="nil"/>
              <w:bottom w:val="nil"/>
              <w:right w:val="nil"/>
            </w:tcBorders>
            <w:shd w:val="clear" w:color="auto" w:fill="auto"/>
            <w:noWrap/>
            <w:vAlign w:val="center"/>
            <w:hideMark/>
          </w:tcPr>
          <w:p w14:paraId="41F184B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697D9FE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136CFE1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575CC4F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2.42E-03</w:t>
            </w:r>
          </w:p>
        </w:tc>
      </w:tr>
      <w:tr w:rsidR="00F47091" w:rsidRPr="003C080B" w14:paraId="5B85C8C9" w14:textId="77777777" w:rsidTr="00F47091">
        <w:trPr>
          <w:trHeight w:val="210"/>
        </w:trPr>
        <w:tc>
          <w:tcPr>
            <w:tcW w:w="1134" w:type="dxa"/>
            <w:tcBorders>
              <w:top w:val="nil"/>
              <w:left w:val="nil"/>
              <w:bottom w:val="nil"/>
              <w:right w:val="nil"/>
            </w:tcBorders>
            <w:shd w:val="clear" w:color="auto" w:fill="auto"/>
            <w:noWrap/>
            <w:vAlign w:val="center"/>
            <w:hideMark/>
          </w:tcPr>
          <w:p w14:paraId="613CB20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7085900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4EF42BB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15504</w:t>
            </w:r>
          </w:p>
        </w:tc>
        <w:tc>
          <w:tcPr>
            <w:tcW w:w="1178" w:type="dxa"/>
            <w:tcBorders>
              <w:top w:val="nil"/>
              <w:left w:val="nil"/>
              <w:bottom w:val="nil"/>
              <w:right w:val="nil"/>
            </w:tcBorders>
            <w:shd w:val="clear" w:color="auto" w:fill="auto"/>
            <w:noWrap/>
            <w:vAlign w:val="center"/>
            <w:hideMark/>
          </w:tcPr>
          <w:p w14:paraId="083D37F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F97B7B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6A6FFD4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6553D10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6.23E-03</w:t>
            </w:r>
          </w:p>
        </w:tc>
      </w:tr>
      <w:tr w:rsidR="00F47091" w:rsidRPr="003C080B" w14:paraId="036CE0AA" w14:textId="77777777" w:rsidTr="00F47091">
        <w:trPr>
          <w:trHeight w:val="210"/>
        </w:trPr>
        <w:tc>
          <w:tcPr>
            <w:tcW w:w="1134" w:type="dxa"/>
            <w:tcBorders>
              <w:top w:val="nil"/>
              <w:left w:val="nil"/>
              <w:bottom w:val="nil"/>
              <w:right w:val="nil"/>
            </w:tcBorders>
            <w:shd w:val="clear" w:color="auto" w:fill="auto"/>
            <w:noWrap/>
            <w:vAlign w:val="center"/>
            <w:hideMark/>
          </w:tcPr>
          <w:p w14:paraId="3674B46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363A27D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70173B1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c>
          <w:tcPr>
            <w:tcW w:w="1178" w:type="dxa"/>
            <w:tcBorders>
              <w:top w:val="nil"/>
              <w:left w:val="nil"/>
              <w:bottom w:val="nil"/>
              <w:right w:val="nil"/>
            </w:tcBorders>
            <w:shd w:val="clear" w:color="auto" w:fill="auto"/>
            <w:noWrap/>
            <w:vAlign w:val="center"/>
            <w:hideMark/>
          </w:tcPr>
          <w:p w14:paraId="464204D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6DBFB9B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6F43872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0CA3CFF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r>
      <w:tr w:rsidR="00F47091" w:rsidRPr="003C080B" w14:paraId="5809CA88" w14:textId="77777777" w:rsidTr="00F47091">
        <w:trPr>
          <w:trHeight w:val="210"/>
        </w:trPr>
        <w:tc>
          <w:tcPr>
            <w:tcW w:w="1134" w:type="dxa"/>
            <w:tcBorders>
              <w:top w:val="nil"/>
              <w:left w:val="nil"/>
              <w:bottom w:val="nil"/>
              <w:right w:val="nil"/>
            </w:tcBorders>
            <w:shd w:val="clear" w:color="auto" w:fill="auto"/>
            <w:noWrap/>
            <w:vAlign w:val="center"/>
            <w:hideMark/>
          </w:tcPr>
          <w:p w14:paraId="02F38F4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54CBA4F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2384E80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c>
          <w:tcPr>
            <w:tcW w:w="1178" w:type="dxa"/>
            <w:tcBorders>
              <w:top w:val="nil"/>
              <w:left w:val="nil"/>
              <w:bottom w:val="nil"/>
              <w:right w:val="nil"/>
            </w:tcBorders>
            <w:shd w:val="clear" w:color="auto" w:fill="auto"/>
            <w:noWrap/>
            <w:vAlign w:val="center"/>
            <w:hideMark/>
          </w:tcPr>
          <w:p w14:paraId="3CC66A4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2E6EFF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108FD07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783D058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r>
      <w:tr w:rsidR="00F47091" w:rsidRPr="003C080B" w14:paraId="50199490" w14:textId="77777777" w:rsidTr="00F47091">
        <w:trPr>
          <w:trHeight w:val="210"/>
        </w:trPr>
        <w:tc>
          <w:tcPr>
            <w:tcW w:w="1134" w:type="dxa"/>
            <w:tcBorders>
              <w:top w:val="nil"/>
              <w:left w:val="nil"/>
              <w:bottom w:val="nil"/>
              <w:right w:val="nil"/>
            </w:tcBorders>
            <w:shd w:val="clear" w:color="auto" w:fill="auto"/>
            <w:noWrap/>
            <w:vAlign w:val="center"/>
            <w:hideMark/>
          </w:tcPr>
          <w:p w14:paraId="0AABB02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7790AAF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03FBC2C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c>
          <w:tcPr>
            <w:tcW w:w="1178" w:type="dxa"/>
            <w:tcBorders>
              <w:top w:val="nil"/>
              <w:left w:val="nil"/>
              <w:bottom w:val="nil"/>
              <w:right w:val="nil"/>
            </w:tcBorders>
            <w:shd w:val="clear" w:color="auto" w:fill="auto"/>
            <w:noWrap/>
            <w:vAlign w:val="center"/>
            <w:hideMark/>
          </w:tcPr>
          <w:p w14:paraId="6C6C790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86AE8F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587912A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37CD0A8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w:t>
            </w:r>
          </w:p>
        </w:tc>
      </w:tr>
      <w:tr w:rsidR="00F47091" w:rsidRPr="003C080B" w14:paraId="47189A18" w14:textId="77777777" w:rsidTr="00F47091">
        <w:trPr>
          <w:trHeight w:val="210"/>
        </w:trPr>
        <w:tc>
          <w:tcPr>
            <w:tcW w:w="1134" w:type="dxa"/>
            <w:tcBorders>
              <w:top w:val="nil"/>
              <w:left w:val="nil"/>
              <w:bottom w:val="nil"/>
              <w:right w:val="nil"/>
            </w:tcBorders>
            <w:shd w:val="clear" w:color="auto" w:fill="auto"/>
            <w:noWrap/>
            <w:vAlign w:val="center"/>
            <w:hideMark/>
          </w:tcPr>
          <w:p w14:paraId="0065490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48AE8C6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6B4CE12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8768</w:t>
            </w:r>
          </w:p>
        </w:tc>
        <w:tc>
          <w:tcPr>
            <w:tcW w:w="1178" w:type="dxa"/>
            <w:tcBorders>
              <w:top w:val="nil"/>
              <w:left w:val="nil"/>
              <w:bottom w:val="nil"/>
              <w:right w:val="nil"/>
            </w:tcBorders>
            <w:shd w:val="clear" w:color="auto" w:fill="auto"/>
            <w:noWrap/>
            <w:vAlign w:val="center"/>
            <w:hideMark/>
          </w:tcPr>
          <w:p w14:paraId="7F664A9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248705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000A088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1BF5FDD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3.49E-03</w:t>
            </w:r>
          </w:p>
        </w:tc>
      </w:tr>
      <w:tr w:rsidR="00F47091" w:rsidRPr="003C080B" w14:paraId="6BE5515C" w14:textId="77777777" w:rsidTr="00F47091">
        <w:trPr>
          <w:trHeight w:val="210"/>
        </w:trPr>
        <w:tc>
          <w:tcPr>
            <w:tcW w:w="1134" w:type="dxa"/>
            <w:tcBorders>
              <w:top w:val="nil"/>
              <w:left w:val="nil"/>
              <w:bottom w:val="nil"/>
              <w:right w:val="nil"/>
            </w:tcBorders>
            <w:shd w:val="clear" w:color="auto" w:fill="auto"/>
            <w:noWrap/>
            <w:vAlign w:val="center"/>
            <w:hideMark/>
          </w:tcPr>
          <w:p w14:paraId="15DC628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42BCF71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660E91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10668</w:t>
            </w:r>
          </w:p>
        </w:tc>
        <w:tc>
          <w:tcPr>
            <w:tcW w:w="1178" w:type="dxa"/>
            <w:tcBorders>
              <w:top w:val="nil"/>
              <w:left w:val="nil"/>
              <w:bottom w:val="nil"/>
              <w:right w:val="nil"/>
            </w:tcBorders>
            <w:shd w:val="clear" w:color="auto" w:fill="auto"/>
            <w:noWrap/>
            <w:vAlign w:val="center"/>
            <w:hideMark/>
          </w:tcPr>
          <w:p w14:paraId="2EDB74E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3421397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79A702E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1727C60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4.26E-03</w:t>
            </w:r>
          </w:p>
        </w:tc>
      </w:tr>
      <w:tr w:rsidR="00F47091" w:rsidRPr="003C080B" w14:paraId="43ABCD25" w14:textId="77777777" w:rsidTr="00F47091">
        <w:trPr>
          <w:trHeight w:val="210"/>
        </w:trPr>
        <w:tc>
          <w:tcPr>
            <w:tcW w:w="1134" w:type="dxa"/>
            <w:tcBorders>
              <w:top w:val="nil"/>
              <w:left w:val="nil"/>
              <w:bottom w:val="nil"/>
              <w:right w:val="nil"/>
            </w:tcBorders>
            <w:shd w:val="clear" w:color="auto" w:fill="auto"/>
            <w:noWrap/>
            <w:vAlign w:val="center"/>
            <w:hideMark/>
          </w:tcPr>
          <w:p w14:paraId="576F2D8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S10-H</w:t>
            </w:r>
          </w:p>
        </w:tc>
        <w:tc>
          <w:tcPr>
            <w:tcW w:w="1140" w:type="dxa"/>
            <w:tcBorders>
              <w:top w:val="nil"/>
              <w:left w:val="nil"/>
              <w:bottom w:val="nil"/>
              <w:right w:val="nil"/>
            </w:tcBorders>
            <w:shd w:val="clear" w:color="auto" w:fill="auto"/>
            <w:noWrap/>
            <w:vAlign w:val="center"/>
            <w:hideMark/>
          </w:tcPr>
          <w:p w14:paraId="5F33999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5998437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23751</w:t>
            </w:r>
          </w:p>
        </w:tc>
        <w:tc>
          <w:tcPr>
            <w:tcW w:w="1178" w:type="dxa"/>
            <w:tcBorders>
              <w:top w:val="nil"/>
              <w:left w:val="nil"/>
              <w:bottom w:val="nil"/>
              <w:right w:val="nil"/>
            </w:tcBorders>
            <w:shd w:val="clear" w:color="auto" w:fill="auto"/>
            <w:noWrap/>
            <w:vAlign w:val="center"/>
            <w:hideMark/>
          </w:tcPr>
          <w:p w14:paraId="416137F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49AD1C1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0.18</w:t>
            </w:r>
          </w:p>
        </w:tc>
        <w:tc>
          <w:tcPr>
            <w:tcW w:w="1037" w:type="dxa"/>
            <w:tcBorders>
              <w:top w:val="nil"/>
              <w:left w:val="nil"/>
              <w:bottom w:val="nil"/>
              <w:right w:val="nil"/>
            </w:tcBorders>
            <w:shd w:val="clear" w:color="auto" w:fill="auto"/>
            <w:noWrap/>
            <w:vAlign w:val="center"/>
            <w:hideMark/>
          </w:tcPr>
          <w:p w14:paraId="111B163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0.35</w:t>
            </w:r>
          </w:p>
        </w:tc>
        <w:tc>
          <w:tcPr>
            <w:tcW w:w="1436" w:type="dxa"/>
            <w:tcBorders>
              <w:top w:val="nil"/>
              <w:left w:val="nil"/>
              <w:bottom w:val="nil"/>
              <w:right w:val="nil"/>
            </w:tcBorders>
            <w:shd w:val="clear" w:color="auto" w:fill="auto"/>
            <w:noWrap/>
            <w:vAlign w:val="center"/>
            <w:hideMark/>
          </w:tcPr>
          <w:p w14:paraId="572F10F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9.56E-03</w:t>
            </w:r>
          </w:p>
        </w:tc>
      </w:tr>
      <w:tr w:rsidR="00F47091" w:rsidRPr="003C080B" w14:paraId="45544950" w14:textId="77777777" w:rsidTr="00F47091">
        <w:trPr>
          <w:trHeight w:val="210"/>
        </w:trPr>
        <w:tc>
          <w:tcPr>
            <w:tcW w:w="1134" w:type="dxa"/>
            <w:tcBorders>
              <w:top w:val="nil"/>
              <w:left w:val="nil"/>
              <w:bottom w:val="nil"/>
              <w:right w:val="nil"/>
            </w:tcBorders>
            <w:shd w:val="clear" w:color="auto" w:fill="auto"/>
            <w:noWrap/>
            <w:vAlign w:val="center"/>
            <w:hideMark/>
          </w:tcPr>
          <w:p w14:paraId="30E9DB5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S10-H</w:t>
            </w:r>
          </w:p>
        </w:tc>
        <w:tc>
          <w:tcPr>
            <w:tcW w:w="1140" w:type="dxa"/>
            <w:tcBorders>
              <w:top w:val="nil"/>
              <w:left w:val="nil"/>
              <w:bottom w:val="nil"/>
              <w:right w:val="nil"/>
            </w:tcBorders>
            <w:shd w:val="clear" w:color="auto" w:fill="auto"/>
            <w:noWrap/>
            <w:vAlign w:val="center"/>
            <w:hideMark/>
          </w:tcPr>
          <w:p w14:paraId="169126E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598D19A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147</w:t>
            </w:r>
          </w:p>
        </w:tc>
        <w:tc>
          <w:tcPr>
            <w:tcW w:w="1178" w:type="dxa"/>
            <w:tcBorders>
              <w:top w:val="nil"/>
              <w:left w:val="nil"/>
              <w:bottom w:val="nil"/>
              <w:right w:val="nil"/>
            </w:tcBorders>
            <w:shd w:val="clear" w:color="auto" w:fill="auto"/>
            <w:noWrap/>
            <w:vAlign w:val="center"/>
            <w:hideMark/>
          </w:tcPr>
          <w:p w14:paraId="151E9B1A"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5230F01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3A776C4F"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1282F742"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47B5DBEA" w14:textId="77777777" w:rsidTr="00F47091">
        <w:trPr>
          <w:trHeight w:val="210"/>
        </w:trPr>
        <w:tc>
          <w:tcPr>
            <w:tcW w:w="1134" w:type="dxa"/>
            <w:tcBorders>
              <w:top w:val="nil"/>
              <w:left w:val="nil"/>
              <w:bottom w:val="nil"/>
              <w:right w:val="nil"/>
            </w:tcBorders>
            <w:shd w:val="clear" w:color="auto" w:fill="auto"/>
            <w:noWrap/>
            <w:vAlign w:val="center"/>
            <w:hideMark/>
          </w:tcPr>
          <w:p w14:paraId="4D8D4D9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S10-H</w:t>
            </w:r>
          </w:p>
        </w:tc>
        <w:tc>
          <w:tcPr>
            <w:tcW w:w="1140" w:type="dxa"/>
            <w:tcBorders>
              <w:top w:val="nil"/>
              <w:left w:val="nil"/>
              <w:bottom w:val="nil"/>
              <w:right w:val="nil"/>
            </w:tcBorders>
            <w:shd w:val="clear" w:color="auto" w:fill="auto"/>
            <w:noWrap/>
            <w:vAlign w:val="center"/>
            <w:hideMark/>
          </w:tcPr>
          <w:p w14:paraId="40E6774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47B3F2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129</w:t>
            </w:r>
          </w:p>
        </w:tc>
        <w:tc>
          <w:tcPr>
            <w:tcW w:w="1178" w:type="dxa"/>
            <w:tcBorders>
              <w:top w:val="nil"/>
              <w:left w:val="nil"/>
              <w:bottom w:val="nil"/>
              <w:right w:val="nil"/>
            </w:tcBorders>
            <w:shd w:val="clear" w:color="auto" w:fill="auto"/>
            <w:noWrap/>
            <w:vAlign w:val="center"/>
            <w:hideMark/>
          </w:tcPr>
          <w:p w14:paraId="6731A862"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771597C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126DC2BC"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17D45461"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164C3821" w14:textId="77777777" w:rsidTr="00F47091">
        <w:trPr>
          <w:trHeight w:val="210"/>
        </w:trPr>
        <w:tc>
          <w:tcPr>
            <w:tcW w:w="1134" w:type="dxa"/>
            <w:tcBorders>
              <w:top w:val="nil"/>
              <w:left w:val="nil"/>
              <w:bottom w:val="nil"/>
              <w:right w:val="nil"/>
            </w:tcBorders>
            <w:shd w:val="clear" w:color="auto" w:fill="auto"/>
            <w:noWrap/>
            <w:vAlign w:val="center"/>
            <w:hideMark/>
          </w:tcPr>
          <w:p w14:paraId="26C26F3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S10-H</w:t>
            </w:r>
          </w:p>
        </w:tc>
        <w:tc>
          <w:tcPr>
            <w:tcW w:w="1140" w:type="dxa"/>
            <w:tcBorders>
              <w:top w:val="nil"/>
              <w:left w:val="nil"/>
              <w:bottom w:val="nil"/>
              <w:right w:val="nil"/>
            </w:tcBorders>
            <w:shd w:val="clear" w:color="auto" w:fill="auto"/>
            <w:noWrap/>
            <w:vAlign w:val="center"/>
            <w:hideMark/>
          </w:tcPr>
          <w:p w14:paraId="0C311DD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5353B0C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109</w:t>
            </w:r>
          </w:p>
        </w:tc>
        <w:tc>
          <w:tcPr>
            <w:tcW w:w="1178" w:type="dxa"/>
            <w:tcBorders>
              <w:top w:val="nil"/>
              <w:left w:val="nil"/>
              <w:bottom w:val="nil"/>
              <w:right w:val="nil"/>
            </w:tcBorders>
            <w:shd w:val="clear" w:color="auto" w:fill="auto"/>
            <w:noWrap/>
            <w:vAlign w:val="center"/>
            <w:hideMark/>
          </w:tcPr>
          <w:p w14:paraId="4CB1A80C"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5688A17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52A7022F"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6C0BA880"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77B973A1" w14:textId="77777777" w:rsidTr="00F47091">
        <w:trPr>
          <w:trHeight w:val="210"/>
        </w:trPr>
        <w:tc>
          <w:tcPr>
            <w:tcW w:w="1134" w:type="dxa"/>
            <w:tcBorders>
              <w:top w:val="single" w:sz="4" w:space="0" w:color="auto"/>
              <w:left w:val="nil"/>
              <w:bottom w:val="nil"/>
              <w:right w:val="nil"/>
            </w:tcBorders>
            <w:shd w:val="clear" w:color="auto" w:fill="auto"/>
            <w:noWrap/>
            <w:vAlign w:val="center"/>
            <w:hideMark/>
          </w:tcPr>
          <w:p w14:paraId="051206C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single" w:sz="4" w:space="0" w:color="auto"/>
              <w:left w:val="nil"/>
              <w:bottom w:val="nil"/>
              <w:right w:val="nil"/>
            </w:tcBorders>
            <w:shd w:val="clear" w:color="auto" w:fill="auto"/>
            <w:noWrap/>
            <w:vAlign w:val="center"/>
            <w:hideMark/>
          </w:tcPr>
          <w:p w14:paraId="1F99FFD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single" w:sz="4" w:space="0" w:color="auto"/>
              <w:left w:val="nil"/>
              <w:bottom w:val="nil"/>
              <w:right w:val="nil"/>
            </w:tcBorders>
            <w:shd w:val="clear" w:color="auto" w:fill="auto"/>
            <w:noWrap/>
            <w:vAlign w:val="center"/>
            <w:hideMark/>
          </w:tcPr>
          <w:p w14:paraId="71F9B4B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5959</w:t>
            </w:r>
          </w:p>
        </w:tc>
        <w:tc>
          <w:tcPr>
            <w:tcW w:w="1178" w:type="dxa"/>
            <w:tcBorders>
              <w:top w:val="single" w:sz="4" w:space="0" w:color="auto"/>
              <w:left w:val="nil"/>
              <w:bottom w:val="nil"/>
              <w:right w:val="nil"/>
            </w:tcBorders>
            <w:shd w:val="clear" w:color="auto" w:fill="auto"/>
            <w:noWrap/>
            <w:vAlign w:val="center"/>
            <w:hideMark/>
          </w:tcPr>
          <w:p w14:paraId="1398001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single" w:sz="4" w:space="0" w:color="auto"/>
              <w:left w:val="nil"/>
              <w:bottom w:val="nil"/>
              <w:right w:val="nil"/>
            </w:tcBorders>
            <w:shd w:val="clear" w:color="auto" w:fill="auto"/>
            <w:noWrap/>
            <w:vAlign w:val="center"/>
            <w:hideMark/>
          </w:tcPr>
          <w:p w14:paraId="49476F9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single" w:sz="4" w:space="0" w:color="auto"/>
              <w:left w:val="nil"/>
              <w:bottom w:val="nil"/>
              <w:right w:val="nil"/>
            </w:tcBorders>
            <w:shd w:val="clear" w:color="auto" w:fill="auto"/>
            <w:noWrap/>
            <w:vAlign w:val="center"/>
            <w:hideMark/>
          </w:tcPr>
          <w:p w14:paraId="5491689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single" w:sz="4" w:space="0" w:color="auto"/>
              <w:left w:val="nil"/>
              <w:bottom w:val="nil"/>
              <w:right w:val="nil"/>
            </w:tcBorders>
            <w:shd w:val="clear" w:color="auto" w:fill="auto"/>
            <w:noWrap/>
            <w:vAlign w:val="center"/>
            <w:hideMark/>
          </w:tcPr>
          <w:p w14:paraId="69658C0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2.25E-03</w:t>
            </w:r>
          </w:p>
        </w:tc>
      </w:tr>
      <w:tr w:rsidR="00F47091" w:rsidRPr="003C080B" w14:paraId="5F5BD2E8" w14:textId="77777777" w:rsidTr="00F47091">
        <w:trPr>
          <w:trHeight w:val="210"/>
        </w:trPr>
        <w:tc>
          <w:tcPr>
            <w:tcW w:w="1134" w:type="dxa"/>
            <w:tcBorders>
              <w:top w:val="nil"/>
              <w:left w:val="nil"/>
              <w:bottom w:val="nil"/>
              <w:right w:val="nil"/>
            </w:tcBorders>
            <w:shd w:val="clear" w:color="auto" w:fill="auto"/>
            <w:noWrap/>
            <w:vAlign w:val="center"/>
            <w:hideMark/>
          </w:tcPr>
          <w:p w14:paraId="2095E33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3139CAC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1126324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974</w:t>
            </w:r>
          </w:p>
        </w:tc>
        <w:tc>
          <w:tcPr>
            <w:tcW w:w="1178" w:type="dxa"/>
            <w:tcBorders>
              <w:top w:val="nil"/>
              <w:left w:val="nil"/>
              <w:bottom w:val="nil"/>
              <w:right w:val="nil"/>
            </w:tcBorders>
            <w:shd w:val="clear" w:color="auto" w:fill="auto"/>
            <w:noWrap/>
            <w:vAlign w:val="center"/>
            <w:hideMark/>
          </w:tcPr>
          <w:p w14:paraId="0163A7C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6728834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184098D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0134BDA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1.82E-04</w:t>
            </w:r>
          </w:p>
        </w:tc>
      </w:tr>
      <w:tr w:rsidR="00F47091" w:rsidRPr="003C080B" w14:paraId="2A843582" w14:textId="77777777" w:rsidTr="00F47091">
        <w:trPr>
          <w:trHeight w:val="210"/>
        </w:trPr>
        <w:tc>
          <w:tcPr>
            <w:tcW w:w="1134" w:type="dxa"/>
            <w:tcBorders>
              <w:top w:val="nil"/>
              <w:left w:val="nil"/>
              <w:bottom w:val="nil"/>
              <w:right w:val="nil"/>
            </w:tcBorders>
            <w:shd w:val="clear" w:color="auto" w:fill="auto"/>
            <w:noWrap/>
            <w:vAlign w:val="center"/>
            <w:hideMark/>
          </w:tcPr>
          <w:p w14:paraId="60B6ED1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64B181D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08CFC93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2533</w:t>
            </w:r>
          </w:p>
        </w:tc>
        <w:tc>
          <w:tcPr>
            <w:tcW w:w="1178" w:type="dxa"/>
            <w:tcBorders>
              <w:top w:val="nil"/>
              <w:left w:val="nil"/>
              <w:bottom w:val="nil"/>
              <w:right w:val="nil"/>
            </w:tcBorders>
            <w:shd w:val="clear" w:color="auto" w:fill="auto"/>
            <w:noWrap/>
            <w:vAlign w:val="center"/>
            <w:hideMark/>
          </w:tcPr>
          <w:p w14:paraId="2666F2D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67FBE6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7DB794F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06DB6A2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1.06E-03</w:t>
            </w:r>
          </w:p>
        </w:tc>
      </w:tr>
      <w:tr w:rsidR="00F47091" w:rsidRPr="003C080B" w14:paraId="71051DA3" w14:textId="77777777" w:rsidTr="00F47091">
        <w:trPr>
          <w:trHeight w:val="210"/>
        </w:trPr>
        <w:tc>
          <w:tcPr>
            <w:tcW w:w="1134" w:type="dxa"/>
            <w:tcBorders>
              <w:top w:val="nil"/>
              <w:left w:val="nil"/>
              <w:bottom w:val="nil"/>
              <w:right w:val="nil"/>
            </w:tcBorders>
            <w:shd w:val="clear" w:color="auto" w:fill="auto"/>
            <w:noWrap/>
            <w:vAlign w:val="center"/>
            <w:hideMark/>
          </w:tcPr>
          <w:p w14:paraId="2D057FD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4705224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2B0013B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4287</w:t>
            </w:r>
          </w:p>
        </w:tc>
        <w:tc>
          <w:tcPr>
            <w:tcW w:w="1178" w:type="dxa"/>
            <w:tcBorders>
              <w:top w:val="nil"/>
              <w:left w:val="nil"/>
              <w:bottom w:val="nil"/>
              <w:right w:val="nil"/>
            </w:tcBorders>
            <w:shd w:val="clear" w:color="auto" w:fill="auto"/>
            <w:noWrap/>
            <w:vAlign w:val="center"/>
            <w:hideMark/>
          </w:tcPr>
          <w:p w14:paraId="3D0065B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34ACCF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77A6BF8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530E920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1.39E-03</w:t>
            </w:r>
          </w:p>
        </w:tc>
      </w:tr>
      <w:tr w:rsidR="00F47091" w:rsidRPr="003C080B" w14:paraId="56C89329" w14:textId="77777777" w:rsidTr="00F47091">
        <w:trPr>
          <w:trHeight w:val="210"/>
        </w:trPr>
        <w:tc>
          <w:tcPr>
            <w:tcW w:w="1134" w:type="dxa"/>
            <w:tcBorders>
              <w:top w:val="nil"/>
              <w:left w:val="nil"/>
              <w:bottom w:val="nil"/>
              <w:right w:val="nil"/>
            </w:tcBorders>
            <w:shd w:val="clear" w:color="auto" w:fill="auto"/>
            <w:noWrap/>
            <w:vAlign w:val="center"/>
            <w:hideMark/>
          </w:tcPr>
          <w:p w14:paraId="6C4EE32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296D79E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7EB77C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3017</w:t>
            </w:r>
          </w:p>
        </w:tc>
        <w:tc>
          <w:tcPr>
            <w:tcW w:w="1178" w:type="dxa"/>
            <w:tcBorders>
              <w:top w:val="nil"/>
              <w:left w:val="nil"/>
              <w:bottom w:val="nil"/>
              <w:right w:val="nil"/>
            </w:tcBorders>
            <w:shd w:val="clear" w:color="auto" w:fill="auto"/>
            <w:noWrap/>
            <w:vAlign w:val="center"/>
            <w:hideMark/>
          </w:tcPr>
          <w:p w14:paraId="4F5FD33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A375D8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290B7E0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38EF7E2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1.30E-03</w:t>
            </w:r>
          </w:p>
        </w:tc>
      </w:tr>
      <w:tr w:rsidR="00F47091" w:rsidRPr="003C080B" w14:paraId="68C52F2D" w14:textId="77777777" w:rsidTr="00F47091">
        <w:trPr>
          <w:trHeight w:val="210"/>
        </w:trPr>
        <w:tc>
          <w:tcPr>
            <w:tcW w:w="1134" w:type="dxa"/>
            <w:tcBorders>
              <w:top w:val="nil"/>
              <w:left w:val="nil"/>
              <w:bottom w:val="nil"/>
              <w:right w:val="nil"/>
            </w:tcBorders>
            <w:shd w:val="clear" w:color="auto" w:fill="auto"/>
            <w:noWrap/>
            <w:vAlign w:val="center"/>
            <w:hideMark/>
          </w:tcPr>
          <w:p w14:paraId="67C26DA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28F6614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0EFE11E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11481</w:t>
            </w:r>
          </w:p>
        </w:tc>
        <w:tc>
          <w:tcPr>
            <w:tcW w:w="1178" w:type="dxa"/>
            <w:tcBorders>
              <w:top w:val="nil"/>
              <w:left w:val="nil"/>
              <w:bottom w:val="nil"/>
              <w:right w:val="nil"/>
            </w:tcBorders>
            <w:shd w:val="clear" w:color="auto" w:fill="auto"/>
            <w:noWrap/>
            <w:vAlign w:val="center"/>
            <w:hideMark/>
          </w:tcPr>
          <w:p w14:paraId="44014DC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01112E4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0B29E82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61BB47F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5.64E-03</w:t>
            </w:r>
          </w:p>
        </w:tc>
      </w:tr>
      <w:tr w:rsidR="00F47091" w:rsidRPr="003C080B" w14:paraId="6A17A4E4" w14:textId="77777777" w:rsidTr="00F47091">
        <w:trPr>
          <w:trHeight w:val="210"/>
        </w:trPr>
        <w:tc>
          <w:tcPr>
            <w:tcW w:w="1134" w:type="dxa"/>
            <w:tcBorders>
              <w:top w:val="nil"/>
              <w:left w:val="nil"/>
              <w:bottom w:val="nil"/>
              <w:right w:val="nil"/>
            </w:tcBorders>
            <w:shd w:val="clear" w:color="auto" w:fill="auto"/>
            <w:noWrap/>
            <w:vAlign w:val="center"/>
            <w:hideMark/>
          </w:tcPr>
          <w:p w14:paraId="6FAFC25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44BF5A2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7BF235D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8084</w:t>
            </w:r>
          </w:p>
        </w:tc>
        <w:tc>
          <w:tcPr>
            <w:tcW w:w="1178" w:type="dxa"/>
            <w:tcBorders>
              <w:top w:val="nil"/>
              <w:left w:val="nil"/>
              <w:bottom w:val="nil"/>
              <w:right w:val="nil"/>
            </w:tcBorders>
            <w:shd w:val="clear" w:color="auto" w:fill="auto"/>
            <w:noWrap/>
            <w:vAlign w:val="center"/>
            <w:hideMark/>
          </w:tcPr>
          <w:p w14:paraId="1608C21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6909BFF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3615827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723B5AC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3.33E-03</w:t>
            </w:r>
          </w:p>
        </w:tc>
      </w:tr>
      <w:tr w:rsidR="00F47091" w:rsidRPr="003C080B" w14:paraId="63E70BE1" w14:textId="77777777" w:rsidTr="00F47091">
        <w:trPr>
          <w:trHeight w:val="210"/>
        </w:trPr>
        <w:tc>
          <w:tcPr>
            <w:tcW w:w="1134" w:type="dxa"/>
            <w:tcBorders>
              <w:top w:val="nil"/>
              <w:left w:val="nil"/>
              <w:bottom w:val="nil"/>
              <w:right w:val="nil"/>
            </w:tcBorders>
            <w:shd w:val="clear" w:color="auto" w:fill="auto"/>
            <w:noWrap/>
            <w:vAlign w:val="center"/>
            <w:hideMark/>
          </w:tcPr>
          <w:p w14:paraId="281DBC0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17C36CC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3F2FE68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2867</w:t>
            </w:r>
          </w:p>
        </w:tc>
        <w:tc>
          <w:tcPr>
            <w:tcW w:w="1178" w:type="dxa"/>
            <w:tcBorders>
              <w:top w:val="nil"/>
              <w:left w:val="nil"/>
              <w:bottom w:val="nil"/>
              <w:right w:val="nil"/>
            </w:tcBorders>
            <w:shd w:val="clear" w:color="auto" w:fill="auto"/>
            <w:noWrap/>
            <w:vAlign w:val="center"/>
            <w:hideMark/>
          </w:tcPr>
          <w:p w14:paraId="2BABAEA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7457D57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68A53B2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25DB2A0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1.23E-03</w:t>
            </w:r>
          </w:p>
        </w:tc>
      </w:tr>
      <w:tr w:rsidR="00F47091" w:rsidRPr="003C080B" w14:paraId="33547BB4" w14:textId="77777777" w:rsidTr="00F47091">
        <w:trPr>
          <w:trHeight w:val="210"/>
        </w:trPr>
        <w:tc>
          <w:tcPr>
            <w:tcW w:w="1134" w:type="dxa"/>
            <w:tcBorders>
              <w:top w:val="nil"/>
              <w:left w:val="nil"/>
              <w:bottom w:val="nil"/>
              <w:right w:val="nil"/>
            </w:tcBorders>
            <w:shd w:val="clear" w:color="auto" w:fill="auto"/>
            <w:noWrap/>
            <w:vAlign w:val="center"/>
            <w:hideMark/>
          </w:tcPr>
          <w:p w14:paraId="31BF945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S11</w:t>
            </w:r>
          </w:p>
        </w:tc>
        <w:tc>
          <w:tcPr>
            <w:tcW w:w="1140" w:type="dxa"/>
            <w:tcBorders>
              <w:top w:val="nil"/>
              <w:left w:val="nil"/>
              <w:bottom w:val="nil"/>
              <w:right w:val="nil"/>
            </w:tcBorders>
            <w:shd w:val="clear" w:color="auto" w:fill="auto"/>
            <w:noWrap/>
            <w:vAlign w:val="center"/>
            <w:hideMark/>
          </w:tcPr>
          <w:p w14:paraId="1DAA08F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1F27039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6337</w:t>
            </w:r>
          </w:p>
        </w:tc>
        <w:tc>
          <w:tcPr>
            <w:tcW w:w="1178" w:type="dxa"/>
            <w:tcBorders>
              <w:top w:val="nil"/>
              <w:left w:val="nil"/>
              <w:bottom w:val="nil"/>
              <w:right w:val="nil"/>
            </w:tcBorders>
            <w:shd w:val="clear" w:color="auto" w:fill="auto"/>
            <w:noWrap/>
            <w:vAlign w:val="center"/>
            <w:hideMark/>
          </w:tcPr>
          <w:p w14:paraId="36C258A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8CEF3F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16728F5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0.41</w:t>
            </w:r>
          </w:p>
        </w:tc>
        <w:tc>
          <w:tcPr>
            <w:tcW w:w="1436" w:type="dxa"/>
            <w:tcBorders>
              <w:top w:val="nil"/>
              <w:left w:val="nil"/>
              <w:bottom w:val="nil"/>
              <w:right w:val="nil"/>
            </w:tcBorders>
            <w:shd w:val="clear" w:color="auto" w:fill="auto"/>
            <w:noWrap/>
            <w:vAlign w:val="center"/>
            <w:hideMark/>
          </w:tcPr>
          <w:p w14:paraId="43F1EE6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3.01E-03</w:t>
            </w:r>
          </w:p>
        </w:tc>
      </w:tr>
      <w:tr w:rsidR="00F47091" w:rsidRPr="003C080B" w14:paraId="33AD5279" w14:textId="77777777" w:rsidTr="00F47091">
        <w:trPr>
          <w:trHeight w:val="210"/>
        </w:trPr>
        <w:tc>
          <w:tcPr>
            <w:tcW w:w="1134" w:type="dxa"/>
            <w:tcBorders>
              <w:top w:val="nil"/>
              <w:left w:val="nil"/>
              <w:bottom w:val="nil"/>
              <w:right w:val="nil"/>
            </w:tcBorders>
            <w:shd w:val="clear" w:color="auto" w:fill="auto"/>
            <w:noWrap/>
            <w:vAlign w:val="center"/>
            <w:hideMark/>
          </w:tcPr>
          <w:p w14:paraId="4B1A736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S11</w:t>
            </w:r>
          </w:p>
        </w:tc>
        <w:tc>
          <w:tcPr>
            <w:tcW w:w="1140" w:type="dxa"/>
            <w:tcBorders>
              <w:top w:val="nil"/>
              <w:left w:val="nil"/>
              <w:bottom w:val="nil"/>
              <w:right w:val="nil"/>
            </w:tcBorders>
            <w:shd w:val="clear" w:color="auto" w:fill="auto"/>
            <w:noWrap/>
            <w:vAlign w:val="center"/>
            <w:hideMark/>
          </w:tcPr>
          <w:p w14:paraId="50C9BCB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665975D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1576</w:t>
            </w:r>
          </w:p>
        </w:tc>
        <w:tc>
          <w:tcPr>
            <w:tcW w:w="1178" w:type="dxa"/>
            <w:tcBorders>
              <w:top w:val="nil"/>
              <w:left w:val="nil"/>
              <w:bottom w:val="nil"/>
              <w:right w:val="nil"/>
            </w:tcBorders>
            <w:shd w:val="clear" w:color="auto" w:fill="auto"/>
            <w:noWrap/>
            <w:vAlign w:val="center"/>
            <w:hideMark/>
          </w:tcPr>
          <w:p w14:paraId="110AD69C"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67D7CACD"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5C8C1A2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05D4116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7D2E002E" w14:textId="77777777" w:rsidTr="00F47091">
        <w:trPr>
          <w:trHeight w:val="210"/>
        </w:trPr>
        <w:tc>
          <w:tcPr>
            <w:tcW w:w="1134" w:type="dxa"/>
            <w:tcBorders>
              <w:top w:val="nil"/>
              <w:left w:val="nil"/>
              <w:bottom w:val="nil"/>
              <w:right w:val="nil"/>
            </w:tcBorders>
            <w:shd w:val="clear" w:color="auto" w:fill="auto"/>
            <w:noWrap/>
            <w:vAlign w:val="center"/>
            <w:hideMark/>
          </w:tcPr>
          <w:p w14:paraId="1B41B79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S11</w:t>
            </w:r>
          </w:p>
        </w:tc>
        <w:tc>
          <w:tcPr>
            <w:tcW w:w="1140" w:type="dxa"/>
            <w:tcBorders>
              <w:top w:val="nil"/>
              <w:left w:val="nil"/>
              <w:bottom w:val="nil"/>
              <w:right w:val="nil"/>
            </w:tcBorders>
            <w:shd w:val="clear" w:color="auto" w:fill="auto"/>
            <w:noWrap/>
            <w:vAlign w:val="center"/>
            <w:hideMark/>
          </w:tcPr>
          <w:p w14:paraId="432BCD5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0271DED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474</w:t>
            </w:r>
          </w:p>
        </w:tc>
        <w:tc>
          <w:tcPr>
            <w:tcW w:w="1178" w:type="dxa"/>
            <w:tcBorders>
              <w:top w:val="nil"/>
              <w:left w:val="nil"/>
              <w:bottom w:val="nil"/>
              <w:right w:val="nil"/>
            </w:tcBorders>
            <w:shd w:val="clear" w:color="auto" w:fill="auto"/>
            <w:noWrap/>
            <w:vAlign w:val="center"/>
            <w:hideMark/>
          </w:tcPr>
          <w:p w14:paraId="657DF20F"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2BBC0624"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674451A4"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42FCF41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19E8CA31" w14:textId="77777777" w:rsidTr="00F47091">
        <w:trPr>
          <w:trHeight w:val="210"/>
        </w:trPr>
        <w:tc>
          <w:tcPr>
            <w:tcW w:w="1134" w:type="dxa"/>
            <w:tcBorders>
              <w:top w:val="nil"/>
              <w:left w:val="nil"/>
              <w:bottom w:val="nil"/>
              <w:right w:val="nil"/>
            </w:tcBorders>
            <w:shd w:val="clear" w:color="auto" w:fill="auto"/>
            <w:noWrap/>
            <w:vAlign w:val="center"/>
            <w:hideMark/>
          </w:tcPr>
          <w:p w14:paraId="68C9EA6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S11</w:t>
            </w:r>
          </w:p>
        </w:tc>
        <w:tc>
          <w:tcPr>
            <w:tcW w:w="1140" w:type="dxa"/>
            <w:tcBorders>
              <w:top w:val="nil"/>
              <w:left w:val="nil"/>
              <w:bottom w:val="nil"/>
              <w:right w:val="nil"/>
            </w:tcBorders>
            <w:shd w:val="clear" w:color="auto" w:fill="auto"/>
            <w:noWrap/>
            <w:vAlign w:val="center"/>
            <w:hideMark/>
          </w:tcPr>
          <w:p w14:paraId="25318D3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79043C9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470</w:t>
            </w:r>
          </w:p>
        </w:tc>
        <w:tc>
          <w:tcPr>
            <w:tcW w:w="1178" w:type="dxa"/>
            <w:tcBorders>
              <w:top w:val="nil"/>
              <w:left w:val="nil"/>
              <w:bottom w:val="nil"/>
              <w:right w:val="nil"/>
            </w:tcBorders>
            <w:shd w:val="clear" w:color="auto" w:fill="auto"/>
            <w:noWrap/>
            <w:vAlign w:val="center"/>
            <w:hideMark/>
          </w:tcPr>
          <w:p w14:paraId="329662F9"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4E5FC1BF"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4A98ADA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5E4BB843"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6209C98C" w14:textId="77777777" w:rsidTr="00F47091">
        <w:trPr>
          <w:trHeight w:val="210"/>
        </w:trPr>
        <w:tc>
          <w:tcPr>
            <w:tcW w:w="1134" w:type="dxa"/>
            <w:tcBorders>
              <w:top w:val="single" w:sz="4" w:space="0" w:color="auto"/>
              <w:left w:val="nil"/>
              <w:bottom w:val="nil"/>
              <w:right w:val="nil"/>
            </w:tcBorders>
            <w:shd w:val="clear" w:color="auto" w:fill="auto"/>
            <w:noWrap/>
            <w:vAlign w:val="center"/>
            <w:hideMark/>
          </w:tcPr>
          <w:p w14:paraId="12A18A3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single" w:sz="4" w:space="0" w:color="auto"/>
              <w:left w:val="nil"/>
              <w:bottom w:val="nil"/>
              <w:right w:val="nil"/>
            </w:tcBorders>
            <w:shd w:val="clear" w:color="auto" w:fill="auto"/>
            <w:noWrap/>
            <w:vAlign w:val="center"/>
            <w:hideMark/>
          </w:tcPr>
          <w:p w14:paraId="5A3F9C8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single" w:sz="4" w:space="0" w:color="auto"/>
              <w:left w:val="nil"/>
              <w:bottom w:val="nil"/>
              <w:right w:val="nil"/>
            </w:tcBorders>
            <w:shd w:val="clear" w:color="auto" w:fill="auto"/>
            <w:noWrap/>
            <w:vAlign w:val="center"/>
            <w:hideMark/>
          </w:tcPr>
          <w:p w14:paraId="55656E6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10347</w:t>
            </w:r>
          </w:p>
        </w:tc>
        <w:tc>
          <w:tcPr>
            <w:tcW w:w="1178" w:type="dxa"/>
            <w:tcBorders>
              <w:top w:val="single" w:sz="4" w:space="0" w:color="auto"/>
              <w:left w:val="nil"/>
              <w:bottom w:val="nil"/>
              <w:right w:val="nil"/>
            </w:tcBorders>
            <w:shd w:val="clear" w:color="auto" w:fill="auto"/>
            <w:noWrap/>
            <w:vAlign w:val="center"/>
            <w:hideMark/>
          </w:tcPr>
          <w:p w14:paraId="2F49C44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single" w:sz="4" w:space="0" w:color="auto"/>
              <w:left w:val="nil"/>
              <w:bottom w:val="nil"/>
              <w:right w:val="nil"/>
            </w:tcBorders>
            <w:shd w:val="clear" w:color="auto" w:fill="auto"/>
            <w:noWrap/>
            <w:vAlign w:val="center"/>
            <w:hideMark/>
          </w:tcPr>
          <w:p w14:paraId="3BFAD31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single" w:sz="4" w:space="0" w:color="auto"/>
              <w:left w:val="nil"/>
              <w:bottom w:val="nil"/>
              <w:right w:val="nil"/>
            </w:tcBorders>
            <w:shd w:val="clear" w:color="auto" w:fill="auto"/>
            <w:noWrap/>
            <w:vAlign w:val="center"/>
            <w:hideMark/>
          </w:tcPr>
          <w:p w14:paraId="208125A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single" w:sz="4" w:space="0" w:color="auto"/>
              <w:left w:val="nil"/>
              <w:bottom w:val="nil"/>
              <w:right w:val="nil"/>
            </w:tcBorders>
            <w:shd w:val="clear" w:color="auto" w:fill="auto"/>
            <w:noWrap/>
            <w:vAlign w:val="center"/>
            <w:hideMark/>
          </w:tcPr>
          <w:p w14:paraId="158D1FC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3.39E-03</w:t>
            </w:r>
          </w:p>
        </w:tc>
      </w:tr>
      <w:tr w:rsidR="00F47091" w:rsidRPr="003C080B" w14:paraId="50A51DE2" w14:textId="77777777" w:rsidTr="00F47091">
        <w:trPr>
          <w:trHeight w:val="210"/>
        </w:trPr>
        <w:tc>
          <w:tcPr>
            <w:tcW w:w="1134" w:type="dxa"/>
            <w:tcBorders>
              <w:top w:val="nil"/>
              <w:left w:val="nil"/>
              <w:bottom w:val="nil"/>
              <w:right w:val="nil"/>
            </w:tcBorders>
            <w:shd w:val="clear" w:color="auto" w:fill="auto"/>
            <w:noWrap/>
            <w:vAlign w:val="center"/>
            <w:hideMark/>
          </w:tcPr>
          <w:p w14:paraId="2C85E40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278A27D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7A27B65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5799</w:t>
            </w:r>
          </w:p>
        </w:tc>
        <w:tc>
          <w:tcPr>
            <w:tcW w:w="1178" w:type="dxa"/>
            <w:tcBorders>
              <w:top w:val="nil"/>
              <w:left w:val="nil"/>
              <w:bottom w:val="nil"/>
              <w:right w:val="nil"/>
            </w:tcBorders>
            <w:shd w:val="clear" w:color="auto" w:fill="auto"/>
            <w:noWrap/>
            <w:vAlign w:val="center"/>
            <w:hideMark/>
          </w:tcPr>
          <w:p w14:paraId="608A901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3EC627E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52F5C48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398223D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1.91E-03</w:t>
            </w:r>
          </w:p>
        </w:tc>
      </w:tr>
      <w:tr w:rsidR="00F47091" w:rsidRPr="003C080B" w14:paraId="6D87002D" w14:textId="77777777" w:rsidTr="00F47091">
        <w:trPr>
          <w:trHeight w:val="210"/>
        </w:trPr>
        <w:tc>
          <w:tcPr>
            <w:tcW w:w="1134" w:type="dxa"/>
            <w:tcBorders>
              <w:top w:val="nil"/>
              <w:left w:val="nil"/>
              <w:bottom w:val="nil"/>
              <w:right w:val="nil"/>
            </w:tcBorders>
            <w:shd w:val="clear" w:color="auto" w:fill="auto"/>
            <w:noWrap/>
            <w:vAlign w:val="center"/>
            <w:hideMark/>
          </w:tcPr>
          <w:p w14:paraId="697844D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45F5A87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7C4DF96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10992</w:t>
            </w:r>
          </w:p>
        </w:tc>
        <w:tc>
          <w:tcPr>
            <w:tcW w:w="1178" w:type="dxa"/>
            <w:tcBorders>
              <w:top w:val="nil"/>
              <w:left w:val="nil"/>
              <w:bottom w:val="nil"/>
              <w:right w:val="nil"/>
            </w:tcBorders>
            <w:shd w:val="clear" w:color="auto" w:fill="auto"/>
            <w:noWrap/>
            <w:vAlign w:val="center"/>
            <w:hideMark/>
          </w:tcPr>
          <w:p w14:paraId="566612D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24EE09A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5AF4A74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76C137C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3.75E-03</w:t>
            </w:r>
          </w:p>
        </w:tc>
      </w:tr>
      <w:tr w:rsidR="00F47091" w:rsidRPr="003C080B" w14:paraId="4F7C3EF1" w14:textId="77777777" w:rsidTr="00F47091">
        <w:trPr>
          <w:trHeight w:val="210"/>
        </w:trPr>
        <w:tc>
          <w:tcPr>
            <w:tcW w:w="1134" w:type="dxa"/>
            <w:tcBorders>
              <w:top w:val="nil"/>
              <w:left w:val="nil"/>
              <w:bottom w:val="nil"/>
              <w:right w:val="nil"/>
            </w:tcBorders>
            <w:shd w:val="clear" w:color="auto" w:fill="auto"/>
            <w:noWrap/>
            <w:vAlign w:val="center"/>
            <w:hideMark/>
          </w:tcPr>
          <w:p w14:paraId="6F1EA17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0525AB27"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1123A4F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1907</w:t>
            </w:r>
          </w:p>
        </w:tc>
        <w:tc>
          <w:tcPr>
            <w:tcW w:w="1178" w:type="dxa"/>
            <w:tcBorders>
              <w:top w:val="nil"/>
              <w:left w:val="nil"/>
              <w:bottom w:val="nil"/>
              <w:right w:val="nil"/>
            </w:tcBorders>
            <w:shd w:val="clear" w:color="auto" w:fill="auto"/>
            <w:noWrap/>
            <w:vAlign w:val="center"/>
            <w:hideMark/>
          </w:tcPr>
          <w:p w14:paraId="1F7BD77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6D04E9B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7087A96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1F7B125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4.32E-04</w:t>
            </w:r>
          </w:p>
        </w:tc>
      </w:tr>
      <w:tr w:rsidR="00F47091" w:rsidRPr="003C080B" w14:paraId="48A8DEC1" w14:textId="77777777" w:rsidTr="00F47091">
        <w:trPr>
          <w:trHeight w:val="210"/>
        </w:trPr>
        <w:tc>
          <w:tcPr>
            <w:tcW w:w="1134" w:type="dxa"/>
            <w:tcBorders>
              <w:top w:val="nil"/>
              <w:left w:val="nil"/>
              <w:bottom w:val="nil"/>
              <w:right w:val="nil"/>
            </w:tcBorders>
            <w:shd w:val="clear" w:color="auto" w:fill="auto"/>
            <w:noWrap/>
            <w:vAlign w:val="center"/>
            <w:hideMark/>
          </w:tcPr>
          <w:p w14:paraId="6C87967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28A52BAD"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38965D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2289</w:t>
            </w:r>
          </w:p>
        </w:tc>
        <w:tc>
          <w:tcPr>
            <w:tcW w:w="1178" w:type="dxa"/>
            <w:tcBorders>
              <w:top w:val="nil"/>
              <w:left w:val="nil"/>
              <w:bottom w:val="nil"/>
              <w:right w:val="nil"/>
            </w:tcBorders>
            <w:shd w:val="clear" w:color="auto" w:fill="auto"/>
            <w:noWrap/>
            <w:vAlign w:val="center"/>
            <w:hideMark/>
          </w:tcPr>
          <w:p w14:paraId="2914A25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7A527D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35F6587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46ABD22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6.83E-04</w:t>
            </w:r>
          </w:p>
        </w:tc>
      </w:tr>
      <w:tr w:rsidR="00F47091" w:rsidRPr="003C080B" w14:paraId="090F033E" w14:textId="77777777" w:rsidTr="00F47091">
        <w:trPr>
          <w:trHeight w:val="210"/>
        </w:trPr>
        <w:tc>
          <w:tcPr>
            <w:tcW w:w="1134" w:type="dxa"/>
            <w:tcBorders>
              <w:top w:val="nil"/>
              <w:left w:val="nil"/>
              <w:bottom w:val="nil"/>
              <w:right w:val="nil"/>
            </w:tcBorders>
            <w:shd w:val="clear" w:color="auto" w:fill="auto"/>
            <w:noWrap/>
            <w:vAlign w:val="center"/>
            <w:hideMark/>
          </w:tcPr>
          <w:p w14:paraId="117676B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08B62EB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502A03B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12152</w:t>
            </w:r>
          </w:p>
        </w:tc>
        <w:tc>
          <w:tcPr>
            <w:tcW w:w="1178" w:type="dxa"/>
            <w:tcBorders>
              <w:top w:val="nil"/>
              <w:left w:val="nil"/>
              <w:bottom w:val="nil"/>
              <w:right w:val="nil"/>
            </w:tcBorders>
            <w:shd w:val="clear" w:color="auto" w:fill="auto"/>
            <w:noWrap/>
            <w:vAlign w:val="center"/>
            <w:hideMark/>
          </w:tcPr>
          <w:p w14:paraId="76DD149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1A6AC20A"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0CA2B88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598CC92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4.16E-03</w:t>
            </w:r>
          </w:p>
        </w:tc>
      </w:tr>
      <w:tr w:rsidR="00F47091" w:rsidRPr="003C080B" w14:paraId="08CAB842" w14:textId="77777777" w:rsidTr="00F47091">
        <w:trPr>
          <w:trHeight w:val="210"/>
        </w:trPr>
        <w:tc>
          <w:tcPr>
            <w:tcW w:w="1134" w:type="dxa"/>
            <w:tcBorders>
              <w:top w:val="nil"/>
              <w:left w:val="nil"/>
              <w:bottom w:val="nil"/>
              <w:right w:val="nil"/>
            </w:tcBorders>
            <w:shd w:val="clear" w:color="auto" w:fill="auto"/>
            <w:noWrap/>
            <w:vAlign w:val="center"/>
            <w:hideMark/>
          </w:tcPr>
          <w:p w14:paraId="1FFC1BF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25C9C6A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48D681B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11992</w:t>
            </w:r>
          </w:p>
        </w:tc>
        <w:tc>
          <w:tcPr>
            <w:tcW w:w="1178" w:type="dxa"/>
            <w:tcBorders>
              <w:top w:val="nil"/>
              <w:left w:val="nil"/>
              <w:bottom w:val="nil"/>
              <w:right w:val="nil"/>
            </w:tcBorders>
            <w:shd w:val="clear" w:color="auto" w:fill="auto"/>
            <w:noWrap/>
            <w:vAlign w:val="center"/>
            <w:hideMark/>
          </w:tcPr>
          <w:p w14:paraId="683AC77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3202B10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2C4DB44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3C0AE39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3.96E-03</w:t>
            </w:r>
          </w:p>
        </w:tc>
      </w:tr>
      <w:tr w:rsidR="00F47091" w:rsidRPr="003C080B" w14:paraId="22CB09D2" w14:textId="77777777" w:rsidTr="00F47091">
        <w:trPr>
          <w:trHeight w:val="210"/>
        </w:trPr>
        <w:tc>
          <w:tcPr>
            <w:tcW w:w="1134" w:type="dxa"/>
            <w:tcBorders>
              <w:top w:val="nil"/>
              <w:left w:val="nil"/>
              <w:bottom w:val="nil"/>
              <w:right w:val="nil"/>
            </w:tcBorders>
            <w:shd w:val="clear" w:color="auto" w:fill="auto"/>
            <w:noWrap/>
            <w:vAlign w:val="center"/>
            <w:hideMark/>
          </w:tcPr>
          <w:p w14:paraId="640B749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2685DDE4"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789E3D6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2157</w:t>
            </w:r>
          </w:p>
        </w:tc>
        <w:tc>
          <w:tcPr>
            <w:tcW w:w="1178" w:type="dxa"/>
            <w:tcBorders>
              <w:top w:val="nil"/>
              <w:left w:val="nil"/>
              <w:bottom w:val="nil"/>
              <w:right w:val="nil"/>
            </w:tcBorders>
            <w:shd w:val="clear" w:color="auto" w:fill="auto"/>
            <w:noWrap/>
            <w:vAlign w:val="center"/>
            <w:hideMark/>
          </w:tcPr>
          <w:p w14:paraId="69A6A6D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395C04F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1A363BD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2DA15F2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6.37E-04</w:t>
            </w:r>
          </w:p>
        </w:tc>
      </w:tr>
      <w:tr w:rsidR="00F47091" w:rsidRPr="003C080B" w14:paraId="4E885352" w14:textId="77777777" w:rsidTr="00F47091">
        <w:trPr>
          <w:trHeight w:val="210"/>
        </w:trPr>
        <w:tc>
          <w:tcPr>
            <w:tcW w:w="1134" w:type="dxa"/>
            <w:tcBorders>
              <w:top w:val="nil"/>
              <w:left w:val="nil"/>
              <w:bottom w:val="nil"/>
              <w:right w:val="nil"/>
            </w:tcBorders>
            <w:shd w:val="clear" w:color="auto" w:fill="auto"/>
            <w:noWrap/>
            <w:vAlign w:val="center"/>
            <w:hideMark/>
          </w:tcPr>
          <w:p w14:paraId="624483CB"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S12</w:t>
            </w:r>
          </w:p>
        </w:tc>
        <w:tc>
          <w:tcPr>
            <w:tcW w:w="1140" w:type="dxa"/>
            <w:tcBorders>
              <w:top w:val="nil"/>
              <w:left w:val="nil"/>
              <w:bottom w:val="nil"/>
              <w:right w:val="nil"/>
            </w:tcBorders>
            <w:shd w:val="clear" w:color="auto" w:fill="auto"/>
            <w:noWrap/>
            <w:vAlign w:val="center"/>
            <w:hideMark/>
          </w:tcPr>
          <w:p w14:paraId="7981000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64EADAF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1793</w:t>
            </w:r>
          </w:p>
        </w:tc>
        <w:tc>
          <w:tcPr>
            <w:tcW w:w="1178" w:type="dxa"/>
            <w:tcBorders>
              <w:top w:val="nil"/>
              <w:left w:val="nil"/>
              <w:bottom w:val="nil"/>
              <w:right w:val="nil"/>
            </w:tcBorders>
            <w:shd w:val="clear" w:color="auto" w:fill="auto"/>
            <w:noWrap/>
            <w:vAlign w:val="center"/>
            <w:hideMark/>
          </w:tcPr>
          <w:p w14:paraId="20E0230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1.38E+16</w:t>
            </w:r>
          </w:p>
        </w:tc>
        <w:tc>
          <w:tcPr>
            <w:tcW w:w="976" w:type="dxa"/>
            <w:tcBorders>
              <w:top w:val="nil"/>
              <w:left w:val="nil"/>
              <w:bottom w:val="nil"/>
              <w:right w:val="nil"/>
            </w:tcBorders>
            <w:shd w:val="clear" w:color="auto" w:fill="auto"/>
            <w:noWrap/>
            <w:vAlign w:val="center"/>
            <w:hideMark/>
          </w:tcPr>
          <w:p w14:paraId="51ABCA4F"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0.16</w:t>
            </w:r>
          </w:p>
        </w:tc>
        <w:tc>
          <w:tcPr>
            <w:tcW w:w="1037" w:type="dxa"/>
            <w:tcBorders>
              <w:top w:val="nil"/>
              <w:left w:val="nil"/>
              <w:bottom w:val="nil"/>
              <w:right w:val="nil"/>
            </w:tcBorders>
            <w:shd w:val="clear" w:color="auto" w:fill="auto"/>
            <w:noWrap/>
            <w:vAlign w:val="center"/>
            <w:hideMark/>
          </w:tcPr>
          <w:p w14:paraId="467D1696"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0.24</w:t>
            </w:r>
          </w:p>
        </w:tc>
        <w:tc>
          <w:tcPr>
            <w:tcW w:w="1436" w:type="dxa"/>
            <w:tcBorders>
              <w:top w:val="nil"/>
              <w:left w:val="nil"/>
              <w:bottom w:val="nil"/>
              <w:right w:val="nil"/>
            </w:tcBorders>
            <w:shd w:val="clear" w:color="auto" w:fill="auto"/>
            <w:noWrap/>
            <w:vAlign w:val="center"/>
            <w:hideMark/>
          </w:tcPr>
          <w:p w14:paraId="47D842D2"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5.33E-04</w:t>
            </w:r>
          </w:p>
        </w:tc>
      </w:tr>
      <w:tr w:rsidR="00F47091" w:rsidRPr="003C080B" w14:paraId="6B5089A3" w14:textId="77777777" w:rsidTr="00F47091">
        <w:trPr>
          <w:trHeight w:val="210"/>
        </w:trPr>
        <w:tc>
          <w:tcPr>
            <w:tcW w:w="1134" w:type="dxa"/>
            <w:tcBorders>
              <w:top w:val="nil"/>
              <w:left w:val="nil"/>
              <w:bottom w:val="nil"/>
              <w:right w:val="nil"/>
            </w:tcBorders>
            <w:shd w:val="clear" w:color="auto" w:fill="auto"/>
            <w:noWrap/>
            <w:vAlign w:val="center"/>
            <w:hideMark/>
          </w:tcPr>
          <w:p w14:paraId="5EF1533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S12</w:t>
            </w:r>
          </w:p>
        </w:tc>
        <w:tc>
          <w:tcPr>
            <w:tcW w:w="1140" w:type="dxa"/>
            <w:tcBorders>
              <w:top w:val="nil"/>
              <w:left w:val="nil"/>
              <w:bottom w:val="nil"/>
              <w:right w:val="nil"/>
            </w:tcBorders>
            <w:shd w:val="clear" w:color="auto" w:fill="auto"/>
            <w:noWrap/>
            <w:vAlign w:val="center"/>
            <w:hideMark/>
          </w:tcPr>
          <w:p w14:paraId="6B136549"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10</w:t>
            </w:r>
          </w:p>
        </w:tc>
        <w:tc>
          <w:tcPr>
            <w:tcW w:w="659" w:type="dxa"/>
            <w:tcBorders>
              <w:top w:val="nil"/>
              <w:left w:val="nil"/>
              <w:bottom w:val="nil"/>
              <w:right w:val="nil"/>
            </w:tcBorders>
            <w:shd w:val="clear" w:color="auto" w:fill="auto"/>
            <w:noWrap/>
            <w:vAlign w:val="center"/>
            <w:hideMark/>
          </w:tcPr>
          <w:p w14:paraId="622193B5"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672</w:t>
            </w:r>
          </w:p>
        </w:tc>
        <w:tc>
          <w:tcPr>
            <w:tcW w:w="1178" w:type="dxa"/>
            <w:tcBorders>
              <w:top w:val="nil"/>
              <w:left w:val="nil"/>
              <w:bottom w:val="nil"/>
              <w:right w:val="nil"/>
            </w:tcBorders>
            <w:shd w:val="clear" w:color="auto" w:fill="auto"/>
            <w:noWrap/>
            <w:vAlign w:val="center"/>
            <w:hideMark/>
          </w:tcPr>
          <w:p w14:paraId="3D2C8010"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6F39C292"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15EA564D"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59FD73C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5E23DA3A" w14:textId="77777777" w:rsidTr="00F47091">
        <w:trPr>
          <w:trHeight w:val="210"/>
        </w:trPr>
        <w:tc>
          <w:tcPr>
            <w:tcW w:w="1134" w:type="dxa"/>
            <w:tcBorders>
              <w:top w:val="nil"/>
              <w:left w:val="nil"/>
              <w:bottom w:val="nil"/>
              <w:right w:val="nil"/>
            </w:tcBorders>
            <w:shd w:val="clear" w:color="auto" w:fill="auto"/>
            <w:noWrap/>
            <w:vAlign w:val="center"/>
            <w:hideMark/>
          </w:tcPr>
          <w:p w14:paraId="0BBD3053"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S12</w:t>
            </w:r>
          </w:p>
        </w:tc>
        <w:tc>
          <w:tcPr>
            <w:tcW w:w="1140" w:type="dxa"/>
            <w:tcBorders>
              <w:top w:val="nil"/>
              <w:left w:val="nil"/>
              <w:bottom w:val="nil"/>
              <w:right w:val="nil"/>
            </w:tcBorders>
            <w:shd w:val="clear" w:color="auto" w:fill="auto"/>
            <w:noWrap/>
            <w:vAlign w:val="center"/>
            <w:hideMark/>
          </w:tcPr>
          <w:p w14:paraId="73F3883C"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w:t>
            </w:r>
          </w:p>
        </w:tc>
        <w:tc>
          <w:tcPr>
            <w:tcW w:w="659" w:type="dxa"/>
            <w:tcBorders>
              <w:top w:val="nil"/>
              <w:left w:val="nil"/>
              <w:bottom w:val="nil"/>
              <w:right w:val="nil"/>
            </w:tcBorders>
            <w:shd w:val="clear" w:color="auto" w:fill="auto"/>
            <w:noWrap/>
            <w:vAlign w:val="center"/>
            <w:hideMark/>
          </w:tcPr>
          <w:p w14:paraId="60BE6CD1"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337</w:t>
            </w:r>
          </w:p>
        </w:tc>
        <w:tc>
          <w:tcPr>
            <w:tcW w:w="1178" w:type="dxa"/>
            <w:tcBorders>
              <w:top w:val="nil"/>
              <w:left w:val="nil"/>
              <w:bottom w:val="nil"/>
              <w:right w:val="nil"/>
            </w:tcBorders>
            <w:shd w:val="clear" w:color="auto" w:fill="auto"/>
            <w:noWrap/>
            <w:vAlign w:val="center"/>
            <w:hideMark/>
          </w:tcPr>
          <w:p w14:paraId="0461740F"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29AE06AB"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14428FD6"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5894C3AE"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r w:rsidR="00F47091" w:rsidRPr="003C080B" w14:paraId="36E2BCC2" w14:textId="77777777" w:rsidTr="00F47091">
        <w:trPr>
          <w:trHeight w:val="210"/>
        </w:trPr>
        <w:tc>
          <w:tcPr>
            <w:tcW w:w="1134" w:type="dxa"/>
            <w:tcBorders>
              <w:top w:val="nil"/>
              <w:left w:val="nil"/>
              <w:bottom w:val="nil"/>
              <w:right w:val="nil"/>
            </w:tcBorders>
            <w:shd w:val="clear" w:color="auto" w:fill="auto"/>
            <w:noWrap/>
            <w:vAlign w:val="center"/>
            <w:hideMark/>
          </w:tcPr>
          <w:p w14:paraId="2077D21E"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Blank S12</w:t>
            </w:r>
          </w:p>
        </w:tc>
        <w:tc>
          <w:tcPr>
            <w:tcW w:w="1140" w:type="dxa"/>
            <w:tcBorders>
              <w:top w:val="nil"/>
              <w:left w:val="nil"/>
              <w:bottom w:val="nil"/>
              <w:right w:val="nil"/>
            </w:tcBorders>
            <w:shd w:val="clear" w:color="auto" w:fill="auto"/>
            <w:noWrap/>
            <w:vAlign w:val="center"/>
            <w:hideMark/>
          </w:tcPr>
          <w:p w14:paraId="2FC483B8"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0.2</w:t>
            </w:r>
          </w:p>
        </w:tc>
        <w:tc>
          <w:tcPr>
            <w:tcW w:w="659" w:type="dxa"/>
            <w:tcBorders>
              <w:top w:val="nil"/>
              <w:left w:val="nil"/>
              <w:bottom w:val="nil"/>
              <w:right w:val="nil"/>
            </w:tcBorders>
            <w:shd w:val="clear" w:color="auto" w:fill="auto"/>
            <w:noWrap/>
            <w:vAlign w:val="center"/>
            <w:hideMark/>
          </w:tcPr>
          <w:p w14:paraId="20FDF3E0" w14:textId="77777777" w:rsidR="00F47091" w:rsidRPr="003C080B" w:rsidRDefault="00F47091" w:rsidP="008B132E">
            <w:pPr>
              <w:spacing w:after="0" w:line="240" w:lineRule="auto"/>
              <w:jc w:val="center"/>
              <w:rPr>
                <w:rFonts w:eastAsia="Times New Roman"/>
                <w:color w:val="000000"/>
                <w:sz w:val="16"/>
                <w:szCs w:val="16"/>
                <w:lang w:val="fr-FR"/>
              </w:rPr>
            </w:pPr>
            <w:r w:rsidRPr="003C080B">
              <w:rPr>
                <w:rFonts w:eastAsia="Times New Roman"/>
                <w:color w:val="000000"/>
                <w:sz w:val="16"/>
                <w:szCs w:val="16"/>
                <w:lang w:val="fr-FR"/>
              </w:rPr>
              <w:t>271</w:t>
            </w:r>
          </w:p>
        </w:tc>
        <w:tc>
          <w:tcPr>
            <w:tcW w:w="1178" w:type="dxa"/>
            <w:tcBorders>
              <w:top w:val="nil"/>
              <w:left w:val="nil"/>
              <w:bottom w:val="nil"/>
              <w:right w:val="nil"/>
            </w:tcBorders>
            <w:shd w:val="clear" w:color="auto" w:fill="auto"/>
            <w:noWrap/>
            <w:vAlign w:val="center"/>
            <w:hideMark/>
          </w:tcPr>
          <w:p w14:paraId="49819D89" w14:textId="77777777" w:rsidR="00F47091" w:rsidRPr="003C080B" w:rsidRDefault="00F47091" w:rsidP="008B132E">
            <w:pPr>
              <w:spacing w:after="0" w:line="240" w:lineRule="auto"/>
              <w:jc w:val="center"/>
              <w:rPr>
                <w:rFonts w:eastAsia="Times New Roman"/>
                <w:color w:val="000000"/>
                <w:sz w:val="16"/>
                <w:szCs w:val="16"/>
                <w:lang w:val="fr-FR"/>
              </w:rPr>
            </w:pPr>
          </w:p>
        </w:tc>
        <w:tc>
          <w:tcPr>
            <w:tcW w:w="976" w:type="dxa"/>
            <w:tcBorders>
              <w:top w:val="nil"/>
              <w:left w:val="nil"/>
              <w:bottom w:val="nil"/>
              <w:right w:val="nil"/>
            </w:tcBorders>
            <w:shd w:val="clear" w:color="auto" w:fill="auto"/>
            <w:noWrap/>
            <w:vAlign w:val="center"/>
            <w:hideMark/>
          </w:tcPr>
          <w:p w14:paraId="0C855D5A"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037" w:type="dxa"/>
            <w:tcBorders>
              <w:top w:val="nil"/>
              <w:left w:val="nil"/>
              <w:bottom w:val="nil"/>
              <w:right w:val="nil"/>
            </w:tcBorders>
            <w:shd w:val="clear" w:color="auto" w:fill="auto"/>
            <w:noWrap/>
            <w:vAlign w:val="center"/>
            <w:hideMark/>
          </w:tcPr>
          <w:p w14:paraId="735AEB3B"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c>
          <w:tcPr>
            <w:tcW w:w="1436" w:type="dxa"/>
            <w:tcBorders>
              <w:top w:val="nil"/>
              <w:left w:val="nil"/>
              <w:bottom w:val="nil"/>
              <w:right w:val="nil"/>
            </w:tcBorders>
            <w:shd w:val="clear" w:color="auto" w:fill="auto"/>
            <w:noWrap/>
            <w:vAlign w:val="center"/>
            <w:hideMark/>
          </w:tcPr>
          <w:p w14:paraId="01FF36B7" w14:textId="77777777" w:rsidR="00F47091" w:rsidRPr="003C080B" w:rsidRDefault="00F47091" w:rsidP="008B132E">
            <w:pPr>
              <w:spacing w:after="0" w:line="240" w:lineRule="auto"/>
              <w:jc w:val="center"/>
              <w:rPr>
                <w:rFonts w:ascii="Times New Roman" w:eastAsia="Times New Roman" w:hAnsi="Times New Roman" w:cs="Times New Roman"/>
                <w:sz w:val="20"/>
                <w:szCs w:val="20"/>
                <w:lang w:val="fr-FR"/>
              </w:rPr>
            </w:pPr>
          </w:p>
        </w:tc>
      </w:tr>
    </w:tbl>
    <w:p w14:paraId="51C48A14" w14:textId="5E1E088E" w:rsidR="003B10E8" w:rsidRDefault="003B10E8" w:rsidP="003B10E8">
      <w:pPr>
        <w:spacing w:after="0"/>
        <w:rPr>
          <w:rFonts w:ascii="Times New Roman" w:eastAsia="Times New Roman" w:hAnsi="Times New Roman" w:cs="Times New Roman"/>
          <w:sz w:val="24"/>
          <w:szCs w:val="24"/>
        </w:rPr>
      </w:pPr>
      <w:r w:rsidRPr="003C080B">
        <w:rPr>
          <w:rFonts w:ascii="Times New Roman" w:eastAsia="Times New Roman" w:hAnsi="Times New Roman" w:cs="Times New Roman"/>
          <w:b/>
          <w:bCs/>
          <w:sz w:val="24"/>
          <w:szCs w:val="24"/>
        </w:rPr>
        <w:lastRenderedPageBreak/>
        <w:t>Table S</w:t>
      </w:r>
      <w:r>
        <w:rPr>
          <w:rFonts w:ascii="Times New Roman" w:eastAsia="Times New Roman" w:hAnsi="Times New Roman" w:cs="Times New Roman"/>
          <w:b/>
          <w:bCs/>
          <w:sz w:val="24"/>
          <w:szCs w:val="24"/>
        </w:rPr>
        <w:t>3</w:t>
      </w:r>
      <w:r w:rsidRPr="003C080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Detailed data of the GS-Experiment: DPM for each sorted organisms and blanks, </w:t>
      </w:r>
      <w:r w:rsidRPr="003C080B">
        <w:rPr>
          <w:rFonts w:ascii="Times New Roman" w:eastAsia="Times New Roman" w:hAnsi="Times New Roman" w:cs="Times New Roman"/>
          <w:sz w:val="24"/>
          <w:szCs w:val="24"/>
          <w:vertAlign w:val="superscript"/>
        </w:rPr>
        <w:t>55</w:t>
      </w:r>
      <w:r>
        <w:rPr>
          <w:rFonts w:ascii="Times New Roman" w:eastAsia="Times New Roman" w:hAnsi="Times New Roman" w:cs="Times New Roman"/>
          <w:sz w:val="24"/>
          <w:szCs w:val="24"/>
        </w:rPr>
        <w:t xml:space="preserve">Fe added, </w:t>
      </w:r>
      <w:r w:rsidRPr="00F074C1">
        <w:rPr>
          <w:rFonts w:ascii="Times New Roman" w:eastAsia="Times New Roman" w:hAnsi="Times New Roman" w:cs="Times New Roman"/>
          <w:i/>
          <w:iCs/>
          <w:sz w:val="24"/>
          <w:szCs w:val="24"/>
        </w:rPr>
        <w:t>in situ</w:t>
      </w:r>
      <w:r>
        <w:rPr>
          <w:rFonts w:ascii="Times New Roman" w:eastAsia="Times New Roman" w:hAnsi="Times New Roman" w:cs="Times New Roman"/>
          <w:sz w:val="24"/>
          <w:szCs w:val="24"/>
        </w:rPr>
        <w:t xml:space="preserve"> dFe concentrations and </w:t>
      </w:r>
      <w:proofErr w:type="spellStart"/>
      <w:r>
        <w:rPr>
          <w:rFonts w:ascii="Times New Roman" w:eastAsia="Times New Roman" w:hAnsi="Times New Roman" w:cs="Times New Roman"/>
          <w:sz w:val="24"/>
          <w:szCs w:val="24"/>
        </w:rPr>
        <w:t>cellulare</w:t>
      </w:r>
      <w:proofErr w:type="spellEnd"/>
      <w:r>
        <w:rPr>
          <w:rFonts w:ascii="Times New Roman" w:eastAsia="Times New Roman" w:hAnsi="Times New Roman" w:cs="Times New Roman"/>
          <w:sz w:val="24"/>
          <w:szCs w:val="24"/>
        </w:rPr>
        <w:t xml:space="preserve"> Fe uptake rates calculated using Equations S2.</w:t>
      </w:r>
    </w:p>
    <w:tbl>
      <w:tblPr>
        <w:tblW w:w="7320" w:type="dxa"/>
        <w:tblCellMar>
          <w:left w:w="70" w:type="dxa"/>
          <w:right w:w="70" w:type="dxa"/>
        </w:tblCellMar>
        <w:tblLook w:val="04A0" w:firstRow="1" w:lastRow="0" w:firstColumn="1" w:lastColumn="0" w:noHBand="0" w:noVBand="1"/>
      </w:tblPr>
      <w:tblGrid>
        <w:gridCol w:w="1216"/>
        <w:gridCol w:w="1259"/>
        <w:gridCol w:w="957"/>
        <w:gridCol w:w="759"/>
        <w:gridCol w:w="897"/>
        <w:gridCol w:w="1036"/>
        <w:gridCol w:w="1196"/>
      </w:tblGrid>
      <w:tr w:rsidR="003B10E8" w:rsidRPr="00B02CB8" w14:paraId="27E67578" w14:textId="77777777" w:rsidTr="008B132E">
        <w:trPr>
          <w:trHeight w:val="630"/>
        </w:trPr>
        <w:tc>
          <w:tcPr>
            <w:tcW w:w="1216" w:type="dxa"/>
            <w:tcBorders>
              <w:top w:val="nil"/>
              <w:left w:val="nil"/>
              <w:bottom w:val="nil"/>
              <w:right w:val="nil"/>
            </w:tcBorders>
            <w:shd w:val="clear" w:color="auto" w:fill="auto"/>
            <w:noWrap/>
            <w:vAlign w:val="center"/>
            <w:hideMark/>
          </w:tcPr>
          <w:p w14:paraId="7BF1FB40" w14:textId="77777777" w:rsidR="003B10E8" w:rsidRPr="00B02CB8" w:rsidRDefault="003B10E8" w:rsidP="008B132E">
            <w:pPr>
              <w:spacing w:after="0" w:line="240" w:lineRule="auto"/>
              <w:jc w:val="center"/>
              <w:rPr>
                <w:rFonts w:eastAsia="Times New Roman"/>
                <w:b/>
                <w:bCs/>
                <w:color w:val="000000"/>
                <w:sz w:val="16"/>
                <w:szCs w:val="16"/>
                <w:lang w:val="fr-FR"/>
              </w:rPr>
            </w:pPr>
            <w:r w:rsidRPr="00B02CB8">
              <w:rPr>
                <w:rFonts w:eastAsia="Times New Roman"/>
                <w:b/>
                <w:bCs/>
                <w:color w:val="000000"/>
                <w:sz w:val="16"/>
                <w:szCs w:val="16"/>
                <w:lang w:val="fr-FR"/>
              </w:rPr>
              <w:t>Stations</w:t>
            </w:r>
          </w:p>
        </w:tc>
        <w:tc>
          <w:tcPr>
            <w:tcW w:w="1259" w:type="dxa"/>
            <w:tcBorders>
              <w:top w:val="nil"/>
              <w:left w:val="nil"/>
              <w:bottom w:val="nil"/>
              <w:right w:val="nil"/>
            </w:tcBorders>
            <w:shd w:val="clear" w:color="auto" w:fill="auto"/>
            <w:vAlign w:val="center"/>
            <w:hideMark/>
          </w:tcPr>
          <w:p w14:paraId="0D40CC3A" w14:textId="77777777" w:rsidR="003B10E8" w:rsidRPr="00B02CB8" w:rsidRDefault="003B10E8" w:rsidP="008B132E">
            <w:pPr>
              <w:spacing w:after="0" w:line="240" w:lineRule="auto"/>
              <w:jc w:val="center"/>
              <w:rPr>
                <w:rFonts w:eastAsia="Times New Roman"/>
                <w:b/>
                <w:bCs/>
                <w:color w:val="000000"/>
                <w:sz w:val="16"/>
                <w:szCs w:val="16"/>
                <w:lang w:val="fr-FR"/>
              </w:rPr>
            </w:pPr>
            <w:proofErr w:type="spellStart"/>
            <w:r w:rsidRPr="00B02CB8">
              <w:rPr>
                <w:rFonts w:eastAsia="Times New Roman"/>
                <w:b/>
                <w:bCs/>
                <w:color w:val="000000"/>
                <w:sz w:val="16"/>
                <w:szCs w:val="16"/>
                <w:lang w:val="fr-FR"/>
              </w:rPr>
              <w:t>Sorted</w:t>
            </w:r>
            <w:proofErr w:type="spellEnd"/>
            <w:r w:rsidRPr="00B02CB8">
              <w:rPr>
                <w:rFonts w:eastAsia="Times New Roman"/>
                <w:b/>
                <w:bCs/>
                <w:color w:val="000000"/>
                <w:sz w:val="16"/>
                <w:szCs w:val="16"/>
                <w:lang w:val="fr-FR"/>
              </w:rPr>
              <w:t xml:space="preserve"> </w:t>
            </w:r>
            <w:proofErr w:type="spellStart"/>
            <w:r w:rsidRPr="00B02CB8">
              <w:rPr>
                <w:rFonts w:eastAsia="Times New Roman"/>
                <w:b/>
                <w:bCs/>
                <w:color w:val="000000"/>
                <w:sz w:val="16"/>
                <w:szCs w:val="16"/>
                <w:lang w:val="fr-FR"/>
              </w:rPr>
              <w:t>organisms</w:t>
            </w:r>
            <w:proofErr w:type="spellEnd"/>
          </w:p>
        </w:tc>
        <w:tc>
          <w:tcPr>
            <w:tcW w:w="957" w:type="dxa"/>
            <w:tcBorders>
              <w:top w:val="nil"/>
              <w:left w:val="nil"/>
              <w:bottom w:val="nil"/>
              <w:right w:val="nil"/>
            </w:tcBorders>
            <w:shd w:val="clear" w:color="auto" w:fill="auto"/>
            <w:vAlign w:val="center"/>
            <w:hideMark/>
          </w:tcPr>
          <w:p w14:paraId="09E777DC" w14:textId="77777777" w:rsidR="003B10E8" w:rsidRPr="00B02CB8" w:rsidRDefault="003B10E8" w:rsidP="008B132E">
            <w:pPr>
              <w:spacing w:after="0" w:line="240" w:lineRule="auto"/>
              <w:jc w:val="center"/>
              <w:rPr>
                <w:rFonts w:eastAsia="Times New Roman"/>
                <w:b/>
                <w:bCs/>
                <w:color w:val="000000"/>
                <w:sz w:val="16"/>
                <w:szCs w:val="16"/>
                <w:lang w:val="fr-FR"/>
              </w:rPr>
            </w:pPr>
            <w:r w:rsidRPr="00B02CB8">
              <w:rPr>
                <w:rFonts w:eastAsia="Times New Roman"/>
                <w:b/>
                <w:bCs/>
                <w:color w:val="000000"/>
                <w:sz w:val="16"/>
                <w:szCs w:val="16"/>
                <w:lang w:val="fr-FR"/>
              </w:rPr>
              <w:t>DPM</w:t>
            </w:r>
          </w:p>
        </w:tc>
        <w:tc>
          <w:tcPr>
            <w:tcW w:w="759" w:type="dxa"/>
            <w:tcBorders>
              <w:top w:val="nil"/>
              <w:left w:val="nil"/>
              <w:bottom w:val="nil"/>
              <w:right w:val="nil"/>
            </w:tcBorders>
            <w:shd w:val="clear" w:color="auto" w:fill="auto"/>
            <w:vAlign w:val="center"/>
            <w:hideMark/>
          </w:tcPr>
          <w:p w14:paraId="0FEDDB89" w14:textId="77777777" w:rsidR="003B10E8" w:rsidRPr="00B02CB8" w:rsidRDefault="003B10E8" w:rsidP="008B132E">
            <w:pPr>
              <w:spacing w:after="0" w:line="240" w:lineRule="auto"/>
              <w:jc w:val="center"/>
              <w:rPr>
                <w:rFonts w:eastAsia="Times New Roman"/>
                <w:b/>
                <w:bCs/>
                <w:color w:val="000000"/>
                <w:sz w:val="16"/>
                <w:szCs w:val="16"/>
                <w:lang w:val="fr-FR"/>
              </w:rPr>
            </w:pPr>
            <w:proofErr w:type="spellStart"/>
            <w:proofErr w:type="gramStart"/>
            <w:r w:rsidRPr="00B02CB8">
              <w:rPr>
                <w:rFonts w:eastAsia="Times New Roman"/>
                <w:b/>
                <w:bCs/>
                <w:color w:val="000000"/>
                <w:sz w:val="16"/>
                <w:szCs w:val="16"/>
                <w:lang w:val="fr-FR"/>
              </w:rPr>
              <w:t>specific</w:t>
            </w:r>
            <w:proofErr w:type="spellEnd"/>
            <w:proofErr w:type="gramEnd"/>
            <w:r w:rsidRPr="00B02CB8">
              <w:rPr>
                <w:rFonts w:eastAsia="Times New Roman"/>
                <w:b/>
                <w:bCs/>
                <w:color w:val="000000"/>
                <w:sz w:val="16"/>
                <w:szCs w:val="16"/>
                <w:lang w:val="fr-FR"/>
              </w:rPr>
              <w:t xml:space="preserve"> </w:t>
            </w:r>
            <w:proofErr w:type="spellStart"/>
            <w:r w:rsidRPr="00B02CB8">
              <w:rPr>
                <w:rFonts w:eastAsia="Times New Roman"/>
                <w:b/>
                <w:bCs/>
                <w:color w:val="000000"/>
                <w:sz w:val="16"/>
                <w:szCs w:val="16"/>
                <w:lang w:val="fr-FR"/>
              </w:rPr>
              <w:t>activity</w:t>
            </w:r>
            <w:proofErr w:type="spellEnd"/>
            <w:r w:rsidRPr="00B02CB8">
              <w:rPr>
                <w:rFonts w:eastAsia="Times New Roman"/>
                <w:b/>
                <w:bCs/>
                <w:color w:val="000000"/>
                <w:sz w:val="16"/>
                <w:szCs w:val="16"/>
                <w:lang w:val="fr-FR"/>
              </w:rPr>
              <w:t xml:space="preserve"> </w:t>
            </w:r>
            <w:r w:rsidRPr="00B02CB8">
              <w:rPr>
                <w:rFonts w:eastAsia="Times New Roman"/>
                <w:b/>
                <w:bCs/>
                <w:color w:val="000000"/>
                <w:sz w:val="16"/>
                <w:szCs w:val="16"/>
                <w:lang w:val="fr-FR"/>
              </w:rPr>
              <w:br/>
            </w:r>
            <w:proofErr w:type="spellStart"/>
            <w:r w:rsidRPr="00B02CB8">
              <w:rPr>
                <w:rFonts w:eastAsia="Times New Roman"/>
                <w:i/>
                <w:iCs/>
                <w:color w:val="000000"/>
                <w:sz w:val="16"/>
                <w:szCs w:val="16"/>
                <w:lang w:val="fr-FR"/>
              </w:rPr>
              <w:t>dpm</w:t>
            </w:r>
            <w:proofErr w:type="spellEnd"/>
            <w:r w:rsidRPr="00B02CB8">
              <w:rPr>
                <w:rFonts w:eastAsia="Times New Roman"/>
                <w:i/>
                <w:iCs/>
                <w:color w:val="000000"/>
                <w:sz w:val="16"/>
                <w:szCs w:val="16"/>
                <w:lang w:val="fr-FR"/>
              </w:rPr>
              <w:t>/mol</w:t>
            </w:r>
          </w:p>
        </w:tc>
        <w:tc>
          <w:tcPr>
            <w:tcW w:w="897" w:type="dxa"/>
            <w:tcBorders>
              <w:top w:val="nil"/>
              <w:left w:val="nil"/>
              <w:bottom w:val="nil"/>
              <w:right w:val="nil"/>
            </w:tcBorders>
            <w:shd w:val="clear" w:color="auto" w:fill="auto"/>
            <w:vAlign w:val="center"/>
            <w:hideMark/>
          </w:tcPr>
          <w:p w14:paraId="330BDB7B" w14:textId="77777777" w:rsidR="003B10E8" w:rsidRPr="00B02CB8" w:rsidRDefault="003B10E8" w:rsidP="008B132E">
            <w:pPr>
              <w:spacing w:after="0" w:line="240" w:lineRule="auto"/>
              <w:jc w:val="center"/>
              <w:rPr>
                <w:rFonts w:eastAsia="Times New Roman"/>
                <w:b/>
                <w:bCs/>
                <w:color w:val="000000"/>
                <w:sz w:val="16"/>
                <w:szCs w:val="16"/>
                <w:lang w:val="fr-FR"/>
              </w:rPr>
            </w:pPr>
            <w:r w:rsidRPr="00157AE6">
              <w:rPr>
                <w:rFonts w:eastAsia="Times New Roman"/>
                <w:b/>
                <w:bCs/>
                <w:color w:val="000000"/>
                <w:sz w:val="16"/>
                <w:szCs w:val="16"/>
                <w:vertAlign w:val="superscript"/>
                <w:lang w:val="fr-FR"/>
              </w:rPr>
              <w:t>55</w:t>
            </w:r>
            <w:r w:rsidRPr="00B02CB8">
              <w:rPr>
                <w:rFonts w:eastAsia="Times New Roman"/>
                <w:b/>
                <w:bCs/>
                <w:color w:val="000000"/>
                <w:sz w:val="16"/>
                <w:szCs w:val="16"/>
                <w:lang w:val="fr-FR"/>
              </w:rPr>
              <w:t xml:space="preserve">Fe </w:t>
            </w:r>
            <w:proofErr w:type="spellStart"/>
            <w:r w:rsidRPr="00B02CB8">
              <w:rPr>
                <w:rFonts w:eastAsia="Times New Roman"/>
                <w:b/>
                <w:bCs/>
                <w:color w:val="000000"/>
                <w:sz w:val="16"/>
                <w:szCs w:val="16"/>
                <w:lang w:val="fr-FR"/>
              </w:rPr>
              <w:t>added</w:t>
            </w:r>
            <w:proofErr w:type="spellEnd"/>
            <w:r w:rsidRPr="00B02CB8">
              <w:rPr>
                <w:rFonts w:eastAsia="Times New Roman"/>
                <w:b/>
                <w:bCs/>
                <w:color w:val="000000"/>
                <w:sz w:val="16"/>
                <w:szCs w:val="16"/>
                <w:lang w:val="fr-FR"/>
              </w:rPr>
              <w:br/>
            </w:r>
            <w:proofErr w:type="spellStart"/>
            <w:r w:rsidRPr="00B02CB8">
              <w:rPr>
                <w:rFonts w:eastAsia="Times New Roman"/>
                <w:i/>
                <w:iCs/>
                <w:color w:val="000000"/>
                <w:sz w:val="16"/>
                <w:szCs w:val="16"/>
                <w:lang w:val="fr-FR"/>
              </w:rPr>
              <w:t>nM</w:t>
            </w:r>
            <w:proofErr w:type="spellEnd"/>
          </w:p>
        </w:tc>
        <w:tc>
          <w:tcPr>
            <w:tcW w:w="1036" w:type="dxa"/>
            <w:tcBorders>
              <w:top w:val="nil"/>
              <w:left w:val="nil"/>
              <w:bottom w:val="nil"/>
              <w:right w:val="nil"/>
            </w:tcBorders>
            <w:shd w:val="clear" w:color="auto" w:fill="auto"/>
            <w:vAlign w:val="center"/>
            <w:hideMark/>
          </w:tcPr>
          <w:p w14:paraId="68EFC6D0" w14:textId="77777777" w:rsidR="003B10E8" w:rsidRPr="00B02CB8" w:rsidRDefault="003B10E8" w:rsidP="008B132E">
            <w:pPr>
              <w:spacing w:after="0" w:line="240" w:lineRule="auto"/>
              <w:jc w:val="center"/>
              <w:rPr>
                <w:rFonts w:eastAsia="Times New Roman"/>
                <w:b/>
                <w:bCs/>
                <w:color w:val="000000"/>
                <w:sz w:val="16"/>
                <w:szCs w:val="16"/>
                <w:lang w:val="fr-FR"/>
              </w:rPr>
            </w:pPr>
            <w:proofErr w:type="gramStart"/>
            <w:r w:rsidRPr="00B02CB8">
              <w:rPr>
                <w:rFonts w:eastAsia="Times New Roman"/>
                <w:b/>
                <w:bCs/>
                <w:color w:val="000000"/>
                <w:sz w:val="16"/>
                <w:szCs w:val="16"/>
                <w:lang w:val="fr-FR"/>
              </w:rPr>
              <w:t>dFe</w:t>
            </w:r>
            <w:proofErr w:type="gramEnd"/>
            <w:r w:rsidRPr="00B02CB8">
              <w:rPr>
                <w:rFonts w:eastAsia="Times New Roman"/>
                <w:b/>
                <w:bCs/>
                <w:color w:val="000000"/>
                <w:sz w:val="16"/>
                <w:szCs w:val="16"/>
                <w:lang w:val="fr-FR"/>
              </w:rPr>
              <w:t xml:space="preserve"> in situ</w:t>
            </w:r>
            <w:r w:rsidRPr="00B02CB8">
              <w:rPr>
                <w:rFonts w:eastAsia="Times New Roman"/>
                <w:b/>
                <w:bCs/>
                <w:color w:val="000000"/>
                <w:sz w:val="16"/>
                <w:szCs w:val="16"/>
                <w:lang w:val="fr-FR"/>
              </w:rPr>
              <w:br/>
            </w:r>
            <w:proofErr w:type="spellStart"/>
            <w:r w:rsidRPr="00B02CB8">
              <w:rPr>
                <w:rFonts w:eastAsia="Times New Roman"/>
                <w:i/>
                <w:iCs/>
                <w:color w:val="000000"/>
                <w:sz w:val="16"/>
                <w:szCs w:val="16"/>
                <w:lang w:val="fr-FR"/>
              </w:rPr>
              <w:t>nM</w:t>
            </w:r>
            <w:proofErr w:type="spellEnd"/>
          </w:p>
        </w:tc>
        <w:tc>
          <w:tcPr>
            <w:tcW w:w="1196" w:type="dxa"/>
            <w:tcBorders>
              <w:top w:val="nil"/>
              <w:left w:val="nil"/>
              <w:bottom w:val="nil"/>
              <w:right w:val="nil"/>
            </w:tcBorders>
            <w:shd w:val="clear" w:color="auto" w:fill="auto"/>
            <w:vAlign w:val="center"/>
            <w:hideMark/>
          </w:tcPr>
          <w:p w14:paraId="51AAFE31" w14:textId="77777777" w:rsidR="003B10E8" w:rsidRPr="00B02CB8" w:rsidRDefault="003B10E8" w:rsidP="008B132E">
            <w:pPr>
              <w:spacing w:after="0" w:line="240" w:lineRule="auto"/>
              <w:jc w:val="center"/>
              <w:rPr>
                <w:rFonts w:eastAsia="Times New Roman"/>
                <w:b/>
                <w:bCs/>
                <w:color w:val="000000"/>
                <w:sz w:val="16"/>
                <w:szCs w:val="16"/>
              </w:rPr>
            </w:pPr>
            <w:r w:rsidRPr="00B02CB8">
              <w:rPr>
                <w:rFonts w:eastAsia="Times New Roman"/>
                <w:b/>
                <w:bCs/>
                <w:color w:val="000000"/>
                <w:sz w:val="16"/>
                <w:szCs w:val="16"/>
              </w:rPr>
              <w:t>Fe uptake rate</w:t>
            </w:r>
            <w:r w:rsidRPr="00B02CB8">
              <w:rPr>
                <w:rFonts w:eastAsia="Times New Roman"/>
                <w:b/>
                <w:bCs/>
                <w:color w:val="000000"/>
                <w:sz w:val="16"/>
                <w:szCs w:val="16"/>
              </w:rPr>
              <w:br/>
            </w:r>
            <w:proofErr w:type="spellStart"/>
            <w:r w:rsidRPr="00B02CB8">
              <w:rPr>
                <w:rFonts w:eastAsia="Times New Roman"/>
                <w:i/>
                <w:iCs/>
                <w:color w:val="000000"/>
                <w:sz w:val="16"/>
                <w:szCs w:val="16"/>
              </w:rPr>
              <w:t>amol</w:t>
            </w:r>
            <w:proofErr w:type="spellEnd"/>
            <w:r w:rsidRPr="00B02CB8">
              <w:rPr>
                <w:rFonts w:eastAsia="Times New Roman"/>
                <w:i/>
                <w:iCs/>
                <w:color w:val="000000"/>
                <w:sz w:val="16"/>
                <w:szCs w:val="16"/>
              </w:rPr>
              <w:t xml:space="preserve"> Fe/</w:t>
            </w:r>
            <w:proofErr w:type="spellStart"/>
            <w:r w:rsidRPr="00B02CB8">
              <w:rPr>
                <w:rFonts w:eastAsia="Times New Roman"/>
                <w:i/>
                <w:iCs/>
                <w:color w:val="000000"/>
                <w:sz w:val="16"/>
                <w:szCs w:val="16"/>
              </w:rPr>
              <w:t>cell.d</w:t>
            </w:r>
            <w:proofErr w:type="spellEnd"/>
          </w:p>
        </w:tc>
      </w:tr>
      <w:tr w:rsidR="003B10E8" w:rsidRPr="00B02CB8" w14:paraId="2C6C5A6E" w14:textId="77777777" w:rsidTr="008B132E">
        <w:trPr>
          <w:trHeight w:val="210"/>
        </w:trPr>
        <w:tc>
          <w:tcPr>
            <w:tcW w:w="1216" w:type="dxa"/>
            <w:tcBorders>
              <w:top w:val="single" w:sz="4" w:space="0" w:color="auto"/>
              <w:left w:val="nil"/>
              <w:bottom w:val="nil"/>
              <w:right w:val="nil"/>
            </w:tcBorders>
            <w:shd w:val="clear" w:color="auto" w:fill="auto"/>
            <w:noWrap/>
            <w:vAlign w:val="center"/>
            <w:hideMark/>
          </w:tcPr>
          <w:p w14:paraId="4F35440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S10-B</w:t>
            </w:r>
          </w:p>
        </w:tc>
        <w:tc>
          <w:tcPr>
            <w:tcW w:w="1259" w:type="dxa"/>
            <w:tcBorders>
              <w:top w:val="single" w:sz="4" w:space="0" w:color="auto"/>
              <w:left w:val="nil"/>
              <w:bottom w:val="nil"/>
              <w:right w:val="nil"/>
            </w:tcBorders>
            <w:shd w:val="clear" w:color="auto" w:fill="auto"/>
            <w:noWrap/>
            <w:vAlign w:val="center"/>
            <w:hideMark/>
          </w:tcPr>
          <w:p w14:paraId="497E91CF"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Trichodesmium</w:t>
            </w:r>
          </w:p>
        </w:tc>
        <w:tc>
          <w:tcPr>
            <w:tcW w:w="957" w:type="dxa"/>
            <w:tcBorders>
              <w:top w:val="single" w:sz="4" w:space="0" w:color="auto"/>
              <w:left w:val="nil"/>
              <w:bottom w:val="nil"/>
              <w:right w:val="nil"/>
            </w:tcBorders>
            <w:shd w:val="clear" w:color="auto" w:fill="auto"/>
            <w:noWrap/>
            <w:vAlign w:val="center"/>
            <w:hideMark/>
          </w:tcPr>
          <w:p w14:paraId="17AC9BE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7571</w:t>
            </w:r>
          </w:p>
        </w:tc>
        <w:tc>
          <w:tcPr>
            <w:tcW w:w="759" w:type="dxa"/>
            <w:tcBorders>
              <w:top w:val="single" w:sz="4" w:space="0" w:color="auto"/>
              <w:left w:val="nil"/>
              <w:bottom w:val="nil"/>
              <w:right w:val="nil"/>
            </w:tcBorders>
            <w:shd w:val="clear" w:color="auto" w:fill="auto"/>
            <w:noWrap/>
            <w:vAlign w:val="center"/>
            <w:hideMark/>
          </w:tcPr>
          <w:p w14:paraId="53E691E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single" w:sz="4" w:space="0" w:color="auto"/>
              <w:left w:val="nil"/>
              <w:bottom w:val="nil"/>
              <w:right w:val="nil"/>
            </w:tcBorders>
            <w:shd w:val="clear" w:color="auto" w:fill="auto"/>
            <w:noWrap/>
            <w:vAlign w:val="center"/>
            <w:hideMark/>
          </w:tcPr>
          <w:p w14:paraId="4F77938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single" w:sz="4" w:space="0" w:color="auto"/>
              <w:left w:val="nil"/>
              <w:bottom w:val="nil"/>
              <w:right w:val="nil"/>
            </w:tcBorders>
            <w:shd w:val="clear" w:color="auto" w:fill="auto"/>
            <w:noWrap/>
            <w:vAlign w:val="center"/>
            <w:hideMark/>
          </w:tcPr>
          <w:p w14:paraId="396432C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single" w:sz="4" w:space="0" w:color="auto"/>
              <w:left w:val="nil"/>
              <w:bottom w:val="nil"/>
              <w:right w:val="nil"/>
            </w:tcBorders>
            <w:shd w:val="clear" w:color="auto" w:fill="auto"/>
            <w:noWrap/>
            <w:vAlign w:val="center"/>
            <w:hideMark/>
          </w:tcPr>
          <w:p w14:paraId="53FD031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32.510</w:t>
            </w:r>
          </w:p>
        </w:tc>
      </w:tr>
      <w:tr w:rsidR="003B10E8" w:rsidRPr="00B02CB8" w14:paraId="406CF0EE" w14:textId="77777777" w:rsidTr="008B132E">
        <w:trPr>
          <w:trHeight w:val="210"/>
        </w:trPr>
        <w:tc>
          <w:tcPr>
            <w:tcW w:w="1216" w:type="dxa"/>
            <w:tcBorders>
              <w:top w:val="nil"/>
              <w:left w:val="nil"/>
              <w:bottom w:val="nil"/>
              <w:right w:val="nil"/>
            </w:tcBorders>
            <w:shd w:val="clear" w:color="auto" w:fill="auto"/>
            <w:noWrap/>
            <w:vAlign w:val="center"/>
            <w:hideMark/>
          </w:tcPr>
          <w:p w14:paraId="53D5F5F7"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5249F3EC"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C. Watsonii</w:t>
            </w:r>
          </w:p>
        </w:tc>
        <w:tc>
          <w:tcPr>
            <w:tcW w:w="957" w:type="dxa"/>
            <w:tcBorders>
              <w:top w:val="nil"/>
              <w:left w:val="nil"/>
              <w:bottom w:val="nil"/>
              <w:right w:val="nil"/>
            </w:tcBorders>
            <w:shd w:val="clear" w:color="auto" w:fill="auto"/>
            <w:noWrap/>
            <w:vAlign w:val="center"/>
            <w:hideMark/>
          </w:tcPr>
          <w:p w14:paraId="7A1F93D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1876</w:t>
            </w:r>
          </w:p>
        </w:tc>
        <w:tc>
          <w:tcPr>
            <w:tcW w:w="759" w:type="dxa"/>
            <w:tcBorders>
              <w:top w:val="nil"/>
              <w:left w:val="nil"/>
              <w:bottom w:val="nil"/>
              <w:right w:val="nil"/>
            </w:tcBorders>
            <w:shd w:val="clear" w:color="auto" w:fill="auto"/>
            <w:noWrap/>
            <w:vAlign w:val="center"/>
            <w:hideMark/>
          </w:tcPr>
          <w:p w14:paraId="2877FA5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1DCBEE6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338545C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1AD38A4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0.464</w:t>
            </w:r>
          </w:p>
        </w:tc>
      </w:tr>
      <w:tr w:rsidR="003B10E8" w:rsidRPr="00B02CB8" w14:paraId="665E35D7" w14:textId="77777777" w:rsidTr="008B132E">
        <w:trPr>
          <w:trHeight w:val="210"/>
        </w:trPr>
        <w:tc>
          <w:tcPr>
            <w:tcW w:w="1216" w:type="dxa"/>
            <w:tcBorders>
              <w:top w:val="nil"/>
              <w:left w:val="nil"/>
              <w:bottom w:val="nil"/>
              <w:right w:val="nil"/>
            </w:tcBorders>
            <w:shd w:val="clear" w:color="auto" w:fill="auto"/>
            <w:noWrap/>
            <w:vAlign w:val="center"/>
            <w:hideMark/>
          </w:tcPr>
          <w:p w14:paraId="2E63AF35"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41454870"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Synechoccocus</w:t>
            </w:r>
            <w:proofErr w:type="spellEnd"/>
          </w:p>
        </w:tc>
        <w:tc>
          <w:tcPr>
            <w:tcW w:w="957" w:type="dxa"/>
            <w:tcBorders>
              <w:top w:val="nil"/>
              <w:left w:val="nil"/>
              <w:bottom w:val="nil"/>
              <w:right w:val="nil"/>
            </w:tcBorders>
            <w:shd w:val="clear" w:color="auto" w:fill="auto"/>
            <w:noWrap/>
            <w:vAlign w:val="center"/>
            <w:hideMark/>
          </w:tcPr>
          <w:p w14:paraId="19F8D5C5"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488</w:t>
            </w:r>
          </w:p>
        </w:tc>
        <w:tc>
          <w:tcPr>
            <w:tcW w:w="759" w:type="dxa"/>
            <w:tcBorders>
              <w:top w:val="nil"/>
              <w:left w:val="nil"/>
              <w:bottom w:val="nil"/>
              <w:right w:val="nil"/>
            </w:tcBorders>
            <w:shd w:val="clear" w:color="auto" w:fill="auto"/>
            <w:noWrap/>
            <w:vAlign w:val="center"/>
            <w:hideMark/>
          </w:tcPr>
          <w:p w14:paraId="7A2D9B5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42AC477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663EA6B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0C8F092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0.015</w:t>
            </w:r>
          </w:p>
        </w:tc>
      </w:tr>
      <w:tr w:rsidR="003B10E8" w:rsidRPr="00B02CB8" w14:paraId="39A9FA15" w14:textId="77777777" w:rsidTr="008B132E">
        <w:trPr>
          <w:trHeight w:val="210"/>
        </w:trPr>
        <w:tc>
          <w:tcPr>
            <w:tcW w:w="1216" w:type="dxa"/>
            <w:tcBorders>
              <w:top w:val="nil"/>
              <w:left w:val="nil"/>
              <w:bottom w:val="nil"/>
              <w:right w:val="nil"/>
            </w:tcBorders>
            <w:shd w:val="clear" w:color="auto" w:fill="auto"/>
            <w:noWrap/>
            <w:vAlign w:val="center"/>
            <w:hideMark/>
          </w:tcPr>
          <w:p w14:paraId="474466CD"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26289D51"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Prochloroccocus</w:t>
            </w:r>
            <w:proofErr w:type="spellEnd"/>
          </w:p>
        </w:tc>
        <w:tc>
          <w:tcPr>
            <w:tcW w:w="957" w:type="dxa"/>
            <w:tcBorders>
              <w:top w:val="nil"/>
              <w:left w:val="nil"/>
              <w:bottom w:val="nil"/>
              <w:right w:val="nil"/>
            </w:tcBorders>
            <w:shd w:val="clear" w:color="auto" w:fill="auto"/>
            <w:noWrap/>
            <w:vAlign w:val="center"/>
            <w:hideMark/>
          </w:tcPr>
          <w:p w14:paraId="7F27F3E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w:t>
            </w:r>
          </w:p>
        </w:tc>
        <w:tc>
          <w:tcPr>
            <w:tcW w:w="759" w:type="dxa"/>
            <w:tcBorders>
              <w:top w:val="nil"/>
              <w:left w:val="nil"/>
              <w:bottom w:val="nil"/>
              <w:right w:val="nil"/>
            </w:tcBorders>
            <w:shd w:val="clear" w:color="auto" w:fill="auto"/>
            <w:noWrap/>
            <w:vAlign w:val="center"/>
            <w:hideMark/>
          </w:tcPr>
          <w:p w14:paraId="3AC4F00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303A552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48E0991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6B5F14B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w:t>
            </w:r>
          </w:p>
        </w:tc>
      </w:tr>
      <w:tr w:rsidR="003B10E8" w:rsidRPr="00B02CB8" w14:paraId="7F1C12C2" w14:textId="77777777" w:rsidTr="008B132E">
        <w:trPr>
          <w:trHeight w:val="210"/>
        </w:trPr>
        <w:tc>
          <w:tcPr>
            <w:tcW w:w="1216" w:type="dxa"/>
            <w:tcBorders>
              <w:top w:val="nil"/>
              <w:left w:val="nil"/>
              <w:bottom w:val="nil"/>
              <w:right w:val="nil"/>
            </w:tcBorders>
            <w:shd w:val="clear" w:color="auto" w:fill="auto"/>
            <w:noWrap/>
            <w:vAlign w:val="center"/>
            <w:hideMark/>
          </w:tcPr>
          <w:p w14:paraId="48EBD690"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1A93317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 xml:space="preserve">Pico </w:t>
            </w:r>
            <w:proofErr w:type="spellStart"/>
            <w:r w:rsidRPr="00B02CB8">
              <w:rPr>
                <w:rFonts w:eastAsia="Times New Roman"/>
                <w:color w:val="000000"/>
                <w:sz w:val="16"/>
                <w:szCs w:val="16"/>
                <w:lang w:val="fr-FR"/>
              </w:rPr>
              <w:t>eukaryote</w:t>
            </w:r>
            <w:proofErr w:type="spellEnd"/>
          </w:p>
        </w:tc>
        <w:tc>
          <w:tcPr>
            <w:tcW w:w="957" w:type="dxa"/>
            <w:tcBorders>
              <w:top w:val="nil"/>
              <w:left w:val="nil"/>
              <w:bottom w:val="nil"/>
              <w:right w:val="nil"/>
            </w:tcBorders>
            <w:shd w:val="clear" w:color="auto" w:fill="auto"/>
            <w:noWrap/>
            <w:vAlign w:val="center"/>
            <w:hideMark/>
          </w:tcPr>
          <w:p w14:paraId="1BDDBCA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334</w:t>
            </w:r>
          </w:p>
        </w:tc>
        <w:tc>
          <w:tcPr>
            <w:tcW w:w="759" w:type="dxa"/>
            <w:tcBorders>
              <w:top w:val="nil"/>
              <w:left w:val="nil"/>
              <w:bottom w:val="nil"/>
              <w:right w:val="nil"/>
            </w:tcBorders>
            <w:shd w:val="clear" w:color="auto" w:fill="auto"/>
            <w:noWrap/>
            <w:vAlign w:val="center"/>
            <w:hideMark/>
          </w:tcPr>
          <w:p w14:paraId="249B60B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77DACEC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203AC6B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09E7079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0.271</w:t>
            </w:r>
          </w:p>
        </w:tc>
      </w:tr>
      <w:tr w:rsidR="003B10E8" w:rsidRPr="00B02CB8" w14:paraId="24994A32" w14:textId="77777777" w:rsidTr="008B132E">
        <w:trPr>
          <w:trHeight w:val="210"/>
        </w:trPr>
        <w:tc>
          <w:tcPr>
            <w:tcW w:w="1216" w:type="dxa"/>
            <w:tcBorders>
              <w:top w:val="nil"/>
              <w:left w:val="nil"/>
              <w:bottom w:val="nil"/>
              <w:right w:val="nil"/>
            </w:tcBorders>
            <w:shd w:val="clear" w:color="auto" w:fill="auto"/>
            <w:noWrap/>
            <w:vAlign w:val="center"/>
            <w:hideMark/>
          </w:tcPr>
          <w:p w14:paraId="73089EED"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2CC5CD1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HNA</w:t>
            </w:r>
          </w:p>
        </w:tc>
        <w:tc>
          <w:tcPr>
            <w:tcW w:w="957" w:type="dxa"/>
            <w:tcBorders>
              <w:top w:val="nil"/>
              <w:left w:val="nil"/>
              <w:bottom w:val="nil"/>
              <w:right w:val="nil"/>
            </w:tcBorders>
            <w:shd w:val="clear" w:color="auto" w:fill="auto"/>
            <w:noWrap/>
            <w:vAlign w:val="center"/>
            <w:hideMark/>
          </w:tcPr>
          <w:p w14:paraId="3B59502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190</w:t>
            </w:r>
          </w:p>
        </w:tc>
        <w:tc>
          <w:tcPr>
            <w:tcW w:w="759" w:type="dxa"/>
            <w:tcBorders>
              <w:top w:val="nil"/>
              <w:left w:val="nil"/>
              <w:bottom w:val="nil"/>
              <w:right w:val="nil"/>
            </w:tcBorders>
            <w:shd w:val="clear" w:color="auto" w:fill="auto"/>
            <w:noWrap/>
            <w:vAlign w:val="center"/>
            <w:hideMark/>
          </w:tcPr>
          <w:p w14:paraId="6C64EAD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769231E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6191C8E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30D6341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0.005</w:t>
            </w:r>
          </w:p>
        </w:tc>
      </w:tr>
      <w:tr w:rsidR="003B10E8" w:rsidRPr="00B02CB8" w14:paraId="76A0299B" w14:textId="77777777" w:rsidTr="008B132E">
        <w:trPr>
          <w:trHeight w:val="210"/>
        </w:trPr>
        <w:tc>
          <w:tcPr>
            <w:tcW w:w="1216" w:type="dxa"/>
            <w:tcBorders>
              <w:top w:val="nil"/>
              <w:left w:val="nil"/>
              <w:bottom w:val="nil"/>
              <w:right w:val="nil"/>
            </w:tcBorders>
            <w:shd w:val="clear" w:color="auto" w:fill="auto"/>
            <w:noWrap/>
            <w:vAlign w:val="center"/>
            <w:hideMark/>
          </w:tcPr>
          <w:p w14:paraId="27C032F6"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136FD63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LNA</w:t>
            </w:r>
          </w:p>
        </w:tc>
        <w:tc>
          <w:tcPr>
            <w:tcW w:w="957" w:type="dxa"/>
            <w:tcBorders>
              <w:top w:val="nil"/>
              <w:left w:val="nil"/>
              <w:bottom w:val="nil"/>
              <w:right w:val="nil"/>
            </w:tcBorders>
            <w:shd w:val="clear" w:color="auto" w:fill="auto"/>
            <w:noWrap/>
            <w:vAlign w:val="center"/>
            <w:hideMark/>
          </w:tcPr>
          <w:p w14:paraId="4478F2F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184</w:t>
            </w:r>
          </w:p>
        </w:tc>
        <w:tc>
          <w:tcPr>
            <w:tcW w:w="759" w:type="dxa"/>
            <w:tcBorders>
              <w:top w:val="nil"/>
              <w:left w:val="nil"/>
              <w:bottom w:val="nil"/>
              <w:right w:val="nil"/>
            </w:tcBorders>
            <w:shd w:val="clear" w:color="auto" w:fill="auto"/>
            <w:noWrap/>
            <w:vAlign w:val="center"/>
            <w:hideMark/>
          </w:tcPr>
          <w:p w14:paraId="6F0CB28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552AFBD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6D0BD2C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0.49</w:t>
            </w:r>
          </w:p>
        </w:tc>
        <w:tc>
          <w:tcPr>
            <w:tcW w:w="1196" w:type="dxa"/>
            <w:tcBorders>
              <w:top w:val="nil"/>
              <w:left w:val="nil"/>
              <w:bottom w:val="nil"/>
              <w:right w:val="nil"/>
            </w:tcBorders>
            <w:shd w:val="clear" w:color="auto" w:fill="auto"/>
            <w:noWrap/>
            <w:vAlign w:val="center"/>
            <w:hideMark/>
          </w:tcPr>
          <w:p w14:paraId="79A2D3B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0.002</w:t>
            </w:r>
          </w:p>
        </w:tc>
      </w:tr>
      <w:tr w:rsidR="003B10E8" w:rsidRPr="00B02CB8" w14:paraId="3BB13D0D" w14:textId="77777777" w:rsidTr="008B132E">
        <w:trPr>
          <w:trHeight w:val="210"/>
        </w:trPr>
        <w:tc>
          <w:tcPr>
            <w:tcW w:w="1216" w:type="dxa"/>
            <w:tcBorders>
              <w:top w:val="single" w:sz="4" w:space="0" w:color="auto"/>
              <w:left w:val="nil"/>
              <w:bottom w:val="nil"/>
              <w:right w:val="nil"/>
            </w:tcBorders>
            <w:shd w:val="clear" w:color="auto" w:fill="auto"/>
            <w:noWrap/>
            <w:vAlign w:val="center"/>
            <w:hideMark/>
          </w:tcPr>
          <w:p w14:paraId="79690655"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S10-A</w:t>
            </w:r>
          </w:p>
        </w:tc>
        <w:tc>
          <w:tcPr>
            <w:tcW w:w="1259" w:type="dxa"/>
            <w:tcBorders>
              <w:top w:val="single" w:sz="4" w:space="0" w:color="auto"/>
              <w:left w:val="nil"/>
              <w:bottom w:val="nil"/>
              <w:right w:val="nil"/>
            </w:tcBorders>
            <w:shd w:val="clear" w:color="auto" w:fill="auto"/>
            <w:noWrap/>
            <w:vAlign w:val="center"/>
            <w:hideMark/>
          </w:tcPr>
          <w:p w14:paraId="4D24E1CA"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Trichodesmium</w:t>
            </w:r>
          </w:p>
        </w:tc>
        <w:tc>
          <w:tcPr>
            <w:tcW w:w="957" w:type="dxa"/>
            <w:tcBorders>
              <w:top w:val="single" w:sz="4" w:space="0" w:color="auto"/>
              <w:left w:val="nil"/>
              <w:bottom w:val="nil"/>
              <w:right w:val="nil"/>
            </w:tcBorders>
            <w:shd w:val="clear" w:color="auto" w:fill="auto"/>
            <w:noWrap/>
            <w:vAlign w:val="center"/>
            <w:hideMark/>
          </w:tcPr>
          <w:p w14:paraId="1AF6E66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1319</w:t>
            </w:r>
          </w:p>
        </w:tc>
        <w:tc>
          <w:tcPr>
            <w:tcW w:w="759" w:type="dxa"/>
            <w:tcBorders>
              <w:top w:val="single" w:sz="4" w:space="0" w:color="auto"/>
              <w:left w:val="nil"/>
              <w:bottom w:val="nil"/>
              <w:right w:val="nil"/>
            </w:tcBorders>
            <w:shd w:val="clear" w:color="auto" w:fill="auto"/>
            <w:noWrap/>
            <w:vAlign w:val="center"/>
            <w:hideMark/>
          </w:tcPr>
          <w:p w14:paraId="0CF236C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single" w:sz="4" w:space="0" w:color="auto"/>
              <w:left w:val="nil"/>
              <w:bottom w:val="nil"/>
              <w:right w:val="nil"/>
            </w:tcBorders>
            <w:shd w:val="clear" w:color="auto" w:fill="auto"/>
            <w:noWrap/>
            <w:vAlign w:val="center"/>
            <w:hideMark/>
          </w:tcPr>
          <w:p w14:paraId="432CCBC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single" w:sz="4" w:space="0" w:color="auto"/>
              <w:left w:val="nil"/>
              <w:bottom w:val="nil"/>
              <w:right w:val="nil"/>
            </w:tcBorders>
            <w:shd w:val="clear" w:color="auto" w:fill="auto"/>
            <w:noWrap/>
            <w:vAlign w:val="center"/>
            <w:hideMark/>
          </w:tcPr>
          <w:p w14:paraId="2891AC4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single" w:sz="4" w:space="0" w:color="auto"/>
              <w:left w:val="nil"/>
              <w:bottom w:val="nil"/>
              <w:right w:val="nil"/>
            </w:tcBorders>
            <w:shd w:val="clear" w:color="auto" w:fill="auto"/>
            <w:noWrap/>
            <w:vAlign w:val="center"/>
            <w:hideMark/>
          </w:tcPr>
          <w:p w14:paraId="778B726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5.974</w:t>
            </w:r>
          </w:p>
        </w:tc>
      </w:tr>
      <w:tr w:rsidR="003B10E8" w:rsidRPr="00B02CB8" w14:paraId="78D350FB" w14:textId="77777777" w:rsidTr="008B132E">
        <w:trPr>
          <w:trHeight w:val="210"/>
        </w:trPr>
        <w:tc>
          <w:tcPr>
            <w:tcW w:w="1216" w:type="dxa"/>
            <w:tcBorders>
              <w:top w:val="nil"/>
              <w:left w:val="nil"/>
              <w:bottom w:val="nil"/>
              <w:right w:val="nil"/>
            </w:tcBorders>
            <w:shd w:val="clear" w:color="auto" w:fill="auto"/>
            <w:noWrap/>
            <w:vAlign w:val="center"/>
            <w:hideMark/>
          </w:tcPr>
          <w:p w14:paraId="197FEEF8"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5BFF725D"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C. Watsonii</w:t>
            </w:r>
          </w:p>
        </w:tc>
        <w:tc>
          <w:tcPr>
            <w:tcW w:w="957" w:type="dxa"/>
            <w:tcBorders>
              <w:top w:val="nil"/>
              <w:left w:val="nil"/>
              <w:bottom w:val="nil"/>
              <w:right w:val="nil"/>
            </w:tcBorders>
            <w:shd w:val="clear" w:color="auto" w:fill="auto"/>
            <w:noWrap/>
            <w:vAlign w:val="center"/>
            <w:hideMark/>
          </w:tcPr>
          <w:p w14:paraId="71D3448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715</w:t>
            </w:r>
          </w:p>
        </w:tc>
        <w:tc>
          <w:tcPr>
            <w:tcW w:w="759" w:type="dxa"/>
            <w:tcBorders>
              <w:top w:val="nil"/>
              <w:left w:val="nil"/>
              <w:bottom w:val="nil"/>
              <w:right w:val="nil"/>
            </w:tcBorders>
            <w:shd w:val="clear" w:color="auto" w:fill="auto"/>
            <w:noWrap/>
            <w:vAlign w:val="center"/>
            <w:hideMark/>
          </w:tcPr>
          <w:p w14:paraId="50F9F59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204EB0C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05E10B8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2584F5B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0.361</w:t>
            </w:r>
          </w:p>
        </w:tc>
      </w:tr>
      <w:tr w:rsidR="003B10E8" w:rsidRPr="00B02CB8" w14:paraId="2A7E5B12" w14:textId="77777777" w:rsidTr="008B132E">
        <w:trPr>
          <w:trHeight w:val="210"/>
        </w:trPr>
        <w:tc>
          <w:tcPr>
            <w:tcW w:w="1216" w:type="dxa"/>
            <w:tcBorders>
              <w:top w:val="nil"/>
              <w:left w:val="nil"/>
              <w:bottom w:val="nil"/>
              <w:right w:val="nil"/>
            </w:tcBorders>
            <w:shd w:val="clear" w:color="auto" w:fill="auto"/>
            <w:noWrap/>
            <w:vAlign w:val="center"/>
            <w:hideMark/>
          </w:tcPr>
          <w:p w14:paraId="5DD6B5C7"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1108723B"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Synechoccocus</w:t>
            </w:r>
            <w:proofErr w:type="spellEnd"/>
          </w:p>
        </w:tc>
        <w:tc>
          <w:tcPr>
            <w:tcW w:w="957" w:type="dxa"/>
            <w:tcBorders>
              <w:top w:val="nil"/>
              <w:left w:val="nil"/>
              <w:bottom w:val="nil"/>
              <w:right w:val="nil"/>
            </w:tcBorders>
            <w:shd w:val="clear" w:color="auto" w:fill="auto"/>
            <w:noWrap/>
            <w:vAlign w:val="center"/>
            <w:hideMark/>
          </w:tcPr>
          <w:p w14:paraId="0C12FA3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911</w:t>
            </w:r>
          </w:p>
        </w:tc>
        <w:tc>
          <w:tcPr>
            <w:tcW w:w="759" w:type="dxa"/>
            <w:tcBorders>
              <w:top w:val="nil"/>
              <w:left w:val="nil"/>
              <w:bottom w:val="nil"/>
              <w:right w:val="nil"/>
            </w:tcBorders>
            <w:shd w:val="clear" w:color="auto" w:fill="auto"/>
            <w:noWrap/>
            <w:vAlign w:val="center"/>
            <w:hideMark/>
          </w:tcPr>
          <w:p w14:paraId="4F16772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2BE53B0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14174A8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5C93BB1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0.005</w:t>
            </w:r>
          </w:p>
        </w:tc>
      </w:tr>
      <w:tr w:rsidR="003B10E8" w:rsidRPr="00B02CB8" w14:paraId="1551F221" w14:textId="77777777" w:rsidTr="008B132E">
        <w:trPr>
          <w:trHeight w:val="210"/>
        </w:trPr>
        <w:tc>
          <w:tcPr>
            <w:tcW w:w="1216" w:type="dxa"/>
            <w:tcBorders>
              <w:top w:val="nil"/>
              <w:left w:val="nil"/>
              <w:bottom w:val="nil"/>
              <w:right w:val="nil"/>
            </w:tcBorders>
            <w:shd w:val="clear" w:color="auto" w:fill="auto"/>
            <w:noWrap/>
            <w:vAlign w:val="center"/>
            <w:hideMark/>
          </w:tcPr>
          <w:p w14:paraId="4C788DF7"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47EB210F"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Prochloroccocus</w:t>
            </w:r>
            <w:proofErr w:type="spellEnd"/>
          </w:p>
        </w:tc>
        <w:tc>
          <w:tcPr>
            <w:tcW w:w="957" w:type="dxa"/>
            <w:tcBorders>
              <w:top w:val="nil"/>
              <w:left w:val="nil"/>
              <w:bottom w:val="nil"/>
              <w:right w:val="nil"/>
            </w:tcBorders>
            <w:shd w:val="clear" w:color="auto" w:fill="auto"/>
            <w:noWrap/>
            <w:vAlign w:val="center"/>
            <w:hideMark/>
          </w:tcPr>
          <w:p w14:paraId="22601E9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192</w:t>
            </w:r>
          </w:p>
        </w:tc>
        <w:tc>
          <w:tcPr>
            <w:tcW w:w="759" w:type="dxa"/>
            <w:tcBorders>
              <w:top w:val="nil"/>
              <w:left w:val="nil"/>
              <w:bottom w:val="nil"/>
              <w:right w:val="nil"/>
            </w:tcBorders>
            <w:shd w:val="clear" w:color="auto" w:fill="auto"/>
            <w:noWrap/>
            <w:vAlign w:val="center"/>
            <w:hideMark/>
          </w:tcPr>
          <w:p w14:paraId="5C82F83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277898D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588C418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17BBA91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0.376</w:t>
            </w:r>
          </w:p>
        </w:tc>
      </w:tr>
      <w:tr w:rsidR="003B10E8" w:rsidRPr="00B02CB8" w14:paraId="17976469" w14:textId="77777777" w:rsidTr="008B132E">
        <w:trPr>
          <w:trHeight w:val="210"/>
        </w:trPr>
        <w:tc>
          <w:tcPr>
            <w:tcW w:w="1216" w:type="dxa"/>
            <w:tcBorders>
              <w:top w:val="nil"/>
              <w:left w:val="nil"/>
              <w:bottom w:val="nil"/>
              <w:right w:val="nil"/>
            </w:tcBorders>
            <w:shd w:val="clear" w:color="auto" w:fill="auto"/>
            <w:noWrap/>
            <w:vAlign w:val="center"/>
            <w:hideMark/>
          </w:tcPr>
          <w:p w14:paraId="03C2A69F"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5D7ED1F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 xml:space="preserve">Pico </w:t>
            </w:r>
            <w:proofErr w:type="spellStart"/>
            <w:r w:rsidRPr="00B02CB8">
              <w:rPr>
                <w:rFonts w:eastAsia="Times New Roman"/>
                <w:color w:val="000000"/>
                <w:sz w:val="16"/>
                <w:szCs w:val="16"/>
                <w:lang w:val="fr-FR"/>
              </w:rPr>
              <w:t>eukaryote</w:t>
            </w:r>
            <w:proofErr w:type="spellEnd"/>
          </w:p>
        </w:tc>
        <w:tc>
          <w:tcPr>
            <w:tcW w:w="957" w:type="dxa"/>
            <w:tcBorders>
              <w:top w:val="nil"/>
              <w:left w:val="nil"/>
              <w:bottom w:val="nil"/>
              <w:right w:val="nil"/>
            </w:tcBorders>
            <w:shd w:val="clear" w:color="auto" w:fill="auto"/>
            <w:noWrap/>
            <w:vAlign w:val="center"/>
            <w:hideMark/>
          </w:tcPr>
          <w:p w14:paraId="6548DC85"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129</w:t>
            </w:r>
          </w:p>
        </w:tc>
        <w:tc>
          <w:tcPr>
            <w:tcW w:w="759" w:type="dxa"/>
            <w:tcBorders>
              <w:top w:val="nil"/>
              <w:left w:val="nil"/>
              <w:bottom w:val="nil"/>
              <w:right w:val="nil"/>
            </w:tcBorders>
            <w:shd w:val="clear" w:color="auto" w:fill="auto"/>
            <w:noWrap/>
            <w:vAlign w:val="center"/>
            <w:hideMark/>
          </w:tcPr>
          <w:p w14:paraId="3740CF9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4C6844D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5726EC4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0B42AA9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0.557</w:t>
            </w:r>
          </w:p>
        </w:tc>
      </w:tr>
      <w:tr w:rsidR="003B10E8" w:rsidRPr="00B02CB8" w14:paraId="7793E137" w14:textId="77777777" w:rsidTr="008B132E">
        <w:trPr>
          <w:trHeight w:val="210"/>
        </w:trPr>
        <w:tc>
          <w:tcPr>
            <w:tcW w:w="1216" w:type="dxa"/>
            <w:tcBorders>
              <w:top w:val="nil"/>
              <w:left w:val="nil"/>
              <w:bottom w:val="nil"/>
              <w:right w:val="nil"/>
            </w:tcBorders>
            <w:shd w:val="clear" w:color="auto" w:fill="auto"/>
            <w:noWrap/>
            <w:vAlign w:val="center"/>
            <w:hideMark/>
          </w:tcPr>
          <w:p w14:paraId="25F3C5CC"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13F7D8B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HNA</w:t>
            </w:r>
          </w:p>
        </w:tc>
        <w:tc>
          <w:tcPr>
            <w:tcW w:w="957" w:type="dxa"/>
            <w:tcBorders>
              <w:top w:val="nil"/>
              <w:left w:val="nil"/>
              <w:bottom w:val="nil"/>
              <w:right w:val="nil"/>
            </w:tcBorders>
            <w:shd w:val="clear" w:color="auto" w:fill="auto"/>
            <w:noWrap/>
            <w:vAlign w:val="center"/>
            <w:hideMark/>
          </w:tcPr>
          <w:p w14:paraId="2640868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133</w:t>
            </w:r>
          </w:p>
        </w:tc>
        <w:tc>
          <w:tcPr>
            <w:tcW w:w="759" w:type="dxa"/>
            <w:tcBorders>
              <w:top w:val="nil"/>
              <w:left w:val="nil"/>
              <w:bottom w:val="nil"/>
              <w:right w:val="nil"/>
            </w:tcBorders>
            <w:shd w:val="clear" w:color="auto" w:fill="auto"/>
            <w:noWrap/>
            <w:vAlign w:val="center"/>
            <w:hideMark/>
          </w:tcPr>
          <w:p w14:paraId="14765B9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1BA46236"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0C58677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3687174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0.001</w:t>
            </w:r>
          </w:p>
        </w:tc>
      </w:tr>
      <w:tr w:rsidR="003B10E8" w:rsidRPr="00B02CB8" w14:paraId="31EBECC9" w14:textId="77777777" w:rsidTr="008B132E">
        <w:trPr>
          <w:trHeight w:val="210"/>
        </w:trPr>
        <w:tc>
          <w:tcPr>
            <w:tcW w:w="1216" w:type="dxa"/>
            <w:tcBorders>
              <w:top w:val="nil"/>
              <w:left w:val="nil"/>
              <w:bottom w:val="nil"/>
              <w:right w:val="nil"/>
            </w:tcBorders>
            <w:shd w:val="clear" w:color="auto" w:fill="auto"/>
            <w:noWrap/>
            <w:vAlign w:val="center"/>
            <w:hideMark/>
          </w:tcPr>
          <w:p w14:paraId="7F33FB8E"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08466B1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LNA</w:t>
            </w:r>
          </w:p>
        </w:tc>
        <w:tc>
          <w:tcPr>
            <w:tcW w:w="957" w:type="dxa"/>
            <w:tcBorders>
              <w:top w:val="nil"/>
              <w:left w:val="nil"/>
              <w:bottom w:val="nil"/>
              <w:right w:val="nil"/>
            </w:tcBorders>
            <w:shd w:val="clear" w:color="auto" w:fill="auto"/>
            <w:noWrap/>
            <w:vAlign w:val="center"/>
            <w:hideMark/>
          </w:tcPr>
          <w:p w14:paraId="1087894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116</w:t>
            </w:r>
          </w:p>
        </w:tc>
        <w:tc>
          <w:tcPr>
            <w:tcW w:w="759" w:type="dxa"/>
            <w:tcBorders>
              <w:top w:val="nil"/>
              <w:left w:val="nil"/>
              <w:bottom w:val="nil"/>
              <w:right w:val="nil"/>
            </w:tcBorders>
            <w:shd w:val="clear" w:color="auto" w:fill="auto"/>
            <w:noWrap/>
            <w:vAlign w:val="center"/>
            <w:hideMark/>
          </w:tcPr>
          <w:p w14:paraId="3AAB4C6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589EE7C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0.20</w:t>
            </w:r>
          </w:p>
        </w:tc>
        <w:tc>
          <w:tcPr>
            <w:tcW w:w="1036" w:type="dxa"/>
            <w:tcBorders>
              <w:top w:val="nil"/>
              <w:left w:val="nil"/>
              <w:bottom w:val="nil"/>
              <w:right w:val="nil"/>
            </w:tcBorders>
            <w:shd w:val="clear" w:color="auto" w:fill="auto"/>
            <w:noWrap/>
            <w:vAlign w:val="center"/>
            <w:hideMark/>
          </w:tcPr>
          <w:p w14:paraId="632FA24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1.56</w:t>
            </w:r>
          </w:p>
        </w:tc>
        <w:tc>
          <w:tcPr>
            <w:tcW w:w="1196" w:type="dxa"/>
            <w:tcBorders>
              <w:top w:val="nil"/>
              <w:left w:val="nil"/>
              <w:bottom w:val="nil"/>
              <w:right w:val="nil"/>
            </w:tcBorders>
            <w:shd w:val="clear" w:color="auto" w:fill="auto"/>
            <w:noWrap/>
            <w:vAlign w:val="center"/>
            <w:hideMark/>
          </w:tcPr>
          <w:p w14:paraId="357057F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0.001</w:t>
            </w:r>
          </w:p>
        </w:tc>
      </w:tr>
      <w:tr w:rsidR="003B10E8" w:rsidRPr="00B02CB8" w14:paraId="3B0BA915" w14:textId="77777777" w:rsidTr="008B132E">
        <w:trPr>
          <w:trHeight w:val="210"/>
        </w:trPr>
        <w:tc>
          <w:tcPr>
            <w:tcW w:w="1216" w:type="dxa"/>
            <w:tcBorders>
              <w:top w:val="single" w:sz="4" w:space="0" w:color="auto"/>
              <w:left w:val="nil"/>
              <w:bottom w:val="nil"/>
              <w:right w:val="nil"/>
            </w:tcBorders>
            <w:shd w:val="clear" w:color="auto" w:fill="auto"/>
            <w:noWrap/>
            <w:vAlign w:val="center"/>
            <w:hideMark/>
          </w:tcPr>
          <w:p w14:paraId="42E7A22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S10-H</w:t>
            </w:r>
          </w:p>
        </w:tc>
        <w:tc>
          <w:tcPr>
            <w:tcW w:w="1259" w:type="dxa"/>
            <w:tcBorders>
              <w:top w:val="single" w:sz="4" w:space="0" w:color="auto"/>
              <w:left w:val="nil"/>
              <w:bottom w:val="nil"/>
              <w:right w:val="nil"/>
            </w:tcBorders>
            <w:shd w:val="clear" w:color="auto" w:fill="auto"/>
            <w:noWrap/>
            <w:vAlign w:val="center"/>
            <w:hideMark/>
          </w:tcPr>
          <w:p w14:paraId="4B438DED"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Trichodesmium</w:t>
            </w:r>
          </w:p>
        </w:tc>
        <w:tc>
          <w:tcPr>
            <w:tcW w:w="957" w:type="dxa"/>
            <w:tcBorders>
              <w:top w:val="single" w:sz="4" w:space="0" w:color="auto"/>
              <w:left w:val="nil"/>
              <w:bottom w:val="nil"/>
              <w:right w:val="nil"/>
            </w:tcBorders>
            <w:shd w:val="clear" w:color="auto" w:fill="auto"/>
            <w:noWrap/>
            <w:vAlign w:val="center"/>
            <w:hideMark/>
          </w:tcPr>
          <w:p w14:paraId="79A890F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3460</w:t>
            </w:r>
          </w:p>
        </w:tc>
        <w:tc>
          <w:tcPr>
            <w:tcW w:w="759" w:type="dxa"/>
            <w:tcBorders>
              <w:top w:val="single" w:sz="4" w:space="0" w:color="auto"/>
              <w:left w:val="nil"/>
              <w:bottom w:val="nil"/>
              <w:right w:val="nil"/>
            </w:tcBorders>
            <w:shd w:val="clear" w:color="auto" w:fill="auto"/>
            <w:noWrap/>
            <w:vAlign w:val="center"/>
            <w:hideMark/>
          </w:tcPr>
          <w:p w14:paraId="52CD513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single" w:sz="4" w:space="0" w:color="auto"/>
              <w:left w:val="nil"/>
              <w:bottom w:val="nil"/>
              <w:right w:val="nil"/>
            </w:tcBorders>
            <w:shd w:val="clear" w:color="auto" w:fill="auto"/>
            <w:noWrap/>
            <w:vAlign w:val="center"/>
            <w:hideMark/>
          </w:tcPr>
          <w:p w14:paraId="29B12836"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single" w:sz="4" w:space="0" w:color="auto"/>
              <w:left w:val="nil"/>
              <w:bottom w:val="nil"/>
              <w:right w:val="nil"/>
            </w:tcBorders>
            <w:shd w:val="clear" w:color="auto" w:fill="auto"/>
            <w:noWrap/>
            <w:vAlign w:val="center"/>
            <w:hideMark/>
          </w:tcPr>
          <w:p w14:paraId="0C605DD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single" w:sz="4" w:space="0" w:color="auto"/>
              <w:left w:val="nil"/>
              <w:bottom w:val="nil"/>
              <w:right w:val="nil"/>
            </w:tcBorders>
            <w:shd w:val="clear" w:color="auto" w:fill="auto"/>
            <w:noWrap/>
            <w:vAlign w:val="center"/>
            <w:hideMark/>
          </w:tcPr>
          <w:p w14:paraId="67FB9EE5"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13.487</w:t>
            </w:r>
          </w:p>
        </w:tc>
      </w:tr>
      <w:tr w:rsidR="003B10E8" w:rsidRPr="00B02CB8" w14:paraId="42F3DF8F" w14:textId="77777777" w:rsidTr="008B132E">
        <w:trPr>
          <w:trHeight w:val="210"/>
        </w:trPr>
        <w:tc>
          <w:tcPr>
            <w:tcW w:w="1216" w:type="dxa"/>
            <w:tcBorders>
              <w:top w:val="nil"/>
              <w:left w:val="nil"/>
              <w:bottom w:val="nil"/>
              <w:right w:val="nil"/>
            </w:tcBorders>
            <w:shd w:val="clear" w:color="auto" w:fill="auto"/>
            <w:noWrap/>
            <w:vAlign w:val="center"/>
            <w:hideMark/>
          </w:tcPr>
          <w:p w14:paraId="49626810"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5F3F1B0E"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C. Watsonii</w:t>
            </w:r>
          </w:p>
        </w:tc>
        <w:tc>
          <w:tcPr>
            <w:tcW w:w="957" w:type="dxa"/>
            <w:tcBorders>
              <w:top w:val="nil"/>
              <w:left w:val="nil"/>
              <w:bottom w:val="nil"/>
              <w:right w:val="nil"/>
            </w:tcBorders>
            <w:shd w:val="clear" w:color="auto" w:fill="auto"/>
            <w:noWrap/>
            <w:vAlign w:val="center"/>
            <w:hideMark/>
          </w:tcPr>
          <w:p w14:paraId="12FDE1D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3491</w:t>
            </w:r>
          </w:p>
        </w:tc>
        <w:tc>
          <w:tcPr>
            <w:tcW w:w="759" w:type="dxa"/>
            <w:tcBorders>
              <w:top w:val="nil"/>
              <w:left w:val="nil"/>
              <w:bottom w:val="nil"/>
              <w:right w:val="nil"/>
            </w:tcBorders>
            <w:shd w:val="clear" w:color="auto" w:fill="auto"/>
            <w:noWrap/>
            <w:vAlign w:val="center"/>
            <w:hideMark/>
          </w:tcPr>
          <w:p w14:paraId="30CDFBAE"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693CFE60"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63F7A39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2E4C5F6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1.213</w:t>
            </w:r>
          </w:p>
        </w:tc>
      </w:tr>
      <w:tr w:rsidR="003B10E8" w:rsidRPr="00B02CB8" w14:paraId="74F13E97" w14:textId="77777777" w:rsidTr="008B132E">
        <w:trPr>
          <w:trHeight w:val="210"/>
        </w:trPr>
        <w:tc>
          <w:tcPr>
            <w:tcW w:w="1216" w:type="dxa"/>
            <w:tcBorders>
              <w:top w:val="nil"/>
              <w:left w:val="nil"/>
              <w:bottom w:val="nil"/>
              <w:right w:val="nil"/>
            </w:tcBorders>
            <w:shd w:val="clear" w:color="auto" w:fill="auto"/>
            <w:noWrap/>
            <w:vAlign w:val="center"/>
            <w:hideMark/>
          </w:tcPr>
          <w:p w14:paraId="20D44A31"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0B2EFA18"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Synechoccocus</w:t>
            </w:r>
            <w:proofErr w:type="spellEnd"/>
          </w:p>
        </w:tc>
        <w:tc>
          <w:tcPr>
            <w:tcW w:w="957" w:type="dxa"/>
            <w:tcBorders>
              <w:top w:val="nil"/>
              <w:left w:val="nil"/>
              <w:bottom w:val="nil"/>
              <w:right w:val="nil"/>
            </w:tcBorders>
            <w:shd w:val="clear" w:color="auto" w:fill="auto"/>
            <w:noWrap/>
            <w:vAlign w:val="center"/>
            <w:hideMark/>
          </w:tcPr>
          <w:p w14:paraId="243D185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952</w:t>
            </w:r>
          </w:p>
        </w:tc>
        <w:tc>
          <w:tcPr>
            <w:tcW w:w="759" w:type="dxa"/>
            <w:tcBorders>
              <w:top w:val="nil"/>
              <w:left w:val="nil"/>
              <w:bottom w:val="nil"/>
              <w:right w:val="nil"/>
            </w:tcBorders>
            <w:shd w:val="clear" w:color="auto" w:fill="auto"/>
            <w:noWrap/>
            <w:vAlign w:val="center"/>
            <w:hideMark/>
          </w:tcPr>
          <w:p w14:paraId="56DBFFE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50F5E8A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04EB72C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579E74B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0.027</w:t>
            </w:r>
          </w:p>
        </w:tc>
      </w:tr>
      <w:tr w:rsidR="003B10E8" w:rsidRPr="00B02CB8" w14:paraId="5F285A27" w14:textId="77777777" w:rsidTr="008B132E">
        <w:trPr>
          <w:trHeight w:val="210"/>
        </w:trPr>
        <w:tc>
          <w:tcPr>
            <w:tcW w:w="1216" w:type="dxa"/>
            <w:tcBorders>
              <w:top w:val="nil"/>
              <w:left w:val="nil"/>
              <w:bottom w:val="nil"/>
              <w:right w:val="nil"/>
            </w:tcBorders>
            <w:shd w:val="clear" w:color="auto" w:fill="auto"/>
            <w:noWrap/>
            <w:vAlign w:val="center"/>
            <w:hideMark/>
          </w:tcPr>
          <w:p w14:paraId="65FB0F14"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6B7E6594" w14:textId="77777777" w:rsidR="003B10E8" w:rsidRPr="00B02CB8" w:rsidRDefault="003B10E8" w:rsidP="008B132E">
            <w:pPr>
              <w:spacing w:after="0" w:line="240" w:lineRule="auto"/>
              <w:jc w:val="center"/>
              <w:rPr>
                <w:rFonts w:eastAsia="Times New Roman"/>
                <w:i/>
                <w:iCs/>
                <w:color w:val="000000"/>
                <w:sz w:val="16"/>
                <w:szCs w:val="16"/>
                <w:lang w:val="fr-FR"/>
              </w:rPr>
            </w:pPr>
            <w:proofErr w:type="spellStart"/>
            <w:r w:rsidRPr="00B02CB8">
              <w:rPr>
                <w:rFonts w:eastAsia="Times New Roman"/>
                <w:i/>
                <w:iCs/>
                <w:color w:val="000000"/>
                <w:sz w:val="16"/>
                <w:szCs w:val="16"/>
                <w:lang w:val="fr-FR"/>
              </w:rPr>
              <w:t>Prochloroccocus</w:t>
            </w:r>
            <w:proofErr w:type="spellEnd"/>
          </w:p>
        </w:tc>
        <w:tc>
          <w:tcPr>
            <w:tcW w:w="957" w:type="dxa"/>
            <w:tcBorders>
              <w:top w:val="nil"/>
              <w:left w:val="nil"/>
              <w:bottom w:val="nil"/>
              <w:right w:val="nil"/>
            </w:tcBorders>
            <w:shd w:val="clear" w:color="auto" w:fill="auto"/>
            <w:noWrap/>
            <w:vAlign w:val="center"/>
            <w:hideMark/>
          </w:tcPr>
          <w:p w14:paraId="6B0BCD8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144</w:t>
            </w:r>
          </w:p>
        </w:tc>
        <w:tc>
          <w:tcPr>
            <w:tcW w:w="759" w:type="dxa"/>
            <w:tcBorders>
              <w:top w:val="nil"/>
              <w:left w:val="nil"/>
              <w:bottom w:val="nil"/>
              <w:right w:val="nil"/>
            </w:tcBorders>
            <w:shd w:val="clear" w:color="auto" w:fill="auto"/>
            <w:noWrap/>
            <w:vAlign w:val="center"/>
            <w:hideMark/>
          </w:tcPr>
          <w:p w14:paraId="3ED7E00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7ABB14E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761D0AD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533624A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0.036</w:t>
            </w:r>
          </w:p>
        </w:tc>
      </w:tr>
      <w:tr w:rsidR="003B10E8" w:rsidRPr="00B02CB8" w14:paraId="654FE696" w14:textId="77777777" w:rsidTr="008B132E">
        <w:trPr>
          <w:trHeight w:val="210"/>
        </w:trPr>
        <w:tc>
          <w:tcPr>
            <w:tcW w:w="1216" w:type="dxa"/>
            <w:tcBorders>
              <w:top w:val="nil"/>
              <w:left w:val="nil"/>
              <w:bottom w:val="nil"/>
              <w:right w:val="nil"/>
            </w:tcBorders>
            <w:shd w:val="clear" w:color="auto" w:fill="auto"/>
            <w:noWrap/>
            <w:vAlign w:val="center"/>
            <w:hideMark/>
          </w:tcPr>
          <w:p w14:paraId="2A177B50"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61E26A2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 xml:space="preserve">Pico </w:t>
            </w:r>
            <w:proofErr w:type="spellStart"/>
            <w:r w:rsidRPr="00B02CB8">
              <w:rPr>
                <w:rFonts w:eastAsia="Times New Roman"/>
                <w:color w:val="000000"/>
                <w:sz w:val="16"/>
                <w:szCs w:val="16"/>
                <w:lang w:val="fr-FR"/>
              </w:rPr>
              <w:t>eukaryote</w:t>
            </w:r>
            <w:proofErr w:type="spellEnd"/>
          </w:p>
        </w:tc>
        <w:tc>
          <w:tcPr>
            <w:tcW w:w="957" w:type="dxa"/>
            <w:tcBorders>
              <w:top w:val="nil"/>
              <w:left w:val="nil"/>
              <w:bottom w:val="nil"/>
              <w:right w:val="nil"/>
            </w:tcBorders>
            <w:shd w:val="clear" w:color="auto" w:fill="auto"/>
            <w:noWrap/>
            <w:vAlign w:val="center"/>
            <w:hideMark/>
          </w:tcPr>
          <w:p w14:paraId="4610307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108</w:t>
            </w:r>
          </w:p>
        </w:tc>
        <w:tc>
          <w:tcPr>
            <w:tcW w:w="759" w:type="dxa"/>
            <w:tcBorders>
              <w:top w:val="nil"/>
              <w:left w:val="nil"/>
              <w:bottom w:val="nil"/>
              <w:right w:val="nil"/>
            </w:tcBorders>
            <w:shd w:val="clear" w:color="auto" w:fill="auto"/>
            <w:noWrap/>
            <w:vAlign w:val="center"/>
            <w:hideMark/>
          </w:tcPr>
          <w:p w14:paraId="761F2EB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254F661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720C4AE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5CA29C38"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0.271</w:t>
            </w:r>
          </w:p>
        </w:tc>
      </w:tr>
      <w:tr w:rsidR="003B10E8" w:rsidRPr="00B02CB8" w14:paraId="1CD09DB1" w14:textId="77777777" w:rsidTr="008B132E">
        <w:trPr>
          <w:trHeight w:val="210"/>
        </w:trPr>
        <w:tc>
          <w:tcPr>
            <w:tcW w:w="1216" w:type="dxa"/>
            <w:tcBorders>
              <w:top w:val="nil"/>
              <w:left w:val="nil"/>
              <w:bottom w:val="nil"/>
              <w:right w:val="nil"/>
            </w:tcBorders>
            <w:shd w:val="clear" w:color="auto" w:fill="auto"/>
            <w:noWrap/>
            <w:vAlign w:val="center"/>
            <w:hideMark/>
          </w:tcPr>
          <w:p w14:paraId="454DE4F4"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58554406"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HNA</w:t>
            </w:r>
          </w:p>
        </w:tc>
        <w:tc>
          <w:tcPr>
            <w:tcW w:w="957" w:type="dxa"/>
            <w:tcBorders>
              <w:top w:val="nil"/>
              <w:left w:val="nil"/>
              <w:bottom w:val="nil"/>
              <w:right w:val="nil"/>
            </w:tcBorders>
            <w:shd w:val="clear" w:color="auto" w:fill="auto"/>
            <w:noWrap/>
            <w:vAlign w:val="center"/>
            <w:hideMark/>
          </w:tcPr>
          <w:p w14:paraId="5A1F7CC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467</w:t>
            </w:r>
          </w:p>
        </w:tc>
        <w:tc>
          <w:tcPr>
            <w:tcW w:w="759" w:type="dxa"/>
            <w:tcBorders>
              <w:top w:val="nil"/>
              <w:left w:val="nil"/>
              <w:bottom w:val="nil"/>
              <w:right w:val="nil"/>
            </w:tcBorders>
            <w:shd w:val="clear" w:color="auto" w:fill="auto"/>
            <w:noWrap/>
            <w:vAlign w:val="center"/>
            <w:hideMark/>
          </w:tcPr>
          <w:p w14:paraId="0503065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6017BB0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096E0F6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5E5277F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0.005</w:t>
            </w:r>
          </w:p>
        </w:tc>
      </w:tr>
      <w:tr w:rsidR="003B10E8" w:rsidRPr="00B02CB8" w14:paraId="1FE843CF" w14:textId="77777777" w:rsidTr="008B132E">
        <w:trPr>
          <w:trHeight w:val="210"/>
        </w:trPr>
        <w:tc>
          <w:tcPr>
            <w:tcW w:w="1216" w:type="dxa"/>
            <w:tcBorders>
              <w:top w:val="nil"/>
              <w:left w:val="nil"/>
              <w:bottom w:val="nil"/>
              <w:right w:val="nil"/>
            </w:tcBorders>
            <w:shd w:val="clear" w:color="auto" w:fill="auto"/>
            <w:noWrap/>
            <w:vAlign w:val="center"/>
            <w:hideMark/>
          </w:tcPr>
          <w:p w14:paraId="0A3E3ECF" w14:textId="77777777" w:rsidR="003B10E8" w:rsidRPr="00B02CB8" w:rsidRDefault="003B10E8" w:rsidP="008B132E">
            <w:pPr>
              <w:spacing w:after="0" w:line="240" w:lineRule="auto"/>
              <w:jc w:val="center"/>
              <w:rPr>
                <w:rFonts w:eastAsia="Times New Roman"/>
                <w:color w:val="000000"/>
                <w:sz w:val="16"/>
                <w:szCs w:val="16"/>
                <w:lang w:val="fr-FR"/>
              </w:rPr>
            </w:pPr>
          </w:p>
        </w:tc>
        <w:tc>
          <w:tcPr>
            <w:tcW w:w="1259" w:type="dxa"/>
            <w:tcBorders>
              <w:top w:val="nil"/>
              <w:left w:val="nil"/>
              <w:bottom w:val="nil"/>
              <w:right w:val="nil"/>
            </w:tcBorders>
            <w:shd w:val="clear" w:color="auto" w:fill="auto"/>
            <w:noWrap/>
            <w:vAlign w:val="center"/>
            <w:hideMark/>
          </w:tcPr>
          <w:p w14:paraId="10FC44D3"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LNA</w:t>
            </w:r>
          </w:p>
        </w:tc>
        <w:tc>
          <w:tcPr>
            <w:tcW w:w="957" w:type="dxa"/>
            <w:tcBorders>
              <w:top w:val="nil"/>
              <w:left w:val="nil"/>
              <w:bottom w:val="nil"/>
              <w:right w:val="nil"/>
            </w:tcBorders>
            <w:shd w:val="clear" w:color="auto" w:fill="auto"/>
            <w:noWrap/>
            <w:vAlign w:val="center"/>
            <w:hideMark/>
          </w:tcPr>
          <w:p w14:paraId="38E8F9E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129</w:t>
            </w:r>
          </w:p>
        </w:tc>
        <w:tc>
          <w:tcPr>
            <w:tcW w:w="759" w:type="dxa"/>
            <w:tcBorders>
              <w:top w:val="nil"/>
              <w:left w:val="nil"/>
              <w:bottom w:val="nil"/>
              <w:right w:val="nil"/>
            </w:tcBorders>
            <w:shd w:val="clear" w:color="auto" w:fill="auto"/>
            <w:noWrap/>
            <w:vAlign w:val="center"/>
            <w:hideMark/>
          </w:tcPr>
          <w:p w14:paraId="5CC866BD"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nil"/>
              <w:left w:val="nil"/>
              <w:bottom w:val="nil"/>
              <w:right w:val="nil"/>
            </w:tcBorders>
            <w:shd w:val="clear" w:color="auto" w:fill="auto"/>
            <w:noWrap/>
            <w:vAlign w:val="center"/>
            <w:hideMark/>
          </w:tcPr>
          <w:p w14:paraId="0F1A4D9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0.18</w:t>
            </w:r>
          </w:p>
        </w:tc>
        <w:tc>
          <w:tcPr>
            <w:tcW w:w="1036" w:type="dxa"/>
            <w:tcBorders>
              <w:top w:val="nil"/>
              <w:left w:val="nil"/>
              <w:bottom w:val="nil"/>
              <w:right w:val="nil"/>
            </w:tcBorders>
            <w:shd w:val="clear" w:color="auto" w:fill="auto"/>
            <w:noWrap/>
            <w:vAlign w:val="center"/>
            <w:hideMark/>
          </w:tcPr>
          <w:p w14:paraId="7F20113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0.35</w:t>
            </w:r>
          </w:p>
        </w:tc>
        <w:tc>
          <w:tcPr>
            <w:tcW w:w="1196" w:type="dxa"/>
            <w:tcBorders>
              <w:top w:val="nil"/>
              <w:left w:val="nil"/>
              <w:bottom w:val="nil"/>
              <w:right w:val="nil"/>
            </w:tcBorders>
            <w:shd w:val="clear" w:color="auto" w:fill="auto"/>
            <w:noWrap/>
            <w:vAlign w:val="center"/>
            <w:hideMark/>
          </w:tcPr>
          <w:p w14:paraId="0C40757F"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0.001</w:t>
            </w:r>
          </w:p>
        </w:tc>
      </w:tr>
      <w:tr w:rsidR="003B10E8" w:rsidRPr="00B02CB8" w14:paraId="2DF4D7F5" w14:textId="77777777" w:rsidTr="008B132E">
        <w:trPr>
          <w:trHeight w:val="210"/>
        </w:trPr>
        <w:tc>
          <w:tcPr>
            <w:tcW w:w="1216" w:type="dxa"/>
            <w:tcBorders>
              <w:top w:val="single" w:sz="4" w:space="0" w:color="auto"/>
              <w:left w:val="nil"/>
              <w:bottom w:val="nil"/>
              <w:right w:val="nil"/>
            </w:tcBorders>
            <w:shd w:val="clear" w:color="auto" w:fill="auto"/>
            <w:noWrap/>
            <w:vAlign w:val="center"/>
            <w:hideMark/>
          </w:tcPr>
          <w:p w14:paraId="2C7E184B"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S11</w:t>
            </w:r>
          </w:p>
        </w:tc>
        <w:tc>
          <w:tcPr>
            <w:tcW w:w="1259" w:type="dxa"/>
            <w:tcBorders>
              <w:top w:val="single" w:sz="4" w:space="0" w:color="auto"/>
              <w:left w:val="nil"/>
              <w:bottom w:val="nil"/>
              <w:right w:val="nil"/>
            </w:tcBorders>
            <w:shd w:val="clear" w:color="auto" w:fill="auto"/>
            <w:noWrap/>
            <w:vAlign w:val="center"/>
            <w:hideMark/>
          </w:tcPr>
          <w:p w14:paraId="7C76C2A5"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Trichodesmium</w:t>
            </w:r>
          </w:p>
        </w:tc>
        <w:tc>
          <w:tcPr>
            <w:tcW w:w="957" w:type="dxa"/>
            <w:tcBorders>
              <w:top w:val="single" w:sz="4" w:space="0" w:color="auto"/>
              <w:left w:val="nil"/>
              <w:bottom w:val="nil"/>
              <w:right w:val="nil"/>
            </w:tcBorders>
            <w:shd w:val="clear" w:color="auto" w:fill="auto"/>
            <w:noWrap/>
            <w:vAlign w:val="center"/>
            <w:hideMark/>
          </w:tcPr>
          <w:p w14:paraId="7316262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4636</w:t>
            </w:r>
          </w:p>
        </w:tc>
        <w:tc>
          <w:tcPr>
            <w:tcW w:w="759" w:type="dxa"/>
            <w:tcBorders>
              <w:top w:val="single" w:sz="4" w:space="0" w:color="auto"/>
              <w:left w:val="nil"/>
              <w:bottom w:val="nil"/>
              <w:right w:val="nil"/>
            </w:tcBorders>
            <w:shd w:val="clear" w:color="auto" w:fill="auto"/>
            <w:noWrap/>
            <w:vAlign w:val="center"/>
            <w:hideMark/>
          </w:tcPr>
          <w:p w14:paraId="33C1B94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single" w:sz="4" w:space="0" w:color="auto"/>
              <w:left w:val="nil"/>
              <w:bottom w:val="nil"/>
              <w:right w:val="nil"/>
            </w:tcBorders>
            <w:shd w:val="clear" w:color="auto" w:fill="auto"/>
            <w:noWrap/>
            <w:vAlign w:val="center"/>
            <w:hideMark/>
          </w:tcPr>
          <w:p w14:paraId="29EE7572"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0.16</w:t>
            </w:r>
          </w:p>
        </w:tc>
        <w:tc>
          <w:tcPr>
            <w:tcW w:w="1036" w:type="dxa"/>
            <w:tcBorders>
              <w:top w:val="single" w:sz="4" w:space="0" w:color="auto"/>
              <w:left w:val="nil"/>
              <w:bottom w:val="nil"/>
              <w:right w:val="nil"/>
            </w:tcBorders>
            <w:shd w:val="clear" w:color="auto" w:fill="auto"/>
            <w:noWrap/>
            <w:vAlign w:val="center"/>
            <w:hideMark/>
          </w:tcPr>
          <w:p w14:paraId="3C1C724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0.41</w:t>
            </w:r>
          </w:p>
        </w:tc>
        <w:tc>
          <w:tcPr>
            <w:tcW w:w="1196" w:type="dxa"/>
            <w:tcBorders>
              <w:top w:val="single" w:sz="4" w:space="0" w:color="auto"/>
              <w:left w:val="nil"/>
              <w:bottom w:val="nil"/>
              <w:right w:val="nil"/>
            </w:tcBorders>
            <w:shd w:val="clear" w:color="auto" w:fill="auto"/>
            <w:noWrap/>
            <w:vAlign w:val="center"/>
            <w:hideMark/>
          </w:tcPr>
          <w:p w14:paraId="2A58DBCC"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4.020</w:t>
            </w:r>
          </w:p>
        </w:tc>
      </w:tr>
      <w:tr w:rsidR="003B10E8" w:rsidRPr="00B02CB8" w14:paraId="42DD82AA" w14:textId="77777777" w:rsidTr="008B132E">
        <w:trPr>
          <w:trHeight w:val="210"/>
        </w:trPr>
        <w:tc>
          <w:tcPr>
            <w:tcW w:w="1216" w:type="dxa"/>
            <w:tcBorders>
              <w:top w:val="single" w:sz="4" w:space="0" w:color="auto"/>
              <w:left w:val="nil"/>
              <w:bottom w:val="nil"/>
              <w:right w:val="nil"/>
            </w:tcBorders>
            <w:shd w:val="clear" w:color="auto" w:fill="auto"/>
            <w:noWrap/>
            <w:vAlign w:val="center"/>
            <w:hideMark/>
          </w:tcPr>
          <w:p w14:paraId="250DAA5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S12</w:t>
            </w:r>
          </w:p>
        </w:tc>
        <w:tc>
          <w:tcPr>
            <w:tcW w:w="1259" w:type="dxa"/>
            <w:tcBorders>
              <w:top w:val="single" w:sz="4" w:space="0" w:color="auto"/>
              <w:left w:val="nil"/>
              <w:bottom w:val="nil"/>
              <w:right w:val="nil"/>
            </w:tcBorders>
            <w:shd w:val="clear" w:color="auto" w:fill="auto"/>
            <w:noWrap/>
            <w:vAlign w:val="center"/>
            <w:hideMark/>
          </w:tcPr>
          <w:p w14:paraId="184CD1BB" w14:textId="77777777" w:rsidR="003B10E8" w:rsidRPr="00B02CB8" w:rsidRDefault="003B10E8" w:rsidP="008B132E">
            <w:pPr>
              <w:spacing w:after="0" w:line="240" w:lineRule="auto"/>
              <w:jc w:val="center"/>
              <w:rPr>
                <w:rFonts w:eastAsia="Times New Roman"/>
                <w:i/>
                <w:iCs/>
                <w:color w:val="000000"/>
                <w:sz w:val="16"/>
                <w:szCs w:val="16"/>
                <w:lang w:val="fr-FR"/>
              </w:rPr>
            </w:pPr>
            <w:r w:rsidRPr="00B02CB8">
              <w:rPr>
                <w:rFonts w:eastAsia="Times New Roman"/>
                <w:i/>
                <w:iCs/>
                <w:color w:val="000000"/>
                <w:sz w:val="16"/>
                <w:szCs w:val="16"/>
                <w:lang w:val="fr-FR"/>
              </w:rPr>
              <w:t>Trichodesmium</w:t>
            </w:r>
          </w:p>
        </w:tc>
        <w:tc>
          <w:tcPr>
            <w:tcW w:w="957" w:type="dxa"/>
            <w:tcBorders>
              <w:top w:val="single" w:sz="4" w:space="0" w:color="auto"/>
              <w:left w:val="nil"/>
              <w:bottom w:val="nil"/>
              <w:right w:val="nil"/>
            </w:tcBorders>
            <w:shd w:val="clear" w:color="auto" w:fill="auto"/>
            <w:noWrap/>
            <w:vAlign w:val="center"/>
            <w:hideMark/>
          </w:tcPr>
          <w:p w14:paraId="5616ABA7"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24657</w:t>
            </w:r>
          </w:p>
        </w:tc>
        <w:tc>
          <w:tcPr>
            <w:tcW w:w="759" w:type="dxa"/>
            <w:tcBorders>
              <w:top w:val="single" w:sz="4" w:space="0" w:color="auto"/>
              <w:left w:val="nil"/>
              <w:bottom w:val="nil"/>
              <w:right w:val="nil"/>
            </w:tcBorders>
            <w:shd w:val="clear" w:color="auto" w:fill="auto"/>
            <w:noWrap/>
            <w:vAlign w:val="center"/>
            <w:hideMark/>
          </w:tcPr>
          <w:p w14:paraId="3EC412C4"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1.38E+16</w:t>
            </w:r>
          </w:p>
        </w:tc>
        <w:tc>
          <w:tcPr>
            <w:tcW w:w="897" w:type="dxa"/>
            <w:tcBorders>
              <w:top w:val="single" w:sz="4" w:space="0" w:color="auto"/>
              <w:left w:val="nil"/>
              <w:bottom w:val="nil"/>
              <w:right w:val="nil"/>
            </w:tcBorders>
            <w:shd w:val="clear" w:color="auto" w:fill="auto"/>
            <w:noWrap/>
            <w:vAlign w:val="center"/>
            <w:hideMark/>
          </w:tcPr>
          <w:p w14:paraId="0310AEAA"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0.16</w:t>
            </w:r>
          </w:p>
        </w:tc>
        <w:tc>
          <w:tcPr>
            <w:tcW w:w="1036" w:type="dxa"/>
            <w:tcBorders>
              <w:top w:val="single" w:sz="4" w:space="0" w:color="auto"/>
              <w:left w:val="nil"/>
              <w:bottom w:val="nil"/>
              <w:right w:val="nil"/>
            </w:tcBorders>
            <w:shd w:val="clear" w:color="auto" w:fill="auto"/>
            <w:noWrap/>
            <w:vAlign w:val="center"/>
            <w:hideMark/>
          </w:tcPr>
          <w:p w14:paraId="320971D9"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0.24</w:t>
            </w:r>
          </w:p>
        </w:tc>
        <w:tc>
          <w:tcPr>
            <w:tcW w:w="1196" w:type="dxa"/>
            <w:tcBorders>
              <w:top w:val="single" w:sz="4" w:space="0" w:color="auto"/>
              <w:left w:val="nil"/>
              <w:bottom w:val="nil"/>
              <w:right w:val="nil"/>
            </w:tcBorders>
            <w:shd w:val="clear" w:color="auto" w:fill="auto"/>
            <w:noWrap/>
            <w:vAlign w:val="center"/>
            <w:hideMark/>
          </w:tcPr>
          <w:p w14:paraId="2F614D41" w14:textId="77777777" w:rsidR="003B10E8" w:rsidRPr="00B02CB8" w:rsidRDefault="003B10E8" w:rsidP="008B132E">
            <w:pPr>
              <w:spacing w:after="0" w:line="240" w:lineRule="auto"/>
              <w:jc w:val="center"/>
              <w:rPr>
                <w:rFonts w:eastAsia="Times New Roman"/>
                <w:color w:val="000000"/>
                <w:sz w:val="16"/>
                <w:szCs w:val="16"/>
                <w:lang w:val="fr-FR"/>
              </w:rPr>
            </w:pPr>
            <w:r w:rsidRPr="00B02CB8">
              <w:rPr>
                <w:rFonts w:eastAsia="Times New Roman"/>
                <w:color w:val="000000"/>
                <w:sz w:val="16"/>
                <w:szCs w:val="16"/>
                <w:lang w:val="fr-FR"/>
              </w:rPr>
              <w:t>15.025</w:t>
            </w:r>
          </w:p>
        </w:tc>
      </w:tr>
    </w:tbl>
    <w:p w14:paraId="46EA9B9C" w14:textId="101CCF1F" w:rsidR="003B10E8" w:rsidRDefault="003B10E8" w:rsidP="003B10E8">
      <w:pPr>
        <w:rPr>
          <w:rFonts w:ascii="Times New Roman" w:eastAsia="Times New Roman" w:hAnsi="Times New Roman" w:cs="Times New Roman"/>
          <w:b/>
          <w:sz w:val="24"/>
          <w:szCs w:val="24"/>
        </w:rPr>
      </w:pPr>
    </w:p>
    <w:p w14:paraId="0D8D18C4" w14:textId="77777777" w:rsidR="00F71101" w:rsidRDefault="00F71101"/>
    <w:p w14:paraId="71BA62ED" w14:textId="77777777" w:rsidR="00F71101" w:rsidRDefault="00F71101">
      <w:r>
        <w:br w:type="page"/>
      </w:r>
    </w:p>
    <w:p w14:paraId="1395A9A8" w14:textId="77777777" w:rsidR="00915E2E" w:rsidRDefault="00915E2E" w:rsidP="00915E2E">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Table S4</w:t>
      </w:r>
      <w:r>
        <w:rPr>
          <w:rFonts w:ascii="Times New Roman" w:eastAsia="Times New Roman" w:hAnsi="Times New Roman" w:cs="Times New Roman"/>
          <w:color w:val="000000"/>
          <w:sz w:val="24"/>
          <w:szCs w:val="24"/>
        </w:rPr>
        <w:t>. Bulk Fe uptake rates, POC-normalized Fe uptake rates and contribution of the picoplanktonic fraction (0.2–2 µm) to the bulk Fe uptake in this study compared to published studies of natural surface waters in other oceanic regions.</w:t>
      </w:r>
    </w:p>
    <w:tbl>
      <w:tblPr>
        <w:tblStyle w:val="a9"/>
        <w:tblW w:w="9435"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1134"/>
        <w:gridCol w:w="2127"/>
        <w:gridCol w:w="1417"/>
        <w:gridCol w:w="992"/>
        <w:gridCol w:w="180"/>
        <w:gridCol w:w="1635"/>
        <w:gridCol w:w="960"/>
        <w:gridCol w:w="990"/>
      </w:tblGrid>
      <w:tr w:rsidR="00915E2E" w14:paraId="03A31E79" w14:textId="77777777" w:rsidTr="008B132E">
        <w:trPr>
          <w:trHeight w:val="330"/>
        </w:trPr>
        <w:tc>
          <w:tcPr>
            <w:tcW w:w="1134" w:type="dxa"/>
            <w:vMerge w:val="restart"/>
            <w:shd w:val="clear" w:color="auto" w:fill="auto"/>
            <w:vAlign w:val="center"/>
          </w:tcPr>
          <w:p w14:paraId="6F9A4FC5"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Reference</w:t>
            </w:r>
          </w:p>
        </w:tc>
        <w:tc>
          <w:tcPr>
            <w:tcW w:w="2127" w:type="dxa"/>
            <w:vMerge w:val="restart"/>
            <w:shd w:val="clear" w:color="auto" w:fill="auto"/>
            <w:vAlign w:val="center"/>
          </w:tcPr>
          <w:p w14:paraId="0DF32C2F"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Oceanic region</w:t>
            </w:r>
          </w:p>
        </w:tc>
        <w:tc>
          <w:tcPr>
            <w:tcW w:w="1417" w:type="dxa"/>
            <w:tcBorders>
              <w:top w:val="nil"/>
              <w:bottom w:val="nil"/>
            </w:tcBorders>
            <w:shd w:val="clear" w:color="auto" w:fill="auto"/>
            <w:vAlign w:val="center"/>
          </w:tcPr>
          <w:p w14:paraId="44F2C50A"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dFe </w:t>
            </w:r>
          </w:p>
        </w:tc>
        <w:tc>
          <w:tcPr>
            <w:tcW w:w="1172" w:type="dxa"/>
            <w:gridSpan w:val="2"/>
            <w:tcBorders>
              <w:top w:val="nil"/>
              <w:bottom w:val="nil"/>
            </w:tcBorders>
            <w:shd w:val="clear" w:color="auto" w:fill="auto"/>
            <w:vAlign w:val="center"/>
          </w:tcPr>
          <w:p w14:paraId="307DF2CA"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Bulk Fe uptake</w:t>
            </w:r>
          </w:p>
        </w:tc>
        <w:tc>
          <w:tcPr>
            <w:tcW w:w="1635" w:type="dxa"/>
            <w:tcBorders>
              <w:top w:val="nil"/>
              <w:bottom w:val="nil"/>
            </w:tcBorders>
            <w:shd w:val="clear" w:color="auto" w:fill="auto"/>
            <w:vAlign w:val="center"/>
          </w:tcPr>
          <w:p w14:paraId="6AD80745"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POC-normalized Fe uptake</w:t>
            </w:r>
          </w:p>
        </w:tc>
        <w:tc>
          <w:tcPr>
            <w:tcW w:w="1950" w:type="dxa"/>
            <w:gridSpan w:val="2"/>
            <w:tcBorders>
              <w:top w:val="nil"/>
              <w:bottom w:val="nil"/>
            </w:tcBorders>
            <w:shd w:val="clear" w:color="auto" w:fill="auto"/>
            <w:vAlign w:val="center"/>
          </w:tcPr>
          <w:p w14:paraId="7C9BE4BD"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0.2 - 2 µm fraction</w:t>
            </w:r>
          </w:p>
        </w:tc>
      </w:tr>
      <w:tr w:rsidR="00915E2E" w14:paraId="48B690B8" w14:textId="77777777" w:rsidTr="008B132E">
        <w:trPr>
          <w:trHeight w:val="485"/>
        </w:trPr>
        <w:tc>
          <w:tcPr>
            <w:tcW w:w="1134" w:type="dxa"/>
            <w:vMerge/>
            <w:shd w:val="clear" w:color="auto" w:fill="auto"/>
            <w:vAlign w:val="center"/>
          </w:tcPr>
          <w:p w14:paraId="23D4CC85" w14:textId="77777777" w:rsidR="00915E2E" w:rsidRDefault="00915E2E" w:rsidP="008B132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127" w:type="dxa"/>
            <w:vMerge/>
            <w:shd w:val="clear" w:color="auto" w:fill="auto"/>
            <w:vAlign w:val="center"/>
          </w:tcPr>
          <w:p w14:paraId="35B6C583" w14:textId="77777777" w:rsidR="00915E2E" w:rsidRDefault="00915E2E" w:rsidP="008B132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417" w:type="dxa"/>
            <w:tcBorders>
              <w:top w:val="nil"/>
              <w:bottom w:val="single" w:sz="4" w:space="0" w:color="000000"/>
            </w:tcBorders>
            <w:shd w:val="clear" w:color="auto" w:fill="auto"/>
            <w:vAlign w:val="center"/>
          </w:tcPr>
          <w:p w14:paraId="3FC3F919"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nM</w:t>
            </w:r>
            <w:proofErr w:type="spellEnd"/>
            <w:r>
              <w:rPr>
                <w:rFonts w:ascii="Times New Roman" w:eastAsia="Times New Roman" w:hAnsi="Times New Roman" w:cs="Times New Roman"/>
                <w:color w:val="000000"/>
                <w:sz w:val="20"/>
                <w:szCs w:val="20"/>
              </w:rPr>
              <w:t>)</w:t>
            </w:r>
          </w:p>
        </w:tc>
        <w:tc>
          <w:tcPr>
            <w:tcW w:w="1172" w:type="dxa"/>
            <w:gridSpan w:val="2"/>
            <w:tcBorders>
              <w:top w:val="nil"/>
              <w:bottom w:val="single" w:sz="4" w:space="0" w:color="000000"/>
            </w:tcBorders>
            <w:shd w:val="clear" w:color="auto" w:fill="auto"/>
            <w:vAlign w:val="center"/>
          </w:tcPr>
          <w:p w14:paraId="5C380AFF"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pmol</w:t>
            </w:r>
            <w:proofErr w:type="spellEnd"/>
            <w:proofErr w:type="gramEnd"/>
            <w:r>
              <w:rPr>
                <w:rFonts w:ascii="Times New Roman" w:eastAsia="Times New Roman" w:hAnsi="Times New Roman" w:cs="Times New Roman"/>
                <w:color w:val="000000"/>
                <w:sz w:val="20"/>
                <w:szCs w:val="20"/>
              </w:rPr>
              <w:t xml:space="preserve"> Fe </w:t>
            </w:r>
            <w:r>
              <w:rPr>
                <w:rFonts w:ascii="Times New Roman" w:eastAsia="Times New Roman" w:hAnsi="Times New Roman" w:cs="Times New Roman"/>
                <w:color w:val="000000"/>
                <w:sz w:val="20"/>
                <w:szCs w:val="20"/>
              </w:rPr>
              <w:br/>
              <w:t>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1635" w:type="dxa"/>
            <w:tcBorders>
              <w:top w:val="nil"/>
              <w:bottom w:val="single" w:sz="4" w:space="0" w:color="000000"/>
            </w:tcBorders>
            <w:shd w:val="clear" w:color="auto" w:fill="auto"/>
            <w:vAlign w:val="center"/>
          </w:tcPr>
          <w:p w14:paraId="6D0ACD7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(µmol Fe </w:t>
            </w:r>
            <w:r>
              <w:rPr>
                <w:rFonts w:ascii="Times New Roman" w:eastAsia="Times New Roman" w:hAnsi="Times New Roman" w:cs="Times New Roman"/>
                <w:color w:val="000000"/>
                <w:sz w:val="20"/>
                <w:szCs w:val="20"/>
              </w:rPr>
              <w:br/>
              <w:t>mol C</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960" w:type="dxa"/>
            <w:tcBorders>
              <w:top w:val="nil"/>
              <w:bottom w:val="single" w:sz="4" w:space="0" w:color="000000"/>
            </w:tcBorders>
            <w:shd w:val="clear" w:color="auto" w:fill="auto"/>
            <w:vAlign w:val="center"/>
          </w:tcPr>
          <w:p w14:paraId="5278956F"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pmol</w:t>
            </w:r>
            <w:proofErr w:type="spellEnd"/>
            <w:proofErr w:type="gramEnd"/>
            <w:r>
              <w:rPr>
                <w:rFonts w:ascii="Times New Roman" w:eastAsia="Times New Roman" w:hAnsi="Times New Roman" w:cs="Times New Roman"/>
                <w:color w:val="000000"/>
                <w:sz w:val="20"/>
                <w:szCs w:val="20"/>
              </w:rPr>
              <w:t xml:space="preserve"> Fe </w:t>
            </w:r>
            <w:r>
              <w:rPr>
                <w:rFonts w:ascii="Times New Roman" w:eastAsia="Times New Roman" w:hAnsi="Times New Roman" w:cs="Times New Roman"/>
                <w:color w:val="000000"/>
                <w:sz w:val="20"/>
                <w:szCs w:val="20"/>
              </w:rPr>
              <w:br/>
              <w:t>L</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w:t>
            </w:r>
          </w:p>
        </w:tc>
        <w:tc>
          <w:tcPr>
            <w:tcW w:w="990" w:type="dxa"/>
            <w:tcBorders>
              <w:top w:val="nil"/>
              <w:bottom w:val="single" w:sz="4" w:space="0" w:color="000000"/>
            </w:tcBorders>
            <w:shd w:val="clear" w:color="auto" w:fill="auto"/>
            <w:vAlign w:val="center"/>
          </w:tcPr>
          <w:p w14:paraId="7709A97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of total)</w:t>
            </w:r>
          </w:p>
        </w:tc>
      </w:tr>
      <w:tr w:rsidR="00915E2E" w14:paraId="0C5D5A00" w14:textId="77777777" w:rsidTr="008B132E">
        <w:trPr>
          <w:trHeight w:val="340"/>
        </w:trPr>
        <w:tc>
          <w:tcPr>
            <w:tcW w:w="1134" w:type="dxa"/>
            <w:tcBorders>
              <w:top w:val="single" w:sz="4" w:space="0" w:color="000000"/>
              <w:bottom w:val="single" w:sz="4" w:space="0" w:color="000000"/>
            </w:tcBorders>
            <w:shd w:val="clear" w:color="auto" w:fill="auto"/>
            <w:vAlign w:val="center"/>
          </w:tcPr>
          <w:p w14:paraId="1EDACB12" w14:textId="77777777" w:rsidR="00915E2E" w:rsidRDefault="00915E2E" w:rsidP="008B132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This study</w:t>
            </w:r>
          </w:p>
        </w:tc>
        <w:tc>
          <w:tcPr>
            <w:tcW w:w="2127" w:type="dxa"/>
            <w:tcBorders>
              <w:top w:val="single" w:sz="4" w:space="0" w:color="000000"/>
              <w:bottom w:val="single" w:sz="4" w:space="0" w:color="000000"/>
            </w:tcBorders>
            <w:shd w:val="clear" w:color="auto" w:fill="auto"/>
            <w:vAlign w:val="center"/>
          </w:tcPr>
          <w:p w14:paraId="4AAD3E6A"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WTSP</w:t>
            </w:r>
          </w:p>
        </w:tc>
        <w:tc>
          <w:tcPr>
            <w:tcW w:w="1417" w:type="dxa"/>
            <w:tcBorders>
              <w:top w:val="single" w:sz="4" w:space="0" w:color="000000"/>
              <w:bottom w:val="single" w:sz="4" w:space="0" w:color="000000"/>
            </w:tcBorders>
            <w:shd w:val="clear" w:color="auto" w:fill="auto"/>
            <w:vAlign w:val="center"/>
          </w:tcPr>
          <w:p w14:paraId="73405048"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0.24-1.56</w:t>
            </w:r>
          </w:p>
        </w:tc>
        <w:tc>
          <w:tcPr>
            <w:tcW w:w="1172" w:type="dxa"/>
            <w:gridSpan w:val="2"/>
            <w:tcBorders>
              <w:top w:val="single" w:sz="4" w:space="0" w:color="000000"/>
              <w:bottom w:val="single" w:sz="4" w:space="0" w:color="000000"/>
            </w:tcBorders>
            <w:shd w:val="clear" w:color="auto" w:fill="auto"/>
            <w:vAlign w:val="center"/>
          </w:tcPr>
          <w:p w14:paraId="0554C9F4"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6.5–19</w:t>
            </w:r>
          </w:p>
        </w:tc>
        <w:tc>
          <w:tcPr>
            <w:tcW w:w="1635" w:type="dxa"/>
            <w:tcBorders>
              <w:top w:val="single" w:sz="4" w:space="0" w:color="000000"/>
              <w:bottom w:val="single" w:sz="4" w:space="0" w:color="000000"/>
            </w:tcBorders>
            <w:shd w:val="clear" w:color="auto" w:fill="auto"/>
            <w:vAlign w:val="center"/>
          </w:tcPr>
          <w:p w14:paraId="20D4496B"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1.2–3.5</w:t>
            </w:r>
          </w:p>
        </w:tc>
        <w:tc>
          <w:tcPr>
            <w:tcW w:w="960" w:type="dxa"/>
            <w:tcBorders>
              <w:top w:val="single" w:sz="4" w:space="0" w:color="000000"/>
              <w:bottom w:val="single" w:sz="4" w:space="0" w:color="000000"/>
            </w:tcBorders>
            <w:shd w:val="clear" w:color="auto" w:fill="auto"/>
            <w:vAlign w:val="center"/>
          </w:tcPr>
          <w:p w14:paraId="0B11550E"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2.8–10.6</w:t>
            </w:r>
          </w:p>
        </w:tc>
        <w:tc>
          <w:tcPr>
            <w:tcW w:w="990" w:type="dxa"/>
            <w:tcBorders>
              <w:top w:val="single" w:sz="4" w:space="0" w:color="000000"/>
              <w:bottom w:val="single" w:sz="4" w:space="0" w:color="000000"/>
            </w:tcBorders>
            <w:shd w:val="clear" w:color="auto" w:fill="auto"/>
            <w:vAlign w:val="center"/>
          </w:tcPr>
          <w:p w14:paraId="32F8C2FE"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43–63</w:t>
            </w:r>
          </w:p>
        </w:tc>
      </w:tr>
      <w:tr w:rsidR="00915E2E" w14:paraId="0A2389C6" w14:textId="77777777" w:rsidTr="008B132E">
        <w:trPr>
          <w:trHeight w:val="533"/>
        </w:trPr>
        <w:tc>
          <w:tcPr>
            <w:tcW w:w="1134" w:type="dxa"/>
            <w:tcBorders>
              <w:top w:val="single" w:sz="4" w:space="0" w:color="000000"/>
              <w:bottom w:val="nil"/>
            </w:tcBorders>
            <w:shd w:val="clear" w:color="auto" w:fill="auto"/>
            <w:vAlign w:val="center"/>
          </w:tcPr>
          <w:p w14:paraId="74526FAA"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Ellwood et al. 2020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{"citationItems":[{"id":"ITEM-1","itemData":{"DOI":"10.1038/s41467-020-14464-0","ISSN":"20411723","abstract":"Mesoscale eddies are ubiquitous in the iron-limited Southern Ocean, controlling ocean-atmosphere exchange processes, however their influence on phytoplankton productivity remains unknown. Here we probed the biogeochemical cycling of iron (Fe) in a cold-core eddy. In-eddy surface dissolved Fe (dFe) concentrations and phytoplankton productivity were exceedingly low relative to external waters. In-eddy phytoplankton Fe-to-carbon uptake ratios were elevated 2–6 fold, indicating upregulated intracellular Fe acquisition resulting in a dFe residence time of ~1 day. Heavy dFe isotope values were measured for in-eddy surface waters highlighting extensive trafficking of dFe by cells. Below the euphotic zone, dFe isotope values were lighter and coincident with peaks in recycled nutrients and cell abundance, indicating enhanced microbially-mediated Fe recycling. Our measurements show that the isolated nature of Southern Ocean eddies can produce distinctly different Fe biogeochemistry compared to surrounding waters with cells upregulating iron uptake and using recycling processes to sustain themselves.","author":[{"dropping-particle":"","family":"Ellwood","given":"Michael J.","non-dropping-particle":"","parse-names":false,"suffix":""},{"dropping-particle":"","family":"Strzepek","given":"Robert F.","non-dropping-particle":"","parse-names":false,"suffix":""},{"dropping-particle":"","family":"Strutton","given":"Peter G.","non-dropping-particle":"","parse-names":false,"suffix":""},{"dropping-particle":"","family":"Trull","given":"Thomas W.","non-dropping-particle":"","parse-names":false,"suffix":""},{"dropping-particle":"","family":"Fourquez","given":"Marion","non-dropping-particle":"","parse-names":false,"suffix":""},{"dropping-particle":"","family":"Boyd","given":"Philip W.","non-dropping-particle":"","parse-names":false,"suffix":""}],"container-title":"Nature Communications","id":"ITEM-1","issue":"1","issued":{"date-parts":[["2020"]]},"page":"1-8","publisher":"Springer US","title":"Distinct iron cycling in a Southern Ocean eddy","type":"article-journal","volume":"11"},"uris":["http://www.mendeley.com/documents/?uuid=717b88ae-aa61-4f8b-88c6-1ab225dd447e"]}],"mendeley":{"formattedCitation":"(2)","plainTextFormattedCitation":"(2)","previouslyFormattedCitation":"(3)"},"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(2)</w:t>
            </w:r>
            <w:r>
              <w:rPr>
                <w:rFonts w:ascii="Times New Roman" w:eastAsia="Times New Roman" w:hAnsi="Times New Roman" w:cs="Times New Roman"/>
                <w:i/>
                <w:color w:val="000000"/>
                <w:sz w:val="20"/>
                <w:szCs w:val="20"/>
              </w:rPr>
              <w:fldChar w:fldCharType="end"/>
            </w:r>
          </w:p>
        </w:tc>
        <w:tc>
          <w:tcPr>
            <w:tcW w:w="2127" w:type="dxa"/>
            <w:tcBorders>
              <w:top w:val="single" w:sz="4" w:space="0" w:color="000000"/>
              <w:bottom w:val="nil"/>
              <w:right w:val="single" w:sz="4" w:space="0" w:color="000000"/>
            </w:tcBorders>
            <w:shd w:val="clear" w:color="auto" w:fill="auto"/>
            <w:vAlign w:val="center"/>
          </w:tcPr>
          <w:p w14:paraId="1992B968"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 (Subantarctic zone)</w:t>
            </w: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2CDF8CF2"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0.02–0.06</w:t>
            </w:r>
          </w:p>
        </w:tc>
        <w:tc>
          <w:tcPr>
            <w:tcW w:w="1172" w:type="dxa"/>
            <w:gridSpan w:val="2"/>
            <w:tcBorders>
              <w:top w:val="single" w:sz="4" w:space="0" w:color="000000"/>
              <w:left w:val="single" w:sz="4" w:space="0" w:color="000000"/>
              <w:bottom w:val="nil"/>
              <w:right w:val="single" w:sz="4" w:space="0" w:color="000000"/>
            </w:tcBorders>
            <w:shd w:val="clear" w:color="auto" w:fill="auto"/>
            <w:vAlign w:val="center"/>
          </w:tcPr>
          <w:p w14:paraId="172EE24E"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11–27</w:t>
            </w:r>
          </w:p>
        </w:tc>
        <w:tc>
          <w:tcPr>
            <w:tcW w:w="1635" w:type="dxa"/>
            <w:tcBorders>
              <w:top w:val="single" w:sz="4" w:space="0" w:color="000000"/>
              <w:left w:val="single" w:sz="4" w:space="0" w:color="000000"/>
              <w:bottom w:val="nil"/>
              <w:right w:val="single" w:sz="4" w:space="0" w:color="000000"/>
            </w:tcBorders>
            <w:shd w:val="clear" w:color="auto" w:fill="auto"/>
            <w:vAlign w:val="center"/>
          </w:tcPr>
          <w:p w14:paraId="7CAC7B4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60" w:type="dxa"/>
            <w:tcBorders>
              <w:top w:val="single" w:sz="4" w:space="0" w:color="000000"/>
              <w:left w:val="single" w:sz="4" w:space="0" w:color="000000"/>
              <w:bottom w:val="nil"/>
              <w:right w:val="single" w:sz="4" w:space="0" w:color="000000"/>
            </w:tcBorders>
            <w:shd w:val="clear" w:color="auto" w:fill="auto"/>
            <w:vAlign w:val="center"/>
          </w:tcPr>
          <w:p w14:paraId="0001AAA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17.3</w:t>
            </w:r>
          </w:p>
        </w:tc>
        <w:tc>
          <w:tcPr>
            <w:tcW w:w="990" w:type="dxa"/>
            <w:tcBorders>
              <w:top w:val="single" w:sz="4" w:space="0" w:color="000000"/>
              <w:left w:val="single" w:sz="4" w:space="0" w:color="000000"/>
              <w:bottom w:val="nil"/>
            </w:tcBorders>
            <w:shd w:val="clear" w:color="auto" w:fill="auto"/>
            <w:vAlign w:val="center"/>
          </w:tcPr>
          <w:p w14:paraId="5AFBD4E7"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p>
        </w:tc>
      </w:tr>
      <w:tr w:rsidR="00915E2E" w14:paraId="3EFBD67E" w14:textId="77777777" w:rsidTr="008B132E">
        <w:trPr>
          <w:trHeight w:val="409"/>
        </w:trPr>
        <w:tc>
          <w:tcPr>
            <w:tcW w:w="1134" w:type="dxa"/>
            <w:tcBorders>
              <w:top w:val="nil"/>
              <w:bottom w:val="nil"/>
            </w:tcBorders>
            <w:shd w:val="clear" w:color="auto" w:fill="auto"/>
            <w:vAlign w:val="center"/>
          </w:tcPr>
          <w:p w14:paraId="106928D4"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Fourquez</w:t>
            </w:r>
            <w:proofErr w:type="spellEnd"/>
            <w:r>
              <w:rPr>
                <w:rFonts w:ascii="Times New Roman" w:eastAsia="Times New Roman" w:hAnsi="Times New Roman" w:cs="Times New Roman"/>
                <w:i/>
                <w:color w:val="000000"/>
                <w:sz w:val="20"/>
                <w:szCs w:val="20"/>
              </w:rPr>
              <w:t xml:space="preserve"> et al. 2020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10.3389/fmars.2019.00776","ISSN":"2296-7745","author":[{"dropping-particle":"","family":"Fourquez","given":"Marion","non-dropping-particle":"","parse-names":false,"suffix":""},{"dropping-particle":"","family":"Bressac","given":"Matthieu","non-dropping-particle":"","parse-names":false,"suffix":""},{"dropping-particle":"","family":"Deppeler","given":"Stacy L","non-dropping-particle":"","parse-names":false,"suffix":""},{"dropping-particle":"","family":"Ellwood","given":"Michael","non-dropping-particle":"","parse-names":false,"suffix":""},{"dropping-particle":"","family":"Obernosterer","given":"Ingrid","non-dropping-particle":"","parse-names":false,"suffix":""},{"dropping-particle":"","family":"Trull","given":"Thomas W","non-dropping-particle":"","parse-names":false,"suffix":""},{"dropping-particle":"","family":"Boyd","given":"Philip W","non-dropping-particle":"","parse-names":false,"suffix":""}],"container-title":"Frontiers in Marine Science","id":"ITEM-1","issue":"January","issued":{"date-parts":[["2020"]]},"title":"Microbial Competition in the Subpolar Southern Ocean: An Fe–C Co-limitation Experiment","type":"article-journal","volume":"6"},"uris":["http://www.mendeley.com/documents/?uuid=32f661da-8761-40ae-a4d8-6be1f9619028"]}],"mendeley":{"formattedCitation":"(3)","plainTextFormattedCitation":"(3)","previouslyFormattedCitation":"(4)"},"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(3)</w:t>
            </w:r>
            <w:r>
              <w:rPr>
                <w:rFonts w:ascii="Times New Roman" w:eastAsia="Times New Roman" w:hAnsi="Times New Roman" w:cs="Times New Roman"/>
                <w:i/>
                <w:color w:val="000000"/>
                <w:sz w:val="20"/>
                <w:szCs w:val="20"/>
              </w:rPr>
              <w:fldChar w:fldCharType="end"/>
            </w:r>
          </w:p>
        </w:tc>
        <w:tc>
          <w:tcPr>
            <w:tcW w:w="2127" w:type="dxa"/>
            <w:tcBorders>
              <w:top w:val="nil"/>
              <w:bottom w:val="nil"/>
              <w:right w:val="single" w:sz="4" w:space="0" w:color="000000"/>
            </w:tcBorders>
            <w:shd w:val="clear" w:color="auto" w:fill="auto"/>
            <w:vAlign w:val="center"/>
          </w:tcPr>
          <w:p w14:paraId="2D5013D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 (Subantarctic zone)</w:t>
            </w:r>
          </w:p>
        </w:tc>
        <w:tc>
          <w:tcPr>
            <w:tcW w:w="1417" w:type="dxa"/>
            <w:tcBorders>
              <w:top w:val="nil"/>
              <w:left w:val="single" w:sz="4" w:space="0" w:color="000000"/>
              <w:bottom w:val="nil"/>
              <w:right w:val="single" w:sz="4" w:space="0" w:color="000000"/>
            </w:tcBorders>
            <w:shd w:val="clear" w:color="auto" w:fill="auto"/>
            <w:vAlign w:val="center"/>
          </w:tcPr>
          <w:p w14:paraId="74155214"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c>
          <w:tcPr>
            <w:tcW w:w="1172" w:type="dxa"/>
            <w:gridSpan w:val="2"/>
            <w:tcBorders>
              <w:top w:val="nil"/>
              <w:left w:val="single" w:sz="4" w:space="0" w:color="000000"/>
              <w:bottom w:val="nil"/>
              <w:right w:val="single" w:sz="4" w:space="0" w:color="000000"/>
            </w:tcBorders>
            <w:shd w:val="clear" w:color="auto" w:fill="auto"/>
            <w:vAlign w:val="center"/>
          </w:tcPr>
          <w:p w14:paraId="70FAAD98"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193</w:t>
            </w:r>
          </w:p>
        </w:tc>
        <w:tc>
          <w:tcPr>
            <w:tcW w:w="1635" w:type="dxa"/>
            <w:tcBorders>
              <w:top w:val="nil"/>
              <w:left w:val="single" w:sz="4" w:space="0" w:color="000000"/>
              <w:bottom w:val="nil"/>
              <w:right w:val="single" w:sz="4" w:space="0" w:color="000000"/>
            </w:tcBorders>
            <w:shd w:val="clear" w:color="auto" w:fill="auto"/>
            <w:vAlign w:val="center"/>
          </w:tcPr>
          <w:p w14:paraId="5BE28273"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48-102</w:t>
            </w:r>
          </w:p>
        </w:tc>
        <w:tc>
          <w:tcPr>
            <w:tcW w:w="960" w:type="dxa"/>
            <w:tcBorders>
              <w:top w:val="nil"/>
              <w:left w:val="single" w:sz="4" w:space="0" w:color="000000"/>
              <w:bottom w:val="nil"/>
              <w:right w:val="single" w:sz="4" w:space="0" w:color="000000"/>
            </w:tcBorders>
            <w:shd w:val="clear" w:color="auto" w:fill="auto"/>
            <w:vAlign w:val="center"/>
          </w:tcPr>
          <w:p w14:paraId="1BB354B7"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46**</w:t>
            </w:r>
          </w:p>
        </w:tc>
        <w:tc>
          <w:tcPr>
            <w:tcW w:w="990" w:type="dxa"/>
            <w:tcBorders>
              <w:top w:val="nil"/>
              <w:left w:val="single" w:sz="4" w:space="0" w:color="000000"/>
              <w:bottom w:val="nil"/>
            </w:tcBorders>
            <w:shd w:val="clear" w:color="auto" w:fill="auto"/>
            <w:vAlign w:val="center"/>
          </w:tcPr>
          <w:p w14:paraId="49C5A947"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73**</w:t>
            </w:r>
          </w:p>
        </w:tc>
      </w:tr>
      <w:tr w:rsidR="00915E2E" w14:paraId="0F35A824" w14:textId="77777777" w:rsidTr="008B132E">
        <w:trPr>
          <w:trHeight w:val="344"/>
        </w:trPr>
        <w:tc>
          <w:tcPr>
            <w:tcW w:w="1134" w:type="dxa"/>
            <w:tcBorders>
              <w:top w:val="nil"/>
              <w:bottom w:val="nil"/>
            </w:tcBorders>
            <w:shd w:val="clear" w:color="auto" w:fill="auto"/>
            <w:vAlign w:val="center"/>
          </w:tcPr>
          <w:p w14:paraId="5E608779"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Fourquez</w:t>
            </w:r>
            <w:proofErr w:type="spellEnd"/>
            <w:r>
              <w:rPr>
                <w:rFonts w:ascii="Times New Roman" w:eastAsia="Times New Roman" w:hAnsi="Times New Roman" w:cs="Times New Roman"/>
                <w:i/>
                <w:color w:val="000000"/>
                <w:sz w:val="20"/>
                <w:szCs w:val="20"/>
              </w:rPr>
              <w:t xml:space="preserve"> et al. 2015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{"citationItems":[{"id":"ITEM-1","itemData":{"DOI":"10.5194/bg-12-1893-2015","ISBN":"1218932015","ISSN":"17264189","abstract":"Iron (Fe) uptake by the microbial community and the contribution of three different size-fractions was determined during spring phytoplankton blooms in the naturally Fe fertilized area off Kerguelen Islands (KEOPS2). Total Fe uptake in surface waters was on average 34 ± 6 pmol Fe L&lt;sup&gt;&amp;minus;1&lt;/sup&gt; d&lt;sup&gt;&amp;minus;1&lt;/sup&gt;, and microplankton (&gt;25 &amp;mu;m size-fraction; 40–69%) and pico-nanoplankton (0.8–25 &amp;mu;m size-fraction; 29–59%) were the main contributors. The share of heterotrophic bacteria (0.2–0.8 &amp;mu;m size-fraction) to total Fe uptake was low at all stations (1–2%). Iron uptake rates normalized to carbon biomass were highest for pico-nanoplankton above the Kerguelen plateau and for microplankton in the downstream plume. We also investigated the potential competition between heterotrophic bacteria and phytoplankton for the access to Fe. Bacterial Fe uptake rates normalized to carbon biomass were highest when bacteria were incubated in the absence of both micro- and pico-nanoplankton. The absence of microplankton resulted in a decrease in bacterial Fe uptake rates by up to 20-fold, while in incubations with the whole microbial community bacterial uptake rates were reduced by 2- to 8-fold. In Fe-fertilized waters, the bacterial Fe uptake rates normalized to carbon biomass were positively correlated with primary production. Taken together, these results demonstrate that heterotrophic bacteria are outcompeted by small sized phytoplankton cells for the access to Fe during the spring bloom development, most likely due to the limitation by organic matter. We conclude that the Fe and carbon cycles are tightly coupled and driven by a~complex interplay of competition and synergy between different members of the microbial community.","author":[{"dropping-particle":"","family":"Fourquez","given":"M.","non-dropping-particle":"","parse-names":false,"suffix":""},{"dropping-particle":"","family":"Obernosterer","given":"I.","non-dropping-particle":"","parse-names":false,"suffix":""},{"dropping-particle":"","family":"Davies","given":"D. M.","non-dropping-particle":"","parse-names":false,"suffix":""},{"dropping-particle":"","family":"Trull","given":"T. W.","non-dropping-particle":"","parse-names":false,"suffix":""},{"dropping-particle":"","family":"Blain","given":"S.","non-dropping-particle":"","parse-names":false,"suffix":""}],"container-title":"Biogeosciences","id":"ITEM-1","issue":"6","issued":{"date-parts":[["2015"]]},"page":"1893-1906","title":"Microbial iron uptake in the naturally fertilized waters in the vicinity of the Kerguelen Islands: Phytoplankton-bacteria interactions","type":"article-journal","volume":"12"},"uris":["http://www.mendeley.com/documents/?uuid=6eaf14d9-a49b-43c3-93ac-2e06940f14d2"]}],"mendeley":{"formattedCitation":"(4)","plainTextFormattedCitation":"(4)","previouslyFormattedCitation":"(5)"},"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(4)</w:t>
            </w:r>
            <w:r>
              <w:rPr>
                <w:rFonts w:ascii="Times New Roman" w:eastAsia="Times New Roman" w:hAnsi="Times New Roman" w:cs="Times New Roman"/>
                <w:i/>
                <w:color w:val="000000"/>
                <w:sz w:val="20"/>
                <w:szCs w:val="20"/>
              </w:rPr>
              <w:fldChar w:fldCharType="end"/>
            </w:r>
          </w:p>
        </w:tc>
        <w:tc>
          <w:tcPr>
            <w:tcW w:w="2127" w:type="dxa"/>
            <w:tcBorders>
              <w:top w:val="nil"/>
              <w:bottom w:val="nil"/>
              <w:right w:val="single" w:sz="4" w:space="0" w:color="000000"/>
            </w:tcBorders>
            <w:shd w:val="clear" w:color="auto" w:fill="auto"/>
            <w:vAlign w:val="center"/>
          </w:tcPr>
          <w:p w14:paraId="383A15C8"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 (Kerguelen Plateau)</w:t>
            </w:r>
          </w:p>
        </w:tc>
        <w:tc>
          <w:tcPr>
            <w:tcW w:w="1417" w:type="dxa"/>
            <w:tcBorders>
              <w:top w:val="nil"/>
              <w:left w:val="single" w:sz="4" w:space="0" w:color="000000"/>
              <w:bottom w:val="nil"/>
              <w:right w:val="single" w:sz="4" w:space="0" w:color="000000"/>
            </w:tcBorders>
            <w:shd w:val="clear" w:color="auto" w:fill="auto"/>
            <w:vAlign w:val="center"/>
          </w:tcPr>
          <w:p w14:paraId="276277EB"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0.06–0.38</w:t>
            </w:r>
          </w:p>
        </w:tc>
        <w:tc>
          <w:tcPr>
            <w:tcW w:w="1172" w:type="dxa"/>
            <w:gridSpan w:val="2"/>
            <w:tcBorders>
              <w:top w:val="nil"/>
              <w:left w:val="single" w:sz="4" w:space="0" w:color="000000"/>
              <w:bottom w:val="nil"/>
              <w:right w:val="single" w:sz="4" w:space="0" w:color="000000"/>
            </w:tcBorders>
            <w:shd w:val="clear" w:color="auto" w:fill="auto"/>
            <w:vAlign w:val="center"/>
          </w:tcPr>
          <w:p w14:paraId="079F392F"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19–40</w:t>
            </w:r>
          </w:p>
        </w:tc>
        <w:tc>
          <w:tcPr>
            <w:tcW w:w="1635" w:type="dxa"/>
            <w:tcBorders>
              <w:top w:val="nil"/>
              <w:left w:val="single" w:sz="4" w:space="0" w:color="000000"/>
              <w:bottom w:val="nil"/>
              <w:right w:val="single" w:sz="4" w:space="0" w:color="000000"/>
            </w:tcBorders>
            <w:shd w:val="clear" w:color="auto" w:fill="auto"/>
            <w:vAlign w:val="center"/>
          </w:tcPr>
          <w:p w14:paraId="02616624"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2.5–5.3</w:t>
            </w:r>
          </w:p>
        </w:tc>
        <w:tc>
          <w:tcPr>
            <w:tcW w:w="960" w:type="dxa"/>
            <w:tcBorders>
              <w:top w:val="nil"/>
              <w:left w:val="single" w:sz="4" w:space="0" w:color="000000"/>
              <w:bottom w:val="nil"/>
              <w:right w:val="single" w:sz="4" w:space="0" w:color="000000"/>
            </w:tcBorders>
            <w:shd w:val="clear" w:color="auto" w:fill="auto"/>
            <w:vAlign w:val="center"/>
          </w:tcPr>
          <w:p w14:paraId="6D98310B"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90" w:type="dxa"/>
            <w:tcBorders>
              <w:top w:val="nil"/>
              <w:left w:val="single" w:sz="4" w:space="0" w:color="000000"/>
              <w:bottom w:val="nil"/>
            </w:tcBorders>
            <w:shd w:val="clear" w:color="auto" w:fill="auto"/>
            <w:vAlign w:val="center"/>
          </w:tcPr>
          <w:p w14:paraId="029E5529"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915E2E" w14:paraId="7CB53AD3" w14:textId="77777777" w:rsidTr="008B132E">
        <w:trPr>
          <w:trHeight w:val="424"/>
        </w:trPr>
        <w:tc>
          <w:tcPr>
            <w:tcW w:w="1134" w:type="dxa"/>
            <w:tcBorders>
              <w:top w:val="nil"/>
              <w:bottom w:val="nil"/>
            </w:tcBorders>
            <w:shd w:val="clear" w:color="auto" w:fill="auto"/>
            <w:vAlign w:val="center"/>
          </w:tcPr>
          <w:p w14:paraId="188020EF"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Strzepek et al. 2005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{"citationItems":[{"id":"ITEM-1","itemData":{"DOI":"10.1029/2005GB002490","ISSN":"08866236","abstract":"Several studies have shown the importance of the microbial community in specific aspects of the biogeochemical iron (Fe) cycle such as uptake or regeneration. During FeCycle, a 10-day study of Fe biogeochemistry within an unperturbed mesoscale in situ SF6 labeled patch of HNLC waters, we investigated the role of both microzooplankton (herbivores and bacterivores) and viruses in regenerating Fe in the upper ocean. In summer 2003 we measured grazer-mediated Fe regeneration rates. The proportion of bacterial Fe released via grazing was severalfold greater than that mobilized from phytoplankton during herbivory. However, as the algal Fe pool (mainly Synechococcus) was severalfold larger than the bacterial pool, the absolute Fe regeneration rates were similar for both herbivores (17 pmol Fe L-1 d-1) and bacterivores (20 pmol Fe L-1 d-1). In all grazing experiments we observed that 90% (bacterivory) and 25% (herbivory) of the labeled Fe resided in the dissolved fraction after 24 hours. This trend has previously been reported in similar laboratory culture studies, which invoked the formation of dissolved, and/or colloidal metal ligands, associated with digestion, to make the released Fe less bioavailable. This explanation may not be valid for our study as another FeCycle experiment (Maldonado et al., 2005) demonstrated that resident phytoplankton could obtain Fe bound to a wide range of strong-binding ligands. In situ estimates of virally mediated Fe regeneration during FeCycle ranged from 0.4 to 28 pmol L-1 d-1. It is not known why such a wide range of virally mediated regeneration rates was observed. Such variability prevented a direct comparison on the relative roles of grazers and viruses in Fe recycling. The rates of grazer-mediated regeneration accounted for 30% to &gt;100% of the bacterial and phytoplankton Fe demand measured during FeCycle, indicating the key role of the microbial food web in Fe recycling. Copyright 2005 by the American Geophysical Union.","author":[{"dropping-particle":"","family":"Strzepek","given":"Robert F.","non-dropping-particle":"","parse-names":false,"suffix":""},{"dropping-particle":"","family":"Maldonado","given":"M. T.","non-dropping-particle":"","parse-names":false,"suffix":""},{"dropping-particle":"","family":"Higgins","given":"J. L.","non-dropping-particle":"","parse-names":false,"suffix":""},{"dropping-particle":"","family":"Hall","given":"J.","non-dropping-particle":"","parse-names":false,"suffix":""},{"dropping-particle":"","family":"Safi","given":"K.","non-dropping-particle":"","parse-names":false,"suffix":""},{"dropping-particle":"","family":"Wilhelm","given":"S. W.","non-dropping-particle":"","parse-names":false,"suffix":""},{"dropping-particle":"","family":"Boyd","given":"P. W.","non-dropping-particle":"","parse-names":false,"suffix":""}],"container-title":"Global Biogeochemical Cycles","id":"ITEM-1","issue":"4","issued":{"date-parts":[["2005"]]},"title":"Spinning the \"ferrous wheel\": The importance of the microbial community in an iron budget during the FeCycle experiment","type":"article-journal","volume":"19"},"uris":["http://www.mendeley.com/documents/?uuid=202cce62-96da-46bd-8600-eb8c56357f3a"]}],"mendeley":{"formattedCitation":"(5)","plainTextFormattedCitation":"(5)","previouslyFormattedCitation":"(6)"},"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(5)</w:t>
            </w:r>
            <w:r>
              <w:rPr>
                <w:rFonts w:ascii="Times New Roman" w:eastAsia="Times New Roman" w:hAnsi="Times New Roman" w:cs="Times New Roman"/>
                <w:i/>
                <w:color w:val="000000"/>
                <w:sz w:val="20"/>
                <w:szCs w:val="20"/>
              </w:rPr>
              <w:fldChar w:fldCharType="end"/>
            </w:r>
          </w:p>
        </w:tc>
        <w:tc>
          <w:tcPr>
            <w:tcW w:w="2127" w:type="dxa"/>
            <w:tcBorders>
              <w:top w:val="nil"/>
              <w:bottom w:val="nil"/>
              <w:right w:val="single" w:sz="4" w:space="0" w:color="000000"/>
            </w:tcBorders>
            <w:shd w:val="clear" w:color="auto" w:fill="auto"/>
            <w:vAlign w:val="center"/>
          </w:tcPr>
          <w:p w14:paraId="067C2F9E"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 (SE of New Zealand)</w:t>
            </w:r>
          </w:p>
        </w:tc>
        <w:tc>
          <w:tcPr>
            <w:tcW w:w="1417" w:type="dxa"/>
            <w:tcBorders>
              <w:top w:val="nil"/>
              <w:left w:val="single" w:sz="4" w:space="0" w:color="000000"/>
              <w:bottom w:val="nil"/>
              <w:right w:val="single" w:sz="4" w:space="0" w:color="000000"/>
            </w:tcBorders>
            <w:shd w:val="clear" w:color="auto" w:fill="auto"/>
            <w:vAlign w:val="center"/>
          </w:tcPr>
          <w:p w14:paraId="653B7C1D"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w:t>
            </w:r>
          </w:p>
        </w:tc>
        <w:tc>
          <w:tcPr>
            <w:tcW w:w="1172" w:type="dxa"/>
            <w:gridSpan w:val="2"/>
            <w:tcBorders>
              <w:top w:val="nil"/>
              <w:left w:val="single" w:sz="4" w:space="0" w:color="000000"/>
              <w:bottom w:val="nil"/>
              <w:right w:val="single" w:sz="4" w:space="0" w:color="000000"/>
            </w:tcBorders>
            <w:shd w:val="clear" w:color="auto" w:fill="auto"/>
            <w:vAlign w:val="center"/>
          </w:tcPr>
          <w:p w14:paraId="36155BD2"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26–101</w:t>
            </w:r>
          </w:p>
        </w:tc>
        <w:tc>
          <w:tcPr>
            <w:tcW w:w="1635" w:type="dxa"/>
            <w:tcBorders>
              <w:top w:val="nil"/>
              <w:left w:val="single" w:sz="4" w:space="0" w:color="000000"/>
              <w:bottom w:val="nil"/>
              <w:right w:val="single" w:sz="4" w:space="0" w:color="000000"/>
            </w:tcBorders>
            <w:shd w:val="clear" w:color="auto" w:fill="auto"/>
            <w:vAlign w:val="center"/>
          </w:tcPr>
          <w:p w14:paraId="6C7067B8"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single" w:sz="4" w:space="0" w:color="000000"/>
              <w:bottom w:val="nil"/>
              <w:right w:val="single" w:sz="4" w:space="0" w:color="000000"/>
            </w:tcBorders>
            <w:shd w:val="clear" w:color="auto" w:fill="auto"/>
            <w:vAlign w:val="center"/>
          </w:tcPr>
          <w:p w14:paraId="2F47F548" w14:textId="77777777" w:rsidR="00915E2E" w:rsidRDefault="00915E2E" w:rsidP="008B132E">
            <w:pPr>
              <w:spacing w:after="0" w:line="240" w:lineRule="auto"/>
              <w:jc w:val="center"/>
              <w:rPr>
                <w:rFonts w:ascii="Times New Roman" w:eastAsia="Times New Roman" w:hAnsi="Times New Roman" w:cs="Times New Roman"/>
                <w:sz w:val="20"/>
                <w:szCs w:val="20"/>
              </w:rPr>
            </w:pPr>
          </w:p>
        </w:tc>
        <w:tc>
          <w:tcPr>
            <w:tcW w:w="990" w:type="dxa"/>
            <w:tcBorders>
              <w:top w:val="nil"/>
              <w:left w:val="single" w:sz="4" w:space="0" w:color="000000"/>
              <w:bottom w:val="nil"/>
            </w:tcBorders>
            <w:shd w:val="clear" w:color="auto" w:fill="auto"/>
            <w:vAlign w:val="center"/>
          </w:tcPr>
          <w:p w14:paraId="7699934F"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4.3**</w:t>
            </w:r>
          </w:p>
        </w:tc>
      </w:tr>
      <w:tr w:rsidR="00915E2E" w14:paraId="70E3E6FD" w14:textId="77777777" w:rsidTr="008B132E">
        <w:trPr>
          <w:trHeight w:val="359"/>
        </w:trPr>
        <w:tc>
          <w:tcPr>
            <w:tcW w:w="1134" w:type="dxa"/>
            <w:tcBorders>
              <w:top w:val="nil"/>
              <w:bottom w:val="nil"/>
            </w:tcBorders>
            <w:shd w:val="clear" w:color="auto" w:fill="auto"/>
            <w:vAlign w:val="center"/>
          </w:tcPr>
          <w:p w14:paraId="4F9EBE0B"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Mioni</w:t>
            </w:r>
            <w:proofErr w:type="spellEnd"/>
            <w:r>
              <w:rPr>
                <w:rFonts w:ascii="Times New Roman" w:eastAsia="Times New Roman" w:hAnsi="Times New Roman" w:cs="Times New Roman"/>
                <w:i/>
                <w:color w:val="000000"/>
                <w:sz w:val="20"/>
                <w:szCs w:val="20"/>
              </w:rPr>
              <w:t xml:space="preserve"> et al. 2007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10.3354/ame046239","ISSN":"0948-3055","author":[{"dropping-particle":"","family":"Mioni","given":"CE","non-dropping-particle":"","parse-names":false,"suffix":""},{"dropping-particle":"","family":"Pakulski","given":"JD","non-dropping-particle":"","parse-names":false,"suffix":""},{"dropping-particle":"","family":"Poorvin","given":"Leo","non-dropping-particle":"","parse-names":false,"suffix":""},{"dropping-particle":"","family":"Baldwin","given":"Amy","non-dropping-particle":"","parse-names":false,"suffix":""},{"dropping-particle":"","family":"Twiss","given":"MR","non-dropping-particle":"","parse-names":false,"suffix":""},{"dropping-particle":"","family":"Jeffrey","given":"WH","non-dropping-particle":"","parse-names":false,"suffix":""},{"dropping-particle":"","family":"Wilhelm","given":"SW","non-dropping-particle":"","parse-names":false,"suffix":""}],"container-title":"Aquatic Microbial Ecology","id":"ITEM-1","issued":{"date-parts":[["2007","3","13"]]},"page":"239-251","title":"Variability in the in situ bioavailability of Fe to bacterioplankton communities in the eastern subtropical Pacific Ocean","type":"article-journal","volume":"46"},"uris":["http://www.mendeley.com/documents/?uuid=97def40a-40ca-423b-8096-d2f5a74425e9"]}],"mendeley":{"formattedCitation":"(6)","plainTextFormattedCitation":"(6)","previouslyFormattedCitation":"(7)"},"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(6)</w:t>
            </w:r>
            <w:r>
              <w:rPr>
                <w:rFonts w:ascii="Times New Roman" w:eastAsia="Times New Roman" w:hAnsi="Times New Roman" w:cs="Times New Roman"/>
                <w:i/>
                <w:color w:val="000000"/>
                <w:sz w:val="20"/>
                <w:szCs w:val="20"/>
              </w:rPr>
              <w:fldChar w:fldCharType="end"/>
            </w:r>
          </w:p>
        </w:tc>
        <w:tc>
          <w:tcPr>
            <w:tcW w:w="2127" w:type="dxa"/>
            <w:tcBorders>
              <w:top w:val="nil"/>
              <w:bottom w:val="nil"/>
              <w:right w:val="single" w:sz="4" w:space="0" w:color="000000"/>
            </w:tcBorders>
            <w:shd w:val="clear" w:color="auto" w:fill="auto"/>
            <w:vAlign w:val="center"/>
          </w:tcPr>
          <w:p w14:paraId="17ED7C8C"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w:t>
            </w:r>
          </w:p>
        </w:tc>
        <w:tc>
          <w:tcPr>
            <w:tcW w:w="1417" w:type="dxa"/>
            <w:tcBorders>
              <w:top w:val="nil"/>
              <w:left w:val="single" w:sz="4" w:space="0" w:color="000000"/>
              <w:bottom w:val="nil"/>
              <w:right w:val="single" w:sz="4" w:space="0" w:color="000000"/>
            </w:tcBorders>
            <w:shd w:val="clear" w:color="auto" w:fill="auto"/>
            <w:vAlign w:val="center"/>
          </w:tcPr>
          <w:p w14:paraId="0CCFC474"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0.08-0.3*</w:t>
            </w:r>
          </w:p>
        </w:tc>
        <w:tc>
          <w:tcPr>
            <w:tcW w:w="1172" w:type="dxa"/>
            <w:gridSpan w:val="2"/>
            <w:tcBorders>
              <w:top w:val="nil"/>
              <w:left w:val="single" w:sz="4" w:space="0" w:color="000000"/>
              <w:bottom w:val="nil"/>
              <w:right w:val="single" w:sz="4" w:space="0" w:color="000000"/>
            </w:tcBorders>
            <w:shd w:val="clear" w:color="auto" w:fill="auto"/>
            <w:vAlign w:val="center"/>
          </w:tcPr>
          <w:p w14:paraId="19B05575"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10–567</w:t>
            </w:r>
          </w:p>
        </w:tc>
        <w:tc>
          <w:tcPr>
            <w:tcW w:w="1635" w:type="dxa"/>
            <w:tcBorders>
              <w:top w:val="nil"/>
              <w:left w:val="single" w:sz="4" w:space="0" w:color="000000"/>
              <w:bottom w:val="nil"/>
              <w:right w:val="single" w:sz="4" w:space="0" w:color="000000"/>
            </w:tcBorders>
            <w:shd w:val="clear" w:color="auto" w:fill="auto"/>
            <w:vAlign w:val="center"/>
          </w:tcPr>
          <w:p w14:paraId="1CCB2FA4"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60" w:type="dxa"/>
            <w:tcBorders>
              <w:top w:val="nil"/>
              <w:left w:val="single" w:sz="4" w:space="0" w:color="000000"/>
              <w:bottom w:val="nil"/>
              <w:right w:val="single" w:sz="4" w:space="0" w:color="000000"/>
            </w:tcBorders>
            <w:shd w:val="clear" w:color="auto" w:fill="auto"/>
            <w:vAlign w:val="center"/>
          </w:tcPr>
          <w:p w14:paraId="39EF5AA7"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8–403*</w:t>
            </w:r>
          </w:p>
        </w:tc>
        <w:tc>
          <w:tcPr>
            <w:tcW w:w="990" w:type="dxa"/>
            <w:tcBorders>
              <w:top w:val="nil"/>
              <w:left w:val="single" w:sz="4" w:space="0" w:color="000000"/>
              <w:bottom w:val="nil"/>
            </w:tcBorders>
            <w:shd w:val="clear" w:color="auto" w:fill="auto"/>
            <w:vAlign w:val="center"/>
          </w:tcPr>
          <w:p w14:paraId="2E759BB9"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915E2E" w14:paraId="4E9BA689" w14:textId="77777777" w:rsidTr="008B132E">
        <w:trPr>
          <w:trHeight w:val="438"/>
        </w:trPr>
        <w:tc>
          <w:tcPr>
            <w:tcW w:w="1134" w:type="dxa"/>
            <w:tcBorders>
              <w:top w:val="nil"/>
              <w:bottom w:val="nil"/>
            </w:tcBorders>
            <w:shd w:val="clear" w:color="auto" w:fill="auto"/>
            <w:vAlign w:val="center"/>
          </w:tcPr>
          <w:p w14:paraId="72216F7E" w14:textId="77777777" w:rsidR="00915E2E" w:rsidRDefault="00915E2E" w:rsidP="008B132E">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King et al. 2012 </w:t>
            </w:r>
            <w:r>
              <w:rPr>
                <w:rFonts w:ascii="Times New Roman" w:eastAsia="Times New Roman" w:hAnsi="Times New Roman" w:cs="Times New Roman"/>
                <w:i/>
                <w:color w:val="000000"/>
                <w:sz w:val="20"/>
                <w:szCs w:val="20"/>
              </w:rPr>
              <w:fldChar w:fldCharType="begin" w:fldLock="1"/>
            </w:r>
            <w:r>
              <w:rPr>
                <w:rFonts w:ascii="Times New Roman" w:eastAsia="Times New Roman" w:hAnsi="Times New Roman" w:cs="Times New Roman"/>
                <w:i/>
                <w:color w:val="000000"/>
                <w:sz w:val="20"/>
                <w:szCs w:val="20"/>
              </w:rPr>
              <w:instrText>ADDIN CSL_CITATION {"citationItems":[{"id":"ITEM-1","itemData":{"DOI":"10.5194/bg-9-667-2012","ISSN":"1726-4189","abstract":"Abstract. Biogenic Fe quotas were determined using three distinct techniques on samples collected concurrently in the subtropical Pacific Ocean east of New Zealand. Fe quotas were measured using radioisotope uptake experiments (24 h incubation), bulk filtration and analysis by inductively-coupled plasma mass spectrometer (ICPMS), and single-cell synchrotron x-ray fluorescence (SXRF) analysis over a sixteen-day period (year days 263 to 278 of 2008) during a quasi-Lagrangian drifter experiment that tracked the evolution of the annual spring diatom bloom within a counter-clockwise open-ocean eddy. Overall, radioisotope uptake-determined Fe quotas (washed with oxalate reagent to remove extracellular Fe) were the lowest (0.5–1.0 mmol Fe:mol P; 4–8 μmol Fe:mol C), followed by single-cell Fe quotas (2.3–7.5 mmol Fe:mol P; 17–57 μmol Fe:mol C), and the highest and most variable quotas were from the bulk filtration ICPMS approach that used the oxalate reagent wash, corrected for lithogenic Fe using Al (0.8–21 mmol Fe:mol P; 4–136 μmol Fe:mol C). During the evolution of the spring bloom within the eddy (year days 263 to 272), the surface mixed layer inventories of particulate biogenic elements (C, N, P, Si) and chlorophyll increased while Fe quotas estimated from all three approaches exhibited a general decline. After the onset of the bloom decline, the drogued buoys exited the eddy center (days 273 to 277). Fe quotas returned to pre-bloom values during this part of the study. Our standardized and coordinated sampling protocols reveal the general observed trend in Fe quotas: ICPMS &gt; SXRF &gt; radioisotope uptake. We discuss the inherent differences between the techniques and argue that each technique has its individual merits and uniquely contributes to the characterization of the oceanic particulate Fe pool.","author":[{"dropping-particle":"","family":"King","given":"A. L.","non-dropping-particle":"","parse-names":false,"suffix":""},{"dropping-particle":"","family":"Sañudo-Wilhelmy","given":"S. A.","non-dropping-particle":"","parse-names":false,"suffix":""},{"dropping-particle":"","family":"Boyd","given":"P. W.","non-dropping-particle":"","parse-names":false,"suffix":""},{"dropping-particle":"","family":"Twining","given":"B. S.","non-dropping-particle":"","parse-names":false,"suffix":""},{"dropping-particle":"","family":"Wilhelm","given":"S. W.","non-dropping-particle":"","parse-names":false,"suffix":""},{"dropping-particle":"","family":"Breene","given":"C.","non-dropping-particle":"","parse-names":false,"suffix":""},{"dropping-particle":"","family":"Ellwood","given":"M. J.","non-dropping-particle":"","parse-names":false,"suffix":""},{"dropping-particle":"","family":"Hutchins","given":"D. A.","non-dropping-particle":"","parse-names":false,"suffix":""}],"container-title":"Biogeosciences","id":"ITEM-1","issue":"2","issued":{"date-parts":[["2012","2","3"]]},"note":"- bulk filtration-based techniques (i.e. ICPMS, GFAAS) are well suited for characterizing the total PFe pool in regimes that receive continental sources ofFe. The bulk particle-based ICPMS assessment most likely overestimates biogenic Fe due to the difficulty of separating out the contributions ofdetrital and lithogenic Fe, despite the use ofchemical (oxalate wash) and numerical (subtraction of lithogenic Fe using Al or Ti) corrections.","page":"667-687","title":"A comparison of biogenic iron quotas during a diatom spring bloom using multiple approaches","type":"article-journal","volume":"9"},"uris":["http://www.mendeley.com/documents/?uuid=c50b79a1-5335-4584-a60f-19e79112ba02"]}],"mendeley":{"formattedCitation":"(7)","plainTextFormattedCitation":"(7)","previouslyFormattedCitation":"(8)"},"properties":{"noteIndex":0},"schema":"https://github.com/citation-style-language/schema/raw/master/csl-citation.json"}</w:instrText>
            </w:r>
            <w:r>
              <w:rPr>
                <w:rFonts w:ascii="Times New Roman" w:eastAsia="Times New Roman" w:hAnsi="Times New Roman" w:cs="Times New Roman"/>
                <w:i/>
                <w:color w:val="000000"/>
                <w:sz w:val="20"/>
                <w:szCs w:val="20"/>
              </w:rPr>
              <w:fldChar w:fldCharType="separate"/>
            </w:r>
            <w:r w:rsidRPr="00157AE6">
              <w:rPr>
                <w:rFonts w:ascii="Times New Roman" w:eastAsia="Times New Roman" w:hAnsi="Times New Roman" w:cs="Times New Roman"/>
                <w:noProof/>
                <w:color w:val="000000"/>
                <w:sz w:val="20"/>
                <w:szCs w:val="20"/>
              </w:rPr>
              <w:t>(7)</w:t>
            </w:r>
            <w:r>
              <w:rPr>
                <w:rFonts w:ascii="Times New Roman" w:eastAsia="Times New Roman" w:hAnsi="Times New Roman" w:cs="Times New Roman"/>
                <w:i/>
                <w:color w:val="000000"/>
                <w:sz w:val="20"/>
                <w:szCs w:val="20"/>
              </w:rPr>
              <w:fldChar w:fldCharType="end"/>
            </w:r>
          </w:p>
        </w:tc>
        <w:tc>
          <w:tcPr>
            <w:tcW w:w="2127" w:type="dxa"/>
            <w:tcBorders>
              <w:top w:val="nil"/>
              <w:bottom w:val="nil"/>
              <w:right w:val="single" w:sz="4" w:space="0" w:color="000000"/>
            </w:tcBorders>
            <w:shd w:val="clear" w:color="auto" w:fill="auto"/>
            <w:vAlign w:val="center"/>
          </w:tcPr>
          <w:p w14:paraId="07BF3115"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South West</w:t>
            </w:r>
            <w:proofErr w:type="gramEnd"/>
            <w:r>
              <w:rPr>
                <w:rFonts w:ascii="Times New Roman" w:eastAsia="Times New Roman" w:hAnsi="Times New Roman" w:cs="Times New Roman"/>
                <w:color w:val="000000"/>
                <w:sz w:val="20"/>
                <w:szCs w:val="20"/>
              </w:rPr>
              <w:t xml:space="preserve"> Pacific (NE of New Zealand)</w:t>
            </w:r>
          </w:p>
        </w:tc>
        <w:tc>
          <w:tcPr>
            <w:tcW w:w="1417" w:type="dxa"/>
            <w:tcBorders>
              <w:top w:val="nil"/>
              <w:left w:val="single" w:sz="4" w:space="0" w:color="000000"/>
              <w:bottom w:val="nil"/>
              <w:right w:val="single" w:sz="4" w:space="0" w:color="000000"/>
            </w:tcBorders>
            <w:shd w:val="clear" w:color="auto" w:fill="auto"/>
            <w:vAlign w:val="center"/>
          </w:tcPr>
          <w:p w14:paraId="4CCAB34B"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0.03-0.60</w:t>
            </w:r>
          </w:p>
        </w:tc>
        <w:tc>
          <w:tcPr>
            <w:tcW w:w="1172" w:type="dxa"/>
            <w:gridSpan w:val="2"/>
            <w:tcBorders>
              <w:top w:val="nil"/>
              <w:left w:val="single" w:sz="4" w:space="0" w:color="000000"/>
              <w:bottom w:val="nil"/>
              <w:right w:val="single" w:sz="4" w:space="0" w:color="000000"/>
            </w:tcBorders>
            <w:shd w:val="clear" w:color="auto" w:fill="auto"/>
            <w:vAlign w:val="center"/>
          </w:tcPr>
          <w:p w14:paraId="174D14B9"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35" w:type="dxa"/>
            <w:tcBorders>
              <w:top w:val="nil"/>
              <w:left w:val="single" w:sz="4" w:space="0" w:color="000000"/>
              <w:bottom w:val="nil"/>
              <w:right w:val="single" w:sz="4" w:space="0" w:color="000000"/>
            </w:tcBorders>
            <w:shd w:val="clear" w:color="auto" w:fill="auto"/>
            <w:vAlign w:val="center"/>
          </w:tcPr>
          <w:p w14:paraId="0320B3D5"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60" w:type="dxa"/>
            <w:tcBorders>
              <w:top w:val="nil"/>
              <w:left w:val="single" w:sz="4" w:space="0" w:color="000000"/>
              <w:bottom w:val="nil"/>
              <w:right w:val="single" w:sz="4" w:space="0" w:color="000000"/>
            </w:tcBorders>
            <w:shd w:val="clear" w:color="auto" w:fill="auto"/>
            <w:vAlign w:val="center"/>
          </w:tcPr>
          <w:p w14:paraId="189FB5D1"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5.1–14.2</w:t>
            </w:r>
          </w:p>
        </w:tc>
        <w:tc>
          <w:tcPr>
            <w:tcW w:w="990" w:type="dxa"/>
            <w:tcBorders>
              <w:top w:val="nil"/>
              <w:left w:val="single" w:sz="4" w:space="0" w:color="000000"/>
              <w:bottom w:val="nil"/>
            </w:tcBorders>
            <w:shd w:val="clear" w:color="auto" w:fill="auto"/>
            <w:vAlign w:val="center"/>
          </w:tcPr>
          <w:p w14:paraId="420ED8B0" w14:textId="77777777" w:rsidR="00915E2E" w:rsidRDefault="00915E2E" w:rsidP="008B132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17–60</w:t>
            </w:r>
          </w:p>
        </w:tc>
      </w:tr>
      <w:tr w:rsidR="00915E2E" w14:paraId="2BB65D62" w14:textId="77777777" w:rsidTr="008B132E">
        <w:trPr>
          <w:trHeight w:val="310"/>
        </w:trPr>
        <w:tc>
          <w:tcPr>
            <w:tcW w:w="5670" w:type="dxa"/>
            <w:gridSpan w:val="4"/>
            <w:tcBorders>
              <w:top w:val="nil"/>
              <w:bottom w:val="nil"/>
              <w:right w:val="nil"/>
            </w:tcBorders>
            <w:shd w:val="clear" w:color="auto" w:fill="auto"/>
            <w:vAlign w:val="center"/>
          </w:tcPr>
          <w:p w14:paraId="4450C45D" w14:textId="77777777" w:rsidR="00915E2E" w:rsidRDefault="00915E2E" w:rsidP="008B13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rates</w:t>
            </w:r>
            <w:proofErr w:type="gramEnd"/>
            <w:r>
              <w:rPr>
                <w:rFonts w:ascii="Times New Roman" w:eastAsia="Times New Roman" w:hAnsi="Times New Roman" w:cs="Times New Roman"/>
                <w:color w:val="000000"/>
                <w:sz w:val="20"/>
                <w:szCs w:val="20"/>
              </w:rPr>
              <w:t xml:space="preserve"> for 0.2-1 µm fraction, **rates for 0.2-0.8 µm fraction</w:t>
            </w:r>
          </w:p>
        </w:tc>
        <w:tc>
          <w:tcPr>
            <w:tcW w:w="180" w:type="dxa"/>
            <w:tcBorders>
              <w:top w:val="nil"/>
              <w:left w:val="nil"/>
              <w:bottom w:val="nil"/>
              <w:right w:val="nil"/>
            </w:tcBorders>
            <w:shd w:val="clear" w:color="auto" w:fill="auto"/>
            <w:vAlign w:val="bottom"/>
          </w:tcPr>
          <w:p w14:paraId="698A0185" w14:textId="77777777" w:rsidR="00915E2E" w:rsidRDefault="00915E2E" w:rsidP="008B132E">
            <w:pPr>
              <w:spacing w:after="0" w:line="240" w:lineRule="auto"/>
              <w:rPr>
                <w:rFonts w:ascii="Times New Roman" w:eastAsia="Times New Roman" w:hAnsi="Times New Roman" w:cs="Times New Roman"/>
                <w:color w:val="000000"/>
                <w:sz w:val="20"/>
                <w:szCs w:val="20"/>
              </w:rPr>
            </w:pPr>
          </w:p>
        </w:tc>
        <w:tc>
          <w:tcPr>
            <w:tcW w:w="1635" w:type="dxa"/>
            <w:tcBorders>
              <w:top w:val="nil"/>
              <w:left w:val="nil"/>
              <w:bottom w:val="nil"/>
              <w:right w:val="nil"/>
            </w:tcBorders>
            <w:shd w:val="clear" w:color="auto" w:fill="auto"/>
            <w:vAlign w:val="bottom"/>
          </w:tcPr>
          <w:p w14:paraId="6E692E12" w14:textId="77777777" w:rsidR="00915E2E" w:rsidRDefault="00915E2E" w:rsidP="008B132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41951D0" w14:textId="77777777" w:rsidR="00915E2E" w:rsidRDefault="00915E2E" w:rsidP="008B132E">
            <w:pPr>
              <w:spacing w:after="0" w:line="240" w:lineRule="auto"/>
              <w:rPr>
                <w:rFonts w:ascii="Times New Roman" w:eastAsia="Times New Roman" w:hAnsi="Times New Roman" w:cs="Times New Roman"/>
                <w:sz w:val="20"/>
                <w:szCs w:val="20"/>
              </w:rPr>
            </w:pPr>
          </w:p>
        </w:tc>
        <w:tc>
          <w:tcPr>
            <w:tcW w:w="990" w:type="dxa"/>
            <w:tcBorders>
              <w:top w:val="nil"/>
              <w:left w:val="nil"/>
              <w:bottom w:val="nil"/>
            </w:tcBorders>
            <w:shd w:val="clear" w:color="auto" w:fill="auto"/>
            <w:vAlign w:val="bottom"/>
          </w:tcPr>
          <w:p w14:paraId="6A647A57" w14:textId="77777777" w:rsidR="00915E2E" w:rsidRDefault="00915E2E" w:rsidP="008B132E">
            <w:pPr>
              <w:spacing w:after="0" w:line="240" w:lineRule="auto"/>
              <w:rPr>
                <w:rFonts w:ascii="Times New Roman" w:eastAsia="Times New Roman" w:hAnsi="Times New Roman" w:cs="Times New Roman"/>
                <w:sz w:val="20"/>
                <w:szCs w:val="20"/>
              </w:rPr>
            </w:pPr>
          </w:p>
        </w:tc>
      </w:tr>
    </w:tbl>
    <w:p w14:paraId="0E294329" w14:textId="77777777" w:rsidR="00915E2E" w:rsidRDefault="00915E2E" w:rsidP="00915E2E">
      <w:pPr>
        <w:jc w:val="both"/>
        <w:rPr>
          <w:rFonts w:ascii="Times New Roman" w:eastAsia="Times New Roman" w:hAnsi="Times New Roman" w:cs="Times New Roman"/>
          <w:b/>
          <w:color w:val="000000"/>
          <w:sz w:val="24"/>
          <w:szCs w:val="24"/>
        </w:rPr>
      </w:pPr>
    </w:p>
    <w:p w14:paraId="5672F7B4" w14:textId="03B73672" w:rsidR="00915E2E" w:rsidRDefault="00915E2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6722319" w14:textId="4D5652E7" w:rsidR="00F71101" w:rsidRDefault="00F71101" w:rsidP="00F71101">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Table S</w:t>
      </w:r>
      <w:r w:rsidR="00915E2E">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Estimation of Fe:C quotas for diazotrophs (</w:t>
      </w:r>
      <w:r>
        <w:rPr>
          <w:rFonts w:ascii="Times New Roman" w:eastAsia="Times New Roman" w:hAnsi="Times New Roman" w:cs="Times New Roman"/>
          <w:i/>
          <w:color w:val="000000"/>
          <w:sz w:val="24"/>
          <w:szCs w:val="24"/>
        </w:rPr>
        <w:t>Trichodesmium</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C. Watsonii</w:t>
      </w:r>
      <w:r>
        <w:rPr>
          <w:rFonts w:ascii="Times New Roman" w:eastAsia="Times New Roman" w:hAnsi="Times New Roman" w:cs="Times New Roman"/>
          <w:color w:val="000000"/>
          <w:sz w:val="24"/>
          <w:szCs w:val="24"/>
        </w:rPr>
        <w:t>), non-diazotrophic cyanobacteria (</w:t>
      </w:r>
      <w:r>
        <w:rPr>
          <w:rFonts w:ascii="Times New Roman" w:eastAsia="Times New Roman" w:hAnsi="Times New Roman" w:cs="Times New Roman"/>
          <w:i/>
          <w:color w:val="000000"/>
          <w:sz w:val="24"/>
          <w:szCs w:val="24"/>
        </w:rPr>
        <w:t>Synechococcus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Prochlorococcus</w:t>
      </w:r>
      <w:r>
        <w:rPr>
          <w:rFonts w:ascii="Times New Roman" w:eastAsia="Times New Roman" w:hAnsi="Times New Roman" w:cs="Times New Roman"/>
          <w:color w:val="000000"/>
          <w:sz w:val="24"/>
          <w:szCs w:val="24"/>
        </w:rPr>
        <w:t xml:space="preserve">) and HB, calculated from the equation (3) in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{"citationItems":[{"id":"ITEM-1","itemData":{"author":[{"dropping-particle":"","family":"Hudson","given":"Robert J. M.","non-dropping-particle":"","parse-names":false,"suffix":""},{"dropping-particle":"","family":"Morel","given":"François M.M.","non-dropping-particle":"","parse-names":false,"suffix":""}],"id":"ITEM-1","issue":"6","issued":{"date-parts":[["1989"]]},"title":"Distinguishing between extra- and intracellular marine phytoplankton","type":"article-journal","volume":"34"},"uris":["http://www.mendeley.com/documents/?uuid=67715c76-42c9-4443-ab5d-34daefee909e"]}],"mendeley":{"formattedCitation":"(8)","plainTextFormattedCitation":"(8)","previouslyFormattedCitation":"(9)"},"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157AE6">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Calculations are based on the cellular Fe uptake rates measured in this study and growth rates (µ in d</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from the literature. For diazotrophs, we estimated the growth rates based on cellular N</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fixation rates and cellular N content measured for </w:t>
      </w:r>
      <w:r>
        <w:rPr>
          <w:rFonts w:ascii="Times New Roman" w:eastAsia="Times New Roman" w:hAnsi="Times New Roman" w:cs="Times New Roman"/>
          <w:i/>
          <w:color w:val="000000"/>
          <w:sz w:val="24"/>
          <w:szCs w:val="24"/>
        </w:rPr>
        <w:t>C. Watsonii</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Trichodesmium</w:t>
      </w:r>
      <w:r>
        <w:rPr>
          <w:rFonts w:ascii="Times New Roman" w:eastAsia="Times New Roman" w:hAnsi="Times New Roman" w:cs="Times New Roman"/>
          <w:color w:val="000000"/>
          <w:sz w:val="24"/>
          <w:szCs w:val="24"/>
        </w:rPr>
        <w:t xml:space="preserve"> in the WTSP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{"citationItems":[{"id":"ITEM-1","itemData":{"DOI":"10.5194/bg-15-4215-2018","ISSN":"1726-4189","abstract":"80 %) and gene expression of the nifH gene (cDNA &gt; 105 nifH copies L−1) in MA waters. Single-cell isotopic analyses performed by nanoscale secondary ion mass spectrometry (nanoSIMS) at selected stations revealed that Trichodesmium was always the major contributor to N2 fixation in MA waters, accounting for 47.1–83.8 % of bulk N2 fixation. The most plausible environmental factors explaining such exceptionally high rates of N2 fixation in MA waters are discussed in detail, emphasizing the role of macro- and micro-nutrient (e.g., iron) availability, seawater temperature and currents.]]&gt;","author":[{"dropping-particle":"","family":"Bonnet","given":"Sophie","non-dropping-particle":"","parse-names":false,"suffix":""},{"dropping-particle":"","family":"Caffin","given":"Mathieu","non-dropping-particle":"","parse-names":false,"suffix":""},{"dropping-particle":"","family":"Berthelot","given":"Hugo","non-dropping-particle":"","parse-names":false,"suffix":""},{"dropping-particle":"","family":"Grosso","given":"Olivier","non-dropping-particle":"","parse-names":false,"suffix":""},{"dropping-particle":"","family":"Benavides","given":"Mar","non-dropping-particle":"","parse-names":false,"suffix":""},{"dropping-particle":"","family":"Helias-Nunige","given":"Sandra","non-dropping-particle":"","parse-names":false,"suffix":""},{"dropping-particle":"","family":"Guieu","given":"Cécile","non-dropping-particle":"","parse-names":false,"suffix":""},{"dropping-particle":"","family":"Stenegren","given":"Marcus","non-dropping-particle":"","parse-names":false,"suffix":""},{"dropping-particle":"","family":"Foster","given":"Rachel Ann","non-dropping-particle":"","parse-names":false,"suffix":""}],"container-title":"Biogeosciences","id":"ITEM-1","issue":"13","issued":{"date-parts":[["2018","7","12"]]},"page":"4215-4232","title":"In-depth characterization of diazotroph activity across the western tropical South Pacific hotspot of N2 fixation (OUTPACE cruise)","type":"article-journal","volume":"15"},"uris":["http://www.mendeley.com/documents/?uuid=24327322-5162-478f-9501-e6d96d65a9aa"]}],"mendeley":{"formattedCitation":"(9)","plainTextFormattedCitation":"(9)","previouslyFormattedCitation":"(10)"},"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157AE6">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With respect to the Fe-limitation conditions (when dFe &lt;0.6 </w:t>
      </w:r>
      <w:proofErr w:type="spellStart"/>
      <w:r>
        <w:rPr>
          <w:rFonts w:ascii="Times New Roman" w:eastAsia="Times New Roman" w:hAnsi="Times New Roman" w:cs="Times New Roman"/>
          <w:sz w:val="24"/>
          <w:szCs w:val="24"/>
        </w:rPr>
        <w:t>nM</w:t>
      </w:r>
      <w:proofErr w:type="spellEnd"/>
      <w:r>
        <w:rPr>
          <w:rFonts w:ascii="Times New Roman" w:eastAsia="Times New Roman" w:hAnsi="Times New Roman" w:cs="Times New Roman"/>
          <w:sz w:val="24"/>
          <w:szCs w:val="24"/>
        </w:rPr>
        <w:t xml:space="preserve">, phytoplankton is considered Fe-limited) suggested by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{"citationItems":[{"id":"ITEM-1","itemData":{"DOI":"10.1029/2021GB006979","ISSN":"0886-6236","abstract":"We present a new approach for quantifying the bioavailability of dissolved iron (dFe) to oceanic phytoplankton. Bioavailability is defined using an uptake rate constant (kin-app) computed by combining data on: (a) Fe content of individual in situ phytoplankton cells; (b) concurrently determined seawater dFe concentrations; and (c) growth rates estimated from the PISCES model. We examined 930 phytoplankton cells, collected between 2002 and 2016 from 45 surface stations during 11 research cruises. This approach is only valid for cells that have upregulated their high-affinity Fe uptake system, so data were screened, yielding 560 single cell kin-app values from 31 low-Fe stations. We normalized kin-app to cell surface area (S.A.) to account for cell-size differences. The resulting bioavailability proxy (kin-app/S.A.) varies among cells, but all values are within bioavailability limits predicted from defined Fe complexes. In situ dFe bioavailability is higher than model Fe-siderophore complexes and often approaches that of highly available inorganic Fe′. Station averaged kin-app/S.A. are also variable but show no systematic changes across location, temperature, dFe, and phytoplankton taxa. Given the relative consistency of kin-app/S.A. among stations (ca. five-fold variation), we computed a grand-averaged dFe availability, which upon normalization to cell carbon (C) yields kin-app/C of 42,200 ± 11,000 L mol C−1 d−1. We utilize kin-app/C to calculate dFe uptake rates and residence times in low Fe oceanic regions. Finally, we demonstrate the applicability of kin-app/C for constraining Fe uptake rates in earth system models, such as those predicting climate mediated changes in net primary production in the Fe-limited Equatorial Pacific.","author":[{"dropping-particle":"","family":"Shaked","given":"Yeala","non-dropping-particle":"","parse-names":false,"suffix":""},{"dropping-particle":"","family":"Twining","given":"Benjamin S.","non-dropping-particle":"","parse-names":false,"suffix":""},{"dropping-particle":"","family":"Tagliabue","given":"Alessandro","non-dropping-particle":"","parse-names":false,"suffix":""},{"dropping-particle":"","family":"Maldonado","given":"Maria T.","non-dropping-particle":"","parse-names":false,"suffix":""}],"container-title":"Global Biogeochemical Cycles","id":"ITEM-1","issue":"8","issued":{"date-parts":[["2021","8","25"]]},"page":"1-19","title":"Probing the Bioavailability of Dissolved Iron to Marine Eukaryotic Phytoplankton Using In Situ Single Cell Iron Quotas","type":"article-journal","volume":"35"},"uris":["http://www.mendeley.com/documents/?uuid=f8898598-1544-4cd3-9cf1-c77686601e0a"]}],"mendeley":{"formattedCitation":"(10)","plainTextFormattedCitation":"(10)","previouslyFormattedCitation":"(11)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157AE6">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we considered stations S10-H, S10-B, S11 and S12 for the calculations of Fe:C quotas but we excluded S10-A (dFe concentration &gt;0.6 </w:t>
      </w:r>
      <w:proofErr w:type="spellStart"/>
      <w:r>
        <w:rPr>
          <w:rFonts w:ascii="Times New Roman" w:eastAsia="Times New Roman" w:hAnsi="Times New Roman" w:cs="Times New Roman"/>
          <w:sz w:val="24"/>
          <w:szCs w:val="24"/>
        </w:rPr>
        <w:t>nM</w:t>
      </w:r>
      <w:proofErr w:type="spellEnd"/>
      <w:r>
        <w:rPr>
          <w:rFonts w:ascii="Times New Roman" w:eastAsia="Times New Roman" w:hAnsi="Times New Roman" w:cs="Times New Roman"/>
          <w:sz w:val="24"/>
          <w:szCs w:val="24"/>
        </w:rPr>
        <w:t>)</w:t>
      </w:r>
    </w:p>
    <w:tbl>
      <w:tblPr>
        <w:tblStyle w:val="aa"/>
        <w:tblW w:w="8899" w:type="dxa"/>
        <w:jc w:val="center"/>
        <w:tblInd w:w="0" w:type="dxa"/>
        <w:tblBorders>
          <w:top w:val="nil"/>
          <w:left w:val="single" w:sz="4" w:space="0" w:color="000000"/>
          <w:bottom w:val="nil"/>
          <w:right w:val="single" w:sz="4" w:space="0" w:color="000000"/>
          <w:insideH w:val="nil"/>
          <w:insideV w:val="single" w:sz="4" w:space="0" w:color="000000"/>
        </w:tblBorders>
        <w:tblLayout w:type="fixed"/>
        <w:tblLook w:val="0400" w:firstRow="0" w:lastRow="0" w:firstColumn="0" w:lastColumn="0" w:noHBand="0" w:noVBand="1"/>
      </w:tblPr>
      <w:tblGrid>
        <w:gridCol w:w="1701"/>
        <w:gridCol w:w="2942"/>
        <w:gridCol w:w="772"/>
        <w:gridCol w:w="1004"/>
        <w:gridCol w:w="1021"/>
        <w:gridCol w:w="728"/>
        <w:gridCol w:w="731"/>
      </w:tblGrid>
      <w:tr w:rsidR="00F71101" w:rsidRPr="00017EC3" w14:paraId="3D2DDA8F" w14:textId="77777777" w:rsidTr="008B132E">
        <w:trPr>
          <w:trHeight w:val="382"/>
          <w:jc w:val="center"/>
        </w:trPr>
        <w:tc>
          <w:tcPr>
            <w:tcW w:w="1701" w:type="dxa"/>
            <w:vMerge w:val="restart"/>
            <w:tcBorders>
              <w:left w:val="nil"/>
              <w:bottom w:val="single" w:sz="4" w:space="0" w:color="000000"/>
            </w:tcBorders>
          </w:tcPr>
          <w:p w14:paraId="33B93972" w14:textId="77777777" w:rsidR="00F71101" w:rsidRDefault="00F71101" w:rsidP="008B132E">
            <w:pPr>
              <w:jc w:val="center"/>
              <w:rPr>
                <w:rFonts w:ascii="Times New Roman" w:eastAsia="Times New Roman" w:hAnsi="Times New Roman" w:cs="Times New Roman"/>
                <w:sz w:val="20"/>
                <w:szCs w:val="20"/>
              </w:rPr>
            </w:pPr>
          </w:p>
          <w:p w14:paraId="63DD8934" w14:textId="77777777" w:rsidR="00F71101" w:rsidRDefault="00F71101" w:rsidP="008B132E">
            <w:pPr>
              <w:jc w:val="center"/>
              <w:rPr>
                <w:rFonts w:ascii="Times New Roman" w:eastAsia="Times New Roman" w:hAnsi="Times New Roman" w:cs="Times New Roman"/>
                <w:sz w:val="20"/>
                <w:szCs w:val="20"/>
              </w:rPr>
            </w:pPr>
          </w:p>
        </w:tc>
        <w:tc>
          <w:tcPr>
            <w:tcW w:w="2942" w:type="dxa"/>
          </w:tcPr>
          <w:p w14:paraId="44E571F9" w14:textId="77777777" w:rsidR="00F71101" w:rsidRDefault="00F71101" w:rsidP="008B132E">
            <w:pPr>
              <w:jc w:val="center"/>
              <w:rPr>
                <w:rFonts w:ascii="Times New Roman" w:eastAsia="Times New Roman" w:hAnsi="Times New Roman" w:cs="Times New Roman"/>
                <w:b/>
                <w:sz w:val="20"/>
                <w:szCs w:val="20"/>
              </w:rPr>
            </w:pPr>
          </w:p>
        </w:tc>
        <w:tc>
          <w:tcPr>
            <w:tcW w:w="772" w:type="dxa"/>
          </w:tcPr>
          <w:p w14:paraId="31522E61" w14:textId="77777777" w:rsidR="00F71101" w:rsidRDefault="00F71101" w:rsidP="008B13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µ</w:t>
            </w:r>
          </w:p>
        </w:tc>
        <w:tc>
          <w:tcPr>
            <w:tcW w:w="3484" w:type="dxa"/>
            <w:gridSpan w:val="4"/>
            <w:tcBorders>
              <w:right w:val="nil"/>
            </w:tcBorders>
          </w:tcPr>
          <w:p w14:paraId="38CA1FAC" w14:textId="77777777" w:rsidR="00F71101" w:rsidRPr="00017EC3" w:rsidRDefault="00F71101" w:rsidP="008B132E">
            <w:pPr>
              <w:jc w:val="center"/>
              <w:rPr>
                <w:rFonts w:ascii="Times New Roman" w:eastAsia="Times New Roman" w:hAnsi="Times New Roman" w:cs="Times New Roman"/>
                <w:b/>
                <w:sz w:val="20"/>
                <w:szCs w:val="20"/>
              </w:rPr>
            </w:pPr>
            <w:r w:rsidRPr="00017EC3">
              <w:rPr>
                <w:rFonts w:ascii="Times New Roman" w:eastAsia="Times New Roman" w:hAnsi="Times New Roman" w:cs="Times New Roman"/>
                <w:b/>
                <w:sz w:val="20"/>
                <w:szCs w:val="20"/>
              </w:rPr>
              <w:t>Quotas Fe:C</w:t>
            </w:r>
            <w:r w:rsidRPr="00017EC3">
              <w:rPr>
                <w:rFonts w:ascii="Times New Roman" w:eastAsia="Times New Roman" w:hAnsi="Times New Roman" w:cs="Times New Roman"/>
                <w:b/>
                <w:sz w:val="20"/>
                <w:szCs w:val="20"/>
              </w:rPr>
              <w:br/>
            </w:r>
            <w:r w:rsidRPr="00017EC3">
              <w:rPr>
                <w:rFonts w:ascii="Times New Roman" w:eastAsia="Times New Roman" w:hAnsi="Times New Roman" w:cs="Times New Roman"/>
                <w:sz w:val="20"/>
                <w:szCs w:val="20"/>
              </w:rPr>
              <w:t>(µmol Fe mol C</w:t>
            </w:r>
            <w:r w:rsidRPr="00017EC3">
              <w:rPr>
                <w:rFonts w:ascii="Times New Roman" w:eastAsia="Times New Roman" w:hAnsi="Times New Roman" w:cs="Times New Roman"/>
                <w:sz w:val="20"/>
                <w:szCs w:val="20"/>
                <w:vertAlign w:val="superscript"/>
              </w:rPr>
              <w:t>-1</w:t>
            </w:r>
            <w:r w:rsidRPr="00017EC3">
              <w:rPr>
                <w:rFonts w:ascii="Times New Roman" w:eastAsia="Times New Roman" w:hAnsi="Times New Roman" w:cs="Times New Roman"/>
                <w:sz w:val="20"/>
                <w:szCs w:val="20"/>
              </w:rPr>
              <w:t>)</w:t>
            </w:r>
          </w:p>
        </w:tc>
      </w:tr>
      <w:tr w:rsidR="00F71101" w14:paraId="121ABD5B" w14:textId="77777777" w:rsidTr="008B132E">
        <w:trPr>
          <w:trHeight w:val="174"/>
          <w:jc w:val="center"/>
        </w:trPr>
        <w:tc>
          <w:tcPr>
            <w:tcW w:w="1701" w:type="dxa"/>
            <w:vMerge/>
            <w:tcBorders>
              <w:left w:val="nil"/>
              <w:bottom w:val="single" w:sz="4" w:space="0" w:color="000000"/>
            </w:tcBorders>
          </w:tcPr>
          <w:p w14:paraId="232667F5" w14:textId="77777777" w:rsidR="00F71101" w:rsidRPr="00017EC3" w:rsidRDefault="00F71101" w:rsidP="008B132E">
            <w:pPr>
              <w:widowControl w:val="0"/>
              <w:pBdr>
                <w:top w:val="nil"/>
                <w:left w:val="nil"/>
                <w:bottom w:val="nil"/>
                <w:right w:val="nil"/>
                <w:between w:val="nil"/>
              </w:pBdr>
              <w:spacing w:line="276" w:lineRule="auto"/>
              <w:jc w:val="center"/>
              <w:rPr>
                <w:rFonts w:ascii="Times New Roman" w:eastAsia="Times New Roman" w:hAnsi="Times New Roman" w:cs="Times New Roman"/>
                <w:b/>
                <w:sz w:val="20"/>
                <w:szCs w:val="20"/>
                <w:rPrChange w:id="5" w:author="clory" w:date="2022-01-28T16:08:00Z">
                  <w:rPr>
                    <w:rFonts w:ascii="Times New Roman" w:eastAsia="Times New Roman" w:hAnsi="Times New Roman" w:cs="Times New Roman"/>
                    <w:b/>
                    <w:sz w:val="20"/>
                    <w:szCs w:val="20"/>
                    <w:lang w:val="fr-FR"/>
                  </w:rPr>
                </w:rPrChange>
              </w:rPr>
            </w:pPr>
          </w:p>
        </w:tc>
        <w:tc>
          <w:tcPr>
            <w:tcW w:w="2942" w:type="dxa"/>
            <w:tcBorders>
              <w:bottom w:val="single" w:sz="4" w:space="0" w:color="000000"/>
            </w:tcBorders>
          </w:tcPr>
          <w:p w14:paraId="136EEAD6" w14:textId="77777777" w:rsidR="00F71101" w:rsidRPr="00992FDF" w:rsidRDefault="00F71101" w:rsidP="008B132E">
            <w:pPr>
              <w:jc w:val="center"/>
              <w:rPr>
                <w:rFonts w:ascii="Times New Roman" w:eastAsia="Times New Roman" w:hAnsi="Times New Roman" w:cs="Times New Roman"/>
                <w:b/>
                <w:bCs/>
                <w:sz w:val="20"/>
                <w:szCs w:val="20"/>
              </w:rPr>
            </w:pPr>
            <w:r w:rsidRPr="00992FDF">
              <w:rPr>
                <w:rFonts w:ascii="Times New Roman" w:eastAsia="Times New Roman" w:hAnsi="Times New Roman" w:cs="Times New Roman"/>
                <w:b/>
                <w:bCs/>
                <w:sz w:val="20"/>
                <w:szCs w:val="20"/>
              </w:rPr>
              <w:t>References</w:t>
            </w:r>
          </w:p>
        </w:tc>
        <w:tc>
          <w:tcPr>
            <w:tcW w:w="772" w:type="dxa"/>
            <w:tcBorders>
              <w:bottom w:val="single" w:sz="4" w:space="0" w:color="000000"/>
            </w:tcBorders>
          </w:tcPr>
          <w:p w14:paraId="2133DC80"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w:t>
            </w:r>
          </w:p>
        </w:tc>
        <w:tc>
          <w:tcPr>
            <w:tcW w:w="1004" w:type="dxa"/>
            <w:tcBorders>
              <w:bottom w:val="single" w:sz="4" w:space="0" w:color="000000"/>
            </w:tcBorders>
          </w:tcPr>
          <w:p w14:paraId="5D9EDC49"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S10-B</w:t>
            </w:r>
          </w:p>
        </w:tc>
        <w:tc>
          <w:tcPr>
            <w:tcW w:w="1021" w:type="dxa"/>
            <w:tcBorders>
              <w:bottom w:val="single" w:sz="4" w:space="0" w:color="000000"/>
            </w:tcBorders>
          </w:tcPr>
          <w:p w14:paraId="3275C8CB"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S10-H</w:t>
            </w:r>
          </w:p>
        </w:tc>
        <w:tc>
          <w:tcPr>
            <w:tcW w:w="728" w:type="dxa"/>
            <w:tcBorders>
              <w:bottom w:val="single" w:sz="4" w:space="0" w:color="000000"/>
            </w:tcBorders>
          </w:tcPr>
          <w:p w14:paraId="6BA4D947"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w:t>
            </w:r>
          </w:p>
        </w:tc>
        <w:tc>
          <w:tcPr>
            <w:tcW w:w="731" w:type="dxa"/>
            <w:tcBorders>
              <w:bottom w:val="single" w:sz="4" w:space="0" w:color="000000"/>
              <w:right w:val="nil"/>
            </w:tcBorders>
          </w:tcPr>
          <w:p w14:paraId="2E306836"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S12</w:t>
            </w:r>
          </w:p>
        </w:tc>
      </w:tr>
      <w:tr w:rsidR="00F71101" w14:paraId="74DFCC7E" w14:textId="77777777" w:rsidTr="008B132E">
        <w:trPr>
          <w:trHeight w:val="174"/>
          <w:jc w:val="center"/>
        </w:trPr>
        <w:tc>
          <w:tcPr>
            <w:tcW w:w="1701" w:type="dxa"/>
            <w:tcBorders>
              <w:top w:val="single" w:sz="4" w:space="0" w:color="000000"/>
              <w:left w:val="nil"/>
            </w:tcBorders>
          </w:tcPr>
          <w:p w14:paraId="26DF0874" w14:textId="77777777" w:rsidR="00F71101" w:rsidRDefault="00F71101" w:rsidP="008B132E">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Trichodesmium</w:t>
            </w:r>
          </w:p>
        </w:tc>
        <w:tc>
          <w:tcPr>
            <w:tcW w:w="2942" w:type="dxa"/>
            <w:tcBorders>
              <w:top w:val="single" w:sz="4" w:space="0" w:color="000000"/>
            </w:tcBorders>
          </w:tcPr>
          <w:p w14:paraId="55540D0D" w14:textId="77777777" w:rsidR="00F71101" w:rsidRDefault="00F71101" w:rsidP="008B132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Bonnet et al., 2018 </w:t>
            </w:r>
            <w:r>
              <w:rPr>
                <w:rFonts w:ascii="Times New Roman" w:eastAsia="Times New Roman" w:hAnsi="Times New Roman" w:cs="Times New Roman"/>
                <w:i/>
                <w:sz w:val="20"/>
                <w:szCs w:val="20"/>
              </w:rPr>
              <w:fldChar w:fldCharType="begin" w:fldLock="1"/>
            </w:r>
            <w:r>
              <w:rPr>
                <w:rFonts w:ascii="Times New Roman" w:eastAsia="Times New Roman" w:hAnsi="Times New Roman" w:cs="Times New Roman"/>
                <w:i/>
                <w:sz w:val="20"/>
                <w:szCs w:val="20"/>
              </w:rPr>
              <w:instrText>ADDIN CSL_CITATION {"citationItems":[{"id":"ITEM-1","itemData":{"DOI":"10.5194/bg-15-4215-2018","ISSN":"1726-4189","abstract":"80 %) and gene expression of the nifH gene (cDNA &gt; 105 nifH copies L−1) in MA waters. Single-cell isotopic analyses performed by nanoscale secondary ion mass spectrometry (nanoSIMS) at selected stations revealed that Trichodesmium was always the major contributor to N2 fixation in MA waters, accounting for 47.1–83.8 % of bulk N2 fixation. The most plausible environmental factors explaining such exceptionally high rates of N2 fixation in MA waters are discussed in detail, emphasizing the role of macro- and micro-nutrient (e.g., iron) availability, seawater temperature and currents.]]&gt;","author":[{"dropping-particle":"","family":"Bonnet","given":"Sophie","non-dropping-particle":"","parse-names":false,"suffix":""},{"dropping-particle":"","family":"Caffin","given":"Mathieu","non-dropping-particle":"","parse-names":false,"suffix":""},{"dropping-particle":"","family":"Berthelot","given":"Hugo","non-dropping-particle":"","parse-names":false,"suffix":""},{"dropping-particle":"","family":"Grosso","given":"Olivier","non-dropping-particle":"","parse-names":false,"suffix":""},{"dropping-particle":"","family":"Benavides","given":"Mar","non-dropping-particle":"","parse-names":false,"suffix":""},{"dropping-particle":"","family":"Helias-Nunige","given":"Sandra","non-dropping-particle":"","parse-names":false,"suffix":""},{"dropping-particle":"","family":"Guieu","given":"Cécile","non-dropping-particle":"","parse-names":false,"suffix":""},{"dropping-particle":"","family":"Stenegren","given":"Marcus","non-dropping-particle":"","parse-names":false,"suffix":""},{"dropping-particle":"","family":"Foster","given":"Rachel Ann","non-dropping-particle":"","parse-names":false,"suffix":""}],"container-title":"Biogeosciences","id":"ITEM-1","issue":"13","issued":{"date-parts":[["2018","7","12"]]},"page":"4215-4232","title":"In-depth characterization of diazotroph activity across the western tropical South Pacific hotspot of N2 fixation (OUTPACE cruise)","type":"article-journal","volume":"15"},"uris":["http://www.mendeley.com/documents/?uuid=24327322-5162-478f-9501-e6d96d65a9aa"]}],"mendeley":{"formattedCitation":"(9)","plainTextFormattedCitation":"(9)","previouslyFormattedCitation":"(10)"},"properties":{"noteIndex":0},"schema":"https://github.com/citation-style-language/schema/raw/master/csl-citation.json"}</w:instrText>
            </w:r>
            <w:r>
              <w:rPr>
                <w:rFonts w:ascii="Times New Roman" w:eastAsia="Times New Roman" w:hAnsi="Times New Roman" w:cs="Times New Roman"/>
                <w:i/>
                <w:sz w:val="20"/>
                <w:szCs w:val="20"/>
              </w:rPr>
              <w:fldChar w:fldCharType="separate"/>
            </w:r>
            <w:r w:rsidRPr="00157AE6">
              <w:rPr>
                <w:rFonts w:ascii="Times New Roman" w:eastAsia="Times New Roman" w:hAnsi="Times New Roman" w:cs="Times New Roman"/>
                <w:noProof/>
                <w:sz w:val="20"/>
                <w:szCs w:val="20"/>
              </w:rPr>
              <w:t>(9)</w:t>
            </w:r>
            <w:r>
              <w:rPr>
                <w:rFonts w:ascii="Times New Roman" w:eastAsia="Times New Roman" w:hAnsi="Times New Roman" w:cs="Times New Roman"/>
                <w:i/>
                <w:sz w:val="20"/>
                <w:szCs w:val="20"/>
              </w:rPr>
              <w:fldChar w:fldCharType="end"/>
            </w:r>
          </w:p>
        </w:tc>
        <w:tc>
          <w:tcPr>
            <w:tcW w:w="772" w:type="dxa"/>
            <w:tcBorders>
              <w:top w:val="single" w:sz="4" w:space="0" w:color="000000"/>
            </w:tcBorders>
          </w:tcPr>
          <w:p w14:paraId="14858D6F"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004" w:type="dxa"/>
            <w:tcBorders>
              <w:top w:val="single" w:sz="4" w:space="0" w:color="000000"/>
            </w:tcBorders>
          </w:tcPr>
          <w:p w14:paraId="628F8967"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w:t>
            </w:r>
          </w:p>
        </w:tc>
        <w:tc>
          <w:tcPr>
            <w:tcW w:w="1021" w:type="dxa"/>
            <w:tcBorders>
              <w:top w:val="single" w:sz="4" w:space="0" w:color="000000"/>
            </w:tcBorders>
          </w:tcPr>
          <w:p w14:paraId="37972975"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728" w:type="dxa"/>
            <w:tcBorders>
              <w:top w:val="single" w:sz="4" w:space="0" w:color="000000"/>
            </w:tcBorders>
          </w:tcPr>
          <w:p w14:paraId="3D1E3CB4"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31" w:type="dxa"/>
            <w:tcBorders>
              <w:top w:val="single" w:sz="4" w:space="0" w:color="000000"/>
              <w:right w:val="nil"/>
            </w:tcBorders>
          </w:tcPr>
          <w:p w14:paraId="4C0B9F01"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r>
      <w:tr w:rsidR="00F71101" w14:paraId="27B5375E" w14:textId="77777777" w:rsidTr="008B132E">
        <w:trPr>
          <w:trHeight w:val="174"/>
          <w:jc w:val="center"/>
        </w:trPr>
        <w:tc>
          <w:tcPr>
            <w:tcW w:w="1701" w:type="dxa"/>
            <w:tcBorders>
              <w:left w:val="nil"/>
            </w:tcBorders>
          </w:tcPr>
          <w:p w14:paraId="48B4E387" w14:textId="77777777" w:rsidR="00F71101" w:rsidRDefault="00F71101" w:rsidP="008B132E">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 Watsonii</w:t>
            </w:r>
          </w:p>
        </w:tc>
        <w:tc>
          <w:tcPr>
            <w:tcW w:w="2942" w:type="dxa"/>
          </w:tcPr>
          <w:p w14:paraId="5E897F4B" w14:textId="77777777" w:rsidR="00F71101" w:rsidRDefault="00F71101" w:rsidP="008B132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Bonnet et al., 2018</w:t>
            </w:r>
            <w:r>
              <w:rPr>
                <w:rFonts w:ascii="Times New Roman" w:eastAsia="Times New Roman" w:hAnsi="Times New Roman" w:cs="Times New Roman"/>
                <w:i/>
                <w:sz w:val="20"/>
                <w:szCs w:val="20"/>
              </w:rPr>
              <w:fldChar w:fldCharType="begin" w:fldLock="1"/>
            </w:r>
            <w:r>
              <w:rPr>
                <w:rFonts w:ascii="Times New Roman" w:eastAsia="Times New Roman" w:hAnsi="Times New Roman" w:cs="Times New Roman"/>
                <w:i/>
                <w:sz w:val="20"/>
                <w:szCs w:val="20"/>
              </w:rPr>
              <w:instrText>ADDIN CSL_CITATION {"citationItems":[{"id":"ITEM-1","itemData":{"DOI":"10.5194/bg-15-4215-2018","ISSN":"1726-4189","abstract":"80 %) and gene expression of the nifH gene (cDNA &gt; 105 nifH copies L−1) in MA waters. Single-cell isotopic analyses performed by nanoscale secondary ion mass spectrometry (nanoSIMS) at selected stations revealed that Trichodesmium was always the major contributor to N2 fixation in MA waters, accounting for 47.1–83.8 % of bulk N2 fixation. The most plausible environmental factors explaining such exceptionally high rates of N2 fixation in MA waters are discussed in detail, emphasizing the role of macro- and micro-nutrient (e.g., iron) availability, seawater temperature and currents.]]&gt;","author":[{"dropping-particle":"","family":"Bonnet","given":"Sophie","non-dropping-particle":"","parse-names":false,"suffix":""},{"dropping-particle":"","family":"Caffin","given":"Mathieu","non-dropping-particle":"","parse-names":false,"suffix":""},{"dropping-particle":"","family":"Berthelot","given":"Hugo","non-dropping-particle":"","parse-names":false,"suffix":""},{"dropping-particle":"","family":"Grosso","given":"Olivier","non-dropping-particle":"","parse-names":false,"suffix":""},{"dropping-particle":"","family":"Benavides","given":"Mar","non-dropping-particle":"","parse-names":false,"suffix":""},{"dropping-particle":"","family":"Helias-Nunige","given":"Sandra","non-dropping-particle":"","parse-names":false,"suffix":""},{"dropping-particle":"","family":"Guieu","given":"Cécile","non-dropping-particle":"","parse-names":false,"suffix":""},{"dropping-particle":"","family":"Stenegren","given":"Marcus","non-dropping-particle":"","parse-names":false,"suffix":""},{"dropping-particle":"","family":"Foster","given":"Rachel Ann","non-dropping-particle":"","parse-names":false,"suffix":""}],"container-title":"Biogeosciences","id":"ITEM-1","issue":"13","issued":{"date-parts":[["2018","7","12"]]},"page":"4215-4232","title":"In-depth characterization of diazotroph activity across the western tropical South Pacific hotspot of N2 fixation (OUTPACE cruise)","type":"article-journal","volume":"15"},"uris":["http://www.mendeley.com/documents/?uuid=24327322-5162-478f-9501-e6d96d65a9aa"]}],"mendeley":{"formattedCitation":"(9)","plainTextFormattedCitation":"(9)","previouslyFormattedCitation":"(10)"},"properties":{"noteIndex":0},"schema":"https://github.com/citation-style-language/schema/raw/master/csl-citation.json"}</w:instrText>
            </w:r>
            <w:r>
              <w:rPr>
                <w:rFonts w:ascii="Times New Roman" w:eastAsia="Times New Roman" w:hAnsi="Times New Roman" w:cs="Times New Roman"/>
                <w:i/>
                <w:sz w:val="20"/>
                <w:szCs w:val="20"/>
              </w:rPr>
              <w:fldChar w:fldCharType="separate"/>
            </w:r>
            <w:r w:rsidRPr="00157AE6">
              <w:rPr>
                <w:rFonts w:ascii="Times New Roman" w:eastAsia="Times New Roman" w:hAnsi="Times New Roman" w:cs="Times New Roman"/>
                <w:noProof/>
                <w:sz w:val="20"/>
                <w:szCs w:val="20"/>
              </w:rPr>
              <w:t>(9)</w:t>
            </w:r>
            <w:r>
              <w:rPr>
                <w:rFonts w:ascii="Times New Roman" w:eastAsia="Times New Roman" w:hAnsi="Times New Roman" w:cs="Times New Roman"/>
                <w:i/>
                <w:sz w:val="20"/>
                <w:szCs w:val="20"/>
              </w:rPr>
              <w:fldChar w:fldCharType="end"/>
            </w:r>
          </w:p>
        </w:tc>
        <w:tc>
          <w:tcPr>
            <w:tcW w:w="772" w:type="dxa"/>
          </w:tcPr>
          <w:p w14:paraId="5BE54480"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004" w:type="dxa"/>
          </w:tcPr>
          <w:p w14:paraId="0581BDB1"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021" w:type="dxa"/>
          </w:tcPr>
          <w:p w14:paraId="5D56E4F3"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28" w:type="dxa"/>
          </w:tcPr>
          <w:p w14:paraId="699A1A36" w14:textId="77777777" w:rsidR="00F71101" w:rsidRDefault="00F71101" w:rsidP="008B132E">
            <w:pPr>
              <w:jc w:val="center"/>
              <w:rPr>
                <w:rFonts w:ascii="Times New Roman" w:eastAsia="Times New Roman" w:hAnsi="Times New Roman" w:cs="Times New Roman"/>
                <w:sz w:val="20"/>
                <w:szCs w:val="20"/>
              </w:rPr>
            </w:pPr>
          </w:p>
        </w:tc>
        <w:tc>
          <w:tcPr>
            <w:tcW w:w="731" w:type="dxa"/>
            <w:tcBorders>
              <w:right w:val="nil"/>
            </w:tcBorders>
          </w:tcPr>
          <w:p w14:paraId="57EC84F3" w14:textId="77777777" w:rsidR="00F71101" w:rsidRDefault="00F71101" w:rsidP="008B132E">
            <w:pPr>
              <w:jc w:val="center"/>
              <w:rPr>
                <w:rFonts w:ascii="Times New Roman" w:eastAsia="Times New Roman" w:hAnsi="Times New Roman" w:cs="Times New Roman"/>
                <w:sz w:val="20"/>
                <w:szCs w:val="20"/>
              </w:rPr>
            </w:pPr>
          </w:p>
        </w:tc>
      </w:tr>
      <w:tr w:rsidR="00F71101" w14:paraId="4E307F97" w14:textId="77777777" w:rsidTr="008B132E">
        <w:trPr>
          <w:trHeight w:val="174"/>
          <w:jc w:val="center"/>
        </w:trPr>
        <w:tc>
          <w:tcPr>
            <w:tcW w:w="1701" w:type="dxa"/>
            <w:tcBorders>
              <w:left w:val="nil"/>
            </w:tcBorders>
          </w:tcPr>
          <w:p w14:paraId="6E19E9DC" w14:textId="77777777" w:rsidR="00F71101" w:rsidRDefault="00F71101" w:rsidP="008B132E">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Synechococcus</w:t>
            </w:r>
          </w:p>
        </w:tc>
        <w:tc>
          <w:tcPr>
            <w:tcW w:w="2942" w:type="dxa"/>
          </w:tcPr>
          <w:p w14:paraId="732D9F85" w14:textId="77777777" w:rsidR="00F71101" w:rsidRDefault="00F71101" w:rsidP="008B132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Worden and Binder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10.3354/ame030159","ISSN":"0948-3055","author":[{"dropping-particle":"","family":"Worden","given":"AZ","non-dropping-particle":"","parse-names":false,"suffix":""},{"dropping-particle":"","family":"Binder","given":"BJ","non-dropping-particle":"","parse-names":false,"suffix":""}],"container-title":"Aquatic Microbial Ecology","id":"ITEM-1","issued":{"date-parts":[["2003"]]},"page":"159-174","title":"Application of dilution experiments for measuring growth and mortality rates among Prochlorococcus and Synechococcus populations in oligotrophic environments","type":"article-journal","volume":"30"},"uris":["http://www.mendeley.com/documents/?uuid=f2f7c6b9-ec96-4a8e-82e9-7815dd486b0f"]}],"mendeley":{"formattedCitation":"(11)","plainTextFormattedCitation":"(11)","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157AE6">
              <w:rPr>
                <w:rFonts w:ascii="Times New Roman" w:eastAsia="Times New Roman" w:hAnsi="Times New Roman" w:cs="Times New Roman"/>
                <w:noProof/>
                <w:sz w:val="20"/>
                <w:szCs w:val="20"/>
              </w:rPr>
              <w:t>(11)</w:t>
            </w:r>
            <w:r>
              <w:rPr>
                <w:rFonts w:ascii="Times New Roman" w:eastAsia="Times New Roman" w:hAnsi="Times New Roman" w:cs="Times New Roman"/>
                <w:sz w:val="20"/>
                <w:szCs w:val="20"/>
              </w:rPr>
              <w:fldChar w:fldCharType="end"/>
            </w:r>
          </w:p>
        </w:tc>
        <w:tc>
          <w:tcPr>
            <w:tcW w:w="772" w:type="dxa"/>
          </w:tcPr>
          <w:p w14:paraId="384DA23C"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w:t>
            </w:r>
          </w:p>
        </w:tc>
        <w:tc>
          <w:tcPr>
            <w:tcW w:w="1004" w:type="dxa"/>
          </w:tcPr>
          <w:p w14:paraId="1555A773"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021" w:type="dxa"/>
          </w:tcPr>
          <w:p w14:paraId="12059D7A"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28" w:type="dxa"/>
          </w:tcPr>
          <w:p w14:paraId="7C771BB9" w14:textId="77777777" w:rsidR="00F71101" w:rsidRDefault="00F71101" w:rsidP="008B132E">
            <w:pPr>
              <w:jc w:val="center"/>
              <w:rPr>
                <w:rFonts w:ascii="Times New Roman" w:eastAsia="Times New Roman" w:hAnsi="Times New Roman" w:cs="Times New Roman"/>
                <w:sz w:val="20"/>
                <w:szCs w:val="20"/>
              </w:rPr>
            </w:pPr>
          </w:p>
        </w:tc>
        <w:tc>
          <w:tcPr>
            <w:tcW w:w="731" w:type="dxa"/>
            <w:tcBorders>
              <w:right w:val="nil"/>
            </w:tcBorders>
          </w:tcPr>
          <w:p w14:paraId="006F7036" w14:textId="77777777" w:rsidR="00F71101" w:rsidRDefault="00F71101" w:rsidP="008B132E">
            <w:pPr>
              <w:jc w:val="center"/>
              <w:rPr>
                <w:rFonts w:ascii="Times New Roman" w:eastAsia="Times New Roman" w:hAnsi="Times New Roman" w:cs="Times New Roman"/>
                <w:sz w:val="20"/>
                <w:szCs w:val="20"/>
              </w:rPr>
            </w:pPr>
          </w:p>
        </w:tc>
      </w:tr>
      <w:tr w:rsidR="00F71101" w14:paraId="7AE92204" w14:textId="77777777" w:rsidTr="008B132E">
        <w:trPr>
          <w:trHeight w:val="174"/>
          <w:jc w:val="center"/>
        </w:trPr>
        <w:tc>
          <w:tcPr>
            <w:tcW w:w="1701" w:type="dxa"/>
            <w:tcBorders>
              <w:left w:val="nil"/>
            </w:tcBorders>
          </w:tcPr>
          <w:p w14:paraId="359B91A2" w14:textId="77777777" w:rsidR="00F71101" w:rsidRDefault="00F71101" w:rsidP="008B132E">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Prochlorococcus</w:t>
            </w:r>
          </w:p>
        </w:tc>
        <w:tc>
          <w:tcPr>
            <w:tcW w:w="2942" w:type="dxa"/>
          </w:tcPr>
          <w:p w14:paraId="2C2EC79F" w14:textId="77777777" w:rsidR="00F71101" w:rsidRDefault="00F71101" w:rsidP="008B132E">
            <w:pPr>
              <w:jc w:val="center"/>
              <w:rPr>
                <w:rFonts w:ascii="Times New Roman" w:eastAsia="Times New Roman" w:hAnsi="Times New Roman" w:cs="Times New Roman"/>
                <w:i/>
                <w:sz w:val="20"/>
                <w:szCs w:val="20"/>
              </w:rPr>
            </w:pPr>
            <w:bookmarkStart w:id="6" w:name="_heading=h.3dy6vkm" w:colFirst="0" w:colLast="0"/>
            <w:bookmarkEnd w:id="6"/>
            <w:r>
              <w:rPr>
                <w:rFonts w:ascii="Times New Roman" w:eastAsia="Times New Roman" w:hAnsi="Times New Roman" w:cs="Times New Roman"/>
                <w:i/>
                <w:sz w:val="20"/>
                <w:szCs w:val="20"/>
              </w:rPr>
              <w:t>Worden and Binder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10.3354/ame030159","ISSN":"0948-3055","author":[{"dropping-particle":"","family":"Worden","given":"AZ","non-dropping-particle":"","parse-names":false,"suffix":""},{"dropping-particle":"","family":"Binder","given":"BJ","non-dropping-particle":"","parse-names":false,"suffix":""}],"container-title":"Aquatic Microbial Ecology","id":"ITEM-1","issued":{"date-parts":[["2003"]]},"page":"159-174","title":"Application of dilution experiments for measuring growth and mortality rates among Prochlorococcus and Synechococcus populations in oligotrophic environments","type":"article-journal","volume":"30"},"uris":["http://www.mendeley.com/documents/?uuid=f2f7c6b9-ec96-4a8e-82e9-7815dd486b0f"]}],"mendeley":{"formattedCitation":"(11)","plainTextFormattedCitation":"(11)","previouslyFormattedCitation":"(12)"},"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157AE6">
              <w:rPr>
                <w:rFonts w:ascii="Times New Roman" w:eastAsia="Times New Roman" w:hAnsi="Times New Roman" w:cs="Times New Roman"/>
                <w:noProof/>
                <w:sz w:val="20"/>
                <w:szCs w:val="20"/>
              </w:rPr>
              <w:t>(11)</w:t>
            </w:r>
            <w:r>
              <w:rPr>
                <w:rFonts w:ascii="Times New Roman" w:eastAsia="Times New Roman" w:hAnsi="Times New Roman" w:cs="Times New Roman"/>
                <w:sz w:val="20"/>
                <w:szCs w:val="20"/>
              </w:rPr>
              <w:fldChar w:fldCharType="end"/>
            </w:r>
          </w:p>
        </w:tc>
        <w:tc>
          <w:tcPr>
            <w:tcW w:w="772" w:type="dxa"/>
          </w:tcPr>
          <w:p w14:paraId="19ACFB73"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1004" w:type="dxa"/>
          </w:tcPr>
          <w:p w14:paraId="1C3738B5"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021" w:type="dxa"/>
          </w:tcPr>
          <w:p w14:paraId="0D8727A3"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p>
        </w:tc>
        <w:tc>
          <w:tcPr>
            <w:tcW w:w="728" w:type="dxa"/>
          </w:tcPr>
          <w:p w14:paraId="15084E51" w14:textId="77777777" w:rsidR="00F71101" w:rsidRDefault="00F71101" w:rsidP="008B132E">
            <w:pPr>
              <w:jc w:val="center"/>
              <w:rPr>
                <w:rFonts w:ascii="Times New Roman" w:eastAsia="Times New Roman" w:hAnsi="Times New Roman" w:cs="Times New Roman"/>
                <w:sz w:val="20"/>
                <w:szCs w:val="20"/>
              </w:rPr>
            </w:pPr>
          </w:p>
        </w:tc>
        <w:tc>
          <w:tcPr>
            <w:tcW w:w="731" w:type="dxa"/>
            <w:tcBorders>
              <w:right w:val="nil"/>
            </w:tcBorders>
          </w:tcPr>
          <w:p w14:paraId="7AB13271" w14:textId="77777777" w:rsidR="00F71101" w:rsidRDefault="00F71101" w:rsidP="008B132E">
            <w:pPr>
              <w:jc w:val="center"/>
              <w:rPr>
                <w:rFonts w:ascii="Times New Roman" w:eastAsia="Times New Roman" w:hAnsi="Times New Roman" w:cs="Times New Roman"/>
                <w:sz w:val="20"/>
                <w:szCs w:val="20"/>
              </w:rPr>
            </w:pPr>
          </w:p>
        </w:tc>
      </w:tr>
      <w:tr w:rsidR="00F71101" w14:paraId="3956F38B" w14:textId="77777777" w:rsidTr="008B132E">
        <w:trPr>
          <w:trHeight w:val="174"/>
          <w:jc w:val="center"/>
        </w:trPr>
        <w:tc>
          <w:tcPr>
            <w:tcW w:w="1701" w:type="dxa"/>
            <w:tcBorders>
              <w:left w:val="nil"/>
            </w:tcBorders>
          </w:tcPr>
          <w:p w14:paraId="5CCAF527" w14:textId="77777777" w:rsidR="00F71101" w:rsidRDefault="00F71101" w:rsidP="008B132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HB</w:t>
            </w:r>
          </w:p>
        </w:tc>
        <w:tc>
          <w:tcPr>
            <w:tcW w:w="2942" w:type="dxa"/>
          </w:tcPr>
          <w:p w14:paraId="712BC330" w14:textId="77777777" w:rsidR="00F71101" w:rsidRDefault="00F71101" w:rsidP="008B132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Van </w:t>
            </w:r>
            <w:proofErr w:type="spellStart"/>
            <w:r>
              <w:rPr>
                <w:rFonts w:ascii="Times New Roman" w:eastAsia="Times New Roman" w:hAnsi="Times New Roman" w:cs="Times New Roman"/>
                <w:i/>
                <w:sz w:val="20"/>
                <w:szCs w:val="20"/>
              </w:rPr>
              <w:t>Wambeke</w:t>
            </w:r>
            <w:proofErr w:type="spellEnd"/>
            <w:r>
              <w:rPr>
                <w:rFonts w:ascii="Times New Roman" w:eastAsia="Times New Roman" w:hAnsi="Times New Roman" w:cs="Times New Roman"/>
                <w:i/>
                <w:sz w:val="20"/>
                <w:szCs w:val="20"/>
              </w:rPr>
              <w:t xml:space="preserve"> et al., 2018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{"citationItems":[{"id":"ITEM-1","itemData":{"DOI":"10.5194/bg-15-2669-2018","ISSN":"17264189","abstract":"Heterotrophic prokaryotic production (BP) was studied in the western tropical South Pacific (WTSP) using the leucine technique, revealing spatial and temporal variability within the region. Integrated over the euphotic zone, BP ranged from 58 to 120 mg C mg-2 dg-1 within the Melanesian Archipelago, and from 31 to 50 mg C mg-2 dg-1 within the western subtropical gyre. The collapse of a bloom was followed during 6 days in the south of Vanuatu using a Lagrangian sampling strategy. During this period, rapid evolution was observed in the three main parameters influencing the metabolic state: BP, primary production (PP) and bacterial growth efficiency. With N2 fixation being one of the most important fluxes fueling new production, we explored relationships between BP, PP and N2 fixation rates over the WTSP. The contribution of N2 fixation rates to bacterial nitrogen demand ranged from 3 to 81 %. BP variability was better explained by the variability of N2 fixation rates than by that of PP in surface waters of the Melanesian Archipelago, which were characterized by N-depleted layers and low DIP turnover times (TDIP &lt; 100 h). This is consistent with the fact that nitrogen was often one of the main factors controlling BP on short timescales, as shown using enrichment experiments, followed by dissolved inorganic phosphate (DIP) near the surface and labile organic carbon deeper in the euphotic zone. However, BP was more significantly correlated with PP, but not with N2 fixation rates where DIP was more available (TDIP &gt; 100 h), deeper in the Melanesian Archipelago, or within the entire euphotic zone in the subtropical gyre. The bacterial carbon demand to gross primary production ratio ranged from 0.75 to 3.1. These values are discussed in the framework of various assumptions and conversion factors used to estimate this ratio, including the methodological errors, the daily variability of BP, the bacterial growth efficiency and one bias so far not considered: the ability for Prochlorococcus to assimilate leucine in the dark.","author":[{"dropping-particle":"","family":"Wambeke","given":"France","non-dropping-particle":"Van","parse-names":false,"suffix":""},{"dropping-particle":"","family":"Gimenez","given":"Audrey","non-dropping-particle":"","parse-names":false,"suffix":""},{"dropping-particle":"","family":"Duhamel","given":"Solange","non-dropping-particle":"","parse-names":false,"suffix":""},{"dropping-particle":"","family":"Dupouy","given":"Ccile","non-dropping-particle":"","parse-names":false,"suffix":""},{"dropping-particle":"","family":"Lefevre","given":"Dominique","non-dropping-particle":"","parse-names":false,"suffix":""},{"dropping-particle":"","family":"Pujo-Pay","given":"Mireille","non-dropping-particle":"","parse-names":false,"suffix":""},{"dropping-particle":"","family":"Moutin","given":"Thierry","non-dropping-particle":"","parse-names":false,"suffix":""}],"container-title":"Biogeosciences","id":"ITEM-1","issue":"9","issued":{"date-parts":[["2018"]]},"page":"2669-2689","title":"Dynamics and controls of heterotrophic prokaryotic production in the western tropical South Pacific Ocean: Links with diazotrophic and photosynthetic activity","type":"article-journal","volume":"15"},"uris":["http://www.mendeley.com/documents/?uuid=782d8f73-30a5-445b-8d62-70c1138ac50c"]}],"mendeley":{"formattedCitation":"(12)","plainTextFormattedCitation":"(12)","previouslyFormattedCitation":"(13)"},"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157AE6">
              <w:rPr>
                <w:rFonts w:ascii="Times New Roman" w:eastAsia="Times New Roman" w:hAnsi="Times New Roman" w:cs="Times New Roman"/>
                <w:noProof/>
                <w:sz w:val="20"/>
                <w:szCs w:val="20"/>
              </w:rPr>
              <w:t>(12)</w:t>
            </w:r>
            <w:r>
              <w:rPr>
                <w:rFonts w:ascii="Times New Roman" w:eastAsia="Times New Roman" w:hAnsi="Times New Roman" w:cs="Times New Roman"/>
                <w:sz w:val="20"/>
                <w:szCs w:val="20"/>
              </w:rPr>
              <w:fldChar w:fldCharType="end"/>
            </w:r>
          </w:p>
        </w:tc>
        <w:tc>
          <w:tcPr>
            <w:tcW w:w="772" w:type="dxa"/>
          </w:tcPr>
          <w:p w14:paraId="36EC0977"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1004" w:type="dxa"/>
          </w:tcPr>
          <w:p w14:paraId="1833EBFB"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021" w:type="dxa"/>
          </w:tcPr>
          <w:p w14:paraId="1AF0B62E" w14:textId="77777777" w:rsidR="00F71101" w:rsidRDefault="00F71101" w:rsidP="008B132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28" w:type="dxa"/>
          </w:tcPr>
          <w:p w14:paraId="1F89CCD1" w14:textId="77777777" w:rsidR="00F71101" w:rsidRDefault="00F71101" w:rsidP="008B132E">
            <w:pPr>
              <w:jc w:val="center"/>
              <w:rPr>
                <w:rFonts w:ascii="Times New Roman" w:eastAsia="Times New Roman" w:hAnsi="Times New Roman" w:cs="Times New Roman"/>
                <w:sz w:val="20"/>
                <w:szCs w:val="20"/>
              </w:rPr>
            </w:pPr>
          </w:p>
        </w:tc>
        <w:tc>
          <w:tcPr>
            <w:tcW w:w="731" w:type="dxa"/>
            <w:tcBorders>
              <w:right w:val="nil"/>
            </w:tcBorders>
          </w:tcPr>
          <w:p w14:paraId="04833A0F" w14:textId="77777777" w:rsidR="00F71101" w:rsidRDefault="00F71101" w:rsidP="008B132E">
            <w:pPr>
              <w:jc w:val="center"/>
              <w:rPr>
                <w:rFonts w:ascii="Times New Roman" w:eastAsia="Times New Roman" w:hAnsi="Times New Roman" w:cs="Times New Roman"/>
                <w:sz w:val="20"/>
                <w:szCs w:val="20"/>
              </w:rPr>
            </w:pPr>
          </w:p>
        </w:tc>
      </w:tr>
    </w:tbl>
    <w:p w14:paraId="57C9E7C6" w14:textId="77777777" w:rsidR="00F71101" w:rsidRDefault="00F71101" w:rsidP="00F71101">
      <w:pPr>
        <w:rPr>
          <w:rFonts w:ascii="Times New Roman" w:eastAsia="Times New Roman" w:hAnsi="Times New Roman" w:cs="Times New Roman"/>
          <w:sz w:val="24"/>
          <w:szCs w:val="24"/>
        </w:rPr>
      </w:pPr>
    </w:p>
    <w:p w14:paraId="77CD6D52" w14:textId="77777777" w:rsidR="00F71101" w:rsidRDefault="00F71101" w:rsidP="00F711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E89159" w14:textId="77777777" w:rsidR="00DC5194" w:rsidRDefault="00EE0AE9">
      <w:pPr>
        <w:widowControl w:val="0"/>
        <w:spacing w:line="240" w:lineRule="auto"/>
        <w:ind w:left="640" w:hanging="6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76DDE72C" w14:textId="6CB22EDB" w:rsidR="00157AE6" w:rsidRPr="00157AE6" w:rsidRDefault="003002E5"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00157AE6" w:rsidRPr="00157AE6">
        <w:rPr>
          <w:rFonts w:ascii="Times New Roman" w:hAnsi="Times New Roman" w:cs="Times New Roman"/>
          <w:noProof/>
          <w:sz w:val="24"/>
          <w:szCs w:val="24"/>
        </w:rPr>
        <w:t xml:space="preserve">1. </w:t>
      </w:r>
      <w:r w:rsidR="00157AE6" w:rsidRPr="00157AE6">
        <w:rPr>
          <w:rFonts w:ascii="Times New Roman" w:hAnsi="Times New Roman" w:cs="Times New Roman"/>
          <w:noProof/>
          <w:sz w:val="24"/>
          <w:szCs w:val="24"/>
        </w:rPr>
        <w:tab/>
        <w:t xml:space="preserve">Lis H, Shaked Y, Kranzler C, Keren N, Morel FMM. Iron bioavailability to phytoplankton: an empirical approach. ISME J. 2015 Apr 28;9(4):1003–13. </w:t>
      </w:r>
    </w:p>
    <w:p w14:paraId="39FA7A59"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2. </w:t>
      </w:r>
      <w:r w:rsidRPr="00157AE6">
        <w:rPr>
          <w:rFonts w:ascii="Times New Roman" w:hAnsi="Times New Roman" w:cs="Times New Roman"/>
          <w:noProof/>
          <w:sz w:val="24"/>
          <w:szCs w:val="24"/>
        </w:rPr>
        <w:tab/>
        <w:t xml:space="preserve">Ellwood MJ, Strzepek RF, Strutton PG, Trull TW, Fourquez M, Boyd PW. Distinct iron cycling in a Southern Ocean eddy. Nat Commun. 2020;11(1):1–8. </w:t>
      </w:r>
    </w:p>
    <w:p w14:paraId="59346972"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3. </w:t>
      </w:r>
      <w:r w:rsidRPr="00157AE6">
        <w:rPr>
          <w:rFonts w:ascii="Times New Roman" w:hAnsi="Times New Roman" w:cs="Times New Roman"/>
          <w:noProof/>
          <w:sz w:val="24"/>
          <w:szCs w:val="24"/>
        </w:rPr>
        <w:tab/>
        <w:t xml:space="preserve">Fourquez M, Bressac M, Deppeler SL, Ellwood M, Obernosterer I, Trull TW, et al. Microbial Competition in the Subpolar Southern Ocean: An Fe–C Co-limitation Experiment. Front Mar Sci. 2020;6(January). </w:t>
      </w:r>
    </w:p>
    <w:p w14:paraId="4ABE0E55"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4. </w:t>
      </w:r>
      <w:r w:rsidRPr="00157AE6">
        <w:rPr>
          <w:rFonts w:ascii="Times New Roman" w:hAnsi="Times New Roman" w:cs="Times New Roman"/>
          <w:noProof/>
          <w:sz w:val="24"/>
          <w:szCs w:val="24"/>
        </w:rPr>
        <w:tab/>
        <w:t xml:space="preserve">Fourquez M, Obernosterer I, Davies DM, Trull TW, Blain S. Microbial iron uptake in the naturally fertilized waters in the vicinity of the Kerguelen Islands: Phytoplankton-bacteria interactions. Biogeosciences. 2015;12(6):1893–906. </w:t>
      </w:r>
    </w:p>
    <w:p w14:paraId="7838BD80"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5. </w:t>
      </w:r>
      <w:r w:rsidRPr="00157AE6">
        <w:rPr>
          <w:rFonts w:ascii="Times New Roman" w:hAnsi="Times New Roman" w:cs="Times New Roman"/>
          <w:noProof/>
          <w:sz w:val="24"/>
          <w:szCs w:val="24"/>
        </w:rPr>
        <w:tab/>
        <w:t xml:space="preserve">Strzepek RF, Maldonado MT, Higgins JL, Hall J, Safi K, Wilhelm SW, et al. Spinning the “ferrous wheel”: The importance of the microbial community in an iron budget during the FeCycle experiment. Global Biogeochem Cycles. 2005;19(4). </w:t>
      </w:r>
    </w:p>
    <w:p w14:paraId="33CAC38C"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6. </w:t>
      </w:r>
      <w:r w:rsidRPr="00157AE6">
        <w:rPr>
          <w:rFonts w:ascii="Times New Roman" w:hAnsi="Times New Roman" w:cs="Times New Roman"/>
          <w:noProof/>
          <w:sz w:val="24"/>
          <w:szCs w:val="24"/>
        </w:rPr>
        <w:tab/>
        <w:t xml:space="preserve">Mioni C, Pakulski J, Poorvin L, Baldwin A, Twiss M, Jeffrey W, et al. Variability in the in situ bioavailability of Fe to bacterioplankton communities in the eastern subtropical Pacific Ocean. Aquat Microb Ecol. 2007 Mar 13;46:239–51. </w:t>
      </w:r>
    </w:p>
    <w:p w14:paraId="04BCA901"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7. </w:t>
      </w:r>
      <w:r w:rsidRPr="00157AE6">
        <w:rPr>
          <w:rFonts w:ascii="Times New Roman" w:hAnsi="Times New Roman" w:cs="Times New Roman"/>
          <w:noProof/>
          <w:sz w:val="24"/>
          <w:szCs w:val="24"/>
        </w:rPr>
        <w:tab/>
        <w:t xml:space="preserve">King AL, Sañudo-Wilhelmy SA, Boyd PW, Twining BS, Wilhelm SW, Breene C, et al. A comparison of biogenic iron quotas during a diatom spring bloom using multiple approaches. Biogeosciences. 2012 Feb 3;9(2):667–87. </w:t>
      </w:r>
    </w:p>
    <w:p w14:paraId="54AC485B"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8. </w:t>
      </w:r>
      <w:r w:rsidRPr="00157AE6">
        <w:rPr>
          <w:rFonts w:ascii="Times New Roman" w:hAnsi="Times New Roman" w:cs="Times New Roman"/>
          <w:noProof/>
          <w:sz w:val="24"/>
          <w:szCs w:val="24"/>
        </w:rPr>
        <w:tab/>
        <w:t xml:space="preserve">Hudson RJM, Morel FMM. Distinguishing between extra- and intracellular marine phytoplankton. 1989;34(6). </w:t>
      </w:r>
    </w:p>
    <w:p w14:paraId="70609F5A"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9. </w:t>
      </w:r>
      <w:r w:rsidRPr="00157AE6">
        <w:rPr>
          <w:rFonts w:ascii="Times New Roman" w:hAnsi="Times New Roman" w:cs="Times New Roman"/>
          <w:noProof/>
          <w:sz w:val="24"/>
          <w:szCs w:val="24"/>
        </w:rPr>
        <w:tab/>
        <w:t xml:space="preserve">Bonnet S, Caffin M, Berthelot H, Grosso O, Benavides M, Helias-Nunige S, et al. In-depth characterization of diazotroph activity across the western tropical South Pacific hotspot of N2 fixation (OUTPACE cruise). Biogeosciences. 2018 Jul 12;15(13):4215–32. </w:t>
      </w:r>
    </w:p>
    <w:p w14:paraId="45CE26CC"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10. </w:t>
      </w:r>
      <w:r w:rsidRPr="00157AE6">
        <w:rPr>
          <w:rFonts w:ascii="Times New Roman" w:hAnsi="Times New Roman" w:cs="Times New Roman"/>
          <w:noProof/>
          <w:sz w:val="24"/>
          <w:szCs w:val="24"/>
        </w:rPr>
        <w:tab/>
        <w:t xml:space="preserve">Shaked Y, Twining BS, Tagliabue A, Maldonado MT. Probing the Bioavailability of Dissolved Iron to Marine Eukaryotic Phytoplankton Using In Situ Single Cell Iron Quotas. Global Biogeochem Cycles. 2021 Aug 25;35(8):1–19. </w:t>
      </w:r>
    </w:p>
    <w:p w14:paraId="10B3378E"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szCs w:val="24"/>
        </w:rPr>
      </w:pPr>
      <w:r w:rsidRPr="00157AE6">
        <w:rPr>
          <w:rFonts w:ascii="Times New Roman" w:hAnsi="Times New Roman" w:cs="Times New Roman"/>
          <w:noProof/>
          <w:sz w:val="24"/>
          <w:szCs w:val="24"/>
        </w:rPr>
        <w:t xml:space="preserve">11. </w:t>
      </w:r>
      <w:r w:rsidRPr="00157AE6">
        <w:rPr>
          <w:rFonts w:ascii="Times New Roman" w:hAnsi="Times New Roman" w:cs="Times New Roman"/>
          <w:noProof/>
          <w:sz w:val="24"/>
          <w:szCs w:val="24"/>
        </w:rPr>
        <w:tab/>
        <w:t xml:space="preserve">Worden A, Binder B. Application of dilution experiments for measuring growth and mortality rates among Prochlorococcus and Synechococcus populations in oligotrophic environments. Aquat Microb Ecol. 2003;30:159–74. </w:t>
      </w:r>
    </w:p>
    <w:p w14:paraId="4666F516" w14:textId="77777777" w:rsidR="00157AE6" w:rsidRPr="00157AE6" w:rsidRDefault="00157AE6" w:rsidP="00157AE6">
      <w:pPr>
        <w:widowControl w:val="0"/>
        <w:autoSpaceDE w:val="0"/>
        <w:autoSpaceDN w:val="0"/>
        <w:adjustRightInd w:val="0"/>
        <w:spacing w:line="240" w:lineRule="auto"/>
        <w:ind w:left="640" w:hanging="640"/>
        <w:rPr>
          <w:rFonts w:ascii="Times New Roman" w:hAnsi="Times New Roman" w:cs="Times New Roman"/>
          <w:noProof/>
          <w:sz w:val="24"/>
        </w:rPr>
      </w:pPr>
      <w:r w:rsidRPr="00157AE6">
        <w:rPr>
          <w:rFonts w:ascii="Times New Roman" w:hAnsi="Times New Roman" w:cs="Times New Roman"/>
          <w:noProof/>
          <w:sz w:val="24"/>
          <w:szCs w:val="24"/>
        </w:rPr>
        <w:t xml:space="preserve">12. </w:t>
      </w:r>
      <w:r w:rsidRPr="00157AE6">
        <w:rPr>
          <w:rFonts w:ascii="Times New Roman" w:hAnsi="Times New Roman" w:cs="Times New Roman"/>
          <w:noProof/>
          <w:sz w:val="24"/>
          <w:szCs w:val="24"/>
        </w:rPr>
        <w:tab/>
        <w:t xml:space="preserve">Van Wambeke F, Gimenez A, Duhamel S, Dupouy C, Lefevre D, Pujo-Pay M, et al. Dynamics and controls of heterotrophic prokaryotic production in the western tropical South Pacific Ocean: Links with diazotrophic and photosynthetic activity. Biogeosciences. 2018;15(9):2669–89. </w:t>
      </w:r>
    </w:p>
    <w:p w14:paraId="5DA3822E" w14:textId="4BDF5CF4" w:rsidR="00DC5194" w:rsidRDefault="003002E5">
      <w:pPr>
        <w:widowControl w:val="0"/>
        <w:spacing w:line="240" w:lineRule="auto"/>
        <w:ind w:left="640"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52FDD85A" w14:textId="3F1F4C88" w:rsidR="00640E2A" w:rsidRDefault="00640E2A" w:rsidP="00AF0DAA">
      <w:pPr>
        <w:widowControl w:val="0"/>
        <w:spacing w:line="240" w:lineRule="auto"/>
        <w:rPr>
          <w:rFonts w:ascii="Times New Roman" w:eastAsia="Times New Roman" w:hAnsi="Times New Roman" w:cs="Times New Roman"/>
          <w:sz w:val="24"/>
          <w:szCs w:val="24"/>
        </w:rPr>
      </w:pPr>
    </w:p>
    <w:sectPr w:rsidR="00640E2A" w:rsidSect="00B61658">
      <w:footerReference w:type="default" r:id="rId16"/>
      <w:pgSz w:w="11906" w:h="16838"/>
      <w:pgMar w:top="1135"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5EEE" w14:textId="77777777" w:rsidR="00FE576E" w:rsidRDefault="00FE576E">
      <w:pPr>
        <w:spacing w:after="0" w:line="240" w:lineRule="auto"/>
      </w:pPr>
      <w:r>
        <w:separator/>
      </w:r>
    </w:p>
  </w:endnote>
  <w:endnote w:type="continuationSeparator" w:id="0">
    <w:p w14:paraId="65C43FE6" w14:textId="77777777" w:rsidR="00FE576E" w:rsidRDefault="00FE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EA1C" w14:textId="77777777" w:rsidR="00DC5194" w:rsidRDefault="00EE0AE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045A">
      <w:rPr>
        <w:noProof/>
        <w:color w:val="000000"/>
      </w:rPr>
      <w:t>1</w:t>
    </w:r>
    <w:r>
      <w:rPr>
        <w:color w:val="000000"/>
      </w:rPr>
      <w:fldChar w:fldCharType="end"/>
    </w:r>
  </w:p>
  <w:p w14:paraId="4A7D27F0" w14:textId="77777777" w:rsidR="00DC5194" w:rsidRDefault="00DC519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6923" w14:textId="77777777" w:rsidR="00FE576E" w:rsidRDefault="00FE576E">
      <w:pPr>
        <w:spacing w:after="0" w:line="240" w:lineRule="auto"/>
      </w:pPr>
      <w:r>
        <w:separator/>
      </w:r>
    </w:p>
  </w:footnote>
  <w:footnote w:type="continuationSeparator" w:id="0">
    <w:p w14:paraId="2D7DEF6F" w14:textId="77777777" w:rsidR="00FE576E" w:rsidRDefault="00FE576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ry">
    <w15:presenceInfo w15:providerId="None" w15:userId="clo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94"/>
    <w:rsid w:val="00017EC3"/>
    <w:rsid w:val="000A7BA1"/>
    <w:rsid w:val="000E368D"/>
    <w:rsid w:val="000F4F71"/>
    <w:rsid w:val="00157AE6"/>
    <w:rsid w:val="001B565B"/>
    <w:rsid w:val="001F5165"/>
    <w:rsid w:val="002D4BB1"/>
    <w:rsid w:val="002D4C19"/>
    <w:rsid w:val="003002E5"/>
    <w:rsid w:val="003523BC"/>
    <w:rsid w:val="003B10E8"/>
    <w:rsid w:val="003C080B"/>
    <w:rsid w:val="00423E51"/>
    <w:rsid w:val="0044045A"/>
    <w:rsid w:val="00495966"/>
    <w:rsid w:val="0050529B"/>
    <w:rsid w:val="00505EA1"/>
    <w:rsid w:val="00542661"/>
    <w:rsid w:val="00597527"/>
    <w:rsid w:val="005A0AB3"/>
    <w:rsid w:val="00600711"/>
    <w:rsid w:val="00640E2A"/>
    <w:rsid w:val="006924D0"/>
    <w:rsid w:val="006979FD"/>
    <w:rsid w:val="006E6440"/>
    <w:rsid w:val="0072342A"/>
    <w:rsid w:val="00777C1A"/>
    <w:rsid w:val="00804FBA"/>
    <w:rsid w:val="00855892"/>
    <w:rsid w:val="008E32E2"/>
    <w:rsid w:val="00915E2E"/>
    <w:rsid w:val="00924430"/>
    <w:rsid w:val="00992FDF"/>
    <w:rsid w:val="009F092F"/>
    <w:rsid w:val="00A127B7"/>
    <w:rsid w:val="00AF0DAA"/>
    <w:rsid w:val="00B02CB8"/>
    <w:rsid w:val="00B61658"/>
    <w:rsid w:val="00B64358"/>
    <w:rsid w:val="00B9146F"/>
    <w:rsid w:val="00C20C41"/>
    <w:rsid w:val="00D02A5E"/>
    <w:rsid w:val="00D678AF"/>
    <w:rsid w:val="00DC5194"/>
    <w:rsid w:val="00E94A3C"/>
    <w:rsid w:val="00ED25E4"/>
    <w:rsid w:val="00EE0AE9"/>
    <w:rsid w:val="00F074C1"/>
    <w:rsid w:val="00F47091"/>
    <w:rsid w:val="00F71101"/>
    <w:rsid w:val="00F87F57"/>
    <w:rsid w:val="00F974DF"/>
    <w:rsid w:val="00FE5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D9453"/>
  <w15:docId w15:val="{2FD9B6BC-6D8F-4CD0-980D-57D0ADF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C48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8C3"/>
    <w:rPr>
      <w:rFonts w:ascii="Segoe UI" w:hAnsi="Segoe UI" w:cs="Segoe UI"/>
      <w:sz w:val="18"/>
      <w:szCs w:val="18"/>
      <w:lang w:val="en-US"/>
    </w:rPr>
  </w:style>
  <w:style w:type="character" w:styleId="Marquedecommentaire">
    <w:name w:val="annotation reference"/>
    <w:basedOn w:val="Policepardfaut"/>
    <w:uiPriority w:val="99"/>
    <w:semiHidden/>
    <w:unhideWhenUsed/>
    <w:rsid w:val="009C48C3"/>
    <w:rPr>
      <w:sz w:val="16"/>
      <w:szCs w:val="16"/>
    </w:rPr>
  </w:style>
  <w:style w:type="paragraph" w:styleId="Commentaire">
    <w:name w:val="annotation text"/>
    <w:basedOn w:val="Normal"/>
    <w:link w:val="CommentaireCar"/>
    <w:uiPriority w:val="99"/>
    <w:unhideWhenUsed/>
    <w:rsid w:val="009C48C3"/>
    <w:pPr>
      <w:spacing w:after="20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9C48C3"/>
    <w:rPr>
      <w:rFonts w:ascii="Times New Roman" w:eastAsia="Times New Roman" w:hAnsi="Times New Roman" w:cs="Times New Roman"/>
      <w:sz w:val="20"/>
      <w:szCs w:val="20"/>
      <w:lang w:val="en-US"/>
    </w:rPr>
  </w:style>
  <w:style w:type="paragraph" w:styleId="Lgende">
    <w:name w:val="caption"/>
    <w:basedOn w:val="Normal"/>
    <w:next w:val="Normal"/>
    <w:uiPriority w:val="35"/>
    <w:unhideWhenUsed/>
    <w:qFormat/>
    <w:rsid w:val="00544396"/>
    <w:pPr>
      <w:spacing w:after="200" w:line="240" w:lineRule="auto"/>
      <w:jc w:val="center"/>
    </w:pPr>
    <w:rPr>
      <w:rFonts w:ascii="Times New Roman" w:eastAsia="Times New Roman" w:hAnsi="Times New Roman" w:cs="Times New Roman"/>
      <w:b/>
      <w:bCs/>
      <w:sz w:val="24"/>
      <w:szCs w:val="24"/>
    </w:rPr>
  </w:style>
  <w:style w:type="table" w:styleId="Tableausimple2">
    <w:name w:val="Plain Table 2"/>
    <w:basedOn w:val="TableauNormal"/>
    <w:uiPriority w:val="42"/>
    <w:rsid w:val="005443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utableau">
    <w:name w:val="Table Grid"/>
    <w:basedOn w:val="TableauNormal"/>
    <w:uiPriority w:val="39"/>
    <w:rsid w:val="00833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354F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01A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4563C"/>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0"/>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ttedetabledesmatires">
    <w:name w:val="TOC Heading"/>
    <w:basedOn w:val="Titre1"/>
    <w:next w:val="Normal"/>
    <w:uiPriority w:val="39"/>
    <w:unhideWhenUsed/>
    <w:qFormat/>
    <w:rsid w:val="00A6331D"/>
    <w:pPr>
      <w:spacing w:before="240" w:after="0"/>
      <w:outlineLvl w:val="9"/>
    </w:pPr>
    <w:rPr>
      <w:rFonts w:asciiTheme="majorHAnsi" w:eastAsiaTheme="majorEastAsia" w:hAnsiTheme="majorHAnsi" w:cstheme="majorBidi"/>
      <w:b w:val="0"/>
      <w:color w:val="2F5496" w:themeColor="accent1" w:themeShade="BF"/>
      <w:sz w:val="32"/>
      <w:szCs w:val="32"/>
      <w:lang w:val="fr-FR"/>
    </w:rPr>
  </w:style>
  <w:style w:type="paragraph" w:styleId="En-tte">
    <w:name w:val="header"/>
    <w:basedOn w:val="Normal"/>
    <w:link w:val="En-tteCar"/>
    <w:uiPriority w:val="99"/>
    <w:unhideWhenUsed/>
    <w:rsid w:val="00C33C97"/>
    <w:pPr>
      <w:tabs>
        <w:tab w:val="center" w:pos="4536"/>
        <w:tab w:val="right" w:pos="9072"/>
      </w:tabs>
      <w:spacing w:after="0" w:line="240" w:lineRule="auto"/>
    </w:pPr>
  </w:style>
  <w:style w:type="character" w:customStyle="1" w:styleId="En-tteCar">
    <w:name w:val="En-tête Car"/>
    <w:basedOn w:val="Policepardfaut"/>
    <w:link w:val="En-tte"/>
    <w:uiPriority w:val="99"/>
    <w:rsid w:val="00C33C97"/>
  </w:style>
  <w:style w:type="paragraph" w:styleId="Pieddepage">
    <w:name w:val="footer"/>
    <w:basedOn w:val="Normal"/>
    <w:link w:val="PieddepageCar"/>
    <w:uiPriority w:val="99"/>
    <w:unhideWhenUsed/>
    <w:rsid w:val="00C33C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C97"/>
  </w:style>
  <w:style w:type="character" w:customStyle="1" w:styleId="hgkelc">
    <w:name w:val="hgkelc"/>
    <w:basedOn w:val="Policepardfaut"/>
    <w:rsid w:val="0083573B"/>
  </w:style>
  <w:style w:type="paragraph" w:styleId="Paragraphedeliste">
    <w:name w:val="List Paragraph"/>
    <w:basedOn w:val="Normal"/>
    <w:uiPriority w:val="34"/>
    <w:qFormat/>
    <w:rsid w:val="00A05280"/>
    <w:pPr>
      <w:ind w:left="720"/>
      <w:contextualSpacing/>
    </w:pPr>
  </w:style>
  <w:style w:type="character" w:styleId="Textedelespacerserv">
    <w:name w:val="Placeholder Text"/>
    <w:basedOn w:val="Policepardfaut"/>
    <w:uiPriority w:val="99"/>
    <w:semiHidden/>
    <w:rsid w:val="00504726"/>
    <w:rPr>
      <w:color w:val="808080"/>
    </w:r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top w:w="15" w:type="dxa"/>
        <w:left w:w="70" w:type="dxa"/>
        <w:right w:w="70"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styleId="Rvision">
    <w:name w:val="Revision"/>
    <w:hidden/>
    <w:uiPriority w:val="99"/>
    <w:semiHidden/>
    <w:rsid w:val="00D02A5E"/>
    <w:pPr>
      <w:spacing w:after="0" w:line="240" w:lineRule="auto"/>
    </w:pPr>
  </w:style>
  <w:style w:type="paragraph" w:styleId="Objetducommentaire">
    <w:name w:val="annotation subject"/>
    <w:basedOn w:val="Commentaire"/>
    <w:next w:val="Commentaire"/>
    <w:link w:val="ObjetducommentaireCar"/>
    <w:uiPriority w:val="99"/>
    <w:semiHidden/>
    <w:unhideWhenUsed/>
    <w:rsid w:val="00D02A5E"/>
    <w:pPr>
      <w:spacing w:after="160"/>
      <w:jc w:val="left"/>
    </w:pPr>
    <w:rPr>
      <w:rFonts w:ascii="Calibri" w:eastAsia="Calibri" w:hAnsi="Calibri" w:cs="Calibri"/>
      <w:b/>
      <w:bCs/>
    </w:rPr>
  </w:style>
  <w:style w:type="character" w:customStyle="1" w:styleId="ObjetducommentaireCar">
    <w:name w:val="Objet du commentaire Car"/>
    <w:basedOn w:val="CommentaireCar"/>
    <w:link w:val="Objetducommentaire"/>
    <w:uiPriority w:val="99"/>
    <w:semiHidden/>
    <w:rsid w:val="00D02A5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952">
      <w:bodyDiv w:val="1"/>
      <w:marLeft w:val="0"/>
      <w:marRight w:val="0"/>
      <w:marTop w:val="0"/>
      <w:marBottom w:val="0"/>
      <w:divBdr>
        <w:top w:val="none" w:sz="0" w:space="0" w:color="auto"/>
        <w:left w:val="none" w:sz="0" w:space="0" w:color="auto"/>
        <w:bottom w:val="none" w:sz="0" w:space="0" w:color="auto"/>
        <w:right w:val="none" w:sz="0" w:space="0" w:color="auto"/>
      </w:divBdr>
    </w:div>
    <w:div w:id="88101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ory\Desktop\Th&#232;se\55Fe\TONGA\data%2055Fe%20uptake%20TONGA.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84974261938189"/>
          <c:y val="3.6311765377153943E-2"/>
          <c:w val="0.70856131355673568"/>
          <c:h val="0.73637643120696872"/>
        </c:manualLayout>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1"/>
            <c:trendlineLbl>
              <c:layout>
                <c:manualLayout>
                  <c:x val="0.19336792203300168"/>
                  <c:y val="0.357341854007379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rendlineLbl>
          </c:trendline>
          <c:xVal>
            <c:numRef>
              <c:f>('Cell specific'!$Z$8,'Cell specific'!$Z$22:$Z$23,'Cell specific'!$Z$34)</c:f>
              <c:numCache>
                <c:formatCode>#,##0</c:formatCode>
                <c:ptCount val="4"/>
                <c:pt idx="0">
                  <c:v>146550</c:v>
                </c:pt>
                <c:pt idx="1">
                  <c:v>40513</c:v>
                </c:pt>
                <c:pt idx="2">
                  <c:v>80013</c:v>
                </c:pt>
                <c:pt idx="3">
                  <c:v>28258</c:v>
                </c:pt>
              </c:numCache>
            </c:numRef>
          </c:xVal>
          <c:yVal>
            <c:numRef>
              <c:f>('Cell specific'!$AG$8,'Cell specific'!$AG$22:$AG$23,'Cell specific'!$AG$34)</c:f>
              <c:numCache>
                <c:formatCode>0</c:formatCode>
                <c:ptCount val="4"/>
                <c:pt idx="0">
                  <c:v>333.74333333333334</c:v>
                </c:pt>
                <c:pt idx="1">
                  <c:v>128.51999999999998</c:v>
                </c:pt>
                <c:pt idx="2">
                  <c:v>192.62666666666667</c:v>
                </c:pt>
                <c:pt idx="3">
                  <c:v>108.40333333333332</c:v>
                </c:pt>
              </c:numCache>
            </c:numRef>
          </c:yVal>
          <c:smooth val="0"/>
          <c:extLst>
            <c:ext xmlns:c16="http://schemas.microsoft.com/office/drawing/2014/chart" uri="{C3380CC4-5D6E-409C-BE32-E72D297353CC}">
              <c16:uniqueId val="{00000003-26B4-4519-A807-468C1642DAED}"/>
            </c:ext>
          </c:extLst>
        </c:ser>
        <c:dLbls>
          <c:showLegendKey val="0"/>
          <c:showVal val="0"/>
          <c:showCatName val="0"/>
          <c:showSerName val="0"/>
          <c:showPercent val="0"/>
          <c:showBubbleSize val="0"/>
        </c:dLbls>
        <c:axId val="203786656"/>
        <c:axId val="1958503696"/>
      </c:scatterChart>
      <c:valAx>
        <c:axId val="203786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a:t>Number of cells sorted</a:t>
                </a:r>
              </a:p>
            </c:rich>
          </c:tx>
          <c:layout>
            <c:manualLayout>
              <c:xMode val="edge"/>
              <c:yMode val="edge"/>
              <c:x val="0.3561219688176428"/>
              <c:y val="0.900386351706036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1958503696"/>
        <c:crosses val="autoZero"/>
        <c:crossBetween val="midCat"/>
      </c:valAx>
      <c:valAx>
        <c:axId val="1958503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FR"/>
                  <a:t>dpm</a:t>
                </a:r>
              </a:p>
            </c:rich>
          </c:tx>
          <c:layout>
            <c:manualLayout>
              <c:xMode val="edge"/>
              <c:yMode val="edge"/>
              <c:x val="3.3628354595210482E-3"/>
              <c:y val="0.34798483522892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037866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7WH9TtAmapjA8wcY6cNiu838A==">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</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284BC3-AE10-CB4A-B5C9-B81F4DF9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7900</Words>
  <Characters>43452</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clory</dc:creator>
  <cp:lastModifiedBy>clory</cp:lastModifiedBy>
  <cp:revision>2</cp:revision>
  <dcterms:created xsi:type="dcterms:W3CDTF">2022-04-06T20:25:00Z</dcterms:created>
  <dcterms:modified xsi:type="dcterms:W3CDTF">2022-04-06T20:25:00Z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23d805d7-9b78-3c6a-8cdd-d4708cefa2b4</vt:lpwstr>
  </property>
  <property fmtid="{D5CDD505-2E9C-101B-9397-08002B2CF9AE}" pid="24" name="Mendeley Citation Style_1">
    <vt:lpwstr>http://www.zotero.org/styles/vancouver</vt:lpwstr>
  </property>
</Properties>
</file>