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A6263" w14:textId="635A58F5" w:rsidR="00DF7FB1" w:rsidRPr="003B2AF4" w:rsidRDefault="00DF7FB1" w:rsidP="00DF7FB1">
      <w:pPr>
        <w:keepNext/>
        <w:keepLines/>
        <w:spacing w:before="240" w:after="0"/>
        <w:rPr>
          <w:rFonts w:ascii="Arial" w:eastAsia="Times New Roman" w:hAnsi="Arial" w:cs="Arial"/>
          <w:caps/>
          <w:sz w:val="24"/>
          <w:szCs w:val="24"/>
          <w:lang w:val="en-CA" w:eastAsia="ar-SA"/>
        </w:rPr>
      </w:pPr>
      <w:bookmarkStart w:id="0" w:name="_Hlk89343170"/>
      <w:bookmarkStart w:id="1" w:name="_Hlk89774564"/>
      <w:r w:rsidRPr="003B2AF4">
        <w:rPr>
          <w:rFonts w:ascii="Arial" w:eastAsia="Times New Roman" w:hAnsi="Arial" w:cs="Arial"/>
          <w:caps/>
          <w:sz w:val="24"/>
          <w:szCs w:val="24"/>
          <w:lang w:val="en-CA" w:eastAsia="ar-SA"/>
        </w:rPr>
        <w:t>Exploring South African Pacific Oyster Mariculture Potential through combined Earth Observation and Bioenergetics Modelling</w:t>
      </w:r>
      <w:bookmarkEnd w:id="0"/>
    </w:p>
    <w:p w14:paraId="355E6DAB" w14:textId="4090F05C" w:rsidR="00DF7FB1" w:rsidRPr="003B2AF4" w:rsidRDefault="00DF7FB1" w:rsidP="001D22F9">
      <w:pPr>
        <w:keepNext/>
        <w:keepLines/>
        <w:spacing w:before="240" w:after="0" w:line="360" w:lineRule="auto"/>
        <w:rPr>
          <w:rFonts w:ascii="Arial" w:eastAsia="Arial" w:hAnsi="Arial" w:cs="Arial"/>
          <w:bCs/>
          <w:color w:val="000000"/>
          <w:sz w:val="24"/>
          <w:szCs w:val="24"/>
        </w:rPr>
      </w:pPr>
      <w:r w:rsidRPr="003B2AF4">
        <w:rPr>
          <w:rFonts w:ascii="Arial" w:eastAsia="Arial" w:hAnsi="Arial" w:cs="Arial"/>
          <w:bCs/>
          <w:color w:val="000000"/>
          <w:sz w:val="24"/>
          <w:szCs w:val="24"/>
        </w:rPr>
        <w:t>Corresponding author: Amalia Grace Krupandan (amalia.krupandan@stir.ac.uk)</w:t>
      </w:r>
    </w:p>
    <w:bookmarkEnd w:id="1"/>
    <w:p w14:paraId="78EB8EDF" w14:textId="1C138EEA" w:rsidR="001D22F9" w:rsidRPr="003B2AF4" w:rsidRDefault="00FE140B" w:rsidP="001D22F9">
      <w:pPr>
        <w:keepNext/>
        <w:keepLines/>
        <w:spacing w:before="240" w:after="0" w:line="360" w:lineRule="auto"/>
        <w:rPr>
          <w:rFonts w:ascii="Arial" w:eastAsia="Arial" w:hAnsi="Arial" w:cs="Arial"/>
          <w:b/>
          <w:color w:val="000000"/>
          <w:sz w:val="24"/>
          <w:szCs w:val="24"/>
        </w:rPr>
      </w:pPr>
      <w:r w:rsidRPr="003B2AF4">
        <w:rPr>
          <w:rFonts w:ascii="Arial" w:eastAsia="Arial" w:hAnsi="Arial" w:cs="Arial"/>
          <w:b/>
          <w:color w:val="000000"/>
          <w:sz w:val="24"/>
          <w:szCs w:val="24"/>
        </w:rPr>
        <w:t xml:space="preserve">Appendix </w:t>
      </w:r>
      <w:r w:rsidRPr="003B2AF4">
        <w:rPr>
          <w:rFonts w:ascii="Arial" w:eastAsia="Arial" w:hAnsi="Arial" w:cs="Arial"/>
          <w:b/>
          <w:sz w:val="24"/>
          <w:szCs w:val="24"/>
        </w:rPr>
        <w:t>A</w:t>
      </w:r>
      <w:r w:rsidRPr="003B2AF4">
        <w:rPr>
          <w:rFonts w:ascii="Arial" w:eastAsia="Arial" w:hAnsi="Arial" w:cs="Arial"/>
          <w:b/>
          <w:color w:val="000000"/>
          <w:sz w:val="24"/>
          <w:szCs w:val="24"/>
        </w:rPr>
        <w:t>: Methods</w:t>
      </w:r>
    </w:p>
    <w:p w14:paraId="241A24A3" w14:textId="77777777" w:rsidR="00FE140B" w:rsidRPr="003B2AF4" w:rsidRDefault="00FE140B" w:rsidP="001D22F9">
      <w:pPr>
        <w:spacing w:line="360" w:lineRule="auto"/>
        <w:rPr>
          <w:rFonts w:ascii="Arial" w:eastAsia="Arial" w:hAnsi="Arial" w:cs="Arial"/>
          <w:b/>
          <w:sz w:val="24"/>
          <w:szCs w:val="24"/>
        </w:rPr>
      </w:pPr>
      <w:r w:rsidRPr="003B2AF4">
        <w:rPr>
          <w:rFonts w:ascii="Arial" w:eastAsia="Arial" w:hAnsi="Arial" w:cs="Arial"/>
          <w:b/>
          <w:sz w:val="24"/>
          <w:szCs w:val="24"/>
        </w:rPr>
        <w:t>Model Description (detail)</w:t>
      </w:r>
    </w:p>
    <w:p w14:paraId="19FC3F09" w14:textId="606A5E18" w:rsidR="00FE140B" w:rsidRPr="003B2AF4" w:rsidRDefault="00FE140B" w:rsidP="001D22F9">
      <w:pPr>
        <w:spacing w:line="360" w:lineRule="auto"/>
        <w:rPr>
          <w:rFonts w:ascii="Arial" w:eastAsia="Arial" w:hAnsi="Arial" w:cs="Arial"/>
          <w:sz w:val="24"/>
          <w:szCs w:val="24"/>
        </w:rPr>
      </w:pPr>
      <w:r w:rsidRPr="003B2AF4">
        <w:rPr>
          <w:rFonts w:ascii="Arial" w:eastAsia="Arial" w:hAnsi="Arial" w:cs="Arial"/>
          <w:sz w:val="24"/>
          <w:szCs w:val="24"/>
        </w:rPr>
        <w:t xml:space="preserve">Food-derived energy is first converted to the Energy Reserves (E), and is expressed through the ingestion, </w:t>
      </w:r>
      <w:r w:rsidR="001D22F9" w:rsidRPr="003B2AF4">
        <w:rPr>
          <w:rFonts w:ascii="Arial" w:eastAsia="Arial" w:hAnsi="Arial" w:cs="Arial"/>
          <w:sz w:val="24"/>
          <w:szCs w:val="24"/>
        </w:rPr>
        <w:t>digestion,</w:t>
      </w:r>
      <w:r w:rsidRPr="003B2AF4">
        <w:rPr>
          <w:rFonts w:ascii="Arial" w:eastAsia="Arial" w:hAnsi="Arial" w:cs="Arial"/>
          <w:sz w:val="24"/>
          <w:szCs w:val="24"/>
        </w:rPr>
        <w:t xml:space="preserve"> and assimilation rates. The ingestion rate is dependent on surface area and temperature, as temperatures above 19 degrees have been shown to minimise the oyster’s clearance rate (Bourlès </w:t>
      </w:r>
      <w:r w:rsidRPr="003B2AF4">
        <w:rPr>
          <w:rFonts w:ascii="Arial" w:eastAsia="Arial" w:hAnsi="Arial" w:cs="Arial"/>
          <w:i/>
          <w:sz w:val="24"/>
          <w:szCs w:val="24"/>
        </w:rPr>
        <w:t>et al</w:t>
      </w:r>
      <w:r w:rsidRPr="003B2AF4">
        <w:rPr>
          <w:rFonts w:ascii="Arial" w:eastAsia="Arial" w:hAnsi="Arial" w:cs="Arial"/>
          <w:sz w:val="24"/>
          <w:szCs w:val="24"/>
        </w:rPr>
        <w:t>. 2009). Ingestion rate is also regulated by a functional response, which in turn is influenced by the food availability and the half-saturation coefficient (X</w:t>
      </w:r>
      <w:r w:rsidRPr="003B2AF4">
        <w:rPr>
          <w:rFonts w:ascii="Arial" w:eastAsia="Arial" w:hAnsi="Arial" w:cs="Arial"/>
          <w:sz w:val="24"/>
          <w:szCs w:val="24"/>
          <w:vertAlign w:val="subscript"/>
        </w:rPr>
        <w:t>k</w:t>
      </w:r>
      <w:r w:rsidRPr="003B2AF4">
        <w:rPr>
          <w:rFonts w:ascii="Arial" w:eastAsia="Arial" w:hAnsi="Arial" w:cs="Arial"/>
          <w:sz w:val="24"/>
          <w:szCs w:val="24"/>
        </w:rPr>
        <w:t xml:space="preserve">). This coefficient is ecosystem-specific and </w:t>
      </w:r>
      <w:r w:rsidR="001D22F9" w:rsidRPr="003B2AF4">
        <w:rPr>
          <w:rFonts w:ascii="Arial" w:eastAsia="Arial" w:hAnsi="Arial" w:cs="Arial"/>
          <w:sz w:val="24"/>
          <w:szCs w:val="24"/>
        </w:rPr>
        <w:t>must</w:t>
      </w:r>
      <w:r w:rsidRPr="003B2AF4">
        <w:rPr>
          <w:rFonts w:ascii="Arial" w:eastAsia="Arial" w:hAnsi="Arial" w:cs="Arial"/>
          <w:sz w:val="24"/>
          <w:szCs w:val="24"/>
        </w:rPr>
        <w:t xml:space="preserve"> be ascertained through calibration of the model for each locality. </w:t>
      </w:r>
    </w:p>
    <w:p w14:paraId="7D0AEA1F" w14:textId="4C9B64D3" w:rsidR="00FE140B" w:rsidRPr="003B2AF4" w:rsidRDefault="00FE140B" w:rsidP="001D22F9">
      <w:pPr>
        <w:spacing w:line="360" w:lineRule="auto"/>
        <w:rPr>
          <w:rFonts w:ascii="Arial" w:eastAsia="Arial" w:hAnsi="Arial" w:cs="Arial"/>
          <w:sz w:val="24"/>
          <w:szCs w:val="24"/>
        </w:rPr>
      </w:pPr>
      <w:r w:rsidRPr="003B2AF4">
        <w:rPr>
          <w:rFonts w:ascii="Arial" w:eastAsia="Arial" w:hAnsi="Arial" w:cs="Arial"/>
          <w:sz w:val="24"/>
          <w:szCs w:val="24"/>
        </w:rPr>
        <w:t>Energy in E is then diverted to 2 different paths. An invariable fraction of this energy (K) is allocated to structural growth and maintenance (V), while the remainder (1-K) is allocated to maturation/reproductive growth and maintenance (E</w:t>
      </w:r>
      <w:r w:rsidRPr="003B2AF4">
        <w:rPr>
          <w:rFonts w:ascii="Arial" w:eastAsia="Arial" w:hAnsi="Arial" w:cs="Arial"/>
          <w:sz w:val="24"/>
          <w:szCs w:val="24"/>
          <w:vertAlign w:val="subscript"/>
        </w:rPr>
        <w:t>R</w:t>
      </w:r>
      <w:r w:rsidRPr="003B2AF4">
        <w:rPr>
          <w:rFonts w:ascii="Arial" w:eastAsia="Arial" w:hAnsi="Arial" w:cs="Arial"/>
          <w:sz w:val="24"/>
          <w:szCs w:val="24"/>
        </w:rPr>
        <w:t>). Based on the gamete mobilisation and allocation rates, some of this remainder is allocated to gonad construction (E</w:t>
      </w:r>
      <w:r w:rsidRPr="003B2AF4">
        <w:rPr>
          <w:rFonts w:ascii="Arial" w:eastAsia="Arial" w:hAnsi="Arial" w:cs="Arial"/>
          <w:sz w:val="24"/>
          <w:szCs w:val="24"/>
          <w:vertAlign w:val="subscript"/>
        </w:rPr>
        <w:t>GO</w:t>
      </w:r>
      <w:r w:rsidRPr="003B2AF4">
        <w:rPr>
          <w:rFonts w:ascii="Arial" w:eastAsia="Arial" w:hAnsi="Arial" w:cs="Arial"/>
          <w:sz w:val="24"/>
          <w:szCs w:val="24"/>
        </w:rPr>
        <w:t>). When food-derived energy is insufficient to support maintenance costs, energy allocated to growth is diverted to maintenance, leading to shrinkage in volume. Growth energy is first diverted from E</w:t>
      </w:r>
      <w:r w:rsidRPr="003B2AF4">
        <w:rPr>
          <w:rFonts w:ascii="Arial" w:eastAsia="Arial" w:hAnsi="Arial" w:cs="Arial"/>
          <w:sz w:val="24"/>
          <w:szCs w:val="24"/>
          <w:vertAlign w:val="subscript"/>
        </w:rPr>
        <w:t>GO</w:t>
      </w:r>
      <w:r w:rsidRPr="003B2AF4">
        <w:rPr>
          <w:rFonts w:ascii="Arial" w:eastAsia="Arial" w:hAnsi="Arial" w:cs="Arial"/>
          <w:sz w:val="24"/>
          <w:szCs w:val="24"/>
        </w:rPr>
        <w:t xml:space="preserve"> (through gamete resorption), then ER (through gonad degeneration) and finally from V as structure deteriorates. All metabolic rates are influenced by temperature, with increases occurring at higher temperatures, as described by the Arrhenius equation (Bourlès </w:t>
      </w:r>
      <w:r w:rsidRPr="003B2AF4">
        <w:rPr>
          <w:rFonts w:ascii="Arial" w:eastAsia="Arial" w:hAnsi="Arial" w:cs="Arial"/>
          <w:i/>
          <w:sz w:val="24"/>
          <w:szCs w:val="24"/>
        </w:rPr>
        <w:t xml:space="preserve">et al. </w:t>
      </w:r>
      <w:r w:rsidRPr="003B2AF4">
        <w:rPr>
          <w:rFonts w:ascii="Arial" w:eastAsia="Arial" w:hAnsi="Arial" w:cs="Arial"/>
          <w:sz w:val="24"/>
          <w:szCs w:val="24"/>
        </w:rPr>
        <w:t>2009).</w:t>
      </w:r>
    </w:p>
    <w:p w14:paraId="26C4ADC3" w14:textId="77777777" w:rsidR="00FE140B" w:rsidRPr="003B2AF4" w:rsidRDefault="00FE140B" w:rsidP="001D22F9">
      <w:pPr>
        <w:spacing w:line="360" w:lineRule="auto"/>
        <w:rPr>
          <w:rFonts w:ascii="Arial" w:hAnsi="Arial" w:cs="Arial"/>
          <w:b/>
          <w:sz w:val="24"/>
          <w:szCs w:val="24"/>
        </w:rPr>
      </w:pPr>
    </w:p>
    <w:p w14:paraId="624AC71D" w14:textId="77777777" w:rsidR="00FE140B" w:rsidRPr="003B2AF4" w:rsidRDefault="00FE140B" w:rsidP="001D22F9">
      <w:pPr>
        <w:spacing w:line="360" w:lineRule="auto"/>
        <w:rPr>
          <w:rFonts w:ascii="Arial" w:hAnsi="Arial" w:cs="Arial"/>
          <w:b/>
          <w:sz w:val="24"/>
          <w:szCs w:val="24"/>
        </w:rPr>
      </w:pPr>
    </w:p>
    <w:p w14:paraId="69C582FE" w14:textId="77777777" w:rsidR="00FE140B" w:rsidRPr="003B2AF4" w:rsidRDefault="00FE140B" w:rsidP="001D22F9">
      <w:pPr>
        <w:spacing w:line="360" w:lineRule="auto"/>
        <w:jc w:val="center"/>
        <w:rPr>
          <w:rFonts w:ascii="Arial" w:hAnsi="Arial" w:cs="Arial"/>
          <w:sz w:val="24"/>
          <w:szCs w:val="24"/>
        </w:rPr>
      </w:pPr>
      <w:r w:rsidRPr="003B2AF4">
        <w:rPr>
          <w:rFonts w:ascii="Arial" w:hAnsi="Arial" w:cs="Arial"/>
          <w:noProof/>
          <w:sz w:val="24"/>
          <w:szCs w:val="24"/>
          <w:lang w:val="fr-FR" w:eastAsia="fr-FR"/>
        </w:rPr>
        <w:lastRenderedPageBreak/>
        <w:drawing>
          <wp:inline distT="0" distB="0" distL="0" distR="0" wp14:anchorId="43AD275A" wp14:editId="64CB9337">
            <wp:extent cx="5760410" cy="5740400"/>
            <wp:effectExtent l="12700" t="12700" r="12700" b="12700"/>
            <wp:docPr id="124" name="image7.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24" name="image7.png" descr="Diagram&#10;&#10;Description automatically generated"/>
                    <pic:cNvPicPr preferRelativeResize="0"/>
                  </pic:nvPicPr>
                  <pic:blipFill>
                    <a:blip r:embed="rId4"/>
                    <a:srcRect l="-3699" t="-5268" r="-8464" b="-3034"/>
                    <a:stretch>
                      <a:fillRect/>
                    </a:stretch>
                  </pic:blipFill>
                  <pic:spPr>
                    <a:xfrm>
                      <a:off x="0" y="0"/>
                      <a:ext cx="5760410" cy="5740400"/>
                    </a:xfrm>
                    <a:prstGeom prst="rect">
                      <a:avLst/>
                    </a:prstGeom>
                    <a:ln w="12700">
                      <a:solidFill>
                        <a:srgbClr val="B7B7B7"/>
                      </a:solidFill>
                      <a:prstDash val="solid"/>
                    </a:ln>
                  </pic:spPr>
                </pic:pic>
              </a:graphicData>
            </a:graphic>
          </wp:inline>
        </w:drawing>
      </w:r>
    </w:p>
    <w:p w14:paraId="593F33D9" w14:textId="680D3DAC" w:rsidR="00FE140B" w:rsidRPr="003B2AF4" w:rsidRDefault="00FE140B" w:rsidP="001D22F9">
      <w:pPr>
        <w:spacing w:line="360" w:lineRule="auto"/>
        <w:rPr>
          <w:rFonts w:ascii="Arial" w:hAnsi="Arial" w:cs="Arial"/>
          <w:iCs/>
          <w:sz w:val="24"/>
          <w:szCs w:val="24"/>
        </w:rPr>
      </w:pPr>
      <w:r w:rsidRPr="003B2AF4">
        <w:rPr>
          <w:rFonts w:ascii="Arial" w:eastAsia="Arial" w:hAnsi="Arial" w:cs="Arial"/>
          <w:iCs/>
          <w:sz w:val="24"/>
          <w:szCs w:val="24"/>
        </w:rPr>
        <w:t>Figure A1: Schematic of the Pacific oyster DEB model, describing the transfer of energy through the state variables (E, V, E</w:t>
      </w:r>
      <w:r w:rsidRPr="003B2AF4">
        <w:rPr>
          <w:rFonts w:ascii="Arial" w:eastAsia="Arial" w:hAnsi="Arial" w:cs="Arial"/>
          <w:iCs/>
          <w:sz w:val="24"/>
          <w:szCs w:val="24"/>
          <w:vertAlign w:val="subscript"/>
        </w:rPr>
        <w:t>R</w:t>
      </w:r>
      <w:r w:rsidRPr="003B2AF4">
        <w:rPr>
          <w:rFonts w:ascii="Arial" w:eastAsia="Arial" w:hAnsi="Arial" w:cs="Arial"/>
          <w:iCs/>
          <w:sz w:val="24"/>
          <w:szCs w:val="24"/>
        </w:rPr>
        <w:t xml:space="preserve"> and E</w:t>
      </w:r>
      <w:r w:rsidRPr="003B2AF4">
        <w:rPr>
          <w:rFonts w:ascii="Arial" w:eastAsia="Arial" w:hAnsi="Arial" w:cs="Arial"/>
          <w:iCs/>
          <w:sz w:val="24"/>
          <w:szCs w:val="24"/>
          <w:vertAlign w:val="subscript"/>
        </w:rPr>
        <w:t>GO</w:t>
      </w:r>
      <w:r w:rsidRPr="003B2AF4">
        <w:rPr>
          <w:rFonts w:ascii="Arial" w:eastAsia="Arial" w:hAnsi="Arial" w:cs="Arial"/>
          <w:iCs/>
          <w:sz w:val="24"/>
          <w:szCs w:val="24"/>
        </w:rPr>
        <w:t xml:space="preserve">). Forcing variables (Temperature and Food) are indicated in round-edged </w:t>
      </w:r>
      <w:r w:rsidR="002B17EB" w:rsidRPr="003B2AF4">
        <w:rPr>
          <w:rFonts w:ascii="Arial" w:eastAsia="Arial" w:hAnsi="Arial" w:cs="Arial"/>
          <w:iCs/>
          <w:sz w:val="24"/>
          <w:szCs w:val="24"/>
        </w:rPr>
        <w:t>rectangles.</w:t>
      </w:r>
      <w:r w:rsidRPr="003B2AF4">
        <w:rPr>
          <w:rFonts w:ascii="Arial" w:eastAsia="Arial" w:hAnsi="Arial" w:cs="Arial"/>
          <w:iCs/>
          <w:sz w:val="24"/>
          <w:szCs w:val="24"/>
        </w:rPr>
        <w:t xml:space="preserve"> Physiological processes are indicated in blue ovals. Rates are depicted in grey. Solid lines represent growth, and dashed lines shrinkage. Based on Thomas et al. (2016) and Bourlès et al. (2009)</w:t>
      </w:r>
      <w:r w:rsidR="002B17EB" w:rsidRPr="003B2AF4">
        <w:rPr>
          <w:rFonts w:ascii="Arial" w:eastAsia="Arial" w:hAnsi="Arial" w:cs="Arial"/>
          <w:iCs/>
          <w:sz w:val="24"/>
          <w:szCs w:val="24"/>
        </w:rPr>
        <w:t xml:space="preserve">. </w:t>
      </w:r>
      <w:r w:rsidRPr="003B2AF4">
        <w:rPr>
          <w:rFonts w:ascii="Arial" w:hAnsi="Arial" w:cs="Arial"/>
          <w:iCs/>
          <w:sz w:val="24"/>
          <w:szCs w:val="24"/>
        </w:rPr>
        <w:br w:type="page"/>
      </w:r>
    </w:p>
    <w:p w14:paraId="68B4E30C" w14:textId="77777777" w:rsidR="00FE140B" w:rsidRPr="003B2AF4" w:rsidRDefault="00FE140B" w:rsidP="001D22F9">
      <w:pPr>
        <w:spacing w:line="360" w:lineRule="auto"/>
        <w:jc w:val="both"/>
        <w:rPr>
          <w:rFonts w:ascii="Arial" w:hAnsi="Arial" w:cs="Arial"/>
          <w:sz w:val="24"/>
          <w:szCs w:val="24"/>
        </w:rPr>
      </w:pPr>
    </w:p>
    <w:p w14:paraId="7E772DAE" w14:textId="77777777" w:rsidR="00FE140B" w:rsidRPr="003B2AF4" w:rsidRDefault="00FE140B" w:rsidP="001D22F9">
      <w:pPr>
        <w:spacing w:line="360" w:lineRule="auto"/>
        <w:jc w:val="center"/>
        <w:rPr>
          <w:rFonts w:ascii="Arial" w:hAnsi="Arial" w:cs="Arial"/>
          <w:sz w:val="24"/>
          <w:szCs w:val="24"/>
        </w:rPr>
      </w:pPr>
      <w:r w:rsidRPr="003B2AF4">
        <w:rPr>
          <w:rFonts w:ascii="Arial" w:hAnsi="Arial" w:cs="Arial"/>
          <w:noProof/>
          <w:sz w:val="24"/>
          <w:szCs w:val="24"/>
          <w:lang w:val="fr-FR" w:eastAsia="fr-FR"/>
        </w:rPr>
        <w:drawing>
          <wp:inline distT="0" distB="0" distL="0" distR="0" wp14:anchorId="70DB97EB" wp14:editId="33FA1519">
            <wp:extent cx="4806950" cy="2454275"/>
            <wp:effectExtent l="19050" t="19050" r="12700" b="22225"/>
            <wp:docPr id="114" name="image1.png" descr="A picture containing chart&#10;&#10;Description automatically generated"/>
            <wp:cNvGraphicFramePr/>
            <a:graphic xmlns:a="http://schemas.openxmlformats.org/drawingml/2006/main">
              <a:graphicData uri="http://schemas.openxmlformats.org/drawingml/2006/picture">
                <pic:pic xmlns:pic="http://schemas.openxmlformats.org/drawingml/2006/picture">
                  <pic:nvPicPr>
                    <pic:cNvPr id="114" name="image1.png" descr="A picture containing chart&#10;&#10;Description automatically generated"/>
                    <pic:cNvPicPr preferRelativeResize="0"/>
                  </pic:nvPicPr>
                  <pic:blipFill>
                    <a:blip r:embed="rId5"/>
                    <a:srcRect l="-5960" t="-2368" r="-4535" b="-3279"/>
                    <a:stretch>
                      <a:fillRect/>
                    </a:stretch>
                  </pic:blipFill>
                  <pic:spPr>
                    <a:xfrm>
                      <a:off x="0" y="0"/>
                      <a:ext cx="4807224" cy="2454415"/>
                    </a:xfrm>
                    <a:prstGeom prst="rect">
                      <a:avLst/>
                    </a:prstGeom>
                    <a:ln w="12700">
                      <a:solidFill>
                        <a:srgbClr val="B7B7B7"/>
                      </a:solidFill>
                      <a:prstDash val="solid"/>
                    </a:ln>
                  </pic:spPr>
                </pic:pic>
              </a:graphicData>
            </a:graphic>
          </wp:inline>
        </w:drawing>
      </w:r>
    </w:p>
    <w:p w14:paraId="3D2062BF" w14:textId="5459E645" w:rsidR="00FE140B" w:rsidRPr="003B2AF4" w:rsidRDefault="00FE140B" w:rsidP="001D22F9">
      <w:pPr>
        <w:spacing w:line="360" w:lineRule="auto"/>
        <w:rPr>
          <w:rFonts w:ascii="Arial" w:eastAsia="Arial" w:hAnsi="Arial" w:cs="Arial"/>
          <w:iCs/>
          <w:sz w:val="24"/>
          <w:szCs w:val="24"/>
        </w:rPr>
      </w:pPr>
      <w:r w:rsidRPr="003B2AF4">
        <w:rPr>
          <w:rFonts w:ascii="Arial" w:eastAsia="Arial" w:hAnsi="Arial" w:cs="Arial"/>
          <w:iCs/>
          <w:sz w:val="24"/>
          <w:szCs w:val="24"/>
        </w:rPr>
        <w:t>Figure A2: Conceptual representation of the transformation of model outputs (DFM and TW) to industry relevant outputs, such as “</w:t>
      </w:r>
      <w:r w:rsidR="002B17EB" w:rsidRPr="003B2AF4">
        <w:rPr>
          <w:rFonts w:ascii="Arial" w:eastAsia="Arial" w:hAnsi="Arial" w:cs="Arial"/>
          <w:iCs/>
          <w:sz w:val="24"/>
          <w:szCs w:val="24"/>
        </w:rPr>
        <w:t>days</w:t>
      </w:r>
      <w:r w:rsidRPr="003B2AF4">
        <w:rPr>
          <w:rFonts w:ascii="Arial" w:eastAsia="Arial" w:hAnsi="Arial" w:cs="Arial"/>
          <w:iCs/>
          <w:sz w:val="24"/>
          <w:szCs w:val="24"/>
        </w:rPr>
        <w:t xml:space="preserve"> to commercial weight”, first described by Palmer et al. (2020)</w:t>
      </w:r>
      <w:r w:rsidR="002B17EB" w:rsidRPr="003B2AF4">
        <w:rPr>
          <w:rFonts w:ascii="Arial" w:eastAsia="Arial" w:hAnsi="Arial" w:cs="Arial"/>
          <w:iCs/>
          <w:sz w:val="24"/>
          <w:szCs w:val="24"/>
        </w:rPr>
        <w:t xml:space="preserve">. </w:t>
      </w:r>
      <w:r w:rsidRPr="003B2AF4">
        <w:rPr>
          <w:rFonts w:ascii="Arial" w:eastAsia="Arial" w:hAnsi="Arial" w:cs="Arial"/>
          <w:iCs/>
          <w:sz w:val="24"/>
          <w:szCs w:val="24"/>
        </w:rPr>
        <w:t>TW can be represented as a growth curve for the culture period, with a desired commercial weight indicated by i, and a corresponding date to reach this weight (ii) which is then converted to the number of days since the start of the culture period.</w:t>
      </w:r>
    </w:p>
    <w:p w14:paraId="6BD54AEF" w14:textId="77777777" w:rsidR="0007504A" w:rsidRPr="003B2AF4" w:rsidRDefault="0007504A" w:rsidP="0007504A">
      <w:pPr>
        <w:spacing w:line="360" w:lineRule="auto"/>
        <w:jc w:val="center"/>
        <w:rPr>
          <w:rFonts w:ascii="Arial" w:eastAsia="Arial" w:hAnsi="Arial" w:cs="Arial"/>
          <w:i/>
          <w:sz w:val="24"/>
          <w:szCs w:val="24"/>
        </w:rPr>
      </w:pPr>
      <w:r w:rsidRPr="003B2AF4">
        <w:rPr>
          <w:rFonts w:ascii="Arial" w:eastAsia="Arial" w:hAnsi="Arial" w:cs="Arial"/>
          <w:i/>
          <w:noProof/>
          <w:sz w:val="24"/>
          <w:szCs w:val="24"/>
          <w:lang w:val="fr-FR" w:eastAsia="fr-FR"/>
        </w:rPr>
        <w:drawing>
          <wp:inline distT="114300" distB="114300" distL="114300" distR="114300" wp14:anchorId="1150B7A8" wp14:editId="369FB45B">
            <wp:extent cx="5172075" cy="2724150"/>
            <wp:effectExtent l="0" t="0" r="9525" b="0"/>
            <wp:docPr id="122" name="image5.png" descr="Chart&#10;&#10;Description automatically generated"/>
            <wp:cNvGraphicFramePr/>
            <a:graphic xmlns:a="http://schemas.openxmlformats.org/drawingml/2006/main">
              <a:graphicData uri="http://schemas.openxmlformats.org/drawingml/2006/picture">
                <pic:pic xmlns:pic="http://schemas.openxmlformats.org/drawingml/2006/picture">
                  <pic:nvPicPr>
                    <pic:cNvPr id="122" name="image5.png" descr="Chart&#10;&#10;Description automatically generated"/>
                    <pic:cNvPicPr preferRelativeResize="0"/>
                  </pic:nvPicPr>
                  <pic:blipFill>
                    <a:blip r:embed="rId6"/>
                    <a:srcRect/>
                    <a:stretch>
                      <a:fillRect/>
                    </a:stretch>
                  </pic:blipFill>
                  <pic:spPr>
                    <a:xfrm>
                      <a:off x="0" y="0"/>
                      <a:ext cx="5172388" cy="2724315"/>
                    </a:xfrm>
                    <a:prstGeom prst="rect">
                      <a:avLst/>
                    </a:prstGeom>
                    <a:ln/>
                  </pic:spPr>
                </pic:pic>
              </a:graphicData>
            </a:graphic>
          </wp:inline>
        </w:drawing>
      </w:r>
    </w:p>
    <w:p w14:paraId="70A8A862" w14:textId="77777777" w:rsidR="0007504A" w:rsidRPr="003B2AF4" w:rsidRDefault="0007504A" w:rsidP="0007504A">
      <w:pPr>
        <w:spacing w:line="360" w:lineRule="auto"/>
        <w:jc w:val="both"/>
        <w:rPr>
          <w:rFonts w:ascii="Arial" w:eastAsia="Arial" w:hAnsi="Arial" w:cs="Arial"/>
          <w:iCs/>
          <w:sz w:val="24"/>
          <w:szCs w:val="24"/>
        </w:rPr>
      </w:pPr>
      <w:r w:rsidRPr="003B2AF4">
        <w:rPr>
          <w:rFonts w:ascii="Arial" w:eastAsia="Arial" w:hAnsi="Arial" w:cs="Arial"/>
          <w:iCs/>
          <w:sz w:val="24"/>
          <w:szCs w:val="24"/>
        </w:rPr>
        <w:t xml:space="preserve">Figure A3: Non-linear regression of TW and </w:t>
      </w:r>
      <w:r w:rsidRPr="003B2AF4">
        <w:rPr>
          <w:rFonts w:ascii="Arial" w:eastAsia="Arial" w:hAnsi="Arial" w:cs="Arial"/>
          <w:i/>
          <w:sz w:val="24"/>
          <w:szCs w:val="24"/>
        </w:rPr>
        <w:t>L</w:t>
      </w:r>
      <w:r w:rsidRPr="003B2AF4">
        <w:rPr>
          <w:rFonts w:ascii="Arial" w:eastAsia="Arial" w:hAnsi="Arial" w:cs="Arial"/>
          <w:iCs/>
          <w:sz w:val="24"/>
          <w:szCs w:val="24"/>
        </w:rPr>
        <w:t xml:space="preserve"> data from French localities with the aim of producing an equation in the format TW = x </w:t>
      </w:r>
      <w:r w:rsidRPr="003B2AF4">
        <w:rPr>
          <w:rFonts w:ascii="Arial" w:eastAsia="Arial" w:hAnsi="Arial" w:cs="Arial"/>
          <w:i/>
          <w:sz w:val="24"/>
          <w:szCs w:val="24"/>
        </w:rPr>
        <w:t>L</w:t>
      </w:r>
      <w:r w:rsidRPr="003B2AF4">
        <w:rPr>
          <w:rFonts w:ascii="Arial" w:eastAsia="Arial" w:hAnsi="Arial" w:cs="Arial"/>
          <w:iCs/>
          <w:sz w:val="24"/>
          <w:szCs w:val="24"/>
          <w:vertAlign w:val="superscript"/>
        </w:rPr>
        <w:t>3</w:t>
      </w:r>
      <w:r w:rsidRPr="003B2AF4">
        <w:rPr>
          <w:rFonts w:ascii="Arial" w:eastAsia="Arial" w:hAnsi="Arial" w:cs="Arial"/>
          <w:iCs/>
          <w:sz w:val="24"/>
          <w:szCs w:val="24"/>
        </w:rPr>
        <w:t xml:space="preserve"> to determine TW from Length. The resulting equation TW = 0.081</w:t>
      </w:r>
      <w:r w:rsidRPr="003B2AF4">
        <w:rPr>
          <w:rFonts w:ascii="Arial" w:eastAsia="Arial" w:hAnsi="Arial" w:cs="Arial"/>
          <w:i/>
          <w:sz w:val="24"/>
          <w:szCs w:val="24"/>
        </w:rPr>
        <w:t xml:space="preserve"> L</w:t>
      </w:r>
      <w:r w:rsidRPr="003B2AF4">
        <w:rPr>
          <w:rFonts w:ascii="Arial" w:eastAsia="Arial" w:hAnsi="Arial" w:cs="Arial"/>
          <w:i/>
          <w:sz w:val="24"/>
          <w:szCs w:val="24"/>
          <w:vertAlign w:val="superscript"/>
        </w:rPr>
        <w:t>3</w:t>
      </w:r>
      <w:r w:rsidRPr="003B2AF4">
        <w:rPr>
          <w:rFonts w:ascii="Arial" w:eastAsia="Arial" w:hAnsi="Arial" w:cs="Arial"/>
          <w:iCs/>
          <w:sz w:val="24"/>
          <w:szCs w:val="24"/>
        </w:rPr>
        <w:t xml:space="preserve"> was chosen for model post-application. Data source: RESCO REMORA database for 2010-2013 (Fleury et al. 2020).</w:t>
      </w:r>
    </w:p>
    <w:p w14:paraId="27F451F3" w14:textId="7CC7A885" w:rsidR="002B17EB" w:rsidRPr="003B2AF4" w:rsidRDefault="002B17EB" w:rsidP="001D22F9">
      <w:pPr>
        <w:spacing w:before="240" w:after="240" w:line="360" w:lineRule="auto"/>
        <w:rPr>
          <w:rFonts w:ascii="Arial" w:eastAsia="Arial" w:hAnsi="Arial" w:cs="Arial"/>
          <w:i/>
          <w:sz w:val="24"/>
          <w:szCs w:val="24"/>
        </w:rPr>
        <w:sectPr w:rsidR="002B17EB" w:rsidRPr="003B2AF4">
          <w:pgSz w:w="11906" w:h="16838"/>
          <w:pgMar w:top="1417" w:right="1417" w:bottom="1417" w:left="1417" w:header="708" w:footer="708" w:gutter="0"/>
          <w:cols w:space="720"/>
        </w:sectPr>
      </w:pPr>
    </w:p>
    <w:p w14:paraId="62F8934B" w14:textId="77777777" w:rsidR="00FE140B" w:rsidRPr="003B2AF4" w:rsidRDefault="00FE140B" w:rsidP="001D22F9">
      <w:pPr>
        <w:spacing w:before="240" w:after="240" w:line="360" w:lineRule="auto"/>
        <w:rPr>
          <w:rFonts w:ascii="Arial" w:eastAsia="Arial" w:hAnsi="Arial" w:cs="Arial"/>
          <w:iCs/>
          <w:sz w:val="24"/>
          <w:szCs w:val="24"/>
        </w:rPr>
      </w:pPr>
      <w:r w:rsidRPr="003B2AF4">
        <w:rPr>
          <w:rFonts w:ascii="Arial" w:eastAsia="Arial" w:hAnsi="Arial" w:cs="Arial"/>
          <w:iCs/>
          <w:sz w:val="24"/>
          <w:szCs w:val="24"/>
        </w:rPr>
        <w:lastRenderedPageBreak/>
        <w:t>Table A1: Oyster DEB Model parameters, based on previous studies by Thomas et al. 2016, Bernard et al. 2011, Bourlès et al. 2009, Pouvreau et al. 2006, and Van der Veer et al. 2006.</w:t>
      </w:r>
    </w:p>
    <w:tbl>
      <w:tblPr>
        <w:tblW w:w="9214" w:type="dxa"/>
        <w:tblLayout w:type="fixed"/>
        <w:tblLook w:val="0600" w:firstRow="0" w:lastRow="0" w:firstColumn="0" w:lastColumn="0" w:noHBand="1" w:noVBand="1"/>
      </w:tblPr>
      <w:tblGrid>
        <w:gridCol w:w="4529"/>
        <w:gridCol w:w="2275"/>
        <w:gridCol w:w="2410"/>
      </w:tblGrid>
      <w:tr w:rsidR="002B17EB" w:rsidRPr="003B2AF4" w14:paraId="31540547" w14:textId="77777777" w:rsidTr="003B2AF4">
        <w:trPr>
          <w:trHeight w:val="421"/>
        </w:trPr>
        <w:tc>
          <w:tcPr>
            <w:tcW w:w="4529" w:type="dxa"/>
            <w:tcBorders>
              <w:bottom w:val="single" w:sz="4" w:space="0" w:color="auto"/>
            </w:tcBorders>
            <w:tcMar>
              <w:top w:w="100" w:type="dxa"/>
              <w:left w:w="100" w:type="dxa"/>
              <w:bottom w:w="100" w:type="dxa"/>
              <w:right w:w="100" w:type="dxa"/>
            </w:tcMar>
          </w:tcPr>
          <w:p w14:paraId="7537910A" w14:textId="77777777" w:rsidR="00FE140B" w:rsidRPr="003B2AF4" w:rsidRDefault="00FE140B" w:rsidP="002B17EB">
            <w:pPr>
              <w:spacing w:after="0" w:line="240" w:lineRule="auto"/>
              <w:rPr>
                <w:rFonts w:ascii="Arial" w:eastAsia="Arial" w:hAnsi="Arial" w:cs="Arial"/>
                <w:b/>
                <w:iCs/>
                <w:sz w:val="24"/>
                <w:szCs w:val="24"/>
              </w:rPr>
            </w:pPr>
            <w:r w:rsidRPr="003B2AF4">
              <w:rPr>
                <w:rFonts w:ascii="Arial" w:eastAsia="Arial" w:hAnsi="Arial" w:cs="Arial"/>
                <w:b/>
                <w:iCs/>
                <w:sz w:val="24"/>
                <w:szCs w:val="24"/>
              </w:rPr>
              <w:t>Parameter (symbol)</w:t>
            </w:r>
          </w:p>
        </w:tc>
        <w:tc>
          <w:tcPr>
            <w:tcW w:w="2275" w:type="dxa"/>
            <w:tcBorders>
              <w:bottom w:val="single" w:sz="4" w:space="0" w:color="auto"/>
            </w:tcBorders>
            <w:tcMar>
              <w:top w:w="100" w:type="dxa"/>
              <w:left w:w="100" w:type="dxa"/>
              <w:bottom w:w="100" w:type="dxa"/>
              <w:right w:w="100" w:type="dxa"/>
            </w:tcMar>
          </w:tcPr>
          <w:p w14:paraId="6FC422F1" w14:textId="77777777" w:rsidR="00FE140B" w:rsidRPr="003B2AF4" w:rsidRDefault="00FE140B" w:rsidP="002B17EB">
            <w:pPr>
              <w:spacing w:after="0" w:line="240" w:lineRule="auto"/>
              <w:rPr>
                <w:rFonts w:ascii="Arial" w:eastAsia="Arial" w:hAnsi="Arial" w:cs="Arial"/>
                <w:b/>
                <w:iCs/>
                <w:sz w:val="24"/>
                <w:szCs w:val="24"/>
              </w:rPr>
            </w:pPr>
            <w:r w:rsidRPr="003B2AF4">
              <w:rPr>
                <w:rFonts w:ascii="Arial" w:eastAsia="Arial" w:hAnsi="Arial" w:cs="Arial"/>
                <w:b/>
                <w:iCs/>
                <w:sz w:val="24"/>
                <w:szCs w:val="24"/>
              </w:rPr>
              <w:t>Value (units)</w:t>
            </w:r>
          </w:p>
        </w:tc>
        <w:tc>
          <w:tcPr>
            <w:tcW w:w="2410" w:type="dxa"/>
            <w:tcBorders>
              <w:bottom w:val="single" w:sz="4" w:space="0" w:color="auto"/>
            </w:tcBorders>
            <w:tcMar>
              <w:top w:w="100" w:type="dxa"/>
              <w:left w:w="100" w:type="dxa"/>
              <w:bottom w:w="100" w:type="dxa"/>
              <w:right w:w="100" w:type="dxa"/>
            </w:tcMar>
          </w:tcPr>
          <w:p w14:paraId="527D708F" w14:textId="77777777" w:rsidR="00FE140B" w:rsidRPr="003B2AF4" w:rsidRDefault="00FE140B" w:rsidP="002B17EB">
            <w:pPr>
              <w:spacing w:after="0" w:line="240" w:lineRule="auto"/>
              <w:rPr>
                <w:rFonts w:ascii="Arial" w:eastAsia="Arial" w:hAnsi="Arial" w:cs="Arial"/>
                <w:b/>
                <w:iCs/>
                <w:sz w:val="24"/>
                <w:szCs w:val="24"/>
              </w:rPr>
            </w:pPr>
            <w:r w:rsidRPr="003B2AF4">
              <w:rPr>
                <w:rFonts w:ascii="Arial" w:eastAsia="Arial" w:hAnsi="Arial" w:cs="Arial"/>
                <w:b/>
                <w:iCs/>
                <w:sz w:val="24"/>
                <w:szCs w:val="24"/>
              </w:rPr>
              <w:t>Reference</w:t>
            </w:r>
          </w:p>
        </w:tc>
      </w:tr>
      <w:tr w:rsidR="00FE140B" w:rsidRPr="003B2AF4" w14:paraId="69EAB0CB" w14:textId="77777777" w:rsidTr="003B2AF4">
        <w:trPr>
          <w:trHeight w:val="421"/>
        </w:trPr>
        <w:tc>
          <w:tcPr>
            <w:tcW w:w="9214" w:type="dxa"/>
            <w:gridSpan w:val="3"/>
            <w:tcBorders>
              <w:top w:val="single" w:sz="4" w:space="0" w:color="auto"/>
            </w:tcBorders>
            <w:tcMar>
              <w:top w:w="100" w:type="dxa"/>
              <w:left w:w="100" w:type="dxa"/>
              <w:bottom w:w="100" w:type="dxa"/>
              <w:right w:w="100" w:type="dxa"/>
            </w:tcMar>
          </w:tcPr>
          <w:p w14:paraId="7F5B3AC6" w14:textId="77777777" w:rsidR="00FE140B" w:rsidRPr="003B2AF4" w:rsidRDefault="00FE140B" w:rsidP="002B17EB">
            <w:pPr>
              <w:spacing w:after="0" w:line="240" w:lineRule="auto"/>
              <w:rPr>
                <w:rFonts w:ascii="Arial" w:eastAsia="Arial" w:hAnsi="Arial" w:cs="Arial"/>
                <w:b/>
                <w:iCs/>
                <w:sz w:val="24"/>
                <w:szCs w:val="24"/>
              </w:rPr>
            </w:pPr>
            <w:r w:rsidRPr="003B2AF4">
              <w:rPr>
                <w:rFonts w:ascii="Arial" w:eastAsia="Arial" w:hAnsi="Arial" w:cs="Arial"/>
                <w:b/>
                <w:iCs/>
                <w:sz w:val="24"/>
                <w:szCs w:val="24"/>
              </w:rPr>
              <w:t>Main parameters</w:t>
            </w:r>
          </w:p>
        </w:tc>
      </w:tr>
      <w:tr w:rsidR="002B17EB" w:rsidRPr="003B2AF4" w14:paraId="782FC6F9" w14:textId="77777777" w:rsidTr="003B2AF4">
        <w:trPr>
          <w:trHeight w:val="471"/>
        </w:trPr>
        <w:tc>
          <w:tcPr>
            <w:tcW w:w="4529" w:type="dxa"/>
            <w:shd w:val="clear" w:color="auto" w:fill="auto"/>
            <w:tcMar>
              <w:top w:w="100" w:type="dxa"/>
              <w:left w:w="100" w:type="dxa"/>
              <w:bottom w:w="100" w:type="dxa"/>
              <w:right w:w="100" w:type="dxa"/>
            </w:tcMar>
          </w:tcPr>
          <w:p w14:paraId="6B8D471E" w14:textId="77777777" w:rsidR="00FE140B" w:rsidRPr="003B2AF4" w:rsidRDefault="00FE140B" w:rsidP="002B17EB">
            <w:pPr>
              <w:spacing w:after="0" w:line="240" w:lineRule="auto"/>
              <w:rPr>
                <w:rFonts w:ascii="Arial" w:eastAsia="Arial" w:hAnsi="Arial" w:cs="Arial"/>
                <w:iCs/>
              </w:rPr>
            </w:pPr>
            <w:r w:rsidRPr="003B2AF4">
              <w:rPr>
                <w:rFonts w:ascii="Arial" w:eastAsia="Arial" w:hAnsi="Arial" w:cs="Arial"/>
                <w:iCs/>
              </w:rPr>
              <w:t>Maximum surface-specific ingestion rate (P</w:t>
            </w:r>
            <w:r w:rsidRPr="003B2AF4">
              <w:rPr>
                <w:rFonts w:ascii="Arial" w:eastAsia="Arial" w:hAnsi="Arial" w:cs="Arial"/>
                <w:iCs/>
                <w:vertAlign w:val="subscript"/>
              </w:rPr>
              <w:t>xm</w:t>
            </w:r>
            <w:r w:rsidRPr="003B2AF4">
              <w:rPr>
                <w:rFonts w:ascii="Arial" w:eastAsia="Arial" w:hAnsi="Arial" w:cs="Arial"/>
                <w:iCs/>
              </w:rPr>
              <w:t>)</w:t>
            </w:r>
          </w:p>
        </w:tc>
        <w:tc>
          <w:tcPr>
            <w:tcW w:w="2275" w:type="dxa"/>
            <w:shd w:val="clear" w:color="auto" w:fill="auto"/>
            <w:tcMar>
              <w:top w:w="100" w:type="dxa"/>
              <w:left w:w="100" w:type="dxa"/>
              <w:bottom w:w="100" w:type="dxa"/>
              <w:right w:w="100" w:type="dxa"/>
            </w:tcMar>
          </w:tcPr>
          <w:p w14:paraId="25EE2EE7" w14:textId="77777777" w:rsidR="00FE140B" w:rsidRPr="003B2AF4" w:rsidRDefault="00FE140B" w:rsidP="002B17EB">
            <w:pPr>
              <w:spacing w:after="0" w:line="240" w:lineRule="auto"/>
              <w:rPr>
                <w:rFonts w:ascii="Arial" w:eastAsia="Arial" w:hAnsi="Arial" w:cs="Arial"/>
                <w:iCs/>
              </w:rPr>
            </w:pPr>
            <w:r w:rsidRPr="003B2AF4">
              <w:rPr>
                <w:rFonts w:ascii="Arial" w:eastAsia="Arial" w:hAnsi="Arial" w:cs="Arial"/>
                <w:iCs/>
              </w:rPr>
              <w:t>1027 (J cm</w:t>
            </w:r>
            <w:r w:rsidRPr="003B2AF4">
              <w:rPr>
                <w:rFonts w:ascii="Arial" w:eastAsia="Arial" w:hAnsi="Arial" w:cs="Arial"/>
                <w:iCs/>
                <w:vertAlign w:val="superscript"/>
              </w:rPr>
              <w:t>-2</w:t>
            </w:r>
            <w:r w:rsidRPr="003B2AF4">
              <w:rPr>
                <w:rFonts w:ascii="Arial" w:eastAsia="Arial" w:hAnsi="Arial" w:cs="Arial"/>
                <w:iCs/>
              </w:rPr>
              <w:t xml:space="preserve"> d</w:t>
            </w:r>
            <w:r w:rsidRPr="003B2AF4">
              <w:rPr>
                <w:rFonts w:ascii="Arial" w:eastAsia="Arial" w:hAnsi="Arial" w:cs="Arial"/>
                <w:iCs/>
                <w:vertAlign w:val="superscript"/>
              </w:rPr>
              <w:t>-1</w:t>
            </w:r>
            <w:r w:rsidRPr="003B2AF4">
              <w:rPr>
                <w:rFonts w:ascii="Arial" w:eastAsia="Arial" w:hAnsi="Arial" w:cs="Arial"/>
                <w:iCs/>
              </w:rPr>
              <w:t>)</w:t>
            </w:r>
          </w:p>
        </w:tc>
        <w:tc>
          <w:tcPr>
            <w:tcW w:w="2410" w:type="dxa"/>
            <w:shd w:val="clear" w:color="auto" w:fill="auto"/>
            <w:tcMar>
              <w:top w:w="100" w:type="dxa"/>
              <w:left w:w="100" w:type="dxa"/>
              <w:bottom w:w="100" w:type="dxa"/>
              <w:right w:w="100" w:type="dxa"/>
            </w:tcMar>
          </w:tcPr>
          <w:p w14:paraId="3D8A2810" w14:textId="77777777" w:rsidR="00FE140B" w:rsidRPr="003B2AF4" w:rsidRDefault="00FE140B" w:rsidP="002B17EB">
            <w:pPr>
              <w:spacing w:after="0" w:line="240" w:lineRule="auto"/>
              <w:rPr>
                <w:rFonts w:ascii="Arial" w:eastAsia="Arial" w:hAnsi="Arial" w:cs="Arial"/>
                <w:iCs/>
              </w:rPr>
            </w:pPr>
            <w:r w:rsidRPr="003B2AF4">
              <w:rPr>
                <w:rFonts w:ascii="Arial" w:eastAsia="Arial" w:hAnsi="Arial" w:cs="Arial"/>
                <w:iCs/>
              </w:rPr>
              <w:t>Thomas et al. 2016</w:t>
            </w:r>
          </w:p>
        </w:tc>
      </w:tr>
      <w:tr w:rsidR="002B17EB" w:rsidRPr="003B2AF4" w14:paraId="1BA9569C" w14:textId="77777777" w:rsidTr="003B2AF4">
        <w:trPr>
          <w:trHeight w:val="471"/>
        </w:trPr>
        <w:tc>
          <w:tcPr>
            <w:tcW w:w="4529" w:type="dxa"/>
            <w:shd w:val="clear" w:color="auto" w:fill="auto"/>
            <w:tcMar>
              <w:top w:w="100" w:type="dxa"/>
              <w:left w:w="100" w:type="dxa"/>
              <w:bottom w:w="100" w:type="dxa"/>
              <w:right w:w="100" w:type="dxa"/>
            </w:tcMar>
          </w:tcPr>
          <w:p w14:paraId="5BF14481" w14:textId="77777777" w:rsidR="00FE140B" w:rsidRPr="003B2AF4" w:rsidRDefault="00FE140B" w:rsidP="002B17EB">
            <w:pPr>
              <w:spacing w:after="0" w:line="240" w:lineRule="auto"/>
              <w:rPr>
                <w:rFonts w:ascii="Arial" w:eastAsia="Arial" w:hAnsi="Arial" w:cs="Arial"/>
                <w:iCs/>
              </w:rPr>
            </w:pPr>
            <w:r w:rsidRPr="003B2AF4">
              <w:rPr>
                <w:rFonts w:ascii="Arial" w:eastAsia="Arial" w:hAnsi="Arial" w:cs="Arial"/>
                <w:iCs/>
              </w:rPr>
              <w:t>Volume-specific maintenance cost (P</w:t>
            </w:r>
            <w:r w:rsidRPr="003B2AF4">
              <w:rPr>
                <w:rFonts w:ascii="Arial" w:eastAsia="Arial" w:hAnsi="Arial" w:cs="Arial"/>
                <w:iCs/>
                <w:vertAlign w:val="subscript"/>
              </w:rPr>
              <w:t>m</w:t>
            </w:r>
            <w:r w:rsidRPr="003B2AF4">
              <w:rPr>
                <w:rFonts w:ascii="Arial" w:eastAsia="Arial" w:hAnsi="Arial" w:cs="Arial"/>
                <w:iCs/>
              </w:rPr>
              <w:t>)</w:t>
            </w:r>
          </w:p>
        </w:tc>
        <w:tc>
          <w:tcPr>
            <w:tcW w:w="2275" w:type="dxa"/>
            <w:shd w:val="clear" w:color="auto" w:fill="auto"/>
            <w:tcMar>
              <w:top w:w="100" w:type="dxa"/>
              <w:left w:w="100" w:type="dxa"/>
              <w:bottom w:w="100" w:type="dxa"/>
              <w:right w:w="100" w:type="dxa"/>
            </w:tcMar>
          </w:tcPr>
          <w:p w14:paraId="51DDE10E" w14:textId="77777777" w:rsidR="00FE140B" w:rsidRPr="003B2AF4" w:rsidRDefault="00FE140B" w:rsidP="002B17EB">
            <w:pPr>
              <w:spacing w:after="0" w:line="240" w:lineRule="auto"/>
              <w:rPr>
                <w:rFonts w:ascii="Arial" w:eastAsia="Arial" w:hAnsi="Arial" w:cs="Arial"/>
                <w:iCs/>
              </w:rPr>
            </w:pPr>
            <w:r w:rsidRPr="003B2AF4">
              <w:rPr>
                <w:rFonts w:ascii="Arial" w:eastAsia="Arial" w:hAnsi="Arial" w:cs="Arial"/>
                <w:iCs/>
              </w:rPr>
              <w:t>44 (J cm</w:t>
            </w:r>
            <w:r w:rsidRPr="003B2AF4">
              <w:rPr>
                <w:rFonts w:ascii="Arial" w:eastAsia="Arial" w:hAnsi="Arial" w:cs="Arial"/>
                <w:iCs/>
                <w:vertAlign w:val="superscript"/>
              </w:rPr>
              <w:t>-3</w:t>
            </w:r>
            <w:r w:rsidRPr="003B2AF4">
              <w:rPr>
                <w:rFonts w:ascii="Arial" w:eastAsia="Arial" w:hAnsi="Arial" w:cs="Arial"/>
                <w:iCs/>
              </w:rPr>
              <w:t xml:space="preserve"> d</w:t>
            </w:r>
            <w:r w:rsidRPr="003B2AF4">
              <w:rPr>
                <w:rFonts w:ascii="Arial" w:eastAsia="Arial" w:hAnsi="Arial" w:cs="Arial"/>
                <w:iCs/>
                <w:vertAlign w:val="superscript"/>
              </w:rPr>
              <w:t>-1</w:t>
            </w:r>
            <w:r w:rsidRPr="003B2AF4">
              <w:rPr>
                <w:rFonts w:ascii="Arial" w:eastAsia="Arial" w:hAnsi="Arial" w:cs="Arial"/>
                <w:iCs/>
              </w:rPr>
              <w:t>)</w:t>
            </w:r>
          </w:p>
        </w:tc>
        <w:tc>
          <w:tcPr>
            <w:tcW w:w="2410" w:type="dxa"/>
            <w:shd w:val="clear" w:color="auto" w:fill="auto"/>
            <w:tcMar>
              <w:top w:w="100" w:type="dxa"/>
              <w:left w:w="100" w:type="dxa"/>
              <w:bottom w:w="100" w:type="dxa"/>
              <w:right w:w="100" w:type="dxa"/>
            </w:tcMar>
          </w:tcPr>
          <w:p w14:paraId="480FA7E8" w14:textId="77777777" w:rsidR="00FE140B" w:rsidRPr="003B2AF4" w:rsidRDefault="00FE140B" w:rsidP="002B17EB">
            <w:pPr>
              <w:spacing w:after="0" w:line="240" w:lineRule="auto"/>
              <w:rPr>
                <w:rFonts w:ascii="Arial" w:eastAsia="Arial" w:hAnsi="Arial" w:cs="Arial"/>
                <w:iCs/>
                <w:lang w:val="fr-FR"/>
              </w:rPr>
            </w:pPr>
            <w:r w:rsidRPr="003B2AF4">
              <w:rPr>
                <w:rFonts w:ascii="Arial" w:eastAsia="Arial" w:hAnsi="Arial" w:cs="Arial"/>
                <w:iCs/>
                <w:lang w:val="fr-FR"/>
              </w:rPr>
              <w:t>Thomas et al. 2016; Bernard et al. 2011</w:t>
            </w:r>
          </w:p>
        </w:tc>
      </w:tr>
      <w:tr w:rsidR="002B17EB" w:rsidRPr="003B2AF4" w14:paraId="166BE86E" w14:textId="77777777" w:rsidTr="003B2AF4">
        <w:trPr>
          <w:trHeight w:val="404"/>
        </w:trPr>
        <w:tc>
          <w:tcPr>
            <w:tcW w:w="4529" w:type="dxa"/>
            <w:shd w:val="clear" w:color="auto" w:fill="auto"/>
            <w:tcMar>
              <w:top w:w="100" w:type="dxa"/>
              <w:left w:w="100" w:type="dxa"/>
              <w:bottom w:w="100" w:type="dxa"/>
              <w:right w:w="100" w:type="dxa"/>
            </w:tcMar>
          </w:tcPr>
          <w:p w14:paraId="4A6C64A8" w14:textId="77777777" w:rsidR="00FE140B" w:rsidRPr="003B2AF4" w:rsidRDefault="00FE140B" w:rsidP="002B17EB">
            <w:pPr>
              <w:spacing w:after="0" w:line="240" w:lineRule="auto"/>
              <w:rPr>
                <w:rFonts w:ascii="Arial" w:eastAsia="Arial" w:hAnsi="Arial" w:cs="Arial"/>
                <w:iCs/>
              </w:rPr>
            </w:pPr>
            <w:r w:rsidRPr="003B2AF4">
              <w:rPr>
                <w:rFonts w:ascii="Arial" w:eastAsia="Arial" w:hAnsi="Arial" w:cs="Arial"/>
                <w:iCs/>
              </w:rPr>
              <w:t>Volume-specific structure cost (E</w:t>
            </w:r>
            <w:r w:rsidRPr="003B2AF4">
              <w:rPr>
                <w:rFonts w:ascii="Arial" w:eastAsia="Arial" w:hAnsi="Arial" w:cs="Arial"/>
                <w:iCs/>
                <w:vertAlign w:val="subscript"/>
              </w:rPr>
              <w:t>g</w:t>
            </w:r>
            <w:r w:rsidRPr="003B2AF4">
              <w:rPr>
                <w:rFonts w:ascii="Arial" w:eastAsia="Arial" w:hAnsi="Arial" w:cs="Arial"/>
                <w:iCs/>
              </w:rPr>
              <w:t>)</w:t>
            </w:r>
          </w:p>
        </w:tc>
        <w:tc>
          <w:tcPr>
            <w:tcW w:w="2275" w:type="dxa"/>
            <w:shd w:val="clear" w:color="auto" w:fill="auto"/>
            <w:tcMar>
              <w:top w:w="100" w:type="dxa"/>
              <w:left w:w="100" w:type="dxa"/>
              <w:bottom w:w="100" w:type="dxa"/>
              <w:right w:w="100" w:type="dxa"/>
            </w:tcMar>
          </w:tcPr>
          <w:p w14:paraId="3B5E4D89" w14:textId="77777777" w:rsidR="00FE140B" w:rsidRPr="003B2AF4" w:rsidRDefault="00FE140B" w:rsidP="002B17EB">
            <w:pPr>
              <w:spacing w:after="0" w:line="240" w:lineRule="auto"/>
              <w:rPr>
                <w:rFonts w:ascii="Arial" w:eastAsia="Arial" w:hAnsi="Arial" w:cs="Arial"/>
                <w:iCs/>
              </w:rPr>
            </w:pPr>
            <w:r w:rsidRPr="003B2AF4">
              <w:rPr>
                <w:rFonts w:ascii="Arial" w:eastAsia="Arial" w:hAnsi="Arial" w:cs="Arial"/>
                <w:iCs/>
              </w:rPr>
              <w:t>3900 (J cm</w:t>
            </w:r>
            <w:r w:rsidRPr="003B2AF4">
              <w:rPr>
                <w:rFonts w:ascii="Arial" w:eastAsia="Arial" w:hAnsi="Arial" w:cs="Arial"/>
                <w:iCs/>
                <w:vertAlign w:val="superscript"/>
              </w:rPr>
              <w:t>-3</w:t>
            </w:r>
            <w:r w:rsidRPr="003B2AF4">
              <w:rPr>
                <w:rFonts w:ascii="Arial" w:eastAsia="Arial" w:hAnsi="Arial" w:cs="Arial"/>
                <w:iCs/>
              </w:rPr>
              <w:t>)</w:t>
            </w:r>
          </w:p>
        </w:tc>
        <w:tc>
          <w:tcPr>
            <w:tcW w:w="2410" w:type="dxa"/>
            <w:shd w:val="clear" w:color="auto" w:fill="auto"/>
            <w:tcMar>
              <w:top w:w="100" w:type="dxa"/>
              <w:left w:w="100" w:type="dxa"/>
              <w:bottom w:w="100" w:type="dxa"/>
              <w:right w:w="100" w:type="dxa"/>
            </w:tcMar>
          </w:tcPr>
          <w:p w14:paraId="2BD145B5" w14:textId="77777777" w:rsidR="00FE140B" w:rsidRPr="003B2AF4" w:rsidRDefault="00FE140B" w:rsidP="002B17EB">
            <w:pPr>
              <w:spacing w:after="0" w:line="240" w:lineRule="auto"/>
              <w:rPr>
                <w:rFonts w:ascii="Arial" w:eastAsia="Arial" w:hAnsi="Arial" w:cs="Arial"/>
                <w:iCs/>
              </w:rPr>
            </w:pPr>
            <w:r w:rsidRPr="003B2AF4">
              <w:rPr>
                <w:rFonts w:ascii="Arial" w:eastAsia="Arial" w:hAnsi="Arial" w:cs="Arial"/>
                <w:iCs/>
              </w:rPr>
              <w:t>Thomas et al. 2016</w:t>
            </w:r>
          </w:p>
        </w:tc>
      </w:tr>
      <w:tr w:rsidR="002B17EB" w:rsidRPr="003B2AF4" w14:paraId="774C7C87" w14:textId="77777777" w:rsidTr="003B2AF4">
        <w:trPr>
          <w:trHeight w:val="430"/>
        </w:trPr>
        <w:tc>
          <w:tcPr>
            <w:tcW w:w="4529" w:type="dxa"/>
            <w:shd w:val="clear" w:color="auto" w:fill="auto"/>
            <w:tcMar>
              <w:top w:w="100" w:type="dxa"/>
              <w:left w:w="100" w:type="dxa"/>
              <w:bottom w:w="100" w:type="dxa"/>
              <w:right w:w="100" w:type="dxa"/>
            </w:tcMar>
          </w:tcPr>
          <w:p w14:paraId="44C075DD" w14:textId="77777777" w:rsidR="00FE140B" w:rsidRPr="003B2AF4" w:rsidRDefault="00FE140B" w:rsidP="002B17EB">
            <w:pPr>
              <w:spacing w:after="0" w:line="240" w:lineRule="auto"/>
              <w:rPr>
                <w:rFonts w:ascii="Arial" w:eastAsia="Arial" w:hAnsi="Arial" w:cs="Arial"/>
                <w:iCs/>
              </w:rPr>
            </w:pPr>
            <w:r w:rsidRPr="003B2AF4">
              <w:rPr>
                <w:rFonts w:ascii="Arial" w:eastAsia="Arial" w:hAnsi="Arial" w:cs="Arial"/>
                <w:iCs/>
              </w:rPr>
              <w:t>Maximum reserve density (E</w:t>
            </w:r>
            <w:r w:rsidRPr="003B2AF4">
              <w:rPr>
                <w:rFonts w:ascii="Arial" w:eastAsia="Arial" w:hAnsi="Arial" w:cs="Arial"/>
                <w:iCs/>
                <w:vertAlign w:val="subscript"/>
              </w:rPr>
              <w:t>m</w:t>
            </w:r>
            <w:r w:rsidRPr="003B2AF4">
              <w:rPr>
                <w:rFonts w:ascii="Arial" w:eastAsia="Arial" w:hAnsi="Arial" w:cs="Arial"/>
                <w:iCs/>
              </w:rPr>
              <w:t>)</w:t>
            </w:r>
          </w:p>
        </w:tc>
        <w:tc>
          <w:tcPr>
            <w:tcW w:w="2275" w:type="dxa"/>
            <w:shd w:val="clear" w:color="auto" w:fill="auto"/>
            <w:tcMar>
              <w:top w:w="100" w:type="dxa"/>
              <w:left w:w="100" w:type="dxa"/>
              <w:bottom w:w="100" w:type="dxa"/>
              <w:right w:w="100" w:type="dxa"/>
            </w:tcMar>
          </w:tcPr>
          <w:p w14:paraId="26767814" w14:textId="77777777" w:rsidR="00FE140B" w:rsidRPr="003B2AF4" w:rsidRDefault="00FE140B" w:rsidP="002B17EB">
            <w:pPr>
              <w:spacing w:after="0" w:line="240" w:lineRule="auto"/>
              <w:rPr>
                <w:rFonts w:ascii="Arial" w:eastAsia="Arial" w:hAnsi="Arial" w:cs="Arial"/>
                <w:iCs/>
              </w:rPr>
            </w:pPr>
            <w:r w:rsidRPr="003B2AF4">
              <w:rPr>
                <w:rFonts w:ascii="Arial" w:eastAsia="Arial" w:hAnsi="Arial" w:cs="Arial"/>
                <w:iCs/>
              </w:rPr>
              <w:t>4200 (J cm</w:t>
            </w:r>
            <w:r w:rsidRPr="003B2AF4">
              <w:rPr>
                <w:rFonts w:ascii="Arial" w:eastAsia="Arial" w:hAnsi="Arial" w:cs="Arial"/>
                <w:iCs/>
                <w:vertAlign w:val="superscript"/>
              </w:rPr>
              <w:t>-3</w:t>
            </w:r>
            <w:r w:rsidRPr="003B2AF4">
              <w:rPr>
                <w:rFonts w:ascii="Arial" w:eastAsia="Arial" w:hAnsi="Arial" w:cs="Arial"/>
                <w:iCs/>
              </w:rPr>
              <w:t>)</w:t>
            </w:r>
          </w:p>
        </w:tc>
        <w:tc>
          <w:tcPr>
            <w:tcW w:w="2410" w:type="dxa"/>
            <w:shd w:val="clear" w:color="auto" w:fill="auto"/>
            <w:tcMar>
              <w:top w:w="100" w:type="dxa"/>
              <w:left w:w="100" w:type="dxa"/>
              <w:bottom w:w="100" w:type="dxa"/>
              <w:right w:w="100" w:type="dxa"/>
            </w:tcMar>
          </w:tcPr>
          <w:p w14:paraId="29E9541C" w14:textId="77777777" w:rsidR="00FE140B" w:rsidRPr="003B2AF4" w:rsidRDefault="00FE140B" w:rsidP="002B17EB">
            <w:pPr>
              <w:spacing w:after="0" w:line="240" w:lineRule="auto"/>
              <w:rPr>
                <w:rFonts w:ascii="Arial" w:eastAsia="Arial" w:hAnsi="Arial" w:cs="Arial"/>
                <w:iCs/>
                <w:lang w:val="fr-FR"/>
              </w:rPr>
            </w:pPr>
            <w:r w:rsidRPr="003B2AF4">
              <w:rPr>
                <w:rFonts w:ascii="Arial" w:eastAsia="Arial" w:hAnsi="Arial" w:cs="Arial"/>
                <w:iCs/>
                <w:lang w:val="fr-FR"/>
              </w:rPr>
              <w:t>Thomas et al. 2016; Bernard et al. 2011</w:t>
            </w:r>
          </w:p>
        </w:tc>
      </w:tr>
      <w:tr w:rsidR="002B17EB" w:rsidRPr="003B2AF4" w14:paraId="3ED92DFD" w14:textId="77777777" w:rsidTr="003B2AF4">
        <w:trPr>
          <w:trHeight w:val="458"/>
        </w:trPr>
        <w:tc>
          <w:tcPr>
            <w:tcW w:w="4529" w:type="dxa"/>
            <w:shd w:val="clear" w:color="auto" w:fill="auto"/>
            <w:tcMar>
              <w:top w:w="100" w:type="dxa"/>
              <w:left w:w="100" w:type="dxa"/>
              <w:bottom w:w="100" w:type="dxa"/>
              <w:right w:w="100" w:type="dxa"/>
            </w:tcMar>
          </w:tcPr>
          <w:p w14:paraId="4C523663" w14:textId="77777777" w:rsidR="00FE140B" w:rsidRPr="003B2AF4" w:rsidRDefault="00FE140B" w:rsidP="002B17EB">
            <w:pPr>
              <w:spacing w:after="0" w:line="240" w:lineRule="auto"/>
              <w:rPr>
                <w:rFonts w:ascii="Arial" w:eastAsia="Arial" w:hAnsi="Arial" w:cs="Arial"/>
                <w:iCs/>
              </w:rPr>
            </w:pPr>
            <w:r w:rsidRPr="003B2AF4">
              <w:rPr>
                <w:rFonts w:ascii="Arial" w:eastAsia="Arial" w:hAnsi="Arial" w:cs="Arial"/>
                <w:iCs/>
              </w:rPr>
              <w:t>Allocation fraction to growth and maintenance (Κ)</w:t>
            </w:r>
          </w:p>
        </w:tc>
        <w:tc>
          <w:tcPr>
            <w:tcW w:w="2275" w:type="dxa"/>
            <w:shd w:val="clear" w:color="auto" w:fill="auto"/>
            <w:tcMar>
              <w:top w:w="100" w:type="dxa"/>
              <w:left w:w="100" w:type="dxa"/>
              <w:bottom w:w="100" w:type="dxa"/>
              <w:right w:w="100" w:type="dxa"/>
            </w:tcMar>
          </w:tcPr>
          <w:p w14:paraId="08FD4ACF" w14:textId="77777777" w:rsidR="00FE140B" w:rsidRPr="003B2AF4" w:rsidRDefault="00FE140B" w:rsidP="002B17EB">
            <w:pPr>
              <w:spacing w:after="0" w:line="240" w:lineRule="auto"/>
              <w:rPr>
                <w:rFonts w:ascii="Arial" w:eastAsia="Arial" w:hAnsi="Arial" w:cs="Arial"/>
                <w:iCs/>
              </w:rPr>
            </w:pPr>
            <w:r w:rsidRPr="003B2AF4">
              <w:rPr>
                <w:rFonts w:ascii="Arial" w:eastAsia="Arial" w:hAnsi="Arial" w:cs="Arial"/>
                <w:iCs/>
              </w:rPr>
              <w:t>0.45</w:t>
            </w:r>
          </w:p>
        </w:tc>
        <w:tc>
          <w:tcPr>
            <w:tcW w:w="2410" w:type="dxa"/>
            <w:shd w:val="clear" w:color="auto" w:fill="auto"/>
            <w:tcMar>
              <w:top w:w="100" w:type="dxa"/>
              <w:left w:w="100" w:type="dxa"/>
              <w:bottom w:w="100" w:type="dxa"/>
              <w:right w:w="100" w:type="dxa"/>
            </w:tcMar>
          </w:tcPr>
          <w:p w14:paraId="782BAEAD" w14:textId="55D3B0A3" w:rsidR="00FE140B" w:rsidRPr="003B2AF4" w:rsidRDefault="00FE140B" w:rsidP="002B17EB">
            <w:pPr>
              <w:spacing w:after="0" w:line="240" w:lineRule="auto"/>
              <w:rPr>
                <w:rFonts w:ascii="Arial" w:eastAsia="Arial" w:hAnsi="Arial" w:cs="Arial"/>
                <w:iCs/>
                <w:lang w:val="fr-FR"/>
              </w:rPr>
            </w:pPr>
            <w:r w:rsidRPr="003B2AF4">
              <w:rPr>
                <w:rFonts w:ascii="Arial" w:eastAsia="Arial" w:hAnsi="Arial" w:cs="Arial"/>
                <w:iCs/>
                <w:lang w:val="fr-FR"/>
              </w:rPr>
              <w:t>Thomas et al. 2016; Van der Veer et al. 2006</w:t>
            </w:r>
          </w:p>
        </w:tc>
      </w:tr>
      <w:tr w:rsidR="002B17EB" w:rsidRPr="003B2AF4" w14:paraId="37DB4B63" w14:textId="77777777" w:rsidTr="003B2AF4">
        <w:trPr>
          <w:trHeight w:val="430"/>
        </w:trPr>
        <w:tc>
          <w:tcPr>
            <w:tcW w:w="4529" w:type="dxa"/>
            <w:shd w:val="clear" w:color="auto" w:fill="auto"/>
            <w:tcMar>
              <w:top w:w="100" w:type="dxa"/>
              <w:left w:w="100" w:type="dxa"/>
              <w:bottom w:w="100" w:type="dxa"/>
              <w:right w:w="100" w:type="dxa"/>
            </w:tcMar>
          </w:tcPr>
          <w:p w14:paraId="2CC62897" w14:textId="77777777" w:rsidR="00FE140B" w:rsidRPr="003B2AF4" w:rsidRDefault="00FE140B" w:rsidP="002B17EB">
            <w:pPr>
              <w:spacing w:after="0" w:line="240" w:lineRule="auto"/>
              <w:rPr>
                <w:rFonts w:ascii="Arial" w:eastAsia="Arial" w:hAnsi="Arial" w:cs="Arial"/>
                <w:iCs/>
              </w:rPr>
            </w:pPr>
            <w:r w:rsidRPr="003B2AF4">
              <w:rPr>
                <w:rFonts w:ascii="Arial" w:eastAsia="Arial" w:hAnsi="Arial" w:cs="Arial"/>
                <w:iCs/>
              </w:rPr>
              <w:t>Assimilation efficiency (Κ</w:t>
            </w:r>
            <w:r w:rsidRPr="003B2AF4">
              <w:rPr>
                <w:rFonts w:ascii="Arial" w:eastAsia="Arial" w:hAnsi="Arial" w:cs="Arial"/>
                <w:iCs/>
                <w:vertAlign w:val="subscript"/>
              </w:rPr>
              <w:t>X</w:t>
            </w:r>
            <w:r w:rsidRPr="003B2AF4">
              <w:rPr>
                <w:rFonts w:ascii="Arial" w:eastAsia="Arial" w:hAnsi="Arial" w:cs="Arial"/>
                <w:iCs/>
              </w:rPr>
              <w:t>)</w:t>
            </w:r>
          </w:p>
        </w:tc>
        <w:tc>
          <w:tcPr>
            <w:tcW w:w="2275" w:type="dxa"/>
            <w:shd w:val="clear" w:color="auto" w:fill="auto"/>
            <w:tcMar>
              <w:top w:w="100" w:type="dxa"/>
              <w:left w:w="100" w:type="dxa"/>
              <w:bottom w:w="100" w:type="dxa"/>
              <w:right w:w="100" w:type="dxa"/>
            </w:tcMar>
          </w:tcPr>
          <w:p w14:paraId="490FEEFD" w14:textId="77777777" w:rsidR="00FE140B" w:rsidRPr="003B2AF4" w:rsidRDefault="00FE140B" w:rsidP="002B17EB">
            <w:pPr>
              <w:spacing w:after="0" w:line="240" w:lineRule="auto"/>
              <w:rPr>
                <w:rFonts w:ascii="Arial" w:eastAsia="Arial" w:hAnsi="Arial" w:cs="Arial"/>
                <w:iCs/>
              </w:rPr>
            </w:pPr>
            <w:r w:rsidRPr="003B2AF4">
              <w:rPr>
                <w:rFonts w:ascii="Arial" w:eastAsia="Arial" w:hAnsi="Arial" w:cs="Arial"/>
                <w:iCs/>
              </w:rPr>
              <w:t>0.75</w:t>
            </w:r>
          </w:p>
        </w:tc>
        <w:tc>
          <w:tcPr>
            <w:tcW w:w="2410" w:type="dxa"/>
            <w:shd w:val="clear" w:color="auto" w:fill="auto"/>
            <w:tcMar>
              <w:top w:w="100" w:type="dxa"/>
              <w:left w:w="100" w:type="dxa"/>
              <w:bottom w:w="100" w:type="dxa"/>
              <w:right w:w="100" w:type="dxa"/>
            </w:tcMar>
          </w:tcPr>
          <w:p w14:paraId="03503A5A" w14:textId="0B9E5FF3" w:rsidR="00FE140B" w:rsidRPr="003B2AF4" w:rsidRDefault="00FE140B" w:rsidP="002B17EB">
            <w:pPr>
              <w:spacing w:after="0" w:line="240" w:lineRule="auto"/>
              <w:rPr>
                <w:rFonts w:ascii="Arial" w:eastAsia="Arial" w:hAnsi="Arial" w:cs="Arial"/>
                <w:iCs/>
                <w:lang w:val="fr-FR"/>
              </w:rPr>
            </w:pPr>
            <w:r w:rsidRPr="003B2AF4">
              <w:rPr>
                <w:rFonts w:ascii="Arial" w:eastAsia="Arial" w:hAnsi="Arial" w:cs="Arial"/>
                <w:iCs/>
                <w:lang w:val="fr-FR"/>
              </w:rPr>
              <w:t>Thomas et al. 2016; Van der Veer et al. 2006</w:t>
            </w:r>
          </w:p>
        </w:tc>
      </w:tr>
      <w:tr w:rsidR="002B17EB" w:rsidRPr="003B2AF4" w14:paraId="5B305F4F" w14:textId="77777777" w:rsidTr="003B2AF4">
        <w:trPr>
          <w:trHeight w:val="430"/>
        </w:trPr>
        <w:tc>
          <w:tcPr>
            <w:tcW w:w="4529" w:type="dxa"/>
            <w:shd w:val="clear" w:color="auto" w:fill="auto"/>
            <w:tcMar>
              <w:top w:w="100" w:type="dxa"/>
              <w:left w:w="100" w:type="dxa"/>
              <w:bottom w:w="100" w:type="dxa"/>
              <w:right w:w="100" w:type="dxa"/>
            </w:tcMar>
          </w:tcPr>
          <w:p w14:paraId="72E7F3C0" w14:textId="77777777" w:rsidR="00FE140B" w:rsidRPr="003B2AF4" w:rsidRDefault="00FE140B" w:rsidP="002B17EB">
            <w:pPr>
              <w:spacing w:after="0" w:line="240" w:lineRule="auto"/>
              <w:rPr>
                <w:rFonts w:ascii="Arial" w:eastAsia="Arial" w:hAnsi="Arial" w:cs="Arial"/>
                <w:iCs/>
              </w:rPr>
            </w:pPr>
            <w:r w:rsidRPr="003B2AF4">
              <w:rPr>
                <w:rFonts w:ascii="Arial" w:eastAsia="Arial" w:hAnsi="Arial" w:cs="Arial"/>
                <w:iCs/>
              </w:rPr>
              <w:t>Reproduction efficiency (Κ</w:t>
            </w:r>
            <w:r w:rsidRPr="003B2AF4">
              <w:rPr>
                <w:rFonts w:ascii="Arial" w:eastAsia="Arial" w:hAnsi="Arial" w:cs="Arial"/>
                <w:iCs/>
                <w:vertAlign w:val="subscript"/>
              </w:rPr>
              <w:t>R</w:t>
            </w:r>
            <w:r w:rsidRPr="003B2AF4">
              <w:rPr>
                <w:rFonts w:ascii="Arial" w:eastAsia="Arial" w:hAnsi="Arial" w:cs="Arial"/>
                <w:iCs/>
              </w:rPr>
              <w:t>)</w:t>
            </w:r>
          </w:p>
        </w:tc>
        <w:tc>
          <w:tcPr>
            <w:tcW w:w="2275" w:type="dxa"/>
            <w:shd w:val="clear" w:color="auto" w:fill="auto"/>
            <w:tcMar>
              <w:top w:w="100" w:type="dxa"/>
              <w:left w:w="100" w:type="dxa"/>
              <w:bottom w:w="100" w:type="dxa"/>
              <w:right w:w="100" w:type="dxa"/>
            </w:tcMar>
          </w:tcPr>
          <w:p w14:paraId="477EF4FA" w14:textId="77777777" w:rsidR="00FE140B" w:rsidRPr="003B2AF4" w:rsidRDefault="00FE140B" w:rsidP="002B17EB">
            <w:pPr>
              <w:spacing w:after="0" w:line="240" w:lineRule="auto"/>
              <w:rPr>
                <w:rFonts w:ascii="Arial" w:eastAsia="Arial" w:hAnsi="Arial" w:cs="Arial"/>
                <w:iCs/>
              </w:rPr>
            </w:pPr>
            <w:r w:rsidRPr="003B2AF4">
              <w:rPr>
                <w:rFonts w:ascii="Arial" w:eastAsia="Arial" w:hAnsi="Arial" w:cs="Arial"/>
                <w:iCs/>
              </w:rPr>
              <w:t>0.75</w:t>
            </w:r>
          </w:p>
        </w:tc>
        <w:tc>
          <w:tcPr>
            <w:tcW w:w="2410" w:type="dxa"/>
            <w:shd w:val="clear" w:color="auto" w:fill="auto"/>
            <w:tcMar>
              <w:top w:w="100" w:type="dxa"/>
              <w:left w:w="100" w:type="dxa"/>
              <w:bottom w:w="100" w:type="dxa"/>
              <w:right w:w="100" w:type="dxa"/>
            </w:tcMar>
          </w:tcPr>
          <w:p w14:paraId="6C88E7C5" w14:textId="77777777" w:rsidR="00FE140B" w:rsidRPr="003B2AF4" w:rsidRDefault="00FE140B" w:rsidP="002B17EB">
            <w:pPr>
              <w:spacing w:after="0" w:line="240" w:lineRule="auto"/>
              <w:rPr>
                <w:rFonts w:ascii="Arial" w:eastAsia="Arial" w:hAnsi="Arial" w:cs="Arial"/>
                <w:iCs/>
              </w:rPr>
            </w:pPr>
            <w:r w:rsidRPr="003B2AF4">
              <w:rPr>
                <w:rFonts w:ascii="Arial" w:eastAsia="Arial" w:hAnsi="Arial" w:cs="Arial"/>
                <w:iCs/>
              </w:rPr>
              <w:t>Thomas et al. 2016</w:t>
            </w:r>
          </w:p>
        </w:tc>
      </w:tr>
      <w:tr w:rsidR="00FE140B" w:rsidRPr="003B2AF4" w14:paraId="5008E7C4" w14:textId="77777777" w:rsidTr="003B2AF4">
        <w:trPr>
          <w:trHeight w:val="421"/>
        </w:trPr>
        <w:tc>
          <w:tcPr>
            <w:tcW w:w="9214" w:type="dxa"/>
            <w:gridSpan w:val="3"/>
            <w:shd w:val="clear" w:color="auto" w:fill="auto"/>
            <w:tcMar>
              <w:top w:w="100" w:type="dxa"/>
              <w:left w:w="100" w:type="dxa"/>
              <w:bottom w:w="100" w:type="dxa"/>
              <w:right w:w="100" w:type="dxa"/>
            </w:tcMar>
          </w:tcPr>
          <w:p w14:paraId="69C54585" w14:textId="77777777" w:rsidR="00FE140B" w:rsidRPr="003B2AF4" w:rsidRDefault="00FE140B" w:rsidP="002B17EB">
            <w:pPr>
              <w:spacing w:after="0" w:line="240" w:lineRule="auto"/>
              <w:rPr>
                <w:rFonts w:ascii="Arial" w:eastAsia="Arial" w:hAnsi="Arial" w:cs="Arial"/>
                <w:b/>
                <w:iCs/>
                <w:sz w:val="24"/>
                <w:szCs w:val="24"/>
              </w:rPr>
            </w:pPr>
            <w:r w:rsidRPr="003B2AF4">
              <w:rPr>
                <w:rFonts w:ascii="Arial" w:eastAsia="Arial" w:hAnsi="Arial" w:cs="Arial"/>
                <w:b/>
                <w:iCs/>
                <w:sz w:val="24"/>
                <w:szCs w:val="24"/>
              </w:rPr>
              <w:t>Auxiliary parameters</w:t>
            </w:r>
          </w:p>
        </w:tc>
      </w:tr>
      <w:tr w:rsidR="002B17EB" w:rsidRPr="003B2AF4" w14:paraId="0C70C8D0" w14:textId="77777777" w:rsidTr="003B2AF4">
        <w:trPr>
          <w:trHeight w:val="496"/>
        </w:trPr>
        <w:tc>
          <w:tcPr>
            <w:tcW w:w="4529" w:type="dxa"/>
            <w:shd w:val="clear" w:color="auto" w:fill="auto"/>
            <w:tcMar>
              <w:top w:w="100" w:type="dxa"/>
              <w:left w:w="100" w:type="dxa"/>
              <w:bottom w:w="100" w:type="dxa"/>
              <w:right w:w="100" w:type="dxa"/>
            </w:tcMar>
          </w:tcPr>
          <w:p w14:paraId="00B02BFD" w14:textId="77777777" w:rsidR="00FE140B" w:rsidRPr="003B2AF4" w:rsidRDefault="00FE140B" w:rsidP="002B17EB">
            <w:pPr>
              <w:spacing w:after="0" w:line="240" w:lineRule="auto"/>
              <w:rPr>
                <w:rFonts w:ascii="Arial" w:eastAsia="Arial" w:hAnsi="Arial" w:cs="Arial"/>
                <w:iCs/>
              </w:rPr>
            </w:pPr>
            <w:r w:rsidRPr="003B2AF4">
              <w:rPr>
                <w:rFonts w:ascii="Arial" w:eastAsia="Arial" w:hAnsi="Arial" w:cs="Arial"/>
                <w:iCs/>
              </w:rPr>
              <w:t>Ultimate length (L</w:t>
            </w:r>
            <w:r w:rsidRPr="003B2AF4">
              <w:rPr>
                <w:rFonts w:ascii="Arial" w:eastAsia="Arial" w:hAnsi="Arial" w:cs="Arial"/>
                <w:iCs/>
                <w:vertAlign w:val="subscript"/>
              </w:rPr>
              <w:t>m</w:t>
            </w:r>
            <w:r w:rsidRPr="003B2AF4">
              <w:rPr>
                <w:rFonts w:ascii="Arial" w:eastAsia="Arial" w:hAnsi="Arial" w:cs="Arial"/>
                <w:iCs/>
              </w:rPr>
              <w:t>)</w:t>
            </w:r>
          </w:p>
        </w:tc>
        <w:tc>
          <w:tcPr>
            <w:tcW w:w="2275" w:type="dxa"/>
            <w:shd w:val="clear" w:color="auto" w:fill="auto"/>
            <w:tcMar>
              <w:top w:w="100" w:type="dxa"/>
              <w:left w:w="100" w:type="dxa"/>
              <w:bottom w:w="100" w:type="dxa"/>
              <w:right w:w="100" w:type="dxa"/>
            </w:tcMar>
          </w:tcPr>
          <w:p w14:paraId="01943DF7" w14:textId="77777777" w:rsidR="00FE140B" w:rsidRPr="003B2AF4" w:rsidRDefault="00FE140B" w:rsidP="002B17EB">
            <w:pPr>
              <w:spacing w:after="0" w:line="240" w:lineRule="auto"/>
              <w:rPr>
                <w:rFonts w:ascii="Arial" w:eastAsia="Arial" w:hAnsi="Arial" w:cs="Arial"/>
                <w:iCs/>
              </w:rPr>
            </w:pPr>
            <w:r w:rsidRPr="003B2AF4">
              <w:rPr>
                <w:rFonts w:ascii="Arial" w:eastAsia="Arial" w:hAnsi="Arial" w:cs="Arial"/>
                <w:iCs/>
              </w:rPr>
              <w:t>45 (cm)</w:t>
            </w:r>
          </w:p>
        </w:tc>
        <w:tc>
          <w:tcPr>
            <w:tcW w:w="2410" w:type="dxa"/>
            <w:shd w:val="clear" w:color="auto" w:fill="auto"/>
            <w:tcMar>
              <w:top w:w="100" w:type="dxa"/>
              <w:left w:w="100" w:type="dxa"/>
              <w:bottom w:w="100" w:type="dxa"/>
              <w:right w:w="100" w:type="dxa"/>
            </w:tcMar>
          </w:tcPr>
          <w:p w14:paraId="2F19D0EC" w14:textId="6F32D18F" w:rsidR="00FE140B" w:rsidRPr="003B2AF4" w:rsidRDefault="00FE140B" w:rsidP="002B17EB">
            <w:pPr>
              <w:spacing w:after="0" w:line="240" w:lineRule="auto"/>
              <w:rPr>
                <w:rFonts w:ascii="Arial" w:eastAsia="Arial" w:hAnsi="Arial" w:cs="Arial"/>
                <w:iCs/>
                <w:lang w:val="fr-FR"/>
              </w:rPr>
            </w:pPr>
            <w:r w:rsidRPr="003B2AF4">
              <w:rPr>
                <w:rFonts w:ascii="Arial" w:eastAsia="Arial" w:hAnsi="Arial" w:cs="Arial"/>
                <w:iCs/>
                <w:lang w:val="fr-FR"/>
              </w:rPr>
              <w:t>Thomas et al. 2016; Van der Veer et al. 2006</w:t>
            </w:r>
          </w:p>
        </w:tc>
      </w:tr>
      <w:tr w:rsidR="002B17EB" w:rsidRPr="003B2AF4" w14:paraId="256E85FC" w14:textId="77777777" w:rsidTr="003B2AF4">
        <w:trPr>
          <w:trHeight w:val="475"/>
        </w:trPr>
        <w:tc>
          <w:tcPr>
            <w:tcW w:w="4529" w:type="dxa"/>
            <w:shd w:val="clear" w:color="auto" w:fill="auto"/>
            <w:tcMar>
              <w:top w:w="100" w:type="dxa"/>
              <w:left w:w="100" w:type="dxa"/>
              <w:bottom w:w="100" w:type="dxa"/>
              <w:right w:w="100" w:type="dxa"/>
            </w:tcMar>
          </w:tcPr>
          <w:p w14:paraId="5DD47AF0" w14:textId="77777777" w:rsidR="00FE140B" w:rsidRPr="003B2AF4" w:rsidRDefault="00FE140B" w:rsidP="002B17EB">
            <w:pPr>
              <w:spacing w:after="0" w:line="240" w:lineRule="auto"/>
              <w:rPr>
                <w:rFonts w:ascii="Arial" w:eastAsia="Arial" w:hAnsi="Arial" w:cs="Arial"/>
                <w:iCs/>
              </w:rPr>
            </w:pPr>
            <w:r w:rsidRPr="003B2AF4">
              <w:rPr>
                <w:rFonts w:ascii="Arial" w:eastAsia="Arial" w:hAnsi="Arial" w:cs="Arial"/>
                <w:iCs/>
              </w:rPr>
              <w:t>Energy content of reserves (µE)</w:t>
            </w:r>
          </w:p>
        </w:tc>
        <w:tc>
          <w:tcPr>
            <w:tcW w:w="2275" w:type="dxa"/>
            <w:shd w:val="clear" w:color="auto" w:fill="auto"/>
            <w:tcMar>
              <w:top w:w="100" w:type="dxa"/>
              <w:left w:w="100" w:type="dxa"/>
              <w:bottom w:w="100" w:type="dxa"/>
              <w:right w:w="100" w:type="dxa"/>
            </w:tcMar>
          </w:tcPr>
          <w:p w14:paraId="3B7D2131" w14:textId="77777777" w:rsidR="00FE140B" w:rsidRPr="003B2AF4" w:rsidRDefault="00FE140B" w:rsidP="002B17EB">
            <w:pPr>
              <w:spacing w:after="0" w:line="240" w:lineRule="auto"/>
              <w:rPr>
                <w:rFonts w:ascii="Arial" w:eastAsia="Arial" w:hAnsi="Arial" w:cs="Arial"/>
                <w:iCs/>
              </w:rPr>
            </w:pPr>
            <w:r w:rsidRPr="003B2AF4">
              <w:rPr>
                <w:rFonts w:ascii="Arial" w:eastAsia="Arial" w:hAnsi="Arial" w:cs="Arial"/>
                <w:iCs/>
              </w:rPr>
              <w:t>19600 (J g</w:t>
            </w:r>
            <w:r w:rsidRPr="003B2AF4">
              <w:rPr>
                <w:rFonts w:ascii="Arial" w:eastAsia="Arial" w:hAnsi="Arial" w:cs="Arial"/>
                <w:iCs/>
                <w:vertAlign w:val="superscript"/>
              </w:rPr>
              <w:t>-1</w:t>
            </w:r>
            <w:r w:rsidRPr="003B2AF4">
              <w:rPr>
                <w:rFonts w:ascii="Arial" w:eastAsia="Arial" w:hAnsi="Arial" w:cs="Arial"/>
                <w:iCs/>
              </w:rPr>
              <w:t>)</w:t>
            </w:r>
          </w:p>
        </w:tc>
        <w:tc>
          <w:tcPr>
            <w:tcW w:w="2410" w:type="dxa"/>
            <w:shd w:val="clear" w:color="auto" w:fill="auto"/>
            <w:tcMar>
              <w:top w:w="100" w:type="dxa"/>
              <w:left w:w="100" w:type="dxa"/>
              <w:bottom w:w="100" w:type="dxa"/>
              <w:right w:w="100" w:type="dxa"/>
            </w:tcMar>
          </w:tcPr>
          <w:p w14:paraId="4A6F286C" w14:textId="77777777" w:rsidR="00FE140B" w:rsidRPr="003B2AF4" w:rsidRDefault="00FE140B" w:rsidP="002B17EB">
            <w:pPr>
              <w:spacing w:after="0" w:line="240" w:lineRule="auto"/>
              <w:rPr>
                <w:rFonts w:ascii="Arial" w:eastAsia="Arial" w:hAnsi="Arial" w:cs="Arial"/>
                <w:iCs/>
              </w:rPr>
            </w:pPr>
            <w:r w:rsidRPr="003B2AF4">
              <w:rPr>
                <w:rFonts w:ascii="Arial" w:eastAsia="Arial" w:hAnsi="Arial" w:cs="Arial"/>
                <w:iCs/>
              </w:rPr>
              <w:t>Thomas et al. 2016</w:t>
            </w:r>
          </w:p>
        </w:tc>
      </w:tr>
      <w:tr w:rsidR="002B17EB" w:rsidRPr="003B2AF4" w14:paraId="4ADAE199" w14:textId="77777777" w:rsidTr="003B2AF4">
        <w:trPr>
          <w:trHeight w:val="458"/>
        </w:trPr>
        <w:tc>
          <w:tcPr>
            <w:tcW w:w="4529" w:type="dxa"/>
            <w:shd w:val="clear" w:color="auto" w:fill="auto"/>
            <w:tcMar>
              <w:top w:w="100" w:type="dxa"/>
              <w:left w:w="100" w:type="dxa"/>
              <w:bottom w:w="100" w:type="dxa"/>
              <w:right w:w="100" w:type="dxa"/>
            </w:tcMar>
          </w:tcPr>
          <w:p w14:paraId="1C16EAB8" w14:textId="77777777" w:rsidR="00FE140B" w:rsidRPr="003B2AF4" w:rsidRDefault="00FE140B" w:rsidP="002B17EB">
            <w:pPr>
              <w:spacing w:after="0" w:line="240" w:lineRule="auto"/>
              <w:rPr>
                <w:rFonts w:ascii="Arial" w:eastAsia="Arial" w:hAnsi="Arial" w:cs="Arial"/>
                <w:iCs/>
              </w:rPr>
            </w:pPr>
            <w:r w:rsidRPr="003B2AF4">
              <w:rPr>
                <w:rFonts w:ascii="Arial" w:eastAsia="Arial" w:hAnsi="Arial" w:cs="Arial"/>
                <w:iCs/>
              </w:rPr>
              <w:t>Dry mass ratio of structure (D</w:t>
            </w:r>
            <w:r w:rsidRPr="003B2AF4">
              <w:rPr>
                <w:rFonts w:ascii="Arial" w:eastAsia="Arial" w:hAnsi="Arial" w:cs="Arial"/>
                <w:iCs/>
                <w:vertAlign w:val="subscript"/>
              </w:rPr>
              <w:t>y</w:t>
            </w:r>
            <w:r w:rsidRPr="003B2AF4">
              <w:rPr>
                <w:rFonts w:ascii="Arial" w:eastAsia="Arial" w:hAnsi="Arial" w:cs="Arial"/>
                <w:iCs/>
              </w:rPr>
              <w:t>)</w:t>
            </w:r>
          </w:p>
        </w:tc>
        <w:tc>
          <w:tcPr>
            <w:tcW w:w="2275" w:type="dxa"/>
            <w:shd w:val="clear" w:color="auto" w:fill="auto"/>
            <w:tcMar>
              <w:top w:w="100" w:type="dxa"/>
              <w:left w:w="100" w:type="dxa"/>
              <w:bottom w:w="100" w:type="dxa"/>
              <w:right w:w="100" w:type="dxa"/>
            </w:tcMar>
          </w:tcPr>
          <w:p w14:paraId="363743F9" w14:textId="77777777" w:rsidR="00FE140B" w:rsidRPr="003B2AF4" w:rsidRDefault="00FE140B" w:rsidP="002B17EB">
            <w:pPr>
              <w:spacing w:after="0" w:line="240" w:lineRule="auto"/>
              <w:rPr>
                <w:rFonts w:ascii="Arial" w:eastAsia="Arial" w:hAnsi="Arial" w:cs="Arial"/>
                <w:iCs/>
              </w:rPr>
            </w:pPr>
            <w:r w:rsidRPr="003B2AF4">
              <w:rPr>
                <w:rFonts w:ascii="Arial" w:eastAsia="Arial" w:hAnsi="Arial" w:cs="Arial"/>
                <w:iCs/>
              </w:rPr>
              <w:t>0.15 (gDW.gWW</w:t>
            </w:r>
            <w:r w:rsidRPr="003B2AF4">
              <w:rPr>
                <w:rFonts w:ascii="Arial" w:eastAsia="Arial" w:hAnsi="Arial" w:cs="Arial"/>
                <w:iCs/>
                <w:vertAlign w:val="superscript"/>
              </w:rPr>
              <w:t>-1</w:t>
            </w:r>
            <w:r w:rsidRPr="003B2AF4">
              <w:rPr>
                <w:rFonts w:ascii="Arial" w:eastAsia="Arial" w:hAnsi="Arial" w:cs="Arial"/>
                <w:iCs/>
              </w:rPr>
              <w:t>)</w:t>
            </w:r>
          </w:p>
        </w:tc>
        <w:tc>
          <w:tcPr>
            <w:tcW w:w="2410" w:type="dxa"/>
            <w:shd w:val="clear" w:color="auto" w:fill="auto"/>
            <w:tcMar>
              <w:top w:w="100" w:type="dxa"/>
              <w:left w:w="100" w:type="dxa"/>
              <w:bottom w:w="100" w:type="dxa"/>
              <w:right w:w="100" w:type="dxa"/>
            </w:tcMar>
          </w:tcPr>
          <w:p w14:paraId="01378AF7" w14:textId="77777777" w:rsidR="00FE140B" w:rsidRPr="003B2AF4" w:rsidRDefault="00FE140B" w:rsidP="002B17EB">
            <w:pPr>
              <w:spacing w:after="0" w:line="240" w:lineRule="auto"/>
              <w:rPr>
                <w:rFonts w:ascii="Arial" w:eastAsia="Arial" w:hAnsi="Arial" w:cs="Arial"/>
                <w:iCs/>
                <w:lang w:val="fr-FR"/>
              </w:rPr>
            </w:pPr>
            <w:r w:rsidRPr="003B2AF4">
              <w:rPr>
                <w:rFonts w:ascii="Arial" w:eastAsia="Arial" w:hAnsi="Arial" w:cs="Arial"/>
                <w:iCs/>
                <w:lang w:val="fr-FR"/>
              </w:rPr>
              <w:t>Thomas et al. 2016; Bernard et al. 2011</w:t>
            </w:r>
          </w:p>
        </w:tc>
      </w:tr>
      <w:tr w:rsidR="002B17EB" w:rsidRPr="003B2AF4" w14:paraId="51F77891" w14:textId="77777777" w:rsidTr="003B2AF4">
        <w:trPr>
          <w:trHeight w:val="471"/>
        </w:trPr>
        <w:tc>
          <w:tcPr>
            <w:tcW w:w="4529" w:type="dxa"/>
            <w:shd w:val="clear" w:color="auto" w:fill="auto"/>
            <w:tcMar>
              <w:top w:w="100" w:type="dxa"/>
              <w:left w:w="100" w:type="dxa"/>
              <w:bottom w:w="100" w:type="dxa"/>
              <w:right w:w="100" w:type="dxa"/>
            </w:tcMar>
          </w:tcPr>
          <w:p w14:paraId="4A0D8971" w14:textId="77777777" w:rsidR="00FE140B" w:rsidRPr="003B2AF4" w:rsidRDefault="00FE140B" w:rsidP="002B17EB">
            <w:pPr>
              <w:spacing w:after="0" w:line="240" w:lineRule="auto"/>
              <w:rPr>
                <w:rFonts w:ascii="Arial" w:eastAsia="Arial" w:hAnsi="Arial" w:cs="Arial"/>
                <w:iCs/>
              </w:rPr>
            </w:pPr>
            <w:r w:rsidRPr="003B2AF4">
              <w:rPr>
                <w:rFonts w:ascii="Arial" w:eastAsia="Arial" w:hAnsi="Arial" w:cs="Arial"/>
                <w:iCs/>
              </w:rPr>
              <w:t>Dry mass ratio of gonad (D</w:t>
            </w:r>
            <w:r w:rsidRPr="003B2AF4">
              <w:rPr>
                <w:rFonts w:ascii="Arial" w:eastAsia="Arial" w:hAnsi="Arial" w:cs="Arial"/>
                <w:iCs/>
                <w:vertAlign w:val="subscript"/>
              </w:rPr>
              <w:t>go</w:t>
            </w:r>
            <w:r w:rsidRPr="003B2AF4">
              <w:rPr>
                <w:rFonts w:ascii="Arial" w:eastAsia="Arial" w:hAnsi="Arial" w:cs="Arial"/>
                <w:iCs/>
              </w:rPr>
              <w:t>)</w:t>
            </w:r>
          </w:p>
        </w:tc>
        <w:tc>
          <w:tcPr>
            <w:tcW w:w="2275" w:type="dxa"/>
            <w:shd w:val="clear" w:color="auto" w:fill="auto"/>
            <w:tcMar>
              <w:top w:w="100" w:type="dxa"/>
              <w:left w:w="100" w:type="dxa"/>
              <w:bottom w:w="100" w:type="dxa"/>
              <w:right w:w="100" w:type="dxa"/>
            </w:tcMar>
          </w:tcPr>
          <w:p w14:paraId="045E97B6" w14:textId="77777777" w:rsidR="00FE140B" w:rsidRPr="003B2AF4" w:rsidRDefault="00FE140B" w:rsidP="002B17EB">
            <w:pPr>
              <w:spacing w:after="0" w:line="240" w:lineRule="auto"/>
              <w:rPr>
                <w:rFonts w:ascii="Arial" w:eastAsia="Arial" w:hAnsi="Arial" w:cs="Arial"/>
                <w:iCs/>
              </w:rPr>
            </w:pPr>
            <w:r w:rsidRPr="003B2AF4">
              <w:rPr>
                <w:rFonts w:ascii="Arial" w:eastAsia="Arial" w:hAnsi="Arial" w:cs="Arial"/>
                <w:iCs/>
              </w:rPr>
              <w:t>0.31 (gDW.gWW</w:t>
            </w:r>
            <w:r w:rsidRPr="003B2AF4">
              <w:rPr>
                <w:rFonts w:ascii="Arial" w:eastAsia="Arial" w:hAnsi="Arial" w:cs="Arial"/>
                <w:iCs/>
                <w:vertAlign w:val="superscript"/>
              </w:rPr>
              <w:t>-1</w:t>
            </w:r>
            <w:r w:rsidRPr="003B2AF4">
              <w:rPr>
                <w:rFonts w:ascii="Arial" w:eastAsia="Arial" w:hAnsi="Arial" w:cs="Arial"/>
                <w:iCs/>
              </w:rPr>
              <w:t>)</w:t>
            </w:r>
          </w:p>
        </w:tc>
        <w:tc>
          <w:tcPr>
            <w:tcW w:w="2410" w:type="dxa"/>
            <w:shd w:val="clear" w:color="auto" w:fill="auto"/>
            <w:tcMar>
              <w:top w:w="100" w:type="dxa"/>
              <w:left w:w="100" w:type="dxa"/>
              <w:bottom w:w="100" w:type="dxa"/>
              <w:right w:w="100" w:type="dxa"/>
            </w:tcMar>
          </w:tcPr>
          <w:p w14:paraId="3BEEC48F" w14:textId="77777777" w:rsidR="00FE140B" w:rsidRPr="003B2AF4" w:rsidRDefault="00FE140B" w:rsidP="002B17EB">
            <w:pPr>
              <w:spacing w:after="0" w:line="240" w:lineRule="auto"/>
              <w:rPr>
                <w:rFonts w:ascii="Arial" w:eastAsia="Arial" w:hAnsi="Arial" w:cs="Arial"/>
                <w:iCs/>
                <w:lang w:val="fr-FR"/>
              </w:rPr>
            </w:pPr>
            <w:r w:rsidRPr="003B2AF4">
              <w:rPr>
                <w:rFonts w:ascii="Arial" w:eastAsia="Arial" w:hAnsi="Arial" w:cs="Arial"/>
                <w:iCs/>
                <w:lang w:val="fr-FR"/>
              </w:rPr>
              <w:t>Thomas et al. 2016; Bernard et al. 2011</w:t>
            </w:r>
          </w:p>
        </w:tc>
      </w:tr>
      <w:tr w:rsidR="002B17EB" w:rsidRPr="003B2AF4" w14:paraId="4F6A77BF" w14:textId="77777777" w:rsidTr="003B2AF4">
        <w:trPr>
          <w:trHeight w:val="484"/>
        </w:trPr>
        <w:tc>
          <w:tcPr>
            <w:tcW w:w="4529" w:type="dxa"/>
            <w:shd w:val="clear" w:color="auto" w:fill="auto"/>
            <w:tcMar>
              <w:top w:w="100" w:type="dxa"/>
              <w:left w:w="100" w:type="dxa"/>
              <w:bottom w:w="100" w:type="dxa"/>
              <w:right w:w="100" w:type="dxa"/>
            </w:tcMar>
          </w:tcPr>
          <w:p w14:paraId="1DD92B9E" w14:textId="77777777" w:rsidR="00FE140B" w:rsidRPr="003B2AF4" w:rsidRDefault="00FE140B" w:rsidP="002B17EB">
            <w:pPr>
              <w:spacing w:after="0" w:line="240" w:lineRule="auto"/>
              <w:rPr>
                <w:rFonts w:ascii="Arial" w:eastAsia="Arial" w:hAnsi="Arial" w:cs="Arial"/>
                <w:iCs/>
              </w:rPr>
            </w:pPr>
            <w:r w:rsidRPr="003B2AF4">
              <w:rPr>
                <w:rFonts w:ascii="Arial" w:eastAsia="Arial" w:hAnsi="Arial" w:cs="Arial"/>
                <w:iCs/>
              </w:rPr>
              <w:t>Volume specific cost for gonad (E</w:t>
            </w:r>
            <w:r w:rsidRPr="003B2AF4">
              <w:rPr>
                <w:rFonts w:ascii="Arial" w:eastAsia="Arial" w:hAnsi="Arial" w:cs="Arial"/>
                <w:iCs/>
                <w:vertAlign w:val="subscript"/>
              </w:rPr>
              <w:t>Ggo</w:t>
            </w:r>
            <w:r w:rsidRPr="003B2AF4">
              <w:rPr>
                <w:rFonts w:ascii="Arial" w:eastAsia="Arial" w:hAnsi="Arial" w:cs="Arial"/>
                <w:iCs/>
              </w:rPr>
              <w:t>)</w:t>
            </w:r>
          </w:p>
        </w:tc>
        <w:tc>
          <w:tcPr>
            <w:tcW w:w="2275" w:type="dxa"/>
            <w:shd w:val="clear" w:color="auto" w:fill="auto"/>
            <w:tcMar>
              <w:top w:w="100" w:type="dxa"/>
              <w:left w:w="100" w:type="dxa"/>
              <w:bottom w:w="100" w:type="dxa"/>
              <w:right w:w="100" w:type="dxa"/>
            </w:tcMar>
          </w:tcPr>
          <w:p w14:paraId="2F6B172E" w14:textId="77777777" w:rsidR="00FE140B" w:rsidRPr="003B2AF4" w:rsidRDefault="00FE140B" w:rsidP="002B17EB">
            <w:pPr>
              <w:spacing w:after="0" w:line="240" w:lineRule="auto"/>
              <w:rPr>
                <w:rFonts w:ascii="Arial" w:eastAsia="Arial" w:hAnsi="Arial" w:cs="Arial"/>
                <w:iCs/>
              </w:rPr>
            </w:pPr>
            <w:r w:rsidRPr="003B2AF4">
              <w:rPr>
                <w:rFonts w:ascii="Arial" w:eastAsia="Arial" w:hAnsi="Arial" w:cs="Arial"/>
                <w:iCs/>
              </w:rPr>
              <w:t>7500 (J cm</w:t>
            </w:r>
            <w:r w:rsidRPr="003B2AF4">
              <w:rPr>
                <w:rFonts w:ascii="Arial" w:eastAsia="Arial" w:hAnsi="Arial" w:cs="Arial"/>
                <w:iCs/>
                <w:vertAlign w:val="superscript"/>
              </w:rPr>
              <w:t>-3</w:t>
            </w:r>
            <w:r w:rsidRPr="003B2AF4">
              <w:rPr>
                <w:rFonts w:ascii="Arial" w:eastAsia="Arial" w:hAnsi="Arial" w:cs="Arial"/>
                <w:iCs/>
              </w:rPr>
              <w:t>)</w:t>
            </w:r>
          </w:p>
        </w:tc>
        <w:tc>
          <w:tcPr>
            <w:tcW w:w="2410" w:type="dxa"/>
            <w:shd w:val="clear" w:color="auto" w:fill="auto"/>
            <w:tcMar>
              <w:top w:w="100" w:type="dxa"/>
              <w:left w:w="100" w:type="dxa"/>
              <w:bottom w:w="100" w:type="dxa"/>
              <w:right w:w="100" w:type="dxa"/>
            </w:tcMar>
          </w:tcPr>
          <w:p w14:paraId="3A64FDD4" w14:textId="77777777" w:rsidR="00FE140B" w:rsidRPr="003B2AF4" w:rsidRDefault="00FE140B" w:rsidP="002B17EB">
            <w:pPr>
              <w:spacing w:after="0" w:line="240" w:lineRule="auto"/>
              <w:rPr>
                <w:rFonts w:ascii="Arial" w:eastAsia="Arial" w:hAnsi="Arial" w:cs="Arial"/>
                <w:iCs/>
                <w:lang w:val="fr-FR"/>
              </w:rPr>
            </w:pPr>
            <w:r w:rsidRPr="003B2AF4">
              <w:rPr>
                <w:rFonts w:ascii="Arial" w:eastAsia="Arial" w:hAnsi="Arial" w:cs="Arial"/>
                <w:iCs/>
                <w:lang w:val="fr-FR"/>
              </w:rPr>
              <w:t>Thomas et al. 2016; Bernard et al. 2011</w:t>
            </w:r>
          </w:p>
        </w:tc>
      </w:tr>
      <w:tr w:rsidR="002B17EB" w:rsidRPr="003B2AF4" w14:paraId="32C17528" w14:textId="77777777" w:rsidTr="003B2AF4">
        <w:trPr>
          <w:trHeight w:val="484"/>
        </w:trPr>
        <w:tc>
          <w:tcPr>
            <w:tcW w:w="4529" w:type="dxa"/>
            <w:shd w:val="clear" w:color="auto" w:fill="auto"/>
            <w:tcMar>
              <w:top w:w="100" w:type="dxa"/>
              <w:left w:w="100" w:type="dxa"/>
              <w:bottom w:w="100" w:type="dxa"/>
              <w:right w:w="100" w:type="dxa"/>
            </w:tcMar>
          </w:tcPr>
          <w:p w14:paraId="4280AA09" w14:textId="77777777" w:rsidR="00FE140B" w:rsidRPr="003B2AF4" w:rsidRDefault="00FE140B" w:rsidP="002B17EB">
            <w:pPr>
              <w:spacing w:after="0" w:line="240" w:lineRule="auto"/>
              <w:rPr>
                <w:rFonts w:ascii="Arial" w:eastAsia="Arial" w:hAnsi="Arial" w:cs="Arial"/>
                <w:iCs/>
              </w:rPr>
            </w:pPr>
            <w:r w:rsidRPr="003B2AF4">
              <w:rPr>
                <w:rFonts w:ascii="Arial" w:eastAsia="Arial" w:hAnsi="Arial" w:cs="Arial"/>
                <w:iCs/>
              </w:rPr>
              <w:t>Energy Conductance (v = K</w:t>
            </w:r>
            <w:r w:rsidRPr="003B2AF4">
              <w:rPr>
                <w:rFonts w:ascii="Arial" w:eastAsia="Arial" w:hAnsi="Arial" w:cs="Arial"/>
                <w:iCs/>
                <w:vertAlign w:val="subscript"/>
              </w:rPr>
              <w:t>X</w:t>
            </w:r>
            <w:r w:rsidRPr="003B2AF4">
              <w:rPr>
                <w:rFonts w:ascii="Arial" w:eastAsia="Arial" w:hAnsi="Arial" w:cs="Arial"/>
                <w:iCs/>
              </w:rPr>
              <w:t xml:space="preserve"> (P</w:t>
            </w:r>
            <w:r w:rsidRPr="003B2AF4">
              <w:rPr>
                <w:rFonts w:ascii="Arial" w:eastAsia="Arial" w:hAnsi="Arial" w:cs="Arial"/>
                <w:iCs/>
                <w:vertAlign w:val="subscript"/>
              </w:rPr>
              <w:t>xm</w:t>
            </w:r>
            <w:r w:rsidRPr="003B2AF4">
              <w:rPr>
                <w:rFonts w:ascii="Arial" w:eastAsia="Arial" w:hAnsi="Arial" w:cs="Arial"/>
                <w:iCs/>
              </w:rPr>
              <w:t>)/E</w:t>
            </w:r>
            <w:r w:rsidRPr="003B2AF4">
              <w:rPr>
                <w:rFonts w:ascii="Arial" w:eastAsia="Arial" w:hAnsi="Arial" w:cs="Arial"/>
                <w:iCs/>
                <w:vertAlign w:val="subscript"/>
              </w:rPr>
              <w:t>m</w:t>
            </w:r>
            <w:r w:rsidRPr="003B2AF4">
              <w:rPr>
                <w:rFonts w:ascii="Arial" w:eastAsia="Arial" w:hAnsi="Arial" w:cs="Arial"/>
                <w:iCs/>
              </w:rPr>
              <w:t>)</w:t>
            </w:r>
          </w:p>
        </w:tc>
        <w:tc>
          <w:tcPr>
            <w:tcW w:w="2275" w:type="dxa"/>
            <w:shd w:val="clear" w:color="auto" w:fill="auto"/>
            <w:tcMar>
              <w:top w:w="100" w:type="dxa"/>
              <w:left w:w="100" w:type="dxa"/>
              <w:bottom w:w="100" w:type="dxa"/>
              <w:right w:w="100" w:type="dxa"/>
            </w:tcMar>
          </w:tcPr>
          <w:p w14:paraId="5D07F854" w14:textId="77777777" w:rsidR="00FE140B" w:rsidRPr="003B2AF4" w:rsidRDefault="00FE140B" w:rsidP="002B17EB">
            <w:pPr>
              <w:spacing w:after="0" w:line="240" w:lineRule="auto"/>
              <w:rPr>
                <w:rFonts w:ascii="Arial" w:eastAsia="Arial" w:hAnsi="Arial" w:cs="Arial"/>
                <w:iCs/>
              </w:rPr>
            </w:pPr>
            <w:r w:rsidRPr="003B2AF4">
              <w:rPr>
                <w:rFonts w:ascii="Arial" w:eastAsia="Arial" w:hAnsi="Arial" w:cs="Arial"/>
                <w:iCs/>
              </w:rPr>
              <w:t>0.183 (cm d</w:t>
            </w:r>
            <w:r w:rsidRPr="003B2AF4">
              <w:rPr>
                <w:rFonts w:ascii="Arial" w:eastAsia="Arial" w:hAnsi="Arial" w:cs="Arial"/>
                <w:iCs/>
                <w:vertAlign w:val="superscript"/>
              </w:rPr>
              <w:t>-1</w:t>
            </w:r>
            <w:r w:rsidRPr="003B2AF4">
              <w:rPr>
                <w:rFonts w:ascii="Arial" w:eastAsia="Arial" w:hAnsi="Arial" w:cs="Arial"/>
                <w:iCs/>
              </w:rPr>
              <w:t>)</w:t>
            </w:r>
          </w:p>
        </w:tc>
        <w:tc>
          <w:tcPr>
            <w:tcW w:w="2410" w:type="dxa"/>
            <w:shd w:val="clear" w:color="auto" w:fill="auto"/>
            <w:tcMar>
              <w:top w:w="100" w:type="dxa"/>
              <w:left w:w="100" w:type="dxa"/>
              <w:bottom w:w="100" w:type="dxa"/>
              <w:right w:w="100" w:type="dxa"/>
            </w:tcMar>
          </w:tcPr>
          <w:p w14:paraId="15CE9F49" w14:textId="77777777" w:rsidR="00FE140B" w:rsidRPr="003B2AF4" w:rsidRDefault="00FE140B" w:rsidP="002B17EB">
            <w:pPr>
              <w:spacing w:after="0" w:line="240" w:lineRule="auto"/>
              <w:rPr>
                <w:rFonts w:ascii="Arial" w:eastAsia="Arial" w:hAnsi="Arial" w:cs="Arial"/>
                <w:iCs/>
                <w:lang w:val="fr-FR"/>
              </w:rPr>
            </w:pPr>
            <w:r w:rsidRPr="003B2AF4">
              <w:rPr>
                <w:rFonts w:ascii="Arial" w:eastAsia="Arial" w:hAnsi="Arial" w:cs="Arial"/>
                <w:iCs/>
                <w:lang w:val="fr-FR"/>
              </w:rPr>
              <w:t>Thomas et al. 2016; Bernard et al. 2011</w:t>
            </w:r>
          </w:p>
        </w:tc>
      </w:tr>
      <w:tr w:rsidR="002B17EB" w:rsidRPr="003B2AF4" w14:paraId="0CC8FEA0" w14:textId="77777777" w:rsidTr="003B2AF4">
        <w:trPr>
          <w:trHeight w:val="471"/>
        </w:trPr>
        <w:tc>
          <w:tcPr>
            <w:tcW w:w="4529" w:type="dxa"/>
            <w:shd w:val="clear" w:color="auto" w:fill="auto"/>
            <w:tcMar>
              <w:top w:w="100" w:type="dxa"/>
              <w:left w:w="100" w:type="dxa"/>
              <w:bottom w:w="100" w:type="dxa"/>
              <w:right w:w="100" w:type="dxa"/>
            </w:tcMar>
          </w:tcPr>
          <w:p w14:paraId="42B85DDE" w14:textId="77777777" w:rsidR="00FE140B" w:rsidRPr="003B2AF4" w:rsidRDefault="00FE140B" w:rsidP="002B17EB">
            <w:pPr>
              <w:spacing w:after="0" w:line="240" w:lineRule="auto"/>
              <w:rPr>
                <w:rFonts w:ascii="Arial" w:eastAsia="Arial" w:hAnsi="Arial" w:cs="Arial"/>
                <w:iCs/>
              </w:rPr>
            </w:pPr>
            <w:r w:rsidRPr="003B2AF4">
              <w:rPr>
                <w:rFonts w:ascii="Arial" w:eastAsia="Arial" w:hAnsi="Arial" w:cs="Arial"/>
                <w:iCs/>
              </w:rPr>
              <w:t>Yield of gonadal tissue for maintenance (Y</w:t>
            </w:r>
            <w:r w:rsidRPr="003B2AF4">
              <w:rPr>
                <w:rFonts w:ascii="Arial" w:eastAsia="Arial" w:hAnsi="Arial" w:cs="Arial"/>
                <w:iCs/>
                <w:vertAlign w:val="subscript"/>
              </w:rPr>
              <w:t>go</w:t>
            </w:r>
            <w:r w:rsidRPr="003B2AF4">
              <w:rPr>
                <w:rFonts w:ascii="Arial" w:eastAsia="Arial" w:hAnsi="Arial" w:cs="Arial"/>
                <w:iCs/>
              </w:rPr>
              <w:t>)</w:t>
            </w:r>
          </w:p>
        </w:tc>
        <w:tc>
          <w:tcPr>
            <w:tcW w:w="2275" w:type="dxa"/>
            <w:shd w:val="clear" w:color="auto" w:fill="auto"/>
            <w:tcMar>
              <w:top w:w="100" w:type="dxa"/>
              <w:left w:w="100" w:type="dxa"/>
              <w:bottom w:w="100" w:type="dxa"/>
              <w:right w:w="100" w:type="dxa"/>
            </w:tcMar>
          </w:tcPr>
          <w:p w14:paraId="35F5DB6D" w14:textId="77777777" w:rsidR="00FE140B" w:rsidRPr="003B2AF4" w:rsidRDefault="00FE140B" w:rsidP="002B17EB">
            <w:pPr>
              <w:spacing w:after="0" w:line="240" w:lineRule="auto"/>
              <w:rPr>
                <w:rFonts w:ascii="Arial" w:eastAsia="Arial" w:hAnsi="Arial" w:cs="Arial"/>
                <w:iCs/>
              </w:rPr>
            </w:pPr>
            <w:r w:rsidRPr="003B2AF4">
              <w:rPr>
                <w:rFonts w:ascii="Arial" w:eastAsia="Arial" w:hAnsi="Arial" w:cs="Arial"/>
                <w:iCs/>
              </w:rPr>
              <w:t>0.25</w:t>
            </w:r>
          </w:p>
        </w:tc>
        <w:tc>
          <w:tcPr>
            <w:tcW w:w="2410" w:type="dxa"/>
            <w:shd w:val="clear" w:color="auto" w:fill="auto"/>
            <w:tcMar>
              <w:top w:w="100" w:type="dxa"/>
              <w:left w:w="100" w:type="dxa"/>
              <w:bottom w:w="100" w:type="dxa"/>
              <w:right w:w="100" w:type="dxa"/>
            </w:tcMar>
          </w:tcPr>
          <w:p w14:paraId="33EFACE8" w14:textId="77777777" w:rsidR="00FE140B" w:rsidRPr="003B2AF4" w:rsidRDefault="00FE140B" w:rsidP="002B17EB">
            <w:pPr>
              <w:spacing w:after="0" w:line="240" w:lineRule="auto"/>
              <w:rPr>
                <w:rFonts w:ascii="Arial" w:eastAsia="Arial" w:hAnsi="Arial" w:cs="Arial"/>
                <w:iCs/>
                <w:lang w:val="fr-FR"/>
              </w:rPr>
            </w:pPr>
            <w:r w:rsidRPr="003B2AF4">
              <w:rPr>
                <w:rFonts w:ascii="Arial" w:eastAsia="Arial" w:hAnsi="Arial" w:cs="Arial"/>
                <w:iCs/>
                <w:lang w:val="fr-FR"/>
              </w:rPr>
              <w:t>Thomas et al. 2016; Bernard et al. 2011</w:t>
            </w:r>
          </w:p>
        </w:tc>
      </w:tr>
      <w:tr w:rsidR="002B17EB" w:rsidRPr="003B2AF4" w14:paraId="34D05A96" w14:textId="77777777" w:rsidTr="003B2AF4">
        <w:trPr>
          <w:trHeight w:val="484"/>
        </w:trPr>
        <w:tc>
          <w:tcPr>
            <w:tcW w:w="4529" w:type="dxa"/>
            <w:shd w:val="clear" w:color="auto" w:fill="auto"/>
            <w:tcMar>
              <w:top w:w="100" w:type="dxa"/>
              <w:left w:w="100" w:type="dxa"/>
              <w:bottom w:w="100" w:type="dxa"/>
              <w:right w:w="100" w:type="dxa"/>
            </w:tcMar>
          </w:tcPr>
          <w:p w14:paraId="15DCF866" w14:textId="77777777" w:rsidR="00FE140B" w:rsidRPr="003B2AF4" w:rsidRDefault="00FE140B" w:rsidP="002B17EB">
            <w:pPr>
              <w:spacing w:after="0" w:line="240" w:lineRule="auto"/>
              <w:rPr>
                <w:rFonts w:ascii="Arial" w:eastAsia="Arial" w:hAnsi="Arial" w:cs="Arial"/>
                <w:iCs/>
              </w:rPr>
            </w:pPr>
            <w:r w:rsidRPr="003B2AF4">
              <w:rPr>
                <w:rFonts w:ascii="Arial" w:eastAsia="Arial" w:hAnsi="Arial" w:cs="Arial"/>
                <w:iCs/>
              </w:rPr>
              <w:lastRenderedPageBreak/>
              <w:t>Structural volume at puberty (V</w:t>
            </w:r>
            <w:r w:rsidRPr="003B2AF4">
              <w:rPr>
                <w:rFonts w:ascii="Arial" w:eastAsia="Arial" w:hAnsi="Arial" w:cs="Arial"/>
                <w:iCs/>
                <w:vertAlign w:val="subscript"/>
              </w:rPr>
              <w:t>p</w:t>
            </w:r>
            <w:r w:rsidRPr="003B2AF4">
              <w:rPr>
                <w:rFonts w:ascii="Arial" w:eastAsia="Arial" w:hAnsi="Arial" w:cs="Arial"/>
                <w:iCs/>
              </w:rPr>
              <w:t>)</w:t>
            </w:r>
          </w:p>
        </w:tc>
        <w:tc>
          <w:tcPr>
            <w:tcW w:w="2275" w:type="dxa"/>
            <w:shd w:val="clear" w:color="auto" w:fill="auto"/>
            <w:tcMar>
              <w:top w:w="100" w:type="dxa"/>
              <w:left w:w="100" w:type="dxa"/>
              <w:bottom w:w="100" w:type="dxa"/>
              <w:right w:w="100" w:type="dxa"/>
            </w:tcMar>
          </w:tcPr>
          <w:p w14:paraId="59322457" w14:textId="77777777" w:rsidR="00FE140B" w:rsidRPr="003B2AF4" w:rsidRDefault="00FE140B" w:rsidP="002B17EB">
            <w:pPr>
              <w:spacing w:after="0" w:line="240" w:lineRule="auto"/>
              <w:rPr>
                <w:rFonts w:ascii="Arial" w:eastAsia="Arial" w:hAnsi="Arial" w:cs="Arial"/>
                <w:iCs/>
              </w:rPr>
            </w:pPr>
            <w:r w:rsidRPr="003B2AF4">
              <w:rPr>
                <w:rFonts w:ascii="Arial" w:eastAsia="Arial" w:hAnsi="Arial" w:cs="Arial"/>
                <w:iCs/>
              </w:rPr>
              <w:t>0.4 (cm</w:t>
            </w:r>
            <w:r w:rsidRPr="003B2AF4">
              <w:rPr>
                <w:rFonts w:ascii="Arial" w:eastAsia="Arial" w:hAnsi="Arial" w:cs="Arial"/>
                <w:iCs/>
                <w:vertAlign w:val="superscript"/>
              </w:rPr>
              <w:t>3</w:t>
            </w:r>
            <w:r w:rsidRPr="003B2AF4">
              <w:rPr>
                <w:rFonts w:ascii="Arial" w:eastAsia="Arial" w:hAnsi="Arial" w:cs="Arial"/>
                <w:iCs/>
              </w:rPr>
              <w:t>)</w:t>
            </w:r>
          </w:p>
        </w:tc>
        <w:tc>
          <w:tcPr>
            <w:tcW w:w="2410" w:type="dxa"/>
            <w:shd w:val="clear" w:color="auto" w:fill="auto"/>
            <w:tcMar>
              <w:top w:w="100" w:type="dxa"/>
              <w:left w:w="100" w:type="dxa"/>
              <w:bottom w:w="100" w:type="dxa"/>
              <w:right w:w="100" w:type="dxa"/>
            </w:tcMar>
          </w:tcPr>
          <w:p w14:paraId="73A8FBCA" w14:textId="77777777" w:rsidR="00FE140B" w:rsidRPr="003B2AF4" w:rsidRDefault="00FE140B" w:rsidP="002B17EB">
            <w:pPr>
              <w:spacing w:after="0" w:line="240" w:lineRule="auto"/>
              <w:rPr>
                <w:rFonts w:ascii="Arial" w:eastAsia="Arial" w:hAnsi="Arial" w:cs="Arial"/>
                <w:iCs/>
                <w:lang w:val="fr-FR"/>
              </w:rPr>
            </w:pPr>
            <w:r w:rsidRPr="003B2AF4">
              <w:rPr>
                <w:rFonts w:ascii="Arial" w:eastAsia="Arial" w:hAnsi="Arial" w:cs="Arial"/>
                <w:iCs/>
                <w:lang w:val="fr-FR"/>
              </w:rPr>
              <w:t>Thomas et al. 2016; Povreau et al. 2006</w:t>
            </w:r>
          </w:p>
        </w:tc>
      </w:tr>
      <w:tr w:rsidR="002B17EB" w:rsidRPr="003B2AF4" w14:paraId="0F27EA1F" w14:textId="77777777" w:rsidTr="003B2AF4">
        <w:trPr>
          <w:trHeight w:val="458"/>
        </w:trPr>
        <w:tc>
          <w:tcPr>
            <w:tcW w:w="4529" w:type="dxa"/>
            <w:shd w:val="clear" w:color="auto" w:fill="auto"/>
            <w:tcMar>
              <w:top w:w="100" w:type="dxa"/>
              <w:left w:w="100" w:type="dxa"/>
              <w:bottom w:w="100" w:type="dxa"/>
              <w:right w:w="100" w:type="dxa"/>
            </w:tcMar>
          </w:tcPr>
          <w:p w14:paraId="382FFD0A" w14:textId="77777777" w:rsidR="00FE140B" w:rsidRPr="003B2AF4" w:rsidRDefault="00FE140B" w:rsidP="002B17EB">
            <w:pPr>
              <w:spacing w:after="0" w:line="240" w:lineRule="auto"/>
              <w:rPr>
                <w:rFonts w:ascii="Arial" w:eastAsia="Arial" w:hAnsi="Arial" w:cs="Arial"/>
                <w:iCs/>
              </w:rPr>
            </w:pPr>
            <w:r w:rsidRPr="003B2AF4">
              <w:rPr>
                <w:rFonts w:ascii="Arial" w:eastAsia="Arial" w:hAnsi="Arial" w:cs="Arial"/>
                <w:iCs/>
              </w:rPr>
              <w:t>Gonado-Somatic ratio (GSR)</w:t>
            </w:r>
          </w:p>
        </w:tc>
        <w:tc>
          <w:tcPr>
            <w:tcW w:w="2275" w:type="dxa"/>
            <w:shd w:val="clear" w:color="auto" w:fill="auto"/>
            <w:tcMar>
              <w:top w:w="100" w:type="dxa"/>
              <w:left w:w="100" w:type="dxa"/>
              <w:bottom w:w="100" w:type="dxa"/>
              <w:right w:w="100" w:type="dxa"/>
            </w:tcMar>
          </w:tcPr>
          <w:p w14:paraId="240B4C97" w14:textId="77777777" w:rsidR="00FE140B" w:rsidRPr="003B2AF4" w:rsidRDefault="00FE140B" w:rsidP="002B17EB">
            <w:pPr>
              <w:spacing w:after="0" w:line="240" w:lineRule="auto"/>
              <w:rPr>
                <w:rFonts w:ascii="Arial" w:eastAsia="Arial" w:hAnsi="Arial" w:cs="Arial"/>
                <w:iCs/>
              </w:rPr>
            </w:pPr>
            <w:r w:rsidRPr="003B2AF4">
              <w:rPr>
                <w:rFonts w:ascii="Arial" w:eastAsia="Arial" w:hAnsi="Arial" w:cs="Arial"/>
                <w:iCs/>
              </w:rPr>
              <w:t>0.4</w:t>
            </w:r>
          </w:p>
        </w:tc>
        <w:tc>
          <w:tcPr>
            <w:tcW w:w="2410" w:type="dxa"/>
            <w:shd w:val="clear" w:color="auto" w:fill="auto"/>
            <w:tcMar>
              <w:top w:w="100" w:type="dxa"/>
              <w:left w:w="100" w:type="dxa"/>
              <w:bottom w:w="100" w:type="dxa"/>
              <w:right w:w="100" w:type="dxa"/>
            </w:tcMar>
          </w:tcPr>
          <w:p w14:paraId="6085FC2B" w14:textId="77777777" w:rsidR="00FE140B" w:rsidRPr="003B2AF4" w:rsidRDefault="00FE140B" w:rsidP="002B17EB">
            <w:pPr>
              <w:spacing w:after="0" w:line="240" w:lineRule="auto"/>
              <w:rPr>
                <w:rFonts w:ascii="Arial" w:eastAsia="Arial" w:hAnsi="Arial" w:cs="Arial"/>
                <w:iCs/>
                <w:lang w:val="fr-FR"/>
              </w:rPr>
            </w:pPr>
            <w:r w:rsidRPr="003B2AF4">
              <w:rPr>
                <w:rFonts w:ascii="Arial" w:eastAsia="Arial" w:hAnsi="Arial" w:cs="Arial"/>
                <w:iCs/>
                <w:lang w:val="fr-FR"/>
              </w:rPr>
              <w:t>Thomas et al. 2016; Bourlès et al. 2009</w:t>
            </w:r>
          </w:p>
        </w:tc>
      </w:tr>
      <w:tr w:rsidR="00FE140B" w:rsidRPr="003B2AF4" w14:paraId="77B5D54B" w14:textId="77777777" w:rsidTr="003B2AF4">
        <w:trPr>
          <w:trHeight w:val="421"/>
        </w:trPr>
        <w:tc>
          <w:tcPr>
            <w:tcW w:w="9214" w:type="dxa"/>
            <w:gridSpan w:val="3"/>
            <w:shd w:val="clear" w:color="auto" w:fill="auto"/>
            <w:tcMar>
              <w:top w:w="100" w:type="dxa"/>
              <w:left w:w="100" w:type="dxa"/>
              <w:bottom w:w="100" w:type="dxa"/>
              <w:right w:w="100" w:type="dxa"/>
            </w:tcMar>
          </w:tcPr>
          <w:p w14:paraId="094D5B57" w14:textId="77777777" w:rsidR="00FE140B" w:rsidRPr="003B2AF4" w:rsidRDefault="00FE140B" w:rsidP="002B17EB">
            <w:pPr>
              <w:spacing w:after="0" w:line="240" w:lineRule="auto"/>
              <w:rPr>
                <w:rFonts w:ascii="Arial" w:eastAsia="Arial" w:hAnsi="Arial" w:cs="Arial"/>
                <w:b/>
                <w:iCs/>
                <w:sz w:val="24"/>
                <w:szCs w:val="24"/>
              </w:rPr>
            </w:pPr>
            <w:r w:rsidRPr="003B2AF4">
              <w:rPr>
                <w:rFonts w:ascii="Arial" w:eastAsia="Arial" w:hAnsi="Arial" w:cs="Arial"/>
                <w:b/>
                <w:iCs/>
                <w:sz w:val="24"/>
                <w:szCs w:val="24"/>
              </w:rPr>
              <w:t>Temperature-Metabolism parameters</w:t>
            </w:r>
          </w:p>
        </w:tc>
      </w:tr>
      <w:tr w:rsidR="002B17EB" w:rsidRPr="003B2AF4" w14:paraId="238A431F" w14:textId="77777777" w:rsidTr="003B2AF4">
        <w:trPr>
          <w:trHeight w:val="458"/>
        </w:trPr>
        <w:tc>
          <w:tcPr>
            <w:tcW w:w="4529" w:type="dxa"/>
            <w:shd w:val="clear" w:color="auto" w:fill="auto"/>
            <w:tcMar>
              <w:top w:w="100" w:type="dxa"/>
              <w:left w:w="100" w:type="dxa"/>
              <w:bottom w:w="100" w:type="dxa"/>
              <w:right w:w="100" w:type="dxa"/>
            </w:tcMar>
          </w:tcPr>
          <w:p w14:paraId="15C4A366" w14:textId="77777777" w:rsidR="00FE140B" w:rsidRPr="003B2AF4" w:rsidRDefault="00FE140B" w:rsidP="002B17EB">
            <w:pPr>
              <w:spacing w:after="0" w:line="240" w:lineRule="auto"/>
              <w:rPr>
                <w:rFonts w:ascii="Arial" w:eastAsia="Arial" w:hAnsi="Arial" w:cs="Arial"/>
                <w:iCs/>
              </w:rPr>
            </w:pPr>
            <w:r w:rsidRPr="003B2AF4">
              <w:rPr>
                <w:rFonts w:ascii="Arial" w:eastAsia="Arial" w:hAnsi="Arial" w:cs="Arial"/>
                <w:iCs/>
              </w:rPr>
              <w:t>Arrhenius temperature (T</w:t>
            </w:r>
            <w:r w:rsidRPr="003B2AF4">
              <w:rPr>
                <w:rFonts w:ascii="Arial" w:eastAsia="Arial" w:hAnsi="Arial" w:cs="Arial"/>
                <w:iCs/>
                <w:vertAlign w:val="subscript"/>
              </w:rPr>
              <w:t>A</w:t>
            </w:r>
            <w:r w:rsidRPr="003B2AF4">
              <w:rPr>
                <w:rFonts w:ascii="Arial" w:eastAsia="Arial" w:hAnsi="Arial" w:cs="Arial"/>
                <w:iCs/>
              </w:rPr>
              <w:t>)</w:t>
            </w:r>
          </w:p>
        </w:tc>
        <w:tc>
          <w:tcPr>
            <w:tcW w:w="2275" w:type="dxa"/>
            <w:shd w:val="clear" w:color="auto" w:fill="auto"/>
            <w:tcMar>
              <w:top w:w="100" w:type="dxa"/>
              <w:left w:w="100" w:type="dxa"/>
              <w:bottom w:w="100" w:type="dxa"/>
              <w:right w:w="100" w:type="dxa"/>
            </w:tcMar>
          </w:tcPr>
          <w:p w14:paraId="33BD2AFD" w14:textId="77777777" w:rsidR="00FE140B" w:rsidRPr="003B2AF4" w:rsidRDefault="00FE140B" w:rsidP="002B17EB">
            <w:pPr>
              <w:spacing w:after="0" w:line="240" w:lineRule="auto"/>
              <w:rPr>
                <w:rFonts w:ascii="Arial" w:eastAsia="Arial" w:hAnsi="Arial" w:cs="Arial"/>
                <w:iCs/>
              </w:rPr>
            </w:pPr>
            <w:r w:rsidRPr="003B2AF4">
              <w:rPr>
                <w:rFonts w:ascii="Arial" w:eastAsia="Arial" w:hAnsi="Arial" w:cs="Arial"/>
                <w:iCs/>
              </w:rPr>
              <w:t>5800 (°K)</w:t>
            </w:r>
          </w:p>
        </w:tc>
        <w:tc>
          <w:tcPr>
            <w:tcW w:w="2410" w:type="dxa"/>
            <w:shd w:val="clear" w:color="auto" w:fill="auto"/>
            <w:tcMar>
              <w:top w:w="100" w:type="dxa"/>
              <w:left w:w="100" w:type="dxa"/>
              <w:bottom w:w="100" w:type="dxa"/>
              <w:right w:w="100" w:type="dxa"/>
            </w:tcMar>
          </w:tcPr>
          <w:p w14:paraId="7B2708D1" w14:textId="659A8D7D" w:rsidR="00FE140B" w:rsidRPr="003B2AF4" w:rsidRDefault="00FE140B" w:rsidP="002B17EB">
            <w:pPr>
              <w:spacing w:after="0" w:line="240" w:lineRule="auto"/>
              <w:rPr>
                <w:rFonts w:ascii="Arial" w:eastAsia="Arial" w:hAnsi="Arial" w:cs="Arial"/>
                <w:iCs/>
                <w:lang w:val="fr-FR"/>
              </w:rPr>
            </w:pPr>
            <w:r w:rsidRPr="003B2AF4">
              <w:rPr>
                <w:rFonts w:ascii="Arial" w:eastAsia="Arial" w:hAnsi="Arial" w:cs="Arial"/>
                <w:iCs/>
                <w:lang w:val="fr-FR"/>
              </w:rPr>
              <w:t>Thomas et al. 2016; Van der Veer et al. 2006</w:t>
            </w:r>
          </w:p>
        </w:tc>
      </w:tr>
      <w:tr w:rsidR="002B17EB" w:rsidRPr="003B2AF4" w14:paraId="4CE24F32" w14:textId="77777777" w:rsidTr="003B2AF4">
        <w:trPr>
          <w:trHeight w:val="444"/>
        </w:trPr>
        <w:tc>
          <w:tcPr>
            <w:tcW w:w="4529" w:type="dxa"/>
            <w:shd w:val="clear" w:color="auto" w:fill="auto"/>
            <w:tcMar>
              <w:top w:w="100" w:type="dxa"/>
              <w:left w:w="100" w:type="dxa"/>
              <w:bottom w:w="100" w:type="dxa"/>
              <w:right w:w="100" w:type="dxa"/>
            </w:tcMar>
          </w:tcPr>
          <w:p w14:paraId="0A3DC638" w14:textId="77777777" w:rsidR="00FE140B" w:rsidRPr="003B2AF4" w:rsidRDefault="00FE140B" w:rsidP="002B17EB">
            <w:pPr>
              <w:spacing w:after="0" w:line="240" w:lineRule="auto"/>
              <w:rPr>
                <w:rFonts w:ascii="Arial" w:eastAsia="Arial" w:hAnsi="Arial" w:cs="Arial"/>
                <w:iCs/>
              </w:rPr>
            </w:pPr>
            <w:r w:rsidRPr="003B2AF4">
              <w:rPr>
                <w:rFonts w:ascii="Arial" w:eastAsia="Arial" w:hAnsi="Arial" w:cs="Arial"/>
                <w:iCs/>
              </w:rPr>
              <w:t>Reference temperature for rates (T</w:t>
            </w:r>
            <w:r w:rsidRPr="003B2AF4">
              <w:rPr>
                <w:rFonts w:ascii="Arial" w:eastAsia="Arial" w:hAnsi="Arial" w:cs="Arial"/>
                <w:iCs/>
                <w:vertAlign w:val="subscript"/>
              </w:rPr>
              <w:t>1</w:t>
            </w:r>
            <w:r w:rsidRPr="003B2AF4">
              <w:rPr>
                <w:rFonts w:ascii="Arial" w:eastAsia="Arial" w:hAnsi="Arial" w:cs="Arial"/>
                <w:iCs/>
              </w:rPr>
              <w:t>)</w:t>
            </w:r>
          </w:p>
        </w:tc>
        <w:tc>
          <w:tcPr>
            <w:tcW w:w="2275" w:type="dxa"/>
            <w:shd w:val="clear" w:color="auto" w:fill="auto"/>
            <w:tcMar>
              <w:top w:w="100" w:type="dxa"/>
              <w:left w:w="100" w:type="dxa"/>
              <w:bottom w:w="100" w:type="dxa"/>
              <w:right w:w="100" w:type="dxa"/>
            </w:tcMar>
          </w:tcPr>
          <w:p w14:paraId="7EEA1088" w14:textId="77777777" w:rsidR="00FE140B" w:rsidRPr="003B2AF4" w:rsidRDefault="00FE140B" w:rsidP="002B17EB">
            <w:pPr>
              <w:spacing w:after="0" w:line="240" w:lineRule="auto"/>
              <w:rPr>
                <w:rFonts w:ascii="Arial" w:eastAsia="Arial" w:hAnsi="Arial" w:cs="Arial"/>
                <w:iCs/>
              </w:rPr>
            </w:pPr>
            <w:r w:rsidRPr="003B2AF4">
              <w:rPr>
                <w:rFonts w:ascii="Arial" w:eastAsia="Arial" w:hAnsi="Arial" w:cs="Arial"/>
                <w:iCs/>
              </w:rPr>
              <w:t>293 (°K)</w:t>
            </w:r>
          </w:p>
        </w:tc>
        <w:tc>
          <w:tcPr>
            <w:tcW w:w="2410" w:type="dxa"/>
            <w:shd w:val="clear" w:color="auto" w:fill="auto"/>
            <w:tcMar>
              <w:top w:w="100" w:type="dxa"/>
              <w:left w:w="100" w:type="dxa"/>
              <w:bottom w:w="100" w:type="dxa"/>
              <w:right w:w="100" w:type="dxa"/>
            </w:tcMar>
          </w:tcPr>
          <w:p w14:paraId="74892877" w14:textId="77777777" w:rsidR="00FE140B" w:rsidRPr="003B2AF4" w:rsidRDefault="00FE140B" w:rsidP="002B17EB">
            <w:pPr>
              <w:spacing w:after="0" w:line="240" w:lineRule="auto"/>
              <w:rPr>
                <w:rFonts w:ascii="Arial" w:eastAsia="Arial" w:hAnsi="Arial" w:cs="Arial"/>
                <w:iCs/>
                <w:lang w:val="fr-FR"/>
              </w:rPr>
            </w:pPr>
            <w:r w:rsidRPr="003B2AF4">
              <w:rPr>
                <w:rFonts w:ascii="Arial" w:eastAsia="Arial" w:hAnsi="Arial" w:cs="Arial"/>
                <w:iCs/>
                <w:lang w:val="fr-FR"/>
              </w:rPr>
              <w:t>Thomas et al. 2016; Bernard et al. 2011</w:t>
            </w:r>
          </w:p>
        </w:tc>
      </w:tr>
      <w:tr w:rsidR="002B17EB" w:rsidRPr="003B2AF4" w14:paraId="5E06B769" w14:textId="77777777" w:rsidTr="003B2AF4">
        <w:trPr>
          <w:trHeight w:val="471"/>
        </w:trPr>
        <w:tc>
          <w:tcPr>
            <w:tcW w:w="4529" w:type="dxa"/>
            <w:shd w:val="clear" w:color="auto" w:fill="auto"/>
            <w:tcMar>
              <w:top w:w="100" w:type="dxa"/>
              <w:left w:w="100" w:type="dxa"/>
              <w:bottom w:w="100" w:type="dxa"/>
              <w:right w:w="100" w:type="dxa"/>
            </w:tcMar>
          </w:tcPr>
          <w:p w14:paraId="210515A5" w14:textId="77777777" w:rsidR="00FE140B" w:rsidRPr="003B2AF4" w:rsidRDefault="00FE140B" w:rsidP="002B17EB">
            <w:pPr>
              <w:spacing w:after="0" w:line="240" w:lineRule="auto"/>
              <w:rPr>
                <w:rFonts w:ascii="Arial" w:eastAsia="Arial" w:hAnsi="Arial" w:cs="Arial"/>
                <w:iCs/>
              </w:rPr>
            </w:pPr>
            <w:r w:rsidRPr="003B2AF4">
              <w:rPr>
                <w:rFonts w:ascii="Arial" w:eastAsia="Arial" w:hAnsi="Arial" w:cs="Arial"/>
                <w:iCs/>
              </w:rPr>
              <w:t>Lower boundary tolerance range (T</w:t>
            </w:r>
            <w:r w:rsidRPr="003B2AF4">
              <w:rPr>
                <w:rFonts w:ascii="Arial" w:eastAsia="Arial" w:hAnsi="Arial" w:cs="Arial"/>
                <w:iCs/>
                <w:vertAlign w:val="subscript"/>
              </w:rPr>
              <w:t>L</w:t>
            </w:r>
            <w:r w:rsidRPr="003B2AF4">
              <w:rPr>
                <w:rFonts w:ascii="Arial" w:eastAsia="Arial" w:hAnsi="Arial" w:cs="Arial"/>
                <w:iCs/>
              </w:rPr>
              <w:t>)</w:t>
            </w:r>
          </w:p>
        </w:tc>
        <w:tc>
          <w:tcPr>
            <w:tcW w:w="2275" w:type="dxa"/>
            <w:shd w:val="clear" w:color="auto" w:fill="auto"/>
            <w:tcMar>
              <w:top w:w="100" w:type="dxa"/>
              <w:left w:w="100" w:type="dxa"/>
              <w:bottom w:w="100" w:type="dxa"/>
              <w:right w:w="100" w:type="dxa"/>
            </w:tcMar>
          </w:tcPr>
          <w:p w14:paraId="5B1C24AB" w14:textId="77777777" w:rsidR="00FE140B" w:rsidRPr="003B2AF4" w:rsidRDefault="00FE140B" w:rsidP="002B17EB">
            <w:pPr>
              <w:spacing w:after="0" w:line="240" w:lineRule="auto"/>
              <w:rPr>
                <w:rFonts w:ascii="Arial" w:eastAsia="Arial" w:hAnsi="Arial" w:cs="Arial"/>
                <w:iCs/>
              </w:rPr>
            </w:pPr>
            <w:r w:rsidRPr="003B2AF4">
              <w:rPr>
                <w:rFonts w:ascii="Arial" w:eastAsia="Arial" w:hAnsi="Arial" w:cs="Arial"/>
                <w:iCs/>
              </w:rPr>
              <w:t>281 (°K)</w:t>
            </w:r>
          </w:p>
        </w:tc>
        <w:tc>
          <w:tcPr>
            <w:tcW w:w="2410" w:type="dxa"/>
            <w:shd w:val="clear" w:color="auto" w:fill="auto"/>
            <w:tcMar>
              <w:top w:w="100" w:type="dxa"/>
              <w:left w:w="100" w:type="dxa"/>
              <w:bottom w:w="100" w:type="dxa"/>
              <w:right w:w="100" w:type="dxa"/>
            </w:tcMar>
          </w:tcPr>
          <w:p w14:paraId="61B7AA22" w14:textId="1F2B925C" w:rsidR="00FE140B" w:rsidRPr="003B2AF4" w:rsidRDefault="00FE140B" w:rsidP="002B17EB">
            <w:pPr>
              <w:spacing w:after="0" w:line="240" w:lineRule="auto"/>
              <w:rPr>
                <w:rFonts w:ascii="Arial" w:eastAsia="Arial" w:hAnsi="Arial" w:cs="Arial"/>
                <w:iCs/>
                <w:lang w:val="fr-FR"/>
              </w:rPr>
            </w:pPr>
            <w:r w:rsidRPr="003B2AF4">
              <w:rPr>
                <w:rFonts w:ascii="Arial" w:eastAsia="Arial" w:hAnsi="Arial" w:cs="Arial"/>
                <w:iCs/>
                <w:lang w:val="fr-FR"/>
              </w:rPr>
              <w:t>Thomas et al. 2016; Van der Veer et al. 2006</w:t>
            </w:r>
          </w:p>
        </w:tc>
      </w:tr>
      <w:tr w:rsidR="002B17EB" w:rsidRPr="003B2AF4" w14:paraId="69F14E91" w14:textId="77777777" w:rsidTr="003B2AF4">
        <w:trPr>
          <w:trHeight w:val="417"/>
        </w:trPr>
        <w:tc>
          <w:tcPr>
            <w:tcW w:w="4529" w:type="dxa"/>
            <w:shd w:val="clear" w:color="auto" w:fill="auto"/>
            <w:tcMar>
              <w:top w:w="100" w:type="dxa"/>
              <w:left w:w="100" w:type="dxa"/>
              <w:bottom w:w="100" w:type="dxa"/>
              <w:right w:w="100" w:type="dxa"/>
            </w:tcMar>
          </w:tcPr>
          <w:p w14:paraId="42B727E9" w14:textId="77777777" w:rsidR="00FE140B" w:rsidRPr="003B2AF4" w:rsidRDefault="00FE140B" w:rsidP="002B17EB">
            <w:pPr>
              <w:spacing w:after="0" w:line="240" w:lineRule="auto"/>
              <w:rPr>
                <w:rFonts w:ascii="Arial" w:eastAsia="Arial" w:hAnsi="Arial" w:cs="Arial"/>
                <w:iCs/>
              </w:rPr>
            </w:pPr>
            <w:r w:rsidRPr="003B2AF4">
              <w:rPr>
                <w:rFonts w:ascii="Arial" w:eastAsia="Arial" w:hAnsi="Arial" w:cs="Arial"/>
                <w:iCs/>
              </w:rPr>
              <w:t>Upper boundary tolerance range (T</w:t>
            </w:r>
            <w:r w:rsidRPr="003B2AF4">
              <w:rPr>
                <w:rFonts w:ascii="Arial" w:eastAsia="Arial" w:hAnsi="Arial" w:cs="Arial"/>
                <w:iCs/>
                <w:vertAlign w:val="subscript"/>
              </w:rPr>
              <w:t>H</w:t>
            </w:r>
            <w:r w:rsidRPr="003B2AF4">
              <w:rPr>
                <w:rFonts w:ascii="Arial" w:eastAsia="Arial" w:hAnsi="Arial" w:cs="Arial"/>
                <w:iCs/>
              </w:rPr>
              <w:t>)</w:t>
            </w:r>
          </w:p>
        </w:tc>
        <w:tc>
          <w:tcPr>
            <w:tcW w:w="2275" w:type="dxa"/>
            <w:shd w:val="clear" w:color="auto" w:fill="auto"/>
            <w:tcMar>
              <w:top w:w="100" w:type="dxa"/>
              <w:left w:w="100" w:type="dxa"/>
              <w:bottom w:w="100" w:type="dxa"/>
              <w:right w:w="100" w:type="dxa"/>
            </w:tcMar>
          </w:tcPr>
          <w:p w14:paraId="0782FDA6" w14:textId="77777777" w:rsidR="00FE140B" w:rsidRPr="003B2AF4" w:rsidRDefault="00FE140B" w:rsidP="002B17EB">
            <w:pPr>
              <w:spacing w:after="0" w:line="240" w:lineRule="auto"/>
              <w:rPr>
                <w:rFonts w:ascii="Arial" w:eastAsia="Arial" w:hAnsi="Arial" w:cs="Arial"/>
                <w:iCs/>
              </w:rPr>
            </w:pPr>
            <w:r w:rsidRPr="003B2AF4">
              <w:rPr>
                <w:rFonts w:ascii="Arial" w:eastAsia="Arial" w:hAnsi="Arial" w:cs="Arial"/>
                <w:iCs/>
              </w:rPr>
              <w:t>300 (°K)</w:t>
            </w:r>
          </w:p>
        </w:tc>
        <w:tc>
          <w:tcPr>
            <w:tcW w:w="2410" w:type="dxa"/>
            <w:shd w:val="clear" w:color="auto" w:fill="auto"/>
            <w:tcMar>
              <w:top w:w="100" w:type="dxa"/>
              <w:left w:w="100" w:type="dxa"/>
              <w:bottom w:w="100" w:type="dxa"/>
              <w:right w:w="100" w:type="dxa"/>
            </w:tcMar>
          </w:tcPr>
          <w:p w14:paraId="47498147" w14:textId="77777777" w:rsidR="00FE140B" w:rsidRPr="003B2AF4" w:rsidRDefault="00FE140B" w:rsidP="002B17EB">
            <w:pPr>
              <w:spacing w:after="0" w:line="240" w:lineRule="auto"/>
              <w:rPr>
                <w:rFonts w:ascii="Arial" w:eastAsia="Arial" w:hAnsi="Arial" w:cs="Arial"/>
                <w:iCs/>
              </w:rPr>
            </w:pPr>
            <w:r w:rsidRPr="003B2AF4">
              <w:rPr>
                <w:rFonts w:ascii="Arial" w:eastAsia="Arial" w:hAnsi="Arial" w:cs="Arial"/>
                <w:iCs/>
              </w:rPr>
              <w:t>Thomas et al. 2016</w:t>
            </w:r>
          </w:p>
        </w:tc>
      </w:tr>
      <w:tr w:rsidR="002B17EB" w:rsidRPr="003B2AF4" w14:paraId="63EF088C" w14:textId="77777777" w:rsidTr="003B2AF4">
        <w:trPr>
          <w:trHeight w:val="458"/>
        </w:trPr>
        <w:tc>
          <w:tcPr>
            <w:tcW w:w="4529" w:type="dxa"/>
            <w:shd w:val="clear" w:color="auto" w:fill="auto"/>
            <w:tcMar>
              <w:top w:w="100" w:type="dxa"/>
              <w:left w:w="100" w:type="dxa"/>
              <w:bottom w:w="100" w:type="dxa"/>
              <w:right w:w="100" w:type="dxa"/>
            </w:tcMar>
          </w:tcPr>
          <w:p w14:paraId="695FFF58" w14:textId="77777777" w:rsidR="00FE140B" w:rsidRPr="003B2AF4" w:rsidRDefault="00FE140B" w:rsidP="002B17EB">
            <w:pPr>
              <w:spacing w:after="0" w:line="240" w:lineRule="auto"/>
              <w:rPr>
                <w:rFonts w:ascii="Arial" w:eastAsia="Arial" w:hAnsi="Arial" w:cs="Arial"/>
                <w:iCs/>
              </w:rPr>
            </w:pPr>
            <w:r w:rsidRPr="003B2AF4">
              <w:rPr>
                <w:rFonts w:ascii="Arial" w:eastAsia="Arial" w:hAnsi="Arial" w:cs="Arial"/>
                <w:iCs/>
              </w:rPr>
              <w:t>Lower boundary Arrhenius temperature (T</w:t>
            </w:r>
            <w:r w:rsidRPr="003B2AF4">
              <w:rPr>
                <w:rFonts w:ascii="Arial" w:eastAsia="Arial" w:hAnsi="Arial" w:cs="Arial"/>
                <w:iCs/>
                <w:vertAlign w:val="subscript"/>
              </w:rPr>
              <w:t>AL</w:t>
            </w:r>
            <w:r w:rsidRPr="003B2AF4">
              <w:rPr>
                <w:rFonts w:ascii="Arial" w:eastAsia="Arial" w:hAnsi="Arial" w:cs="Arial"/>
                <w:iCs/>
              </w:rPr>
              <w:t>)</w:t>
            </w:r>
          </w:p>
        </w:tc>
        <w:tc>
          <w:tcPr>
            <w:tcW w:w="2275" w:type="dxa"/>
            <w:shd w:val="clear" w:color="auto" w:fill="auto"/>
            <w:tcMar>
              <w:top w:w="100" w:type="dxa"/>
              <w:left w:w="100" w:type="dxa"/>
              <w:bottom w:w="100" w:type="dxa"/>
              <w:right w:w="100" w:type="dxa"/>
            </w:tcMar>
          </w:tcPr>
          <w:p w14:paraId="22D3B7AD" w14:textId="77777777" w:rsidR="00FE140B" w:rsidRPr="003B2AF4" w:rsidRDefault="00FE140B" w:rsidP="002B17EB">
            <w:pPr>
              <w:spacing w:after="0" w:line="240" w:lineRule="auto"/>
              <w:rPr>
                <w:rFonts w:ascii="Arial" w:eastAsia="Arial" w:hAnsi="Arial" w:cs="Arial"/>
                <w:iCs/>
              </w:rPr>
            </w:pPr>
            <w:r w:rsidRPr="003B2AF4">
              <w:rPr>
                <w:rFonts w:ascii="Arial" w:eastAsia="Arial" w:hAnsi="Arial" w:cs="Arial"/>
                <w:iCs/>
              </w:rPr>
              <w:t>75000 (°K)</w:t>
            </w:r>
          </w:p>
        </w:tc>
        <w:tc>
          <w:tcPr>
            <w:tcW w:w="2410" w:type="dxa"/>
            <w:shd w:val="clear" w:color="auto" w:fill="auto"/>
            <w:tcMar>
              <w:top w:w="100" w:type="dxa"/>
              <w:left w:w="100" w:type="dxa"/>
              <w:bottom w:w="100" w:type="dxa"/>
              <w:right w:w="100" w:type="dxa"/>
            </w:tcMar>
          </w:tcPr>
          <w:p w14:paraId="2F3A201F" w14:textId="7DFAF23A" w:rsidR="00FE140B" w:rsidRPr="003B2AF4" w:rsidRDefault="00FE140B" w:rsidP="002B17EB">
            <w:pPr>
              <w:spacing w:after="0" w:line="240" w:lineRule="auto"/>
              <w:rPr>
                <w:rFonts w:ascii="Arial" w:eastAsia="Arial" w:hAnsi="Arial" w:cs="Arial"/>
                <w:iCs/>
                <w:lang w:val="fr-FR"/>
              </w:rPr>
            </w:pPr>
            <w:r w:rsidRPr="003B2AF4">
              <w:rPr>
                <w:rFonts w:ascii="Arial" w:eastAsia="Arial" w:hAnsi="Arial" w:cs="Arial"/>
                <w:iCs/>
                <w:lang w:val="fr-FR"/>
              </w:rPr>
              <w:t>Thomas et al. 2016; Van der Veer et al. 2006</w:t>
            </w:r>
          </w:p>
        </w:tc>
      </w:tr>
      <w:tr w:rsidR="002B17EB" w:rsidRPr="003B2AF4" w14:paraId="0132EEDC" w14:textId="77777777" w:rsidTr="003B2AF4">
        <w:trPr>
          <w:trHeight w:val="430"/>
        </w:trPr>
        <w:tc>
          <w:tcPr>
            <w:tcW w:w="4529" w:type="dxa"/>
            <w:shd w:val="clear" w:color="auto" w:fill="auto"/>
            <w:tcMar>
              <w:top w:w="100" w:type="dxa"/>
              <w:left w:w="100" w:type="dxa"/>
              <w:bottom w:w="100" w:type="dxa"/>
              <w:right w:w="100" w:type="dxa"/>
            </w:tcMar>
          </w:tcPr>
          <w:p w14:paraId="6427C10B" w14:textId="77777777" w:rsidR="00FE140B" w:rsidRPr="003B2AF4" w:rsidRDefault="00FE140B" w:rsidP="002B17EB">
            <w:pPr>
              <w:spacing w:after="0" w:line="240" w:lineRule="auto"/>
              <w:rPr>
                <w:rFonts w:ascii="Arial" w:eastAsia="Arial" w:hAnsi="Arial" w:cs="Arial"/>
                <w:iCs/>
              </w:rPr>
            </w:pPr>
            <w:r w:rsidRPr="003B2AF4">
              <w:rPr>
                <w:rFonts w:ascii="Arial" w:eastAsia="Arial" w:hAnsi="Arial" w:cs="Arial"/>
                <w:iCs/>
              </w:rPr>
              <w:t>Upper boundary Arrhenius temperature (T</w:t>
            </w:r>
            <w:r w:rsidRPr="003B2AF4">
              <w:rPr>
                <w:rFonts w:ascii="Arial" w:eastAsia="Arial" w:hAnsi="Arial" w:cs="Arial"/>
                <w:iCs/>
                <w:vertAlign w:val="subscript"/>
              </w:rPr>
              <w:t>AH</w:t>
            </w:r>
            <w:r w:rsidRPr="003B2AF4">
              <w:rPr>
                <w:rFonts w:ascii="Arial" w:eastAsia="Arial" w:hAnsi="Arial" w:cs="Arial"/>
                <w:iCs/>
              </w:rPr>
              <w:t>)</w:t>
            </w:r>
          </w:p>
        </w:tc>
        <w:tc>
          <w:tcPr>
            <w:tcW w:w="2275" w:type="dxa"/>
            <w:shd w:val="clear" w:color="auto" w:fill="auto"/>
            <w:tcMar>
              <w:top w:w="100" w:type="dxa"/>
              <w:left w:w="100" w:type="dxa"/>
              <w:bottom w:w="100" w:type="dxa"/>
              <w:right w:w="100" w:type="dxa"/>
            </w:tcMar>
          </w:tcPr>
          <w:p w14:paraId="6425A932" w14:textId="77777777" w:rsidR="00FE140B" w:rsidRPr="003B2AF4" w:rsidRDefault="00FE140B" w:rsidP="002B17EB">
            <w:pPr>
              <w:spacing w:after="0" w:line="240" w:lineRule="auto"/>
              <w:rPr>
                <w:rFonts w:ascii="Arial" w:eastAsia="Arial" w:hAnsi="Arial" w:cs="Arial"/>
                <w:iCs/>
              </w:rPr>
            </w:pPr>
            <w:r w:rsidRPr="003B2AF4">
              <w:rPr>
                <w:rFonts w:ascii="Arial" w:eastAsia="Arial" w:hAnsi="Arial" w:cs="Arial"/>
                <w:iCs/>
              </w:rPr>
              <w:t>30000 (°K)</w:t>
            </w:r>
          </w:p>
        </w:tc>
        <w:tc>
          <w:tcPr>
            <w:tcW w:w="2410" w:type="dxa"/>
            <w:shd w:val="clear" w:color="auto" w:fill="auto"/>
            <w:tcMar>
              <w:top w:w="100" w:type="dxa"/>
              <w:left w:w="100" w:type="dxa"/>
              <w:bottom w:w="100" w:type="dxa"/>
              <w:right w:w="100" w:type="dxa"/>
            </w:tcMar>
          </w:tcPr>
          <w:p w14:paraId="13D8DA14" w14:textId="352C425E" w:rsidR="00FE140B" w:rsidRPr="003B2AF4" w:rsidRDefault="00FE140B" w:rsidP="002B17EB">
            <w:pPr>
              <w:spacing w:after="0" w:line="240" w:lineRule="auto"/>
              <w:rPr>
                <w:rFonts w:ascii="Arial" w:eastAsia="Arial" w:hAnsi="Arial" w:cs="Arial"/>
                <w:iCs/>
                <w:lang w:val="fr-FR"/>
              </w:rPr>
            </w:pPr>
            <w:r w:rsidRPr="003B2AF4">
              <w:rPr>
                <w:rFonts w:ascii="Arial" w:eastAsia="Arial" w:hAnsi="Arial" w:cs="Arial"/>
                <w:iCs/>
                <w:lang w:val="fr-FR"/>
              </w:rPr>
              <w:t>Thomas et al. 2016; Van der Veer et al. 2006</w:t>
            </w:r>
          </w:p>
        </w:tc>
      </w:tr>
    </w:tbl>
    <w:p w14:paraId="1A022D3D" w14:textId="77777777" w:rsidR="00FE140B" w:rsidRPr="003B2AF4" w:rsidRDefault="00FE140B" w:rsidP="001D22F9">
      <w:pPr>
        <w:spacing w:before="240" w:after="240" w:line="360" w:lineRule="auto"/>
        <w:rPr>
          <w:rFonts w:ascii="Arial" w:eastAsia="Arial" w:hAnsi="Arial" w:cs="Arial"/>
          <w:i/>
          <w:sz w:val="24"/>
          <w:szCs w:val="24"/>
          <w:lang w:val="fr-FR"/>
        </w:rPr>
        <w:sectPr w:rsidR="00FE140B" w:rsidRPr="003B2AF4" w:rsidSect="002B17EB">
          <w:type w:val="continuous"/>
          <w:pgSz w:w="11906" w:h="16838"/>
          <w:pgMar w:top="1417" w:right="1417" w:bottom="1417" w:left="1417" w:header="708" w:footer="708" w:gutter="0"/>
          <w:cols w:space="720"/>
          <w:docGrid w:linePitch="299"/>
        </w:sectPr>
      </w:pPr>
    </w:p>
    <w:p w14:paraId="608E434B" w14:textId="3B39C7D3" w:rsidR="00FE140B" w:rsidRPr="003B2AF4" w:rsidRDefault="00FE140B" w:rsidP="001D22F9">
      <w:pPr>
        <w:spacing w:before="240" w:after="240" w:line="360" w:lineRule="auto"/>
        <w:rPr>
          <w:rFonts w:ascii="Arial" w:eastAsia="Arial" w:hAnsi="Arial" w:cs="Arial"/>
          <w:iCs/>
          <w:sz w:val="24"/>
          <w:szCs w:val="24"/>
        </w:rPr>
      </w:pPr>
      <w:r w:rsidRPr="003B2AF4">
        <w:rPr>
          <w:rFonts w:ascii="Arial" w:eastAsia="Arial" w:hAnsi="Arial" w:cs="Arial"/>
          <w:iCs/>
          <w:sz w:val="24"/>
          <w:szCs w:val="24"/>
        </w:rPr>
        <w:lastRenderedPageBreak/>
        <w:t>Table A2: Randomised input measurements for the oyster DEB model</w:t>
      </w:r>
    </w:p>
    <w:tbl>
      <w:tblPr>
        <w:tblW w:w="8979" w:type="dxa"/>
        <w:tblLayout w:type="fixed"/>
        <w:tblLook w:val="0600" w:firstRow="0" w:lastRow="0" w:firstColumn="0" w:lastColumn="0" w:noHBand="1" w:noVBand="1"/>
      </w:tblPr>
      <w:tblGrid>
        <w:gridCol w:w="1950"/>
        <w:gridCol w:w="2328"/>
        <w:gridCol w:w="2343"/>
        <w:gridCol w:w="2358"/>
      </w:tblGrid>
      <w:tr w:rsidR="00FE140B" w:rsidRPr="003B2AF4" w14:paraId="450F0EDA" w14:textId="77777777" w:rsidTr="00B0254F">
        <w:trPr>
          <w:trHeight w:val="339"/>
        </w:trPr>
        <w:tc>
          <w:tcPr>
            <w:tcW w:w="1950" w:type="dxa"/>
            <w:tcBorders>
              <w:bottom w:val="single" w:sz="4" w:space="0" w:color="auto"/>
            </w:tcBorders>
            <w:tcMar>
              <w:top w:w="100" w:type="dxa"/>
              <w:left w:w="100" w:type="dxa"/>
              <w:bottom w:w="100" w:type="dxa"/>
              <w:right w:w="100" w:type="dxa"/>
            </w:tcMar>
          </w:tcPr>
          <w:p w14:paraId="4CB87A30" w14:textId="730AE133" w:rsidR="00FE140B" w:rsidRPr="003B2AF4" w:rsidRDefault="00FE140B" w:rsidP="001D22F9">
            <w:pPr>
              <w:spacing w:after="0" w:line="360" w:lineRule="auto"/>
              <w:jc w:val="center"/>
              <w:rPr>
                <w:rFonts w:ascii="Arial" w:eastAsia="Arial" w:hAnsi="Arial" w:cs="Arial"/>
                <w:b/>
                <w:bCs/>
                <w:iCs/>
                <w:sz w:val="24"/>
                <w:szCs w:val="24"/>
              </w:rPr>
            </w:pPr>
            <w:r w:rsidRPr="003B2AF4">
              <w:rPr>
                <w:rFonts w:ascii="Arial" w:eastAsia="Arial" w:hAnsi="Arial" w:cs="Arial"/>
                <w:b/>
                <w:bCs/>
                <w:iCs/>
                <w:sz w:val="24"/>
                <w:szCs w:val="24"/>
              </w:rPr>
              <w:t>Cohort</w:t>
            </w:r>
            <w:r w:rsidR="00002208" w:rsidRPr="003B2AF4">
              <w:rPr>
                <w:rFonts w:ascii="Arial" w:eastAsia="Arial" w:hAnsi="Arial" w:cs="Arial"/>
                <w:b/>
                <w:bCs/>
                <w:iCs/>
                <w:sz w:val="24"/>
                <w:szCs w:val="24"/>
              </w:rPr>
              <w:t xml:space="preserve"> age</w:t>
            </w:r>
          </w:p>
        </w:tc>
        <w:tc>
          <w:tcPr>
            <w:tcW w:w="2328" w:type="dxa"/>
            <w:tcBorders>
              <w:bottom w:val="single" w:sz="4" w:space="0" w:color="auto"/>
            </w:tcBorders>
            <w:tcMar>
              <w:top w:w="100" w:type="dxa"/>
              <w:left w:w="100" w:type="dxa"/>
              <w:bottom w:w="100" w:type="dxa"/>
              <w:right w:w="100" w:type="dxa"/>
            </w:tcMar>
          </w:tcPr>
          <w:p w14:paraId="5C344ED0" w14:textId="77777777" w:rsidR="00FE140B" w:rsidRPr="003B2AF4" w:rsidRDefault="00FE140B" w:rsidP="001D22F9">
            <w:pPr>
              <w:spacing w:after="0" w:line="360" w:lineRule="auto"/>
              <w:jc w:val="center"/>
              <w:rPr>
                <w:rFonts w:ascii="Arial" w:eastAsia="Arial" w:hAnsi="Arial" w:cs="Arial"/>
                <w:b/>
                <w:bCs/>
                <w:iCs/>
                <w:sz w:val="24"/>
                <w:szCs w:val="24"/>
              </w:rPr>
            </w:pPr>
            <w:r w:rsidRPr="003B2AF4">
              <w:rPr>
                <w:rFonts w:ascii="Arial" w:eastAsia="Arial" w:hAnsi="Arial" w:cs="Arial"/>
                <w:b/>
                <w:bCs/>
                <w:iCs/>
                <w:sz w:val="24"/>
                <w:szCs w:val="24"/>
              </w:rPr>
              <w:t>TWi (mean±SD)</w:t>
            </w:r>
          </w:p>
        </w:tc>
        <w:tc>
          <w:tcPr>
            <w:tcW w:w="2343" w:type="dxa"/>
            <w:tcBorders>
              <w:bottom w:val="single" w:sz="4" w:space="0" w:color="auto"/>
            </w:tcBorders>
            <w:tcMar>
              <w:top w:w="100" w:type="dxa"/>
              <w:left w:w="100" w:type="dxa"/>
              <w:bottom w:w="100" w:type="dxa"/>
              <w:right w:w="100" w:type="dxa"/>
            </w:tcMar>
          </w:tcPr>
          <w:p w14:paraId="5DC0776C" w14:textId="77777777" w:rsidR="00FE140B" w:rsidRPr="003B2AF4" w:rsidRDefault="00FE140B" w:rsidP="001D22F9">
            <w:pPr>
              <w:spacing w:after="0" w:line="360" w:lineRule="auto"/>
              <w:jc w:val="center"/>
              <w:rPr>
                <w:rFonts w:ascii="Arial" w:eastAsia="Arial" w:hAnsi="Arial" w:cs="Arial"/>
                <w:b/>
                <w:bCs/>
                <w:iCs/>
                <w:sz w:val="24"/>
                <w:szCs w:val="24"/>
              </w:rPr>
            </w:pPr>
            <w:r w:rsidRPr="003B2AF4">
              <w:rPr>
                <w:rFonts w:ascii="Arial" w:eastAsia="Arial" w:hAnsi="Arial" w:cs="Arial"/>
                <w:b/>
                <w:bCs/>
                <w:iCs/>
                <w:sz w:val="24"/>
                <w:szCs w:val="24"/>
              </w:rPr>
              <w:t>DFMi (mean±SD)</w:t>
            </w:r>
          </w:p>
        </w:tc>
        <w:tc>
          <w:tcPr>
            <w:tcW w:w="2358" w:type="dxa"/>
            <w:tcBorders>
              <w:bottom w:val="single" w:sz="4" w:space="0" w:color="auto"/>
            </w:tcBorders>
            <w:tcMar>
              <w:top w:w="100" w:type="dxa"/>
              <w:left w:w="100" w:type="dxa"/>
              <w:bottom w:w="100" w:type="dxa"/>
              <w:right w:w="100" w:type="dxa"/>
            </w:tcMar>
          </w:tcPr>
          <w:p w14:paraId="3BB25FB9" w14:textId="77777777" w:rsidR="00FE140B" w:rsidRPr="003B2AF4" w:rsidRDefault="00FE140B" w:rsidP="001D22F9">
            <w:pPr>
              <w:spacing w:after="0" w:line="360" w:lineRule="auto"/>
              <w:jc w:val="center"/>
              <w:rPr>
                <w:rFonts w:ascii="Arial" w:eastAsia="Arial" w:hAnsi="Arial" w:cs="Arial"/>
                <w:b/>
                <w:bCs/>
                <w:iCs/>
                <w:sz w:val="24"/>
                <w:szCs w:val="24"/>
              </w:rPr>
            </w:pPr>
            <w:r w:rsidRPr="003B2AF4">
              <w:rPr>
                <w:rFonts w:ascii="Arial" w:eastAsia="Arial" w:hAnsi="Arial" w:cs="Arial"/>
                <w:b/>
                <w:bCs/>
                <w:iCs/>
                <w:sz w:val="24"/>
                <w:szCs w:val="24"/>
              </w:rPr>
              <w:t>TWi (mean±SD)</w:t>
            </w:r>
          </w:p>
        </w:tc>
      </w:tr>
      <w:tr w:rsidR="00FE140B" w:rsidRPr="003B2AF4" w14:paraId="309980FD" w14:textId="77777777" w:rsidTr="00B0254F">
        <w:trPr>
          <w:trHeight w:val="320"/>
        </w:trPr>
        <w:tc>
          <w:tcPr>
            <w:tcW w:w="1950" w:type="dxa"/>
            <w:tcBorders>
              <w:top w:val="single" w:sz="4" w:space="0" w:color="auto"/>
            </w:tcBorders>
            <w:tcMar>
              <w:top w:w="100" w:type="dxa"/>
              <w:left w:w="100" w:type="dxa"/>
              <w:bottom w:w="100" w:type="dxa"/>
              <w:right w:w="100" w:type="dxa"/>
            </w:tcMar>
          </w:tcPr>
          <w:p w14:paraId="6DB9A872" w14:textId="31C50C8E" w:rsidR="00FE140B" w:rsidRPr="003B2AF4" w:rsidRDefault="00FE140B" w:rsidP="001D22F9">
            <w:pPr>
              <w:spacing w:after="0" w:line="360" w:lineRule="auto"/>
              <w:jc w:val="center"/>
              <w:rPr>
                <w:rFonts w:ascii="Arial" w:eastAsia="Arial" w:hAnsi="Arial" w:cs="Arial"/>
                <w:iCs/>
              </w:rPr>
            </w:pPr>
            <w:r w:rsidRPr="003B2AF4">
              <w:rPr>
                <w:rFonts w:ascii="Arial" w:eastAsia="Arial" w:hAnsi="Arial" w:cs="Arial"/>
                <w:iCs/>
              </w:rPr>
              <w:t xml:space="preserve">2 </w:t>
            </w:r>
            <w:r w:rsidR="00002208" w:rsidRPr="003B2AF4">
              <w:rPr>
                <w:rFonts w:ascii="Arial" w:eastAsia="Arial" w:hAnsi="Arial" w:cs="Arial"/>
                <w:iCs/>
              </w:rPr>
              <w:t>months</w:t>
            </w:r>
          </w:p>
        </w:tc>
        <w:tc>
          <w:tcPr>
            <w:tcW w:w="2328" w:type="dxa"/>
            <w:tcBorders>
              <w:top w:val="single" w:sz="4" w:space="0" w:color="auto"/>
            </w:tcBorders>
            <w:tcMar>
              <w:top w:w="100" w:type="dxa"/>
              <w:left w:w="100" w:type="dxa"/>
              <w:bottom w:w="100" w:type="dxa"/>
              <w:right w:w="100" w:type="dxa"/>
            </w:tcMar>
          </w:tcPr>
          <w:p w14:paraId="068002CC" w14:textId="77777777" w:rsidR="00FE140B" w:rsidRPr="003B2AF4" w:rsidRDefault="00FE140B" w:rsidP="001D22F9">
            <w:pPr>
              <w:spacing w:after="0" w:line="360" w:lineRule="auto"/>
              <w:jc w:val="center"/>
              <w:rPr>
                <w:rFonts w:ascii="Arial" w:eastAsia="Arial" w:hAnsi="Arial" w:cs="Arial"/>
                <w:iCs/>
              </w:rPr>
            </w:pPr>
            <w:r w:rsidRPr="003B2AF4">
              <w:rPr>
                <w:rFonts w:ascii="Arial" w:eastAsia="Arial" w:hAnsi="Arial" w:cs="Arial"/>
                <w:iCs/>
              </w:rPr>
              <w:t>0.5 ± 0.01 g</w:t>
            </w:r>
          </w:p>
        </w:tc>
        <w:tc>
          <w:tcPr>
            <w:tcW w:w="2343" w:type="dxa"/>
            <w:tcBorders>
              <w:top w:val="single" w:sz="4" w:space="0" w:color="auto"/>
            </w:tcBorders>
            <w:tcMar>
              <w:top w:w="100" w:type="dxa"/>
              <w:left w:w="100" w:type="dxa"/>
              <w:bottom w:w="100" w:type="dxa"/>
              <w:right w:w="100" w:type="dxa"/>
            </w:tcMar>
          </w:tcPr>
          <w:p w14:paraId="77F7F671" w14:textId="77777777" w:rsidR="00FE140B" w:rsidRPr="003B2AF4" w:rsidRDefault="00FE140B" w:rsidP="001D22F9">
            <w:pPr>
              <w:spacing w:after="0" w:line="360" w:lineRule="auto"/>
              <w:jc w:val="center"/>
              <w:rPr>
                <w:rFonts w:ascii="Arial" w:eastAsia="Arial" w:hAnsi="Arial" w:cs="Arial"/>
                <w:iCs/>
              </w:rPr>
            </w:pPr>
            <w:r w:rsidRPr="003B2AF4">
              <w:rPr>
                <w:rFonts w:ascii="Arial" w:eastAsia="Arial" w:hAnsi="Arial" w:cs="Arial"/>
                <w:iCs/>
              </w:rPr>
              <w:t>0.01 ± 0.001 g</w:t>
            </w:r>
          </w:p>
        </w:tc>
        <w:tc>
          <w:tcPr>
            <w:tcW w:w="2358" w:type="dxa"/>
            <w:tcBorders>
              <w:top w:val="single" w:sz="4" w:space="0" w:color="auto"/>
            </w:tcBorders>
            <w:tcMar>
              <w:top w:w="100" w:type="dxa"/>
              <w:left w:w="100" w:type="dxa"/>
              <w:bottom w:w="100" w:type="dxa"/>
              <w:right w:w="100" w:type="dxa"/>
            </w:tcMar>
          </w:tcPr>
          <w:p w14:paraId="7EB63EF0" w14:textId="77777777" w:rsidR="00FE140B" w:rsidRPr="003B2AF4" w:rsidRDefault="00FE140B" w:rsidP="001D22F9">
            <w:pPr>
              <w:spacing w:after="0" w:line="360" w:lineRule="auto"/>
              <w:jc w:val="center"/>
              <w:rPr>
                <w:rFonts w:ascii="Arial" w:eastAsia="Arial" w:hAnsi="Arial" w:cs="Arial"/>
                <w:iCs/>
              </w:rPr>
            </w:pPr>
            <w:r w:rsidRPr="003B2AF4">
              <w:rPr>
                <w:rFonts w:ascii="Arial" w:eastAsia="Arial" w:hAnsi="Arial" w:cs="Arial"/>
                <w:iCs/>
              </w:rPr>
              <w:t>1.9 ± 0. 1 g</w:t>
            </w:r>
          </w:p>
        </w:tc>
      </w:tr>
      <w:tr w:rsidR="00FE140B" w:rsidRPr="003B2AF4" w14:paraId="4B52BD55" w14:textId="77777777" w:rsidTr="00B0254F">
        <w:trPr>
          <w:trHeight w:val="311"/>
        </w:trPr>
        <w:tc>
          <w:tcPr>
            <w:tcW w:w="1950" w:type="dxa"/>
            <w:tcMar>
              <w:top w:w="100" w:type="dxa"/>
              <w:left w:w="100" w:type="dxa"/>
              <w:bottom w:w="100" w:type="dxa"/>
              <w:right w:w="100" w:type="dxa"/>
            </w:tcMar>
          </w:tcPr>
          <w:p w14:paraId="0BF630DF" w14:textId="073C3639" w:rsidR="00FE140B" w:rsidRPr="003B2AF4" w:rsidRDefault="00FE140B" w:rsidP="001D22F9">
            <w:pPr>
              <w:spacing w:after="0" w:line="360" w:lineRule="auto"/>
              <w:jc w:val="center"/>
              <w:rPr>
                <w:rFonts w:ascii="Arial" w:eastAsia="Arial" w:hAnsi="Arial" w:cs="Arial"/>
                <w:iCs/>
              </w:rPr>
            </w:pPr>
            <w:r w:rsidRPr="003B2AF4">
              <w:rPr>
                <w:rFonts w:ascii="Arial" w:eastAsia="Arial" w:hAnsi="Arial" w:cs="Arial"/>
                <w:iCs/>
              </w:rPr>
              <w:t xml:space="preserve">4 </w:t>
            </w:r>
            <w:r w:rsidR="00002208" w:rsidRPr="003B2AF4">
              <w:rPr>
                <w:rFonts w:ascii="Arial" w:eastAsia="Arial" w:hAnsi="Arial" w:cs="Arial"/>
                <w:iCs/>
              </w:rPr>
              <w:t>months</w:t>
            </w:r>
          </w:p>
        </w:tc>
        <w:tc>
          <w:tcPr>
            <w:tcW w:w="2328" w:type="dxa"/>
            <w:tcMar>
              <w:top w:w="100" w:type="dxa"/>
              <w:left w:w="100" w:type="dxa"/>
              <w:bottom w:w="100" w:type="dxa"/>
              <w:right w:w="100" w:type="dxa"/>
            </w:tcMar>
          </w:tcPr>
          <w:p w14:paraId="7EBD8F02" w14:textId="77777777" w:rsidR="00FE140B" w:rsidRPr="003B2AF4" w:rsidRDefault="00FE140B" w:rsidP="001D22F9">
            <w:pPr>
              <w:spacing w:after="0" w:line="360" w:lineRule="auto"/>
              <w:jc w:val="center"/>
              <w:rPr>
                <w:rFonts w:ascii="Arial" w:eastAsia="Arial" w:hAnsi="Arial" w:cs="Arial"/>
                <w:iCs/>
              </w:rPr>
            </w:pPr>
            <w:r w:rsidRPr="003B2AF4">
              <w:rPr>
                <w:rFonts w:ascii="Arial" w:eastAsia="Arial" w:hAnsi="Arial" w:cs="Arial"/>
                <w:iCs/>
              </w:rPr>
              <w:t>4 ± 0.1</w:t>
            </w:r>
          </w:p>
        </w:tc>
        <w:tc>
          <w:tcPr>
            <w:tcW w:w="2343" w:type="dxa"/>
            <w:tcMar>
              <w:top w:w="100" w:type="dxa"/>
              <w:left w:w="100" w:type="dxa"/>
              <w:bottom w:w="100" w:type="dxa"/>
              <w:right w:w="100" w:type="dxa"/>
            </w:tcMar>
          </w:tcPr>
          <w:p w14:paraId="4924422D" w14:textId="77777777" w:rsidR="00FE140B" w:rsidRPr="003B2AF4" w:rsidRDefault="00FE140B" w:rsidP="001D22F9">
            <w:pPr>
              <w:spacing w:after="0" w:line="360" w:lineRule="auto"/>
              <w:jc w:val="center"/>
              <w:rPr>
                <w:rFonts w:ascii="Arial" w:eastAsia="Arial" w:hAnsi="Arial" w:cs="Arial"/>
                <w:iCs/>
              </w:rPr>
            </w:pPr>
            <w:r w:rsidRPr="003B2AF4">
              <w:rPr>
                <w:rFonts w:ascii="Arial" w:eastAsia="Arial" w:hAnsi="Arial" w:cs="Arial"/>
                <w:iCs/>
              </w:rPr>
              <w:t>0.5 ± 0. 1 g</w:t>
            </w:r>
          </w:p>
        </w:tc>
        <w:tc>
          <w:tcPr>
            <w:tcW w:w="2358" w:type="dxa"/>
            <w:tcMar>
              <w:top w:w="100" w:type="dxa"/>
              <w:left w:w="100" w:type="dxa"/>
              <w:bottom w:w="100" w:type="dxa"/>
              <w:right w:w="100" w:type="dxa"/>
            </w:tcMar>
          </w:tcPr>
          <w:p w14:paraId="0F0B9B55" w14:textId="77777777" w:rsidR="00FE140B" w:rsidRPr="003B2AF4" w:rsidRDefault="00FE140B" w:rsidP="001D22F9">
            <w:pPr>
              <w:spacing w:after="0" w:line="360" w:lineRule="auto"/>
              <w:jc w:val="center"/>
              <w:rPr>
                <w:rFonts w:ascii="Arial" w:eastAsia="Arial" w:hAnsi="Arial" w:cs="Arial"/>
                <w:iCs/>
              </w:rPr>
            </w:pPr>
            <w:r w:rsidRPr="003B2AF4">
              <w:rPr>
                <w:rFonts w:ascii="Arial" w:eastAsia="Arial" w:hAnsi="Arial" w:cs="Arial"/>
                <w:iCs/>
              </w:rPr>
              <w:t>3.9 ± 0. 1 g</w:t>
            </w:r>
          </w:p>
        </w:tc>
      </w:tr>
      <w:tr w:rsidR="00FE140B" w:rsidRPr="003B2AF4" w14:paraId="6591C1A5" w14:textId="77777777" w:rsidTr="00B0254F">
        <w:trPr>
          <w:trHeight w:val="293"/>
        </w:trPr>
        <w:tc>
          <w:tcPr>
            <w:tcW w:w="1950" w:type="dxa"/>
            <w:tcMar>
              <w:top w:w="100" w:type="dxa"/>
              <w:left w:w="100" w:type="dxa"/>
              <w:bottom w:w="100" w:type="dxa"/>
              <w:right w:w="100" w:type="dxa"/>
            </w:tcMar>
          </w:tcPr>
          <w:p w14:paraId="40363B39" w14:textId="60C3D781" w:rsidR="00FE140B" w:rsidRPr="003B2AF4" w:rsidRDefault="00FE140B" w:rsidP="001D22F9">
            <w:pPr>
              <w:spacing w:after="0" w:line="360" w:lineRule="auto"/>
              <w:jc w:val="center"/>
              <w:rPr>
                <w:rFonts w:ascii="Arial" w:eastAsia="Arial" w:hAnsi="Arial" w:cs="Arial"/>
                <w:iCs/>
              </w:rPr>
            </w:pPr>
            <w:r w:rsidRPr="003B2AF4">
              <w:rPr>
                <w:rFonts w:ascii="Arial" w:eastAsia="Arial" w:hAnsi="Arial" w:cs="Arial"/>
                <w:iCs/>
              </w:rPr>
              <w:t xml:space="preserve">6 </w:t>
            </w:r>
            <w:r w:rsidR="00002208" w:rsidRPr="003B2AF4">
              <w:rPr>
                <w:rFonts w:ascii="Arial" w:eastAsia="Arial" w:hAnsi="Arial" w:cs="Arial"/>
                <w:iCs/>
              </w:rPr>
              <w:t>months</w:t>
            </w:r>
          </w:p>
        </w:tc>
        <w:tc>
          <w:tcPr>
            <w:tcW w:w="2328" w:type="dxa"/>
            <w:tcMar>
              <w:top w:w="100" w:type="dxa"/>
              <w:left w:w="100" w:type="dxa"/>
              <w:bottom w:w="100" w:type="dxa"/>
              <w:right w:w="100" w:type="dxa"/>
            </w:tcMar>
          </w:tcPr>
          <w:p w14:paraId="7B8ACF46" w14:textId="77777777" w:rsidR="00FE140B" w:rsidRPr="003B2AF4" w:rsidRDefault="00FE140B" w:rsidP="001D22F9">
            <w:pPr>
              <w:spacing w:after="0" w:line="360" w:lineRule="auto"/>
              <w:jc w:val="center"/>
              <w:rPr>
                <w:rFonts w:ascii="Arial" w:eastAsia="Arial" w:hAnsi="Arial" w:cs="Arial"/>
                <w:iCs/>
              </w:rPr>
            </w:pPr>
            <w:r w:rsidRPr="003B2AF4">
              <w:rPr>
                <w:rFonts w:ascii="Arial" w:eastAsia="Arial" w:hAnsi="Arial" w:cs="Arial"/>
                <w:iCs/>
              </w:rPr>
              <w:t>19 ± 1</w:t>
            </w:r>
          </w:p>
        </w:tc>
        <w:tc>
          <w:tcPr>
            <w:tcW w:w="2343" w:type="dxa"/>
            <w:tcMar>
              <w:top w:w="100" w:type="dxa"/>
              <w:left w:w="100" w:type="dxa"/>
              <w:bottom w:w="100" w:type="dxa"/>
              <w:right w:w="100" w:type="dxa"/>
            </w:tcMar>
          </w:tcPr>
          <w:p w14:paraId="173E9AE8" w14:textId="77777777" w:rsidR="00FE140B" w:rsidRPr="003B2AF4" w:rsidRDefault="00FE140B" w:rsidP="001D22F9">
            <w:pPr>
              <w:spacing w:after="0" w:line="360" w:lineRule="auto"/>
              <w:jc w:val="center"/>
              <w:rPr>
                <w:rFonts w:ascii="Arial" w:eastAsia="Arial" w:hAnsi="Arial" w:cs="Arial"/>
                <w:iCs/>
              </w:rPr>
            </w:pPr>
            <w:r w:rsidRPr="003B2AF4">
              <w:rPr>
                <w:rFonts w:ascii="Arial" w:eastAsia="Arial" w:hAnsi="Arial" w:cs="Arial"/>
                <w:iCs/>
              </w:rPr>
              <w:t>1 ± 0.1 g</w:t>
            </w:r>
          </w:p>
        </w:tc>
        <w:tc>
          <w:tcPr>
            <w:tcW w:w="2358" w:type="dxa"/>
            <w:tcMar>
              <w:top w:w="100" w:type="dxa"/>
              <w:left w:w="100" w:type="dxa"/>
              <w:bottom w:w="100" w:type="dxa"/>
              <w:right w:w="100" w:type="dxa"/>
            </w:tcMar>
          </w:tcPr>
          <w:p w14:paraId="57C96E1A" w14:textId="77777777" w:rsidR="00FE140B" w:rsidRPr="003B2AF4" w:rsidRDefault="00FE140B" w:rsidP="001D22F9">
            <w:pPr>
              <w:spacing w:after="0" w:line="360" w:lineRule="auto"/>
              <w:jc w:val="center"/>
              <w:rPr>
                <w:rFonts w:ascii="Arial" w:eastAsia="Arial" w:hAnsi="Arial" w:cs="Arial"/>
                <w:iCs/>
              </w:rPr>
            </w:pPr>
            <w:r w:rsidRPr="003B2AF4">
              <w:rPr>
                <w:rFonts w:ascii="Arial" w:eastAsia="Arial" w:hAnsi="Arial" w:cs="Arial"/>
                <w:iCs/>
              </w:rPr>
              <w:t>5.0 ± 0. 1 g</w:t>
            </w:r>
          </w:p>
        </w:tc>
      </w:tr>
    </w:tbl>
    <w:p w14:paraId="75E112DE" w14:textId="77777777" w:rsidR="0007504A" w:rsidRPr="003B2AF4" w:rsidRDefault="0007504A" w:rsidP="001D22F9">
      <w:pPr>
        <w:spacing w:line="360" w:lineRule="auto"/>
        <w:rPr>
          <w:rFonts w:ascii="Arial" w:eastAsia="Arial" w:hAnsi="Arial" w:cs="Arial"/>
          <w:sz w:val="24"/>
          <w:szCs w:val="24"/>
        </w:rPr>
      </w:pPr>
    </w:p>
    <w:p w14:paraId="6AEB4ECA" w14:textId="569DBEAA" w:rsidR="00FE140B" w:rsidRPr="003B2AF4" w:rsidRDefault="00FE140B" w:rsidP="001D22F9">
      <w:pPr>
        <w:spacing w:line="360" w:lineRule="auto"/>
        <w:rPr>
          <w:rFonts w:ascii="Arial" w:eastAsia="Arial" w:hAnsi="Arial" w:cs="Arial"/>
          <w:sz w:val="24"/>
          <w:szCs w:val="24"/>
        </w:rPr>
      </w:pPr>
      <w:r w:rsidRPr="003B2AF4">
        <w:rPr>
          <w:rFonts w:ascii="Arial" w:eastAsia="Arial" w:hAnsi="Arial" w:cs="Arial"/>
          <w:sz w:val="24"/>
          <w:szCs w:val="24"/>
        </w:rPr>
        <w:t xml:space="preserve">Table A3: Coordinates for sectors within the South Coast and West Coast study sites, chosen based on the presence of prominent coastal bays. </w:t>
      </w:r>
    </w:p>
    <w:tbl>
      <w:tblPr>
        <w:tblStyle w:val="TableGrid"/>
        <w:tblW w:w="9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2"/>
        <w:gridCol w:w="3091"/>
      </w:tblGrid>
      <w:tr w:rsidR="0007504A" w:rsidRPr="003B2AF4" w14:paraId="4DC5B52B" w14:textId="77777777" w:rsidTr="00C1506E">
        <w:trPr>
          <w:trHeight w:val="1058"/>
        </w:trPr>
        <w:tc>
          <w:tcPr>
            <w:tcW w:w="6012" w:type="dxa"/>
            <w:tcBorders>
              <w:bottom w:val="single" w:sz="4" w:space="0" w:color="auto"/>
            </w:tcBorders>
          </w:tcPr>
          <w:p w14:paraId="0E48884F" w14:textId="77777777" w:rsidR="00C1506E" w:rsidRPr="003B2AF4" w:rsidRDefault="00CE2837" w:rsidP="001D22F9">
            <w:pPr>
              <w:spacing w:line="360" w:lineRule="auto"/>
              <w:rPr>
                <w:rFonts w:ascii="Arial" w:eastAsia="Arial" w:hAnsi="Arial" w:cs="Arial"/>
                <w:b/>
                <w:bCs/>
                <w:sz w:val="24"/>
                <w:szCs w:val="24"/>
              </w:rPr>
            </w:pPr>
            <w:r w:rsidRPr="003B2AF4">
              <w:rPr>
                <w:rFonts w:ascii="Arial" w:eastAsia="Arial" w:hAnsi="Arial" w:cs="Arial"/>
                <w:b/>
                <w:bCs/>
                <w:sz w:val="24"/>
                <w:szCs w:val="24"/>
              </w:rPr>
              <w:t xml:space="preserve">South Coast sectors </w:t>
            </w:r>
          </w:p>
          <w:p w14:paraId="5005ACFA" w14:textId="211719E1" w:rsidR="0007504A" w:rsidRPr="003B2AF4" w:rsidRDefault="00CE2837" w:rsidP="001D22F9">
            <w:pPr>
              <w:spacing w:line="360" w:lineRule="auto"/>
              <w:rPr>
                <w:rFonts w:ascii="Arial" w:eastAsia="Arial" w:hAnsi="Arial" w:cs="Arial"/>
                <w:b/>
                <w:bCs/>
                <w:sz w:val="24"/>
                <w:szCs w:val="24"/>
              </w:rPr>
            </w:pPr>
            <w:r w:rsidRPr="003B2AF4">
              <w:rPr>
                <w:rFonts w:ascii="Arial" w:eastAsia="Arial" w:hAnsi="Arial" w:cs="Arial"/>
                <w:b/>
                <w:bCs/>
                <w:sz w:val="24"/>
                <w:szCs w:val="24"/>
              </w:rPr>
              <w:t>(Agulhas Ecoregion)</w:t>
            </w:r>
          </w:p>
        </w:tc>
        <w:tc>
          <w:tcPr>
            <w:tcW w:w="3091" w:type="dxa"/>
            <w:tcBorders>
              <w:bottom w:val="single" w:sz="4" w:space="0" w:color="auto"/>
            </w:tcBorders>
          </w:tcPr>
          <w:p w14:paraId="04C9D38F" w14:textId="66FE225E" w:rsidR="0007504A" w:rsidRPr="003B2AF4" w:rsidRDefault="00CE2837" w:rsidP="001D22F9">
            <w:pPr>
              <w:spacing w:line="360" w:lineRule="auto"/>
              <w:rPr>
                <w:rFonts w:ascii="Arial" w:eastAsia="Arial" w:hAnsi="Arial" w:cs="Arial"/>
                <w:b/>
                <w:bCs/>
                <w:sz w:val="24"/>
                <w:szCs w:val="24"/>
              </w:rPr>
            </w:pPr>
            <w:r w:rsidRPr="003B2AF4">
              <w:rPr>
                <w:rFonts w:ascii="Arial" w:eastAsia="Arial" w:hAnsi="Arial" w:cs="Arial"/>
                <w:b/>
                <w:bCs/>
                <w:sz w:val="24"/>
                <w:szCs w:val="24"/>
              </w:rPr>
              <w:t>Coordinates</w:t>
            </w:r>
          </w:p>
        </w:tc>
      </w:tr>
      <w:tr w:rsidR="0007504A" w:rsidRPr="003B2AF4" w14:paraId="5DD9C99E" w14:textId="77777777" w:rsidTr="00C1506E">
        <w:trPr>
          <w:trHeight w:val="518"/>
        </w:trPr>
        <w:tc>
          <w:tcPr>
            <w:tcW w:w="6012" w:type="dxa"/>
            <w:tcBorders>
              <w:top w:val="single" w:sz="4" w:space="0" w:color="auto"/>
            </w:tcBorders>
          </w:tcPr>
          <w:p w14:paraId="34C41082" w14:textId="32E3E978" w:rsidR="0007504A" w:rsidRPr="003B2AF4" w:rsidRDefault="00CE2837" w:rsidP="001D22F9">
            <w:pPr>
              <w:spacing w:line="360" w:lineRule="auto"/>
              <w:rPr>
                <w:rFonts w:ascii="Arial" w:eastAsia="Arial" w:hAnsi="Arial" w:cs="Arial"/>
              </w:rPr>
            </w:pPr>
            <w:r w:rsidRPr="003B2AF4">
              <w:rPr>
                <w:rFonts w:ascii="Arial" w:eastAsia="Arial" w:hAnsi="Arial" w:cs="Arial"/>
              </w:rPr>
              <w:t>Infanta/Bree River Estuary (I-BR)</w:t>
            </w:r>
          </w:p>
        </w:tc>
        <w:tc>
          <w:tcPr>
            <w:tcW w:w="3091" w:type="dxa"/>
            <w:tcBorders>
              <w:top w:val="single" w:sz="4" w:space="0" w:color="auto"/>
            </w:tcBorders>
          </w:tcPr>
          <w:p w14:paraId="60BA158E" w14:textId="08574900" w:rsidR="0007504A" w:rsidRPr="003B2AF4" w:rsidRDefault="00CE2837" w:rsidP="001D22F9">
            <w:pPr>
              <w:spacing w:line="360" w:lineRule="auto"/>
              <w:rPr>
                <w:rFonts w:ascii="Arial" w:eastAsia="Arial" w:hAnsi="Arial" w:cs="Arial"/>
              </w:rPr>
            </w:pPr>
            <w:r w:rsidRPr="003B2AF4">
              <w:rPr>
                <w:rFonts w:ascii="Arial" w:eastAsia="Arial" w:hAnsi="Arial" w:cs="Arial"/>
              </w:rPr>
              <w:t>34.4272</w:t>
            </w:r>
            <w:r w:rsidR="001F771E" w:rsidRPr="003B2AF4">
              <w:rPr>
                <w:rFonts w:ascii="Arial" w:eastAsia="Arial" w:hAnsi="Arial" w:cs="Arial"/>
              </w:rPr>
              <w:t>°</w:t>
            </w:r>
            <w:r w:rsidRPr="003B2AF4">
              <w:rPr>
                <w:rFonts w:ascii="Arial" w:eastAsia="Arial" w:hAnsi="Arial" w:cs="Arial"/>
              </w:rPr>
              <w:t>S, 20.8977</w:t>
            </w:r>
            <w:r w:rsidR="001F771E" w:rsidRPr="003B2AF4">
              <w:rPr>
                <w:rFonts w:ascii="Arial" w:eastAsia="Arial" w:hAnsi="Arial" w:cs="Arial"/>
              </w:rPr>
              <w:t>°</w:t>
            </w:r>
            <w:r w:rsidRPr="003B2AF4">
              <w:rPr>
                <w:rFonts w:ascii="Arial" w:eastAsia="Arial" w:hAnsi="Arial" w:cs="Arial"/>
              </w:rPr>
              <w:t>E</w:t>
            </w:r>
          </w:p>
        </w:tc>
      </w:tr>
      <w:tr w:rsidR="0007504A" w:rsidRPr="003B2AF4" w14:paraId="63C84331" w14:textId="77777777" w:rsidTr="00C1506E">
        <w:trPr>
          <w:trHeight w:val="538"/>
        </w:trPr>
        <w:tc>
          <w:tcPr>
            <w:tcW w:w="6012" w:type="dxa"/>
          </w:tcPr>
          <w:p w14:paraId="071894DC" w14:textId="064D1F8E" w:rsidR="0007504A" w:rsidRPr="003B2AF4" w:rsidRDefault="00CE2837" w:rsidP="001D22F9">
            <w:pPr>
              <w:spacing w:line="360" w:lineRule="auto"/>
              <w:rPr>
                <w:rFonts w:ascii="Arial" w:eastAsia="Arial" w:hAnsi="Arial" w:cs="Arial"/>
              </w:rPr>
            </w:pPr>
            <w:r w:rsidRPr="003B2AF4">
              <w:rPr>
                <w:rFonts w:ascii="Arial" w:eastAsia="Arial" w:hAnsi="Arial" w:cs="Arial"/>
              </w:rPr>
              <w:t>Mossel Bay (MB)</w:t>
            </w:r>
          </w:p>
        </w:tc>
        <w:tc>
          <w:tcPr>
            <w:tcW w:w="3091" w:type="dxa"/>
          </w:tcPr>
          <w:p w14:paraId="551362F5" w14:textId="532D3501" w:rsidR="0007504A" w:rsidRPr="003B2AF4" w:rsidRDefault="00CE2837" w:rsidP="001D22F9">
            <w:pPr>
              <w:spacing w:line="360" w:lineRule="auto"/>
              <w:rPr>
                <w:rFonts w:ascii="Arial" w:eastAsia="Arial" w:hAnsi="Arial" w:cs="Arial"/>
              </w:rPr>
            </w:pPr>
            <w:r w:rsidRPr="003B2AF4">
              <w:rPr>
                <w:rFonts w:ascii="Arial" w:eastAsia="Arial" w:hAnsi="Arial" w:cs="Arial"/>
              </w:rPr>
              <w:t>34.1525</w:t>
            </w:r>
            <w:r w:rsidR="001F771E" w:rsidRPr="003B2AF4">
              <w:rPr>
                <w:rFonts w:ascii="Arial" w:eastAsia="Arial" w:hAnsi="Arial" w:cs="Arial"/>
              </w:rPr>
              <w:t>°</w:t>
            </w:r>
            <w:r w:rsidRPr="003B2AF4">
              <w:rPr>
                <w:rFonts w:ascii="Arial" w:eastAsia="Arial" w:hAnsi="Arial" w:cs="Arial"/>
              </w:rPr>
              <w:t>S, 22.1770</w:t>
            </w:r>
            <w:r w:rsidR="001F771E" w:rsidRPr="003B2AF4">
              <w:rPr>
                <w:rFonts w:ascii="Arial" w:eastAsia="Arial" w:hAnsi="Arial" w:cs="Arial"/>
              </w:rPr>
              <w:t>°</w:t>
            </w:r>
            <w:r w:rsidRPr="003B2AF4">
              <w:rPr>
                <w:rFonts w:ascii="Arial" w:eastAsia="Arial" w:hAnsi="Arial" w:cs="Arial"/>
              </w:rPr>
              <w:t>E</w:t>
            </w:r>
          </w:p>
        </w:tc>
      </w:tr>
      <w:tr w:rsidR="0007504A" w:rsidRPr="003B2AF4" w14:paraId="4A78A3B8" w14:textId="77777777" w:rsidTr="00C1506E">
        <w:trPr>
          <w:trHeight w:val="538"/>
        </w:trPr>
        <w:tc>
          <w:tcPr>
            <w:tcW w:w="6012" w:type="dxa"/>
          </w:tcPr>
          <w:p w14:paraId="14C6A81D" w14:textId="16E3EC1A" w:rsidR="0007504A" w:rsidRPr="003B2AF4" w:rsidRDefault="00CE2837" w:rsidP="001D22F9">
            <w:pPr>
              <w:spacing w:line="360" w:lineRule="auto"/>
              <w:rPr>
                <w:rFonts w:ascii="Arial" w:eastAsia="Arial" w:hAnsi="Arial" w:cs="Arial"/>
              </w:rPr>
            </w:pPr>
            <w:r w:rsidRPr="003B2AF4">
              <w:rPr>
                <w:rFonts w:ascii="Arial" w:eastAsia="Arial" w:hAnsi="Arial" w:cs="Arial"/>
              </w:rPr>
              <w:t>Plettenberg Bay (PB)</w:t>
            </w:r>
          </w:p>
        </w:tc>
        <w:tc>
          <w:tcPr>
            <w:tcW w:w="3091" w:type="dxa"/>
          </w:tcPr>
          <w:p w14:paraId="242C16EF" w14:textId="2579F809" w:rsidR="0007504A" w:rsidRPr="003B2AF4" w:rsidRDefault="00CE2837" w:rsidP="001D22F9">
            <w:pPr>
              <w:spacing w:line="360" w:lineRule="auto"/>
              <w:rPr>
                <w:rFonts w:ascii="Arial" w:eastAsia="Arial" w:hAnsi="Arial" w:cs="Arial"/>
              </w:rPr>
            </w:pPr>
            <w:r w:rsidRPr="003B2AF4">
              <w:rPr>
                <w:rFonts w:ascii="Arial" w:eastAsia="Arial" w:hAnsi="Arial" w:cs="Arial"/>
              </w:rPr>
              <w:t>34.0599</w:t>
            </w:r>
            <w:r w:rsidR="001F771E" w:rsidRPr="003B2AF4">
              <w:rPr>
                <w:rFonts w:ascii="Arial" w:eastAsia="Arial" w:hAnsi="Arial" w:cs="Arial"/>
              </w:rPr>
              <w:t>°</w:t>
            </w:r>
            <w:r w:rsidRPr="003B2AF4">
              <w:rPr>
                <w:rFonts w:ascii="Arial" w:eastAsia="Arial" w:hAnsi="Arial" w:cs="Arial"/>
              </w:rPr>
              <w:t>S, 23.4461</w:t>
            </w:r>
            <w:r w:rsidR="001F771E" w:rsidRPr="003B2AF4">
              <w:rPr>
                <w:rFonts w:ascii="Arial" w:eastAsia="Arial" w:hAnsi="Arial" w:cs="Arial"/>
              </w:rPr>
              <w:t>°</w:t>
            </w:r>
            <w:r w:rsidRPr="003B2AF4">
              <w:rPr>
                <w:rFonts w:ascii="Arial" w:eastAsia="Arial" w:hAnsi="Arial" w:cs="Arial"/>
              </w:rPr>
              <w:t>E</w:t>
            </w:r>
          </w:p>
        </w:tc>
      </w:tr>
      <w:tr w:rsidR="0007504A" w:rsidRPr="003B2AF4" w14:paraId="30BEA98A" w14:textId="77777777" w:rsidTr="00C1506E">
        <w:trPr>
          <w:trHeight w:val="518"/>
        </w:trPr>
        <w:tc>
          <w:tcPr>
            <w:tcW w:w="6012" w:type="dxa"/>
          </w:tcPr>
          <w:p w14:paraId="112D9BF8" w14:textId="3E1F1B74" w:rsidR="0007504A" w:rsidRPr="003B2AF4" w:rsidRDefault="00CE2837" w:rsidP="001D22F9">
            <w:pPr>
              <w:spacing w:line="360" w:lineRule="auto"/>
              <w:rPr>
                <w:rFonts w:ascii="Arial" w:eastAsia="Arial" w:hAnsi="Arial" w:cs="Arial"/>
              </w:rPr>
            </w:pPr>
            <w:r w:rsidRPr="003B2AF4">
              <w:rPr>
                <w:rFonts w:ascii="Arial" w:eastAsia="Arial" w:hAnsi="Arial" w:cs="Arial"/>
              </w:rPr>
              <w:t>Jeffrey’s Bay/St Francis Bay (JB)</w:t>
            </w:r>
          </w:p>
        </w:tc>
        <w:tc>
          <w:tcPr>
            <w:tcW w:w="3091" w:type="dxa"/>
          </w:tcPr>
          <w:p w14:paraId="1DC52F92" w14:textId="60F80238" w:rsidR="0007504A" w:rsidRPr="003B2AF4" w:rsidRDefault="00CE2837" w:rsidP="001D22F9">
            <w:pPr>
              <w:spacing w:line="360" w:lineRule="auto"/>
              <w:rPr>
                <w:rFonts w:ascii="Arial" w:eastAsia="Arial" w:hAnsi="Arial" w:cs="Arial"/>
              </w:rPr>
            </w:pPr>
            <w:r w:rsidRPr="003B2AF4">
              <w:rPr>
                <w:rFonts w:ascii="Arial" w:eastAsia="Arial" w:hAnsi="Arial" w:cs="Arial"/>
              </w:rPr>
              <w:t>34.0619</w:t>
            </w:r>
            <w:r w:rsidR="001F771E" w:rsidRPr="003B2AF4">
              <w:rPr>
                <w:rFonts w:ascii="Arial" w:eastAsia="Arial" w:hAnsi="Arial" w:cs="Arial"/>
              </w:rPr>
              <w:t>°</w:t>
            </w:r>
            <w:r w:rsidRPr="003B2AF4">
              <w:rPr>
                <w:rFonts w:ascii="Arial" w:eastAsia="Arial" w:hAnsi="Arial" w:cs="Arial"/>
              </w:rPr>
              <w:t>S, 25.0210</w:t>
            </w:r>
            <w:r w:rsidR="001F771E" w:rsidRPr="003B2AF4">
              <w:rPr>
                <w:rFonts w:ascii="Arial" w:eastAsia="Arial" w:hAnsi="Arial" w:cs="Arial"/>
              </w:rPr>
              <w:t>°</w:t>
            </w:r>
            <w:r w:rsidRPr="003B2AF4">
              <w:rPr>
                <w:rFonts w:ascii="Arial" w:eastAsia="Arial" w:hAnsi="Arial" w:cs="Arial"/>
              </w:rPr>
              <w:t>E</w:t>
            </w:r>
          </w:p>
        </w:tc>
      </w:tr>
      <w:tr w:rsidR="0007504A" w:rsidRPr="003B2AF4" w14:paraId="579E16A7" w14:textId="77777777" w:rsidTr="00C1506E">
        <w:trPr>
          <w:trHeight w:val="538"/>
        </w:trPr>
        <w:tc>
          <w:tcPr>
            <w:tcW w:w="6012" w:type="dxa"/>
          </w:tcPr>
          <w:p w14:paraId="1D7AE123" w14:textId="6B66320D" w:rsidR="0007504A" w:rsidRPr="003B2AF4" w:rsidRDefault="00CE2837" w:rsidP="001D22F9">
            <w:pPr>
              <w:spacing w:line="360" w:lineRule="auto"/>
              <w:rPr>
                <w:rFonts w:ascii="Arial" w:eastAsia="Arial" w:hAnsi="Arial" w:cs="Arial"/>
              </w:rPr>
            </w:pPr>
            <w:r w:rsidRPr="003B2AF4">
              <w:rPr>
                <w:rFonts w:ascii="Arial" w:eastAsia="Arial" w:hAnsi="Arial" w:cs="Arial"/>
              </w:rPr>
              <w:t>Algoa Bay (AB)</w:t>
            </w:r>
          </w:p>
        </w:tc>
        <w:tc>
          <w:tcPr>
            <w:tcW w:w="3091" w:type="dxa"/>
          </w:tcPr>
          <w:p w14:paraId="0E1BB291" w14:textId="0EB215B9" w:rsidR="0007504A" w:rsidRPr="003B2AF4" w:rsidRDefault="00CE2837" w:rsidP="001D22F9">
            <w:pPr>
              <w:spacing w:line="360" w:lineRule="auto"/>
              <w:rPr>
                <w:rFonts w:ascii="Arial" w:eastAsia="Arial" w:hAnsi="Arial" w:cs="Arial"/>
              </w:rPr>
            </w:pPr>
            <w:r w:rsidRPr="003B2AF4">
              <w:rPr>
                <w:rFonts w:ascii="Arial" w:eastAsia="Arial" w:hAnsi="Arial" w:cs="Arial"/>
              </w:rPr>
              <w:t>33.8315</w:t>
            </w:r>
            <w:r w:rsidR="001F771E" w:rsidRPr="003B2AF4">
              <w:rPr>
                <w:rFonts w:ascii="Arial" w:eastAsia="Arial" w:hAnsi="Arial" w:cs="Arial"/>
              </w:rPr>
              <w:t>°</w:t>
            </w:r>
            <w:r w:rsidRPr="003B2AF4">
              <w:rPr>
                <w:rFonts w:ascii="Arial" w:eastAsia="Arial" w:hAnsi="Arial" w:cs="Arial"/>
              </w:rPr>
              <w:t>S, 25.7220</w:t>
            </w:r>
            <w:r w:rsidR="001F771E" w:rsidRPr="003B2AF4">
              <w:rPr>
                <w:rFonts w:ascii="Arial" w:eastAsia="Arial" w:hAnsi="Arial" w:cs="Arial"/>
              </w:rPr>
              <w:t>°</w:t>
            </w:r>
            <w:r w:rsidRPr="003B2AF4">
              <w:rPr>
                <w:rFonts w:ascii="Arial" w:eastAsia="Arial" w:hAnsi="Arial" w:cs="Arial"/>
              </w:rPr>
              <w:t>E</w:t>
            </w:r>
          </w:p>
        </w:tc>
      </w:tr>
      <w:tr w:rsidR="0007504A" w:rsidRPr="003B2AF4" w14:paraId="0950E84F" w14:textId="77777777" w:rsidTr="00C1506E">
        <w:trPr>
          <w:trHeight w:val="1058"/>
        </w:trPr>
        <w:tc>
          <w:tcPr>
            <w:tcW w:w="6012" w:type="dxa"/>
            <w:tcBorders>
              <w:bottom w:val="single" w:sz="4" w:space="0" w:color="auto"/>
            </w:tcBorders>
          </w:tcPr>
          <w:p w14:paraId="228D4830" w14:textId="77777777" w:rsidR="00C1506E" w:rsidRPr="003B2AF4" w:rsidRDefault="00CE2837" w:rsidP="001D22F9">
            <w:pPr>
              <w:spacing w:line="360" w:lineRule="auto"/>
              <w:rPr>
                <w:rFonts w:ascii="Arial" w:eastAsia="Arial" w:hAnsi="Arial" w:cs="Arial"/>
                <w:b/>
                <w:bCs/>
                <w:sz w:val="24"/>
                <w:szCs w:val="24"/>
              </w:rPr>
            </w:pPr>
            <w:r w:rsidRPr="003B2AF4">
              <w:rPr>
                <w:rFonts w:ascii="Arial" w:eastAsia="Arial" w:hAnsi="Arial" w:cs="Arial"/>
                <w:b/>
                <w:bCs/>
                <w:sz w:val="24"/>
                <w:szCs w:val="24"/>
              </w:rPr>
              <w:t xml:space="preserve">West Coast sectors </w:t>
            </w:r>
          </w:p>
          <w:p w14:paraId="66D7E46D" w14:textId="4CB6F978" w:rsidR="0007504A" w:rsidRPr="003B2AF4" w:rsidRDefault="00CE2837" w:rsidP="001D22F9">
            <w:pPr>
              <w:spacing w:line="360" w:lineRule="auto"/>
              <w:rPr>
                <w:rFonts w:ascii="Arial" w:eastAsia="Arial" w:hAnsi="Arial" w:cs="Arial"/>
                <w:b/>
                <w:bCs/>
                <w:sz w:val="24"/>
                <w:szCs w:val="24"/>
              </w:rPr>
            </w:pPr>
            <w:r w:rsidRPr="003B2AF4">
              <w:rPr>
                <w:rFonts w:ascii="Arial" w:eastAsia="Arial" w:hAnsi="Arial" w:cs="Arial"/>
                <w:b/>
                <w:bCs/>
                <w:sz w:val="24"/>
                <w:szCs w:val="24"/>
              </w:rPr>
              <w:t>(Southern Benguela Ecoregion)</w:t>
            </w:r>
          </w:p>
        </w:tc>
        <w:tc>
          <w:tcPr>
            <w:tcW w:w="3091" w:type="dxa"/>
            <w:tcBorders>
              <w:bottom w:val="single" w:sz="4" w:space="0" w:color="auto"/>
            </w:tcBorders>
          </w:tcPr>
          <w:p w14:paraId="036308B0" w14:textId="77777777" w:rsidR="0007504A" w:rsidRPr="003B2AF4" w:rsidRDefault="0007504A" w:rsidP="001D22F9">
            <w:pPr>
              <w:spacing w:line="360" w:lineRule="auto"/>
              <w:rPr>
                <w:rFonts w:ascii="Arial" w:eastAsia="Arial" w:hAnsi="Arial" w:cs="Arial"/>
                <w:sz w:val="24"/>
                <w:szCs w:val="24"/>
              </w:rPr>
            </w:pPr>
          </w:p>
        </w:tc>
      </w:tr>
      <w:tr w:rsidR="0007504A" w:rsidRPr="003B2AF4" w14:paraId="3087111E" w14:textId="77777777" w:rsidTr="00C1506E">
        <w:trPr>
          <w:trHeight w:val="518"/>
        </w:trPr>
        <w:tc>
          <w:tcPr>
            <w:tcW w:w="6012" w:type="dxa"/>
            <w:tcBorders>
              <w:top w:val="single" w:sz="4" w:space="0" w:color="auto"/>
            </w:tcBorders>
          </w:tcPr>
          <w:p w14:paraId="7FECE427" w14:textId="24F3D597" w:rsidR="0007504A" w:rsidRPr="003B2AF4" w:rsidRDefault="00CE2837" w:rsidP="001D22F9">
            <w:pPr>
              <w:spacing w:line="360" w:lineRule="auto"/>
              <w:rPr>
                <w:rFonts w:ascii="Arial" w:eastAsia="Arial" w:hAnsi="Arial" w:cs="Arial"/>
              </w:rPr>
            </w:pPr>
            <w:r w:rsidRPr="003B2AF4">
              <w:rPr>
                <w:rFonts w:ascii="Arial" w:eastAsia="Arial" w:hAnsi="Arial" w:cs="Arial"/>
              </w:rPr>
              <w:t>Alexander Bay (AXB)</w:t>
            </w:r>
          </w:p>
        </w:tc>
        <w:tc>
          <w:tcPr>
            <w:tcW w:w="3091" w:type="dxa"/>
            <w:tcBorders>
              <w:top w:val="single" w:sz="4" w:space="0" w:color="auto"/>
            </w:tcBorders>
          </w:tcPr>
          <w:p w14:paraId="3DF9BAFB" w14:textId="640E4DF3" w:rsidR="0007504A" w:rsidRPr="003B2AF4" w:rsidRDefault="00CE2837" w:rsidP="001D22F9">
            <w:pPr>
              <w:spacing w:line="360" w:lineRule="auto"/>
              <w:rPr>
                <w:rFonts w:ascii="Arial" w:eastAsia="Arial" w:hAnsi="Arial" w:cs="Arial"/>
              </w:rPr>
            </w:pPr>
            <w:r w:rsidRPr="003B2AF4">
              <w:rPr>
                <w:rFonts w:ascii="Arial" w:eastAsia="Arial" w:hAnsi="Arial" w:cs="Arial"/>
              </w:rPr>
              <w:t>28.6555</w:t>
            </w:r>
            <w:r w:rsidR="001F771E" w:rsidRPr="003B2AF4">
              <w:rPr>
                <w:rFonts w:ascii="Arial" w:eastAsia="Arial" w:hAnsi="Arial" w:cs="Arial"/>
              </w:rPr>
              <w:t>°</w:t>
            </w:r>
            <w:r w:rsidRPr="003B2AF4">
              <w:rPr>
                <w:rFonts w:ascii="Arial" w:eastAsia="Arial" w:hAnsi="Arial" w:cs="Arial"/>
              </w:rPr>
              <w:t>S, 16.4590</w:t>
            </w:r>
            <w:r w:rsidR="00C1506E" w:rsidRPr="003B2AF4">
              <w:rPr>
                <w:rFonts w:ascii="Arial" w:eastAsia="Arial" w:hAnsi="Arial" w:cs="Arial"/>
              </w:rPr>
              <w:t>°</w:t>
            </w:r>
            <w:r w:rsidRPr="003B2AF4">
              <w:rPr>
                <w:rFonts w:ascii="Arial" w:eastAsia="Arial" w:hAnsi="Arial" w:cs="Arial"/>
              </w:rPr>
              <w:t>E</w:t>
            </w:r>
          </w:p>
        </w:tc>
      </w:tr>
      <w:tr w:rsidR="00CE2837" w:rsidRPr="003B2AF4" w14:paraId="4638FB40" w14:textId="77777777" w:rsidTr="00C1506E">
        <w:trPr>
          <w:trHeight w:val="538"/>
        </w:trPr>
        <w:tc>
          <w:tcPr>
            <w:tcW w:w="6012" w:type="dxa"/>
          </w:tcPr>
          <w:p w14:paraId="07E94F45" w14:textId="0D630B90" w:rsidR="00CE2837" w:rsidRPr="003B2AF4" w:rsidRDefault="00CE2837" w:rsidP="001D22F9">
            <w:pPr>
              <w:spacing w:line="360" w:lineRule="auto"/>
              <w:rPr>
                <w:rFonts w:ascii="Arial" w:eastAsia="Arial" w:hAnsi="Arial" w:cs="Arial"/>
              </w:rPr>
            </w:pPr>
            <w:r w:rsidRPr="003B2AF4">
              <w:rPr>
                <w:rFonts w:ascii="Arial" w:eastAsia="Arial" w:hAnsi="Arial" w:cs="Arial"/>
              </w:rPr>
              <w:t>Hondeklip Bay (HB)</w:t>
            </w:r>
          </w:p>
        </w:tc>
        <w:tc>
          <w:tcPr>
            <w:tcW w:w="3091" w:type="dxa"/>
          </w:tcPr>
          <w:p w14:paraId="1C92C915" w14:textId="61A325B5" w:rsidR="00CE2837" w:rsidRPr="003B2AF4" w:rsidRDefault="00CE2837" w:rsidP="001D22F9">
            <w:pPr>
              <w:spacing w:line="360" w:lineRule="auto"/>
              <w:rPr>
                <w:rFonts w:ascii="Arial" w:eastAsia="Arial" w:hAnsi="Arial" w:cs="Arial"/>
              </w:rPr>
            </w:pPr>
            <w:r w:rsidRPr="003B2AF4">
              <w:rPr>
                <w:rFonts w:ascii="Arial" w:eastAsia="Arial" w:hAnsi="Arial" w:cs="Arial"/>
              </w:rPr>
              <w:t>30.3338</w:t>
            </w:r>
            <w:r w:rsidR="001F771E" w:rsidRPr="003B2AF4">
              <w:rPr>
                <w:rFonts w:ascii="Arial" w:eastAsia="Arial" w:hAnsi="Arial" w:cs="Arial"/>
              </w:rPr>
              <w:t>°</w:t>
            </w:r>
            <w:r w:rsidRPr="003B2AF4">
              <w:rPr>
                <w:rFonts w:ascii="Arial" w:eastAsia="Arial" w:hAnsi="Arial" w:cs="Arial"/>
              </w:rPr>
              <w:t>S, 17.2493</w:t>
            </w:r>
            <w:r w:rsidR="00C1506E" w:rsidRPr="003B2AF4">
              <w:rPr>
                <w:rFonts w:ascii="Arial" w:eastAsia="Arial" w:hAnsi="Arial" w:cs="Arial"/>
              </w:rPr>
              <w:t>°</w:t>
            </w:r>
            <w:r w:rsidRPr="003B2AF4">
              <w:rPr>
                <w:rFonts w:ascii="Arial" w:eastAsia="Arial" w:hAnsi="Arial" w:cs="Arial"/>
              </w:rPr>
              <w:t>E</w:t>
            </w:r>
          </w:p>
        </w:tc>
      </w:tr>
      <w:tr w:rsidR="00CE2837" w:rsidRPr="003B2AF4" w14:paraId="79992705" w14:textId="77777777" w:rsidTr="00C1506E">
        <w:trPr>
          <w:trHeight w:val="538"/>
        </w:trPr>
        <w:tc>
          <w:tcPr>
            <w:tcW w:w="6012" w:type="dxa"/>
          </w:tcPr>
          <w:p w14:paraId="542A1D0E" w14:textId="4BF121EC" w:rsidR="00CE2837" w:rsidRPr="003B2AF4" w:rsidRDefault="00CE2837" w:rsidP="001D22F9">
            <w:pPr>
              <w:spacing w:line="360" w:lineRule="auto"/>
              <w:rPr>
                <w:rFonts w:ascii="Arial" w:eastAsia="Arial" w:hAnsi="Arial" w:cs="Arial"/>
              </w:rPr>
            </w:pPr>
            <w:r w:rsidRPr="003B2AF4">
              <w:rPr>
                <w:rFonts w:ascii="Arial" w:eastAsia="Arial" w:hAnsi="Arial" w:cs="Arial"/>
              </w:rPr>
              <w:t>Lambert’s Bay (LB)</w:t>
            </w:r>
          </w:p>
        </w:tc>
        <w:tc>
          <w:tcPr>
            <w:tcW w:w="3091" w:type="dxa"/>
          </w:tcPr>
          <w:p w14:paraId="6EA98D28" w14:textId="23467E7F" w:rsidR="00CE2837" w:rsidRPr="003B2AF4" w:rsidRDefault="00CE2837" w:rsidP="001D22F9">
            <w:pPr>
              <w:spacing w:line="360" w:lineRule="auto"/>
              <w:rPr>
                <w:rFonts w:ascii="Arial" w:eastAsia="Arial" w:hAnsi="Arial" w:cs="Arial"/>
              </w:rPr>
            </w:pPr>
            <w:r w:rsidRPr="003B2AF4">
              <w:rPr>
                <w:rFonts w:ascii="Arial" w:eastAsia="Arial" w:hAnsi="Arial" w:cs="Arial"/>
              </w:rPr>
              <w:t>32.0820</w:t>
            </w:r>
            <w:r w:rsidR="001F771E" w:rsidRPr="003B2AF4">
              <w:rPr>
                <w:rFonts w:ascii="Arial" w:eastAsia="Arial" w:hAnsi="Arial" w:cs="Arial"/>
              </w:rPr>
              <w:t>°</w:t>
            </w:r>
            <w:r w:rsidRPr="003B2AF4">
              <w:rPr>
                <w:rFonts w:ascii="Arial" w:eastAsia="Arial" w:hAnsi="Arial" w:cs="Arial"/>
              </w:rPr>
              <w:t>S, 18.2906</w:t>
            </w:r>
            <w:r w:rsidR="00C1506E" w:rsidRPr="003B2AF4">
              <w:rPr>
                <w:rFonts w:ascii="Arial" w:eastAsia="Arial" w:hAnsi="Arial" w:cs="Arial"/>
              </w:rPr>
              <w:t>°</w:t>
            </w:r>
            <w:r w:rsidRPr="003B2AF4">
              <w:rPr>
                <w:rFonts w:ascii="Arial" w:eastAsia="Arial" w:hAnsi="Arial" w:cs="Arial"/>
              </w:rPr>
              <w:t>E</w:t>
            </w:r>
          </w:p>
        </w:tc>
      </w:tr>
      <w:tr w:rsidR="00CE2837" w:rsidRPr="003B2AF4" w14:paraId="11C52897" w14:textId="77777777" w:rsidTr="00C1506E">
        <w:trPr>
          <w:trHeight w:val="518"/>
        </w:trPr>
        <w:tc>
          <w:tcPr>
            <w:tcW w:w="6012" w:type="dxa"/>
          </w:tcPr>
          <w:p w14:paraId="64798D54" w14:textId="1B541428" w:rsidR="00CE2837" w:rsidRPr="003B2AF4" w:rsidRDefault="00CE2837" w:rsidP="001D22F9">
            <w:pPr>
              <w:spacing w:line="360" w:lineRule="auto"/>
              <w:rPr>
                <w:rFonts w:ascii="Arial" w:eastAsia="Arial" w:hAnsi="Arial" w:cs="Arial"/>
              </w:rPr>
            </w:pPr>
            <w:r w:rsidRPr="003B2AF4">
              <w:rPr>
                <w:rFonts w:ascii="Arial" w:eastAsia="Arial" w:hAnsi="Arial" w:cs="Arial"/>
              </w:rPr>
              <w:t>St Helena Bay (SHB)</w:t>
            </w:r>
          </w:p>
        </w:tc>
        <w:tc>
          <w:tcPr>
            <w:tcW w:w="3091" w:type="dxa"/>
          </w:tcPr>
          <w:p w14:paraId="262FC5D4" w14:textId="6F865F42" w:rsidR="00CE2837" w:rsidRPr="003B2AF4" w:rsidRDefault="00CE2837" w:rsidP="001D22F9">
            <w:pPr>
              <w:spacing w:line="360" w:lineRule="auto"/>
              <w:rPr>
                <w:rFonts w:ascii="Arial" w:eastAsia="Arial" w:hAnsi="Arial" w:cs="Arial"/>
              </w:rPr>
            </w:pPr>
            <w:r w:rsidRPr="003B2AF4">
              <w:rPr>
                <w:rFonts w:ascii="Arial" w:eastAsia="Arial" w:hAnsi="Arial" w:cs="Arial"/>
              </w:rPr>
              <w:t>32.7467</w:t>
            </w:r>
            <w:r w:rsidR="001F771E" w:rsidRPr="003B2AF4">
              <w:rPr>
                <w:rFonts w:ascii="Arial" w:eastAsia="Arial" w:hAnsi="Arial" w:cs="Arial"/>
              </w:rPr>
              <w:t>°</w:t>
            </w:r>
            <w:r w:rsidRPr="003B2AF4">
              <w:rPr>
                <w:rFonts w:ascii="Arial" w:eastAsia="Arial" w:hAnsi="Arial" w:cs="Arial"/>
              </w:rPr>
              <w:t>S, 18.0670</w:t>
            </w:r>
            <w:r w:rsidR="00C1506E" w:rsidRPr="003B2AF4">
              <w:rPr>
                <w:rFonts w:ascii="Arial" w:eastAsia="Arial" w:hAnsi="Arial" w:cs="Arial"/>
              </w:rPr>
              <w:t>°</w:t>
            </w:r>
            <w:r w:rsidRPr="003B2AF4">
              <w:rPr>
                <w:rFonts w:ascii="Arial" w:eastAsia="Arial" w:hAnsi="Arial" w:cs="Arial"/>
              </w:rPr>
              <w:t>E</w:t>
            </w:r>
          </w:p>
        </w:tc>
      </w:tr>
      <w:tr w:rsidR="00CE2837" w:rsidRPr="003B2AF4" w14:paraId="33D8BF7D" w14:textId="77777777" w:rsidTr="00C1506E">
        <w:trPr>
          <w:trHeight w:val="538"/>
        </w:trPr>
        <w:tc>
          <w:tcPr>
            <w:tcW w:w="6012" w:type="dxa"/>
          </w:tcPr>
          <w:p w14:paraId="4B501CFE" w14:textId="47FD04B0" w:rsidR="00CE2837" w:rsidRPr="003B2AF4" w:rsidRDefault="00CE2837" w:rsidP="001D22F9">
            <w:pPr>
              <w:spacing w:line="360" w:lineRule="auto"/>
              <w:rPr>
                <w:rFonts w:ascii="Arial" w:eastAsia="Arial" w:hAnsi="Arial" w:cs="Arial"/>
              </w:rPr>
            </w:pPr>
            <w:r w:rsidRPr="003B2AF4">
              <w:rPr>
                <w:rFonts w:ascii="Arial" w:eastAsia="Arial" w:hAnsi="Arial" w:cs="Arial"/>
              </w:rPr>
              <w:t>Saldanha Bay (SB)</w:t>
            </w:r>
          </w:p>
        </w:tc>
        <w:tc>
          <w:tcPr>
            <w:tcW w:w="3091" w:type="dxa"/>
          </w:tcPr>
          <w:p w14:paraId="5B7508A0" w14:textId="7C84512D" w:rsidR="00CE2837" w:rsidRPr="003B2AF4" w:rsidRDefault="001F771E" w:rsidP="001D22F9">
            <w:pPr>
              <w:spacing w:line="360" w:lineRule="auto"/>
              <w:rPr>
                <w:rFonts w:ascii="Arial" w:eastAsia="Arial" w:hAnsi="Arial" w:cs="Arial"/>
              </w:rPr>
            </w:pPr>
            <w:r w:rsidRPr="003B2AF4">
              <w:rPr>
                <w:rFonts w:ascii="Arial" w:eastAsia="Arial" w:hAnsi="Arial" w:cs="Arial"/>
              </w:rPr>
              <w:t>33.0679°S, 17.9327</w:t>
            </w:r>
            <w:r w:rsidR="00C1506E" w:rsidRPr="003B2AF4">
              <w:rPr>
                <w:rFonts w:ascii="Arial" w:eastAsia="Arial" w:hAnsi="Arial" w:cs="Arial"/>
              </w:rPr>
              <w:t>°</w:t>
            </w:r>
            <w:r w:rsidRPr="003B2AF4">
              <w:rPr>
                <w:rFonts w:ascii="Arial" w:eastAsia="Arial" w:hAnsi="Arial" w:cs="Arial"/>
              </w:rPr>
              <w:t>E</w:t>
            </w:r>
          </w:p>
        </w:tc>
      </w:tr>
      <w:tr w:rsidR="001F771E" w:rsidRPr="003B2AF4" w14:paraId="2177426A" w14:textId="77777777" w:rsidTr="00C1506E">
        <w:trPr>
          <w:trHeight w:val="518"/>
        </w:trPr>
        <w:tc>
          <w:tcPr>
            <w:tcW w:w="6012" w:type="dxa"/>
          </w:tcPr>
          <w:p w14:paraId="619CDFDC" w14:textId="3F6D8EDD" w:rsidR="001F771E" w:rsidRPr="003B2AF4" w:rsidRDefault="001F771E" w:rsidP="001F771E">
            <w:pPr>
              <w:spacing w:line="360" w:lineRule="auto"/>
              <w:rPr>
                <w:rFonts w:ascii="Arial" w:eastAsia="Arial" w:hAnsi="Arial" w:cs="Arial"/>
              </w:rPr>
            </w:pPr>
            <w:r w:rsidRPr="003B2AF4">
              <w:rPr>
                <w:rFonts w:ascii="Arial" w:eastAsia="Arial" w:hAnsi="Arial" w:cs="Arial"/>
              </w:rPr>
              <w:t>Yzerfontein (Y)</w:t>
            </w:r>
          </w:p>
        </w:tc>
        <w:tc>
          <w:tcPr>
            <w:tcW w:w="3091" w:type="dxa"/>
          </w:tcPr>
          <w:p w14:paraId="5A44EE4F" w14:textId="44351AE5" w:rsidR="001F771E" w:rsidRPr="003B2AF4" w:rsidRDefault="001F771E" w:rsidP="001F771E">
            <w:pPr>
              <w:spacing w:line="360" w:lineRule="auto"/>
              <w:rPr>
                <w:rFonts w:ascii="Arial" w:eastAsia="Arial" w:hAnsi="Arial" w:cs="Arial"/>
              </w:rPr>
            </w:pPr>
            <w:r w:rsidRPr="003B2AF4">
              <w:rPr>
                <w:rFonts w:ascii="Arial" w:eastAsia="Arial" w:hAnsi="Arial" w:cs="Arial"/>
              </w:rPr>
              <w:t>33.3550°S, 18.1327</w:t>
            </w:r>
            <w:r w:rsidR="00C1506E" w:rsidRPr="003B2AF4">
              <w:rPr>
                <w:rFonts w:ascii="Arial" w:eastAsia="Arial" w:hAnsi="Arial" w:cs="Arial"/>
              </w:rPr>
              <w:t>°</w:t>
            </w:r>
            <w:r w:rsidRPr="003B2AF4">
              <w:rPr>
                <w:rFonts w:ascii="Arial" w:eastAsia="Arial" w:hAnsi="Arial" w:cs="Arial"/>
              </w:rPr>
              <w:t>E</w:t>
            </w:r>
          </w:p>
        </w:tc>
      </w:tr>
      <w:tr w:rsidR="001F771E" w:rsidRPr="003B2AF4" w14:paraId="4D8ED9A0" w14:textId="77777777" w:rsidTr="00C1506E">
        <w:trPr>
          <w:trHeight w:val="538"/>
        </w:trPr>
        <w:tc>
          <w:tcPr>
            <w:tcW w:w="6012" w:type="dxa"/>
          </w:tcPr>
          <w:p w14:paraId="4ECF5B47" w14:textId="352523BA" w:rsidR="001F771E" w:rsidRPr="003B2AF4" w:rsidRDefault="001F771E" w:rsidP="001F771E">
            <w:pPr>
              <w:spacing w:line="360" w:lineRule="auto"/>
              <w:rPr>
                <w:rFonts w:ascii="Arial" w:eastAsia="Arial" w:hAnsi="Arial" w:cs="Arial"/>
              </w:rPr>
            </w:pPr>
            <w:r w:rsidRPr="003B2AF4">
              <w:rPr>
                <w:rFonts w:ascii="Arial" w:eastAsia="Arial" w:hAnsi="Arial" w:cs="Arial"/>
              </w:rPr>
              <w:t>False Bay (FB)</w:t>
            </w:r>
          </w:p>
        </w:tc>
        <w:tc>
          <w:tcPr>
            <w:tcW w:w="3091" w:type="dxa"/>
          </w:tcPr>
          <w:p w14:paraId="03ED9C39" w14:textId="242E054E" w:rsidR="001F771E" w:rsidRPr="003B2AF4" w:rsidRDefault="001F771E" w:rsidP="001F771E">
            <w:pPr>
              <w:spacing w:line="360" w:lineRule="auto"/>
              <w:rPr>
                <w:rFonts w:ascii="Arial" w:eastAsia="Arial" w:hAnsi="Arial" w:cs="Arial"/>
              </w:rPr>
            </w:pPr>
            <w:r w:rsidRPr="003B2AF4">
              <w:rPr>
                <w:rFonts w:ascii="Arial" w:eastAsia="Arial" w:hAnsi="Arial" w:cs="Arial"/>
              </w:rPr>
              <w:t>34.1972°S, 18.6380</w:t>
            </w:r>
            <w:r w:rsidR="00C1506E" w:rsidRPr="003B2AF4">
              <w:rPr>
                <w:rFonts w:ascii="Arial" w:eastAsia="Arial" w:hAnsi="Arial" w:cs="Arial"/>
              </w:rPr>
              <w:t>°</w:t>
            </w:r>
            <w:r w:rsidRPr="003B2AF4">
              <w:rPr>
                <w:rFonts w:ascii="Arial" w:eastAsia="Arial" w:hAnsi="Arial" w:cs="Arial"/>
              </w:rPr>
              <w:t>E</w:t>
            </w:r>
          </w:p>
        </w:tc>
      </w:tr>
    </w:tbl>
    <w:p w14:paraId="4D64855A" w14:textId="4C0FB897" w:rsidR="00FE140B" w:rsidRPr="001D22F9" w:rsidRDefault="00FE140B" w:rsidP="00C1506E">
      <w:pPr>
        <w:spacing w:line="360" w:lineRule="auto"/>
        <w:jc w:val="both"/>
        <w:rPr>
          <w:rFonts w:ascii="Arial" w:eastAsia="Arial" w:hAnsi="Arial" w:cs="Arial"/>
          <w:i/>
          <w:sz w:val="24"/>
          <w:szCs w:val="24"/>
        </w:rPr>
      </w:pPr>
    </w:p>
    <w:sectPr w:rsidR="00FE140B" w:rsidRPr="001D22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40B"/>
    <w:rsid w:val="00002208"/>
    <w:rsid w:val="0007504A"/>
    <w:rsid w:val="000C415F"/>
    <w:rsid w:val="00127382"/>
    <w:rsid w:val="001D22F9"/>
    <w:rsid w:val="001F771E"/>
    <w:rsid w:val="002B17EB"/>
    <w:rsid w:val="003B2AF4"/>
    <w:rsid w:val="00B0254F"/>
    <w:rsid w:val="00C1506E"/>
    <w:rsid w:val="00CE2837"/>
    <w:rsid w:val="00DF7FB1"/>
    <w:rsid w:val="00FE1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C1D46"/>
  <w15:chartTrackingRefBased/>
  <w15:docId w15:val="{00CD2891-EE5F-4292-91BA-27FF9DD2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40B"/>
    <w:rPr>
      <w:rFonts w:ascii="Calibri" w:eastAsia="Calibri" w:hAnsi="Calibri" w:cs="Calibri"/>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5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Krupandan</dc:creator>
  <cp:keywords/>
  <dc:description/>
  <cp:lastModifiedBy>Amalia Krupandan</cp:lastModifiedBy>
  <cp:revision>7</cp:revision>
  <dcterms:created xsi:type="dcterms:W3CDTF">2021-12-02T11:08:00Z</dcterms:created>
  <dcterms:modified xsi:type="dcterms:W3CDTF">2022-05-06T21:43:00Z</dcterms:modified>
</cp:coreProperties>
</file>