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94E45" w14:textId="77777777" w:rsidR="00C11D8B" w:rsidRDefault="00C11D8B" w:rsidP="00C11D8B">
      <w:pPr>
        <w:spacing w:line="360" w:lineRule="auto"/>
        <w:jc w:val="both"/>
        <w:rPr>
          <w:rFonts w:ascii="Times New Roman" w:hAnsi="Times New Roman" w:cs="Times New Roman"/>
          <w:b/>
          <w:lang w:val="en-US"/>
        </w:rPr>
      </w:pPr>
      <w:r w:rsidRPr="00F941AB">
        <w:rPr>
          <w:rFonts w:ascii="Times New Roman" w:hAnsi="Times New Roman" w:cs="Times New Roman"/>
          <w:b/>
          <w:lang w:val="en-US"/>
        </w:rPr>
        <w:t>SUPPLEMENTARY MATERIAL</w:t>
      </w:r>
    </w:p>
    <w:p w14:paraId="5A7C7B97" w14:textId="77777777" w:rsidR="00C11D8B" w:rsidRPr="00F941AB" w:rsidRDefault="00C11D8B" w:rsidP="00C11D8B">
      <w:pPr>
        <w:spacing w:line="360" w:lineRule="auto"/>
        <w:jc w:val="both"/>
        <w:rPr>
          <w:rFonts w:ascii="Times New Roman" w:hAnsi="Times New Roman" w:cs="Times New Roman"/>
          <w:b/>
          <w:lang w:val="en-US"/>
        </w:rPr>
      </w:pPr>
    </w:p>
    <w:p w14:paraId="749E377A" w14:textId="77777777" w:rsidR="00C11D8B" w:rsidRDefault="00C11D8B" w:rsidP="00C11D8B">
      <w:pPr>
        <w:spacing w:line="360" w:lineRule="auto"/>
        <w:jc w:val="both"/>
        <w:rPr>
          <w:rFonts w:ascii="Times New Roman" w:hAnsi="Times New Roman" w:cs="Times New Roman"/>
          <w:b/>
          <w:lang w:val="en-US"/>
        </w:rPr>
      </w:pPr>
      <w:r w:rsidRPr="00F941AB">
        <w:rPr>
          <w:rFonts w:ascii="Times New Roman" w:hAnsi="Times New Roman" w:cs="Times New Roman"/>
          <w:b/>
          <w:lang w:val="en-US"/>
        </w:rPr>
        <w:t>Supplementary Material and methods</w:t>
      </w:r>
    </w:p>
    <w:p w14:paraId="7F050108" w14:textId="77777777" w:rsidR="002E64A8" w:rsidRDefault="002E64A8" w:rsidP="002E64A8">
      <w:pPr>
        <w:spacing w:line="360" w:lineRule="auto"/>
        <w:jc w:val="both"/>
        <w:rPr>
          <w:rFonts w:ascii="Times New Roman" w:hAnsi="Times New Roman" w:cs="Times New Roman"/>
          <w:lang w:val="en-US"/>
        </w:rPr>
      </w:pPr>
    </w:p>
    <w:p w14:paraId="7E059341" w14:textId="7F51AEEA" w:rsidR="002E64A8" w:rsidRDefault="002E64A8" w:rsidP="002E64A8">
      <w:pPr>
        <w:spacing w:line="360" w:lineRule="auto"/>
        <w:ind w:firstLine="708"/>
        <w:jc w:val="both"/>
        <w:rPr>
          <w:rFonts w:ascii="Times New Roman" w:hAnsi="Times New Roman" w:cs="Times New Roman"/>
          <w:u w:val="single"/>
          <w:lang w:val="en-US"/>
        </w:rPr>
      </w:pPr>
      <w:r w:rsidRPr="002E64A8">
        <w:rPr>
          <w:rFonts w:ascii="Times New Roman" w:hAnsi="Times New Roman" w:cs="Times New Roman"/>
          <w:u w:val="single"/>
          <w:lang w:val="en-US"/>
        </w:rPr>
        <w:t>SMM</w:t>
      </w:r>
      <w:r w:rsidR="00076CCC">
        <w:rPr>
          <w:rFonts w:ascii="Times New Roman" w:hAnsi="Times New Roman" w:cs="Times New Roman"/>
          <w:u w:val="single"/>
          <w:lang w:val="en-US"/>
        </w:rPr>
        <w:t>1</w:t>
      </w:r>
      <w:r w:rsidRPr="002E64A8">
        <w:rPr>
          <w:rFonts w:ascii="Times New Roman" w:hAnsi="Times New Roman" w:cs="Times New Roman"/>
          <w:u w:val="single"/>
          <w:lang w:val="en-US"/>
        </w:rPr>
        <w:t xml:space="preserve">. </w:t>
      </w:r>
      <w:r w:rsidR="00FA60CD">
        <w:rPr>
          <w:rFonts w:ascii="Times New Roman" w:hAnsi="Times New Roman" w:cs="Times New Roman"/>
          <w:u w:val="single"/>
          <w:lang w:val="en-US"/>
        </w:rPr>
        <w:t xml:space="preserve">Novel environment test and </w:t>
      </w:r>
      <w:proofErr w:type="spellStart"/>
      <w:r w:rsidRPr="002E64A8">
        <w:rPr>
          <w:rFonts w:ascii="Times New Roman" w:hAnsi="Times New Roman" w:cs="Times New Roman"/>
          <w:u w:val="single"/>
          <w:lang w:val="en-US"/>
        </w:rPr>
        <w:t>Ethovision</w:t>
      </w:r>
      <w:proofErr w:type="spellEnd"/>
      <w:r w:rsidRPr="002E64A8">
        <w:rPr>
          <w:rFonts w:ascii="Times New Roman" w:hAnsi="Times New Roman" w:cs="Times New Roman"/>
          <w:u w:val="single"/>
          <w:lang w:val="en-US"/>
        </w:rPr>
        <w:t xml:space="preserve"> analysis</w:t>
      </w:r>
    </w:p>
    <w:p w14:paraId="546C0470" w14:textId="4EF3139B" w:rsidR="00FA60CD" w:rsidRDefault="00FA60CD" w:rsidP="002E64A8">
      <w:pPr>
        <w:spacing w:line="360" w:lineRule="auto"/>
        <w:ind w:firstLine="708"/>
        <w:jc w:val="both"/>
        <w:rPr>
          <w:rFonts w:ascii="Times New Roman" w:hAnsi="Times New Roman" w:cs="Times New Roman"/>
          <w:u w:val="single"/>
          <w:lang w:val="en-US"/>
        </w:rPr>
      </w:pPr>
    </w:p>
    <w:p w14:paraId="6F51C622" w14:textId="77777777" w:rsidR="00FA60CD" w:rsidRPr="00F541B3" w:rsidRDefault="00FA60CD" w:rsidP="00FA60CD">
      <w:pPr>
        <w:spacing w:line="360" w:lineRule="auto"/>
        <w:jc w:val="both"/>
        <w:rPr>
          <w:rFonts w:ascii="Times New Roman" w:hAnsi="Times New Roman" w:cs="Times New Roman"/>
          <w:lang w:val="en-GB"/>
        </w:rPr>
      </w:pPr>
      <w:r w:rsidRPr="00F541B3">
        <w:rPr>
          <w:rFonts w:ascii="Times New Roman" w:hAnsi="Times New Roman" w:cs="Times New Roman"/>
          <w:lang w:val="en-GB"/>
        </w:rPr>
        <w:t>In this behavioural challenge, we only used individuals not previously chronically stressed, to avoid any potential bias related to this previous experimental protocol.</w:t>
      </w:r>
    </w:p>
    <w:p w14:paraId="5E43EFC2" w14:textId="1C6E9352" w:rsidR="00FA60CD" w:rsidRPr="00327A18" w:rsidRDefault="00FA60CD" w:rsidP="00327A18">
      <w:pPr>
        <w:spacing w:line="360" w:lineRule="auto"/>
        <w:jc w:val="both"/>
        <w:rPr>
          <w:rFonts w:ascii="Times New Roman" w:hAnsi="Times New Roman" w:cs="Times New Roman"/>
          <w:lang w:val="en-GB"/>
        </w:rPr>
      </w:pPr>
      <w:bookmarkStart w:id="0" w:name="_Hlk97036726"/>
      <w:r w:rsidRPr="00F541B3">
        <w:rPr>
          <w:rFonts w:ascii="Times New Roman" w:hAnsi="Times New Roman" w:cs="Times New Roman"/>
          <w:lang w:val="en-GB"/>
        </w:rPr>
        <w:t xml:space="preserve">The trials to monitor the group behavioural response to a novel environment and hypoxia were carried out according to the protocol described in Sadoul et al. (2021) </w:t>
      </w:r>
      <w:r w:rsidRPr="00F541B3">
        <w:rPr>
          <w:rFonts w:ascii="Times New Roman" w:hAnsi="Times New Roman" w:cs="Times New Roman"/>
          <w:lang w:val="en-GB"/>
        </w:rPr>
        <w:fldChar w:fldCharType="begin"/>
      </w:r>
      <w:r>
        <w:rPr>
          <w:rFonts w:ascii="Times New Roman" w:hAnsi="Times New Roman" w:cs="Times New Roman"/>
          <w:lang w:val="en-GB"/>
        </w:rPr>
        <w:instrText xml:space="preserve"> ADDIN ZOTERO_ITEM CSL_CITATION {"citationID":"H38WXA1p","properties":{"formattedCitation":"[29]","plainCitation":"[29]","noteIndex":0},"citationItems":[{"id":11442,"uris":["http://zotero.org/users/353272/items/5YQQXI29"],"uri":["http://zotero.org/users/353272/items/5YQQXI29"],"itemData":{"id":11442,"type":"article-journal","abstract":"Stress modifies energy allocation in fishes by redirecting energy from growth and reproduction to coping mechanisms. However, these adjustments become inappropriate when the challenge consists of sustained or repeated stressors, with the animal entering a maladaptive state. Capacities to cope with additional threats are then altered and compromise survival. The characterization of the responses to chronic stress in fishes helps better understanding the physiological limits in an aquaculture or ecological context. Here, we investigate the coping capacities of European sea bass to multiple and diverse stressors applied over a 3-weeks period. Multiple behavioural (group dispersion and swimming activity) and physiological responses (blood cortisol, osmoregulatory mechanisms, stress-related gene expression, etc.) were evaluated in resting fish or in fish exposed to additional challenges. Resilience to the chronic stress protocol was evaluated 4 months after the end of the chronic stress. Chronically stressed individuals showed reduced growth, lower cortisol response, increased chloride and sodium concentration in the plasma and modified gill gene expression translating osmoregulatory dysfunctions. Chronic stress had no significant effect on plasmatic calcium, lysozyme concentration and osmotic pressure. Increased thigmotaxic behaviour was observed in a new environment behavioural test. Four months after the chronic stress, no significant difference was observed in growth performances and in plasma parameters. Altogether, gills and more generally osmoregulatory functions were found to be the most sensitive to the chronic stress, while only limited changes in growth, activity of the HPI axis, immunity and swimming behaviour were observed when assessed individually. This work demonstrates the necessity of using multiple and diverse endpoints related to different functions to properly assess health and welfare in fishes.","container-title":"Aquaculture","DOI":"10.1016/j.aquaculture.2021.737072","ISSN":"0044-8486","journalAbbreviation":"Aquaculture","language":"en","page":"737072","source":"ScienceDirect","title":"Global assessment of the response to chronic stress in European sea bass","volume":"544","author":[{"family":"Sadoul","given":"Bastien"},{"family":"Alfonso","given":"Sébastien"},{"family":"Cousin","given":"Xavier"},{"family":"Prunet","given":"Patrick"},{"family":"Bégout","given":"Marie-Laure"},{"family":"Leguen","given":"Isabelle"}],"issued":{"date-parts":[["2021",11,15]]}}}],"schema":"https://github.com/citation-style-language/schema/raw/master/csl-citation.json"} </w:instrText>
      </w:r>
      <w:r w:rsidRPr="00F541B3">
        <w:rPr>
          <w:rFonts w:ascii="Times New Roman" w:hAnsi="Times New Roman" w:cs="Times New Roman"/>
          <w:lang w:val="en-GB"/>
        </w:rPr>
        <w:fldChar w:fldCharType="separate"/>
      </w:r>
      <w:r w:rsidRPr="003C35D6">
        <w:rPr>
          <w:rFonts w:ascii="Times New Roman" w:hAnsi="Times New Roman" w:cs="Times New Roman"/>
        </w:rPr>
        <w:t>[29]</w:t>
      </w:r>
      <w:r w:rsidRPr="00F541B3">
        <w:rPr>
          <w:rFonts w:ascii="Times New Roman" w:hAnsi="Times New Roman" w:cs="Times New Roman"/>
          <w:lang w:val="en-GB"/>
        </w:rPr>
        <w:fldChar w:fldCharType="end"/>
      </w:r>
      <w:r w:rsidRPr="00F541B3">
        <w:rPr>
          <w:rFonts w:ascii="Times New Roman" w:hAnsi="Times New Roman" w:cs="Times New Roman"/>
          <w:lang w:val="en-GB"/>
        </w:rPr>
        <w:t xml:space="preserve">. </w:t>
      </w:r>
      <w:bookmarkEnd w:id="0"/>
      <w:r w:rsidRPr="00F541B3">
        <w:rPr>
          <w:rFonts w:ascii="Times New Roman" w:hAnsi="Times New Roman" w:cs="Times New Roman"/>
          <w:lang w:val="en-GB"/>
        </w:rPr>
        <w:t>Briefly, the day before the experiment, four groups of 8 fish (2 groups per behavioural phenotype) were isolated from the rearing tank and kept overnight in separated 300L tanks under the same water conditions. The next day, fish from one group were gently transferred to an Open field arena (75cm x 75 cm x 21.5 cm of water height, 120 L). A corner (15 cm x 15 cm) was isolated from the open field arena by a grid and contained a pump, oxygen and nitrogen aerators to maintain targeted oxygen concentration and an oxygen probe (</w:t>
      </w:r>
      <w:proofErr w:type="spellStart"/>
      <w:r w:rsidRPr="00F541B3">
        <w:rPr>
          <w:rFonts w:ascii="Times New Roman" w:hAnsi="Times New Roman" w:cs="Times New Roman"/>
          <w:lang w:val="en-GB"/>
        </w:rPr>
        <w:t>Odéon</w:t>
      </w:r>
      <w:proofErr w:type="spellEnd"/>
      <w:r w:rsidRPr="00F541B3">
        <w:rPr>
          <w:rFonts w:ascii="Times New Roman" w:hAnsi="Times New Roman" w:cs="Times New Roman"/>
          <w:lang w:val="en-GB"/>
        </w:rPr>
        <w:t xml:space="preserve">, NEOTEK-PONSEL, </w:t>
      </w:r>
      <w:proofErr w:type="spellStart"/>
      <w:r w:rsidRPr="00F541B3">
        <w:rPr>
          <w:rFonts w:ascii="Times New Roman" w:hAnsi="Times New Roman" w:cs="Times New Roman"/>
          <w:lang w:val="en-GB"/>
        </w:rPr>
        <w:t>Caudan</w:t>
      </w:r>
      <w:proofErr w:type="spellEnd"/>
      <w:r w:rsidRPr="00F541B3">
        <w:rPr>
          <w:rFonts w:ascii="Times New Roman" w:hAnsi="Times New Roman" w:cs="Times New Roman"/>
          <w:lang w:val="en-GB"/>
        </w:rPr>
        <w:t xml:space="preserve">, France) to record oxygen saturation over the experimental duration. After 1 hour in the novel environment, oxygen saturation was reduced over 20 minutes using nitrogen bubbling, in order to reach a saturation around 20%. This hypoxic period lasted 40 minutes. Fish behaviour was recorded over the whole duration of the test using a video camera DMK 31AU03 and IC Capture software (The imaging sources, Germany) at 25 </w:t>
      </w:r>
      <w:proofErr w:type="gramStart"/>
      <w:r w:rsidRPr="00F541B3">
        <w:rPr>
          <w:rFonts w:ascii="Times New Roman" w:hAnsi="Times New Roman" w:cs="Times New Roman"/>
          <w:lang w:val="en-GB"/>
        </w:rPr>
        <w:t>frames.s</w:t>
      </w:r>
      <w:proofErr w:type="gramEnd"/>
      <w:r w:rsidRPr="00F541B3">
        <w:rPr>
          <w:rFonts w:ascii="Times New Roman" w:hAnsi="Times New Roman" w:cs="Times New Roman"/>
          <w:vertAlign w:val="superscript"/>
          <w:lang w:val="en-GB"/>
        </w:rPr>
        <w:t>-1</w:t>
      </w:r>
      <w:r w:rsidRPr="00F541B3">
        <w:rPr>
          <w:rFonts w:ascii="Times New Roman" w:hAnsi="Times New Roman" w:cs="Times New Roman"/>
          <w:lang w:val="en-GB"/>
        </w:rPr>
        <w:t>. This was performed successively on 4 groups (2 per behavioural phenotype) per day during 3 days, for a total of 12 trials. The open field arena was carefully rinsed between each trial. We made also sure to alternate groups of bold and shy individuals and, started each experimental day with a different behavioural type.</w:t>
      </w:r>
      <w:r w:rsidR="00327A18">
        <w:rPr>
          <w:rFonts w:ascii="Times New Roman" w:hAnsi="Times New Roman" w:cs="Times New Roman"/>
          <w:lang w:val="en-GB"/>
        </w:rPr>
        <w:t xml:space="preserve"> </w:t>
      </w:r>
      <w:r w:rsidRPr="00F541B3">
        <w:rPr>
          <w:rFonts w:ascii="Times New Roman" w:hAnsi="Times New Roman" w:cs="Times New Roman"/>
          <w:lang w:val="en-GB"/>
        </w:rPr>
        <w:t xml:space="preserve">Data extraction and analyses were performed using </w:t>
      </w:r>
      <w:proofErr w:type="spellStart"/>
      <w:r w:rsidRPr="00F541B3">
        <w:rPr>
          <w:rFonts w:ascii="Times New Roman" w:hAnsi="Times New Roman" w:cs="Times New Roman"/>
          <w:lang w:val="en-GB"/>
        </w:rPr>
        <w:t>EthoVision</w:t>
      </w:r>
      <w:proofErr w:type="spellEnd"/>
      <w:r w:rsidRPr="00F541B3">
        <w:rPr>
          <w:rFonts w:ascii="Times New Roman" w:hAnsi="Times New Roman" w:cs="Times New Roman"/>
          <w:lang w:val="en-GB"/>
        </w:rPr>
        <w:t xml:space="preserve"> XT 13.1 software (</w:t>
      </w:r>
      <w:proofErr w:type="spellStart"/>
      <w:r w:rsidRPr="00F541B3">
        <w:rPr>
          <w:rFonts w:ascii="Times New Roman" w:hAnsi="Times New Roman" w:cs="Times New Roman"/>
          <w:lang w:val="en-GB"/>
        </w:rPr>
        <w:t>Noldus</w:t>
      </w:r>
      <w:proofErr w:type="spellEnd"/>
      <w:r w:rsidRPr="00F541B3">
        <w:rPr>
          <w:rFonts w:ascii="Times New Roman" w:hAnsi="Times New Roman" w:cs="Times New Roman"/>
          <w:lang w:val="en-GB"/>
        </w:rPr>
        <w:t>, The Netherlands)</w:t>
      </w:r>
      <w:r w:rsidR="00327A18">
        <w:rPr>
          <w:rFonts w:ascii="Times New Roman" w:hAnsi="Times New Roman" w:cs="Times New Roman"/>
          <w:lang w:val="en-GB"/>
        </w:rPr>
        <w:t>.</w:t>
      </w:r>
    </w:p>
    <w:p w14:paraId="36EF0E7D" w14:textId="1C3F3C34" w:rsidR="002E64A8" w:rsidRDefault="002E64A8" w:rsidP="002E64A8">
      <w:pPr>
        <w:spacing w:line="360" w:lineRule="auto"/>
        <w:jc w:val="both"/>
        <w:rPr>
          <w:rFonts w:ascii="Times New Roman" w:hAnsi="Times New Roman" w:cs="Times New Roman"/>
          <w:lang w:val="en-US"/>
        </w:rPr>
      </w:pPr>
      <w:r w:rsidRPr="002E64A8">
        <w:rPr>
          <w:rFonts w:ascii="Times New Roman" w:hAnsi="Times New Roman" w:cs="Times New Roman"/>
          <w:lang w:val="en-US"/>
        </w:rPr>
        <w:t xml:space="preserve">Swaps between individuals were manually corrected </w:t>
      </w:r>
      <w:r w:rsidRPr="002E64A8">
        <w:rPr>
          <w:rFonts w:ascii="Times New Roman" w:hAnsi="Times New Roman" w:cs="Times New Roman"/>
          <w:lang w:val="en-US"/>
        </w:rPr>
        <w:t xml:space="preserve">using the track editor module. For </w:t>
      </w:r>
      <w:proofErr w:type="spellStart"/>
      <w:r w:rsidRPr="002E64A8">
        <w:rPr>
          <w:rFonts w:ascii="Times New Roman" w:hAnsi="Times New Roman" w:cs="Times New Roman"/>
          <w:lang w:val="en-US"/>
        </w:rPr>
        <w:t>behavioural</w:t>
      </w:r>
      <w:proofErr w:type="spellEnd"/>
      <w:r w:rsidRPr="002E64A8">
        <w:rPr>
          <w:rFonts w:ascii="Times New Roman" w:hAnsi="Times New Roman" w:cs="Times New Roman"/>
          <w:lang w:val="en-US"/>
        </w:rPr>
        <w:t xml:space="preserve"> analyses, the arena was virtually separated into two areas: the </w:t>
      </w:r>
      <w:proofErr w:type="spellStart"/>
      <w:r w:rsidRPr="002E64A8">
        <w:rPr>
          <w:rFonts w:ascii="Times New Roman" w:hAnsi="Times New Roman" w:cs="Times New Roman"/>
          <w:lang w:val="en-US"/>
        </w:rPr>
        <w:t>centre</w:t>
      </w:r>
      <w:proofErr w:type="spellEnd"/>
      <w:r w:rsidRPr="002E64A8">
        <w:rPr>
          <w:rFonts w:ascii="Times New Roman" w:hAnsi="Times New Roman" w:cs="Times New Roman"/>
          <w:lang w:val="en-US"/>
        </w:rPr>
        <w:t xml:space="preserve"> area composed of one half of the surface and the periphery area including the other half; time spent in periphery (s), indicative of </w:t>
      </w:r>
      <w:proofErr w:type="spellStart"/>
      <w:r w:rsidRPr="002E64A8">
        <w:rPr>
          <w:rFonts w:ascii="Times New Roman" w:hAnsi="Times New Roman" w:cs="Times New Roman"/>
          <w:lang w:val="en-US"/>
        </w:rPr>
        <w:t>thigmotaxis</w:t>
      </w:r>
      <w:proofErr w:type="spellEnd"/>
      <w:r w:rsidRPr="002E64A8">
        <w:rPr>
          <w:rFonts w:ascii="Times New Roman" w:hAnsi="Times New Roman" w:cs="Times New Roman"/>
          <w:lang w:val="en-US"/>
        </w:rPr>
        <w:t xml:space="preserve"> </w:t>
      </w:r>
      <w:proofErr w:type="spellStart"/>
      <w:r w:rsidRPr="002E64A8">
        <w:rPr>
          <w:rFonts w:ascii="Times New Roman" w:hAnsi="Times New Roman" w:cs="Times New Roman"/>
          <w:lang w:val="en-US"/>
        </w:rPr>
        <w:t>behaviour</w:t>
      </w:r>
      <w:proofErr w:type="spellEnd"/>
      <w:r w:rsidRPr="002E64A8">
        <w:rPr>
          <w:rFonts w:ascii="Times New Roman" w:hAnsi="Times New Roman" w:cs="Times New Roman"/>
          <w:lang w:val="en-US"/>
        </w:rPr>
        <w:t>, was recorded. The velocity of each fish (cm.s</w:t>
      </w:r>
      <w:r w:rsidRPr="00076CCC">
        <w:rPr>
          <w:rFonts w:ascii="Times New Roman" w:hAnsi="Times New Roman" w:cs="Times New Roman"/>
          <w:vertAlign w:val="superscript"/>
          <w:lang w:val="en-US"/>
        </w:rPr>
        <w:t>-1</w:t>
      </w:r>
      <w:r w:rsidRPr="002E64A8">
        <w:rPr>
          <w:rFonts w:ascii="Times New Roman" w:hAnsi="Times New Roman" w:cs="Times New Roman"/>
          <w:lang w:val="en-US"/>
        </w:rPr>
        <w:t xml:space="preserve">), indicative of individual fish activity, and the mean interindividual distances (MID; cm), indicative of group cohesion </w:t>
      </w:r>
      <w:proofErr w:type="gramStart"/>
      <w:r w:rsidRPr="002E64A8">
        <w:rPr>
          <w:rFonts w:ascii="Times New Roman" w:hAnsi="Times New Roman" w:cs="Times New Roman"/>
          <w:lang w:val="en-US"/>
        </w:rPr>
        <w:t>were</w:t>
      </w:r>
      <w:proofErr w:type="gramEnd"/>
      <w:r w:rsidRPr="002E64A8">
        <w:rPr>
          <w:rFonts w:ascii="Times New Roman" w:hAnsi="Times New Roman" w:cs="Times New Roman"/>
          <w:lang w:val="en-US"/>
        </w:rPr>
        <w:t xml:space="preserve"> also assessed. All variables were averaged over 1 minute every 10 minutes in order to record the kinetics of the </w:t>
      </w:r>
      <w:proofErr w:type="spellStart"/>
      <w:r w:rsidRPr="002E64A8">
        <w:rPr>
          <w:rFonts w:ascii="Times New Roman" w:hAnsi="Times New Roman" w:cs="Times New Roman"/>
          <w:lang w:val="en-US"/>
        </w:rPr>
        <w:t>behavioural</w:t>
      </w:r>
      <w:proofErr w:type="spellEnd"/>
      <w:r w:rsidRPr="002E64A8">
        <w:rPr>
          <w:rFonts w:ascii="Times New Roman" w:hAnsi="Times New Roman" w:cs="Times New Roman"/>
          <w:lang w:val="en-US"/>
        </w:rPr>
        <w:t xml:space="preserve"> responses. After the experiment, fish were gently caught and put back into their original tanks</w:t>
      </w:r>
      <w:r>
        <w:rPr>
          <w:rFonts w:ascii="Times New Roman" w:hAnsi="Times New Roman" w:cs="Times New Roman"/>
          <w:lang w:val="en-US"/>
        </w:rPr>
        <w:t>.</w:t>
      </w:r>
    </w:p>
    <w:p w14:paraId="0C0B9E37" w14:textId="77777777" w:rsidR="002E64A8" w:rsidRDefault="002E64A8" w:rsidP="002E64A8">
      <w:pPr>
        <w:spacing w:line="360" w:lineRule="auto"/>
        <w:jc w:val="both"/>
        <w:rPr>
          <w:rFonts w:ascii="Times New Roman" w:hAnsi="Times New Roman" w:cs="Times New Roman"/>
          <w:lang w:val="en-US"/>
        </w:rPr>
      </w:pPr>
    </w:p>
    <w:p w14:paraId="34C15E6D" w14:textId="3188460B" w:rsidR="002E64A8" w:rsidRDefault="002E64A8" w:rsidP="002E64A8">
      <w:pPr>
        <w:spacing w:line="360" w:lineRule="auto"/>
        <w:ind w:firstLine="708"/>
        <w:jc w:val="both"/>
        <w:rPr>
          <w:rFonts w:ascii="Times New Roman" w:hAnsi="Times New Roman" w:cs="Times New Roman"/>
          <w:u w:val="single"/>
          <w:lang w:val="en-US"/>
        </w:rPr>
      </w:pPr>
      <w:r w:rsidRPr="002E64A8">
        <w:rPr>
          <w:rFonts w:ascii="Times New Roman" w:hAnsi="Times New Roman" w:cs="Times New Roman"/>
          <w:u w:val="single"/>
          <w:lang w:val="en-US"/>
        </w:rPr>
        <w:t>SMM</w:t>
      </w:r>
      <w:r w:rsidR="00076CCC">
        <w:rPr>
          <w:rFonts w:ascii="Times New Roman" w:hAnsi="Times New Roman" w:cs="Times New Roman"/>
          <w:u w:val="single"/>
          <w:lang w:val="en-US"/>
        </w:rPr>
        <w:t>2</w:t>
      </w:r>
      <w:r w:rsidRPr="002E64A8">
        <w:rPr>
          <w:rFonts w:ascii="Times New Roman" w:hAnsi="Times New Roman" w:cs="Times New Roman"/>
          <w:u w:val="single"/>
          <w:lang w:val="en-US"/>
        </w:rPr>
        <w:t>. RNA sequencing and analyses</w:t>
      </w:r>
    </w:p>
    <w:p w14:paraId="2D809BF2" w14:textId="77777777" w:rsidR="00327A18" w:rsidRPr="00F541B3" w:rsidRDefault="00327A18" w:rsidP="00327A18">
      <w:pPr>
        <w:spacing w:line="360" w:lineRule="auto"/>
        <w:jc w:val="both"/>
        <w:rPr>
          <w:rFonts w:ascii="Times New Roman" w:hAnsi="Times New Roman" w:cs="Times New Roman"/>
          <w:lang w:val="en-GB"/>
        </w:rPr>
      </w:pPr>
      <w:r w:rsidRPr="00F541B3">
        <w:rPr>
          <w:rFonts w:ascii="Times New Roman" w:hAnsi="Times New Roman" w:cs="Times New Roman"/>
          <w:lang w:val="en-GB"/>
        </w:rPr>
        <w:t xml:space="preserve">All samples were mechanically disrupted (45 seconds at 30 rpm) in a 2 mL tube filled with 500 µL MR1 and 1 </w:t>
      </w:r>
      <w:proofErr w:type="spellStart"/>
      <w:r w:rsidRPr="00F541B3">
        <w:rPr>
          <w:rFonts w:ascii="Times New Roman" w:hAnsi="Times New Roman" w:cs="Times New Roman"/>
          <w:lang w:val="en-GB"/>
        </w:rPr>
        <w:t>μL</w:t>
      </w:r>
      <w:proofErr w:type="spellEnd"/>
      <w:r w:rsidRPr="00F541B3">
        <w:rPr>
          <w:rFonts w:ascii="Times New Roman" w:hAnsi="Times New Roman" w:cs="Times New Roman"/>
          <w:lang w:val="en-GB"/>
        </w:rPr>
        <w:t xml:space="preserve"> of TCEP from </w:t>
      </w:r>
      <w:proofErr w:type="spellStart"/>
      <w:r w:rsidRPr="00F541B3">
        <w:rPr>
          <w:rFonts w:ascii="Times New Roman" w:hAnsi="Times New Roman" w:cs="Times New Roman"/>
          <w:lang w:val="en-GB"/>
        </w:rPr>
        <w:t>NucleoMag</w:t>
      </w:r>
      <w:proofErr w:type="spellEnd"/>
      <w:r w:rsidRPr="00F541B3">
        <w:rPr>
          <w:rFonts w:ascii="Times New Roman" w:hAnsi="Times New Roman" w:cs="Times New Roman"/>
          <w:lang w:val="en-GB"/>
        </w:rPr>
        <w:t>® RNA extraction kit (</w:t>
      </w:r>
      <w:proofErr w:type="spellStart"/>
      <w:r w:rsidRPr="00F541B3">
        <w:rPr>
          <w:rFonts w:ascii="Times New Roman" w:hAnsi="Times New Roman" w:cs="Times New Roman"/>
          <w:lang w:val="en-GB"/>
        </w:rPr>
        <w:t>Macherey</w:t>
      </w:r>
      <w:proofErr w:type="spellEnd"/>
      <w:r w:rsidRPr="00F541B3">
        <w:rPr>
          <w:rFonts w:ascii="Times New Roman" w:hAnsi="Times New Roman" w:cs="Times New Roman"/>
          <w:lang w:val="en-GB"/>
        </w:rPr>
        <w:t xml:space="preserve">-Nagel) and 2 stainless steel beads. After a two minutes centrifugation at 13000 rpm, a sub-sample of 200 </w:t>
      </w:r>
      <w:proofErr w:type="spellStart"/>
      <w:r w:rsidRPr="00F541B3">
        <w:rPr>
          <w:rFonts w:ascii="Times New Roman" w:hAnsi="Times New Roman" w:cs="Times New Roman"/>
          <w:lang w:val="en-GB"/>
        </w:rPr>
        <w:t>μL</w:t>
      </w:r>
      <w:proofErr w:type="spellEnd"/>
      <w:r w:rsidRPr="00F541B3">
        <w:rPr>
          <w:rFonts w:ascii="Times New Roman" w:hAnsi="Times New Roman" w:cs="Times New Roman"/>
          <w:lang w:val="en-GB"/>
        </w:rPr>
        <w:t xml:space="preserve"> was transferred in a 96 deep-wells plate filled with 150 µL MR1. Automatic extraction was then performed using a </w:t>
      </w:r>
      <w:proofErr w:type="spellStart"/>
      <w:r w:rsidRPr="00F541B3">
        <w:rPr>
          <w:rFonts w:ascii="Times New Roman" w:hAnsi="Times New Roman" w:cs="Times New Roman"/>
          <w:lang w:val="en-GB"/>
        </w:rPr>
        <w:t>KingFisher</w:t>
      </w:r>
      <w:proofErr w:type="spellEnd"/>
      <w:r w:rsidRPr="00F541B3">
        <w:rPr>
          <w:rFonts w:ascii="Times New Roman" w:hAnsi="Times New Roman" w:cs="Times New Roman"/>
          <w:lang w:val="en-GB"/>
        </w:rPr>
        <w:t xml:space="preserve"> robot following manufacturer’s instructions for the </w:t>
      </w:r>
      <w:proofErr w:type="spellStart"/>
      <w:r w:rsidRPr="00F541B3">
        <w:rPr>
          <w:rFonts w:ascii="Times New Roman" w:hAnsi="Times New Roman" w:cs="Times New Roman"/>
          <w:lang w:val="en-GB"/>
        </w:rPr>
        <w:t>NucleoMag</w:t>
      </w:r>
      <w:proofErr w:type="spellEnd"/>
      <w:r w:rsidRPr="00F541B3">
        <w:rPr>
          <w:rFonts w:ascii="Times New Roman" w:hAnsi="Times New Roman" w:cs="Times New Roman"/>
          <w:lang w:val="en-GB"/>
        </w:rPr>
        <w:t>® RNA kits. Finally, RNA integrity was confirmed (RIN above 8) on a 2100 bioanalyzer® (Agilent) following manufacturer’s instructions.</w:t>
      </w:r>
    </w:p>
    <w:p w14:paraId="0F8CF430" w14:textId="77777777" w:rsidR="00327A18" w:rsidRDefault="00327A18" w:rsidP="002E64A8">
      <w:pPr>
        <w:spacing w:line="360" w:lineRule="auto"/>
        <w:jc w:val="both"/>
        <w:rPr>
          <w:rFonts w:ascii="Times New Roman" w:hAnsi="Times New Roman" w:cs="Times New Roman"/>
          <w:lang w:val="en-US"/>
        </w:rPr>
      </w:pPr>
      <w:bookmarkStart w:id="1" w:name="_GoBack"/>
      <w:bookmarkEnd w:id="1"/>
    </w:p>
    <w:p w14:paraId="18131092" w14:textId="2127D116" w:rsidR="002E64A8" w:rsidRPr="00865530" w:rsidRDefault="002E64A8" w:rsidP="002E64A8">
      <w:pPr>
        <w:spacing w:line="360" w:lineRule="auto"/>
        <w:jc w:val="both"/>
        <w:rPr>
          <w:rFonts w:ascii="Times New Roman" w:hAnsi="Times New Roman" w:cs="Times New Roman"/>
          <w:lang w:val="en-US"/>
        </w:rPr>
      </w:pPr>
      <w:r w:rsidRPr="000E3E5F">
        <w:rPr>
          <w:rFonts w:ascii="Times New Roman" w:hAnsi="Times New Roman" w:cs="Times New Roman"/>
          <w:lang w:val="en-US"/>
        </w:rPr>
        <w:t xml:space="preserve">The </w:t>
      </w:r>
      <w:proofErr w:type="spellStart"/>
      <w:r w:rsidRPr="000E3E5F">
        <w:rPr>
          <w:rFonts w:ascii="Times New Roman" w:hAnsi="Times New Roman" w:cs="Times New Roman"/>
          <w:lang w:val="en-US"/>
        </w:rPr>
        <w:t>Truseq</w:t>
      </w:r>
      <w:proofErr w:type="spellEnd"/>
      <w:r w:rsidRPr="000E3E5F">
        <w:rPr>
          <w:rFonts w:ascii="Times New Roman" w:hAnsi="Times New Roman" w:cs="Times New Roman"/>
          <w:lang w:val="en-US"/>
        </w:rPr>
        <w:t xml:space="preserve"> stranded mRNA sample prep kit (Illumina, San Diego, CA, USA) was used to construct libraries according to manufacturer</w:t>
      </w:r>
      <w:r>
        <w:rPr>
          <w:rFonts w:ascii="Times New Roman" w:hAnsi="Times New Roman" w:cs="Times New Roman"/>
          <w:lang w:val="en-US"/>
        </w:rPr>
        <w:t>’s</w:t>
      </w:r>
      <w:r w:rsidRPr="000E3E5F">
        <w:rPr>
          <w:rFonts w:ascii="Times New Roman" w:hAnsi="Times New Roman" w:cs="Times New Roman"/>
          <w:lang w:val="en-US"/>
        </w:rPr>
        <w:t xml:space="preserve"> instructions</w:t>
      </w:r>
      <w:r w:rsidRPr="00D46ABB">
        <w:rPr>
          <w:rFonts w:ascii="Times New Roman" w:hAnsi="Times New Roman" w:cs="Times New Roman"/>
          <w:lang w:val="en-US"/>
        </w:rPr>
        <w:t xml:space="preserve">. Briefly, poly-A RNAs were first purified using oligo-d (T) magnetic beads from 1 </w:t>
      </w:r>
      <w:proofErr w:type="spellStart"/>
      <w:r w:rsidRPr="00D46ABB">
        <w:rPr>
          <w:rFonts w:ascii="Times New Roman" w:hAnsi="Times New Roman" w:cs="Times New Roman"/>
          <w:lang w:val="en-US"/>
        </w:rPr>
        <w:t>μg</w:t>
      </w:r>
      <w:proofErr w:type="spellEnd"/>
      <w:r w:rsidRPr="00D46ABB">
        <w:rPr>
          <w:rFonts w:ascii="Times New Roman" w:hAnsi="Times New Roman" w:cs="Times New Roman"/>
          <w:lang w:val="en-US"/>
        </w:rPr>
        <w:t xml:space="preserve"> of total RNA. The poly-A RNAs were then fragmented in short sequences using divalent cations under elevated temperature and reverse transcribed using random hexamers, Super Script II (Thermo Fisher Scientific, Carlsbad, CA) and Actinomycin D</w:t>
      </w:r>
      <w:r w:rsidRPr="00C10369">
        <w:rPr>
          <w:rFonts w:ascii="Times New Roman" w:hAnsi="Times New Roman" w:cs="Times New Roman"/>
          <w:lang w:val="en-US"/>
        </w:rPr>
        <w:t xml:space="preserve">. </w:t>
      </w:r>
      <w:r w:rsidRPr="006D25E2">
        <w:rPr>
          <w:rFonts w:ascii="Times New Roman" w:hAnsi="Times New Roman" w:cs="Times New Roman"/>
          <w:lang w:val="en-US"/>
        </w:rPr>
        <w:t xml:space="preserve">In order to prevent the second strand to be used as a matrix during the final PCR amplification, </w:t>
      </w:r>
      <w:proofErr w:type="spellStart"/>
      <w:r w:rsidRPr="006D25E2">
        <w:rPr>
          <w:rFonts w:ascii="Times New Roman" w:hAnsi="Times New Roman" w:cs="Times New Roman"/>
          <w:lang w:val="en-US"/>
        </w:rPr>
        <w:t>dUTP</w:t>
      </w:r>
      <w:proofErr w:type="spellEnd"/>
      <w:r w:rsidRPr="006D25E2">
        <w:rPr>
          <w:rFonts w:ascii="Times New Roman" w:hAnsi="Times New Roman" w:cs="Times New Roman"/>
          <w:lang w:val="en-US"/>
        </w:rPr>
        <w:t xml:space="preserve"> substituted dTTP during the second strand generation step. </w:t>
      </w:r>
      <w:r w:rsidRPr="003815C1">
        <w:rPr>
          <w:rFonts w:ascii="Times New Roman" w:hAnsi="Times New Roman" w:cs="Times New Roman"/>
          <w:lang w:val="en-US"/>
        </w:rPr>
        <w:t>Before ligation was performed using Illumina's (dual) indexed adapters, double stranded cDNAs were adenylated at their 3</w:t>
      </w:r>
      <w:r w:rsidRPr="003815C1">
        <w:rPr>
          <w:rFonts w:ascii="Times New Roman" w:hAnsi="Times New Roman" w:cs="Times New Roman" w:hint="eastAsia"/>
          <w:lang w:val="en-US"/>
        </w:rPr>
        <w:t>′</w:t>
      </w:r>
      <w:r w:rsidRPr="003815C1">
        <w:rPr>
          <w:rFonts w:ascii="Times New Roman" w:hAnsi="Times New Roman" w:cs="Times New Roman"/>
          <w:lang w:val="en-US"/>
        </w:rPr>
        <w:t xml:space="preserve">ends. Ligated cDNAs were then amplified by 15 cycles of PCR and products were purified using </w:t>
      </w:r>
      <w:proofErr w:type="spellStart"/>
      <w:r w:rsidRPr="003815C1">
        <w:rPr>
          <w:rFonts w:ascii="Times New Roman" w:hAnsi="Times New Roman" w:cs="Times New Roman"/>
          <w:lang w:val="en-US"/>
        </w:rPr>
        <w:t>AMPure</w:t>
      </w:r>
      <w:proofErr w:type="spellEnd"/>
      <w:r w:rsidRPr="003815C1">
        <w:rPr>
          <w:rFonts w:ascii="Times New Roman" w:hAnsi="Times New Roman" w:cs="Times New Roman"/>
          <w:lang w:val="en-US"/>
        </w:rPr>
        <w:t xml:space="preserve"> XP Beads (Beckman Coulter Genomics, Brea, CA, USA). Libraries were validated on a Fragment Analyzer (Agilent Technologies, Santa Clara, CA, USA) and quantified using the KAPA Library quantification kit (Roche, </w:t>
      </w:r>
      <w:proofErr w:type="spellStart"/>
      <w:r w:rsidRPr="003815C1">
        <w:rPr>
          <w:rFonts w:ascii="Times New Roman" w:hAnsi="Times New Roman" w:cs="Times New Roman"/>
          <w:lang w:val="en-US"/>
        </w:rPr>
        <w:t>Bâle</w:t>
      </w:r>
      <w:proofErr w:type="spellEnd"/>
      <w:r w:rsidRPr="003815C1">
        <w:rPr>
          <w:rFonts w:ascii="Times New Roman" w:hAnsi="Times New Roman" w:cs="Times New Roman"/>
          <w:lang w:val="en-US"/>
        </w:rPr>
        <w:t>, CHE).</w:t>
      </w:r>
    </w:p>
    <w:p w14:paraId="2E6F7BE5" w14:textId="77777777" w:rsidR="002E64A8" w:rsidRPr="000E3E5F" w:rsidRDefault="002E64A8" w:rsidP="002E64A8">
      <w:pPr>
        <w:spacing w:line="360" w:lineRule="auto"/>
        <w:jc w:val="both"/>
        <w:rPr>
          <w:rFonts w:ascii="Times New Roman" w:hAnsi="Times New Roman" w:cs="Times New Roman"/>
          <w:lang w:val="en-US"/>
        </w:rPr>
      </w:pPr>
      <w:r w:rsidRPr="000E3E5F">
        <w:rPr>
          <w:rFonts w:ascii="Times New Roman" w:hAnsi="Times New Roman" w:cs="Times New Roman"/>
          <w:lang w:val="en-US"/>
        </w:rPr>
        <w:t xml:space="preserve">Libraries were pooled in equimolar amounts, denatured with NaOH, and diluted to 20 </w:t>
      </w:r>
      <w:proofErr w:type="spellStart"/>
      <w:r w:rsidRPr="000E3E5F">
        <w:rPr>
          <w:rFonts w:ascii="Times New Roman" w:hAnsi="Times New Roman" w:cs="Times New Roman"/>
          <w:lang w:val="en-US"/>
        </w:rPr>
        <w:t>pM</w:t>
      </w:r>
      <w:proofErr w:type="spellEnd"/>
      <w:r w:rsidRPr="000E3E5F">
        <w:rPr>
          <w:rFonts w:ascii="Times New Roman" w:hAnsi="Times New Roman" w:cs="Times New Roman"/>
          <w:lang w:val="en-US"/>
        </w:rPr>
        <w:t xml:space="preserve"> before clustering on a </w:t>
      </w:r>
      <w:proofErr w:type="spellStart"/>
      <w:r w:rsidRPr="000E3E5F">
        <w:rPr>
          <w:rFonts w:ascii="Times New Roman" w:hAnsi="Times New Roman" w:cs="Times New Roman"/>
          <w:lang w:val="en-US"/>
        </w:rPr>
        <w:t>cBot</w:t>
      </w:r>
      <w:proofErr w:type="spellEnd"/>
      <w:r w:rsidRPr="000E3E5F">
        <w:rPr>
          <w:rFonts w:ascii="Times New Roman" w:hAnsi="Times New Roman" w:cs="Times New Roman"/>
          <w:lang w:val="en-US"/>
        </w:rPr>
        <w:t xml:space="preserve"> system (Illumina, San Diego, CA, USA). Sequencing was performed on an </w:t>
      </w:r>
      <w:proofErr w:type="spellStart"/>
      <w:r w:rsidRPr="000E3E5F">
        <w:rPr>
          <w:rFonts w:ascii="Times New Roman" w:hAnsi="Times New Roman" w:cs="Times New Roman"/>
          <w:lang w:val="en-US"/>
        </w:rPr>
        <w:t>HiSeq</w:t>
      </w:r>
      <w:proofErr w:type="spellEnd"/>
      <w:r w:rsidRPr="000E3E5F">
        <w:rPr>
          <w:rFonts w:ascii="Times New Roman" w:hAnsi="Times New Roman" w:cs="Times New Roman"/>
          <w:lang w:val="en-US"/>
        </w:rPr>
        <w:t xml:space="preserve"> 2500 (Illumina, San Diego, CA, USA) using the single-end 1*50 </w:t>
      </w:r>
      <w:proofErr w:type="spellStart"/>
      <w:r w:rsidRPr="000E3E5F">
        <w:rPr>
          <w:rFonts w:ascii="Times New Roman" w:hAnsi="Times New Roman" w:cs="Times New Roman"/>
          <w:lang w:val="en-US"/>
        </w:rPr>
        <w:t>nt</w:t>
      </w:r>
      <w:proofErr w:type="spellEnd"/>
      <w:r w:rsidRPr="000E3E5F">
        <w:rPr>
          <w:rFonts w:ascii="Times New Roman" w:hAnsi="Times New Roman" w:cs="Times New Roman"/>
          <w:lang w:val="en-US"/>
        </w:rPr>
        <w:t xml:space="preserve"> protocol on 3 lanes of a flow cell V4. Sequencing produced between 6 and 36 million passed-filter clusters per library. Image analyses and base calling were performed using the Illumina </w:t>
      </w:r>
      <w:proofErr w:type="spellStart"/>
      <w:r w:rsidRPr="000E3E5F">
        <w:rPr>
          <w:rFonts w:ascii="Times New Roman" w:hAnsi="Times New Roman" w:cs="Times New Roman"/>
          <w:lang w:val="en-US"/>
        </w:rPr>
        <w:t>HiSeq</w:t>
      </w:r>
      <w:proofErr w:type="spellEnd"/>
      <w:r w:rsidRPr="000E3E5F">
        <w:rPr>
          <w:rFonts w:ascii="Times New Roman" w:hAnsi="Times New Roman" w:cs="Times New Roman"/>
          <w:lang w:val="en-US"/>
        </w:rPr>
        <w:t xml:space="preserve"> Control Software and the Real-Time Analysis component. Demultiplexing was performed using Illumina’s conversion software (bcl2fastq 2.20). The quality of the raw data was assessed using </w:t>
      </w:r>
      <w:proofErr w:type="spellStart"/>
      <w:r w:rsidRPr="000E3E5F">
        <w:rPr>
          <w:rFonts w:ascii="Times New Roman" w:hAnsi="Times New Roman" w:cs="Times New Roman"/>
          <w:lang w:val="en-US"/>
        </w:rPr>
        <w:t>FastQC</w:t>
      </w:r>
      <w:proofErr w:type="spellEnd"/>
      <w:r w:rsidRPr="000E3E5F">
        <w:rPr>
          <w:rFonts w:ascii="Times New Roman" w:hAnsi="Times New Roman" w:cs="Times New Roman"/>
          <w:lang w:val="en-US"/>
        </w:rPr>
        <w:t xml:space="preserve"> from the </w:t>
      </w:r>
      <w:proofErr w:type="spellStart"/>
      <w:r w:rsidRPr="000E3E5F">
        <w:rPr>
          <w:rFonts w:ascii="Times New Roman" w:hAnsi="Times New Roman" w:cs="Times New Roman"/>
          <w:lang w:val="en-US"/>
        </w:rPr>
        <w:t>Babraham</w:t>
      </w:r>
      <w:proofErr w:type="spellEnd"/>
      <w:r w:rsidRPr="000E3E5F">
        <w:rPr>
          <w:rFonts w:ascii="Times New Roman" w:hAnsi="Times New Roman" w:cs="Times New Roman"/>
          <w:lang w:val="en-US"/>
        </w:rPr>
        <w:t xml:space="preserve"> Institute and the Illumina software SAV (Sequencing Analysis Viewer). Potential contaminants were monitored with the </w:t>
      </w:r>
      <w:proofErr w:type="spellStart"/>
      <w:r w:rsidRPr="000E3E5F">
        <w:rPr>
          <w:rFonts w:ascii="Times New Roman" w:hAnsi="Times New Roman" w:cs="Times New Roman"/>
          <w:lang w:val="en-US"/>
        </w:rPr>
        <w:t>FastQ</w:t>
      </w:r>
      <w:proofErr w:type="spellEnd"/>
      <w:r w:rsidRPr="000E3E5F">
        <w:rPr>
          <w:rFonts w:ascii="Times New Roman" w:hAnsi="Times New Roman" w:cs="Times New Roman"/>
          <w:lang w:val="en-US"/>
        </w:rPr>
        <w:t xml:space="preserve"> Screen software from the </w:t>
      </w:r>
      <w:proofErr w:type="spellStart"/>
      <w:r w:rsidRPr="000E3E5F">
        <w:rPr>
          <w:rFonts w:ascii="Times New Roman" w:hAnsi="Times New Roman" w:cs="Times New Roman"/>
          <w:lang w:val="en-US"/>
        </w:rPr>
        <w:t>Babraham</w:t>
      </w:r>
      <w:proofErr w:type="spellEnd"/>
      <w:r w:rsidRPr="000E3E5F">
        <w:rPr>
          <w:rFonts w:ascii="Times New Roman" w:hAnsi="Times New Roman" w:cs="Times New Roman"/>
          <w:lang w:val="en-US"/>
        </w:rPr>
        <w:t xml:space="preserve"> Institute.</w:t>
      </w:r>
    </w:p>
    <w:p w14:paraId="05F0C547" w14:textId="1CECC234" w:rsidR="002E64A8" w:rsidRDefault="002E64A8" w:rsidP="002E64A8">
      <w:pPr>
        <w:spacing w:line="360" w:lineRule="auto"/>
        <w:jc w:val="both"/>
        <w:rPr>
          <w:rFonts w:ascii="Times New Roman" w:hAnsi="Times New Roman" w:cs="Times New Roman"/>
          <w:lang w:val="en-US"/>
        </w:rPr>
      </w:pPr>
      <w:r w:rsidRPr="000E3E5F">
        <w:rPr>
          <w:rFonts w:ascii="Times New Roman" w:hAnsi="Times New Roman" w:cs="Times New Roman"/>
          <w:lang w:val="en-US"/>
        </w:rPr>
        <w:t xml:space="preserve">A splice junction mapper, </w:t>
      </w:r>
      <w:proofErr w:type="spellStart"/>
      <w:r w:rsidRPr="000E3E5F">
        <w:rPr>
          <w:rFonts w:ascii="Times New Roman" w:hAnsi="Times New Roman" w:cs="Times New Roman"/>
          <w:lang w:val="en-US"/>
        </w:rPr>
        <w:t>TopHat</w:t>
      </w:r>
      <w:proofErr w:type="spellEnd"/>
      <w:r w:rsidRPr="000E3E5F">
        <w:rPr>
          <w:rFonts w:ascii="Times New Roman" w:hAnsi="Times New Roman" w:cs="Times New Roman"/>
          <w:lang w:val="en-US"/>
        </w:rPr>
        <w:t xml:space="preserve"> 2.1.1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FWyCaOs4","properties":{"formattedCitation":"[1]","plainCitation":"[1]","noteIndex":0},"citationItems":[{"id":11575,"uris":["http://zotero.org/users/353272/items/C6FZ6337"],"uri":["http://zotero.org/users/353272/items/C6FZ6337"],"itemData":{"id":11575,"type":"article-journal","abstract":"TopHat is a popular spliced aligner for RNA-sequence (RNA-seq) experiments. In this paper, we describe TopHat2, which incorporates many significant enhancements to TopHat. TopHat2 can align reads of various lengths produced by the latest sequencing technologies, while allowing for variable-length indels with respect to the reference genome. In addition to de novo spliced alignment, TopHat2 can align reads across fusion breaks, which can occur after genomic translocations. TopHat2 combines the ability to identify novel splice sites with direct mapping to known transcripts, producing sensitive and accurate alignments, even for highly repetitive genomes or in the presence of pseudogenes. TopHat2 is available at http://ccb.jhu.edu/software/tophat.","container-title":"Genome Biology","DOI":"10.1186/gb-2013-14-4-r36","ISSN":"1474-760X","issue":"4","journalAbbreviation":"Genome Biology","page":"R36","source":"BioMed Central","title":"TopHat2: accurate alignment of transcriptomes in the presence of insertions, deletions and gene fusions","title-short":"TopHat2","volume":"14","author":[{"family":"Kim","given":"Daehwan"},{"family":"Pertea","given":"Geo"},{"family":"Trapnell","given":"Cole"},{"family":"Pimentel","given":"Harold"},{"family":"Kelley","given":"Ryan"},{"family":"Salzberg","given":"Steven L."}],"issued":{"date-parts":[["2013",4,25]]}}}],"schema":"https://github.com/citation-style-language/schema/raw/master/csl-citation.json"}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[1]</w:t>
      </w:r>
      <w:r>
        <w:rPr>
          <w:rFonts w:ascii="Times New Roman" w:hAnsi="Times New Roman" w:cs="Times New Roman"/>
          <w:lang w:val="en-US"/>
        </w:rPr>
        <w:fldChar w:fldCharType="end"/>
      </w:r>
      <w:r w:rsidRPr="000E3E5F">
        <w:rPr>
          <w:rFonts w:ascii="Times New Roman" w:hAnsi="Times New Roman" w:cs="Times New Roman"/>
          <w:lang w:val="en-US"/>
        </w:rPr>
        <w:t xml:space="preserve"> (using Bowtie 2.2.9;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DPqygiRC","properties":{"formattedCitation":"[2]","plainCitation":"[2]","noteIndex":0},"citationItems":[{"id":11578,"uris":["http://zotero.org/users/353272/items/UQXSFQPJ"],"uri":["http://zotero.org/users/353272/items/UQXSFQPJ"],"itemData":{"id":11578,"type":"article-journal","abstract":"The Bowtie 2 software achieves fast, sensitive, accurate and memory-efficient gapped alignment of sequencing reads using the full-text minute index and hardware-accelerated dynamic programming algorithms.","container-title":"Nature Methods","DOI":"10.1038/nmeth.1923","ISSN":"1548-7105","issue":"4","journalAbbreviation":"Nat Methods","language":"en","note":"Bandiera_abtest: a\nCg_type: Nature Research Journals\nnumber: 4\nPrimary_atype: Research\npublisher: Nature Publishing Group\nSubject_term: Bioinformatics;Genomics;Sequencing\nSubject_term_id: bioinformatics;genomics;sequencing","page":"357-359","source":"www.nature.com","title":"Fast gapped-read alignment with Bowtie 2","volume":"9","author":[{"family":"Langmead","given":"Ben"},{"family":"Salzberg","given":"Steven L."}],"issued":{"date-parts":[["2012",4]]}}}],"schema":"https://github.com/citation-style-language/schema/raw/master/csl-citation.json"}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[2]</w:t>
      </w:r>
      <w:r>
        <w:rPr>
          <w:rFonts w:ascii="Times New Roman" w:hAnsi="Times New Roman" w:cs="Times New Roman"/>
          <w:lang w:val="en-US"/>
        </w:rPr>
        <w:fldChar w:fldCharType="end"/>
      </w:r>
      <w:r w:rsidRPr="000E3E5F">
        <w:rPr>
          <w:rFonts w:ascii="Times New Roman" w:hAnsi="Times New Roman" w:cs="Times New Roman"/>
          <w:lang w:val="en-US"/>
        </w:rPr>
        <w:t xml:space="preserve">) was used to align the RNA-Seq reads to the </w:t>
      </w:r>
      <w:proofErr w:type="spellStart"/>
      <w:r w:rsidRPr="00C11D8B">
        <w:rPr>
          <w:rFonts w:ascii="Times New Roman" w:hAnsi="Times New Roman" w:cs="Times New Roman"/>
          <w:i/>
          <w:lang w:val="en-US"/>
        </w:rPr>
        <w:t>Dicentrarchus</w:t>
      </w:r>
      <w:proofErr w:type="spellEnd"/>
      <w:r w:rsidRPr="00C11D8B">
        <w:rPr>
          <w:rFonts w:ascii="Times New Roman" w:hAnsi="Times New Roman" w:cs="Times New Roman"/>
          <w:i/>
          <w:lang w:val="en-US"/>
        </w:rPr>
        <w:t xml:space="preserve"> </w:t>
      </w:r>
      <w:proofErr w:type="spellStart"/>
      <w:r w:rsidRPr="00C11D8B">
        <w:rPr>
          <w:rFonts w:ascii="Times New Roman" w:hAnsi="Times New Roman" w:cs="Times New Roman"/>
          <w:i/>
          <w:lang w:val="en-US"/>
        </w:rPr>
        <w:t>labrax</w:t>
      </w:r>
      <w:proofErr w:type="spellEnd"/>
      <w:r w:rsidRPr="000E3E5F">
        <w:rPr>
          <w:rFonts w:ascii="Times New Roman" w:hAnsi="Times New Roman" w:cs="Times New Roman"/>
          <w:lang w:val="en-US"/>
        </w:rPr>
        <w:t xml:space="preserve"> genome (NCBI, reference GCA_000689215.1) </w:t>
      </w:r>
      <w:r w:rsidRPr="000E3E5F">
        <w:rPr>
          <w:rFonts w:ascii="Times New Roman" w:hAnsi="Times New Roman" w:cs="Times New Roman"/>
          <w:lang w:val="en-US"/>
        </w:rPr>
        <w:lastRenderedPageBreak/>
        <w:t xml:space="preserve">with a set of gene model annotations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r1B1LB2t","properties":{"formattedCitation":"[3]","plainCitation":"[3]","noteIndex":0},"citationItems":[{"id":384,"uris":["http://zotero.org/users/353272/items/UDBBNZMH"],"uri":["http://zotero.org/users/353272/items/UDBBNZMH"],"itemData":{"id":384,"type":"article-journal","abstract":"The European sea bass is an economically important fish species, which is subject to intense selective breeding. Here, the authors sequence the genome of the European sea bass and highlight gene family expansions underlying adaptation to salinity change, as well as the genomic architecture of speciation between two divergent sea bass lineages.","container-title":"Nature Communications","DOI":"10.1038/ncomms6770","ISSN":"2041-1723","issue":"1","journalAbbreviation":"Nat Commun","language":"en","page":"1-10","source":"www.nature.com","title":"European sea bass genome and its variation provide insights into adaptation to euryhalinity and speciation","volume":"5","author":[{"family":"Tine","given":"Mbaye"},{"family":"Kuhl","given":"Heiner"},{"family":"Gagnaire","given":"Pierre-Alexandre"},{"family":"Louro","given":"Bruno"},{"family":"Desmarais","given":"Erick"},{"family":"Martins","given":"Rute S. T."},{"family":"Hecht","given":"Jochen"},{"family":"Knaust","given":"Florian"},{"family":"Belkhir","given":"Khalid"},{"family":"Klages","given":"Sven"},{"family":"Dieterich","given":"Roland"},{"family":"Stueber","given":"Kurt"},{"family":"Piferrer","given":"Francesc"},{"family":"Guinand","given":"Bruno"},{"family":"Bierne","given":"Nicolas"},{"family":"Volckaert","given":"Filip A. M."},{"family":"Bargelloni","given":"Luca"},{"family":"Power","given":"Deborah M."},{"family":"Bonhomme","given":"François"},{"family":"Canario","given":"Adelino V. M."},{"family":"Reinhardt","given":"Richard"}],"issued":{"date-parts":[["2014",12,23]]}}}],"schema":"https://github.com/citation-style-language/schema/raw/master/csl-citation.json"}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[3]</w:t>
      </w:r>
      <w:r>
        <w:rPr>
          <w:rFonts w:ascii="Times New Roman" w:hAnsi="Times New Roman" w:cs="Times New Roman"/>
          <w:lang w:val="en-US"/>
        </w:rPr>
        <w:fldChar w:fldCharType="end"/>
      </w:r>
      <w:r w:rsidRPr="000E3E5F">
        <w:rPr>
          <w:rFonts w:ascii="Times New Roman" w:hAnsi="Times New Roman" w:cs="Times New Roman"/>
          <w:lang w:val="en-US"/>
        </w:rPr>
        <w:t xml:space="preserve">. Final read alignments having more than 3 mismatches were discarded. </w:t>
      </w:r>
      <w:proofErr w:type="spellStart"/>
      <w:r w:rsidRPr="000E3E5F">
        <w:rPr>
          <w:rFonts w:ascii="Times New Roman" w:hAnsi="Times New Roman" w:cs="Times New Roman"/>
          <w:lang w:val="en-US"/>
        </w:rPr>
        <w:t>Samtools</w:t>
      </w:r>
      <w:proofErr w:type="spellEnd"/>
      <w:r w:rsidRPr="000E3E5F">
        <w:rPr>
          <w:rFonts w:ascii="Times New Roman" w:hAnsi="Times New Roman" w:cs="Times New Roman"/>
          <w:lang w:val="en-US"/>
        </w:rPr>
        <w:t xml:space="preserve"> (v.1.5) was used to sort alignment files and counting was performed with </w:t>
      </w:r>
      <w:proofErr w:type="spellStart"/>
      <w:r w:rsidRPr="000E3E5F">
        <w:rPr>
          <w:rFonts w:ascii="Times New Roman" w:hAnsi="Times New Roman" w:cs="Times New Roman"/>
          <w:lang w:val="en-US"/>
        </w:rPr>
        <w:t>Featurecounts</w:t>
      </w:r>
      <w:proofErr w:type="spellEnd"/>
      <w:r w:rsidRPr="000E3E5F">
        <w:rPr>
          <w:rFonts w:ascii="Times New Roman" w:hAnsi="Times New Roman" w:cs="Times New Roman"/>
          <w:lang w:val="en-US"/>
        </w:rPr>
        <w:t xml:space="preserve"> (v.1.6.2)</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q2iH2XqN","properties":{"formattedCitation":"[4]","plainCitation":"[4]","noteIndex":0},"citationItems":[{"id":11581,"uris":["http://zotero.org/users/353272/items/49F4CTYX"],"uri":["http://zotero.org/users/353272/items/49F4CTYX"],"itemData":{"id":11581,"type":"article-journal","abstract":"Motivation: Next-generation sequencing technologies generate millions of short sequence reads, which are usually aligned to a reference genome. In many applications, the key information required for downstream analysis is the number of reads mapping to each genomic feature, for example to each exon or each gene. The process of counting reads is called read summarization. Read summarization is required for a great variety of genomic analyses but has so far received relatively little attention in the literature.Results: We present featureCounts, a read summarization program suitable for counting reads generated from either RNA or genomic DNA sequencing experiments. featureCounts implements highly efficient chromosome hashing and feature blocking techniques. It is considerably faster than existing methods (by an order of magnitude for gene-level summarization) and requires far less computer memory. It works with either single or paired-end reads and provides a wide range of options appropriate for different sequencing applications.Availability and implementation: featureCounts is available under GNU General Public License as part of the Subread (http://subread.sourceforge.net) or Rsubread (http://www.bioconductor.org) software packages.Contact: shi@wehi.edu.au","container-title":"Bioinformatics","DOI":"10.1093/bioinformatics/btt656","ISSN":"1367-4803","issue":"7","journalAbbreviation":"Bioinformatics","page":"923-930","source":"Silverchair","title":"featureCounts: an efficient general purpose program for assigning sequence reads to genomic features","title-short":"featureCounts","volume":"30","author":[{"family":"Liao","given":"Yang"},{"family":"Smyth","given":"Gordon K."},{"family":"Shi","given":"Wei"}],"issued":{"date-parts":[["2014",4,1]]}}}],"schema":"https://github.com/citation-style-language/schema/raw/master/csl-citation.json"}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[4]</w:t>
      </w:r>
      <w:r>
        <w:rPr>
          <w:rFonts w:ascii="Times New Roman" w:hAnsi="Times New Roman" w:cs="Times New Roman"/>
          <w:lang w:val="en-US"/>
        </w:rPr>
        <w:fldChar w:fldCharType="end"/>
      </w:r>
      <w:r w:rsidRPr="000E3E5F">
        <w:rPr>
          <w:rFonts w:ascii="Times New Roman" w:hAnsi="Times New Roman" w:cs="Times New Roman"/>
          <w:lang w:val="en-US"/>
        </w:rPr>
        <w:t xml:space="preserve">. As data comes from a strand-specific assay, the read has to be mapped to the opposite strand of the gene (-s 2 option). Before statistical analysis, genes with less than 25 reads (cumulating all the analyzed samples) were filtered out. Differentially expressed (DE) genes between bold and shy were identified within each organ using the R (v 3.4.2) Bioconductor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ERSlg32U","properties":{"formattedCitation":"[5]","plainCitation":"[5]","noteIndex":0},"citationItems":[{"id":3525,"uris":["http://zotero.org/users/353272/items/WWBDWK8N"],"uri":["http://zotero.org/users/353272/items/WWBDWK8N"],"itemData":{"id":3525,"type":"article-journal","abstract":"Bioconductor is an open-source, open-development software project for the analysis and comprehension of high-throughput data in genomics and molecular biology. The project aims to enable interdisciplinary research, collaboration and rapid development of scientific software. Based on the statistical programming language R, Bioconductor comprises 934 interoperable packages contributed by a large, diverse community of scientists. Packages cover a range of bioinformatic and statistical applications. They undergo formal initial review and continuous automated testing. We present an overview for prospective users and contributors.","container-title":"Nature Methods","DOI":"10.1038/nmeth.3252","ISSN":"1548-7091","issue":"2","journalAbbreviation":"Nat Meth","language":"en","page":"115-121","source":"www.nature.com","title":"Orchestrating high-throughput genomic analysis with Bioconductor","volume":"12","author":[{"family":"Huber","given":"Wolfgang"},{"family":"Carey","given":"Vincent J."},{"family":"Gentleman","given":"Robert"},{"family":"Anders","given":"Simon"},{"family":"Carlson","given":"Marc"},{"family":"Carvalho","given":"Benilton S."},{"family":"Bravo","given":"Hector Corrada"},{"family":"Davis","given":"Sean"},{"family":"Gatto","given":"Laurent"},{"family":"Girke","given":"Thomas"},{"family":"Gottardo","given":"Raphael"},{"family":"Hahne","given":"Florian"},{"family":"Hansen","given":"Kasper D."},{"family":"Irizarry","given":"Rafael A."},{"family":"Lawrence","given":"Michael"},{"family":"Love","given":"Michael I."},{"family":"MacDonald","given":"James"},{"family":"Obenchain","given":"Valerie"},{"family":"Oleś","given":"Andrzej K."},{"family":"Pagès","given":"Hervé"},{"family":"Reyes","given":"Alejandro"},{"family":"Shannon","given":"Paul"},{"family":"Smyth","given":"Gordon K."},{"family":"Tenenbaum","given":"Dan"},{"family":"Waldron","given":"Levi"},{"family":"Morgan","given":"Martin"}],"issued":{"date-parts":[["2015",2]]}}}],"schema":"https://github.com/citation-style-language/schema/raw/master/csl-citation.json"}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[5]</w:t>
      </w:r>
      <w:r>
        <w:rPr>
          <w:rFonts w:ascii="Times New Roman" w:hAnsi="Times New Roman" w:cs="Times New Roman"/>
          <w:lang w:val="en-US"/>
        </w:rPr>
        <w:fldChar w:fldCharType="end"/>
      </w:r>
      <w:r w:rsidRPr="00AC455D">
        <w:rPr>
          <w:rFonts w:ascii="Times New Roman" w:hAnsi="Times New Roman" w:cs="Times New Roman"/>
          <w:lang w:val="en-US"/>
        </w:rPr>
        <w:t xml:space="preserve"> package DESeq2 v.1.26.0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yvS5KC5M","properties":{"formattedCitation":"[6]","plainCitation":"[6]","noteIndex":0},"citationItems":[{"id":11584,"uris":["http://zotero.org/users/353272/items/I9C92VBK"],"uri":["http://zotero.org/users/353272/items/I9C92VBK"],"itemData":{"id":11584,"type":"article-journal","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http://www.bioconductor.org/packages/release/bioc/html/DESeq2.html.","container-title":"Genome Biology","DOI":"10.1186/s13059-014-0550-8","ISSN":"1474-760X","issue":"12","journalAbbreviation":"Genome Biology","page":"550","source":"BioMed Central","title":"Moderated estimation of fold change and dispersion for RNA-seq data with DESeq2","volume":"15","author":[{"family":"Love","given":"Michael I."},{"family":"Huber","given":"Wolfgang"},{"family":"Anders","given":"Simon"}],"issued":{"date-parts":[["2014",12,5]]}}}],"schema":"https://github.com/citation-style-language/schema/raw/master/csl-citation.json"}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[6]</w:t>
      </w:r>
      <w:r>
        <w:rPr>
          <w:rFonts w:ascii="Times New Roman" w:hAnsi="Times New Roman" w:cs="Times New Roman"/>
          <w:lang w:val="en-US"/>
        </w:rPr>
        <w:fldChar w:fldCharType="end"/>
      </w:r>
      <w:r w:rsidRPr="00AC455D">
        <w:rPr>
          <w:rFonts w:ascii="Times New Roman" w:hAnsi="Times New Roman" w:cs="Times New Roman"/>
          <w:lang w:val="en-US"/>
        </w:rPr>
        <w:t xml:space="preserve">, while the effect of sex </w:t>
      </w:r>
      <w:r w:rsidR="00C11D8B">
        <w:rPr>
          <w:rFonts w:ascii="Times New Roman" w:hAnsi="Times New Roman" w:cs="Times New Roman"/>
          <w:lang w:val="en-US"/>
        </w:rPr>
        <w:t>was</w:t>
      </w:r>
      <w:r w:rsidRPr="00AC455D">
        <w:rPr>
          <w:rFonts w:ascii="Times New Roman" w:hAnsi="Times New Roman" w:cs="Times New Roman"/>
          <w:lang w:val="en-US"/>
        </w:rPr>
        <w:t xml:space="preserve"> accounted for by the use of </w:t>
      </w:r>
      <w:r w:rsidR="00C11D8B">
        <w:rPr>
          <w:rFonts w:ascii="Times New Roman" w:hAnsi="Times New Roman" w:cs="Times New Roman"/>
          <w:lang w:val="en-US"/>
        </w:rPr>
        <w:t xml:space="preserve">an </w:t>
      </w:r>
      <w:r w:rsidRPr="00AC455D">
        <w:rPr>
          <w:rFonts w:ascii="Times New Roman" w:hAnsi="Times New Roman" w:cs="Times New Roman"/>
          <w:lang w:val="en-US"/>
        </w:rPr>
        <w:t xml:space="preserve">additional factor in the statistical model. </w:t>
      </w:r>
      <w:r w:rsidRPr="000E3E5F">
        <w:rPr>
          <w:rFonts w:ascii="Times New Roman" w:hAnsi="Times New Roman" w:cs="Times New Roman"/>
          <w:lang w:val="en-US"/>
        </w:rPr>
        <w:t xml:space="preserve">Data were normalized using the default method of DESeq2. Genes with adjusted p-value below 5% (according to the FDR method from </w:t>
      </w:r>
      <w:proofErr w:type="spellStart"/>
      <w:r w:rsidRPr="000E3E5F">
        <w:rPr>
          <w:rFonts w:ascii="Times New Roman" w:hAnsi="Times New Roman" w:cs="Times New Roman"/>
          <w:lang w:val="en-US"/>
        </w:rPr>
        <w:t>Benjamini</w:t>
      </w:r>
      <w:proofErr w:type="spellEnd"/>
      <w:r w:rsidRPr="000E3E5F">
        <w:rPr>
          <w:rFonts w:ascii="Times New Roman" w:hAnsi="Times New Roman" w:cs="Times New Roman"/>
          <w:lang w:val="en-US"/>
        </w:rPr>
        <w:t>-Hochberg</w:t>
      </w:r>
      <w:r>
        <w:rPr>
          <w:rFonts w:ascii="Times New Roman" w:hAnsi="Times New Roman" w:cs="Times New Roman"/>
          <w:lang w:val="en-US"/>
        </w:rPr>
        <w:t xml:space="preserve"> </w:t>
      </w:r>
      <w:r>
        <w:rPr>
          <w:rFonts w:ascii="Times New Roman" w:hAnsi="Times New Roman" w:cs="Times New Roman"/>
          <w:lang w:val="en-US"/>
        </w:rPr>
        <w:fldChar w:fldCharType="begin"/>
      </w:r>
      <w:r w:rsidR="00076CCC">
        <w:rPr>
          <w:rFonts w:ascii="Times New Roman" w:hAnsi="Times New Roman" w:cs="Times New Roman"/>
          <w:lang w:val="en-US"/>
        </w:rPr>
        <w:instrText xml:space="preserve"> ADDIN ZOTERO_ITEM CSL_CITATION {"citationID":"Ia9D3Lhl","properties":{"formattedCitation":"[7]","plainCitation":"[7]","noteIndex":0},"citationItems":[{"id":11590,"uris":["http://zotero.org/users/353272/items/3PVW5F5D"],"uri":["http://zotero.org/users/353272/items/3PVW5F5D"],"itemData":{"id":11590,"type":"article-journal","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examples.","container-title":"Journal of the Royal Statistical Society: Series B (Methodological)","DOI":"10.1111/j.2517-6161.1995.tb02031.x","ISSN":"2517-6161","issue":"1","language":"en","note":"_eprint: https://rss.onlinelibrary.wiley.com/doi/pdf/10.1111/j.2517-6161.1995.tb02031.x","page":"289-300","source":"Wiley Online Library","title":"Controlling the False Discovery Rate: A Practical and Powerful Approach to Multiple Testing","title-short":"Controlling the False Discovery Rate","volume":"57","author":[{"family":"Benjamini","given":"Yoav"},{"family":"Hochberg","given":"Yosef"}],"issued":{"date-parts":[["1995"]]}}}],"schema":"https://github.com/citation-style-language/schema/raw/master/csl-citation.json"} </w:instrText>
      </w:r>
      <w:r>
        <w:rPr>
          <w:rFonts w:ascii="Times New Roman" w:hAnsi="Times New Roman" w:cs="Times New Roman"/>
          <w:lang w:val="en-US"/>
        </w:rPr>
        <w:fldChar w:fldCharType="separate"/>
      </w:r>
      <w:r w:rsidR="00076CCC" w:rsidRPr="00076CCC">
        <w:rPr>
          <w:rFonts w:ascii="Times New Roman" w:hAnsi="Times New Roman" w:cs="Times New Roman"/>
        </w:rPr>
        <w:t>[7]</w:t>
      </w:r>
      <w:r>
        <w:rPr>
          <w:rFonts w:ascii="Times New Roman" w:hAnsi="Times New Roman" w:cs="Times New Roman"/>
          <w:lang w:val="en-US"/>
        </w:rPr>
        <w:fldChar w:fldCharType="end"/>
      </w:r>
      <w:r w:rsidRPr="000E3E5F">
        <w:rPr>
          <w:rFonts w:ascii="Times New Roman" w:hAnsi="Times New Roman" w:cs="Times New Roman"/>
          <w:lang w:val="en-US"/>
        </w:rPr>
        <w:t>) were considered differentially expressed.</w:t>
      </w:r>
    </w:p>
    <w:p w14:paraId="00CCFA68" w14:textId="5CC2D9CC" w:rsidR="002E64A8" w:rsidRDefault="002E64A8" w:rsidP="002E64A8">
      <w:pPr>
        <w:spacing w:line="360" w:lineRule="auto"/>
        <w:jc w:val="both"/>
        <w:rPr>
          <w:rFonts w:ascii="Times New Roman" w:hAnsi="Times New Roman" w:cs="Times New Roman"/>
          <w:lang w:val="en-GB"/>
        </w:rPr>
      </w:pPr>
      <w:r w:rsidRPr="00865530">
        <w:rPr>
          <w:rFonts w:ascii="Times New Roman" w:hAnsi="Times New Roman" w:cs="Times New Roman"/>
          <w:lang w:val="en-US"/>
        </w:rPr>
        <w:t xml:space="preserve">The gene ontology (GO) enrichment was performed using the </w:t>
      </w:r>
      <w:proofErr w:type="spellStart"/>
      <w:r w:rsidRPr="00865530">
        <w:rPr>
          <w:rFonts w:ascii="Times New Roman" w:hAnsi="Times New Roman" w:cs="Times New Roman"/>
          <w:lang w:val="en-US"/>
        </w:rPr>
        <w:t>goseq</w:t>
      </w:r>
      <w:proofErr w:type="spellEnd"/>
      <w:r w:rsidRPr="00865530">
        <w:rPr>
          <w:rFonts w:ascii="Times New Roman" w:hAnsi="Times New Roman" w:cs="Times New Roman"/>
          <w:lang w:val="en-US"/>
        </w:rPr>
        <w:t xml:space="preserve"> package in R ran on gene symbols. The mouse, </w:t>
      </w:r>
      <w:r w:rsidRPr="00865530">
        <w:rPr>
          <w:rFonts w:ascii="Times New Roman" w:hAnsi="Times New Roman" w:cs="Times New Roman"/>
          <w:i/>
          <w:iCs/>
          <w:lang w:val="en-US"/>
        </w:rPr>
        <w:t xml:space="preserve">Mus musculus, </w:t>
      </w:r>
      <w:r w:rsidRPr="00865530">
        <w:rPr>
          <w:rFonts w:ascii="Times New Roman" w:hAnsi="Times New Roman" w:cs="Times New Roman"/>
          <w:iCs/>
          <w:lang w:val="en-US"/>
        </w:rPr>
        <w:t>genome (mm9) was used as reference genome because of the limited information available on other more related species</w:t>
      </w:r>
      <w:r>
        <w:rPr>
          <w:rFonts w:ascii="Times New Roman" w:hAnsi="Times New Roman" w:cs="Times New Roman"/>
          <w:iCs/>
          <w:lang w:val="en-US"/>
        </w:rPr>
        <w:t xml:space="preserve"> regarding GO</w:t>
      </w:r>
      <w:r w:rsidRPr="00865530">
        <w:rPr>
          <w:rFonts w:ascii="Times New Roman" w:hAnsi="Times New Roman" w:cs="Times New Roman"/>
          <w:iCs/>
          <w:lang w:val="en-US"/>
        </w:rPr>
        <w:t>.</w:t>
      </w:r>
      <w:r w:rsidRPr="00CA29EE">
        <w:rPr>
          <w:rFonts w:ascii="Times New Roman" w:hAnsi="Times New Roman" w:cs="Times New Roman"/>
          <w:iCs/>
          <w:lang w:val="en-US"/>
        </w:rPr>
        <w:t xml:space="preserve"> </w:t>
      </w:r>
      <w:proofErr w:type="gramStart"/>
      <w:r w:rsidR="00E82342">
        <w:rPr>
          <w:rFonts w:ascii="Times New Roman" w:hAnsi="Times New Roman" w:cs="Times New Roman"/>
          <w:iCs/>
          <w:lang w:val="en-US"/>
        </w:rPr>
        <w:t xml:space="preserve">Only </w:t>
      </w:r>
      <w:r w:rsidRPr="00CA29EE">
        <w:rPr>
          <w:rFonts w:ascii="Times New Roman" w:hAnsi="Times New Roman" w:cs="Times New Roman"/>
          <w:iCs/>
          <w:lang w:val="en-US"/>
        </w:rPr>
        <w:t xml:space="preserve"> biological</w:t>
      </w:r>
      <w:proofErr w:type="gramEnd"/>
      <w:r w:rsidRPr="00CA29EE">
        <w:rPr>
          <w:rFonts w:ascii="Times New Roman" w:hAnsi="Times New Roman" w:cs="Times New Roman"/>
          <w:iCs/>
          <w:lang w:val="en-US"/>
        </w:rPr>
        <w:t xml:space="preserve"> processes of level 2 were </w:t>
      </w:r>
      <w:r w:rsidR="00E82342">
        <w:rPr>
          <w:rFonts w:ascii="Times New Roman" w:hAnsi="Times New Roman" w:cs="Times New Roman"/>
          <w:iCs/>
          <w:lang w:val="en-US"/>
        </w:rPr>
        <w:t xml:space="preserve">evaluated after </w:t>
      </w:r>
      <w:proofErr w:type="spellStart"/>
      <w:r w:rsidR="00E82342">
        <w:rPr>
          <w:rFonts w:ascii="Times New Roman" w:hAnsi="Times New Roman" w:cs="Times New Roman"/>
          <w:iCs/>
          <w:lang w:val="en-US"/>
        </w:rPr>
        <w:t>goseq</w:t>
      </w:r>
      <w:proofErr w:type="spellEnd"/>
      <w:r w:rsidRPr="00CA29EE">
        <w:rPr>
          <w:rFonts w:ascii="Times New Roman" w:hAnsi="Times New Roman" w:cs="Times New Roman"/>
          <w:iCs/>
          <w:lang w:val="en-US"/>
        </w:rPr>
        <w:t xml:space="preserve">. </w:t>
      </w:r>
      <w:bookmarkStart w:id="2" w:name="_Hlk93665399"/>
      <w:r w:rsidR="00E82342">
        <w:rPr>
          <w:rFonts w:ascii="Times New Roman" w:hAnsi="Times New Roman" w:cs="Times New Roman"/>
          <w:iCs/>
          <w:lang w:val="en-US"/>
        </w:rPr>
        <w:t xml:space="preserve">Raw p-values out of </w:t>
      </w:r>
      <w:proofErr w:type="spellStart"/>
      <w:r w:rsidR="00E82342">
        <w:rPr>
          <w:rFonts w:ascii="Times New Roman" w:hAnsi="Times New Roman" w:cs="Times New Roman"/>
          <w:iCs/>
          <w:lang w:val="en-US"/>
        </w:rPr>
        <w:t>goseq</w:t>
      </w:r>
      <w:proofErr w:type="spellEnd"/>
      <w:r w:rsidR="00E82342">
        <w:rPr>
          <w:rFonts w:ascii="Times New Roman" w:hAnsi="Times New Roman" w:cs="Times New Roman"/>
          <w:iCs/>
          <w:lang w:val="en-US"/>
        </w:rPr>
        <w:t xml:space="preserve"> were presented along with their adjusted value after applying the Benjamin and Hochberg method to control for the false discovery rate</w:t>
      </w:r>
      <w:bookmarkEnd w:id="2"/>
      <w:r w:rsidR="00691164">
        <w:rPr>
          <w:rFonts w:ascii="Times New Roman" w:hAnsi="Times New Roman" w:cs="Times New Roman"/>
          <w:iCs/>
          <w:lang w:val="en-US"/>
        </w:rPr>
        <w:t xml:space="preserve"> </w:t>
      </w:r>
      <w:r w:rsidR="00691164">
        <w:rPr>
          <w:rFonts w:ascii="Times New Roman" w:hAnsi="Times New Roman" w:cs="Times New Roman"/>
          <w:iCs/>
          <w:lang w:val="en-US"/>
        </w:rPr>
        <w:fldChar w:fldCharType="begin"/>
      </w:r>
      <w:r w:rsidR="00076CCC">
        <w:rPr>
          <w:rFonts w:ascii="Times New Roman" w:hAnsi="Times New Roman" w:cs="Times New Roman"/>
          <w:iCs/>
          <w:lang w:val="en-US"/>
        </w:rPr>
        <w:instrText xml:space="preserve"> ADDIN ZOTERO_ITEM CSL_CITATION {"citationID":"Z7MhBSc0","properties":{"formattedCitation":"[7]","plainCitation":"[7]","noteIndex":0},"citationItems":[{"id":11590,"uris":["http://zotero.org/users/353272/items/3PVW5F5D"],"uri":["http://zotero.org/users/353272/items/3PVW5F5D"],"itemData":{"id":11590,"type":"article-journal","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 — 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examples.","container-title":"Journal of the Royal Statistical Society: Series B (Methodological)","DOI":"10.1111/j.2517-6161.1995.tb02031.x","ISSN":"2517-6161","issue":"1","language":"en","note":"_eprint: https://rss.onlinelibrary.wiley.com/doi/pdf/10.1111/j.2517-6161.1995.tb02031.x","page":"289-300","source":"Wiley Online Library","title":"Controlling the False Discovery Rate: A Practical and Powerful Approach to Multiple Testing","title-short":"Controlling the False Discovery Rate","volume":"57","author":[{"family":"Benjamini","given":"Yoav"},{"family":"Hochberg","given":"Yosef"}],"issued":{"date-parts":[["1995"]]}}}],"schema":"https://github.com/citation-style-language/schema/raw/master/csl-citation.json"} </w:instrText>
      </w:r>
      <w:r w:rsidR="00691164">
        <w:rPr>
          <w:rFonts w:ascii="Times New Roman" w:hAnsi="Times New Roman" w:cs="Times New Roman"/>
          <w:iCs/>
          <w:lang w:val="en-US"/>
        </w:rPr>
        <w:fldChar w:fldCharType="separate"/>
      </w:r>
      <w:r w:rsidR="00076CCC" w:rsidRPr="00076CCC">
        <w:rPr>
          <w:rFonts w:ascii="Times New Roman" w:hAnsi="Times New Roman" w:cs="Times New Roman"/>
        </w:rPr>
        <w:t>[7]</w:t>
      </w:r>
      <w:r w:rsidR="00691164">
        <w:rPr>
          <w:rFonts w:ascii="Times New Roman" w:hAnsi="Times New Roman" w:cs="Times New Roman"/>
          <w:iCs/>
          <w:lang w:val="en-US"/>
        </w:rPr>
        <w:fldChar w:fldCharType="end"/>
      </w:r>
      <w:r w:rsidR="00E82342">
        <w:rPr>
          <w:rFonts w:ascii="Times New Roman" w:hAnsi="Times New Roman" w:cs="Times New Roman"/>
          <w:iCs/>
          <w:lang w:val="en-US"/>
        </w:rPr>
        <w:t xml:space="preserve">. </w:t>
      </w:r>
      <w:r w:rsidRPr="00CA29EE">
        <w:rPr>
          <w:rFonts w:ascii="Times New Roman" w:hAnsi="Times New Roman" w:cs="Times New Roman"/>
          <w:iCs/>
          <w:lang w:val="en-US"/>
        </w:rPr>
        <w:t xml:space="preserve">Heatmaps of standardized expressions (mean </w:t>
      </w:r>
      <w:proofErr w:type="spellStart"/>
      <w:r w:rsidRPr="00CA29EE">
        <w:rPr>
          <w:rFonts w:ascii="Times New Roman" w:hAnsi="Times New Roman" w:cs="Times New Roman"/>
          <w:iCs/>
          <w:lang w:val="en-US"/>
        </w:rPr>
        <w:t>sub</w:t>
      </w:r>
      <w:r w:rsidR="008C2054">
        <w:rPr>
          <w:rFonts w:ascii="Times New Roman" w:hAnsi="Times New Roman" w:cs="Times New Roman"/>
          <w:iCs/>
          <w:lang w:val="en-US"/>
        </w:rPr>
        <w:t>s</w:t>
      </w:r>
      <w:r w:rsidRPr="00CA29EE">
        <w:rPr>
          <w:rFonts w:ascii="Times New Roman" w:hAnsi="Times New Roman" w:cs="Times New Roman"/>
          <w:iCs/>
          <w:lang w:val="en-US"/>
        </w:rPr>
        <w:t>traction</w:t>
      </w:r>
      <w:proofErr w:type="spellEnd"/>
      <w:r w:rsidRPr="00CA29EE">
        <w:rPr>
          <w:rFonts w:ascii="Times New Roman" w:hAnsi="Times New Roman" w:cs="Times New Roman"/>
          <w:iCs/>
          <w:lang w:val="en-US"/>
        </w:rPr>
        <w:t xml:space="preserve"> followed standard deviation division) were created using the </w:t>
      </w:r>
      <w:proofErr w:type="spellStart"/>
      <w:r w:rsidRPr="00CA29EE">
        <w:rPr>
          <w:rFonts w:ascii="Times New Roman" w:hAnsi="Times New Roman" w:cs="Times New Roman"/>
          <w:iCs/>
          <w:lang w:val="en-US"/>
        </w:rPr>
        <w:t>pheatmap</w:t>
      </w:r>
      <w:proofErr w:type="spellEnd"/>
      <w:r w:rsidRPr="00CA29EE">
        <w:rPr>
          <w:rFonts w:ascii="Times New Roman" w:hAnsi="Times New Roman" w:cs="Times New Roman"/>
          <w:iCs/>
          <w:lang w:val="en-US"/>
        </w:rPr>
        <w:t xml:space="preserve"> package on some GOs chosen based on the GO enrichment results. Finally, raw expressions were illustrated using the ggplot2 package for biological processes of level 3.</w:t>
      </w:r>
      <w:r>
        <w:rPr>
          <w:rFonts w:ascii="Times New Roman" w:hAnsi="Times New Roman" w:cs="Times New Roman"/>
          <w:iCs/>
          <w:lang w:val="en-US"/>
        </w:rPr>
        <w:t xml:space="preserve"> </w:t>
      </w:r>
      <w:r w:rsidRPr="0073430A">
        <w:rPr>
          <w:rFonts w:ascii="Times New Roman" w:hAnsi="Times New Roman" w:cs="Times New Roman"/>
          <w:lang w:val="en-GB"/>
        </w:rPr>
        <w:t xml:space="preserve">All statistical analyses were carried out using the R software </w:t>
      </w:r>
      <w:r w:rsidRPr="00667C75">
        <w:rPr>
          <w:rFonts w:ascii="Times New Roman" w:hAnsi="Times New Roman" w:cs="Times New Roman"/>
          <w:lang w:val="en-GB"/>
        </w:rPr>
        <w:t>4.0.2</w:t>
      </w:r>
      <w:r>
        <w:rPr>
          <w:rFonts w:ascii="Times New Roman" w:hAnsi="Times New Roman" w:cs="Times New Roman"/>
          <w:lang w:val="en-GB"/>
        </w:rPr>
        <w:t>.</w:t>
      </w:r>
    </w:p>
    <w:p w14:paraId="52AF1171" w14:textId="77777777" w:rsidR="00C11D8B" w:rsidRDefault="00C11D8B">
      <w:pPr>
        <w:spacing w:after="160" w:line="259" w:lineRule="auto"/>
        <w:rPr>
          <w:rFonts w:ascii="Times New Roman" w:hAnsi="Times New Roman" w:cs="Times New Roman"/>
          <w:lang w:val="en-GB"/>
        </w:rPr>
      </w:pPr>
      <w:r>
        <w:rPr>
          <w:rFonts w:ascii="Times New Roman" w:hAnsi="Times New Roman" w:cs="Times New Roman"/>
          <w:lang w:val="en-GB"/>
        </w:rPr>
        <w:br w:type="page"/>
      </w:r>
    </w:p>
    <w:p w14:paraId="213CF598" w14:textId="77777777" w:rsidR="00C11D8B" w:rsidRDefault="00C11D8B" w:rsidP="00C11D8B">
      <w:pPr>
        <w:spacing w:line="360" w:lineRule="auto"/>
        <w:jc w:val="both"/>
        <w:rPr>
          <w:rFonts w:ascii="Times New Roman" w:hAnsi="Times New Roman" w:cs="Times New Roman"/>
          <w:b/>
          <w:lang w:val="en-US"/>
        </w:rPr>
      </w:pPr>
      <w:r w:rsidRPr="00F941AB">
        <w:rPr>
          <w:rFonts w:ascii="Times New Roman" w:hAnsi="Times New Roman" w:cs="Times New Roman"/>
          <w:b/>
          <w:lang w:val="en-US"/>
        </w:rPr>
        <w:lastRenderedPageBreak/>
        <w:t xml:space="preserve">Supplementary </w:t>
      </w:r>
      <w:r>
        <w:rPr>
          <w:rFonts w:ascii="Times New Roman" w:hAnsi="Times New Roman" w:cs="Times New Roman"/>
          <w:b/>
          <w:lang w:val="en-US"/>
        </w:rPr>
        <w:t>Table</w:t>
      </w:r>
    </w:p>
    <w:p w14:paraId="3AA6897B" w14:textId="77777777" w:rsidR="00C11D8B" w:rsidRPr="0073430A" w:rsidRDefault="00C11D8B" w:rsidP="002E64A8">
      <w:pPr>
        <w:spacing w:line="360" w:lineRule="auto"/>
        <w:jc w:val="both"/>
        <w:rPr>
          <w:rFonts w:ascii="Times New Roman" w:hAnsi="Times New Roman" w:cs="Times New Roman"/>
          <w:lang w:val="en-US"/>
        </w:rPr>
      </w:pPr>
    </w:p>
    <w:p w14:paraId="21F5158B" w14:textId="77777777" w:rsidR="002E64A8" w:rsidRPr="002E64A8" w:rsidRDefault="002E64A8" w:rsidP="002E64A8">
      <w:pPr>
        <w:spacing w:line="360" w:lineRule="auto"/>
        <w:jc w:val="both"/>
        <w:rPr>
          <w:rFonts w:ascii="Times New Roman" w:hAnsi="Times New Roman" w:cs="Times New Roman"/>
          <w:lang w:val="en-US"/>
        </w:rPr>
      </w:pPr>
    </w:p>
    <w:p w14:paraId="52483183" w14:textId="77777777" w:rsidR="00C11D8B" w:rsidRPr="0073430A" w:rsidRDefault="00C11D8B" w:rsidP="00C11D8B">
      <w:pPr>
        <w:spacing w:line="360" w:lineRule="auto"/>
        <w:jc w:val="both"/>
        <w:rPr>
          <w:rFonts w:ascii="Times New Roman" w:hAnsi="Times New Roman" w:cs="Times New Roman"/>
          <w:lang w:val="en-US"/>
        </w:rPr>
      </w:pPr>
      <w:r w:rsidRPr="0073430A">
        <w:rPr>
          <w:rFonts w:ascii="Times New Roman" w:hAnsi="Times New Roman" w:cs="Times New Roman"/>
          <w:b/>
          <w:lang w:val="en-US"/>
        </w:rPr>
        <w:t>Table S1.</w:t>
      </w:r>
      <w:r w:rsidRPr="0073430A">
        <w:rPr>
          <w:rFonts w:ascii="Times New Roman" w:hAnsi="Times New Roman" w:cs="Times New Roman"/>
          <w:lang w:val="en-US"/>
        </w:rPr>
        <w:t xml:space="preserve"> Overrepresentation of gene ontology per organ between </w:t>
      </w:r>
      <w:r>
        <w:rPr>
          <w:rFonts w:ascii="Times New Roman" w:hAnsi="Times New Roman" w:cs="Times New Roman"/>
          <w:lang w:val="en-US"/>
        </w:rPr>
        <w:t>bold</w:t>
      </w:r>
      <w:r w:rsidRPr="0073430A">
        <w:rPr>
          <w:rFonts w:ascii="Times New Roman" w:hAnsi="Times New Roman" w:cs="Times New Roman"/>
          <w:lang w:val="en-US"/>
        </w:rPr>
        <w:t xml:space="preserve"> and </w:t>
      </w:r>
      <w:r>
        <w:rPr>
          <w:rFonts w:ascii="Times New Roman" w:hAnsi="Times New Roman" w:cs="Times New Roman"/>
          <w:lang w:val="en-US"/>
        </w:rPr>
        <w:t>shy</w:t>
      </w:r>
      <w:r w:rsidRPr="0073430A">
        <w:rPr>
          <w:rFonts w:ascii="Times New Roman" w:hAnsi="Times New Roman" w:cs="Times New Roman"/>
          <w:lang w:val="en-US"/>
        </w:rPr>
        <w:t xml:space="preserve"> individuals</w:t>
      </w:r>
      <w:r w:rsidR="00D4583B">
        <w:rPr>
          <w:rFonts w:ascii="Times New Roman" w:hAnsi="Times New Roman" w:cs="Times New Roman"/>
          <w:lang w:val="en-US"/>
        </w:rPr>
        <w:t>, focusing on biological processes of level 2</w:t>
      </w:r>
      <w:r w:rsidR="00515820">
        <w:rPr>
          <w:rFonts w:ascii="Times New Roman" w:hAnsi="Times New Roman" w:cs="Times New Roman"/>
          <w:lang w:val="en-US"/>
        </w:rPr>
        <w:t xml:space="preserve">. Adjusted p-values, using Benjamin-Hochberg Procedure are provided in brackets. </w:t>
      </w:r>
    </w:p>
    <w:p w14:paraId="36A05B63" w14:textId="77777777" w:rsidR="00C11D8B" w:rsidRPr="0073430A" w:rsidRDefault="00C11D8B" w:rsidP="00C11D8B">
      <w:pPr>
        <w:spacing w:line="360" w:lineRule="auto"/>
        <w:jc w:val="both"/>
        <w:rPr>
          <w:rFonts w:ascii="Times New Roman" w:hAnsi="Times New Roman" w:cs="Times New Roman"/>
          <w:lang w:val="en-US"/>
        </w:rPr>
      </w:pPr>
    </w:p>
    <w:tbl>
      <w:tblPr>
        <w:tblW w:w="10182" w:type="dxa"/>
        <w:tblInd w:w="-612" w:type="dxa"/>
        <w:tblCellMar>
          <w:left w:w="70" w:type="dxa"/>
          <w:right w:w="70" w:type="dxa"/>
        </w:tblCellMar>
        <w:tblLook w:val="04A0" w:firstRow="1" w:lastRow="0" w:firstColumn="1" w:lastColumn="0" w:noHBand="0" w:noVBand="1"/>
      </w:tblPr>
      <w:tblGrid>
        <w:gridCol w:w="1476"/>
        <w:gridCol w:w="1583"/>
        <w:gridCol w:w="2673"/>
        <w:gridCol w:w="829"/>
        <w:gridCol w:w="709"/>
        <w:gridCol w:w="2386"/>
        <w:gridCol w:w="526"/>
      </w:tblGrid>
      <w:tr w:rsidR="00825E26" w:rsidRPr="0006170F" w14:paraId="62D616AA" w14:textId="77777777" w:rsidTr="00825E26">
        <w:trPr>
          <w:trHeight w:val="417"/>
        </w:trPr>
        <w:tc>
          <w:tcPr>
            <w:tcW w:w="1476"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0DEB4EA" w14:textId="77777777" w:rsidR="00825E26" w:rsidRPr="00CA29EE" w:rsidRDefault="00825E26" w:rsidP="00F96DDE">
            <w:pPr>
              <w:spacing w:line="360" w:lineRule="auto"/>
              <w:jc w:val="both"/>
              <w:rPr>
                <w:rFonts w:ascii="Times New Roman" w:eastAsia="Times New Roman" w:hAnsi="Times New Roman" w:cs="Times New Roman"/>
                <w:b/>
                <w:bCs/>
                <w:color w:val="000000"/>
                <w:lang w:eastAsia="fr-FR"/>
              </w:rPr>
            </w:pPr>
            <w:proofErr w:type="spellStart"/>
            <w:r w:rsidRPr="00CA29EE">
              <w:rPr>
                <w:rFonts w:ascii="Times New Roman" w:eastAsia="Times New Roman" w:hAnsi="Times New Roman" w:cs="Times New Roman"/>
                <w:b/>
                <w:bCs/>
                <w:color w:val="000000"/>
                <w:lang w:eastAsia="fr-FR"/>
              </w:rPr>
              <w:t>Organ</w:t>
            </w:r>
            <w:proofErr w:type="spellEnd"/>
          </w:p>
        </w:tc>
        <w:tc>
          <w:tcPr>
            <w:tcW w:w="1583" w:type="dxa"/>
            <w:tcBorders>
              <w:top w:val="single" w:sz="4" w:space="0" w:color="auto"/>
              <w:left w:val="nil"/>
              <w:bottom w:val="single" w:sz="8" w:space="0" w:color="auto"/>
              <w:right w:val="single" w:sz="4" w:space="0" w:color="auto"/>
            </w:tcBorders>
            <w:shd w:val="clear" w:color="auto" w:fill="auto"/>
            <w:noWrap/>
            <w:vAlign w:val="center"/>
            <w:hideMark/>
          </w:tcPr>
          <w:p w14:paraId="3ACF4794" w14:textId="77777777" w:rsidR="00825E26" w:rsidRPr="00CA29EE" w:rsidRDefault="00825E26" w:rsidP="00F96DDE">
            <w:pPr>
              <w:spacing w:line="360" w:lineRule="auto"/>
              <w:jc w:val="both"/>
              <w:rPr>
                <w:rFonts w:ascii="Times New Roman" w:eastAsia="Times New Roman" w:hAnsi="Times New Roman" w:cs="Times New Roman"/>
                <w:b/>
                <w:bCs/>
                <w:color w:val="000000"/>
                <w:lang w:eastAsia="fr-FR"/>
              </w:rPr>
            </w:pPr>
            <w:r w:rsidRPr="00CA29EE">
              <w:rPr>
                <w:rFonts w:ascii="Times New Roman" w:eastAsia="Times New Roman" w:hAnsi="Times New Roman" w:cs="Times New Roman"/>
                <w:b/>
                <w:bCs/>
                <w:color w:val="000000"/>
                <w:lang w:eastAsia="fr-FR"/>
              </w:rPr>
              <w:t>GO ID</w:t>
            </w:r>
          </w:p>
        </w:tc>
        <w:tc>
          <w:tcPr>
            <w:tcW w:w="2673" w:type="dxa"/>
            <w:tcBorders>
              <w:top w:val="single" w:sz="4" w:space="0" w:color="auto"/>
              <w:left w:val="nil"/>
              <w:bottom w:val="single" w:sz="8" w:space="0" w:color="auto"/>
              <w:right w:val="single" w:sz="4" w:space="0" w:color="auto"/>
            </w:tcBorders>
            <w:shd w:val="clear" w:color="auto" w:fill="auto"/>
            <w:noWrap/>
            <w:vAlign w:val="center"/>
            <w:hideMark/>
          </w:tcPr>
          <w:p w14:paraId="3CF9D90D" w14:textId="77777777" w:rsidR="00825E26" w:rsidRPr="00CA29EE" w:rsidRDefault="00825E26" w:rsidP="00F96DDE">
            <w:pPr>
              <w:spacing w:line="360" w:lineRule="auto"/>
              <w:jc w:val="both"/>
              <w:rPr>
                <w:rFonts w:ascii="Times New Roman" w:eastAsia="Times New Roman" w:hAnsi="Times New Roman" w:cs="Times New Roman"/>
                <w:b/>
                <w:bCs/>
                <w:color w:val="000000"/>
                <w:lang w:eastAsia="fr-FR"/>
              </w:rPr>
            </w:pPr>
            <w:r w:rsidRPr="00CA29EE">
              <w:rPr>
                <w:rFonts w:ascii="Times New Roman" w:eastAsia="Times New Roman" w:hAnsi="Times New Roman" w:cs="Times New Roman"/>
                <w:b/>
                <w:bCs/>
                <w:color w:val="000000"/>
                <w:lang w:eastAsia="fr-FR"/>
              </w:rPr>
              <w:t>GO Name</w:t>
            </w:r>
          </w:p>
        </w:tc>
        <w:tc>
          <w:tcPr>
            <w:tcW w:w="829" w:type="dxa"/>
            <w:tcBorders>
              <w:top w:val="single" w:sz="4" w:space="0" w:color="auto"/>
              <w:left w:val="nil"/>
              <w:bottom w:val="single" w:sz="8" w:space="0" w:color="auto"/>
              <w:right w:val="single" w:sz="4" w:space="0" w:color="auto"/>
            </w:tcBorders>
            <w:shd w:val="clear" w:color="auto" w:fill="auto"/>
            <w:noWrap/>
            <w:vAlign w:val="center"/>
            <w:hideMark/>
          </w:tcPr>
          <w:p w14:paraId="58088ADB" w14:textId="77777777" w:rsidR="00825E26" w:rsidRPr="00CA29EE" w:rsidRDefault="00825E26" w:rsidP="00F96DDE">
            <w:pPr>
              <w:spacing w:line="360" w:lineRule="auto"/>
              <w:jc w:val="both"/>
              <w:rPr>
                <w:rFonts w:ascii="Times New Roman" w:eastAsia="Times New Roman" w:hAnsi="Times New Roman" w:cs="Times New Roman"/>
                <w:b/>
                <w:bCs/>
                <w:color w:val="000000"/>
                <w:lang w:eastAsia="fr-FR"/>
              </w:rPr>
            </w:pPr>
            <w:r w:rsidRPr="00CA29EE">
              <w:rPr>
                <w:rFonts w:ascii="Times New Roman" w:eastAsia="Times New Roman" w:hAnsi="Times New Roman" w:cs="Times New Roman"/>
                <w:b/>
                <w:bCs/>
                <w:color w:val="000000"/>
                <w:lang w:eastAsia="fr-FR"/>
              </w:rPr>
              <w:t xml:space="preserve">Diff. </w:t>
            </w:r>
            <w:proofErr w:type="spellStart"/>
            <w:proofErr w:type="gramStart"/>
            <w:r w:rsidRPr="00CA29EE">
              <w:rPr>
                <w:rFonts w:ascii="Times New Roman" w:eastAsia="Times New Roman" w:hAnsi="Times New Roman" w:cs="Times New Roman"/>
                <w:b/>
                <w:bCs/>
                <w:color w:val="000000"/>
                <w:lang w:eastAsia="fr-FR"/>
              </w:rPr>
              <w:t>Expr</w:t>
            </w:r>
            <w:proofErr w:type="spellEnd"/>
            <w:r w:rsidRPr="00CA29EE">
              <w:rPr>
                <w:rFonts w:ascii="Times New Roman" w:eastAsia="Times New Roman" w:hAnsi="Times New Roman" w:cs="Times New Roman"/>
                <w:b/>
                <w:bCs/>
                <w:color w:val="000000"/>
                <w:lang w:eastAsia="fr-FR"/>
              </w:rPr>
              <w:t> .</w:t>
            </w:r>
            <w:proofErr w:type="gramEnd"/>
            <w:r w:rsidRPr="00CA29EE">
              <w:rPr>
                <w:rFonts w:ascii="Times New Roman" w:eastAsia="Times New Roman" w:hAnsi="Times New Roman" w:cs="Times New Roman"/>
                <w:b/>
                <w:bCs/>
                <w:color w:val="000000"/>
                <w:lang w:eastAsia="fr-FR"/>
              </w:rPr>
              <w:t xml:space="preserve"> in GO</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14:paraId="5AC3EA2B" w14:textId="77777777" w:rsidR="00825E26" w:rsidRPr="00CA29EE" w:rsidRDefault="00825E26" w:rsidP="00F96DDE">
            <w:pPr>
              <w:spacing w:line="360" w:lineRule="auto"/>
              <w:jc w:val="both"/>
              <w:rPr>
                <w:rFonts w:ascii="Times New Roman" w:eastAsia="Times New Roman" w:hAnsi="Times New Roman" w:cs="Times New Roman"/>
                <w:b/>
                <w:bCs/>
                <w:color w:val="000000"/>
                <w:lang w:eastAsia="fr-FR"/>
              </w:rPr>
            </w:pPr>
            <w:r w:rsidRPr="00CA29EE">
              <w:rPr>
                <w:rFonts w:ascii="Times New Roman" w:eastAsia="Times New Roman" w:hAnsi="Times New Roman" w:cs="Times New Roman"/>
                <w:b/>
                <w:bCs/>
                <w:color w:val="000000"/>
                <w:lang w:eastAsia="fr-FR"/>
              </w:rPr>
              <w:t>Total in GO</w:t>
            </w:r>
          </w:p>
        </w:tc>
        <w:tc>
          <w:tcPr>
            <w:tcW w:w="2386" w:type="dxa"/>
            <w:tcBorders>
              <w:top w:val="single" w:sz="4" w:space="0" w:color="auto"/>
              <w:left w:val="nil"/>
              <w:bottom w:val="single" w:sz="8" w:space="0" w:color="auto"/>
              <w:right w:val="single" w:sz="4" w:space="0" w:color="auto"/>
            </w:tcBorders>
            <w:shd w:val="clear" w:color="auto" w:fill="auto"/>
            <w:noWrap/>
            <w:vAlign w:val="center"/>
            <w:hideMark/>
          </w:tcPr>
          <w:p w14:paraId="28FB6211" w14:textId="77777777" w:rsidR="00825E26" w:rsidRDefault="00825E26" w:rsidP="00F96DDE">
            <w:pPr>
              <w:spacing w:line="360" w:lineRule="auto"/>
              <w:jc w:val="both"/>
              <w:rPr>
                <w:rFonts w:ascii="Times New Roman" w:eastAsia="Times New Roman" w:hAnsi="Times New Roman" w:cs="Times New Roman"/>
                <w:b/>
                <w:bCs/>
                <w:color w:val="000000"/>
                <w:lang w:val="en-US" w:eastAsia="fr-FR"/>
              </w:rPr>
            </w:pPr>
            <w:r w:rsidRPr="00CA29EE">
              <w:rPr>
                <w:rFonts w:ascii="Times New Roman" w:eastAsia="Times New Roman" w:hAnsi="Times New Roman" w:cs="Times New Roman"/>
                <w:b/>
                <w:bCs/>
                <w:color w:val="000000"/>
                <w:lang w:val="en-US" w:eastAsia="fr-FR"/>
              </w:rPr>
              <w:t>p-value of over representation</w:t>
            </w:r>
          </w:p>
          <w:p w14:paraId="4EEDF5F9" w14:textId="77777777" w:rsidR="00825E26" w:rsidRPr="00CA29EE" w:rsidRDefault="00825E26" w:rsidP="00F96DDE">
            <w:pPr>
              <w:spacing w:line="360" w:lineRule="auto"/>
              <w:jc w:val="both"/>
              <w:rPr>
                <w:rFonts w:ascii="Times New Roman" w:eastAsia="Times New Roman" w:hAnsi="Times New Roman" w:cs="Times New Roman"/>
                <w:b/>
                <w:bCs/>
                <w:color w:val="000000"/>
                <w:lang w:val="en-US" w:eastAsia="fr-FR"/>
              </w:rPr>
            </w:pPr>
            <w:r>
              <w:rPr>
                <w:rFonts w:ascii="Times New Roman" w:eastAsia="Times New Roman" w:hAnsi="Times New Roman" w:cs="Times New Roman"/>
                <w:b/>
                <w:bCs/>
                <w:color w:val="000000"/>
                <w:lang w:val="en-US" w:eastAsia="fr-FR"/>
              </w:rPr>
              <w:t>(adjusted p-value)</w:t>
            </w:r>
          </w:p>
        </w:tc>
        <w:tc>
          <w:tcPr>
            <w:tcW w:w="526" w:type="dxa"/>
            <w:tcBorders>
              <w:top w:val="single" w:sz="4" w:space="0" w:color="auto"/>
              <w:left w:val="nil"/>
              <w:bottom w:val="single" w:sz="8" w:space="0" w:color="auto"/>
              <w:right w:val="single" w:sz="4" w:space="0" w:color="auto"/>
            </w:tcBorders>
            <w:shd w:val="clear" w:color="auto" w:fill="auto"/>
            <w:noWrap/>
            <w:vAlign w:val="center"/>
            <w:hideMark/>
          </w:tcPr>
          <w:p w14:paraId="1A023C75" w14:textId="77777777" w:rsidR="00825E26" w:rsidRPr="00CA29EE" w:rsidRDefault="00825E26" w:rsidP="00F96DDE">
            <w:pPr>
              <w:spacing w:line="360" w:lineRule="auto"/>
              <w:jc w:val="both"/>
              <w:rPr>
                <w:rFonts w:ascii="Times New Roman" w:eastAsia="Times New Roman" w:hAnsi="Times New Roman" w:cs="Times New Roman"/>
                <w:b/>
                <w:bCs/>
                <w:color w:val="000000"/>
                <w:lang w:val="en-US" w:eastAsia="fr-FR"/>
              </w:rPr>
            </w:pPr>
            <w:r w:rsidRPr="00CA29EE">
              <w:rPr>
                <w:rFonts w:ascii="Times New Roman" w:eastAsia="Times New Roman" w:hAnsi="Times New Roman" w:cs="Times New Roman"/>
                <w:b/>
                <w:bCs/>
                <w:color w:val="000000"/>
                <w:lang w:val="en-US" w:eastAsia="fr-FR"/>
              </w:rPr>
              <w:t> </w:t>
            </w:r>
          </w:p>
        </w:tc>
      </w:tr>
      <w:tr w:rsidR="00825E26" w:rsidRPr="0073430A" w14:paraId="7FC481A7"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4A306082"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Pituitary</w:t>
            </w:r>
            <w:proofErr w:type="spellEnd"/>
          </w:p>
        </w:tc>
        <w:tc>
          <w:tcPr>
            <w:tcW w:w="1583" w:type="dxa"/>
            <w:tcBorders>
              <w:top w:val="nil"/>
              <w:left w:val="nil"/>
              <w:bottom w:val="nil"/>
              <w:right w:val="single" w:sz="4" w:space="0" w:color="auto"/>
            </w:tcBorders>
            <w:shd w:val="clear" w:color="auto" w:fill="auto"/>
            <w:noWrap/>
            <w:vAlign w:val="center"/>
            <w:hideMark/>
          </w:tcPr>
          <w:p w14:paraId="3CF33285"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GO:0007610</w:t>
            </w:r>
          </w:p>
        </w:tc>
        <w:tc>
          <w:tcPr>
            <w:tcW w:w="2673" w:type="dxa"/>
            <w:tcBorders>
              <w:top w:val="nil"/>
              <w:left w:val="nil"/>
              <w:bottom w:val="nil"/>
              <w:right w:val="single" w:sz="4" w:space="0" w:color="auto"/>
            </w:tcBorders>
            <w:shd w:val="clear" w:color="auto" w:fill="auto"/>
            <w:noWrap/>
            <w:vAlign w:val="center"/>
            <w:hideMark/>
          </w:tcPr>
          <w:p w14:paraId="58E5E33E"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behavior</w:t>
            </w:r>
            <w:proofErr w:type="spellEnd"/>
          </w:p>
        </w:tc>
        <w:tc>
          <w:tcPr>
            <w:tcW w:w="829" w:type="dxa"/>
            <w:tcBorders>
              <w:top w:val="nil"/>
              <w:left w:val="nil"/>
              <w:bottom w:val="nil"/>
              <w:right w:val="single" w:sz="4" w:space="0" w:color="auto"/>
            </w:tcBorders>
            <w:shd w:val="clear" w:color="auto" w:fill="auto"/>
            <w:noWrap/>
            <w:vAlign w:val="center"/>
            <w:hideMark/>
          </w:tcPr>
          <w:p w14:paraId="064BB3F1"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32</w:t>
            </w:r>
          </w:p>
        </w:tc>
        <w:tc>
          <w:tcPr>
            <w:tcW w:w="709" w:type="dxa"/>
            <w:tcBorders>
              <w:top w:val="nil"/>
              <w:left w:val="nil"/>
              <w:bottom w:val="nil"/>
              <w:right w:val="single" w:sz="4" w:space="0" w:color="auto"/>
            </w:tcBorders>
            <w:shd w:val="clear" w:color="auto" w:fill="auto"/>
            <w:noWrap/>
            <w:vAlign w:val="center"/>
            <w:hideMark/>
          </w:tcPr>
          <w:p w14:paraId="2142E60A"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481</w:t>
            </w:r>
          </w:p>
        </w:tc>
        <w:tc>
          <w:tcPr>
            <w:tcW w:w="2386" w:type="dxa"/>
            <w:tcBorders>
              <w:top w:val="nil"/>
              <w:left w:val="nil"/>
              <w:bottom w:val="nil"/>
              <w:right w:val="single" w:sz="4" w:space="0" w:color="auto"/>
            </w:tcBorders>
            <w:shd w:val="clear" w:color="auto" w:fill="auto"/>
            <w:noWrap/>
            <w:vAlign w:val="center"/>
            <w:hideMark/>
          </w:tcPr>
          <w:p w14:paraId="1E7FDE09"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0,01</w:t>
            </w:r>
            <w:r>
              <w:rPr>
                <w:rFonts w:ascii="Times New Roman" w:hAnsi="Times New Roman" w:cs="Times New Roman"/>
                <w:color w:val="000000"/>
              </w:rPr>
              <w:t xml:space="preserve"> (0,37)</w:t>
            </w:r>
          </w:p>
        </w:tc>
        <w:tc>
          <w:tcPr>
            <w:tcW w:w="526" w:type="dxa"/>
            <w:tcBorders>
              <w:top w:val="nil"/>
              <w:left w:val="nil"/>
              <w:bottom w:val="nil"/>
              <w:right w:val="single" w:sz="4" w:space="0" w:color="auto"/>
            </w:tcBorders>
            <w:shd w:val="clear" w:color="auto" w:fill="auto"/>
            <w:noWrap/>
            <w:vAlign w:val="center"/>
            <w:hideMark/>
          </w:tcPr>
          <w:p w14:paraId="2A75AEED"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64D91834" w14:textId="77777777" w:rsidTr="00825E26">
        <w:trPr>
          <w:trHeight w:val="397"/>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0AECF6B"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Pituitary</w:t>
            </w:r>
            <w:proofErr w:type="spellEnd"/>
          </w:p>
        </w:tc>
        <w:tc>
          <w:tcPr>
            <w:tcW w:w="1583" w:type="dxa"/>
            <w:tcBorders>
              <w:top w:val="nil"/>
              <w:left w:val="nil"/>
              <w:bottom w:val="single" w:sz="4" w:space="0" w:color="auto"/>
              <w:right w:val="single" w:sz="4" w:space="0" w:color="auto"/>
            </w:tcBorders>
            <w:shd w:val="clear" w:color="auto" w:fill="auto"/>
            <w:noWrap/>
            <w:vAlign w:val="center"/>
            <w:hideMark/>
          </w:tcPr>
          <w:p w14:paraId="3D57F724"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GO:0051703</w:t>
            </w:r>
          </w:p>
        </w:tc>
        <w:tc>
          <w:tcPr>
            <w:tcW w:w="2673" w:type="dxa"/>
            <w:tcBorders>
              <w:top w:val="nil"/>
              <w:left w:val="nil"/>
              <w:bottom w:val="single" w:sz="4" w:space="0" w:color="auto"/>
              <w:right w:val="single" w:sz="4" w:space="0" w:color="auto"/>
            </w:tcBorders>
            <w:shd w:val="clear" w:color="auto" w:fill="auto"/>
            <w:noWrap/>
            <w:vAlign w:val="center"/>
            <w:hideMark/>
          </w:tcPr>
          <w:p w14:paraId="72B0ED8D"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intraspecies</w:t>
            </w:r>
            <w:proofErr w:type="spellEnd"/>
            <w:r w:rsidRPr="00CA29EE">
              <w:rPr>
                <w:rFonts w:ascii="Times New Roman" w:hAnsi="Times New Roman" w:cs="Times New Roman"/>
                <w:color w:val="000000"/>
              </w:rPr>
              <w:t xml:space="preserve"> interaction </w:t>
            </w:r>
            <w:proofErr w:type="spellStart"/>
            <w:r w:rsidRPr="00CA29EE">
              <w:rPr>
                <w:rFonts w:ascii="Times New Roman" w:hAnsi="Times New Roman" w:cs="Times New Roman"/>
                <w:color w:val="000000"/>
              </w:rPr>
              <w:t>between</w:t>
            </w:r>
            <w:proofErr w:type="spellEnd"/>
            <w:r w:rsidRPr="00CA29EE">
              <w:rPr>
                <w:rFonts w:ascii="Times New Roman" w:hAnsi="Times New Roman" w:cs="Times New Roman"/>
                <w:color w:val="000000"/>
              </w:rPr>
              <w:t xml:space="preserve"> </w:t>
            </w:r>
            <w:proofErr w:type="spellStart"/>
            <w:r w:rsidRPr="00CA29EE">
              <w:rPr>
                <w:rFonts w:ascii="Times New Roman" w:hAnsi="Times New Roman" w:cs="Times New Roman"/>
                <w:color w:val="000000"/>
              </w:rPr>
              <w:t>organisms</w:t>
            </w:r>
            <w:proofErr w:type="spellEnd"/>
          </w:p>
        </w:tc>
        <w:tc>
          <w:tcPr>
            <w:tcW w:w="829" w:type="dxa"/>
            <w:tcBorders>
              <w:top w:val="nil"/>
              <w:left w:val="nil"/>
              <w:bottom w:val="single" w:sz="4" w:space="0" w:color="auto"/>
              <w:right w:val="single" w:sz="4" w:space="0" w:color="auto"/>
            </w:tcBorders>
            <w:shd w:val="clear" w:color="auto" w:fill="auto"/>
            <w:noWrap/>
            <w:vAlign w:val="center"/>
            <w:hideMark/>
          </w:tcPr>
          <w:p w14:paraId="08963363"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hideMark/>
          </w:tcPr>
          <w:p w14:paraId="053E0581"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36</w:t>
            </w:r>
          </w:p>
        </w:tc>
        <w:tc>
          <w:tcPr>
            <w:tcW w:w="2386" w:type="dxa"/>
            <w:tcBorders>
              <w:top w:val="nil"/>
              <w:left w:val="nil"/>
              <w:bottom w:val="single" w:sz="4" w:space="0" w:color="auto"/>
              <w:right w:val="single" w:sz="4" w:space="0" w:color="auto"/>
            </w:tcBorders>
            <w:shd w:val="clear" w:color="auto" w:fill="auto"/>
            <w:noWrap/>
            <w:vAlign w:val="center"/>
            <w:hideMark/>
          </w:tcPr>
          <w:p w14:paraId="3765E39B"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0,03</w:t>
            </w:r>
            <w:r>
              <w:rPr>
                <w:rFonts w:ascii="Times New Roman" w:hAnsi="Times New Roman" w:cs="Times New Roman"/>
                <w:color w:val="000000"/>
              </w:rPr>
              <w:t xml:space="preserve"> (0,37)</w:t>
            </w:r>
          </w:p>
        </w:tc>
        <w:tc>
          <w:tcPr>
            <w:tcW w:w="526" w:type="dxa"/>
            <w:tcBorders>
              <w:top w:val="nil"/>
              <w:left w:val="nil"/>
              <w:bottom w:val="single" w:sz="4" w:space="0" w:color="auto"/>
              <w:right w:val="single" w:sz="4" w:space="0" w:color="auto"/>
            </w:tcBorders>
            <w:shd w:val="clear" w:color="auto" w:fill="auto"/>
            <w:noWrap/>
            <w:vAlign w:val="center"/>
            <w:hideMark/>
          </w:tcPr>
          <w:p w14:paraId="5AD97E8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3E7BC36A"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77825E13"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5F600147"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GO:0002376</w:t>
            </w:r>
          </w:p>
        </w:tc>
        <w:tc>
          <w:tcPr>
            <w:tcW w:w="2673" w:type="dxa"/>
            <w:tcBorders>
              <w:top w:val="nil"/>
              <w:left w:val="nil"/>
              <w:bottom w:val="nil"/>
              <w:right w:val="single" w:sz="4" w:space="0" w:color="auto"/>
            </w:tcBorders>
            <w:shd w:val="clear" w:color="auto" w:fill="auto"/>
            <w:noWrap/>
            <w:vAlign w:val="center"/>
            <w:hideMark/>
          </w:tcPr>
          <w:p w14:paraId="011DDCBC"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immune system process</w:t>
            </w:r>
          </w:p>
        </w:tc>
        <w:tc>
          <w:tcPr>
            <w:tcW w:w="829" w:type="dxa"/>
            <w:tcBorders>
              <w:top w:val="nil"/>
              <w:left w:val="nil"/>
              <w:bottom w:val="nil"/>
              <w:right w:val="single" w:sz="4" w:space="0" w:color="auto"/>
            </w:tcBorders>
            <w:shd w:val="clear" w:color="auto" w:fill="auto"/>
            <w:noWrap/>
            <w:vAlign w:val="center"/>
            <w:hideMark/>
          </w:tcPr>
          <w:p w14:paraId="71A9C6E6"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19</w:t>
            </w:r>
          </w:p>
        </w:tc>
        <w:tc>
          <w:tcPr>
            <w:tcW w:w="709" w:type="dxa"/>
            <w:tcBorders>
              <w:top w:val="nil"/>
              <w:left w:val="nil"/>
              <w:bottom w:val="nil"/>
              <w:right w:val="single" w:sz="4" w:space="0" w:color="auto"/>
            </w:tcBorders>
            <w:shd w:val="clear" w:color="auto" w:fill="auto"/>
            <w:noWrap/>
            <w:vAlign w:val="center"/>
            <w:hideMark/>
          </w:tcPr>
          <w:p w14:paraId="19406503"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1256</w:t>
            </w:r>
          </w:p>
        </w:tc>
        <w:tc>
          <w:tcPr>
            <w:tcW w:w="2386" w:type="dxa"/>
            <w:tcBorders>
              <w:top w:val="nil"/>
              <w:left w:val="nil"/>
              <w:bottom w:val="nil"/>
              <w:right w:val="single" w:sz="4" w:space="0" w:color="auto"/>
            </w:tcBorders>
            <w:shd w:val="clear" w:color="auto" w:fill="auto"/>
            <w:noWrap/>
            <w:vAlign w:val="center"/>
            <w:hideMark/>
          </w:tcPr>
          <w:p w14:paraId="566FE20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0,001</w:t>
            </w:r>
            <w:r>
              <w:rPr>
                <w:rFonts w:ascii="Times New Roman" w:hAnsi="Times New Roman" w:cs="Times New Roman"/>
                <w:color w:val="000000"/>
              </w:rPr>
              <w:t xml:space="preserve"> (0,022)</w:t>
            </w:r>
          </w:p>
        </w:tc>
        <w:tc>
          <w:tcPr>
            <w:tcW w:w="526" w:type="dxa"/>
            <w:tcBorders>
              <w:top w:val="nil"/>
              <w:left w:val="nil"/>
              <w:bottom w:val="nil"/>
              <w:right w:val="single" w:sz="4" w:space="0" w:color="auto"/>
            </w:tcBorders>
            <w:shd w:val="clear" w:color="auto" w:fill="auto"/>
            <w:noWrap/>
            <w:vAlign w:val="center"/>
            <w:hideMark/>
          </w:tcPr>
          <w:p w14:paraId="1D40153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129A6C61"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2D0495D2"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23F46ABD"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GO:0044419</w:t>
            </w:r>
          </w:p>
        </w:tc>
        <w:tc>
          <w:tcPr>
            <w:tcW w:w="2673" w:type="dxa"/>
            <w:tcBorders>
              <w:top w:val="nil"/>
              <w:left w:val="nil"/>
              <w:bottom w:val="nil"/>
              <w:right w:val="single" w:sz="4" w:space="0" w:color="auto"/>
            </w:tcBorders>
            <w:shd w:val="clear" w:color="auto" w:fill="auto"/>
            <w:noWrap/>
            <w:vAlign w:val="center"/>
            <w:hideMark/>
          </w:tcPr>
          <w:p w14:paraId="72AF9924"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interspecies</w:t>
            </w:r>
            <w:proofErr w:type="spellEnd"/>
            <w:r w:rsidRPr="00CA29EE">
              <w:rPr>
                <w:rFonts w:ascii="Times New Roman" w:hAnsi="Times New Roman" w:cs="Times New Roman"/>
                <w:color w:val="000000"/>
              </w:rPr>
              <w:t xml:space="preserve"> interaction </w:t>
            </w:r>
            <w:proofErr w:type="spellStart"/>
            <w:r w:rsidRPr="00CA29EE">
              <w:rPr>
                <w:rFonts w:ascii="Times New Roman" w:hAnsi="Times New Roman" w:cs="Times New Roman"/>
                <w:color w:val="000000"/>
              </w:rPr>
              <w:t>between</w:t>
            </w:r>
            <w:proofErr w:type="spellEnd"/>
            <w:r w:rsidRPr="00CA29EE">
              <w:rPr>
                <w:rFonts w:ascii="Times New Roman" w:hAnsi="Times New Roman" w:cs="Times New Roman"/>
                <w:color w:val="000000"/>
              </w:rPr>
              <w:t xml:space="preserve"> </w:t>
            </w:r>
            <w:proofErr w:type="spellStart"/>
            <w:r w:rsidRPr="00CA29EE">
              <w:rPr>
                <w:rFonts w:ascii="Times New Roman" w:hAnsi="Times New Roman" w:cs="Times New Roman"/>
                <w:color w:val="000000"/>
              </w:rPr>
              <w:t>organisms</w:t>
            </w:r>
            <w:proofErr w:type="spellEnd"/>
          </w:p>
        </w:tc>
        <w:tc>
          <w:tcPr>
            <w:tcW w:w="829" w:type="dxa"/>
            <w:tcBorders>
              <w:top w:val="nil"/>
              <w:left w:val="nil"/>
              <w:bottom w:val="nil"/>
              <w:right w:val="single" w:sz="4" w:space="0" w:color="auto"/>
            </w:tcBorders>
            <w:shd w:val="clear" w:color="auto" w:fill="auto"/>
            <w:noWrap/>
            <w:vAlign w:val="center"/>
            <w:hideMark/>
          </w:tcPr>
          <w:p w14:paraId="5592FB07"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13</w:t>
            </w:r>
          </w:p>
        </w:tc>
        <w:tc>
          <w:tcPr>
            <w:tcW w:w="709" w:type="dxa"/>
            <w:tcBorders>
              <w:top w:val="nil"/>
              <w:left w:val="nil"/>
              <w:bottom w:val="nil"/>
              <w:right w:val="single" w:sz="4" w:space="0" w:color="auto"/>
            </w:tcBorders>
            <w:shd w:val="clear" w:color="auto" w:fill="auto"/>
            <w:noWrap/>
            <w:vAlign w:val="center"/>
            <w:hideMark/>
          </w:tcPr>
          <w:p w14:paraId="02B52C9D"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702</w:t>
            </w:r>
          </w:p>
        </w:tc>
        <w:tc>
          <w:tcPr>
            <w:tcW w:w="2386" w:type="dxa"/>
            <w:tcBorders>
              <w:top w:val="nil"/>
              <w:left w:val="nil"/>
              <w:bottom w:val="nil"/>
              <w:right w:val="single" w:sz="4" w:space="0" w:color="auto"/>
            </w:tcBorders>
            <w:shd w:val="clear" w:color="auto" w:fill="auto"/>
            <w:noWrap/>
            <w:vAlign w:val="center"/>
            <w:hideMark/>
          </w:tcPr>
          <w:p w14:paraId="7B7D3A2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0,002</w:t>
            </w:r>
            <w:r>
              <w:rPr>
                <w:rFonts w:ascii="Times New Roman" w:hAnsi="Times New Roman" w:cs="Times New Roman"/>
                <w:color w:val="000000"/>
              </w:rPr>
              <w:t xml:space="preserve"> (0,022)</w:t>
            </w:r>
          </w:p>
        </w:tc>
        <w:tc>
          <w:tcPr>
            <w:tcW w:w="526" w:type="dxa"/>
            <w:tcBorders>
              <w:top w:val="nil"/>
              <w:left w:val="nil"/>
              <w:bottom w:val="nil"/>
              <w:right w:val="single" w:sz="4" w:space="0" w:color="auto"/>
            </w:tcBorders>
            <w:shd w:val="clear" w:color="auto" w:fill="auto"/>
            <w:noWrap/>
            <w:vAlign w:val="center"/>
            <w:hideMark/>
          </w:tcPr>
          <w:p w14:paraId="0E2DEAE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18C09CCE"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493C7664"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2F96BA2A"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GO:0050896</w:t>
            </w:r>
          </w:p>
        </w:tc>
        <w:tc>
          <w:tcPr>
            <w:tcW w:w="2673" w:type="dxa"/>
            <w:tcBorders>
              <w:top w:val="nil"/>
              <w:left w:val="nil"/>
              <w:bottom w:val="nil"/>
              <w:right w:val="single" w:sz="4" w:space="0" w:color="auto"/>
            </w:tcBorders>
            <w:shd w:val="clear" w:color="auto" w:fill="auto"/>
            <w:noWrap/>
            <w:vAlign w:val="center"/>
            <w:hideMark/>
          </w:tcPr>
          <w:p w14:paraId="44709CF2"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response</w:t>
            </w:r>
            <w:proofErr w:type="spellEnd"/>
            <w:r w:rsidRPr="00CA29EE">
              <w:rPr>
                <w:rFonts w:ascii="Times New Roman" w:hAnsi="Times New Roman" w:cs="Times New Roman"/>
                <w:color w:val="000000"/>
              </w:rPr>
              <w:t xml:space="preserve"> to stimulus</w:t>
            </w:r>
          </w:p>
        </w:tc>
        <w:tc>
          <w:tcPr>
            <w:tcW w:w="829" w:type="dxa"/>
            <w:tcBorders>
              <w:top w:val="nil"/>
              <w:left w:val="nil"/>
              <w:bottom w:val="nil"/>
              <w:right w:val="single" w:sz="4" w:space="0" w:color="auto"/>
            </w:tcBorders>
            <w:shd w:val="clear" w:color="auto" w:fill="auto"/>
            <w:noWrap/>
            <w:vAlign w:val="center"/>
            <w:hideMark/>
          </w:tcPr>
          <w:p w14:paraId="2F41D8E4"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44</w:t>
            </w:r>
          </w:p>
        </w:tc>
        <w:tc>
          <w:tcPr>
            <w:tcW w:w="709" w:type="dxa"/>
            <w:tcBorders>
              <w:top w:val="nil"/>
              <w:left w:val="nil"/>
              <w:bottom w:val="nil"/>
              <w:right w:val="single" w:sz="4" w:space="0" w:color="auto"/>
            </w:tcBorders>
            <w:shd w:val="clear" w:color="auto" w:fill="auto"/>
            <w:noWrap/>
            <w:vAlign w:val="center"/>
            <w:hideMark/>
          </w:tcPr>
          <w:p w14:paraId="0C2A68AA"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4217</w:t>
            </w:r>
          </w:p>
        </w:tc>
        <w:tc>
          <w:tcPr>
            <w:tcW w:w="2386" w:type="dxa"/>
            <w:tcBorders>
              <w:top w:val="nil"/>
              <w:left w:val="nil"/>
              <w:bottom w:val="nil"/>
              <w:right w:val="single" w:sz="4" w:space="0" w:color="auto"/>
            </w:tcBorders>
            <w:shd w:val="clear" w:color="auto" w:fill="auto"/>
            <w:noWrap/>
            <w:vAlign w:val="center"/>
            <w:hideMark/>
          </w:tcPr>
          <w:p w14:paraId="51FE0052"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0,003</w:t>
            </w:r>
            <w:r>
              <w:rPr>
                <w:rFonts w:ascii="Times New Roman" w:hAnsi="Times New Roman" w:cs="Times New Roman"/>
                <w:color w:val="000000"/>
              </w:rPr>
              <w:t xml:space="preserve"> (0,026)</w:t>
            </w:r>
          </w:p>
        </w:tc>
        <w:tc>
          <w:tcPr>
            <w:tcW w:w="526" w:type="dxa"/>
            <w:tcBorders>
              <w:top w:val="nil"/>
              <w:left w:val="nil"/>
              <w:bottom w:val="nil"/>
              <w:right w:val="single" w:sz="4" w:space="0" w:color="auto"/>
            </w:tcBorders>
            <w:shd w:val="clear" w:color="auto" w:fill="auto"/>
            <w:noWrap/>
            <w:vAlign w:val="center"/>
            <w:hideMark/>
          </w:tcPr>
          <w:p w14:paraId="185F3D55"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4425F818"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304C43C8"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78D12B4A"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GO:0023052</w:t>
            </w:r>
          </w:p>
        </w:tc>
        <w:tc>
          <w:tcPr>
            <w:tcW w:w="2673" w:type="dxa"/>
            <w:tcBorders>
              <w:top w:val="nil"/>
              <w:left w:val="nil"/>
              <w:bottom w:val="nil"/>
              <w:right w:val="single" w:sz="4" w:space="0" w:color="auto"/>
            </w:tcBorders>
            <w:shd w:val="clear" w:color="auto" w:fill="auto"/>
            <w:noWrap/>
            <w:vAlign w:val="center"/>
            <w:hideMark/>
          </w:tcPr>
          <w:p w14:paraId="0B76BBB5"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signaling</w:t>
            </w:r>
            <w:proofErr w:type="spellEnd"/>
          </w:p>
        </w:tc>
        <w:tc>
          <w:tcPr>
            <w:tcW w:w="829" w:type="dxa"/>
            <w:tcBorders>
              <w:top w:val="nil"/>
              <w:left w:val="nil"/>
              <w:bottom w:val="nil"/>
              <w:right w:val="single" w:sz="4" w:space="0" w:color="auto"/>
            </w:tcBorders>
            <w:shd w:val="clear" w:color="auto" w:fill="auto"/>
            <w:noWrap/>
            <w:vAlign w:val="center"/>
            <w:hideMark/>
          </w:tcPr>
          <w:p w14:paraId="650BD21D"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34</w:t>
            </w:r>
          </w:p>
        </w:tc>
        <w:tc>
          <w:tcPr>
            <w:tcW w:w="709" w:type="dxa"/>
            <w:tcBorders>
              <w:top w:val="nil"/>
              <w:left w:val="nil"/>
              <w:bottom w:val="nil"/>
              <w:right w:val="single" w:sz="4" w:space="0" w:color="auto"/>
            </w:tcBorders>
            <w:shd w:val="clear" w:color="auto" w:fill="auto"/>
            <w:noWrap/>
            <w:vAlign w:val="center"/>
            <w:hideMark/>
          </w:tcPr>
          <w:p w14:paraId="118887B1"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3001</w:t>
            </w:r>
          </w:p>
        </w:tc>
        <w:tc>
          <w:tcPr>
            <w:tcW w:w="2386" w:type="dxa"/>
            <w:tcBorders>
              <w:top w:val="nil"/>
              <w:left w:val="nil"/>
              <w:bottom w:val="nil"/>
              <w:right w:val="single" w:sz="4" w:space="0" w:color="auto"/>
            </w:tcBorders>
            <w:shd w:val="clear" w:color="auto" w:fill="auto"/>
            <w:noWrap/>
            <w:vAlign w:val="center"/>
            <w:hideMark/>
          </w:tcPr>
          <w:p w14:paraId="3DCA4D05"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0,005</w:t>
            </w:r>
            <w:r>
              <w:rPr>
                <w:rFonts w:ascii="Times New Roman" w:hAnsi="Times New Roman" w:cs="Times New Roman"/>
                <w:color w:val="000000"/>
              </w:rPr>
              <w:t xml:space="preserve"> (0,037)</w:t>
            </w:r>
          </w:p>
        </w:tc>
        <w:tc>
          <w:tcPr>
            <w:tcW w:w="526" w:type="dxa"/>
            <w:tcBorders>
              <w:top w:val="nil"/>
              <w:left w:val="nil"/>
              <w:bottom w:val="nil"/>
              <w:right w:val="single" w:sz="4" w:space="0" w:color="auto"/>
            </w:tcBorders>
            <w:shd w:val="clear" w:color="auto" w:fill="auto"/>
            <w:noWrap/>
            <w:vAlign w:val="center"/>
            <w:hideMark/>
          </w:tcPr>
          <w:p w14:paraId="14F989B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756E0E9C"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7FAB81CA"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719F10C0"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GO:0048519</w:t>
            </w:r>
          </w:p>
        </w:tc>
        <w:tc>
          <w:tcPr>
            <w:tcW w:w="2673" w:type="dxa"/>
            <w:tcBorders>
              <w:top w:val="nil"/>
              <w:left w:val="nil"/>
              <w:bottom w:val="nil"/>
              <w:right w:val="single" w:sz="4" w:space="0" w:color="auto"/>
            </w:tcBorders>
            <w:shd w:val="clear" w:color="auto" w:fill="auto"/>
            <w:noWrap/>
            <w:vAlign w:val="center"/>
            <w:hideMark/>
          </w:tcPr>
          <w:p w14:paraId="7E528504" w14:textId="77777777" w:rsidR="00825E26" w:rsidRPr="00CA29EE" w:rsidRDefault="00825E26" w:rsidP="00825E26">
            <w:pPr>
              <w:spacing w:after="120"/>
              <w:jc w:val="both"/>
              <w:rPr>
                <w:rFonts w:ascii="Times New Roman" w:hAnsi="Times New Roman" w:cs="Times New Roman"/>
                <w:color w:val="000000"/>
                <w:lang w:val="en-US"/>
              </w:rPr>
            </w:pPr>
            <w:r w:rsidRPr="00CA29EE">
              <w:rPr>
                <w:rFonts w:ascii="Times New Roman" w:hAnsi="Times New Roman" w:cs="Times New Roman"/>
                <w:color w:val="000000"/>
                <w:lang w:val="en-US"/>
              </w:rPr>
              <w:t>negative regulation of biological process</w:t>
            </w:r>
          </w:p>
        </w:tc>
        <w:tc>
          <w:tcPr>
            <w:tcW w:w="829" w:type="dxa"/>
            <w:tcBorders>
              <w:top w:val="nil"/>
              <w:left w:val="nil"/>
              <w:bottom w:val="nil"/>
              <w:right w:val="single" w:sz="4" w:space="0" w:color="auto"/>
            </w:tcBorders>
            <w:shd w:val="clear" w:color="auto" w:fill="auto"/>
            <w:noWrap/>
            <w:vAlign w:val="center"/>
            <w:hideMark/>
          </w:tcPr>
          <w:p w14:paraId="3EC5E09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34</w:t>
            </w:r>
          </w:p>
        </w:tc>
        <w:tc>
          <w:tcPr>
            <w:tcW w:w="709" w:type="dxa"/>
            <w:tcBorders>
              <w:top w:val="nil"/>
              <w:left w:val="nil"/>
              <w:bottom w:val="nil"/>
              <w:right w:val="single" w:sz="4" w:space="0" w:color="auto"/>
            </w:tcBorders>
            <w:shd w:val="clear" w:color="auto" w:fill="auto"/>
            <w:noWrap/>
            <w:vAlign w:val="center"/>
            <w:hideMark/>
          </w:tcPr>
          <w:p w14:paraId="4846D21C"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3165</w:t>
            </w:r>
          </w:p>
        </w:tc>
        <w:tc>
          <w:tcPr>
            <w:tcW w:w="2386" w:type="dxa"/>
            <w:tcBorders>
              <w:top w:val="nil"/>
              <w:left w:val="nil"/>
              <w:bottom w:val="nil"/>
              <w:right w:val="single" w:sz="4" w:space="0" w:color="auto"/>
            </w:tcBorders>
            <w:shd w:val="clear" w:color="auto" w:fill="auto"/>
            <w:noWrap/>
            <w:vAlign w:val="center"/>
            <w:hideMark/>
          </w:tcPr>
          <w:p w14:paraId="5FF7454D"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0,009</w:t>
            </w:r>
            <w:r>
              <w:rPr>
                <w:rFonts w:ascii="Times New Roman" w:hAnsi="Times New Roman" w:cs="Times New Roman"/>
                <w:color w:val="000000"/>
              </w:rPr>
              <w:t xml:space="preserve"> (0,044)</w:t>
            </w:r>
          </w:p>
        </w:tc>
        <w:tc>
          <w:tcPr>
            <w:tcW w:w="526" w:type="dxa"/>
            <w:tcBorders>
              <w:top w:val="nil"/>
              <w:left w:val="nil"/>
              <w:bottom w:val="nil"/>
              <w:right w:val="single" w:sz="4" w:space="0" w:color="auto"/>
            </w:tcBorders>
            <w:shd w:val="clear" w:color="auto" w:fill="auto"/>
            <w:noWrap/>
            <w:vAlign w:val="center"/>
            <w:hideMark/>
          </w:tcPr>
          <w:p w14:paraId="2C2A7F9A"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73F1EC1F"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1A336472"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40A120F0"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GO:0048518</w:t>
            </w:r>
          </w:p>
        </w:tc>
        <w:tc>
          <w:tcPr>
            <w:tcW w:w="2673" w:type="dxa"/>
            <w:tcBorders>
              <w:top w:val="nil"/>
              <w:left w:val="nil"/>
              <w:bottom w:val="nil"/>
              <w:right w:val="single" w:sz="4" w:space="0" w:color="auto"/>
            </w:tcBorders>
            <w:shd w:val="clear" w:color="auto" w:fill="auto"/>
            <w:noWrap/>
            <w:vAlign w:val="center"/>
            <w:hideMark/>
          </w:tcPr>
          <w:p w14:paraId="00796185" w14:textId="77777777" w:rsidR="00825E26" w:rsidRPr="00CA29EE" w:rsidRDefault="00825E26" w:rsidP="00825E26">
            <w:pPr>
              <w:spacing w:after="120"/>
              <w:jc w:val="both"/>
              <w:rPr>
                <w:rFonts w:ascii="Times New Roman" w:hAnsi="Times New Roman" w:cs="Times New Roman"/>
                <w:color w:val="000000"/>
                <w:lang w:val="en-US"/>
              </w:rPr>
            </w:pPr>
            <w:r w:rsidRPr="00CA29EE">
              <w:rPr>
                <w:rFonts w:ascii="Times New Roman" w:hAnsi="Times New Roman" w:cs="Times New Roman"/>
                <w:color w:val="000000"/>
                <w:lang w:val="en-US"/>
              </w:rPr>
              <w:t>positive regulation of biological process</w:t>
            </w:r>
          </w:p>
        </w:tc>
        <w:tc>
          <w:tcPr>
            <w:tcW w:w="829" w:type="dxa"/>
            <w:tcBorders>
              <w:top w:val="nil"/>
              <w:left w:val="nil"/>
              <w:bottom w:val="nil"/>
              <w:right w:val="single" w:sz="4" w:space="0" w:color="auto"/>
            </w:tcBorders>
            <w:shd w:val="clear" w:color="auto" w:fill="auto"/>
            <w:noWrap/>
            <w:vAlign w:val="center"/>
            <w:hideMark/>
          </w:tcPr>
          <w:p w14:paraId="4B9EE5FC"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35</w:t>
            </w:r>
          </w:p>
        </w:tc>
        <w:tc>
          <w:tcPr>
            <w:tcW w:w="709" w:type="dxa"/>
            <w:tcBorders>
              <w:top w:val="nil"/>
              <w:left w:val="nil"/>
              <w:bottom w:val="nil"/>
              <w:right w:val="single" w:sz="4" w:space="0" w:color="auto"/>
            </w:tcBorders>
            <w:shd w:val="clear" w:color="auto" w:fill="auto"/>
            <w:noWrap/>
            <w:vAlign w:val="center"/>
            <w:hideMark/>
          </w:tcPr>
          <w:p w14:paraId="29E9D701"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3450</w:t>
            </w:r>
          </w:p>
        </w:tc>
        <w:tc>
          <w:tcPr>
            <w:tcW w:w="2386" w:type="dxa"/>
            <w:tcBorders>
              <w:top w:val="nil"/>
              <w:left w:val="nil"/>
              <w:bottom w:val="nil"/>
              <w:right w:val="single" w:sz="4" w:space="0" w:color="auto"/>
            </w:tcBorders>
            <w:shd w:val="clear" w:color="auto" w:fill="auto"/>
            <w:noWrap/>
            <w:vAlign w:val="center"/>
            <w:hideMark/>
          </w:tcPr>
          <w:p w14:paraId="0AEA1A3B"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0,009</w:t>
            </w:r>
            <w:r>
              <w:rPr>
                <w:rFonts w:ascii="Times New Roman" w:hAnsi="Times New Roman" w:cs="Times New Roman"/>
                <w:color w:val="000000"/>
              </w:rPr>
              <w:t xml:space="preserve"> (0,044)</w:t>
            </w:r>
          </w:p>
        </w:tc>
        <w:tc>
          <w:tcPr>
            <w:tcW w:w="526" w:type="dxa"/>
            <w:tcBorders>
              <w:top w:val="nil"/>
              <w:left w:val="nil"/>
              <w:bottom w:val="nil"/>
              <w:right w:val="single" w:sz="4" w:space="0" w:color="auto"/>
            </w:tcBorders>
            <w:shd w:val="clear" w:color="auto" w:fill="auto"/>
            <w:noWrap/>
            <w:vAlign w:val="center"/>
            <w:hideMark/>
          </w:tcPr>
          <w:p w14:paraId="51FD0D3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5ED40A3D"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22FC50FB"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44BB806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GO:0008152</w:t>
            </w:r>
          </w:p>
        </w:tc>
        <w:tc>
          <w:tcPr>
            <w:tcW w:w="2673" w:type="dxa"/>
            <w:tcBorders>
              <w:top w:val="nil"/>
              <w:left w:val="nil"/>
              <w:bottom w:val="nil"/>
              <w:right w:val="single" w:sz="4" w:space="0" w:color="auto"/>
            </w:tcBorders>
            <w:shd w:val="clear" w:color="auto" w:fill="auto"/>
            <w:noWrap/>
            <w:vAlign w:val="center"/>
            <w:hideMark/>
          </w:tcPr>
          <w:p w14:paraId="683ACE3B"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metabolic</w:t>
            </w:r>
            <w:proofErr w:type="spellEnd"/>
            <w:r w:rsidRPr="00CA29EE">
              <w:rPr>
                <w:rFonts w:ascii="Times New Roman" w:hAnsi="Times New Roman" w:cs="Times New Roman"/>
                <w:color w:val="000000"/>
              </w:rPr>
              <w:t xml:space="preserve"> process</w:t>
            </w:r>
          </w:p>
        </w:tc>
        <w:tc>
          <w:tcPr>
            <w:tcW w:w="829" w:type="dxa"/>
            <w:tcBorders>
              <w:top w:val="nil"/>
              <w:left w:val="nil"/>
              <w:bottom w:val="nil"/>
              <w:right w:val="single" w:sz="4" w:space="0" w:color="auto"/>
            </w:tcBorders>
            <w:shd w:val="clear" w:color="auto" w:fill="auto"/>
            <w:noWrap/>
            <w:vAlign w:val="center"/>
            <w:hideMark/>
          </w:tcPr>
          <w:p w14:paraId="33069835"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53</w:t>
            </w:r>
          </w:p>
        </w:tc>
        <w:tc>
          <w:tcPr>
            <w:tcW w:w="709" w:type="dxa"/>
            <w:tcBorders>
              <w:top w:val="nil"/>
              <w:left w:val="nil"/>
              <w:bottom w:val="nil"/>
              <w:right w:val="single" w:sz="4" w:space="0" w:color="auto"/>
            </w:tcBorders>
            <w:shd w:val="clear" w:color="auto" w:fill="auto"/>
            <w:noWrap/>
            <w:vAlign w:val="center"/>
            <w:hideMark/>
          </w:tcPr>
          <w:p w14:paraId="1F09FCE0"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6240</w:t>
            </w:r>
          </w:p>
        </w:tc>
        <w:tc>
          <w:tcPr>
            <w:tcW w:w="2386" w:type="dxa"/>
            <w:tcBorders>
              <w:top w:val="nil"/>
              <w:left w:val="nil"/>
              <w:bottom w:val="nil"/>
              <w:right w:val="single" w:sz="4" w:space="0" w:color="auto"/>
            </w:tcBorders>
            <w:shd w:val="clear" w:color="auto" w:fill="auto"/>
            <w:noWrap/>
            <w:vAlign w:val="center"/>
            <w:hideMark/>
          </w:tcPr>
          <w:p w14:paraId="5D36EC20"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0,03</w:t>
            </w:r>
            <w:r>
              <w:rPr>
                <w:rFonts w:ascii="Times New Roman" w:hAnsi="Times New Roman" w:cs="Times New Roman"/>
                <w:color w:val="000000"/>
              </w:rPr>
              <w:t xml:space="preserve"> (0,12)</w:t>
            </w:r>
          </w:p>
        </w:tc>
        <w:tc>
          <w:tcPr>
            <w:tcW w:w="526" w:type="dxa"/>
            <w:tcBorders>
              <w:top w:val="nil"/>
              <w:left w:val="nil"/>
              <w:bottom w:val="nil"/>
              <w:right w:val="single" w:sz="4" w:space="0" w:color="auto"/>
            </w:tcBorders>
            <w:shd w:val="clear" w:color="auto" w:fill="auto"/>
            <w:noWrap/>
            <w:vAlign w:val="center"/>
            <w:hideMark/>
          </w:tcPr>
          <w:p w14:paraId="1F0D5DCB"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34D3506F" w14:textId="77777777" w:rsidTr="00825E26">
        <w:trPr>
          <w:trHeight w:val="397"/>
        </w:trPr>
        <w:tc>
          <w:tcPr>
            <w:tcW w:w="1476" w:type="dxa"/>
            <w:tcBorders>
              <w:top w:val="nil"/>
              <w:left w:val="single" w:sz="4" w:space="0" w:color="auto"/>
              <w:bottom w:val="nil"/>
              <w:right w:val="single" w:sz="4" w:space="0" w:color="auto"/>
            </w:tcBorders>
            <w:shd w:val="clear" w:color="auto" w:fill="auto"/>
            <w:noWrap/>
            <w:vAlign w:val="center"/>
            <w:hideMark/>
          </w:tcPr>
          <w:p w14:paraId="0799A9AB"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nil"/>
              <w:right w:val="single" w:sz="4" w:space="0" w:color="auto"/>
            </w:tcBorders>
            <w:shd w:val="clear" w:color="auto" w:fill="auto"/>
            <w:noWrap/>
            <w:vAlign w:val="center"/>
            <w:hideMark/>
          </w:tcPr>
          <w:p w14:paraId="2D0EC0F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GO:0050789</w:t>
            </w:r>
          </w:p>
        </w:tc>
        <w:tc>
          <w:tcPr>
            <w:tcW w:w="2673" w:type="dxa"/>
            <w:tcBorders>
              <w:top w:val="nil"/>
              <w:left w:val="nil"/>
              <w:bottom w:val="nil"/>
              <w:right w:val="single" w:sz="4" w:space="0" w:color="auto"/>
            </w:tcBorders>
            <w:shd w:val="clear" w:color="auto" w:fill="auto"/>
            <w:noWrap/>
            <w:vAlign w:val="center"/>
            <w:hideMark/>
          </w:tcPr>
          <w:p w14:paraId="2A0E88C5"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regulation</w:t>
            </w:r>
            <w:proofErr w:type="spellEnd"/>
            <w:r w:rsidRPr="00CA29EE">
              <w:rPr>
                <w:rFonts w:ascii="Times New Roman" w:hAnsi="Times New Roman" w:cs="Times New Roman"/>
                <w:color w:val="000000"/>
              </w:rPr>
              <w:t xml:space="preserve"> of </w:t>
            </w:r>
            <w:proofErr w:type="spellStart"/>
            <w:r w:rsidRPr="00CA29EE">
              <w:rPr>
                <w:rFonts w:ascii="Times New Roman" w:hAnsi="Times New Roman" w:cs="Times New Roman"/>
                <w:color w:val="000000"/>
              </w:rPr>
              <w:t>biological</w:t>
            </w:r>
            <w:proofErr w:type="spellEnd"/>
            <w:r w:rsidRPr="00CA29EE">
              <w:rPr>
                <w:rFonts w:ascii="Times New Roman" w:hAnsi="Times New Roman" w:cs="Times New Roman"/>
                <w:color w:val="000000"/>
              </w:rPr>
              <w:t xml:space="preserve"> process</w:t>
            </w:r>
          </w:p>
        </w:tc>
        <w:tc>
          <w:tcPr>
            <w:tcW w:w="829" w:type="dxa"/>
            <w:tcBorders>
              <w:top w:val="nil"/>
              <w:left w:val="nil"/>
              <w:bottom w:val="nil"/>
              <w:right w:val="single" w:sz="4" w:space="0" w:color="auto"/>
            </w:tcBorders>
            <w:shd w:val="clear" w:color="auto" w:fill="auto"/>
            <w:noWrap/>
            <w:vAlign w:val="center"/>
            <w:hideMark/>
          </w:tcPr>
          <w:p w14:paraId="0AA1C5C3"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51</w:t>
            </w:r>
          </w:p>
        </w:tc>
        <w:tc>
          <w:tcPr>
            <w:tcW w:w="709" w:type="dxa"/>
            <w:tcBorders>
              <w:top w:val="nil"/>
              <w:left w:val="nil"/>
              <w:bottom w:val="nil"/>
              <w:right w:val="single" w:sz="4" w:space="0" w:color="auto"/>
            </w:tcBorders>
            <w:shd w:val="clear" w:color="auto" w:fill="auto"/>
            <w:noWrap/>
            <w:vAlign w:val="center"/>
            <w:hideMark/>
          </w:tcPr>
          <w:p w14:paraId="7B2C754C"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5799</w:t>
            </w:r>
          </w:p>
        </w:tc>
        <w:tc>
          <w:tcPr>
            <w:tcW w:w="2386" w:type="dxa"/>
            <w:tcBorders>
              <w:top w:val="nil"/>
              <w:left w:val="nil"/>
              <w:bottom w:val="nil"/>
              <w:right w:val="single" w:sz="4" w:space="0" w:color="auto"/>
            </w:tcBorders>
            <w:shd w:val="clear" w:color="auto" w:fill="auto"/>
            <w:noWrap/>
            <w:vAlign w:val="center"/>
            <w:hideMark/>
          </w:tcPr>
          <w:p w14:paraId="739CCBE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0,043</w:t>
            </w:r>
            <w:r>
              <w:rPr>
                <w:rFonts w:ascii="Times New Roman" w:hAnsi="Times New Roman" w:cs="Times New Roman"/>
                <w:color w:val="000000"/>
              </w:rPr>
              <w:t xml:space="preserve"> (0,15)</w:t>
            </w:r>
          </w:p>
        </w:tc>
        <w:tc>
          <w:tcPr>
            <w:tcW w:w="526" w:type="dxa"/>
            <w:tcBorders>
              <w:top w:val="nil"/>
              <w:left w:val="nil"/>
              <w:bottom w:val="nil"/>
              <w:right w:val="single" w:sz="4" w:space="0" w:color="auto"/>
            </w:tcBorders>
            <w:shd w:val="clear" w:color="auto" w:fill="auto"/>
            <w:noWrap/>
            <w:vAlign w:val="center"/>
            <w:hideMark/>
          </w:tcPr>
          <w:p w14:paraId="61487C3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r w:rsidR="00825E26" w:rsidRPr="0073430A" w14:paraId="264FD863" w14:textId="77777777" w:rsidTr="00825E26">
        <w:trPr>
          <w:trHeight w:val="397"/>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29C17A1B"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Headkidney</w:t>
            </w:r>
            <w:proofErr w:type="spellEnd"/>
          </w:p>
        </w:tc>
        <w:tc>
          <w:tcPr>
            <w:tcW w:w="1583" w:type="dxa"/>
            <w:tcBorders>
              <w:top w:val="nil"/>
              <w:left w:val="nil"/>
              <w:bottom w:val="single" w:sz="4" w:space="0" w:color="auto"/>
              <w:right w:val="single" w:sz="4" w:space="0" w:color="auto"/>
            </w:tcBorders>
            <w:shd w:val="clear" w:color="auto" w:fill="auto"/>
            <w:noWrap/>
            <w:vAlign w:val="center"/>
            <w:hideMark/>
          </w:tcPr>
          <w:p w14:paraId="7E763818"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GO:0065007</w:t>
            </w:r>
          </w:p>
        </w:tc>
        <w:tc>
          <w:tcPr>
            <w:tcW w:w="2673" w:type="dxa"/>
            <w:tcBorders>
              <w:top w:val="nil"/>
              <w:left w:val="nil"/>
              <w:bottom w:val="single" w:sz="4" w:space="0" w:color="auto"/>
              <w:right w:val="single" w:sz="4" w:space="0" w:color="auto"/>
            </w:tcBorders>
            <w:shd w:val="clear" w:color="auto" w:fill="auto"/>
            <w:noWrap/>
            <w:vAlign w:val="center"/>
            <w:hideMark/>
          </w:tcPr>
          <w:p w14:paraId="1852EC34" w14:textId="77777777" w:rsidR="00825E26" w:rsidRPr="00CA29EE" w:rsidRDefault="00825E26" w:rsidP="00825E26">
            <w:pPr>
              <w:spacing w:after="120"/>
              <w:jc w:val="both"/>
              <w:rPr>
                <w:rFonts w:ascii="Times New Roman" w:hAnsi="Times New Roman" w:cs="Times New Roman"/>
                <w:color w:val="000000"/>
              </w:rPr>
            </w:pPr>
            <w:proofErr w:type="spellStart"/>
            <w:r w:rsidRPr="00CA29EE">
              <w:rPr>
                <w:rFonts w:ascii="Times New Roman" w:hAnsi="Times New Roman" w:cs="Times New Roman"/>
                <w:color w:val="000000"/>
              </w:rPr>
              <w:t>biological</w:t>
            </w:r>
            <w:proofErr w:type="spellEnd"/>
            <w:r w:rsidRPr="00CA29EE">
              <w:rPr>
                <w:rFonts w:ascii="Times New Roman" w:hAnsi="Times New Roman" w:cs="Times New Roman"/>
                <w:color w:val="000000"/>
              </w:rPr>
              <w:t xml:space="preserve"> </w:t>
            </w:r>
            <w:proofErr w:type="spellStart"/>
            <w:r w:rsidRPr="00CA29EE">
              <w:rPr>
                <w:rFonts w:ascii="Times New Roman" w:hAnsi="Times New Roman" w:cs="Times New Roman"/>
                <w:color w:val="000000"/>
              </w:rPr>
              <w:t>regulation</w:t>
            </w:r>
            <w:proofErr w:type="spellEnd"/>
          </w:p>
        </w:tc>
        <w:tc>
          <w:tcPr>
            <w:tcW w:w="829" w:type="dxa"/>
            <w:tcBorders>
              <w:top w:val="nil"/>
              <w:left w:val="nil"/>
              <w:bottom w:val="single" w:sz="4" w:space="0" w:color="auto"/>
              <w:right w:val="single" w:sz="4" w:space="0" w:color="auto"/>
            </w:tcBorders>
            <w:shd w:val="clear" w:color="auto" w:fill="auto"/>
            <w:noWrap/>
            <w:vAlign w:val="center"/>
            <w:hideMark/>
          </w:tcPr>
          <w:p w14:paraId="403C478E"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52</w:t>
            </w:r>
          </w:p>
        </w:tc>
        <w:tc>
          <w:tcPr>
            <w:tcW w:w="709" w:type="dxa"/>
            <w:tcBorders>
              <w:top w:val="nil"/>
              <w:left w:val="nil"/>
              <w:bottom w:val="single" w:sz="4" w:space="0" w:color="auto"/>
              <w:right w:val="single" w:sz="4" w:space="0" w:color="auto"/>
            </w:tcBorders>
            <w:shd w:val="clear" w:color="auto" w:fill="auto"/>
            <w:noWrap/>
            <w:vAlign w:val="center"/>
            <w:hideMark/>
          </w:tcPr>
          <w:p w14:paraId="6391E30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6084</w:t>
            </w:r>
          </w:p>
        </w:tc>
        <w:tc>
          <w:tcPr>
            <w:tcW w:w="2386" w:type="dxa"/>
            <w:tcBorders>
              <w:top w:val="nil"/>
              <w:left w:val="nil"/>
              <w:bottom w:val="single" w:sz="4" w:space="0" w:color="auto"/>
              <w:right w:val="single" w:sz="4" w:space="0" w:color="auto"/>
            </w:tcBorders>
            <w:shd w:val="clear" w:color="auto" w:fill="auto"/>
            <w:noWrap/>
            <w:vAlign w:val="center"/>
            <w:hideMark/>
          </w:tcPr>
          <w:p w14:paraId="6EC0936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0,046</w:t>
            </w:r>
            <w:r>
              <w:rPr>
                <w:rFonts w:ascii="Times New Roman" w:hAnsi="Times New Roman" w:cs="Times New Roman"/>
                <w:color w:val="000000"/>
              </w:rPr>
              <w:t xml:space="preserve"> (0,15)</w:t>
            </w:r>
          </w:p>
        </w:tc>
        <w:tc>
          <w:tcPr>
            <w:tcW w:w="526" w:type="dxa"/>
            <w:tcBorders>
              <w:top w:val="nil"/>
              <w:left w:val="nil"/>
              <w:bottom w:val="single" w:sz="4" w:space="0" w:color="auto"/>
              <w:right w:val="single" w:sz="4" w:space="0" w:color="auto"/>
            </w:tcBorders>
            <w:shd w:val="clear" w:color="auto" w:fill="auto"/>
            <w:noWrap/>
            <w:vAlign w:val="center"/>
            <w:hideMark/>
          </w:tcPr>
          <w:p w14:paraId="6CE4F31F" w14:textId="77777777" w:rsidR="00825E26" w:rsidRPr="00CA29EE" w:rsidRDefault="00825E26" w:rsidP="00825E26">
            <w:pPr>
              <w:spacing w:after="120"/>
              <w:jc w:val="both"/>
              <w:rPr>
                <w:rFonts w:ascii="Times New Roman" w:hAnsi="Times New Roman" w:cs="Times New Roman"/>
                <w:color w:val="000000"/>
              </w:rPr>
            </w:pPr>
            <w:r w:rsidRPr="00CA29EE">
              <w:rPr>
                <w:rFonts w:ascii="Times New Roman" w:hAnsi="Times New Roman" w:cs="Times New Roman"/>
                <w:color w:val="000000"/>
              </w:rPr>
              <w:t>*</w:t>
            </w:r>
          </w:p>
        </w:tc>
      </w:tr>
    </w:tbl>
    <w:p w14:paraId="602D05A3" w14:textId="77777777" w:rsidR="00C11D8B" w:rsidRPr="0073430A" w:rsidRDefault="00C11D8B" w:rsidP="00C11D8B">
      <w:pPr>
        <w:spacing w:line="360" w:lineRule="auto"/>
        <w:jc w:val="both"/>
        <w:rPr>
          <w:rFonts w:ascii="Times New Roman" w:hAnsi="Times New Roman" w:cs="Times New Roman"/>
          <w:lang w:val="en-US"/>
        </w:rPr>
      </w:pPr>
    </w:p>
    <w:p w14:paraId="3A3E167B" w14:textId="77777777" w:rsidR="00C11D8B" w:rsidRDefault="00C11D8B">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7AF14578" w14:textId="77777777" w:rsidR="00C11D8B" w:rsidRDefault="00C11D8B" w:rsidP="00C11D8B">
      <w:pPr>
        <w:spacing w:line="360" w:lineRule="auto"/>
        <w:jc w:val="both"/>
        <w:rPr>
          <w:rFonts w:ascii="Times New Roman" w:hAnsi="Times New Roman" w:cs="Times New Roman"/>
          <w:b/>
          <w:lang w:val="en-US"/>
        </w:rPr>
      </w:pPr>
      <w:r w:rsidRPr="00F941AB">
        <w:rPr>
          <w:rFonts w:ascii="Times New Roman" w:hAnsi="Times New Roman" w:cs="Times New Roman"/>
          <w:b/>
          <w:lang w:val="en-US"/>
        </w:rPr>
        <w:lastRenderedPageBreak/>
        <w:t xml:space="preserve">Supplementary </w:t>
      </w:r>
      <w:r>
        <w:rPr>
          <w:rFonts w:ascii="Times New Roman" w:hAnsi="Times New Roman" w:cs="Times New Roman"/>
          <w:b/>
          <w:lang w:val="en-US"/>
        </w:rPr>
        <w:t>Figure</w:t>
      </w:r>
    </w:p>
    <w:p w14:paraId="1503162A" w14:textId="77777777" w:rsidR="00C11D8B" w:rsidRDefault="00C11D8B" w:rsidP="00C11D8B">
      <w:pPr>
        <w:spacing w:line="360" w:lineRule="auto"/>
        <w:jc w:val="both"/>
        <w:rPr>
          <w:rFonts w:ascii="Times New Roman" w:hAnsi="Times New Roman" w:cs="Times New Roman"/>
          <w:lang w:val="en-US"/>
        </w:rPr>
      </w:pPr>
    </w:p>
    <w:p w14:paraId="32760F9E" w14:textId="77777777" w:rsidR="00C11D8B" w:rsidRDefault="00C11D8B" w:rsidP="00C11D8B">
      <w:pPr>
        <w:spacing w:line="360" w:lineRule="auto"/>
        <w:jc w:val="both"/>
        <w:rPr>
          <w:rFonts w:ascii="Times New Roman" w:hAnsi="Times New Roman" w:cs="Times New Roman"/>
          <w:lang w:val="en-US"/>
        </w:rPr>
      </w:pPr>
    </w:p>
    <w:p w14:paraId="672E290A" w14:textId="1C96F286" w:rsidR="005D3784" w:rsidRDefault="003E6146" w:rsidP="005D3784">
      <w:pPr>
        <w:spacing w:line="360" w:lineRule="auto"/>
        <w:jc w:val="both"/>
        <w:rPr>
          <w:rFonts w:ascii="Times New Roman" w:hAnsi="Times New Roman" w:cs="Times New Roman"/>
          <w:lang w:val="en-US"/>
        </w:rPr>
      </w:pPr>
      <w:r>
        <w:rPr>
          <w:noProof/>
          <w:lang w:eastAsia="fr-FR" w:bidi="as-IN"/>
        </w:rPr>
        <w:drawing>
          <wp:inline distT="0" distB="0" distL="0" distR="0" wp14:anchorId="2063EA23" wp14:editId="3D37EC6B">
            <wp:extent cx="6149515" cy="287655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1090" cy="2877287"/>
                    </a:xfrm>
                    <a:prstGeom prst="rect">
                      <a:avLst/>
                    </a:prstGeom>
                    <a:noFill/>
                    <a:ln>
                      <a:noFill/>
                    </a:ln>
                  </pic:spPr>
                </pic:pic>
              </a:graphicData>
            </a:graphic>
          </wp:inline>
        </w:drawing>
      </w:r>
    </w:p>
    <w:p w14:paraId="70E9455D" w14:textId="41707FCB" w:rsidR="005D3784" w:rsidRDefault="005D3784" w:rsidP="005D3784">
      <w:pPr>
        <w:spacing w:line="360" w:lineRule="auto"/>
        <w:jc w:val="both"/>
        <w:rPr>
          <w:rFonts w:ascii="Times New Roman" w:hAnsi="Times New Roman" w:cs="Times New Roman"/>
          <w:lang w:val="en-US"/>
        </w:rPr>
      </w:pPr>
      <w:r w:rsidRPr="009214CA">
        <w:rPr>
          <w:rFonts w:ascii="Times New Roman" w:hAnsi="Times New Roman" w:cs="Times New Roman"/>
          <w:b/>
          <w:lang w:val="en-US"/>
        </w:rPr>
        <w:t>Figure S</w:t>
      </w:r>
      <w:r w:rsidR="00076CCC">
        <w:rPr>
          <w:rFonts w:ascii="Times New Roman" w:hAnsi="Times New Roman" w:cs="Times New Roman"/>
          <w:b/>
          <w:lang w:val="en-US"/>
        </w:rPr>
        <w:t>1</w:t>
      </w:r>
      <w:r>
        <w:rPr>
          <w:rFonts w:ascii="Times New Roman" w:hAnsi="Times New Roman" w:cs="Times New Roman"/>
          <w:lang w:val="en-US"/>
        </w:rPr>
        <w:t xml:space="preserve">. </w:t>
      </w:r>
      <w:r w:rsidR="003E6146">
        <w:rPr>
          <w:rFonts w:ascii="Times New Roman" w:hAnsi="Times New Roman" w:cs="Times New Roman"/>
          <w:lang w:val="en-US"/>
        </w:rPr>
        <w:t>L</w:t>
      </w:r>
      <w:proofErr w:type="spellStart"/>
      <w:r w:rsidRPr="004E6342">
        <w:rPr>
          <w:rFonts w:ascii="Times New Roman" w:hAnsi="Times New Roman" w:cs="Times New Roman"/>
          <w:lang w:val="en-GB"/>
        </w:rPr>
        <w:t>atencies</w:t>
      </w:r>
      <w:proofErr w:type="spellEnd"/>
      <w:r w:rsidRPr="004E6342">
        <w:rPr>
          <w:rFonts w:ascii="Times New Roman" w:hAnsi="Times New Roman" w:cs="Times New Roman"/>
          <w:lang w:val="en-GB"/>
        </w:rPr>
        <w:t xml:space="preserve"> at the four GRTs for individuals categorized as bold and shy at </w:t>
      </w:r>
      <w:r w:rsidR="004212EB">
        <w:rPr>
          <w:rFonts w:ascii="Times New Roman" w:hAnsi="Times New Roman" w:cs="Times New Roman"/>
          <w:lang w:val="en-GB"/>
        </w:rPr>
        <w:t>255dpf</w:t>
      </w:r>
      <w:r w:rsidRPr="004E6342">
        <w:rPr>
          <w:rFonts w:ascii="Times New Roman" w:hAnsi="Times New Roman" w:cs="Times New Roman"/>
          <w:lang w:val="en-GB"/>
        </w:rPr>
        <w:t xml:space="preserve"> </w:t>
      </w:r>
      <w:r>
        <w:rPr>
          <w:rFonts w:ascii="Times New Roman" w:hAnsi="Times New Roman" w:cs="Times New Roman"/>
          <w:lang w:val="en-GB"/>
        </w:rPr>
        <w:t>and across the different Tank replicate.</w:t>
      </w:r>
      <w:r w:rsidR="00CE514D">
        <w:rPr>
          <w:rFonts w:ascii="Times New Roman" w:hAnsi="Times New Roman" w:cs="Times New Roman"/>
          <w:lang w:val="en-GB"/>
        </w:rPr>
        <w:t xml:space="preserve"> Data are</w:t>
      </w:r>
      <w:r w:rsidR="00062336">
        <w:rPr>
          <w:rFonts w:ascii="Times New Roman" w:hAnsi="Times New Roman" w:cs="Times New Roman"/>
          <w:lang w:val="en-GB"/>
        </w:rPr>
        <w:t xml:space="preserve"> illustrated using the mean and standard error.</w:t>
      </w:r>
      <w:r w:rsidR="003E6146">
        <w:rPr>
          <w:rFonts w:ascii="Times New Roman" w:hAnsi="Times New Roman" w:cs="Times New Roman"/>
          <w:lang w:val="en-GB"/>
        </w:rPr>
        <w:t xml:space="preserve"> Tanks A, B, and C are 1.5m</w:t>
      </w:r>
      <w:r w:rsidR="003E6146" w:rsidRPr="003E6146">
        <w:rPr>
          <w:rFonts w:ascii="Times New Roman" w:hAnsi="Times New Roman" w:cs="Times New Roman"/>
          <w:vertAlign w:val="superscript"/>
          <w:lang w:val="en-GB"/>
        </w:rPr>
        <w:t>3</w:t>
      </w:r>
      <w:r w:rsidR="003E6146">
        <w:rPr>
          <w:rFonts w:ascii="Times New Roman" w:hAnsi="Times New Roman" w:cs="Times New Roman"/>
          <w:lang w:val="en-GB"/>
        </w:rPr>
        <w:t>. Tanks I, J, and K are 1m</w:t>
      </w:r>
      <w:r w:rsidR="003E6146" w:rsidRPr="003E6146">
        <w:rPr>
          <w:rFonts w:ascii="Times New Roman" w:hAnsi="Times New Roman" w:cs="Times New Roman"/>
          <w:vertAlign w:val="superscript"/>
          <w:lang w:val="en-GB"/>
        </w:rPr>
        <w:t>3</w:t>
      </w:r>
      <w:r w:rsidR="003E6146">
        <w:rPr>
          <w:rFonts w:ascii="Times New Roman" w:hAnsi="Times New Roman" w:cs="Times New Roman"/>
          <w:lang w:val="en-GB"/>
        </w:rPr>
        <w:t>, while tank Q is a 5m</w:t>
      </w:r>
      <w:r w:rsidR="003E6146" w:rsidRPr="003E6146">
        <w:rPr>
          <w:rFonts w:ascii="Times New Roman" w:hAnsi="Times New Roman" w:cs="Times New Roman"/>
          <w:vertAlign w:val="superscript"/>
          <w:lang w:val="en-GB"/>
        </w:rPr>
        <w:t>3</w:t>
      </w:r>
      <w:r w:rsidR="003E6146">
        <w:rPr>
          <w:rFonts w:ascii="Times New Roman" w:hAnsi="Times New Roman" w:cs="Times New Roman"/>
          <w:lang w:val="en-GB"/>
        </w:rPr>
        <w:t xml:space="preserve"> tank. </w:t>
      </w:r>
    </w:p>
    <w:p w14:paraId="4016EDBB" w14:textId="77777777" w:rsidR="005C1490" w:rsidRDefault="005C1490">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4AAAFCF8" w14:textId="77777777" w:rsidR="00E93872" w:rsidRDefault="00E93872">
      <w:pPr>
        <w:spacing w:after="160" w:line="259" w:lineRule="auto"/>
        <w:rPr>
          <w:rFonts w:ascii="Times New Roman" w:hAnsi="Times New Roman" w:cs="Times New Roman"/>
          <w:lang w:val="en-US"/>
        </w:rPr>
      </w:pPr>
    </w:p>
    <w:p w14:paraId="1CB78E5D" w14:textId="77777777" w:rsidR="00C11D8B" w:rsidRDefault="00C11D8B" w:rsidP="00C11D8B">
      <w:pPr>
        <w:spacing w:line="360" w:lineRule="auto"/>
        <w:jc w:val="both"/>
        <w:rPr>
          <w:rFonts w:ascii="Times New Roman" w:hAnsi="Times New Roman" w:cs="Times New Roman"/>
          <w:lang w:val="en-US"/>
        </w:rPr>
      </w:pPr>
    </w:p>
    <w:p w14:paraId="48DD3836" w14:textId="77777777" w:rsidR="00E93872" w:rsidRDefault="00E93872" w:rsidP="00C11D8B">
      <w:pPr>
        <w:spacing w:line="360" w:lineRule="auto"/>
        <w:jc w:val="both"/>
        <w:rPr>
          <w:rFonts w:ascii="Times New Roman" w:hAnsi="Times New Roman" w:cs="Times New Roman"/>
          <w:lang w:val="en-US"/>
        </w:rPr>
      </w:pPr>
      <w:r w:rsidRPr="00E93872">
        <w:rPr>
          <w:noProof/>
          <w:lang w:eastAsia="fr-FR" w:bidi="as-IN"/>
        </w:rPr>
        <w:drawing>
          <wp:inline distT="0" distB="0" distL="0" distR="0" wp14:anchorId="289454C4" wp14:editId="5D849BEC">
            <wp:extent cx="5760720" cy="25539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553970"/>
                    </a:xfrm>
                    <a:prstGeom prst="rect">
                      <a:avLst/>
                    </a:prstGeom>
                  </pic:spPr>
                </pic:pic>
              </a:graphicData>
            </a:graphic>
          </wp:inline>
        </w:drawing>
      </w:r>
    </w:p>
    <w:p w14:paraId="69C252D2" w14:textId="77777777" w:rsidR="00C11D8B" w:rsidRPr="0073430A" w:rsidRDefault="00C11D8B" w:rsidP="00C11D8B">
      <w:pPr>
        <w:spacing w:line="360" w:lineRule="auto"/>
        <w:jc w:val="both"/>
        <w:rPr>
          <w:rFonts w:ascii="Times New Roman" w:hAnsi="Times New Roman" w:cs="Times New Roman"/>
          <w:lang w:val="en-US"/>
        </w:rPr>
      </w:pPr>
    </w:p>
    <w:p w14:paraId="3F484F12" w14:textId="3073D89F" w:rsidR="002E64A8" w:rsidRDefault="00E93872" w:rsidP="00E93872">
      <w:pPr>
        <w:spacing w:line="360" w:lineRule="auto"/>
        <w:jc w:val="both"/>
        <w:rPr>
          <w:rFonts w:ascii="Times New Roman" w:hAnsi="Times New Roman" w:cs="Times New Roman"/>
          <w:lang w:val="en-US"/>
        </w:rPr>
      </w:pPr>
      <w:r w:rsidRPr="009214CA">
        <w:rPr>
          <w:rFonts w:ascii="Times New Roman" w:hAnsi="Times New Roman" w:cs="Times New Roman"/>
          <w:b/>
          <w:lang w:val="en-US"/>
        </w:rPr>
        <w:t>Figure S</w:t>
      </w:r>
      <w:r w:rsidR="00076CCC">
        <w:rPr>
          <w:rFonts w:ascii="Times New Roman" w:hAnsi="Times New Roman" w:cs="Times New Roman"/>
          <w:lang w:val="en-US"/>
        </w:rPr>
        <w:t>2</w:t>
      </w:r>
      <w:r>
        <w:rPr>
          <w:rFonts w:ascii="Times New Roman" w:hAnsi="Times New Roman" w:cs="Times New Roman"/>
          <w:lang w:val="en-US"/>
        </w:rPr>
        <w:t xml:space="preserve">. </w:t>
      </w:r>
      <w:r w:rsidRPr="00E93872">
        <w:rPr>
          <w:rFonts w:ascii="Times New Roman" w:hAnsi="Times New Roman" w:cs="Times New Roman"/>
          <w:lang w:val="en-US"/>
        </w:rPr>
        <w:t>Quantile-quantile plot</w:t>
      </w:r>
      <w:r>
        <w:rPr>
          <w:rFonts w:ascii="Times New Roman" w:hAnsi="Times New Roman" w:cs="Times New Roman"/>
          <w:lang w:val="en-US"/>
        </w:rPr>
        <w:t>s</w:t>
      </w:r>
      <w:r w:rsidRPr="00E93872">
        <w:rPr>
          <w:rFonts w:ascii="Times New Roman" w:hAnsi="Times New Roman" w:cs="Times New Roman"/>
          <w:lang w:val="en-US"/>
        </w:rPr>
        <w:t xml:space="preserve"> of p-values</w:t>
      </w:r>
      <w:r>
        <w:rPr>
          <w:rFonts w:ascii="Times New Roman" w:hAnsi="Times New Roman" w:cs="Times New Roman"/>
          <w:lang w:val="en-US"/>
        </w:rPr>
        <w:t xml:space="preserve"> of enriched BP GO terms of level 2 tested on differentially expressed genes (adjusted p-value &lt; 0.05) between bold and shy in the Brain, the Head kidney and the Pituitary</w:t>
      </w:r>
      <w:r w:rsidRPr="00E93872">
        <w:rPr>
          <w:rFonts w:ascii="Times New Roman" w:hAnsi="Times New Roman" w:cs="Times New Roman"/>
          <w:lang w:val="en-US"/>
        </w:rPr>
        <w:t>. Each point</w:t>
      </w:r>
      <w:r>
        <w:rPr>
          <w:rFonts w:ascii="Times New Roman" w:hAnsi="Times New Roman" w:cs="Times New Roman"/>
          <w:lang w:val="en-US"/>
        </w:rPr>
        <w:t xml:space="preserve"> </w:t>
      </w:r>
      <w:r w:rsidRPr="00E93872">
        <w:rPr>
          <w:rFonts w:ascii="Times New Roman" w:hAnsi="Times New Roman" w:cs="Times New Roman"/>
          <w:lang w:val="en-US"/>
        </w:rPr>
        <w:t>represents the p-value (log-scale) from a test. The expected distribution under the null hypothesis is</w:t>
      </w:r>
      <w:r>
        <w:rPr>
          <w:rFonts w:ascii="Times New Roman" w:hAnsi="Times New Roman" w:cs="Times New Roman"/>
          <w:lang w:val="en-US"/>
        </w:rPr>
        <w:t xml:space="preserve"> </w:t>
      </w:r>
      <w:r w:rsidRPr="00E93872">
        <w:rPr>
          <w:rFonts w:ascii="Times New Roman" w:hAnsi="Times New Roman" w:cs="Times New Roman"/>
          <w:lang w:val="en-US"/>
        </w:rPr>
        <w:t>represented by the diagonal line. An excess of small p-values is</w:t>
      </w:r>
      <w:r w:rsidR="005D3784">
        <w:rPr>
          <w:rFonts w:ascii="Times New Roman" w:hAnsi="Times New Roman" w:cs="Times New Roman"/>
          <w:lang w:val="en-US"/>
        </w:rPr>
        <w:t xml:space="preserve"> </w:t>
      </w:r>
      <w:r w:rsidRPr="00E93872">
        <w:rPr>
          <w:rFonts w:ascii="Times New Roman" w:hAnsi="Times New Roman" w:cs="Times New Roman"/>
          <w:lang w:val="en-US"/>
        </w:rPr>
        <w:t>observed compared to the null model represented by the line</w:t>
      </w:r>
      <w:r>
        <w:rPr>
          <w:rFonts w:ascii="Times New Roman" w:hAnsi="Times New Roman" w:cs="Times New Roman"/>
          <w:lang w:val="en-US"/>
        </w:rPr>
        <w:t xml:space="preserve"> in the Head kidney and the Pituitary.</w:t>
      </w:r>
    </w:p>
    <w:p w14:paraId="540E3C3B" w14:textId="77777777" w:rsidR="00C9339F" w:rsidRDefault="00C9339F">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41298358" w14:textId="77777777" w:rsidR="00C9339F" w:rsidRDefault="00C9339F" w:rsidP="00C9339F">
      <w:pPr>
        <w:spacing w:line="360" w:lineRule="auto"/>
        <w:jc w:val="both"/>
        <w:rPr>
          <w:rFonts w:ascii="Times New Roman" w:hAnsi="Times New Roman" w:cs="Times New Roman"/>
          <w:b/>
          <w:lang w:val="en-US"/>
        </w:rPr>
      </w:pPr>
      <w:r w:rsidRPr="00F941AB">
        <w:rPr>
          <w:rFonts w:ascii="Times New Roman" w:hAnsi="Times New Roman" w:cs="Times New Roman"/>
          <w:b/>
          <w:lang w:val="en-US"/>
        </w:rPr>
        <w:lastRenderedPageBreak/>
        <w:t xml:space="preserve">Supplementary </w:t>
      </w:r>
      <w:r>
        <w:rPr>
          <w:rFonts w:ascii="Times New Roman" w:hAnsi="Times New Roman" w:cs="Times New Roman"/>
          <w:b/>
          <w:lang w:val="en-US"/>
        </w:rPr>
        <w:t>References</w:t>
      </w:r>
    </w:p>
    <w:p w14:paraId="70A08DA0" w14:textId="77777777" w:rsidR="00C9339F" w:rsidRDefault="00C9339F" w:rsidP="00C9339F">
      <w:pPr>
        <w:spacing w:line="360" w:lineRule="auto"/>
        <w:jc w:val="both"/>
        <w:rPr>
          <w:rFonts w:ascii="Times New Roman" w:hAnsi="Times New Roman" w:cs="Times New Roman"/>
          <w:b/>
          <w:lang w:val="en-US"/>
        </w:rPr>
      </w:pPr>
    </w:p>
    <w:p w14:paraId="641F4EFB" w14:textId="77777777" w:rsidR="00076CCC" w:rsidRPr="00076CCC" w:rsidRDefault="007A0D86" w:rsidP="00076CCC">
      <w:pPr>
        <w:pStyle w:val="Bibliographie"/>
        <w:rPr>
          <w:rFonts w:ascii="Times New Roman" w:hAnsi="Times New Roman" w:cs="Times New Roman"/>
        </w:rPr>
      </w:pPr>
      <w:r>
        <w:rPr>
          <w:b/>
          <w:lang w:val="en-US"/>
        </w:rPr>
        <w:fldChar w:fldCharType="begin"/>
      </w:r>
      <w:r w:rsidR="00076CCC">
        <w:rPr>
          <w:b/>
          <w:lang w:val="en-US"/>
        </w:rPr>
        <w:instrText xml:space="preserve"> ADDIN ZOTERO_BIBL {"uncited":[],"omitted":[],"custom":[]} CSL_BIBLIOGRAPHY </w:instrText>
      </w:r>
      <w:r>
        <w:rPr>
          <w:b/>
          <w:lang w:val="en-US"/>
        </w:rPr>
        <w:fldChar w:fldCharType="separate"/>
      </w:r>
      <w:r w:rsidR="00076CCC" w:rsidRPr="00076CCC">
        <w:rPr>
          <w:rFonts w:ascii="Times New Roman" w:hAnsi="Times New Roman" w:cs="Times New Roman"/>
        </w:rPr>
        <w:t>1.</w:t>
      </w:r>
      <w:r w:rsidR="00076CCC" w:rsidRPr="00076CCC">
        <w:rPr>
          <w:rFonts w:ascii="Times New Roman" w:hAnsi="Times New Roman" w:cs="Times New Roman"/>
        </w:rPr>
        <w:tab/>
        <w:t xml:space="preserve">Kim D, </w:t>
      </w:r>
      <w:proofErr w:type="spellStart"/>
      <w:r w:rsidR="00076CCC" w:rsidRPr="00076CCC">
        <w:rPr>
          <w:rFonts w:ascii="Times New Roman" w:hAnsi="Times New Roman" w:cs="Times New Roman"/>
        </w:rPr>
        <w:t>Pertea</w:t>
      </w:r>
      <w:proofErr w:type="spellEnd"/>
      <w:r w:rsidR="00076CCC" w:rsidRPr="00076CCC">
        <w:rPr>
          <w:rFonts w:ascii="Times New Roman" w:hAnsi="Times New Roman" w:cs="Times New Roman"/>
        </w:rPr>
        <w:t xml:space="preserve"> G, </w:t>
      </w:r>
      <w:proofErr w:type="spellStart"/>
      <w:r w:rsidR="00076CCC" w:rsidRPr="00076CCC">
        <w:rPr>
          <w:rFonts w:ascii="Times New Roman" w:hAnsi="Times New Roman" w:cs="Times New Roman"/>
        </w:rPr>
        <w:t>Trapnell</w:t>
      </w:r>
      <w:proofErr w:type="spellEnd"/>
      <w:r w:rsidR="00076CCC" w:rsidRPr="00076CCC">
        <w:rPr>
          <w:rFonts w:ascii="Times New Roman" w:hAnsi="Times New Roman" w:cs="Times New Roman"/>
        </w:rPr>
        <w:t xml:space="preserve"> C, </w:t>
      </w:r>
      <w:proofErr w:type="spellStart"/>
      <w:r w:rsidR="00076CCC" w:rsidRPr="00076CCC">
        <w:rPr>
          <w:rFonts w:ascii="Times New Roman" w:hAnsi="Times New Roman" w:cs="Times New Roman"/>
        </w:rPr>
        <w:t>Pimentel</w:t>
      </w:r>
      <w:proofErr w:type="spellEnd"/>
      <w:r w:rsidR="00076CCC" w:rsidRPr="00076CCC">
        <w:rPr>
          <w:rFonts w:ascii="Times New Roman" w:hAnsi="Times New Roman" w:cs="Times New Roman"/>
        </w:rPr>
        <w:t xml:space="preserve"> H, Kelley R, </w:t>
      </w:r>
      <w:proofErr w:type="spellStart"/>
      <w:r w:rsidR="00076CCC" w:rsidRPr="00076CCC">
        <w:rPr>
          <w:rFonts w:ascii="Times New Roman" w:hAnsi="Times New Roman" w:cs="Times New Roman"/>
        </w:rPr>
        <w:t>Salzberg</w:t>
      </w:r>
      <w:proofErr w:type="spellEnd"/>
      <w:r w:rsidR="00076CCC" w:rsidRPr="00076CCC">
        <w:rPr>
          <w:rFonts w:ascii="Times New Roman" w:hAnsi="Times New Roman" w:cs="Times New Roman"/>
        </w:rPr>
        <w:t xml:space="preserve"> SL. 2013 TopHat</w:t>
      </w:r>
      <w:proofErr w:type="gramStart"/>
      <w:r w:rsidR="00076CCC" w:rsidRPr="00076CCC">
        <w:rPr>
          <w:rFonts w:ascii="Times New Roman" w:hAnsi="Times New Roman" w:cs="Times New Roman"/>
        </w:rPr>
        <w:t>2:</w:t>
      </w:r>
      <w:proofErr w:type="gramEnd"/>
      <w:r w:rsidR="00076CCC" w:rsidRPr="00076CCC">
        <w:rPr>
          <w:rFonts w:ascii="Times New Roman" w:hAnsi="Times New Roman" w:cs="Times New Roman"/>
        </w:rPr>
        <w:t xml:space="preserve"> </w:t>
      </w:r>
      <w:proofErr w:type="spellStart"/>
      <w:r w:rsidR="00076CCC" w:rsidRPr="00076CCC">
        <w:rPr>
          <w:rFonts w:ascii="Times New Roman" w:hAnsi="Times New Roman" w:cs="Times New Roman"/>
        </w:rPr>
        <w:t>accurate</w:t>
      </w:r>
      <w:proofErr w:type="spellEnd"/>
      <w:r w:rsidR="00076CCC" w:rsidRPr="00076CCC">
        <w:rPr>
          <w:rFonts w:ascii="Times New Roman" w:hAnsi="Times New Roman" w:cs="Times New Roman"/>
        </w:rPr>
        <w:t xml:space="preserve"> </w:t>
      </w:r>
      <w:proofErr w:type="spellStart"/>
      <w:r w:rsidR="00076CCC" w:rsidRPr="00076CCC">
        <w:rPr>
          <w:rFonts w:ascii="Times New Roman" w:hAnsi="Times New Roman" w:cs="Times New Roman"/>
        </w:rPr>
        <w:t>alignment</w:t>
      </w:r>
      <w:proofErr w:type="spellEnd"/>
      <w:r w:rsidR="00076CCC" w:rsidRPr="00076CCC">
        <w:rPr>
          <w:rFonts w:ascii="Times New Roman" w:hAnsi="Times New Roman" w:cs="Times New Roman"/>
        </w:rPr>
        <w:t xml:space="preserve"> of transcriptomes in the </w:t>
      </w:r>
      <w:proofErr w:type="spellStart"/>
      <w:r w:rsidR="00076CCC" w:rsidRPr="00076CCC">
        <w:rPr>
          <w:rFonts w:ascii="Times New Roman" w:hAnsi="Times New Roman" w:cs="Times New Roman"/>
        </w:rPr>
        <w:t>presence</w:t>
      </w:r>
      <w:proofErr w:type="spellEnd"/>
      <w:r w:rsidR="00076CCC" w:rsidRPr="00076CCC">
        <w:rPr>
          <w:rFonts w:ascii="Times New Roman" w:hAnsi="Times New Roman" w:cs="Times New Roman"/>
        </w:rPr>
        <w:t xml:space="preserve"> of insertions, </w:t>
      </w:r>
      <w:proofErr w:type="spellStart"/>
      <w:r w:rsidR="00076CCC" w:rsidRPr="00076CCC">
        <w:rPr>
          <w:rFonts w:ascii="Times New Roman" w:hAnsi="Times New Roman" w:cs="Times New Roman"/>
        </w:rPr>
        <w:t>deletions</w:t>
      </w:r>
      <w:proofErr w:type="spellEnd"/>
      <w:r w:rsidR="00076CCC" w:rsidRPr="00076CCC">
        <w:rPr>
          <w:rFonts w:ascii="Times New Roman" w:hAnsi="Times New Roman" w:cs="Times New Roman"/>
        </w:rPr>
        <w:t xml:space="preserve"> and </w:t>
      </w:r>
      <w:proofErr w:type="spellStart"/>
      <w:r w:rsidR="00076CCC" w:rsidRPr="00076CCC">
        <w:rPr>
          <w:rFonts w:ascii="Times New Roman" w:hAnsi="Times New Roman" w:cs="Times New Roman"/>
        </w:rPr>
        <w:t>gene</w:t>
      </w:r>
      <w:proofErr w:type="spellEnd"/>
      <w:r w:rsidR="00076CCC" w:rsidRPr="00076CCC">
        <w:rPr>
          <w:rFonts w:ascii="Times New Roman" w:hAnsi="Times New Roman" w:cs="Times New Roman"/>
        </w:rPr>
        <w:t xml:space="preserve"> fusions. </w:t>
      </w:r>
      <w:proofErr w:type="spellStart"/>
      <w:r w:rsidR="00076CCC" w:rsidRPr="00076CCC">
        <w:rPr>
          <w:rFonts w:ascii="Times New Roman" w:hAnsi="Times New Roman" w:cs="Times New Roman"/>
          <w:i/>
          <w:iCs/>
        </w:rPr>
        <w:t>Genome</w:t>
      </w:r>
      <w:proofErr w:type="spellEnd"/>
      <w:r w:rsidR="00076CCC" w:rsidRPr="00076CCC">
        <w:rPr>
          <w:rFonts w:ascii="Times New Roman" w:hAnsi="Times New Roman" w:cs="Times New Roman"/>
          <w:i/>
          <w:iCs/>
        </w:rPr>
        <w:t xml:space="preserve"> Biol.</w:t>
      </w:r>
      <w:r w:rsidR="00076CCC" w:rsidRPr="00076CCC">
        <w:rPr>
          <w:rFonts w:ascii="Times New Roman" w:hAnsi="Times New Roman" w:cs="Times New Roman"/>
        </w:rPr>
        <w:t xml:space="preserve"> </w:t>
      </w:r>
      <w:r w:rsidR="00076CCC" w:rsidRPr="00076CCC">
        <w:rPr>
          <w:rFonts w:ascii="Times New Roman" w:hAnsi="Times New Roman" w:cs="Times New Roman"/>
          <w:b/>
          <w:bCs/>
        </w:rPr>
        <w:t>14</w:t>
      </w:r>
      <w:r w:rsidR="00076CCC" w:rsidRPr="00076CCC">
        <w:rPr>
          <w:rFonts w:ascii="Times New Roman" w:hAnsi="Times New Roman" w:cs="Times New Roman"/>
        </w:rPr>
        <w:t>, R36. (</w:t>
      </w:r>
      <w:proofErr w:type="gramStart"/>
      <w:r w:rsidR="00076CCC" w:rsidRPr="00076CCC">
        <w:rPr>
          <w:rFonts w:ascii="Times New Roman" w:hAnsi="Times New Roman" w:cs="Times New Roman"/>
        </w:rPr>
        <w:t>doi:</w:t>
      </w:r>
      <w:proofErr w:type="gramEnd"/>
      <w:r w:rsidR="00076CCC" w:rsidRPr="00076CCC">
        <w:rPr>
          <w:rFonts w:ascii="Times New Roman" w:hAnsi="Times New Roman" w:cs="Times New Roman"/>
        </w:rPr>
        <w:t>10.1186/gb-2013-14-4-r36)</w:t>
      </w:r>
    </w:p>
    <w:p w14:paraId="2025D172"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2.</w:t>
      </w:r>
      <w:r w:rsidRPr="00076CCC">
        <w:rPr>
          <w:rFonts w:ascii="Times New Roman" w:hAnsi="Times New Roman" w:cs="Times New Roman"/>
        </w:rPr>
        <w:tab/>
      </w:r>
      <w:proofErr w:type="spellStart"/>
      <w:r w:rsidRPr="00076CCC">
        <w:rPr>
          <w:rFonts w:ascii="Times New Roman" w:hAnsi="Times New Roman" w:cs="Times New Roman"/>
        </w:rPr>
        <w:t>Langmead</w:t>
      </w:r>
      <w:proofErr w:type="spellEnd"/>
      <w:r w:rsidRPr="00076CCC">
        <w:rPr>
          <w:rFonts w:ascii="Times New Roman" w:hAnsi="Times New Roman" w:cs="Times New Roman"/>
        </w:rPr>
        <w:t xml:space="preserve"> B, </w:t>
      </w:r>
      <w:proofErr w:type="spellStart"/>
      <w:r w:rsidRPr="00076CCC">
        <w:rPr>
          <w:rFonts w:ascii="Times New Roman" w:hAnsi="Times New Roman" w:cs="Times New Roman"/>
        </w:rPr>
        <w:t>Salzberg</w:t>
      </w:r>
      <w:proofErr w:type="spellEnd"/>
      <w:r w:rsidRPr="00076CCC">
        <w:rPr>
          <w:rFonts w:ascii="Times New Roman" w:hAnsi="Times New Roman" w:cs="Times New Roman"/>
        </w:rPr>
        <w:t xml:space="preserve"> SL. 2012 Fast </w:t>
      </w:r>
      <w:proofErr w:type="spellStart"/>
      <w:r w:rsidRPr="00076CCC">
        <w:rPr>
          <w:rFonts w:ascii="Times New Roman" w:hAnsi="Times New Roman" w:cs="Times New Roman"/>
        </w:rPr>
        <w:t>gapped-read</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alignment</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with</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Bowtie</w:t>
      </w:r>
      <w:proofErr w:type="spellEnd"/>
      <w:r w:rsidRPr="00076CCC">
        <w:rPr>
          <w:rFonts w:ascii="Times New Roman" w:hAnsi="Times New Roman" w:cs="Times New Roman"/>
        </w:rPr>
        <w:t xml:space="preserve"> 2. </w:t>
      </w:r>
      <w:r w:rsidRPr="00076CCC">
        <w:rPr>
          <w:rFonts w:ascii="Times New Roman" w:hAnsi="Times New Roman" w:cs="Times New Roman"/>
          <w:i/>
          <w:iCs/>
        </w:rPr>
        <w:t>Nat. Methods</w:t>
      </w:r>
      <w:r w:rsidRPr="00076CCC">
        <w:rPr>
          <w:rFonts w:ascii="Times New Roman" w:hAnsi="Times New Roman" w:cs="Times New Roman"/>
        </w:rPr>
        <w:t xml:space="preserve"> </w:t>
      </w:r>
      <w:r w:rsidRPr="00076CCC">
        <w:rPr>
          <w:rFonts w:ascii="Times New Roman" w:hAnsi="Times New Roman" w:cs="Times New Roman"/>
          <w:b/>
          <w:bCs/>
        </w:rPr>
        <w:t>9</w:t>
      </w:r>
      <w:r w:rsidRPr="00076CCC">
        <w:rPr>
          <w:rFonts w:ascii="Times New Roman" w:hAnsi="Times New Roman" w:cs="Times New Roman"/>
        </w:rPr>
        <w:t>, 357–359. (</w:t>
      </w:r>
      <w:proofErr w:type="gramStart"/>
      <w:r w:rsidRPr="00076CCC">
        <w:rPr>
          <w:rFonts w:ascii="Times New Roman" w:hAnsi="Times New Roman" w:cs="Times New Roman"/>
        </w:rPr>
        <w:t>doi:</w:t>
      </w:r>
      <w:proofErr w:type="gramEnd"/>
      <w:r w:rsidRPr="00076CCC">
        <w:rPr>
          <w:rFonts w:ascii="Times New Roman" w:hAnsi="Times New Roman" w:cs="Times New Roman"/>
        </w:rPr>
        <w:t>10.1038/nmeth.1923)</w:t>
      </w:r>
    </w:p>
    <w:p w14:paraId="65E0C938"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3.</w:t>
      </w:r>
      <w:r w:rsidRPr="00076CCC">
        <w:rPr>
          <w:rFonts w:ascii="Times New Roman" w:hAnsi="Times New Roman" w:cs="Times New Roman"/>
        </w:rPr>
        <w:tab/>
        <w:t xml:space="preserve">Tine M </w:t>
      </w:r>
      <w:r w:rsidRPr="00076CCC">
        <w:rPr>
          <w:rFonts w:ascii="Times New Roman" w:hAnsi="Times New Roman" w:cs="Times New Roman"/>
          <w:i/>
          <w:iCs/>
        </w:rPr>
        <w:t>et al.</w:t>
      </w:r>
      <w:r w:rsidRPr="00076CCC">
        <w:rPr>
          <w:rFonts w:ascii="Times New Roman" w:hAnsi="Times New Roman" w:cs="Times New Roman"/>
        </w:rPr>
        <w:t xml:space="preserve"> 2014 </w:t>
      </w:r>
      <w:proofErr w:type="spellStart"/>
      <w:r w:rsidRPr="00076CCC">
        <w:rPr>
          <w:rFonts w:ascii="Times New Roman" w:hAnsi="Times New Roman" w:cs="Times New Roman"/>
        </w:rPr>
        <w:t>European</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sea</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bass</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genome</w:t>
      </w:r>
      <w:proofErr w:type="spellEnd"/>
      <w:r w:rsidRPr="00076CCC">
        <w:rPr>
          <w:rFonts w:ascii="Times New Roman" w:hAnsi="Times New Roman" w:cs="Times New Roman"/>
        </w:rPr>
        <w:t xml:space="preserve"> and </w:t>
      </w:r>
      <w:proofErr w:type="spellStart"/>
      <w:r w:rsidRPr="00076CCC">
        <w:rPr>
          <w:rFonts w:ascii="Times New Roman" w:hAnsi="Times New Roman" w:cs="Times New Roman"/>
        </w:rPr>
        <w:t>its</w:t>
      </w:r>
      <w:proofErr w:type="spellEnd"/>
      <w:r w:rsidRPr="00076CCC">
        <w:rPr>
          <w:rFonts w:ascii="Times New Roman" w:hAnsi="Times New Roman" w:cs="Times New Roman"/>
        </w:rPr>
        <w:t xml:space="preserve"> variation </w:t>
      </w:r>
      <w:proofErr w:type="spellStart"/>
      <w:r w:rsidRPr="00076CCC">
        <w:rPr>
          <w:rFonts w:ascii="Times New Roman" w:hAnsi="Times New Roman" w:cs="Times New Roman"/>
        </w:rPr>
        <w:t>provide</w:t>
      </w:r>
      <w:proofErr w:type="spellEnd"/>
      <w:r w:rsidRPr="00076CCC">
        <w:rPr>
          <w:rFonts w:ascii="Times New Roman" w:hAnsi="Times New Roman" w:cs="Times New Roman"/>
        </w:rPr>
        <w:t xml:space="preserve"> insights </w:t>
      </w:r>
      <w:proofErr w:type="spellStart"/>
      <w:r w:rsidRPr="00076CCC">
        <w:rPr>
          <w:rFonts w:ascii="Times New Roman" w:hAnsi="Times New Roman" w:cs="Times New Roman"/>
        </w:rPr>
        <w:t>into</w:t>
      </w:r>
      <w:proofErr w:type="spellEnd"/>
      <w:r w:rsidRPr="00076CCC">
        <w:rPr>
          <w:rFonts w:ascii="Times New Roman" w:hAnsi="Times New Roman" w:cs="Times New Roman"/>
        </w:rPr>
        <w:t xml:space="preserve"> adaptation to </w:t>
      </w:r>
      <w:proofErr w:type="spellStart"/>
      <w:r w:rsidRPr="00076CCC">
        <w:rPr>
          <w:rFonts w:ascii="Times New Roman" w:hAnsi="Times New Roman" w:cs="Times New Roman"/>
        </w:rPr>
        <w:t>euryhalinity</w:t>
      </w:r>
      <w:proofErr w:type="spellEnd"/>
      <w:r w:rsidRPr="00076CCC">
        <w:rPr>
          <w:rFonts w:ascii="Times New Roman" w:hAnsi="Times New Roman" w:cs="Times New Roman"/>
        </w:rPr>
        <w:t xml:space="preserve"> and </w:t>
      </w:r>
      <w:proofErr w:type="spellStart"/>
      <w:r w:rsidRPr="00076CCC">
        <w:rPr>
          <w:rFonts w:ascii="Times New Roman" w:hAnsi="Times New Roman" w:cs="Times New Roman"/>
        </w:rPr>
        <w:t>speciation</w:t>
      </w:r>
      <w:proofErr w:type="spellEnd"/>
      <w:r w:rsidRPr="00076CCC">
        <w:rPr>
          <w:rFonts w:ascii="Times New Roman" w:hAnsi="Times New Roman" w:cs="Times New Roman"/>
        </w:rPr>
        <w:t xml:space="preserve">. </w:t>
      </w:r>
      <w:r w:rsidRPr="00076CCC">
        <w:rPr>
          <w:rFonts w:ascii="Times New Roman" w:hAnsi="Times New Roman" w:cs="Times New Roman"/>
          <w:i/>
          <w:iCs/>
        </w:rPr>
        <w:t>Nat. Commun.</w:t>
      </w:r>
      <w:r w:rsidRPr="00076CCC">
        <w:rPr>
          <w:rFonts w:ascii="Times New Roman" w:hAnsi="Times New Roman" w:cs="Times New Roman"/>
        </w:rPr>
        <w:t xml:space="preserve"> </w:t>
      </w:r>
      <w:r w:rsidRPr="00076CCC">
        <w:rPr>
          <w:rFonts w:ascii="Times New Roman" w:hAnsi="Times New Roman" w:cs="Times New Roman"/>
          <w:b/>
          <w:bCs/>
        </w:rPr>
        <w:t>5</w:t>
      </w:r>
      <w:r w:rsidRPr="00076CCC">
        <w:rPr>
          <w:rFonts w:ascii="Times New Roman" w:hAnsi="Times New Roman" w:cs="Times New Roman"/>
        </w:rPr>
        <w:t>, 1–10. (</w:t>
      </w:r>
      <w:proofErr w:type="gramStart"/>
      <w:r w:rsidRPr="00076CCC">
        <w:rPr>
          <w:rFonts w:ascii="Times New Roman" w:hAnsi="Times New Roman" w:cs="Times New Roman"/>
        </w:rPr>
        <w:t>doi:</w:t>
      </w:r>
      <w:proofErr w:type="gramEnd"/>
      <w:r w:rsidRPr="00076CCC">
        <w:rPr>
          <w:rFonts w:ascii="Times New Roman" w:hAnsi="Times New Roman" w:cs="Times New Roman"/>
        </w:rPr>
        <w:t>10.1038/ncomms6770)</w:t>
      </w:r>
    </w:p>
    <w:p w14:paraId="7B945C21"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4.</w:t>
      </w:r>
      <w:r w:rsidRPr="00076CCC">
        <w:rPr>
          <w:rFonts w:ascii="Times New Roman" w:hAnsi="Times New Roman" w:cs="Times New Roman"/>
        </w:rPr>
        <w:tab/>
        <w:t xml:space="preserve">Liao Y, Smyth GK, Shi W. 2014 </w:t>
      </w:r>
      <w:proofErr w:type="spellStart"/>
      <w:proofErr w:type="gramStart"/>
      <w:r w:rsidRPr="00076CCC">
        <w:rPr>
          <w:rFonts w:ascii="Times New Roman" w:hAnsi="Times New Roman" w:cs="Times New Roman"/>
        </w:rPr>
        <w:t>featureCounts</w:t>
      </w:r>
      <w:proofErr w:type="spellEnd"/>
      <w:r w:rsidRPr="00076CCC">
        <w:rPr>
          <w:rFonts w:ascii="Times New Roman" w:hAnsi="Times New Roman" w:cs="Times New Roman"/>
        </w:rPr>
        <w:t>:</w:t>
      </w:r>
      <w:proofErr w:type="gramEnd"/>
      <w:r w:rsidRPr="00076CCC">
        <w:rPr>
          <w:rFonts w:ascii="Times New Roman" w:hAnsi="Times New Roman" w:cs="Times New Roman"/>
        </w:rPr>
        <w:t xml:space="preserve"> an efficient </w:t>
      </w:r>
      <w:proofErr w:type="spellStart"/>
      <w:r w:rsidRPr="00076CCC">
        <w:rPr>
          <w:rFonts w:ascii="Times New Roman" w:hAnsi="Times New Roman" w:cs="Times New Roman"/>
        </w:rPr>
        <w:t>general</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purpose</w:t>
      </w:r>
      <w:proofErr w:type="spellEnd"/>
      <w:r w:rsidRPr="00076CCC">
        <w:rPr>
          <w:rFonts w:ascii="Times New Roman" w:hAnsi="Times New Roman" w:cs="Times New Roman"/>
        </w:rPr>
        <w:t xml:space="preserve"> program for </w:t>
      </w:r>
      <w:proofErr w:type="spellStart"/>
      <w:r w:rsidRPr="00076CCC">
        <w:rPr>
          <w:rFonts w:ascii="Times New Roman" w:hAnsi="Times New Roman" w:cs="Times New Roman"/>
        </w:rPr>
        <w:t>assigning</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sequence</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reads</w:t>
      </w:r>
      <w:proofErr w:type="spellEnd"/>
      <w:r w:rsidRPr="00076CCC">
        <w:rPr>
          <w:rFonts w:ascii="Times New Roman" w:hAnsi="Times New Roman" w:cs="Times New Roman"/>
        </w:rPr>
        <w:t xml:space="preserve"> to </w:t>
      </w:r>
      <w:proofErr w:type="spellStart"/>
      <w:r w:rsidRPr="00076CCC">
        <w:rPr>
          <w:rFonts w:ascii="Times New Roman" w:hAnsi="Times New Roman" w:cs="Times New Roman"/>
        </w:rPr>
        <w:t>genomic</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features</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i/>
          <w:iCs/>
        </w:rPr>
        <w:t>Bioinformatics</w:t>
      </w:r>
      <w:proofErr w:type="spellEnd"/>
      <w:r w:rsidRPr="00076CCC">
        <w:rPr>
          <w:rFonts w:ascii="Times New Roman" w:hAnsi="Times New Roman" w:cs="Times New Roman"/>
        </w:rPr>
        <w:t xml:space="preserve"> </w:t>
      </w:r>
      <w:r w:rsidRPr="00076CCC">
        <w:rPr>
          <w:rFonts w:ascii="Times New Roman" w:hAnsi="Times New Roman" w:cs="Times New Roman"/>
          <w:b/>
          <w:bCs/>
        </w:rPr>
        <w:t>30</w:t>
      </w:r>
      <w:r w:rsidRPr="00076CCC">
        <w:rPr>
          <w:rFonts w:ascii="Times New Roman" w:hAnsi="Times New Roman" w:cs="Times New Roman"/>
        </w:rPr>
        <w:t>, 923–930. (</w:t>
      </w:r>
      <w:proofErr w:type="gramStart"/>
      <w:r w:rsidRPr="00076CCC">
        <w:rPr>
          <w:rFonts w:ascii="Times New Roman" w:hAnsi="Times New Roman" w:cs="Times New Roman"/>
        </w:rPr>
        <w:t>doi:</w:t>
      </w:r>
      <w:proofErr w:type="gramEnd"/>
      <w:r w:rsidRPr="00076CCC">
        <w:rPr>
          <w:rFonts w:ascii="Times New Roman" w:hAnsi="Times New Roman" w:cs="Times New Roman"/>
        </w:rPr>
        <w:t>10.1093/</w:t>
      </w:r>
      <w:proofErr w:type="spellStart"/>
      <w:r w:rsidRPr="00076CCC">
        <w:rPr>
          <w:rFonts w:ascii="Times New Roman" w:hAnsi="Times New Roman" w:cs="Times New Roman"/>
        </w:rPr>
        <w:t>bioinformatics</w:t>
      </w:r>
      <w:proofErr w:type="spellEnd"/>
      <w:r w:rsidRPr="00076CCC">
        <w:rPr>
          <w:rFonts w:ascii="Times New Roman" w:hAnsi="Times New Roman" w:cs="Times New Roman"/>
        </w:rPr>
        <w:t>/btt656)</w:t>
      </w:r>
    </w:p>
    <w:p w14:paraId="059F68AF"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5.</w:t>
      </w:r>
      <w:r w:rsidRPr="00076CCC">
        <w:rPr>
          <w:rFonts w:ascii="Times New Roman" w:hAnsi="Times New Roman" w:cs="Times New Roman"/>
        </w:rPr>
        <w:tab/>
        <w:t xml:space="preserve">Huber W </w:t>
      </w:r>
      <w:r w:rsidRPr="00076CCC">
        <w:rPr>
          <w:rFonts w:ascii="Times New Roman" w:hAnsi="Times New Roman" w:cs="Times New Roman"/>
          <w:i/>
          <w:iCs/>
        </w:rPr>
        <w:t>et al.</w:t>
      </w:r>
      <w:r w:rsidRPr="00076CCC">
        <w:rPr>
          <w:rFonts w:ascii="Times New Roman" w:hAnsi="Times New Roman" w:cs="Times New Roman"/>
        </w:rPr>
        <w:t xml:space="preserve"> 2015 </w:t>
      </w:r>
      <w:proofErr w:type="spellStart"/>
      <w:r w:rsidRPr="00076CCC">
        <w:rPr>
          <w:rFonts w:ascii="Times New Roman" w:hAnsi="Times New Roman" w:cs="Times New Roman"/>
        </w:rPr>
        <w:t>Orchestrating</w:t>
      </w:r>
      <w:proofErr w:type="spellEnd"/>
      <w:r w:rsidRPr="00076CCC">
        <w:rPr>
          <w:rFonts w:ascii="Times New Roman" w:hAnsi="Times New Roman" w:cs="Times New Roman"/>
        </w:rPr>
        <w:t xml:space="preserve"> high-</w:t>
      </w:r>
      <w:proofErr w:type="spellStart"/>
      <w:r w:rsidRPr="00076CCC">
        <w:rPr>
          <w:rFonts w:ascii="Times New Roman" w:hAnsi="Times New Roman" w:cs="Times New Roman"/>
        </w:rPr>
        <w:t>throughput</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genomic</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analysis</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with</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Bioconductor</w:t>
      </w:r>
      <w:proofErr w:type="spellEnd"/>
      <w:r w:rsidRPr="00076CCC">
        <w:rPr>
          <w:rFonts w:ascii="Times New Roman" w:hAnsi="Times New Roman" w:cs="Times New Roman"/>
        </w:rPr>
        <w:t xml:space="preserve">. </w:t>
      </w:r>
      <w:r w:rsidRPr="00076CCC">
        <w:rPr>
          <w:rFonts w:ascii="Times New Roman" w:hAnsi="Times New Roman" w:cs="Times New Roman"/>
          <w:i/>
          <w:iCs/>
        </w:rPr>
        <w:t>Nat. Methods</w:t>
      </w:r>
      <w:r w:rsidRPr="00076CCC">
        <w:rPr>
          <w:rFonts w:ascii="Times New Roman" w:hAnsi="Times New Roman" w:cs="Times New Roman"/>
        </w:rPr>
        <w:t xml:space="preserve"> </w:t>
      </w:r>
      <w:r w:rsidRPr="00076CCC">
        <w:rPr>
          <w:rFonts w:ascii="Times New Roman" w:hAnsi="Times New Roman" w:cs="Times New Roman"/>
          <w:b/>
          <w:bCs/>
        </w:rPr>
        <w:t>12</w:t>
      </w:r>
      <w:r w:rsidRPr="00076CCC">
        <w:rPr>
          <w:rFonts w:ascii="Times New Roman" w:hAnsi="Times New Roman" w:cs="Times New Roman"/>
        </w:rPr>
        <w:t>, 115–121. (</w:t>
      </w:r>
      <w:proofErr w:type="gramStart"/>
      <w:r w:rsidRPr="00076CCC">
        <w:rPr>
          <w:rFonts w:ascii="Times New Roman" w:hAnsi="Times New Roman" w:cs="Times New Roman"/>
        </w:rPr>
        <w:t>doi:</w:t>
      </w:r>
      <w:proofErr w:type="gramEnd"/>
      <w:r w:rsidRPr="00076CCC">
        <w:rPr>
          <w:rFonts w:ascii="Times New Roman" w:hAnsi="Times New Roman" w:cs="Times New Roman"/>
        </w:rPr>
        <w:t>10.1038/nmeth.3252)</w:t>
      </w:r>
    </w:p>
    <w:p w14:paraId="4F7FBD71"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6.</w:t>
      </w:r>
      <w:r w:rsidRPr="00076CCC">
        <w:rPr>
          <w:rFonts w:ascii="Times New Roman" w:hAnsi="Times New Roman" w:cs="Times New Roman"/>
        </w:rPr>
        <w:tab/>
        <w:t xml:space="preserve">Love MI, Huber W, Anders S. 2014 </w:t>
      </w:r>
      <w:proofErr w:type="spellStart"/>
      <w:r w:rsidRPr="00076CCC">
        <w:rPr>
          <w:rFonts w:ascii="Times New Roman" w:hAnsi="Times New Roman" w:cs="Times New Roman"/>
        </w:rPr>
        <w:t>Moderated</w:t>
      </w:r>
      <w:proofErr w:type="spellEnd"/>
      <w:r w:rsidRPr="00076CCC">
        <w:rPr>
          <w:rFonts w:ascii="Times New Roman" w:hAnsi="Times New Roman" w:cs="Times New Roman"/>
        </w:rPr>
        <w:t xml:space="preserve"> estimation of </w:t>
      </w:r>
      <w:proofErr w:type="spellStart"/>
      <w:r w:rsidRPr="00076CCC">
        <w:rPr>
          <w:rFonts w:ascii="Times New Roman" w:hAnsi="Times New Roman" w:cs="Times New Roman"/>
        </w:rPr>
        <w:t>fold</w:t>
      </w:r>
      <w:proofErr w:type="spellEnd"/>
      <w:r w:rsidRPr="00076CCC">
        <w:rPr>
          <w:rFonts w:ascii="Times New Roman" w:hAnsi="Times New Roman" w:cs="Times New Roman"/>
        </w:rPr>
        <w:t xml:space="preserve"> change and dispersion for RNA-</w:t>
      </w:r>
      <w:proofErr w:type="spellStart"/>
      <w:r w:rsidRPr="00076CCC">
        <w:rPr>
          <w:rFonts w:ascii="Times New Roman" w:hAnsi="Times New Roman" w:cs="Times New Roman"/>
        </w:rPr>
        <w:t>seq</w:t>
      </w:r>
      <w:proofErr w:type="spellEnd"/>
      <w:r w:rsidRPr="00076CCC">
        <w:rPr>
          <w:rFonts w:ascii="Times New Roman" w:hAnsi="Times New Roman" w:cs="Times New Roman"/>
        </w:rPr>
        <w:t xml:space="preserve"> data </w:t>
      </w:r>
      <w:proofErr w:type="spellStart"/>
      <w:r w:rsidRPr="00076CCC">
        <w:rPr>
          <w:rFonts w:ascii="Times New Roman" w:hAnsi="Times New Roman" w:cs="Times New Roman"/>
        </w:rPr>
        <w:t>with</w:t>
      </w:r>
      <w:proofErr w:type="spellEnd"/>
      <w:r w:rsidRPr="00076CCC">
        <w:rPr>
          <w:rFonts w:ascii="Times New Roman" w:hAnsi="Times New Roman" w:cs="Times New Roman"/>
        </w:rPr>
        <w:t xml:space="preserve"> DESeq2. </w:t>
      </w:r>
      <w:proofErr w:type="spellStart"/>
      <w:r w:rsidRPr="00076CCC">
        <w:rPr>
          <w:rFonts w:ascii="Times New Roman" w:hAnsi="Times New Roman" w:cs="Times New Roman"/>
          <w:i/>
          <w:iCs/>
        </w:rPr>
        <w:t>Genome</w:t>
      </w:r>
      <w:proofErr w:type="spellEnd"/>
      <w:r w:rsidRPr="00076CCC">
        <w:rPr>
          <w:rFonts w:ascii="Times New Roman" w:hAnsi="Times New Roman" w:cs="Times New Roman"/>
          <w:i/>
          <w:iCs/>
        </w:rPr>
        <w:t xml:space="preserve"> Biol.</w:t>
      </w:r>
      <w:r w:rsidRPr="00076CCC">
        <w:rPr>
          <w:rFonts w:ascii="Times New Roman" w:hAnsi="Times New Roman" w:cs="Times New Roman"/>
        </w:rPr>
        <w:t xml:space="preserve"> </w:t>
      </w:r>
      <w:r w:rsidRPr="00076CCC">
        <w:rPr>
          <w:rFonts w:ascii="Times New Roman" w:hAnsi="Times New Roman" w:cs="Times New Roman"/>
          <w:b/>
          <w:bCs/>
        </w:rPr>
        <w:t>15</w:t>
      </w:r>
      <w:r w:rsidRPr="00076CCC">
        <w:rPr>
          <w:rFonts w:ascii="Times New Roman" w:hAnsi="Times New Roman" w:cs="Times New Roman"/>
        </w:rPr>
        <w:t>, 550. (</w:t>
      </w:r>
      <w:proofErr w:type="gramStart"/>
      <w:r w:rsidRPr="00076CCC">
        <w:rPr>
          <w:rFonts w:ascii="Times New Roman" w:hAnsi="Times New Roman" w:cs="Times New Roman"/>
        </w:rPr>
        <w:t>doi:</w:t>
      </w:r>
      <w:proofErr w:type="gramEnd"/>
      <w:r w:rsidRPr="00076CCC">
        <w:rPr>
          <w:rFonts w:ascii="Times New Roman" w:hAnsi="Times New Roman" w:cs="Times New Roman"/>
        </w:rPr>
        <w:t>10.1186/s13059-014-0550-8)</w:t>
      </w:r>
    </w:p>
    <w:p w14:paraId="729376E8" w14:textId="77777777" w:rsidR="00076CCC" w:rsidRPr="00076CCC" w:rsidRDefault="00076CCC" w:rsidP="00076CCC">
      <w:pPr>
        <w:pStyle w:val="Bibliographie"/>
        <w:rPr>
          <w:rFonts w:ascii="Times New Roman" w:hAnsi="Times New Roman" w:cs="Times New Roman"/>
        </w:rPr>
      </w:pPr>
      <w:r w:rsidRPr="00076CCC">
        <w:rPr>
          <w:rFonts w:ascii="Times New Roman" w:hAnsi="Times New Roman" w:cs="Times New Roman"/>
        </w:rPr>
        <w:t>7.</w:t>
      </w:r>
      <w:r w:rsidRPr="00076CCC">
        <w:rPr>
          <w:rFonts w:ascii="Times New Roman" w:hAnsi="Times New Roman" w:cs="Times New Roman"/>
        </w:rPr>
        <w:tab/>
      </w:r>
      <w:proofErr w:type="spellStart"/>
      <w:r w:rsidRPr="00076CCC">
        <w:rPr>
          <w:rFonts w:ascii="Times New Roman" w:hAnsi="Times New Roman" w:cs="Times New Roman"/>
        </w:rPr>
        <w:t>Benjamini</w:t>
      </w:r>
      <w:proofErr w:type="spellEnd"/>
      <w:r w:rsidRPr="00076CCC">
        <w:rPr>
          <w:rFonts w:ascii="Times New Roman" w:hAnsi="Times New Roman" w:cs="Times New Roman"/>
        </w:rPr>
        <w:t xml:space="preserve"> Y, </w:t>
      </w:r>
      <w:proofErr w:type="spellStart"/>
      <w:r w:rsidRPr="00076CCC">
        <w:rPr>
          <w:rFonts w:ascii="Times New Roman" w:hAnsi="Times New Roman" w:cs="Times New Roman"/>
        </w:rPr>
        <w:t>Hochberg</w:t>
      </w:r>
      <w:proofErr w:type="spellEnd"/>
      <w:r w:rsidRPr="00076CCC">
        <w:rPr>
          <w:rFonts w:ascii="Times New Roman" w:hAnsi="Times New Roman" w:cs="Times New Roman"/>
        </w:rPr>
        <w:t xml:space="preserve"> Y. 1995 </w:t>
      </w:r>
      <w:proofErr w:type="spellStart"/>
      <w:r w:rsidRPr="00076CCC">
        <w:rPr>
          <w:rFonts w:ascii="Times New Roman" w:hAnsi="Times New Roman" w:cs="Times New Roman"/>
        </w:rPr>
        <w:t>Controlling</w:t>
      </w:r>
      <w:proofErr w:type="spellEnd"/>
      <w:r w:rsidRPr="00076CCC">
        <w:rPr>
          <w:rFonts w:ascii="Times New Roman" w:hAnsi="Times New Roman" w:cs="Times New Roman"/>
        </w:rPr>
        <w:t xml:space="preserve"> the False Discovery </w:t>
      </w:r>
      <w:proofErr w:type="gramStart"/>
      <w:r w:rsidRPr="00076CCC">
        <w:rPr>
          <w:rFonts w:ascii="Times New Roman" w:hAnsi="Times New Roman" w:cs="Times New Roman"/>
        </w:rPr>
        <w:t>Rate:</w:t>
      </w:r>
      <w:proofErr w:type="gramEnd"/>
      <w:r w:rsidRPr="00076CCC">
        <w:rPr>
          <w:rFonts w:ascii="Times New Roman" w:hAnsi="Times New Roman" w:cs="Times New Roman"/>
        </w:rPr>
        <w:t xml:space="preserve"> A </w:t>
      </w:r>
      <w:proofErr w:type="spellStart"/>
      <w:r w:rsidRPr="00076CCC">
        <w:rPr>
          <w:rFonts w:ascii="Times New Roman" w:hAnsi="Times New Roman" w:cs="Times New Roman"/>
        </w:rPr>
        <w:t>Practical</w:t>
      </w:r>
      <w:proofErr w:type="spellEnd"/>
      <w:r w:rsidRPr="00076CCC">
        <w:rPr>
          <w:rFonts w:ascii="Times New Roman" w:hAnsi="Times New Roman" w:cs="Times New Roman"/>
        </w:rPr>
        <w:t xml:space="preserve"> and </w:t>
      </w:r>
      <w:proofErr w:type="spellStart"/>
      <w:r w:rsidRPr="00076CCC">
        <w:rPr>
          <w:rFonts w:ascii="Times New Roman" w:hAnsi="Times New Roman" w:cs="Times New Roman"/>
        </w:rPr>
        <w:t>Powerful</w:t>
      </w:r>
      <w:proofErr w:type="spellEnd"/>
      <w:r w:rsidRPr="00076CCC">
        <w:rPr>
          <w:rFonts w:ascii="Times New Roman" w:hAnsi="Times New Roman" w:cs="Times New Roman"/>
        </w:rPr>
        <w:t xml:space="preserve"> </w:t>
      </w:r>
      <w:proofErr w:type="spellStart"/>
      <w:r w:rsidRPr="00076CCC">
        <w:rPr>
          <w:rFonts w:ascii="Times New Roman" w:hAnsi="Times New Roman" w:cs="Times New Roman"/>
        </w:rPr>
        <w:t>Approach</w:t>
      </w:r>
      <w:proofErr w:type="spellEnd"/>
      <w:r w:rsidRPr="00076CCC">
        <w:rPr>
          <w:rFonts w:ascii="Times New Roman" w:hAnsi="Times New Roman" w:cs="Times New Roman"/>
        </w:rPr>
        <w:t xml:space="preserve"> to Multiple </w:t>
      </w:r>
      <w:proofErr w:type="spellStart"/>
      <w:r w:rsidRPr="00076CCC">
        <w:rPr>
          <w:rFonts w:ascii="Times New Roman" w:hAnsi="Times New Roman" w:cs="Times New Roman"/>
        </w:rPr>
        <w:t>Testing</w:t>
      </w:r>
      <w:proofErr w:type="spellEnd"/>
      <w:r w:rsidRPr="00076CCC">
        <w:rPr>
          <w:rFonts w:ascii="Times New Roman" w:hAnsi="Times New Roman" w:cs="Times New Roman"/>
        </w:rPr>
        <w:t xml:space="preserve">. </w:t>
      </w:r>
      <w:r w:rsidRPr="00076CCC">
        <w:rPr>
          <w:rFonts w:ascii="Times New Roman" w:hAnsi="Times New Roman" w:cs="Times New Roman"/>
          <w:i/>
          <w:iCs/>
        </w:rPr>
        <w:t xml:space="preserve">J. R. Stat. Soc. </w:t>
      </w:r>
      <w:proofErr w:type="spellStart"/>
      <w:r w:rsidRPr="00076CCC">
        <w:rPr>
          <w:rFonts w:ascii="Times New Roman" w:hAnsi="Times New Roman" w:cs="Times New Roman"/>
          <w:i/>
          <w:iCs/>
        </w:rPr>
        <w:t>Ser</w:t>
      </w:r>
      <w:proofErr w:type="spellEnd"/>
      <w:r w:rsidRPr="00076CCC">
        <w:rPr>
          <w:rFonts w:ascii="Times New Roman" w:hAnsi="Times New Roman" w:cs="Times New Roman"/>
          <w:i/>
          <w:iCs/>
        </w:rPr>
        <w:t xml:space="preserve">. B </w:t>
      </w:r>
      <w:proofErr w:type="spellStart"/>
      <w:r w:rsidRPr="00076CCC">
        <w:rPr>
          <w:rFonts w:ascii="Times New Roman" w:hAnsi="Times New Roman" w:cs="Times New Roman"/>
          <w:i/>
          <w:iCs/>
        </w:rPr>
        <w:t>Methodol</w:t>
      </w:r>
      <w:proofErr w:type="spellEnd"/>
      <w:r w:rsidRPr="00076CCC">
        <w:rPr>
          <w:rFonts w:ascii="Times New Roman" w:hAnsi="Times New Roman" w:cs="Times New Roman"/>
          <w:i/>
          <w:iCs/>
        </w:rPr>
        <w:t>.</w:t>
      </w:r>
      <w:r w:rsidRPr="00076CCC">
        <w:rPr>
          <w:rFonts w:ascii="Times New Roman" w:hAnsi="Times New Roman" w:cs="Times New Roman"/>
        </w:rPr>
        <w:t xml:space="preserve"> </w:t>
      </w:r>
      <w:r w:rsidRPr="00076CCC">
        <w:rPr>
          <w:rFonts w:ascii="Times New Roman" w:hAnsi="Times New Roman" w:cs="Times New Roman"/>
          <w:b/>
          <w:bCs/>
        </w:rPr>
        <w:t>57</w:t>
      </w:r>
      <w:r w:rsidRPr="00076CCC">
        <w:rPr>
          <w:rFonts w:ascii="Times New Roman" w:hAnsi="Times New Roman" w:cs="Times New Roman"/>
        </w:rPr>
        <w:t>, 289–300. (</w:t>
      </w:r>
      <w:proofErr w:type="gramStart"/>
      <w:r w:rsidRPr="00076CCC">
        <w:rPr>
          <w:rFonts w:ascii="Times New Roman" w:hAnsi="Times New Roman" w:cs="Times New Roman"/>
        </w:rPr>
        <w:t>doi:</w:t>
      </w:r>
      <w:proofErr w:type="gramEnd"/>
      <w:r w:rsidRPr="00076CCC">
        <w:rPr>
          <w:rFonts w:ascii="Times New Roman" w:hAnsi="Times New Roman" w:cs="Times New Roman"/>
        </w:rPr>
        <w:t>10.1111/j.2517-6161.1995.tb02031.x)</w:t>
      </w:r>
    </w:p>
    <w:p w14:paraId="40D8C9AB" w14:textId="1E45A0D6" w:rsidR="00C9339F" w:rsidRDefault="007A0D86" w:rsidP="00C9339F">
      <w:pPr>
        <w:spacing w:line="360" w:lineRule="auto"/>
        <w:jc w:val="both"/>
        <w:rPr>
          <w:rFonts w:ascii="Times New Roman" w:hAnsi="Times New Roman" w:cs="Times New Roman"/>
          <w:b/>
          <w:lang w:val="en-US"/>
        </w:rPr>
      </w:pPr>
      <w:r>
        <w:rPr>
          <w:rFonts w:ascii="Times New Roman" w:hAnsi="Times New Roman" w:cs="Times New Roman"/>
          <w:b/>
          <w:lang w:val="en-US"/>
        </w:rPr>
        <w:fldChar w:fldCharType="end"/>
      </w:r>
    </w:p>
    <w:p w14:paraId="57BD8627" w14:textId="77777777" w:rsidR="00C9339F" w:rsidRDefault="00C9339F" w:rsidP="002E64A8">
      <w:pPr>
        <w:spacing w:line="360" w:lineRule="auto"/>
        <w:jc w:val="both"/>
        <w:rPr>
          <w:rFonts w:ascii="Times New Roman" w:hAnsi="Times New Roman" w:cs="Times New Roman"/>
          <w:lang w:val="en-US"/>
        </w:rPr>
      </w:pPr>
    </w:p>
    <w:sectPr w:rsidR="00C9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3FCD"/>
    <w:multiLevelType w:val="multilevel"/>
    <w:tmpl w:val="CF767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A8"/>
    <w:rsid w:val="0006170F"/>
    <w:rsid w:val="00062336"/>
    <w:rsid w:val="00076CCC"/>
    <w:rsid w:val="00133E4C"/>
    <w:rsid w:val="00212DD8"/>
    <w:rsid w:val="00285640"/>
    <w:rsid w:val="002E64A8"/>
    <w:rsid w:val="00327A18"/>
    <w:rsid w:val="003721B0"/>
    <w:rsid w:val="003E6146"/>
    <w:rsid w:val="004212EB"/>
    <w:rsid w:val="00482B6D"/>
    <w:rsid w:val="00515820"/>
    <w:rsid w:val="005C1490"/>
    <w:rsid w:val="005D3784"/>
    <w:rsid w:val="00691164"/>
    <w:rsid w:val="007A0D86"/>
    <w:rsid w:val="00825E26"/>
    <w:rsid w:val="008C2054"/>
    <w:rsid w:val="009214CA"/>
    <w:rsid w:val="00B84EDA"/>
    <w:rsid w:val="00BA43AC"/>
    <w:rsid w:val="00C11D8B"/>
    <w:rsid w:val="00C9339F"/>
    <w:rsid w:val="00CB7FF9"/>
    <w:rsid w:val="00CD68C5"/>
    <w:rsid w:val="00CE514D"/>
    <w:rsid w:val="00D4583B"/>
    <w:rsid w:val="00D5443A"/>
    <w:rsid w:val="00E82342"/>
    <w:rsid w:val="00E93872"/>
    <w:rsid w:val="00FA60CD"/>
  </w:rsids>
  <m:mathPr>
    <m:mathFont m:val="Cambria Math"/>
    <m:brkBin m:val="before"/>
    <m:brkBinSub m:val="--"/>
    <m:smallFrac m:val="0"/>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879E"/>
  <w15:docId w15:val="{28779A11-C869-416F-B085-4D0F68B0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4A8"/>
    <w:pPr>
      <w:spacing w:after="0" w:line="240" w:lineRule="auto"/>
    </w:pPr>
    <w:rPr>
      <w:rFonts w:eastAsiaTheme="minorEastAsia"/>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7A0D86"/>
    <w:pPr>
      <w:tabs>
        <w:tab w:val="left" w:pos="264"/>
      </w:tabs>
      <w:spacing w:after="240"/>
      <w:ind w:left="264" w:hanging="264"/>
    </w:pPr>
  </w:style>
  <w:style w:type="paragraph" w:styleId="Textedebulles">
    <w:name w:val="Balloon Text"/>
    <w:basedOn w:val="Normal"/>
    <w:link w:val="TextedebullesCar"/>
    <w:uiPriority w:val="99"/>
    <w:semiHidden/>
    <w:unhideWhenUsed/>
    <w:rsid w:val="00D458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583B"/>
    <w:rPr>
      <w:rFonts w:ascii="Segoe UI" w:eastAsiaTheme="minorEastAsia" w:hAnsi="Segoe UI" w:cs="Segoe UI"/>
      <w:sz w:val="18"/>
      <w:szCs w:val="18"/>
    </w:rPr>
  </w:style>
  <w:style w:type="character" w:styleId="Marquedecommentaire">
    <w:name w:val="annotation reference"/>
    <w:basedOn w:val="Policepardfaut"/>
    <w:uiPriority w:val="99"/>
    <w:semiHidden/>
    <w:unhideWhenUsed/>
    <w:rsid w:val="00CE514D"/>
    <w:rPr>
      <w:sz w:val="16"/>
      <w:szCs w:val="16"/>
    </w:rPr>
  </w:style>
  <w:style w:type="paragraph" w:styleId="Commentaire">
    <w:name w:val="annotation text"/>
    <w:basedOn w:val="Normal"/>
    <w:link w:val="CommentaireCar"/>
    <w:uiPriority w:val="99"/>
    <w:semiHidden/>
    <w:unhideWhenUsed/>
    <w:rsid w:val="00CE514D"/>
    <w:rPr>
      <w:sz w:val="20"/>
      <w:szCs w:val="20"/>
    </w:rPr>
  </w:style>
  <w:style w:type="character" w:customStyle="1" w:styleId="CommentaireCar">
    <w:name w:val="Commentaire Car"/>
    <w:basedOn w:val="Policepardfaut"/>
    <w:link w:val="Commentaire"/>
    <w:uiPriority w:val="99"/>
    <w:semiHidden/>
    <w:rsid w:val="00CE514D"/>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CE514D"/>
    <w:rPr>
      <w:b/>
      <w:bCs/>
    </w:rPr>
  </w:style>
  <w:style w:type="character" w:customStyle="1" w:styleId="ObjetducommentaireCar">
    <w:name w:val="Objet du commentaire Car"/>
    <w:basedOn w:val="CommentaireCar"/>
    <w:link w:val="Objetducommentaire"/>
    <w:uiPriority w:val="99"/>
    <w:semiHidden/>
    <w:rsid w:val="00CE514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4377</Words>
  <Characters>24074</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 Sadoul</dc:creator>
  <cp:lastModifiedBy>Bastien Sadoul</cp:lastModifiedBy>
  <cp:revision>7</cp:revision>
  <cp:lastPrinted>2022-01-25T16:47:00Z</cp:lastPrinted>
  <dcterms:created xsi:type="dcterms:W3CDTF">2022-02-28T15:39:00Z</dcterms:created>
  <dcterms:modified xsi:type="dcterms:W3CDTF">2022-03-01T13:30:00Z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id="bj0PWg8n"/&gt;&lt;style id="http://www.zotero.org/styles/proceedings-of-the-royal-society-b"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