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10" w:rsidRDefault="00E16FD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Information of the ms titled:</w:t>
      </w:r>
    </w:p>
    <w:p w:rsidR="005E4E10" w:rsidRDefault="00E16F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“Biogeography pattern of the marine angiosperm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Cymodocea nodosa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eastern Mediterranean Sea related to the quaternary climatic changes”</w:t>
      </w:r>
    </w:p>
    <w:p w:rsidR="005E4E10" w:rsidRDefault="005E4E1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E10" w:rsidRDefault="00E16FDD" w:rsidP="00E16FDD">
      <w:pPr>
        <w:spacing w:line="240" w:lineRule="auto"/>
        <w:jc w:val="both"/>
        <w:rPr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panel of the 18 microsatellite markers, along with genetic indices across the twelve geographical populations of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Cymodocea nodosa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meadows in the study area. No: number of alleles; A: allelic richness. 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>LEM: Lemnos, IME: Imeros, FAN: Fanari, VRA: Vrasidas, NKA: Nea Karvali; VIA: Viamyl; AGT: Ag. Triada; CHA: Chalkidiki; EPA: eastern Pagasitikos; WPA: western Pagasitikos; MAG: Maliakos Gulf; CYP: Cyprus</w:t>
      </w: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W w:w="9913" w:type="dxa"/>
        <w:tblInd w:w="-1201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83"/>
        <w:gridCol w:w="1708"/>
        <w:gridCol w:w="722"/>
        <w:gridCol w:w="585"/>
        <w:gridCol w:w="570"/>
        <w:gridCol w:w="581"/>
        <w:gridCol w:w="585"/>
        <w:gridCol w:w="586"/>
        <w:gridCol w:w="587"/>
        <w:gridCol w:w="585"/>
        <w:gridCol w:w="570"/>
        <w:gridCol w:w="586"/>
        <w:gridCol w:w="586"/>
        <w:gridCol w:w="579"/>
      </w:tblGrid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Locus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Genetic Indices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LEM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IME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FAN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VRA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NKA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VIA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AGT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CHA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EPA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EPA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MAG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CYP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Cn2-14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0.802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0.702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0.743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0.349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0.895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0.591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0.615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0.854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0.727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0.531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0.839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0.222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0.938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0.546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4.426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3.863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4.381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2.410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6.534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3.171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3.420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4.687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2.818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5.877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3.644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-0.131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-0.121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0.630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0.695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-0.250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-0.099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0.259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Cn2-16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0.795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0.559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0.610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0.656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0.516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0.444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0.351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0.844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0.818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2.868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3.558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4.631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4.947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5.215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3.319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3.533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3.811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4.202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4.210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2.852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0.354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-0.202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0.209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0.471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-0.028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-0.116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-0.108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-0.364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Cn2-18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0.846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0.478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0.800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0.697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0.710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0.111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0.460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0.844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0.273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4.407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4.607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5.636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5.316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3.382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2.710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3.178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3.870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4.460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4.549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3.722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-0.125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0.163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-0.089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0.773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0.439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-0.056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0.620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Cn2-45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0.809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0.850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0.848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0.887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0.778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0.969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0.818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3.418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4.916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5.658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5.174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5.429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5.585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4.818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5.019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5.693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6.263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5.176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0.152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-0.025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-0.142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0.085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-0.429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-0.170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-0.093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0.032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Cn2-86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0.726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0.572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0.689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0.602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0.723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0.172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0.235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0.750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0.455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3.931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3.953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3.711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3.641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3.094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3.326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3.636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3.063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3.642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0.736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0.709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0.596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0.823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-0.538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-0.173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-0.033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-0.251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0.383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Cn4-27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0.882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0.879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0.822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0.899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0.613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0.778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0.936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0.636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6.455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6.604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6.490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6.851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6.343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6.271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6.224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7.440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6.411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6.696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4.218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-0.007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0.309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-0.125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0.119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-0.250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-0.047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-0.042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Cn4-29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0.645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0.875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0.457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0.802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0.092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0.312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0.613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0.667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0.414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0.364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1.934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3.275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5.951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5.228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4.792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1.992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5.040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2.964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3.281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1.446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1.932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-0.091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0.519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0.303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0.282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-0.478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-0.080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0.803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-0.176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Cn4-35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0.782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0.767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0.847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0.610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0.722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0.781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0.818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4.846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4.830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6.377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5.050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2.951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4.611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4.830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5.438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5.283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5.426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3.319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-0.180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0.142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0.307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-0.176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0.060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-0.429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0.337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0.078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-0.364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Cn4-5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0.689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0.713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0.827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0.742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0.833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0.969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0.818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2.714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3.073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3.522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3.718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4.183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4.091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3.494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4.117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4.353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5.117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5.385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0.514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-0.078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-0.175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-0.238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-0.667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-0.015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-0.227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0.011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Cn4-6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0.571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0.658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0.341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0.600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0.550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0.452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0.389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0.719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0.455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3.637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2.713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3.999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3.066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1.986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2.382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3.274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3.155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2.989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2.827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0.738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-0.144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0.391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0.667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-0.202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0.180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Cy1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0.806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0.470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0.255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0.749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0.742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0.333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0.556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0.188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0.636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3.702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5.101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4.790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5.071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5.256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3.199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4.298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4.140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3.998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2.060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4.361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0.032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-0.029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-0.030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0.297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0.102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-0.667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0.266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0.157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Cy16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0.509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0.332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0.354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0.710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0.625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0.484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0.406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0.389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0.546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3.893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3.543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3.490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2.160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2.869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3.979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2.530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3.634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0.149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-0.181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-0.178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0.626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-0.667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-0.160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0.119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0.241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Cy17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0.772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0.732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0.822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0.762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0.611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0.614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0.656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0.286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2.988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4.427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4.473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4.364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4.559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3.677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3.718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4.282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3.708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4.021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1.934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0.379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0.437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-0.038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-0.023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-0.166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0.169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-0.108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-0.250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-0.189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0.141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-0.091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Cy3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0.737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0.586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0.312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0.194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0.667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0.344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0.364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1.999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1.898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2.456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1.966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3.740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3.695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1.980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3.163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1.932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-0.333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0.079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0.395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-0.123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0.097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-0.333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0.478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0.417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-0.176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Cy4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0.801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0.882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0.803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0.733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0.892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0.819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0.571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0.625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0.968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0.722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0.844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0.727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3.692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4.992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6.237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5.526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3.382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5.009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5.155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6.438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5.034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5.243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3.361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-0.474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0.222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-0.100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-0.068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-0.227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0.103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-0.429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0.330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0.290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-0.031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-0.290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Po-5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0.862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0.781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0.757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0.675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0.871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0.500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0.310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0.818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3.868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6.079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5.642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5.117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4.854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4.870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3.446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4.239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2.971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4.121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3.394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-0.355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0.205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-0.029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0.366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-0.197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-0.333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-0.074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-0.224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RUMR25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0.652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0.689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0.683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0.688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0.581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0.889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0.833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0.973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0.864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0.906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0.818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4.653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4.749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4.612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4.565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2.935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4.445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3.225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4.912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3.369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3.617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0.353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0.259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-0.119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-0.288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-0.320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-0.538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-0.293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-0.134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-0.334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-0.200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RUMR4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0.686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0.541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0.644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0.482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0.572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0.247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0.429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0.516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0.333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0.448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0.250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0.273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1.989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3.753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4.075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3.565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3.621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2.623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2.628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2.517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3.057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1.857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E4E10">
        <w:trPr>
          <w:trHeight w:val="298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-0.200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-0.003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0.284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0.280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0.358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0.391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0.596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-0.667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0.919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0.567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-0.111</w:t>
            </w:r>
          </w:p>
        </w:tc>
      </w:tr>
      <w:tr w:rsidR="005E4E10">
        <w:trPr>
          <w:trHeight w:val="314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EXP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0.569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0.716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0.749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0.703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0.625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0.595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0.662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0.662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0.602</w:t>
            </w:r>
          </w:p>
        </w:tc>
      </w:tr>
      <w:tr w:rsidR="005E4E10">
        <w:trPr>
          <w:trHeight w:val="314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0.507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0.637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0.575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0.532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0.778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0.548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0.672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0.582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overall</w:t>
            </w: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3.271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4.233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4.796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4.395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4.236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3.636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3.946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3.111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4.114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3.920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4.067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3.378</w:t>
            </w:r>
          </w:p>
        </w:tc>
      </w:tr>
      <w:tr w:rsidR="005E4E10">
        <w:trPr>
          <w:trHeight w:val="256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7.06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8.33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5.17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7.06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7.50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6.50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3.83</w:t>
            </w:r>
          </w:p>
        </w:tc>
      </w:tr>
      <w:tr w:rsidR="005E4E10">
        <w:trPr>
          <w:trHeight w:val="314"/>
        </w:trPr>
        <w:tc>
          <w:tcPr>
            <w:tcW w:w="1082" w:type="dxa"/>
            <w:vAlign w:val="bottom"/>
          </w:tcPr>
          <w:p w:rsidR="005E4E10" w:rsidRDefault="005E4E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:rsidR="005E4E10" w:rsidRDefault="00E16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IS</w:t>
            </w:r>
          </w:p>
        </w:tc>
        <w:tc>
          <w:tcPr>
            <w:tcW w:w="722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0.100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0.247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0.164</w:t>
            </w:r>
          </w:p>
        </w:tc>
        <w:tc>
          <w:tcPr>
            <w:tcW w:w="581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0.215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0.146</w:t>
            </w:r>
          </w:p>
        </w:tc>
        <w:tc>
          <w:tcPr>
            <w:tcW w:w="587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0.211</w:t>
            </w:r>
          </w:p>
        </w:tc>
        <w:tc>
          <w:tcPr>
            <w:tcW w:w="585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-0.363</w:t>
            </w:r>
          </w:p>
        </w:tc>
        <w:tc>
          <w:tcPr>
            <w:tcW w:w="570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0.221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0.134</w:t>
            </w:r>
          </w:p>
        </w:tc>
        <w:tc>
          <w:tcPr>
            <w:tcW w:w="586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0.041</w:t>
            </w:r>
          </w:p>
        </w:tc>
        <w:tc>
          <w:tcPr>
            <w:tcW w:w="579" w:type="dxa"/>
            <w:vAlign w:val="bottom"/>
          </w:tcPr>
          <w:p w:rsidR="005E4E10" w:rsidRDefault="00E16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</w:tr>
    </w:tbl>
    <w:p w:rsidR="005E4E10" w:rsidRDefault="005E4E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E16F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S2</w:t>
      </w:r>
      <w:r>
        <w:rPr>
          <w:rFonts w:ascii="Times New Roman" w:hAnsi="Times New Roman" w:cs="Times New Roman"/>
          <w:sz w:val="24"/>
          <w:szCs w:val="24"/>
          <w:lang w:val="en-US"/>
        </w:rPr>
        <w:t>. Direct and logistic regression of the 13 analyzed demographic scenarios. CI: confidence interval</w:t>
      </w:r>
    </w:p>
    <w:tbl>
      <w:tblPr>
        <w:tblW w:w="10632" w:type="dxa"/>
        <w:tblInd w:w="-940" w:type="dxa"/>
        <w:tblCellMar>
          <w:top w:w="13" w:type="dxa"/>
          <w:left w:w="97" w:type="dxa"/>
          <w:right w:w="97" w:type="dxa"/>
        </w:tblCellMar>
        <w:tblLook w:val="04A0" w:firstRow="1" w:lastRow="0" w:firstColumn="1" w:lastColumn="0" w:noHBand="0" w:noVBand="1"/>
      </w:tblPr>
      <w:tblGrid>
        <w:gridCol w:w="946"/>
        <w:gridCol w:w="1129"/>
        <w:gridCol w:w="709"/>
        <w:gridCol w:w="570"/>
        <w:gridCol w:w="705"/>
        <w:gridCol w:w="708"/>
        <w:gridCol w:w="570"/>
        <w:gridCol w:w="565"/>
        <w:gridCol w:w="563"/>
        <w:gridCol w:w="709"/>
        <w:gridCol w:w="716"/>
        <w:gridCol w:w="708"/>
        <w:gridCol w:w="841"/>
        <w:gridCol w:w="576"/>
        <w:gridCol w:w="617"/>
      </w:tblGrid>
      <w:tr w:rsidR="005E4E10">
        <w:trPr>
          <w:trHeight w:val="45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5E4E10">
        <w:trPr>
          <w:trHeight w:val="916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Direct Regression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Regression value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0,018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0,782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0,124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0,014 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0,002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0,008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0,052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</w:tr>
      <w:tr w:rsidR="005E4E10">
        <w:trPr>
          <w:trHeight w:val="897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low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0.420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</w:tr>
      <w:tr w:rsidR="005E4E10">
        <w:trPr>
          <w:trHeight w:val="698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95% CI high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0.135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0.413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0.117 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0.041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0.086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0.246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</w:tr>
      <w:tr w:rsidR="005E4E10">
        <w:trPr>
          <w:trHeight w:hRule="exact" w:val="458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4E10">
        <w:trPr>
          <w:trHeight w:val="916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Logistic Regression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Regression value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0,002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0,863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0,128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0,002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0,004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</w:tr>
      <w:tr w:rsidR="005E4E10">
        <w:trPr>
          <w:trHeight w:val="833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low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0.848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0.113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0.001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</w:tr>
      <w:tr w:rsidR="005E4E10">
        <w:trPr>
          <w:trHeight w:val="679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5E4E10" w:rsidRDefault="005E4E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95% CI high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0.004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0.002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0.879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0.144 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0.002 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0.002 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0.002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0.002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0.004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0.002 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0.006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0.002 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E10" w:rsidRDefault="00E16F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 </w:t>
            </w:r>
          </w:p>
        </w:tc>
      </w:tr>
    </w:tbl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E16FDD" w:rsidP="00E16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S1.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16 Demographic scenarios as implemented in the DYI-ABC software. Pop1: northeastern, Pop2: northern, Pop3: northwestern Pop4: central-western. t are the different tested generation times of divergence. Scenarios 14, 15 and 16 detect the presence of bottleneck events.</w:t>
      </w: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E16F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18150" cy="31032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E10" w:rsidRDefault="00E16F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18150" cy="310324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E10" w:rsidRDefault="005E4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E10" w:rsidRDefault="005E4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E10" w:rsidRDefault="00E16F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-44450</wp:posOffset>
            </wp:positionV>
            <wp:extent cx="2543810" cy="1430655"/>
            <wp:effectExtent l="0" t="0" r="0" b="0"/>
            <wp:wrapTopAndBottom/>
            <wp:docPr id="3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19050</wp:posOffset>
            </wp:positionV>
            <wp:extent cx="2460625" cy="1384300"/>
            <wp:effectExtent l="0" t="0" r="0" b="0"/>
            <wp:wrapTopAndBottom/>
            <wp:docPr id="4" name="Objec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E4E10" w:rsidRDefault="00E16F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S2.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Delta K and Ln against K for Structure run given the reduction of Ln from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2 for all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Cymodocea nodosa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implemented in HARVESTER software.</w:t>
      </w:r>
    </w:p>
    <w:p w:rsidR="005E4E10" w:rsidRDefault="005E4E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E10" w:rsidRDefault="00E16F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096260"/>
            <wp:effectExtent l="0" t="0" r="0" b="0"/>
            <wp:docPr id="5" name="2 - Εικόνα" descr="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- Εικόνα" descr="K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10" w:rsidRDefault="00E16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S3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Estimated population structure plots based on genotypes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Cymodocea nodosa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individuals. Each horizontal line represents a single individual divided into grey scale segments according to each station of membership (K = 2).</w:t>
      </w:r>
    </w:p>
    <w:p w:rsidR="005E4E10" w:rsidRDefault="005E4E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E10" w:rsidRDefault="005E4E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E16F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615180" cy="1821180"/>
            <wp:effectExtent l="0" t="0" r="0" b="0"/>
            <wp:docPr id="6" name="0 - Εικόνα" descr="P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 - Εικόνα" descr="PC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10" w:rsidRDefault="00E16FDD">
      <w:pPr>
        <w:spacing w:line="240" w:lineRule="auto"/>
        <w:rPr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S4</w:t>
      </w:r>
      <w:r>
        <w:rPr>
          <w:rFonts w:ascii="Times New Roman" w:hAnsi="Times New Roman" w:cs="Times New Roman"/>
          <w:sz w:val="24"/>
          <w:szCs w:val="24"/>
          <w:lang w:val="en-US"/>
        </w:rPr>
        <w:t>: PCA plot displaying the fit between the 16scenarios simulated with uniform priors and the observed data. Plot made using DIY-ABC software.</w:t>
      </w: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E1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B</w:t>
      </w:r>
    </w:p>
    <w:p w:rsidR="005E4E10" w:rsidRDefault="00E16FD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797175" cy="166116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806700" cy="16649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10" w:rsidRDefault="00E1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D</w:t>
      </w:r>
    </w:p>
    <w:p w:rsidR="005E4E10" w:rsidRDefault="00E16FDD">
      <w:pPr>
        <w:spacing w:after="0" w:line="240" w:lineRule="auto"/>
        <w:jc w:val="both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861945" cy="1772920"/>
            <wp:effectExtent l="0" t="0" r="0" b="0"/>
            <wp:docPr id="9" name="1 - Εικόνα" descr="model che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 - Εικόνα" descr="model checkin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10" w:rsidRDefault="005E4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E10" w:rsidRDefault="005E4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E10" w:rsidRDefault="005E4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E10" w:rsidRDefault="00E1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S5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Logistic regression plot (A) and Direct regression plot (B) made in DIY-ABC to test which simulated scenarios better fit the observed data. Posterior probability in the y-axis represent the proportion of x datasets closest to the observed data that were simulated under different scenarios. (Top green line corresponds to Scenario 3). Model checking plot (D) displaying the fit of scenario 3 between prior and posterior simulated data. Plots constructed using DIYABC (Cornuet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>., 2008).</w:t>
      </w:r>
    </w:p>
    <w:p w:rsidR="005E4E10" w:rsidRDefault="005E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5E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E16F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621915" cy="1414780"/>
            <wp:effectExtent l="0" t="0" r="0" b="0"/>
            <wp:docPr id="10" name="Picture 0" descr="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0" descr="N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519045" cy="1359535"/>
            <wp:effectExtent l="0" t="0" r="0" b="0"/>
            <wp:docPr id="11" name="Εικόνα3" descr="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3" descr="N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10" w:rsidRDefault="00E16F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585085" cy="1395095"/>
            <wp:effectExtent l="0" t="0" r="0" b="0"/>
            <wp:docPr id="12" name="Picture 2" descr="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N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583815" cy="1394460"/>
            <wp:effectExtent l="0" t="0" r="0" b="0"/>
            <wp:docPr id="13" name="Picture 3" descr="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N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10" w:rsidRDefault="00E16F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611755" cy="1409700"/>
            <wp:effectExtent l="0" t="0" r="0" b="0"/>
            <wp:docPr id="14" name="Εικόνα4" descr="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Εικόνα4" descr="Na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469515" cy="1332865"/>
            <wp:effectExtent l="0" t="0" r="0" b="0"/>
            <wp:docPr id="15" name="Picture 5" descr="t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 descr="t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10" w:rsidRDefault="005E4E1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4E10" w:rsidRDefault="00E16FD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647950" cy="1429385"/>
            <wp:effectExtent l="0" t="0" r="0" b="0"/>
            <wp:docPr id="16" name="Picture 6" descr="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t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noProof/>
          <w:lang w:eastAsia="el-GR"/>
        </w:rPr>
        <w:drawing>
          <wp:inline distT="0" distB="0" distL="0" distR="0">
            <wp:extent cx="2489835" cy="1343660"/>
            <wp:effectExtent l="0" t="0" r="0" b="0"/>
            <wp:docPr id="17" name="Picture 7" descr="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7" descr="t3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E10" w:rsidRDefault="00E16F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S6</w:t>
      </w:r>
      <w:r>
        <w:rPr>
          <w:rFonts w:ascii="Times New Roman" w:hAnsi="Times New Roman" w:cs="Times New Roman"/>
          <w:sz w:val="24"/>
          <w:szCs w:val="24"/>
          <w:lang w:val="en-US"/>
        </w:rPr>
        <w:t>: Posterior (green curve) and prior (red curve) distribution plots of ABC analysis based on 13x10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simulated data sets of historical effective population sizes and time of divergence of the 3rd scenario;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northern Aegean,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north-eastern Aegean,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north-western Aegean,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central-western Aegean,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ancestral population,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time of split within western Aegean Sea (north-western Aegean and central-western Aegean),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t3</w:t>
      </w:r>
      <w:r>
        <w:rPr>
          <w:rFonts w:ascii="Times New Roman" w:hAnsi="Times New Roman" w:cs="Times New Roman"/>
          <w:sz w:val="24"/>
          <w:szCs w:val="24"/>
          <w:lang w:val="en-US"/>
        </w:rPr>
        <w:t>: time of divergence of northern Aegean, north eastern Aegean and north-western Aegean Sea.</w:t>
      </w:r>
    </w:p>
    <w:p w:rsidR="005E4E10" w:rsidRDefault="005E4E10">
      <w:pPr>
        <w:spacing w:line="240" w:lineRule="auto"/>
        <w:rPr>
          <w:lang w:val="en-GB"/>
        </w:rPr>
      </w:pPr>
    </w:p>
    <w:sectPr w:rsidR="005E4E10">
      <w:pgSz w:w="11906" w:h="16838"/>
      <w:pgMar w:top="1440" w:right="141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10"/>
    <w:rsid w:val="005E4E10"/>
    <w:rsid w:val="009B01D8"/>
    <w:rsid w:val="00E1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A8D11-CA1A-4747-9B2C-16AEE6FB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B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HTMLChar">
    <w:name w:val="Προ-διαμορφωμένο HTML Char"/>
    <w:basedOn w:val="a0"/>
    <w:uiPriority w:val="99"/>
    <w:semiHidden/>
    <w:qFormat/>
    <w:rsid w:val="003D2664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3D2664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qFormat/>
    <w:rsid w:val="00C41EE3"/>
    <w:rPr>
      <w:sz w:val="16"/>
      <w:szCs w:val="16"/>
    </w:rPr>
  </w:style>
  <w:style w:type="character" w:customStyle="1" w:styleId="Char1">
    <w:name w:val="Θέμα σχολίου Char1"/>
    <w:basedOn w:val="a0"/>
    <w:link w:val="a5"/>
    <w:uiPriority w:val="99"/>
    <w:semiHidden/>
    <w:qFormat/>
    <w:rsid w:val="00C41EE3"/>
    <w:rPr>
      <w:sz w:val="20"/>
      <w:szCs w:val="20"/>
      <w:lang w:val="en-GB"/>
    </w:rPr>
  </w:style>
  <w:style w:type="character" w:customStyle="1" w:styleId="Char0">
    <w:name w:val="Θέμα σχολίου Char"/>
    <w:basedOn w:val="Char1"/>
    <w:uiPriority w:val="99"/>
    <w:semiHidden/>
    <w:qFormat/>
    <w:rsid w:val="007255C7"/>
    <w:rPr>
      <w:b/>
      <w:bCs/>
      <w:sz w:val="20"/>
      <w:szCs w:val="20"/>
      <w:lang w:val="en-GB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9">
    <w:name w:val="Επικεφαλίδα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aa">
    <w:name w:val="Ευρετήριο"/>
    <w:basedOn w:val="a"/>
    <w:qFormat/>
    <w:pPr>
      <w:suppressLineNumbers/>
    </w:pPr>
    <w:rPr>
      <w:rFonts w:cs="Lohit Devanagari"/>
    </w:rPr>
  </w:style>
  <w:style w:type="paragraph" w:styleId="-HTML">
    <w:name w:val="HTML Preformatted"/>
    <w:basedOn w:val="a"/>
    <w:uiPriority w:val="99"/>
    <w:semiHidden/>
    <w:unhideWhenUsed/>
    <w:qFormat/>
    <w:rsid w:val="003D2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qFormat/>
    <w:rsid w:val="003D26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"/>
    <w:uiPriority w:val="99"/>
    <w:semiHidden/>
    <w:unhideWhenUsed/>
    <w:qFormat/>
    <w:rsid w:val="00C41EE3"/>
    <w:pPr>
      <w:spacing w:after="160" w:line="240" w:lineRule="auto"/>
    </w:pPr>
    <w:rPr>
      <w:sz w:val="20"/>
      <w:szCs w:val="20"/>
      <w:lang w:val="en-GB"/>
    </w:rPr>
  </w:style>
  <w:style w:type="paragraph" w:styleId="a5">
    <w:name w:val="annotation subject"/>
    <w:basedOn w:val="ab"/>
    <w:next w:val="ab"/>
    <w:link w:val="Char1"/>
    <w:uiPriority w:val="99"/>
    <w:semiHidden/>
    <w:unhideWhenUsed/>
    <w:qFormat/>
    <w:rsid w:val="007255C7"/>
    <w:pPr>
      <w:spacing w:after="200"/>
    </w:pPr>
    <w:rPr>
      <w:b/>
      <w:bCs/>
      <w:lang w:val="el-GR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l-GR"/>
  <c:roundedCorners val="0"/>
  <c:style val="2"/>
  <c:chart>
    <c:title>
      <c:tx>
        <c:rich>
          <a:bodyPr rot="0"/>
          <a:lstStyle/>
          <a:p>
            <a:pPr>
              <a:defRPr sz="1300" b="0" strike="noStrike" spc="-1">
                <a:latin typeface="Arial"/>
              </a:defRPr>
            </a:pPr>
            <a:r>
              <a:rPr lang="en-US" sz="1300" b="0" strike="noStrike" spc="-1">
                <a:latin typeface="Arial"/>
              </a:rPr>
              <a:t>DeltaK = mean(|L"(K)|) / sd(L(K))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856250000000001"/>
          <c:y val="0.110555555555556"/>
          <c:w val="0.87112500000000004"/>
          <c:h val="0.74488888888888904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C</c:v>
                </c:pt>
              </c:strCache>
            </c:strRef>
          </c:tx>
          <c:spPr>
            <a:ln w="28800">
              <a:solidFill>
                <a:srgbClr val="004586"/>
              </a:solidFill>
              <a:round/>
            </a:ln>
          </c:spPr>
          <c:marker>
            <c:symbol val="circle"/>
            <c:size val="6"/>
            <c:spPr>
              <a:solidFill>
                <a:srgbClr val="004586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el-GR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3"/>
                <c:pt idx="1">
                  <c:v>3000</c:v>
                </c:pt>
                <c:pt idx="2">
                  <c:v>1000</c:v>
                </c:pt>
                <c:pt idx="3">
                  <c:v>250</c:v>
                </c:pt>
                <c:pt idx="4">
                  <c:v>200</c:v>
                </c:pt>
                <c:pt idx="5">
                  <c:v>300</c:v>
                </c:pt>
                <c:pt idx="6">
                  <c:v>180</c:v>
                </c:pt>
                <c:pt idx="7">
                  <c:v>350</c:v>
                </c:pt>
                <c:pt idx="8">
                  <c:v>175</c:v>
                </c:pt>
                <c:pt idx="9">
                  <c:v>90</c:v>
                </c:pt>
                <c:pt idx="10">
                  <c:v>185</c:v>
                </c:pt>
                <c:pt idx="11">
                  <c:v>190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38-460A-A9D8-6F7A59EB0A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marker val="1"/>
        <c:smooth val="0"/>
        <c:axId val="31572389"/>
        <c:axId val="13246523"/>
      </c:lineChart>
      <c:catAx>
        <c:axId val="31572389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>
                  <a:defRPr sz="900" b="0" strike="noStrike" spc="-1">
                    <a:latin typeface="Arial"/>
                  </a:defRPr>
                </a:pPr>
                <a:r>
                  <a:rPr lang="en-US" sz="900" b="0" strike="noStrike" spc="-1">
                    <a:latin typeface="Arial"/>
                  </a:rPr>
                  <a:t>K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el-GR"/>
          </a:p>
        </c:txPr>
        <c:crossAx val="13246523"/>
        <c:crosses val="autoZero"/>
        <c:auto val="1"/>
        <c:lblAlgn val="ctr"/>
        <c:lblOffset val="100"/>
        <c:noMultiLvlLbl val="0"/>
      </c:catAx>
      <c:valAx>
        <c:axId val="13246523"/>
        <c:scaling>
          <c:orientation val="minMax"/>
        </c:scaling>
        <c:delete val="0"/>
        <c:axPos val="l"/>
        <c:title>
          <c:tx>
            <c:rich>
              <a:bodyPr rot="-5400000"/>
              <a:lstStyle/>
              <a:p>
                <a:pPr>
                  <a:defRPr sz="900" b="0" strike="noStrike" spc="-1">
                    <a:latin typeface="Arial"/>
                  </a:defRPr>
                </a:pPr>
                <a:r>
                  <a:rPr lang="en-US" sz="900" b="0" strike="noStrike" spc="-1">
                    <a:latin typeface="Arial"/>
                  </a:rPr>
                  <a:t>Delta K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el-GR"/>
          </a:p>
        </c:txPr>
        <c:crossAx val="31572389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l-GR"/>
  <c:roundedCorners val="0"/>
  <c:style val="2"/>
  <c:chart>
    <c:title>
      <c:tx>
        <c:rich>
          <a:bodyPr rot="0"/>
          <a:lstStyle/>
          <a:p>
            <a:pPr>
              <a:defRPr sz="1300" b="0" strike="noStrike" spc="-1">
                <a:latin typeface="Arial"/>
              </a:defRPr>
            </a:pPr>
            <a:r>
              <a:rPr lang="en-US" sz="1300" b="0" strike="noStrike" spc="-1">
                <a:latin typeface="Arial"/>
              </a:rPr>
              <a:t>L(K) (mean + - SD)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2625"/>
          <c:y val="7.5222222222222204E-2"/>
          <c:w val="0.84531250000000002"/>
          <c:h val="0.76755555555555599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C</c:v>
                </c:pt>
              </c:strCache>
            </c:strRef>
          </c:tx>
          <c:spPr>
            <a:ln w="28800">
              <a:noFill/>
            </a:ln>
          </c:spPr>
          <c:marker>
            <c:symbol val="circle"/>
            <c:size val="6"/>
            <c:spPr>
              <a:solidFill>
                <a:srgbClr val="2A6099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latin typeface="Arial"/>
                  </a:defRPr>
                </a:pPr>
                <a:endParaRPr lang="el-GR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3"/>
                <c:pt idx="1">
                  <c:v>-20000</c:v>
                </c:pt>
                <c:pt idx="2">
                  <c:v>-18500</c:v>
                </c:pt>
                <c:pt idx="3">
                  <c:v>-17600</c:v>
                </c:pt>
                <c:pt idx="4">
                  <c:v>-17100</c:v>
                </c:pt>
                <c:pt idx="5">
                  <c:v>-16700</c:v>
                </c:pt>
                <c:pt idx="6">
                  <c:v>-16600</c:v>
                </c:pt>
                <c:pt idx="7">
                  <c:v>-16500</c:v>
                </c:pt>
                <c:pt idx="8">
                  <c:v>-16400</c:v>
                </c:pt>
                <c:pt idx="9">
                  <c:v>-16450</c:v>
                </c:pt>
                <c:pt idx="10">
                  <c:v>-16450</c:v>
                </c:pt>
                <c:pt idx="11">
                  <c:v>-16450</c:v>
                </c:pt>
                <c:pt idx="12">
                  <c:v>-16450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E6-479B-B682-4365B6496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marker val="1"/>
        <c:smooth val="0"/>
        <c:axId val="24976345"/>
        <c:axId val="83068128"/>
      </c:lineChart>
      <c:catAx>
        <c:axId val="24976345"/>
        <c:scaling>
          <c:orientation val="minMax"/>
        </c:scaling>
        <c:delete val="1"/>
        <c:axPos val="b"/>
        <c:title>
          <c:tx>
            <c:rich>
              <a:bodyPr rot="0"/>
              <a:lstStyle/>
              <a:p>
                <a:pPr>
                  <a:defRPr sz="900" b="0" strike="noStrike" spc="-1">
                    <a:latin typeface="Arial"/>
                  </a:defRPr>
                </a:pPr>
                <a:r>
                  <a:rPr lang="en-US" sz="900" b="0" strike="noStrike" spc="-1">
                    <a:latin typeface="Arial"/>
                  </a:rPr>
                  <a:t>                                    1            2             3            4            5             6            7            8             9           10         11         12
                                                                           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crossAx val="83068128"/>
        <c:crosses val="autoZero"/>
        <c:auto val="1"/>
        <c:lblAlgn val="ctr"/>
        <c:lblOffset val="100"/>
        <c:noMultiLvlLbl val="0"/>
      </c:catAx>
      <c:valAx>
        <c:axId val="83068128"/>
        <c:scaling>
          <c:orientation val="minMax"/>
          <c:max val="-16000"/>
          <c:min val="-20100"/>
        </c:scaling>
        <c:delete val="0"/>
        <c:axPos val="l"/>
        <c:title>
          <c:tx>
            <c:rich>
              <a:bodyPr rot="-5400000"/>
              <a:lstStyle/>
              <a:p>
                <a:pPr>
                  <a:defRPr sz="900" b="0" strike="noStrike" spc="-1">
                    <a:latin typeface="Arial"/>
                  </a:defRPr>
                </a:pPr>
                <a:r>
                  <a:rPr lang="en-US" sz="900" b="0" strike="noStrike" spc="-1">
                    <a:latin typeface="Arial"/>
                  </a:rPr>
                  <a:t>Mean of est. Ln prob of data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latin typeface="Arial"/>
              </a:defRPr>
            </a:pPr>
            <a:endParaRPr lang="el-GR"/>
          </a:p>
        </c:txPr>
        <c:crossAx val="24976345"/>
        <c:crosses val="autoZero"/>
        <c:crossBetween val="midCat"/>
        <c:majorUnit val="500"/>
      </c:valAx>
      <c:spPr>
        <a:noFill/>
        <a:ln>
          <a:noFill/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1575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Athanasios</cp:lastModifiedBy>
  <cp:revision>3</cp:revision>
  <dcterms:created xsi:type="dcterms:W3CDTF">2022-04-19T17:30:00Z</dcterms:created>
  <dcterms:modified xsi:type="dcterms:W3CDTF">2022-04-23T05:47:00Z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